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2B7FE069" w:rsidR="005076E1" w:rsidRPr="00617BFD" w:rsidRDefault="00F053F5" w:rsidP="006772EA">
      <w:pPr>
        <w:spacing w:after="40" w:line="240" w:lineRule="auto"/>
        <w:jc w:val="center"/>
        <w:rPr>
          <w:rFonts w:ascii="Calibri" w:hAnsi="Calibri" w:cs="Calibri"/>
          <w:b/>
          <w:bCs/>
          <w:sz w:val="28"/>
          <w:szCs w:val="28"/>
        </w:rPr>
      </w:pPr>
      <w:r w:rsidRPr="00617BFD">
        <w:rPr>
          <w:rFonts w:ascii="Calibri" w:hAnsi="Calibri" w:cs="Calibri"/>
          <w:b/>
          <w:bCs/>
          <w:sz w:val="28"/>
          <w:szCs w:val="28"/>
        </w:rPr>
        <w:t>The Governance Triad: A Centrali</w:t>
      </w:r>
      <w:r w:rsidR="009B361D" w:rsidRPr="00617BFD">
        <w:rPr>
          <w:rFonts w:ascii="Calibri" w:hAnsi="Calibri" w:cs="Calibri"/>
          <w:b/>
          <w:bCs/>
          <w:sz w:val="28"/>
          <w:szCs w:val="28"/>
        </w:rPr>
        <w:t>s</w:t>
      </w:r>
      <w:r w:rsidRPr="00617BFD">
        <w:rPr>
          <w:rFonts w:ascii="Calibri" w:hAnsi="Calibri" w:cs="Calibri"/>
          <w:b/>
          <w:bCs/>
          <w:sz w:val="28"/>
          <w:szCs w:val="28"/>
        </w:rPr>
        <w:t>ed Digital Construction Framework for State-Owned Enterprises</w:t>
      </w:r>
    </w:p>
    <w:p w14:paraId="7EF4B119" w14:textId="1482D7D6" w:rsidR="005076E1" w:rsidRPr="00617BFD" w:rsidRDefault="00736D03" w:rsidP="006772EA">
      <w:pPr>
        <w:pStyle w:val="Author"/>
        <w:spacing w:after="40"/>
        <w:jc w:val="center"/>
        <w:rPr>
          <w:rFonts w:ascii="Calibri" w:hAnsi="Calibri" w:cs="Calibri"/>
          <w:sz w:val="22"/>
          <w:szCs w:val="22"/>
        </w:rPr>
      </w:pPr>
      <w:r w:rsidRPr="00617BFD">
        <w:rPr>
          <w:rFonts w:ascii="Calibri" w:hAnsi="Calibri" w:cs="Calibri"/>
          <w:sz w:val="22"/>
          <w:szCs w:val="22"/>
        </w:rPr>
        <w:t>Muhammad Enal Hamdi</w:t>
      </w:r>
      <w:r w:rsidR="005076E1" w:rsidRPr="00617BFD">
        <w:rPr>
          <w:rFonts w:ascii="Calibri" w:hAnsi="Calibri" w:cs="Calibri"/>
          <w:sz w:val="22"/>
          <w:szCs w:val="22"/>
          <w:vertAlign w:val="superscript"/>
        </w:rPr>
        <w:t>1,*</w:t>
      </w:r>
      <w:r w:rsidR="00F8763F" w:rsidRPr="00617BFD">
        <w:rPr>
          <w:rFonts w:ascii="Calibri" w:hAnsi="Calibri" w:cs="Calibri"/>
          <w:sz w:val="22"/>
          <w:szCs w:val="22"/>
        </w:rPr>
        <w:t xml:space="preserve">, </w:t>
      </w:r>
      <w:r w:rsidR="00DF5A9A" w:rsidRPr="00617BFD">
        <w:rPr>
          <w:rFonts w:ascii="Calibri" w:hAnsi="Calibri" w:cs="Calibri"/>
          <w:sz w:val="22"/>
          <w:szCs w:val="22"/>
        </w:rPr>
        <w:t>Dina Awaliah Septianty</w:t>
      </w:r>
      <w:r w:rsidR="00F8763F" w:rsidRPr="00617BFD">
        <w:rPr>
          <w:rFonts w:ascii="Calibri" w:hAnsi="Calibri" w:cs="Calibri"/>
          <w:sz w:val="22"/>
          <w:szCs w:val="22"/>
          <w:vertAlign w:val="superscript"/>
        </w:rPr>
        <w:t>1</w:t>
      </w:r>
    </w:p>
    <w:p w14:paraId="0C3B0385" w14:textId="77777777" w:rsidR="005076E1" w:rsidRPr="00617BFD" w:rsidRDefault="005076E1" w:rsidP="006772EA">
      <w:pPr>
        <w:pStyle w:val="Author"/>
        <w:spacing w:after="40"/>
        <w:rPr>
          <w:rFonts w:ascii="Calibri" w:hAnsi="Calibri" w:cs="Calibri"/>
          <w:sz w:val="22"/>
          <w:szCs w:val="22"/>
        </w:rPr>
      </w:pPr>
    </w:p>
    <w:p w14:paraId="399171BA" w14:textId="34B68AA7" w:rsidR="005076E1" w:rsidRPr="00617BFD" w:rsidRDefault="005076E1" w:rsidP="006772EA">
      <w:pPr>
        <w:pStyle w:val="Author"/>
        <w:spacing w:after="40"/>
        <w:rPr>
          <w:rFonts w:ascii="Calibri" w:hAnsi="Calibri" w:cs="Calibri"/>
          <w:sz w:val="22"/>
          <w:szCs w:val="22"/>
          <w:lang w:val="fi-FI"/>
        </w:rPr>
      </w:pPr>
      <w:r w:rsidRPr="00617BFD">
        <w:rPr>
          <w:rFonts w:ascii="Calibri" w:hAnsi="Calibri" w:cs="Calibri"/>
          <w:sz w:val="22"/>
          <w:szCs w:val="22"/>
          <w:vertAlign w:val="superscript"/>
          <w:lang w:val="fi-FI"/>
        </w:rPr>
        <w:t xml:space="preserve">1 </w:t>
      </w:r>
      <w:r w:rsidR="00736D03" w:rsidRPr="00617BFD">
        <w:rPr>
          <w:rFonts w:ascii="Calibri" w:hAnsi="Calibri" w:cs="Calibri"/>
          <w:sz w:val="22"/>
          <w:szCs w:val="22"/>
          <w:lang w:val="fi-FI"/>
        </w:rPr>
        <w:t>PT Hutama Karya (Persero)</w:t>
      </w:r>
      <w:r w:rsidRPr="00617BFD">
        <w:rPr>
          <w:rFonts w:ascii="Calibri" w:hAnsi="Calibri" w:cs="Calibri"/>
          <w:sz w:val="22"/>
          <w:szCs w:val="22"/>
          <w:lang w:val="fi-FI"/>
        </w:rPr>
        <w:t xml:space="preserve">, </w:t>
      </w:r>
      <w:r w:rsidR="00736D03" w:rsidRPr="00617BFD">
        <w:rPr>
          <w:rFonts w:ascii="Calibri" w:hAnsi="Calibri" w:cs="Calibri"/>
          <w:sz w:val="22"/>
          <w:szCs w:val="22"/>
          <w:lang w:val="fi-FI"/>
        </w:rPr>
        <w:t>Jaka</w:t>
      </w:r>
      <w:r w:rsidR="004964DC" w:rsidRPr="00617BFD">
        <w:rPr>
          <w:rFonts w:ascii="Calibri" w:hAnsi="Calibri" w:cs="Calibri"/>
          <w:sz w:val="22"/>
          <w:szCs w:val="22"/>
          <w:lang w:val="fi-FI"/>
        </w:rPr>
        <w:t>rt</w:t>
      </w:r>
      <w:r w:rsidR="00736D03" w:rsidRPr="00617BFD">
        <w:rPr>
          <w:rFonts w:ascii="Calibri" w:hAnsi="Calibri" w:cs="Calibri"/>
          <w:sz w:val="22"/>
          <w:szCs w:val="22"/>
          <w:lang w:val="fi-FI"/>
        </w:rPr>
        <w:t>a</w:t>
      </w:r>
      <w:r w:rsidRPr="00617BFD">
        <w:rPr>
          <w:rFonts w:ascii="Calibri" w:hAnsi="Calibri" w:cs="Calibri"/>
          <w:sz w:val="22"/>
          <w:szCs w:val="22"/>
          <w:lang w:val="fi-FI"/>
        </w:rPr>
        <w:t xml:space="preserve">, </w:t>
      </w:r>
      <w:r w:rsidR="00736D03" w:rsidRPr="00617BFD">
        <w:rPr>
          <w:rFonts w:ascii="Calibri" w:hAnsi="Calibri" w:cs="Calibri"/>
          <w:sz w:val="22"/>
          <w:szCs w:val="22"/>
          <w:lang w:val="fi-FI"/>
        </w:rPr>
        <w:t>Indonesia</w:t>
      </w:r>
    </w:p>
    <w:p w14:paraId="1BC4AD16" w14:textId="1D348796" w:rsidR="005076E1" w:rsidRPr="00617BFD" w:rsidRDefault="005076E1" w:rsidP="006772EA">
      <w:pPr>
        <w:pStyle w:val="Author"/>
        <w:spacing w:after="40"/>
        <w:rPr>
          <w:rFonts w:ascii="Calibri" w:hAnsi="Calibri" w:cs="Calibri"/>
          <w:sz w:val="22"/>
          <w:szCs w:val="22"/>
        </w:rPr>
      </w:pPr>
      <w:r w:rsidRPr="00617BFD">
        <w:rPr>
          <w:rFonts w:ascii="Calibri" w:hAnsi="Calibri" w:cs="Calibri"/>
          <w:i/>
          <w:iCs/>
          <w:sz w:val="22"/>
          <w:szCs w:val="22"/>
          <w:vertAlign w:val="superscript"/>
        </w:rPr>
        <w:t>*</w:t>
      </w:r>
      <w:r w:rsidRPr="00617BFD">
        <w:rPr>
          <w:rFonts w:ascii="Calibri" w:hAnsi="Calibri" w:cs="Calibri"/>
          <w:i/>
          <w:iCs/>
          <w:sz w:val="22"/>
          <w:szCs w:val="22"/>
        </w:rPr>
        <w:t xml:space="preserve">Corresponding email: </w:t>
      </w:r>
      <w:hyperlink r:id="rId11" w:history="1">
        <w:r w:rsidR="00736D03" w:rsidRPr="00617BFD">
          <w:rPr>
            <w:rStyle w:val="Hyperlink"/>
            <w:rFonts w:ascii="Calibri" w:hAnsi="Calibri" w:cs="Calibri"/>
            <w:i/>
            <w:iCs/>
            <w:sz w:val="22"/>
            <w:szCs w:val="22"/>
          </w:rPr>
          <w:t>muhammad.enal@hutamakarya.com</w:t>
        </w:r>
      </w:hyperlink>
    </w:p>
    <w:p w14:paraId="6330E787" w14:textId="77777777" w:rsidR="005076E1" w:rsidRPr="00617BFD" w:rsidRDefault="005076E1" w:rsidP="006772EA">
      <w:pPr>
        <w:spacing w:after="40" w:line="240" w:lineRule="auto"/>
        <w:rPr>
          <w:rFonts w:ascii="Calibri" w:hAnsi="Calibri" w:cs="Calibri"/>
        </w:rPr>
      </w:pPr>
    </w:p>
    <w:p w14:paraId="662F0B45" w14:textId="000EE868" w:rsidR="005076E1" w:rsidRPr="00617BFD" w:rsidRDefault="005076E1" w:rsidP="006772EA">
      <w:pPr>
        <w:spacing w:after="40" w:line="240" w:lineRule="auto"/>
        <w:ind w:left="1134" w:right="1088"/>
        <w:rPr>
          <w:rFonts w:ascii="Calibri" w:hAnsi="Calibri" w:cs="Calibri"/>
          <w:b/>
          <w:bCs/>
          <w:sz w:val="28"/>
          <w:szCs w:val="28"/>
        </w:rPr>
      </w:pPr>
      <w:r w:rsidRPr="00617BFD">
        <w:rPr>
          <w:rFonts w:ascii="Calibri" w:hAnsi="Calibri" w:cs="Calibri"/>
          <w:b/>
          <w:bCs/>
          <w:sz w:val="28"/>
          <w:szCs w:val="28"/>
        </w:rPr>
        <w:t>ABSTRACT</w:t>
      </w:r>
    </w:p>
    <w:p w14:paraId="302BFDCB" w14:textId="19B9538C" w:rsidR="00682412" w:rsidRPr="00617BFD" w:rsidRDefault="00682412" w:rsidP="006772EA">
      <w:pPr>
        <w:spacing w:after="40" w:line="240" w:lineRule="auto"/>
        <w:ind w:left="1134" w:right="1088"/>
        <w:jc w:val="both"/>
        <w:rPr>
          <w:rFonts w:ascii="Calibri" w:hAnsi="Calibri" w:cs="Calibri"/>
        </w:rPr>
      </w:pPr>
      <w:r w:rsidRPr="00617BFD">
        <w:rPr>
          <w:rFonts w:ascii="Calibri" w:hAnsi="Calibri" w:cs="Calibri"/>
        </w:rPr>
        <w:t>As large-scale construction enterprises transition toward mandatory digital delivery, the integration of Building Information Mode</w:t>
      </w:r>
      <w:r w:rsidR="008E0D89" w:rsidRPr="00617BFD">
        <w:rPr>
          <w:rFonts w:ascii="Calibri" w:hAnsi="Calibri" w:cs="Calibri"/>
        </w:rPr>
        <w:t>l</w:t>
      </w:r>
      <w:r w:rsidRPr="00617BFD">
        <w:rPr>
          <w:rFonts w:ascii="Calibri" w:hAnsi="Calibri" w:cs="Calibri"/>
        </w:rPr>
        <w:t xml:space="preserve">ling (BIM) frequently fragments across diverse project typologies and </w:t>
      </w:r>
      <w:r w:rsidR="00CA64BA" w:rsidRPr="00617BFD">
        <w:rPr>
          <w:rFonts w:ascii="Calibri" w:hAnsi="Calibri" w:cs="Calibri"/>
        </w:rPr>
        <w:t>deep-rooted</w:t>
      </w:r>
      <w:r w:rsidRPr="00617BFD">
        <w:rPr>
          <w:rFonts w:ascii="Calibri" w:hAnsi="Calibri" w:cs="Calibri"/>
        </w:rPr>
        <w:t xml:space="preserve"> traditional workflows. This paper presents a Design Science Research (DSR) case study detailing the development and implementation of a centrali</w:t>
      </w:r>
      <w:r w:rsidR="009B361D" w:rsidRPr="00617BFD">
        <w:rPr>
          <w:rFonts w:ascii="Calibri" w:hAnsi="Calibri" w:cs="Calibri"/>
        </w:rPr>
        <w:t>s</w:t>
      </w:r>
      <w:r w:rsidRPr="00617BFD">
        <w:rPr>
          <w:rFonts w:ascii="Calibri" w:hAnsi="Calibri" w:cs="Calibri"/>
        </w:rPr>
        <w:t xml:space="preserve">ed digital governance framework, the Governance Triad, </w:t>
      </w:r>
      <w:r w:rsidR="00FB00BC" w:rsidRPr="00617BFD">
        <w:rPr>
          <w:rFonts w:ascii="Calibri" w:hAnsi="Calibri" w:cs="Calibri"/>
        </w:rPr>
        <w:t xml:space="preserve">at PT Hutama Karya (Persero), </w:t>
      </w:r>
      <w:r w:rsidRPr="00617BFD">
        <w:rPr>
          <w:rFonts w:ascii="Calibri" w:hAnsi="Calibri" w:cs="Calibri"/>
        </w:rPr>
        <w:t>a massive Indonesian state-owned enterprise. Deployed across a portfolio of 60 active construction projects, the framework integrates a mandated Regulatory Layer, a standard</w:t>
      </w:r>
      <w:r w:rsidR="005053AB" w:rsidRPr="00617BFD">
        <w:rPr>
          <w:rFonts w:ascii="Calibri" w:hAnsi="Calibri" w:cs="Calibri"/>
        </w:rPr>
        <w:t>ise</w:t>
      </w:r>
      <w:r w:rsidRPr="00617BFD">
        <w:rPr>
          <w:rFonts w:ascii="Calibri" w:hAnsi="Calibri" w:cs="Calibri"/>
        </w:rPr>
        <w:t>d Resource Layer, and a continuous Validation Layer. Utili</w:t>
      </w:r>
      <w:r w:rsidR="00691BC8" w:rsidRPr="00617BFD">
        <w:rPr>
          <w:rFonts w:ascii="Calibri" w:hAnsi="Calibri" w:cs="Calibri"/>
        </w:rPr>
        <w:t>s</w:t>
      </w:r>
      <w:r w:rsidRPr="00617BFD">
        <w:rPr>
          <w:rFonts w:ascii="Calibri" w:hAnsi="Calibri" w:cs="Calibri"/>
        </w:rPr>
        <w:t xml:space="preserve">ing a weighted, 110-point Digital Construction (DC) Parameter, the enterprise tracked compliance monthly, yielding an 86.47% enterprise average. This data empirically </w:t>
      </w:r>
      <w:r w:rsidR="00DC105A" w:rsidRPr="00617BFD">
        <w:rPr>
          <w:rFonts w:ascii="Calibri" w:hAnsi="Calibri" w:cs="Calibri"/>
        </w:rPr>
        <w:t>demonstrated</w:t>
      </w:r>
      <w:r w:rsidRPr="00617BFD">
        <w:rPr>
          <w:rFonts w:ascii="Calibri" w:hAnsi="Calibri" w:cs="Calibri"/>
        </w:rPr>
        <w:t xml:space="preserve"> the framework's capacity to rapidly accelerate digital onboarding for New Projects while successfully forcing </w:t>
      </w:r>
      <w:r w:rsidR="003C11F6" w:rsidRPr="00617BFD">
        <w:rPr>
          <w:rFonts w:ascii="Calibri" w:hAnsi="Calibri" w:cs="Calibri"/>
        </w:rPr>
        <w:t>Legacy</w:t>
      </w:r>
      <w:r w:rsidRPr="00617BFD">
        <w:rPr>
          <w:rFonts w:ascii="Calibri" w:hAnsi="Calibri" w:cs="Calibri"/>
        </w:rPr>
        <w:t xml:space="preserve"> Projects to correct fragmented data habits. Crucially, internal capability mapping and a </w:t>
      </w:r>
      <w:r w:rsidR="00FD5183">
        <w:rPr>
          <w:rFonts w:ascii="Calibri" w:hAnsi="Calibri" w:cs="Calibri"/>
        </w:rPr>
        <w:t>subsequent</w:t>
      </w:r>
      <w:r w:rsidRPr="00617BFD">
        <w:rPr>
          <w:rFonts w:ascii="Calibri" w:hAnsi="Calibri" w:cs="Calibri"/>
        </w:rPr>
        <w:t xml:space="preserve"> external ISO 19650 surveillance audit, which yielded zero non-conformities, triangulated persistent industry friction. Both evaluations exposed the "Compliance Trap"</w:t>
      </w:r>
      <w:r w:rsidR="00BB12E8" w:rsidRPr="00617BFD">
        <w:rPr>
          <w:rFonts w:ascii="Calibri" w:hAnsi="Calibri" w:cs="Calibri"/>
        </w:rPr>
        <w:t>,</w:t>
      </w:r>
      <w:r w:rsidRPr="00617BFD">
        <w:rPr>
          <w:rFonts w:ascii="Calibri" w:hAnsi="Calibri" w:cs="Calibri"/>
        </w:rPr>
        <w:t xml:space="preserve"> identifying distinct bottlenecks regarding 5D </w:t>
      </w:r>
      <w:r w:rsidR="00D31924" w:rsidRPr="00617BFD">
        <w:rPr>
          <w:rFonts w:ascii="Calibri" w:hAnsi="Calibri" w:cs="Calibri"/>
        </w:rPr>
        <w:t>procurement</w:t>
      </w:r>
      <w:r w:rsidRPr="00617BFD">
        <w:rPr>
          <w:rFonts w:ascii="Calibri" w:hAnsi="Calibri" w:cs="Calibri"/>
        </w:rPr>
        <w:t xml:space="preserve"> integration by traditional Quantity Surveyors. By utili</w:t>
      </w:r>
      <w:r w:rsidR="00691BC8" w:rsidRPr="00617BFD">
        <w:rPr>
          <w:rFonts w:ascii="Calibri" w:hAnsi="Calibri" w:cs="Calibri"/>
        </w:rPr>
        <w:t>s</w:t>
      </w:r>
      <w:r w:rsidRPr="00617BFD">
        <w:rPr>
          <w:rFonts w:ascii="Calibri" w:hAnsi="Calibri" w:cs="Calibri"/>
        </w:rPr>
        <w:t>ing these empirical findings to iteratively calibrate the framework for 2026</w:t>
      </w:r>
      <w:r w:rsidR="00BB12E8" w:rsidRPr="00617BFD">
        <w:rPr>
          <w:rFonts w:ascii="Calibri" w:hAnsi="Calibri" w:cs="Calibri"/>
        </w:rPr>
        <w:t xml:space="preserve">, </w:t>
      </w:r>
      <w:r w:rsidRPr="00617BFD">
        <w:rPr>
          <w:rFonts w:ascii="Calibri" w:hAnsi="Calibri" w:cs="Calibri"/>
        </w:rPr>
        <w:t>mandating cross-functional BIM utili</w:t>
      </w:r>
      <w:r w:rsidR="00691BC8" w:rsidRPr="00617BFD">
        <w:rPr>
          <w:rFonts w:ascii="Calibri" w:hAnsi="Calibri" w:cs="Calibri"/>
        </w:rPr>
        <w:t>s</w:t>
      </w:r>
      <w:r w:rsidRPr="00617BFD">
        <w:rPr>
          <w:rFonts w:ascii="Calibri" w:hAnsi="Calibri" w:cs="Calibri"/>
        </w:rPr>
        <w:t>ation for material procurement and project monitoring</w:t>
      </w:r>
      <w:r w:rsidR="00BB12E8" w:rsidRPr="00617BFD">
        <w:rPr>
          <w:rFonts w:ascii="Calibri" w:hAnsi="Calibri" w:cs="Calibri"/>
        </w:rPr>
        <w:t xml:space="preserve">, </w:t>
      </w:r>
      <w:r w:rsidRPr="00617BFD">
        <w:rPr>
          <w:rFonts w:ascii="Calibri" w:hAnsi="Calibri" w:cs="Calibri"/>
        </w:rPr>
        <w:t>this research demonstrates how central</w:t>
      </w:r>
      <w:r w:rsidR="005053AB" w:rsidRPr="00617BFD">
        <w:rPr>
          <w:rFonts w:ascii="Calibri" w:hAnsi="Calibri" w:cs="Calibri"/>
        </w:rPr>
        <w:t>ise</w:t>
      </w:r>
      <w:r w:rsidRPr="00617BFD">
        <w:rPr>
          <w:rFonts w:ascii="Calibri" w:hAnsi="Calibri" w:cs="Calibri"/>
        </w:rPr>
        <w:t>d governance can shift an enterprise from passive digital compliance to active operational value.</w:t>
      </w:r>
    </w:p>
    <w:p w14:paraId="242D180E" w14:textId="77777777" w:rsidR="005076E1" w:rsidRPr="00617BFD" w:rsidRDefault="005076E1" w:rsidP="006772EA">
      <w:pPr>
        <w:spacing w:after="40" w:line="240" w:lineRule="auto"/>
        <w:rPr>
          <w:rFonts w:ascii="Calibri" w:hAnsi="Calibri" w:cs="Calibri"/>
          <w:color w:val="EE0000"/>
        </w:rPr>
      </w:pPr>
    </w:p>
    <w:p w14:paraId="19E47564" w14:textId="6766B04C" w:rsidR="005076E1" w:rsidRPr="00617BFD" w:rsidRDefault="005076E1" w:rsidP="0052171B">
      <w:pPr>
        <w:pStyle w:val="ListParagraph"/>
        <w:numPr>
          <w:ilvl w:val="0"/>
          <w:numId w:val="1"/>
        </w:numPr>
        <w:spacing w:after="40" w:line="240" w:lineRule="auto"/>
        <w:ind w:left="284" w:hanging="284"/>
        <w:rPr>
          <w:rFonts w:ascii="Calibri" w:hAnsi="Calibri" w:cs="Calibri"/>
          <w:b/>
          <w:bCs/>
          <w:sz w:val="28"/>
          <w:szCs w:val="28"/>
        </w:rPr>
      </w:pPr>
      <w:r w:rsidRPr="00617BFD">
        <w:rPr>
          <w:rFonts w:ascii="Calibri" w:hAnsi="Calibri" w:cs="Calibri"/>
          <w:b/>
          <w:bCs/>
          <w:sz w:val="28"/>
          <w:szCs w:val="28"/>
        </w:rPr>
        <w:t>INTRODUCTION</w:t>
      </w:r>
    </w:p>
    <w:p w14:paraId="1FEB53C5" w14:textId="33D35A07" w:rsidR="00B52770" w:rsidRPr="00617BFD" w:rsidRDefault="00B52770" w:rsidP="00B52770">
      <w:pPr>
        <w:spacing w:after="40" w:line="240" w:lineRule="auto"/>
        <w:ind w:firstLine="851"/>
        <w:jc w:val="both"/>
        <w:rPr>
          <w:rFonts w:ascii="Calibri" w:hAnsi="Calibri" w:cs="Calibri"/>
        </w:rPr>
      </w:pPr>
      <w:r w:rsidRPr="00617BFD">
        <w:rPr>
          <w:rFonts w:ascii="Calibri" w:hAnsi="Calibri" w:cs="Calibri"/>
        </w:rPr>
        <w:t>The global construction industry is undergoing a profound paradigm shift, transitioning from locali</w:t>
      </w:r>
      <w:r w:rsidR="00E64FF5" w:rsidRPr="00617BFD">
        <w:rPr>
          <w:rFonts w:ascii="Calibri" w:hAnsi="Calibri" w:cs="Calibri"/>
        </w:rPr>
        <w:t>s</w:t>
      </w:r>
      <w:r w:rsidRPr="00617BFD">
        <w:rPr>
          <w:rFonts w:ascii="Calibri" w:hAnsi="Calibri" w:cs="Calibri"/>
        </w:rPr>
        <w:t>ed, software-centric Building Information Mode</w:t>
      </w:r>
      <w:r w:rsidR="00246F9B" w:rsidRPr="00617BFD">
        <w:rPr>
          <w:rFonts w:ascii="Calibri" w:hAnsi="Calibri" w:cs="Calibri"/>
        </w:rPr>
        <w:t>l</w:t>
      </w:r>
      <w:r w:rsidRPr="00617BFD">
        <w:rPr>
          <w:rFonts w:ascii="Calibri" w:hAnsi="Calibri" w:cs="Calibri"/>
        </w:rPr>
        <w:t>ling (BIM) toward holistic, enterprise-wide Information Management. The ongoing evolution of the ISO 19650 standard series has formali</w:t>
      </w:r>
      <w:r w:rsidR="00E64FF5" w:rsidRPr="00617BFD">
        <w:rPr>
          <w:rFonts w:ascii="Calibri" w:hAnsi="Calibri" w:cs="Calibri"/>
        </w:rPr>
        <w:t>s</w:t>
      </w:r>
      <w:r w:rsidRPr="00617BFD">
        <w:rPr>
          <w:rFonts w:ascii="Calibri" w:hAnsi="Calibri" w:cs="Calibri"/>
        </w:rPr>
        <w:t>ed this shift, emphasi</w:t>
      </w:r>
      <w:r w:rsidR="00E64FF5" w:rsidRPr="00617BFD">
        <w:rPr>
          <w:rFonts w:ascii="Calibri" w:hAnsi="Calibri" w:cs="Calibri"/>
        </w:rPr>
        <w:t>s</w:t>
      </w:r>
      <w:r w:rsidRPr="00617BFD">
        <w:rPr>
          <w:rFonts w:ascii="Calibri" w:hAnsi="Calibri" w:cs="Calibri"/>
        </w:rPr>
        <w:t xml:space="preserve">ing that the primary objective of </w:t>
      </w:r>
      <w:r w:rsidR="0044732E" w:rsidRPr="00617BFD">
        <w:rPr>
          <w:rFonts w:ascii="Calibri" w:hAnsi="Calibri" w:cs="Calibri"/>
        </w:rPr>
        <w:t>D</w:t>
      </w:r>
      <w:r w:rsidRPr="00617BFD">
        <w:rPr>
          <w:rFonts w:ascii="Calibri" w:hAnsi="Calibri" w:cs="Calibri"/>
        </w:rPr>
        <w:t xml:space="preserve">igital </w:t>
      </w:r>
      <w:r w:rsidR="0044732E" w:rsidRPr="00617BFD">
        <w:rPr>
          <w:rFonts w:ascii="Calibri" w:hAnsi="Calibri" w:cs="Calibri"/>
        </w:rPr>
        <w:t>C</w:t>
      </w:r>
      <w:r w:rsidRPr="00617BFD">
        <w:rPr>
          <w:rFonts w:ascii="Calibri" w:hAnsi="Calibri" w:cs="Calibri"/>
        </w:rPr>
        <w:t>onstruction</w:t>
      </w:r>
      <w:r w:rsidR="0044732E" w:rsidRPr="00617BFD">
        <w:rPr>
          <w:rFonts w:ascii="Calibri" w:hAnsi="Calibri" w:cs="Calibri"/>
        </w:rPr>
        <w:t xml:space="preserve"> (DC)</w:t>
      </w:r>
      <w:r w:rsidRPr="00617BFD">
        <w:rPr>
          <w:rFonts w:ascii="Calibri" w:hAnsi="Calibri" w:cs="Calibri"/>
        </w:rPr>
        <w:t xml:space="preserve"> is no longer </w:t>
      </w:r>
      <w:r w:rsidR="00BD15E4" w:rsidRPr="00617BFD">
        <w:rPr>
          <w:rFonts w:ascii="Calibri" w:hAnsi="Calibri" w:cs="Calibri"/>
        </w:rPr>
        <w:t>solely</w:t>
      </w:r>
      <w:r w:rsidRPr="00617BFD">
        <w:rPr>
          <w:rFonts w:ascii="Calibri" w:hAnsi="Calibri" w:cs="Calibri"/>
        </w:rPr>
        <w:t xml:space="preserve"> the authoring of 3D geometry, but the strategic governance of data, stakeholder communication, and process modelling across the entire asset lifecycle (Abanda, F.H., et.al., 2025). However, while individual "flagship" projects frequently demonstrate high levels of digital sophistication, achieving this maturity at an enterprise scale remains a severe operational challenge. </w:t>
      </w:r>
      <w:r w:rsidR="00F2161A">
        <w:rPr>
          <w:rFonts w:ascii="Calibri" w:hAnsi="Calibri" w:cs="Calibri"/>
        </w:rPr>
        <w:t>Large</w:t>
      </w:r>
      <w:r w:rsidRPr="00617BFD">
        <w:rPr>
          <w:rFonts w:ascii="Calibri" w:hAnsi="Calibri" w:cs="Calibri"/>
        </w:rPr>
        <w:t xml:space="preserve"> construction enterprises frequently suffer from structural fragmentation</w:t>
      </w:r>
      <w:r w:rsidR="00103C4B">
        <w:rPr>
          <w:rFonts w:ascii="Calibri" w:hAnsi="Calibri" w:cs="Calibri"/>
        </w:rPr>
        <w:t>:</w:t>
      </w:r>
      <w:r w:rsidRPr="00617BFD">
        <w:rPr>
          <w:rFonts w:ascii="Calibri" w:hAnsi="Calibri" w:cs="Calibri"/>
        </w:rPr>
        <w:t xml:space="preserve"> when digital implementation is decentrali</w:t>
      </w:r>
      <w:r w:rsidR="00511B9F" w:rsidRPr="00617BFD">
        <w:rPr>
          <w:rFonts w:ascii="Calibri" w:hAnsi="Calibri" w:cs="Calibri"/>
        </w:rPr>
        <w:t>s</w:t>
      </w:r>
      <w:r w:rsidRPr="00617BFD">
        <w:rPr>
          <w:rFonts w:ascii="Calibri" w:hAnsi="Calibri" w:cs="Calibri"/>
        </w:rPr>
        <w:t>ed and left to the discretion of individual project managers, the resulting data silos prevent the enterprise from harnessing standardi</w:t>
      </w:r>
      <w:r w:rsidR="00520432" w:rsidRPr="00617BFD">
        <w:rPr>
          <w:rFonts w:ascii="Calibri" w:hAnsi="Calibri" w:cs="Calibri"/>
        </w:rPr>
        <w:t>s</w:t>
      </w:r>
      <w:r w:rsidRPr="00617BFD">
        <w:rPr>
          <w:rFonts w:ascii="Calibri" w:hAnsi="Calibri" w:cs="Calibri"/>
        </w:rPr>
        <w:t>ed analytics, 4D schedule optimi</w:t>
      </w:r>
      <w:r w:rsidR="00520432" w:rsidRPr="00617BFD">
        <w:rPr>
          <w:rFonts w:ascii="Calibri" w:hAnsi="Calibri" w:cs="Calibri"/>
        </w:rPr>
        <w:t>s</w:t>
      </w:r>
      <w:r w:rsidRPr="00617BFD">
        <w:rPr>
          <w:rFonts w:ascii="Calibri" w:hAnsi="Calibri" w:cs="Calibri"/>
        </w:rPr>
        <w:t xml:space="preserve">ation, and 5D </w:t>
      </w:r>
      <w:r w:rsidR="00D31924" w:rsidRPr="00617BFD">
        <w:rPr>
          <w:rFonts w:ascii="Calibri" w:hAnsi="Calibri" w:cs="Calibri"/>
        </w:rPr>
        <w:t>procurement</w:t>
      </w:r>
      <w:r w:rsidRPr="00617BFD">
        <w:rPr>
          <w:rFonts w:ascii="Calibri" w:hAnsi="Calibri" w:cs="Calibri"/>
        </w:rPr>
        <w:t xml:space="preserve"> control.</w:t>
      </w:r>
    </w:p>
    <w:p w14:paraId="21F9607E" w14:textId="2B9CA338" w:rsidR="00B52770" w:rsidRPr="00617BFD" w:rsidRDefault="00B52770" w:rsidP="00B52770">
      <w:pPr>
        <w:spacing w:after="40" w:line="240" w:lineRule="auto"/>
        <w:ind w:firstLine="851"/>
        <w:jc w:val="both"/>
        <w:rPr>
          <w:rFonts w:ascii="Calibri" w:hAnsi="Calibri" w:cs="Calibri"/>
        </w:rPr>
      </w:pPr>
      <w:r w:rsidRPr="00617BFD">
        <w:rPr>
          <w:rFonts w:ascii="Calibri" w:hAnsi="Calibri" w:cs="Calibri"/>
        </w:rPr>
        <w:t>Recent empirical studies highlight that the deployment of BIM technology does not automatically correlate to improved project outcomes. Without strong centrali</w:t>
      </w:r>
      <w:r w:rsidR="00511B9F" w:rsidRPr="00617BFD">
        <w:rPr>
          <w:rFonts w:ascii="Calibri" w:hAnsi="Calibri" w:cs="Calibri"/>
        </w:rPr>
        <w:t>s</w:t>
      </w:r>
      <w:r w:rsidRPr="00617BFD">
        <w:rPr>
          <w:rFonts w:ascii="Calibri" w:hAnsi="Calibri" w:cs="Calibri"/>
        </w:rPr>
        <w:t xml:space="preserve">ed governance and </w:t>
      </w:r>
      <w:r w:rsidRPr="00617BFD">
        <w:rPr>
          <w:rFonts w:ascii="Calibri" w:hAnsi="Calibri" w:cs="Calibri"/>
        </w:rPr>
        <w:lastRenderedPageBreak/>
        <w:t>standardi</w:t>
      </w:r>
      <w:r w:rsidR="00511B9F" w:rsidRPr="00617BFD">
        <w:rPr>
          <w:rFonts w:ascii="Calibri" w:hAnsi="Calibri" w:cs="Calibri"/>
        </w:rPr>
        <w:t>s</w:t>
      </w:r>
      <w:r w:rsidRPr="00617BFD">
        <w:rPr>
          <w:rFonts w:ascii="Calibri" w:hAnsi="Calibri" w:cs="Calibri"/>
        </w:rPr>
        <w:t>ed execution plans, project teams often fall into the "Compliance Trap"</w:t>
      </w:r>
      <w:r w:rsidR="00511B9F" w:rsidRPr="00617BFD">
        <w:rPr>
          <w:rFonts w:ascii="Calibri" w:hAnsi="Calibri" w:cs="Calibri"/>
        </w:rPr>
        <w:t xml:space="preserve">, </w:t>
      </w:r>
      <w:r w:rsidRPr="00617BFD">
        <w:rPr>
          <w:rFonts w:ascii="Calibri" w:hAnsi="Calibri" w:cs="Calibri"/>
        </w:rPr>
        <w:t xml:space="preserve">authoring geometric models solely to satisfy contractual audits, without integrating the semantic data into the Common Data Environment (CDE) for daily operational decision-making. This friction is most pronounced in commercial workflows. Despite the technological capabilities of 5D BIM, integration remains hindered by deeply </w:t>
      </w:r>
      <w:r w:rsidR="004E12E6" w:rsidRPr="00617BFD">
        <w:rPr>
          <w:rFonts w:ascii="Calibri" w:hAnsi="Calibri" w:cs="Calibri"/>
        </w:rPr>
        <w:t>rooted</w:t>
      </w:r>
      <w:r w:rsidRPr="00617BFD">
        <w:rPr>
          <w:rFonts w:ascii="Calibri" w:hAnsi="Calibri" w:cs="Calibri"/>
        </w:rPr>
        <w:t xml:space="preserve"> professional silos and inconsistent model quality </w:t>
      </w:r>
      <w:r w:rsidR="00537078" w:rsidRPr="00617BFD">
        <w:rPr>
          <w:rFonts w:ascii="Calibri" w:hAnsi="Calibri" w:cs="Calibri"/>
        </w:rPr>
        <w:t>(Keung, C.C.W., Yiu, T.W., &amp; Feng, Z., 2022)</w:t>
      </w:r>
      <w:r w:rsidRPr="00617BFD">
        <w:rPr>
          <w:rFonts w:ascii="Calibri" w:hAnsi="Calibri" w:cs="Calibri"/>
        </w:rPr>
        <w:t>. Traditional Quantity Surveyors (QS) often exhibit a lack of "</w:t>
      </w:r>
      <w:r w:rsidR="0028715D" w:rsidRPr="00617BFD">
        <w:rPr>
          <w:rFonts w:ascii="Calibri" w:hAnsi="Calibri" w:cs="Calibri"/>
        </w:rPr>
        <w:t>C</w:t>
      </w:r>
      <w:r w:rsidRPr="00617BFD">
        <w:rPr>
          <w:rFonts w:ascii="Calibri" w:hAnsi="Calibri" w:cs="Calibri"/>
        </w:rPr>
        <w:t xml:space="preserve">ommercial </w:t>
      </w:r>
      <w:r w:rsidR="0028715D" w:rsidRPr="00617BFD">
        <w:rPr>
          <w:rFonts w:ascii="Calibri" w:hAnsi="Calibri" w:cs="Calibri"/>
        </w:rPr>
        <w:t>T</w:t>
      </w:r>
      <w:r w:rsidRPr="00617BFD">
        <w:rPr>
          <w:rFonts w:ascii="Calibri" w:hAnsi="Calibri" w:cs="Calibri"/>
        </w:rPr>
        <w:t xml:space="preserve">rust" in automated Material Take Off (MTO) extractions from federated models. They frequently revert to manual 2D calculations due to incompatibilities between early-stage BIM model development, </w:t>
      </w:r>
      <w:r w:rsidR="00D551A0" w:rsidRPr="00617BFD">
        <w:rPr>
          <w:rFonts w:ascii="Calibri" w:hAnsi="Calibri" w:cs="Calibri"/>
        </w:rPr>
        <w:t xml:space="preserve">default software setting </w:t>
      </w:r>
      <w:r w:rsidRPr="00617BFD">
        <w:rPr>
          <w:rFonts w:ascii="Calibri" w:hAnsi="Calibri" w:cs="Calibri"/>
        </w:rPr>
        <w:t xml:space="preserve">parameters, and standard QS measurement methods </w:t>
      </w:r>
      <w:r w:rsidR="009C5022" w:rsidRPr="00617BFD">
        <w:rPr>
          <w:rFonts w:ascii="Calibri" w:hAnsi="Calibri" w:cs="Calibri"/>
        </w:rPr>
        <w:t>(Mayouf, M., Gerges, M., &amp; Cox, S., 2019)</w:t>
      </w:r>
      <w:r w:rsidRPr="00617BFD">
        <w:rPr>
          <w:rFonts w:ascii="Calibri" w:hAnsi="Calibri" w:cs="Calibri"/>
        </w:rPr>
        <w:t>.</w:t>
      </w:r>
    </w:p>
    <w:p w14:paraId="76F796E4" w14:textId="5AEED876" w:rsidR="00B52770" w:rsidRPr="00617BFD" w:rsidRDefault="00B52770" w:rsidP="00B52770">
      <w:pPr>
        <w:spacing w:after="40" w:line="240" w:lineRule="auto"/>
        <w:ind w:firstLine="851"/>
        <w:jc w:val="both"/>
        <w:rPr>
          <w:rFonts w:ascii="Calibri" w:hAnsi="Calibri" w:cs="Calibri"/>
        </w:rPr>
      </w:pPr>
      <w:r w:rsidRPr="00617BFD">
        <w:rPr>
          <w:rFonts w:ascii="Calibri" w:hAnsi="Calibri" w:cs="Calibri"/>
        </w:rPr>
        <w:t xml:space="preserve">This fragmentation is </w:t>
      </w:r>
      <w:r w:rsidR="003C7172">
        <w:rPr>
          <w:rFonts w:ascii="Calibri" w:hAnsi="Calibri" w:cs="Calibri"/>
        </w:rPr>
        <w:t>significantly</w:t>
      </w:r>
      <w:r w:rsidRPr="00617BFD">
        <w:rPr>
          <w:rFonts w:ascii="Calibri" w:hAnsi="Calibri" w:cs="Calibri"/>
        </w:rPr>
        <w:t xml:space="preserve"> </w:t>
      </w:r>
      <w:r w:rsidR="00CC2F71" w:rsidRPr="00617BFD">
        <w:rPr>
          <w:rFonts w:ascii="Calibri" w:hAnsi="Calibri" w:cs="Calibri"/>
        </w:rPr>
        <w:t>worsened</w:t>
      </w:r>
      <w:r w:rsidRPr="00617BFD">
        <w:rPr>
          <w:rFonts w:ascii="Calibri" w:hAnsi="Calibri" w:cs="Calibri"/>
        </w:rPr>
        <w:t xml:space="preserve"> within large-scale, state-owned enterprises that manage highly diverse infrastructure portfolios. These organi</w:t>
      </w:r>
      <w:r w:rsidR="007F0F63" w:rsidRPr="00617BFD">
        <w:rPr>
          <w:rFonts w:ascii="Calibri" w:hAnsi="Calibri" w:cs="Calibri"/>
        </w:rPr>
        <w:t>s</w:t>
      </w:r>
      <w:r w:rsidRPr="00617BFD">
        <w:rPr>
          <w:rFonts w:ascii="Calibri" w:hAnsi="Calibri" w:cs="Calibri"/>
        </w:rPr>
        <w:t>ations must frequently navigate complex dual-role mandates, acting simultaneously as the Lead Appointed Party (Main Contractor) managing technical execution, and the Appointing Party (Owner/Developer) governing long-term asset data. To bridge the gap between theoretical ISO 19650 standards and actual on-site execution across these disparate divisions, central corporate authorities must develop structural frameworks that mandate, standardi</w:t>
      </w:r>
      <w:r w:rsidR="00974B1A" w:rsidRPr="00617BFD">
        <w:rPr>
          <w:rFonts w:ascii="Calibri" w:hAnsi="Calibri" w:cs="Calibri"/>
        </w:rPr>
        <w:t>s</w:t>
      </w:r>
      <w:r w:rsidRPr="00617BFD">
        <w:rPr>
          <w:rFonts w:ascii="Calibri" w:hAnsi="Calibri" w:cs="Calibri"/>
        </w:rPr>
        <w:t>e, and continuously measure digital adoption across all supply chains. Organi</w:t>
      </w:r>
      <w:r w:rsidR="007F0F63" w:rsidRPr="00617BFD">
        <w:rPr>
          <w:rFonts w:ascii="Calibri" w:hAnsi="Calibri" w:cs="Calibri"/>
        </w:rPr>
        <w:t>s</w:t>
      </w:r>
      <w:r w:rsidRPr="00617BFD">
        <w:rPr>
          <w:rFonts w:ascii="Calibri" w:hAnsi="Calibri" w:cs="Calibri"/>
        </w:rPr>
        <w:t>ational BIM capability relies heavily on centrali</w:t>
      </w:r>
      <w:r w:rsidR="00974B1A" w:rsidRPr="00617BFD">
        <w:rPr>
          <w:rFonts w:ascii="Calibri" w:hAnsi="Calibri" w:cs="Calibri"/>
        </w:rPr>
        <w:t>s</w:t>
      </w:r>
      <w:r w:rsidRPr="00617BFD">
        <w:rPr>
          <w:rFonts w:ascii="Calibri" w:hAnsi="Calibri" w:cs="Calibri"/>
        </w:rPr>
        <w:t>ed strategy, standardi</w:t>
      </w:r>
      <w:r w:rsidR="00974B1A" w:rsidRPr="00617BFD">
        <w:rPr>
          <w:rFonts w:ascii="Calibri" w:hAnsi="Calibri" w:cs="Calibri"/>
        </w:rPr>
        <w:t>s</w:t>
      </w:r>
      <w:r w:rsidRPr="00617BFD">
        <w:rPr>
          <w:rFonts w:ascii="Calibri" w:hAnsi="Calibri" w:cs="Calibri"/>
        </w:rPr>
        <w:t xml:space="preserve">ed procedures, and strict information management to successfully scale digital workflows beyond isolated, individual projects </w:t>
      </w:r>
      <w:r w:rsidR="00DD5F98" w:rsidRPr="00617BFD">
        <w:rPr>
          <w:rFonts w:ascii="Calibri" w:hAnsi="Calibri" w:cs="Calibri"/>
        </w:rPr>
        <w:t>(</w:t>
      </w:r>
      <w:r w:rsidR="00A57F15">
        <w:rPr>
          <w:rFonts w:ascii="Calibri" w:hAnsi="Calibri" w:cs="Calibri"/>
        </w:rPr>
        <w:t>Phung, Q. &amp; Tong, N.</w:t>
      </w:r>
      <w:r w:rsidR="00DD5F98" w:rsidRPr="00617BFD">
        <w:rPr>
          <w:rFonts w:ascii="Calibri" w:hAnsi="Calibri" w:cs="Calibri"/>
        </w:rPr>
        <w:t>, 2021)</w:t>
      </w:r>
      <w:r w:rsidRPr="00617BFD">
        <w:rPr>
          <w:rFonts w:ascii="Calibri" w:hAnsi="Calibri" w:cs="Calibri"/>
        </w:rPr>
        <w:t>.</w:t>
      </w:r>
    </w:p>
    <w:p w14:paraId="13326868" w14:textId="6418C87D" w:rsidR="006E77D5" w:rsidRPr="00617BFD" w:rsidRDefault="00B52770" w:rsidP="00B52770">
      <w:pPr>
        <w:spacing w:after="40" w:line="240" w:lineRule="auto"/>
        <w:ind w:firstLine="851"/>
        <w:jc w:val="both"/>
        <w:rPr>
          <w:rFonts w:ascii="Calibri" w:hAnsi="Calibri" w:cs="Calibri"/>
        </w:rPr>
      </w:pPr>
      <w:r w:rsidRPr="00617BFD">
        <w:rPr>
          <w:rFonts w:ascii="Calibri" w:hAnsi="Calibri" w:cs="Calibri"/>
        </w:rPr>
        <w:t xml:space="preserve">To address this systemic industry gap, this research applies Design Science Research (DSR) methodology. DSR is advocated as an optimal methodology for BIM research, as it moves beyond </w:t>
      </w:r>
      <w:r w:rsidR="0006577B" w:rsidRPr="00617BFD">
        <w:rPr>
          <w:rFonts w:ascii="Calibri" w:hAnsi="Calibri" w:cs="Calibri"/>
        </w:rPr>
        <w:t>passively</w:t>
      </w:r>
      <w:r w:rsidRPr="00617BFD">
        <w:rPr>
          <w:rFonts w:ascii="Calibri" w:hAnsi="Calibri" w:cs="Calibri"/>
        </w:rPr>
        <w:t xml:space="preserve"> observing existing construction phenomena to actively designing, deploying, and evaluating practical </w:t>
      </w:r>
      <w:r w:rsidR="00122D6E">
        <w:rPr>
          <w:rFonts w:ascii="Calibri" w:hAnsi="Calibri" w:cs="Calibri"/>
        </w:rPr>
        <w:t>artefact</w:t>
      </w:r>
      <w:r w:rsidRPr="00617BFD">
        <w:rPr>
          <w:rFonts w:ascii="Calibri" w:hAnsi="Calibri" w:cs="Calibri"/>
        </w:rPr>
        <w:t>s that transform current work practices (Kehily, D. &amp; Underwood, J., 2015). Consequently, this study evaluates the enterprise-wide deployment of a centrali</w:t>
      </w:r>
      <w:r w:rsidR="00974B1A" w:rsidRPr="00617BFD">
        <w:rPr>
          <w:rFonts w:ascii="Calibri" w:hAnsi="Calibri" w:cs="Calibri"/>
        </w:rPr>
        <w:t>s</w:t>
      </w:r>
      <w:r w:rsidRPr="00617BFD">
        <w:rPr>
          <w:rFonts w:ascii="Calibri" w:hAnsi="Calibri" w:cs="Calibri"/>
        </w:rPr>
        <w:t xml:space="preserve">ed digital </w:t>
      </w:r>
      <w:r w:rsidR="00122D6E">
        <w:rPr>
          <w:rFonts w:ascii="Calibri" w:hAnsi="Calibri" w:cs="Calibri"/>
        </w:rPr>
        <w:t>artefact</w:t>
      </w:r>
      <w:r w:rsidR="00974B1A" w:rsidRPr="00617BFD">
        <w:rPr>
          <w:rFonts w:ascii="Calibri" w:hAnsi="Calibri" w:cs="Calibri"/>
        </w:rPr>
        <w:t xml:space="preserve">, </w:t>
      </w:r>
      <w:r w:rsidRPr="00617BFD">
        <w:rPr>
          <w:rFonts w:ascii="Calibri" w:hAnsi="Calibri" w:cs="Calibri"/>
        </w:rPr>
        <w:t>the Governance Triad</w:t>
      </w:r>
      <w:r w:rsidR="00974B1A" w:rsidRPr="00617BFD">
        <w:rPr>
          <w:rFonts w:ascii="Calibri" w:hAnsi="Calibri" w:cs="Calibri"/>
        </w:rPr>
        <w:t xml:space="preserve">, </w:t>
      </w:r>
      <w:r w:rsidRPr="00617BFD">
        <w:rPr>
          <w:rFonts w:ascii="Calibri" w:hAnsi="Calibri" w:cs="Calibri"/>
        </w:rPr>
        <w:t>at PT Hutama Karya (Persero), a massive Indonesian state-owned enterprise. By analy</w:t>
      </w:r>
      <w:r w:rsidR="00974B1A" w:rsidRPr="00617BFD">
        <w:rPr>
          <w:rFonts w:ascii="Calibri" w:hAnsi="Calibri" w:cs="Calibri"/>
        </w:rPr>
        <w:t>s</w:t>
      </w:r>
      <w:r w:rsidRPr="00617BFD">
        <w:rPr>
          <w:rFonts w:ascii="Calibri" w:hAnsi="Calibri" w:cs="Calibri"/>
        </w:rPr>
        <w:t>ing a continuous, 9-month empirical tracking cycle (April–December 2025) across 60 active construction projects utili</w:t>
      </w:r>
      <w:r w:rsidR="002F6AF2" w:rsidRPr="00617BFD">
        <w:rPr>
          <w:rFonts w:ascii="Calibri" w:hAnsi="Calibri" w:cs="Calibri"/>
        </w:rPr>
        <w:t>s</w:t>
      </w:r>
      <w:r w:rsidRPr="00617BFD">
        <w:rPr>
          <w:rFonts w:ascii="Calibri" w:hAnsi="Calibri" w:cs="Calibri"/>
        </w:rPr>
        <w:t xml:space="preserve">ing a calibrated 110-point evaluation metric, this </w:t>
      </w:r>
      <w:r w:rsidR="00991C9C" w:rsidRPr="00617BFD">
        <w:rPr>
          <w:rFonts w:ascii="Calibri" w:hAnsi="Calibri" w:cs="Calibri"/>
        </w:rPr>
        <w:t>paper investigates</w:t>
      </w:r>
      <w:r w:rsidR="00F151D5" w:rsidRPr="00617BFD">
        <w:rPr>
          <w:rFonts w:ascii="Calibri" w:hAnsi="Calibri" w:cs="Calibri"/>
          <w:color w:val="FF0000"/>
        </w:rPr>
        <w:t xml:space="preserve"> </w:t>
      </w:r>
      <w:r w:rsidRPr="00617BFD">
        <w:rPr>
          <w:rFonts w:ascii="Calibri" w:hAnsi="Calibri" w:cs="Calibri"/>
        </w:rPr>
        <w:t>how centrali</w:t>
      </w:r>
      <w:r w:rsidR="007F0F63" w:rsidRPr="00617BFD">
        <w:rPr>
          <w:rFonts w:ascii="Calibri" w:hAnsi="Calibri" w:cs="Calibri"/>
        </w:rPr>
        <w:t>s</w:t>
      </w:r>
      <w:r w:rsidRPr="00617BFD">
        <w:rPr>
          <w:rFonts w:ascii="Calibri" w:hAnsi="Calibri" w:cs="Calibri"/>
        </w:rPr>
        <w:t xml:space="preserve">ed "Hard Gate" mandates accelerate digital onboarding for </w:t>
      </w:r>
      <w:r w:rsidR="00114134" w:rsidRPr="00617BFD">
        <w:rPr>
          <w:rFonts w:ascii="Calibri" w:hAnsi="Calibri" w:cs="Calibri"/>
        </w:rPr>
        <w:t>new</w:t>
      </w:r>
      <w:r w:rsidRPr="00617BFD">
        <w:rPr>
          <w:rFonts w:ascii="Calibri" w:hAnsi="Calibri" w:cs="Calibri"/>
        </w:rPr>
        <w:t xml:space="preserve"> </w:t>
      </w:r>
      <w:r w:rsidR="00114134" w:rsidRPr="00617BFD">
        <w:rPr>
          <w:rFonts w:ascii="Calibri" w:hAnsi="Calibri" w:cs="Calibri"/>
        </w:rPr>
        <w:t>projects</w:t>
      </w:r>
      <w:r w:rsidRPr="00617BFD">
        <w:rPr>
          <w:rFonts w:ascii="Calibri" w:hAnsi="Calibri" w:cs="Calibri"/>
        </w:rPr>
        <w:t xml:space="preserve"> while successfully correcting fragmented legacy habits. Furthermore, triangulated against a formal external ISO 19650 surveillance audit conducted by the British Standards Institution (BSI), this study identifies the specific cultural and technical friction points that hinder 5D </w:t>
      </w:r>
      <w:r w:rsidR="00D31924" w:rsidRPr="00617BFD">
        <w:rPr>
          <w:rFonts w:ascii="Calibri" w:hAnsi="Calibri" w:cs="Calibri"/>
        </w:rPr>
        <w:t>procurement</w:t>
      </w:r>
      <w:r w:rsidRPr="00617BFD">
        <w:rPr>
          <w:rFonts w:ascii="Calibri" w:hAnsi="Calibri" w:cs="Calibri"/>
        </w:rPr>
        <w:t xml:space="preserve"> integration, presenting an iterative, data-driven governance model to shift enterprises from passive digital compliance to active operational value.</w:t>
      </w:r>
    </w:p>
    <w:p w14:paraId="3EEE9F3E" w14:textId="77777777" w:rsidR="00B52770" w:rsidRPr="00617BFD" w:rsidRDefault="00B52770" w:rsidP="0052171B">
      <w:pPr>
        <w:spacing w:after="40" w:line="240" w:lineRule="auto"/>
        <w:ind w:left="284" w:hanging="284"/>
        <w:jc w:val="both"/>
        <w:rPr>
          <w:rFonts w:ascii="Calibri" w:hAnsi="Calibri" w:cs="Calibri"/>
        </w:rPr>
      </w:pPr>
    </w:p>
    <w:p w14:paraId="22B34541" w14:textId="77777777" w:rsidR="00B72B60" w:rsidRPr="00617BFD" w:rsidRDefault="003B2EE3" w:rsidP="0052171B">
      <w:pPr>
        <w:pStyle w:val="ListParagraph"/>
        <w:numPr>
          <w:ilvl w:val="0"/>
          <w:numId w:val="1"/>
        </w:numPr>
        <w:spacing w:after="40" w:line="240" w:lineRule="auto"/>
        <w:ind w:left="284" w:hanging="284"/>
        <w:rPr>
          <w:rFonts w:ascii="Calibri" w:hAnsi="Calibri" w:cs="Calibri"/>
          <w:b/>
          <w:bCs/>
          <w:sz w:val="28"/>
          <w:szCs w:val="28"/>
        </w:rPr>
      </w:pPr>
      <w:r w:rsidRPr="00617BFD">
        <w:rPr>
          <w:rFonts w:ascii="Calibri" w:hAnsi="Calibri" w:cs="Calibri"/>
          <w:b/>
          <w:bCs/>
          <w:sz w:val="28"/>
          <w:szCs w:val="28"/>
        </w:rPr>
        <w:t>LITERATURE REVIEW</w:t>
      </w:r>
    </w:p>
    <w:p w14:paraId="7766F001" w14:textId="77777777" w:rsidR="00B52770" w:rsidRPr="00617BFD" w:rsidRDefault="00B52770" w:rsidP="00B52770">
      <w:pPr>
        <w:pStyle w:val="ListParagraph"/>
        <w:spacing w:after="40" w:line="240" w:lineRule="auto"/>
        <w:ind w:left="0" w:firstLine="851"/>
        <w:rPr>
          <w:rFonts w:ascii="Calibri" w:hAnsi="Calibri" w:cs="Calibri"/>
        </w:rPr>
      </w:pPr>
    </w:p>
    <w:p w14:paraId="1E08D841" w14:textId="78A120F5" w:rsidR="005E3C1A" w:rsidRPr="00617BFD" w:rsidRDefault="00816B43" w:rsidP="00AE19EA">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Enterprise-Scale Digital Transformation and ISO 19650</w:t>
      </w:r>
    </w:p>
    <w:p w14:paraId="637BC386" w14:textId="7F627920" w:rsidR="005E3C1A" w:rsidRPr="00617BFD" w:rsidRDefault="00896FC1" w:rsidP="006D5079">
      <w:pPr>
        <w:pStyle w:val="ListParagraph"/>
        <w:spacing w:after="40" w:line="240" w:lineRule="auto"/>
        <w:ind w:left="0" w:firstLine="851"/>
        <w:jc w:val="both"/>
        <w:rPr>
          <w:rFonts w:ascii="Calibri" w:hAnsi="Calibri" w:cs="Calibri"/>
        </w:rPr>
      </w:pPr>
      <w:r w:rsidRPr="00617BFD">
        <w:rPr>
          <w:rFonts w:ascii="Calibri" w:hAnsi="Calibri" w:cs="Calibri"/>
        </w:rPr>
        <w:t>The global transition from isolated, geometry-focused 3D modelling toward comprehensive, lifecycle Information Management is not a recent phenomenon</w:t>
      </w:r>
      <w:r w:rsidR="00915002" w:rsidRPr="00617BFD">
        <w:rPr>
          <w:rFonts w:ascii="Calibri" w:hAnsi="Calibri" w:cs="Calibri"/>
        </w:rPr>
        <w:t>,</w:t>
      </w:r>
      <w:r w:rsidRPr="00617BFD">
        <w:rPr>
          <w:rFonts w:ascii="Calibri" w:hAnsi="Calibri" w:cs="Calibri"/>
        </w:rPr>
        <w:t xml:space="preserve"> rather, it is the culmination of decades of progressive standardisation. This paradigm shift was fundamentally initiated in the 1990s through early BIM research and the foundational development of Industry Foundation Classes (IFC) to address systemic industry silo-ing (Eastman, C., 1999). Building upon this early conceptual framework, the push for standardised construction information was heavily advanced by the British Standards Institution (BSI) through the publication of BS 1192:2007+A2:2016</w:t>
      </w:r>
      <w:r w:rsidR="00D10FCC">
        <w:rPr>
          <w:rFonts w:ascii="Calibri" w:hAnsi="Calibri" w:cs="Calibri"/>
        </w:rPr>
        <w:t xml:space="preserve"> </w:t>
      </w:r>
      <w:r w:rsidR="00D10FCC" w:rsidRPr="00D10FCC">
        <w:rPr>
          <w:rFonts w:ascii="Calibri" w:hAnsi="Calibri" w:cs="Calibri"/>
        </w:rPr>
        <w:t>(BSI, 2016)</w:t>
      </w:r>
      <w:r w:rsidRPr="00617BFD">
        <w:rPr>
          <w:rFonts w:ascii="Calibri" w:hAnsi="Calibri" w:cs="Calibri"/>
        </w:rPr>
        <w:t xml:space="preserve"> and PAS 1192-2:2013 (BSI, 2013). These precursor standards successfully established the operational mechanics of the CDE and collaborative information exchange. Consequently, the subsequent publication of the ISO 19650 series did not invent these workflows, but rather marked their critical internationalisation. ISO 19650 provides a structured, globally recognised framework that enhances stakeholder communication and </w:t>
      </w:r>
      <w:r w:rsidRPr="00617BFD">
        <w:rPr>
          <w:rFonts w:ascii="Calibri" w:hAnsi="Calibri" w:cs="Calibri"/>
        </w:rPr>
        <w:lastRenderedPageBreak/>
        <w:t xml:space="preserve">process modelling, making </w:t>
      </w:r>
      <w:r w:rsidR="00CC2F71" w:rsidRPr="00617BFD">
        <w:rPr>
          <w:rFonts w:ascii="Calibri" w:hAnsi="Calibri" w:cs="Calibri"/>
        </w:rPr>
        <w:t>complex</w:t>
      </w:r>
      <w:r w:rsidRPr="00617BFD">
        <w:rPr>
          <w:rFonts w:ascii="Calibri" w:hAnsi="Calibri" w:cs="Calibri"/>
        </w:rPr>
        <w:t xml:space="preserve"> digital concepts accessible to multidisciplinary teams across the project lifecycle (Abanda, F.H., et.al., 2025). However, literature indicates that translating these theoretical international standards into enterprise-wide standard operating procedures remains exceptionally complex. Implementing BIM at an organisational scale cannot rely solely on technological procurement</w:t>
      </w:r>
      <w:r w:rsidR="002F0340" w:rsidRPr="00617BFD">
        <w:rPr>
          <w:rFonts w:ascii="Calibri" w:hAnsi="Calibri" w:cs="Calibri"/>
        </w:rPr>
        <w:t>,</w:t>
      </w:r>
      <w:r w:rsidRPr="00617BFD">
        <w:rPr>
          <w:rFonts w:ascii="Calibri" w:hAnsi="Calibri" w:cs="Calibri"/>
        </w:rPr>
        <w:t xml:space="preserve"> it fundamentally depends on centralised strategy, standardised processes, and robust information management structures to build true organisational capability (</w:t>
      </w:r>
      <w:r w:rsidR="00A57F15">
        <w:rPr>
          <w:rFonts w:ascii="Calibri" w:hAnsi="Calibri" w:cs="Calibri"/>
        </w:rPr>
        <w:t>Phung, Q. &amp; Tong, N.</w:t>
      </w:r>
      <w:r w:rsidRPr="00617BFD">
        <w:rPr>
          <w:rFonts w:ascii="Calibri" w:hAnsi="Calibri" w:cs="Calibri"/>
        </w:rPr>
        <w:t>, 2021). Without a unified corporate governance framework, massive infrastructure portfolios managed by state-owned enterprises inevitably fracture into localised data silos, preventing the realisation of macro-level digital benefits</w:t>
      </w:r>
      <w:r w:rsidR="006D5079" w:rsidRPr="00617BFD">
        <w:rPr>
          <w:rFonts w:ascii="Calibri" w:hAnsi="Calibri" w:cs="Calibri"/>
        </w:rPr>
        <w:t>.</w:t>
      </w:r>
    </w:p>
    <w:p w14:paraId="49FAB487" w14:textId="77777777" w:rsidR="006D5079" w:rsidRPr="00617BFD" w:rsidRDefault="006D5079" w:rsidP="00B52770">
      <w:pPr>
        <w:pStyle w:val="ListParagraph"/>
        <w:spacing w:after="40" w:line="240" w:lineRule="auto"/>
        <w:ind w:left="0" w:firstLine="851"/>
        <w:rPr>
          <w:rFonts w:ascii="Calibri" w:hAnsi="Calibri" w:cs="Calibri"/>
        </w:rPr>
      </w:pPr>
    </w:p>
    <w:p w14:paraId="2E63761B" w14:textId="4E916F31" w:rsidR="006D5079" w:rsidRPr="00617BFD" w:rsidRDefault="000A270A" w:rsidP="00AE19EA">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 xml:space="preserve">The "Compliance Trap" and 5D </w:t>
      </w:r>
      <w:r w:rsidR="00D31924" w:rsidRPr="00617BFD">
        <w:rPr>
          <w:rFonts w:ascii="Calibri" w:hAnsi="Calibri" w:cs="Calibri"/>
          <w:b/>
          <w:bCs/>
          <w:sz w:val="28"/>
          <w:szCs w:val="28"/>
        </w:rPr>
        <w:t>Procurement</w:t>
      </w:r>
      <w:r w:rsidRPr="00617BFD">
        <w:rPr>
          <w:rFonts w:ascii="Calibri" w:hAnsi="Calibri" w:cs="Calibri"/>
          <w:b/>
          <w:bCs/>
          <w:sz w:val="28"/>
          <w:szCs w:val="28"/>
        </w:rPr>
        <w:t xml:space="preserve"> Friction</w:t>
      </w:r>
    </w:p>
    <w:p w14:paraId="18C6F610" w14:textId="739EA743" w:rsidR="0007568E" w:rsidRPr="00617BFD" w:rsidRDefault="0007568E" w:rsidP="0007568E">
      <w:pPr>
        <w:pStyle w:val="ListParagraph"/>
        <w:spacing w:after="40" w:line="240" w:lineRule="auto"/>
        <w:ind w:left="0" w:firstLine="851"/>
        <w:jc w:val="both"/>
        <w:rPr>
          <w:rFonts w:ascii="Calibri" w:hAnsi="Calibri" w:cs="Calibri"/>
        </w:rPr>
      </w:pPr>
      <w:r w:rsidRPr="00617BFD">
        <w:rPr>
          <w:rFonts w:ascii="Calibri" w:hAnsi="Calibri" w:cs="Calibri"/>
        </w:rPr>
        <w:t xml:space="preserve">A recurring theme in contemporary </w:t>
      </w:r>
      <w:r w:rsidR="00EA7808" w:rsidRPr="00617BFD">
        <w:rPr>
          <w:rFonts w:ascii="Calibri" w:hAnsi="Calibri" w:cs="Calibri"/>
        </w:rPr>
        <w:t>DC</w:t>
      </w:r>
      <w:r w:rsidRPr="00617BFD">
        <w:rPr>
          <w:rFonts w:ascii="Calibri" w:hAnsi="Calibri" w:cs="Calibri"/>
        </w:rPr>
        <w:t xml:space="preserve"> literature is the profound friction between advanced digital workflows and </w:t>
      </w:r>
      <w:r w:rsidR="00E55D26" w:rsidRPr="00617BFD">
        <w:rPr>
          <w:rFonts w:ascii="Calibri" w:hAnsi="Calibri" w:cs="Calibri"/>
        </w:rPr>
        <w:t>deep-rooted</w:t>
      </w:r>
      <w:r w:rsidRPr="00617BFD">
        <w:rPr>
          <w:rFonts w:ascii="Calibri" w:hAnsi="Calibri" w:cs="Calibri"/>
        </w:rPr>
        <w:t xml:space="preserve"> traditional roles, particularly within commercial management. While structural engineers and architects have largely adopted 3D authoring, integrating the 5D for cost estimation remains severely hindered. Inconsistent geometric model quality, improper implementation, and the absence of well-recogni</w:t>
      </w:r>
      <w:r w:rsidR="00AF0F60" w:rsidRPr="00617BFD">
        <w:rPr>
          <w:rFonts w:ascii="Calibri" w:hAnsi="Calibri" w:cs="Calibri"/>
        </w:rPr>
        <w:t>s</w:t>
      </w:r>
      <w:r w:rsidRPr="00617BFD">
        <w:rPr>
          <w:rFonts w:ascii="Calibri" w:hAnsi="Calibri" w:cs="Calibri"/>
        </w:rPr>
        <w:t xml:space="preserve">ed BIM standards severely limit BIM adoption in QS practices, frequently leading to professional resistance and inaccurate project estimates </w:t>
      </w:r>
      <w:r w:rsidR="00DD5F98" w:rsidRPr="00617BFD">
        <w:rPr>
          <w:rFonts w:ascii="Calibri" w:hAnsi="Calibri" w:cs="Calibri"/>
        </w:rPr>
        <w:t>(Keung, C.C.W., Yiu, T.W., &amp; Feng, Z., 2022)</w:t>
      </w:r>
      <w:r w:rsidRPr="00617BFD">
        <w:rPr>
          <w:rFonts w:ascii="Calibri" w:hAnsi="Calibri" w:cs="Calibri"/>
        </w:rPr>
        <w:t>.</w:t>
      </w:r>
    </w:p>
    <w:p w14:paraId="65991ECB" w14:textId="517176E2" w:rsidR="00816B43" w:rsidRPr="00617BFD" w:rsidRDefault="00516715" w:rsidP="0007568E">
      <w:pPr>
        <w:pStyle w:val="ListParagraph"/>
        <w:spacing w:after="40" w:line="240" w:lineRule="auto"/>
        <w:ind w:left="0" w:firstLine="851"/>
        <w:jc w:val="both"/>
        <w:rPr>
          <w:rFonts w:ascii="Calibri" w:hAnsi="Calibri" w:cs="Calibri"/>
        </w:rPr>
      </w:pPr>
      <w:r w:rsidRPr="00617BFD">
        <w:rPr>
          <w:rFonts w:ascii="Calibri" w:hAnsi="Calibri" w:cs="Calibri"/>
        </w:rPr>
        <w:t xml:space="preserve">Consequently, projects fall into the </w:t>
      </w:r>
      <w:r w:rsidR="0007568E" w:rsidRPr="00617BFD">
        <w:rPr>
          <w:rFonts w:ascii="Calibri" w:hAnsi="Calibri" w:cs="Calibri"/>
        </w:rPr>
        <w:t xml:space="preserve">"Compliance </w:t>
      </w:r>
      <w:r w:rsidRPr="00617BFD">
        <w:rPr>
          <w:rFonts w:ascii="Calibri" w:hAnsi="Calibri" w:cs="Calibri"/>
        </w:rPr>
        <w:t>Trap</w:t>
      </w:r>
      <w:r w:rsidR="0007568E" w:rsidRPr="00617BFD">
        <w:rPr>
          <w:rFonts w:ascii="Calibri" w:hAnsi="Calibri" w:cs="Calibri"/>
        </w:rPr>
        <w:t xml:space="preserve">", where </w:t>
      </w:r>
      <w:r w:rsidR="00FA63CC" w:rsidRPr="00617BFD">
        <w:rPr>
          <w:rFonts w:ascii="Calibri" w:hAnsi="Calibri" w:cs="Calibri"/>
        </w:rPr>
        <w:t>geometrically detailed</w:t>
      </w:r>
      <w:r w:rsidR="0007568E" w:rsidRPr="00617BFD">
        <w:rPr>
          <w:rFonts w:ascii="Calibri" w:hAnsi="Calibri" w:cs="Calibri"/>
        </w:rPr>
        <w:t xml:space="preserve"> 3D models are produced </w:t>
      </w:r>
      <w:r w:rsidR="00B82F16" w:rsidRPr="00617BFD">
        <w:rPr>
          <w:rFonts w:ascii="Calibri" w:hAnsi="Calibri" w:cs="Calibri"/>
        </w:rPr>
        <w:t>strictly</w:t>
      </w:r>
      <w:r w:rsidR="0007568E" w:rsidRPr="00617BFD">
        <w:rPr>
          <w:rFonts w:ascii="Calibri" w:hAnsi="Calibri" w:cs="Calibri"/>
        </w:rPr>
        <w:t xml:space="preserve"> to satisfy contractual audits, but daily execution and commercial procurement remain reliant on disconnected 2D manual calculations. Furthermore, this friction is </w:t>
      </w:r>
      <w:r w:rsidR="00CC2F71" w:rsidRPr="00617BFD">
        <w:rPr>
          <w:rFonts w:ascii="Calibri" w:hAnsi="Calibri" w:cs="Calibri"/>
        </w:rPr>
        <w:t>worsened</w:t>
      </w:r>
      <w:r w:rsidR="0007568E" w:rsidRPr="00617BFD">
        <w:rPr>
          <w:rFonts w:ascii="Calibri" w:hAnsi="Calibri" w:cs="Calibri"/>
        </w:rPr>
        <w:t xml:space="preserve"> by a fundamental lack of commercial trust. </w:t>
      </w:r>
      <w:r w:rsidR="00065111" w:rsidRPr="00617BFD">
        <w:rPr>
          <w:rFonts w:ascii="Calibri" w:hAnsi="Calibri" w:cs="Calibri"/>
        </w:rPr>
        <w:t>QS</w:t>
      </w:r>
      <w:r w:rsidR="0007568E" w:rsidRPr="00617BFD">
        <w:rPr>
          <w:rFonts w:ascii="Calibri" w:hAnsi="Calibri" w:cs="Calibri"/>
        </w:rPr>
        <w:t xml:space="preserve"> frequently reject automated MTO extractions because 3D models are typically developed by designers </w:t>
      </w:r>
      <w:r w:rsidR="00E42A60" w:rsidRPr="00617BFD">
        <w:rPr>
          <w:rFonts w:ascii="Calibri" w:hAnsi="Calibri" w:cs="Calibri"/>
        </w:rPr>
        <w:t>using default</w:t>
      </w:r>
      <w:r w:rsidR="0007568E" w:rsidRPr="00617BFD">
        <w:rPr>
          <w:rFonts w:ascii="Calibri" w:hAnsi="Calibri" w:cs="Calibri"/>
        </w:rPr>
        <w:t xml:space="preserve"> software </w:t>
      </w:r>
      <w:r w:rsidR="00E42A60" w:rsidRPr="00617BFD">
        <w:rPr>
          <w:rFonts w:ascii="Calibri" w:hAnsi="Calibri" w:cs="Calibri"/>
        </w:rPr>
        <w:t>settings</w:t>
      </w:r>
      <w:r w:rsidR="0007568E" w:rsidRPr="00617BFD">
        <w:rPr>
          <w:rFonts w:ascii="Calibri" w:hAnsi="Calibri" w:cs="Calibri"/>
        </w:rPr>
        <w:t xml:space="preserve"> that fail to align with traditional QS rules of measurement </w:t>
      </w:r>
      <w:r w:rsidR="00DD5F98" w:rsidRPr="00617BFD">
        <w:rPr>
          <w:rFonts w:ascii="Calibri" w:hAnsi="Calibri" w:cs="Calibri"/>
        </w:rPr>
        <w:t>(Mayouf, M., Gerges, M., &amp; Cox, S., 2019)</w:t>
      </w:r>
      <w:r w:rsidR="0007568E" w:rsidRPr="00617BFD">
        <w:rPr>
          <w:rFonts w:ascii="Calibri" w:hAnsi="Calibri" w:cs="Calibri"/>
        </w:rPr>
        <w:t xml:space="preserve">. Overcoming this bottleneck requires governance structures that </w:t>
      </w:r>
      <w:r w:rsidR="00A206D0">
        <w:rPr>
          <w:rFonts w:ascii="Calibri" w:hAnsi="Calibri" w:cs="Calibri"/>
        </w:rPr>
        <w:t>mandate</w:t>
      </w:r>
      <w:r w:rsidR="0007568E" w:rsidRPr="00617BFD">
        <w:rPr>
          <w:rFonts w:ascii="Calibri" w:hAnsi="Calibri" w:cs="Calibri"/>
        </w:rPr>
        <w:t xml:space="preserve"> multidisciplinary integration rather than isolated 3D mode</w:t>
      </w:r>
      <w:r w:rsidR="003C2CB4" w:rsidRPr="00617BFD">
        <w:rPr>
          <w:rFonts w:ascii="Calibri" w:hAnsi="Calibri" w:cs="Calibri"/>
        </w:rPr>
        <w:t>l</w:t>
      </w:r>
      <w:r w:rsidR="0007568E" w:rsidRPr="00617BFD">
        <w:rPr>
          <w:rFonts w:ascii="Calibri" w:hAnsi="Calibri" w:cs="Calibri"/>
        </w:rPr>
        <w:t>ling.</w:t>
      </w:r>
    </w:p>
    <w:p w14:paraId="6C23328E" w14:textId="77777777" w:rsidR="000A270A" w:rsidRPr="00617BFD" w:rsidRDefault="000A270A" w:rsidP="0007568E">
      <w:pPr>
        <w:pStyle w:val="ListParagraph"/>
        <w:spacing w:after="40" w:line="240" w:lineRule="auto"/>
        <w:ind w:left="0" w:firstLine="851"/>
        <w:jc w:val="both"/>
        <w:rPr>
          <w:rFonts w:ascii="Calibri" w:hAnsi="Calibri" w:cs="Calibri"/>
        </w:rPr>
      </w:pPr>
    </w:p>
    <w:p w14:paraId="1703775F" w14:textId="583A7EF3" w:rsidR="000A270A" w:rsidRPr="00617BFD" w:rsidRDefault="009D6E9E" w:rsidP="000A270A">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Design Science Research in Digital Construction</w:t>
      </w:r>
    </w:p>
    <w:p w14:paraId="05755D67" w14:textId="64A03D10" w:rsidR="001352D9" w:rsidRPr="00617BFD" w:rsidRDefault="00C82BDE" w:rsidP="00A378B7">
      <w:pPr>
        <w:pStyle w:val="ListParagraph"/>
        <w:spacing w:after="40" w:line="240" w:lineRule="auto"/>
        <w:ind w:left="0" w:firstLine="851"/>
        <w:jc w:val="both"/>
        <w:rPr>
          <w:rFonts w:ascii="Calibri" w:hAnsi="Calibri" w:cs="Calibri"/>
        </w:rPr>
      </w:pPr>
      <w:r w:rsidRPr="00617BFD">
        <w:rPr>
          <w:rFonts w:ascii="Calibri" w:hAnsi="Calibri" w:cs="Calibri"/>
        </w:rPr>
        <w:t xml:space="preserve">To address these systemic operational gaps, traditional, purely observational academic methods are often insufficient. Resolving enterprise-level digital fragmentation requires the development of prescriptive, practical solutions that can be actively tested in the field. DSR is advocated as an optimal methodology for BIM-related investigations because it moves beyond </w:t>
      </w:r>
      <w:r w:rsidR="0006577B" w:rsidRPr="00617BFD">
        <w:rPr>
          <w:rFonts w:ascii="Calibri" w:hAnsi="Calibri" w:cs="Calibri"/>
        </w:rPr>
        <w:t>passively</w:t>
      </w:r>
      <w:r w:rsidRPr="00617BFD">
        <w:rPr>
          <w:rFonts w:ascii="Calibri" w:hAnsi="Calibri" w:cs="Calibri"/>
        </w:rPr>
        <w:t xml:space="preserve"> describing existing industry phenomena to actively outlining a formulated process to design, deploy, and evaluate a new technological </w:t>
      </w:r>
      <w:r w:rsidR="00122D6E">
        <w:rPr>
          <w:rFonts w:ascii="Calibri" w:hAnsi="Calibri" w:cs="Calibri"/>
        </w:rPr>
        <w:t>artefact</w:t>
      </w:r>
      <w:r w:rsidRPr="00617BFD">
        <w:rPr>
          <w:rFonts w:ascii="Calibri" w:hAnsi="Calibri" w:cs="Calibri"/>
        </w:rPr>
        <w:t xml:space="preserve"> or practice (Kehily, D. &amp; Underwood, J., 2015). In the context of </w:t>
      </w:r>
      <w:r w:rsidR="00B3612A" w:rsidRPr="00617BFD">
        <w:rPr>
          <w:rFonts w:ascii="Calibri" w:hAnsi="Calibri" w:cs="Calibri"/>
        </w:rPr>
        <w:t>DC</w:t>
      </w:r>
      <w:r w:rsidRPr="00617BFD">
        <w:rPr>
          <w:rFonts w:ascii="Calibri" w:hAnsi="Calibri" w:cs="Calibri"/>
        </w:rPr>
        <w:t xml:space="preserve"> governance, DSR allows an enterprise to implement centrali</w:t>
      </w:r>
      <w:r w:rsidR="00AF0F60" w:rsidRPr="00617BFD">
        <w:rPr>
          <w:rFonts w:ascii="Calibri" w:hAnsi="Calibri" w:cs="Calibri"/>
        </w:rPr>
        <w:t>s</w:t>
      </w:r>
      <w:r w:rsidRPr="00617BFD">
        <w:rPr>
          <w:rFonts w:ascii="Calibri" w:hAnsi="Calibri" w:cs="Calibri"/>
        </w:rPr>
        <w:t xml:space="preserve">ed corporate mandates (the </w:t>
      </w:r>
      <w:r w:rsidR="00122D6E">
        <w:rPr>
          <w:rFonts w:ascii="Calibri" w:hAnsi="Calibri" w:cs="Calibri"/>
        </w:rPr>
        <w:t>artefact</w:t>
      </w:r>
      <w:r w:rsidRPr="00617BFD">
        <w:rPr>
          <w:rFonts w:ascii="Calibri" w:hAnsi="Calibri" w:cs="Calibri"/>
        </w:rPr>
        <w:t xml:space="preserve">), continuously measure their operational friction across highly diverse project portfolios, and iteratively refine the system to </w:t>
      </w:r>
      <w:r w:rsidR="005E3209">
        <w:rPr>
          <w:rFonts w:ascii="Calibri" w:hAnsi="Calibri" w:cs="Calibri"/>
        </w:rPr>
        <w:t>drive</w:t>
      </w:r>
      <w:r w:rsidRPr="00617BFD">
        <w:rPr>
          <w:rFonts w:ascii="Calibri" w:hAnsi="Calibri" w:cs="Calibri"/>
        </w:rPr>
        <w:t xml:space="preserve"> cultural and behavio</w:t>
      </w:r>
      <w:r w:rsidR="00F151D5" w:rsidRPr="00617BFD">
        <w:rPr>
          <w:rFonts w:ascii="Calibri" w:hAnsi="Calibri" w:cs="Calibri"/>
        </w:rPr>
        <w:t>u</w:t>
      </w:r>
      <w:r w:rsidRPr="00617BFD">
        <w:rPr>
          <w:rFonts w:ascii="Calibri" w:hAnsi="Calibri" w:cs="Calibri"/>
        </w:rPr>
        <w:t>ral alignment.</w:t>
      </w:r>
      <w:r w:rsidR="002734CF" w:rsidRPr="00617BFD">
        <w:t xml:space="preserve"> </w:t>
      </w:r>
      <w:r w:rsidR="00A378B7" w:rsidRPr="00566BA2">
        <w:rPr>
          <w:rFonts w:ascii="Calibri" w:hAnsi="Calibri" w:cs="Calibri"/>
        </w:rPr>
        <w:t>Within this enterprise transformation context, the Governance Triad functions as the actively designed operational artefact, instantiating all four artefact types identified in DSR theory (March, S.T. &amp; Smith, G.F., 1995): the shared vocabulary and roles established under ISO 19650 form the constructs</w:t>
      </w:r>
      <w:r w:rsidR="00566BA2" w:rsidRPr="00566BA2">
        <w:rPr>
          <w:rFonts w:ascii="Calibri" w:hAnsi="Calibri" w:cs="Calibri"/>
        </w:rPr>
        <w:t>,</w:t>
      </w:r>
      <w:r w:rsidR="00A378B7" w:rsidRPr="00566BA2">
        <w:rPr>
          <w:rFonts w:ascii="Calibri" w:hAnsi="Calibri" w:cs="Calibri"/>
        </w:rPr>
        <w:t xml:space="preserve"> the 110-point DC Parameter forms the model</w:t>
      </w:r>
      <w:r w:rsidR="00566BA2" w:rsidRPr="00566BA2">
        <w:rPr>
          <w:rFonts w:ascii="Calibri" w:hAnsi="Calibri" w:cs="Calibri"/>
        </w:rPr>
        <w:t>,</w:t>
      </w:r>
      <w:r w:rsidR="00A378B7" w:rsidRPr="00566BA2">
        <w:rPr>
          <w:rFonts w:ascii="Calibri" w:hAnsi="Calibri" w:cs="Calibri"/>
        </w:rPr>
        <w:t xml:space="preserve"> the mandated SOPs, standardised templates, and Hard Gate procedures form the method</w:t>
      </w:r>
      <w:r w:rsidR="00566BA2" w:rsidRPr="00566BA2">
        <w:rPr>
          <w:rFonts w:ascii="Calibri" w:hAnsi="Calibri" w:cs="Calibri"/>
        </w:rPr>
        <w:t>,</w:t>
      </w:r>
      <w:r w:rsidR="00A378B7" w:rsidRPr="00566BA2">
        <w:rPr>
          <w:rFonts w:ascii="Calibri" w:hAnsi="Calibri" w:cs="Calibri"/>
        </w:rPr>
        <w:t xml:space="preserve"> and its deployment across the 60-project portfolio forms the instantiation</w:t>
      </w:r>
      <w:r w:rsidR="001352D9" w:rsidRPr="00566BA2">
        <w:rPr>
          <w:rFonts w:ascii="Calibri" w:hAnsi="Calibri" w:cs="Calibri"/>
        </w:rPr>
        <w:t>.</w:t>
      </w:r>
    </w:p>
    <w:p w14:paraId="5A49617B" w14:textId="77777777" w:rsidR="00B72B60" w:rsidRPr="00617BFD" w:rsidRDefault="00B72B60" w:rsidP="00B52770">
      <w:pPr>
        <w:pStyle w:val="ListParagraph"/>
        <w:spacing w:after="40" w:line="240" w:lineRule="auto"/>
        <w:ind w:left="0" w:firstLine="851"/>
        <w:rPr>
          <w:rFonts w:ascii="Calibri" w:hAnsi="Calibri" w:cs="Calibri"/>
          <w:b/>
          <w:bCs/>
        </w:rPr>
      </w:pPr>
    </w:p>
    <w:p w14:paraId="3A54857E" w14:textId="350B1FDC" w:rsidR="00D6057A" w:rsidRPr="00617BFD" w:rsidRDefault="00FB64DD" w:rsidP="0052171B">
      <w:pPr>
        <w:pStyle w:val="ListParagraph"/>
        <w:numPr>
          <w:ilvl w:val="0"/>
          <w:numId w:val="1"/>
        </w:numPr>
        <w:spacing w:after="40" w:line="240" w:lineRule="auto"/>
        <w:ind w:left="284" w:hanging="284"/>
        <w:rPr>
          <w:rFonts w:ascii="Calibri" w:hAnsi="Calibri" w:cs="Calibri"/>
          <w:b/>
          <w:bCs/>
          <w:sz w:val="28"/>
          <w:szCs w:val="28"/>
        </w:rPr>
      </w:pPr>
      <w:r w:rsidRPr="00617BFD">
        <w:rPr>
          <w:rFonts w:ascii="Calibri" w:hAnsi="Calibri" w:cs="Calibri"/>
          <w:b/>
          <w:bCs/>
          <w:sz w:val="28"/>
          <w:szCs w:val="28"/>
        </w:rPr>
        <w:t>METHODOLOGY</w:t>
      </w:r>
    </w:p>
    <w:p w14:paraId="75669167" w14:textId="0A68E0B7" w:rsidR="00A41BE6" w:rsidRPr="00617BFD" w:rsidRDefault="00A41BE6" w:rsidP="006772EA">
      <w:pPr>
        <w:spacing w:after="40" w:line="240" w:lineRule="auto"/>
        <w:ind w:firstLine="851"/>
        <w:jc w:val="both"/>
        <w:rPr>
          <w:rFonts w:ascii="Calibri" w:hAnsi="Calibri" w:cs="Calibri"/>
        </w:rPr>
      </w:pPr>
      <w:r w:rsidRPr="00617BFD">
        <w:rPr>
          <w:rFonts w:ascii="Calibri" w:hAnsi="Calibri" w:cs="Calibri"/>
        </w:rPr>
        <w:t>To resolve the structural fragmentation of digital adoption across a massive enterprise portfolio, this research applied DSR methodology to develop a central</w:t>
      </w:r>
      <w:r w:rsidR="005053AB" w:rsidRPr="00617BFD">
        <w:rPr>
          <w:rFonts w:ascii="Calibri" w:hAnsi="Calibri" w:cs="Calibri"/>
        </w:rPr>
        <w:t>ise</w:t>
      </w:r>
      <w:r w:rsidRPr="00617BFD">
        <w:rPr>
          <w:rFonts w:ascii="Calibri" w:hAnsi="Calibri" w:cs="Calibri"/>
        </w:rPr>
        <w:t>d operational framework</w:t>
      </w:r>
      <w:r w:rsidR="003151B5" w:rsidRPr="00617BFD">
        <w:rPr>
          <w:rFonts w:ascii="Calibri" w:hAnsi="Calibri" w:cs="Calibri"/>
        </w:rPr>
        <w:t xml:space="preserve"> at PT Hutama Karya (Persero)</w:t>
      </w:r>
      <w:r w:rsidRPr="00617BFD">
        <w:rPr>
          <w:rFonts w:ascii="Calibri" w:hAnsi="Calibri" w:cs="Calibri"/>
        </w:rPr>
        <w:t xml:space="preserve">. Rather than relying on isolated, project-level BIM initiatives, the enterprise </w:t>
      </w:r>
      <w:r w:rsidRPr="00617BFD">
        <w:rPr>
          <w:rFonts w:ascii="Calibri" w:hAnsi="Calibri" w:cs="Calibri"/>
        </w:rPr>
        <w:lastRenderedPageBreak/>
        <w:t xml:space="preserve">constructed the "Governance Triad", a three-layered </w:t>
      </w:r>
      <w:r w:rsidR="00122D6E">
        <w:rPr>
          <w:rFonts w:ascii="Calibri" w:hAnsi="Calibri" w:cs="Calibri"/>
        </w:rPr>
        <w:t>artefact</w:t>
      </w:r>
      <w:r w:rsidRPr="00617BFD">
        <w:rPr>
          <w:rFonts w:ascii="Calibri" w:hAnsi="Calibri" w:cs="Calibri"/>
        </w:rPr>
        <w:t xml:space="preserve"> designed to standard</w:t>
      </w:r>
      <w:r w:rsidR="005053AB" w:rsidRPr="00617BFD">
        <w:rPr>
          <w:rFonts w:ascii="Calibri" w:hAnsi="Calibri" w:cs="Calibri"/>
        </w:rPr>
        <w:t>ise</w:t>
      </w:r>
      <w:r w:rsidRPr="00617BFD">
        <w:rPr>
          <w:rFonts w:ascii="Calibri" w:hAnsi="Calibri" w:cs="Calibri"/>
        </w:rPr>
        <w:t xml:space="preserve"> Information Management across all corporate divisions.</w:t>
      </w:r>
    </w:p>
    <w:p w14:paraId="2AF77C0B" w14:textId="629184C6" w:rsidR="00B9688E" w:rsidRDefault="00B92E8B" w:rsidP="006772EA">
      <w:pPr>
        <w:spacing w:after="40" w:line="240" w:lineRule="auto"/>
        <w:ind w:firstLine="851"/>
        <w:jc w:val="both"/>
        <w:rPr>
          <w:rFonts w:ascii="Calibri" w:hAnsi="Calibri" w:cs="Calibri"/>
        </w:rPr>
      </w:pPr>
      <w:r w:rsidRPr="00B92E8B">
        <w:rPr>
          <w:rFonts w:ascii="Calibri" w:hAnsi="Calibri" w:cs="Calibri"/>
        </w:rPr>
        <w:t xml:space="preserve">In accordance with </w:t>
      </w:r>
      <w:r w:rsidR="003251D4">
        <w:rPr>
          <w:rFonts w:ascii="Calibri" w:hAnsi="Calibri" w:cs="Calibri"/>
        </w:rPr>
        <w:t>established</w:t>
      </w:r>
      <w:r w:rsidRPr="00B92E8B">
        <w:rPr>
          <w:rFonts w:ascii="Calibri" w:hAnsi="Calibri" w:cs="Calibri"/>
        </w:rPr>
        <w:t xml:space="preserve"> design-science principles (Hevner, A.R., et.al., 2004; Hevner, A.R., 2007), the development of this </w:t>
      </w:r>
      <w:r w:rsidR="00122D6E">
        <w:rPr>
          <w:rFonts w:ascii="Calibri" w:hAnsi="Calibri" w:cs="Calibri"/>
        </w:rPr>
        <w:t>artefact</w:t>
      </w:r>
      <w:r w:rsidRPr="00B92E8B">
        <w:rPr>
          <w:rFonts w:ascii="Calibri" w:hAnsi="Calibri" w:cs="Calibri"/>
        </w:rPr>
        <w:t xml:space="preserve"> was governed by three iterative cycles (Fig. 1)</w:t>
      </w:r>
      <w:r w:rsidR="003063DC" w:rsidRPr="00617BFD">
        <w:rPr>
          <w:rFonts w:ascii="Calibri" w:hAnsi="Calibri" w:cs="Calibri"/>
        </w:rPr>
        <w:t xml:space="preserve">. The Relevance Cycle identified the operational requirements of the business environment, specifically the need to resolve the Compliance Trap across the 60-project portfolio. The Rigor Cycle grounded the framework in established theoretical knowledge, ensuring the methodology strictly adhered to the ISO 19650 standard series. Finally, the central Design Cycle drove the actual construction and continuous evaluation of the </w:t>
      </w:r>
      <w:r w:rsidR="00122D6E">
        <w:rPr>
          <w:rFonts w:ascii="Calibri" w:hAnsi="Calibri" w:cs="Calibri"/>
        </w:rPr>
        <w:t>artefact</w:t>
      </w:r>
      <w:r w:rsidR="003063DC" w:rsidRPr="00617BFD">
        <w:rPr>
          <w:rFonts w:ascii="Calibri" w:hAnsi="Calibri" w:cs="Calibri"/>
        </w:rPr>
        <w:t xml:space="preserve"> itself, which was systematically divided into three operational components.</w:t>
      </w:r>
    </w:p>
    <w:p w14:paraId="4E6F5F0A" w14:textId="77777777" w:rsidR="00F85776" w:rsidRPr="00617BFD" w:rsidRDefault="00F85776" w:rsidP="006772EA">
      <w:pPr>
        <w:spacing w:after="40" w:line="240" w:lineRule="auto"/>
        <w:ind w:firstLine="851"/>
        <w:jc w:val="both"/>
        <w:rPr>
          <w:rFonts w:ascii="Calibri" w:hAnsi="Calibri" w:cs="Calibri"/>
        </w:rPr>
      </w:pPr>
    </w:p>
    <w:p w14:paraId="3143E9EC" w14:textId="25606449" w:rsidR="001B6784" w:rsidRPr="00617BFD" w:rsidRDefault="001B6784" w:rsidP="006772EA">
      <w:pPr>
        <w:spacing w:after="40" w:line="240" w:lineRule="auto"/>
        <w:jc w:val="center"/>
        <w:rPr>
          <w:rFonts w:ascii="Calibri" w:hAnsi="Calibri" w:cs="Calibri"/>
          <w:b/>
          <w:bCs/>
        </w:rPr>
      </w:pPr>
      <w:r w:rsidRPr="00617BFD">
        <w:rPr>
          <w:rFonts w:ascii="Calibri" w:hAnsi="Calibri" w:cs="Calibri"/>
          <w:b/>
          <w:bCs/>
          <w:noProof/>
        </w:rPr>
        <w:drawing>
          <wp:inline distT="0" distB="0" distL="0" distR="0" wp14:anchorId="7DF40DF2" wp14:editId="5FA95457">
            <wp:extent cx="5400000" cy="1800798"/>
            <wp:effectExtent l="19050" t="19050" r="10795" b="28575"/>
            <wp:docPr id="3" name="Picture 2">
              <a:extLst xmlns:a="http://schemas.openxmlformats.org/drawingml/2006/main">
                <a:ext uri="{FF2B5EF4-FFF2-40B4-BE49-F238E27FC236}">
                  <a16:creationId xmlns:a16="http://schemas.microsoft.com/office/drawing/2014/main" id="{5AAD5D9D-C68F-F25E-8B09-A206D92FC9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AAD5D9D-C68F-F25E-8B09-A206D92FC91C}"/>
                        </a:ext>
                      </a:extLst>
                    </pic:cNvPr>
                    <pic:cNvPicPr>
                      <a:picLocks noChangeAspect="1"/>
                    </pic:cNvPicPr>
                  </pic:nvPicPr>
                  <pic:blipFill rotWithShape="1">
                    <a:blip r:embed="rId12"/>
                    <a:srcRect b="4867"/>
                    <a:stretch>
                      <a:fillRect/>
                    </a:stretch>
                  </pic:blipFill>
                  <pic:spPr bwMode="auto">
                    <a:xfrm>
                      <a:off x="0" y="0"/>
                      <a:ext cx="5400000" cy="1800798"/>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1F2D2BB" w14:textId="55389A9C" w:rsidR="003F1F71" w:rsidRPr="00617BFD" w:rsidRDefault="001B6784" w:rsidP="006772EA">
      <w:pPr>
        <w:spacing w:after="40" w:line="240" w:lineRule="auto"/>
        <w:jc w:val="center"/>
        <w:rPr>
          <w:rFonts w:ascii="Calibri" w:hAnsi="Calibri" w:cs="Calibri"/>
          <w:b/>
          <w:bCs/>
        </w:rPr>
      </w:pPr>
      <w:r w:rsidRPr="00617BFD">
        <w:rPr>
          <w:rFonts w:ascii="Calibri" w:hAnsi="Calibri" w:cs="Calibri"/>
          <w:i/>
          <w:iCs/>
          <w:sz w:val="20"/>
          <w:szCs w:val="20"/>
        </w:rPr>
        <w:t xml:space="preserve">Figure 1: Design Science Research </w:t>
      </w:r>
      <w:r w:rsidR="00B9688E" w:rsidRPr="00617BFD">
        <w:rPr>
          <w:rFonts w:ascii="Calibri" w:hAnsi="Calibri" w:cs="Calibri"/>
          <w:i/>
          <w:iCs/>
          <w:sz w:val="20"/>
          <w:szCs w:val="20"/>
        </w:rPr>
        <w:t>Diagram</w:t>
      </w:r>
      <w:r w:rsidRPr="00617BFD">
        <w:rPr>
          <w:rFonts w:ascii="Calibri" w:hAnsi="Calibri" w:cs="Calibri"/>
          <w:i/>
          <w:iCs/>
          <w:sz w:val="20"/>
          <w:szCs w:val="20"/>
        </w:rPr>
        <w:t>.</w:t>
      </w:r>
    </w:p>
    <w:p w14:paraId="01FA71C3" w14:textId="77777777" w:rsidR="00FB64DD" w:rsidRPr="00617BFD" w:rsidRDefault="00FB64DD" w:rsidP="006772EA">
      <w:pPr>
        <w:spacing w:after="40" w:line="240" w:lineRule="auto"/>
        <w:rPr>
          <w:rFonts w:ascii="Calibri" w:hAnsi="Calibri" w:cs="Calibri"/>
        </w:rPr>
      </w:pPr>
    </w:p>
    <w:p w14:paraId="7836EF78" w14:textId="1FA389EF" w:rsidR="00B72B60" w:rsidRPr="00617BFD" w:rsidRDefault="00CB4763"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The Regulatory Layer</w:t>
      </w:r>
    </w:p>
    <w:p w14:paraId="1F49D415" w14:textId="64C400A6" w:rsidR="00D67792" w:rsidRPr="00617BFD" w:rsidRDefault="00D67792" w:rsidP="006772EA">
      <w:pPr>
        <w:spacing w:after="40" w:line="240" w:lineRule="auto"/>
        <w:ind w:firstLine="851"/>
        <w:jc w:val="both"/>
        <w:rPr>
          <w:rFonts w:ascii="Calibri" w:hAnsi="Calibri" w:cs="Calibri"/>
        </w:rPr>
      </w:pPr>
      <w:r w:rsidRPr="00617BFD">
        <w:rPr>
          <w:rFonts w:ascii="Calibri" w:hAnsi="Calibri" w:cs="Calibri"/>
        </w:rPr>
        <w:t>The foundation of the Triad is the establishment of absolute corporate mandates. Operating under ISO 19650 principles, the central authority formal</w:t>
      </w:r>
      <w:r w:rsidR="005053AB" w:rsidRPr="00617BFD">
        <w:rPr>
          <w:rFonts w:ascii="Calibri" w:hAnsi="Calibri" w:cs="Calibri"/>
        </w:rPr>
        <w:t>ise</w:t>
      </w:r>
      <w:r w:rsidRPr="00617BFD">
        <w:rPr>
          <w:rFonts w:ascii="Calibri" w:hAnsi="Calibri" w:cs="Calibri"/>
        </w:rPr>
        <w:t>d these requirements into enterprise-wide Standard Operating Procedures (SOPs) and explicit Work Instructions. This established strict "Hard Gates" for digital compliance, meaning that digital deliverables are tied directly to operational and commercial milestones. Under this system, project teams cannot proceed to subsequent construction phases or receive formal approvals unless their data passes rigorous quality checks within the CDE. These mandates transformed BIM from an optional technological addition into a legally binding contractual requirement for project execution and supply chain participation.</w:t>
      </w:r>
    </w:p>
    <w:p w14:paraId="1F4F22E2" w14:textId="77777777" w:rsidR="00B72B60" w:rsidRPr="00617BFD" w:rsidRDefault="00B72B60" w:rsidP="006772EA">
      <w:pPr>
        <w:spacing w:after="40" w:line="240" w:lineRule="auto"/>
      </w:pPr>
    </w:p>
    <w:p w14:paraId="698842E3" w14:textId="7595FE58" w:rsidR="008D0788" w:rsidRPr="00617BFD" w:rsidRDefault="008D0788"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The Resource Layer</w:t>
      </w:r>
    </w:p>
    <w:p w14:paraId="37D7263B" w14:textId="1BE05D50" w:rsidR="002E3285" w:rsidRPr="00617BFD" w:rsidRDefault="002E3285" w:rsidP="006772EA">
      <w:pPr>
        <w:spacing w:after="40" w:line="240" w:lineRule="auto"/>
        <w:ind w:firstLine="851"/>
        <w:jc w:val="both"/>
        <w:rPr>
          <w:rFonts w:ascii="Calibri" w:hAnsi="Calibri" w:cs="Calibri"/>
        </w:rPr>
      </w:pPr>
      <w:r w:rsidRPr="00617BFD">
        <w:rPr>
          <w:rFonts w:ascii="Calibri" w:hAnsi="Calibri" w:cs="Calibri"/>
        </w:rPr>
        <w:t>To prevent "compliance fatigue", where project teams fail due to the overwhelming administrative burden of defining new workflows, the central authority developed the Resource Layer. This layer provided all active projects with central</w:t>
      </w:r>
      <w:r w:rsidR="005053AB" w:rsidRPr="00617BFD">
        <w:rPr>
          <w:rFonts w:ascii="Calibri" w:hAnsi="Calibri" w:cs="Calibri"/>
        </w:rPr>
        <w:t>ise</w:t>
      </w:r>
      <w:r w:rsidRPr="00617BFD">
        <w:rPr>
          <w:rFonts w:ascii="Calibri" w:hAnsi="Calibri" w:cs="Calibri"/>
        </w:rPr>
        <w:t>d, "Plug-and-Play" technical enablers. By distributing standard</w:t>
      </w:r>
      <w:r w:rsidR="005053AB" w:rsidRPr="00617BFD">
        <w:rPr>
          <w:rFonts w:ascii="Calibri" w:hAnsi="Calibri" w:cs="Calibri"/>
        </w:rPr>
        <w:t>ise</w:t>
      </w:r>
      <w:r w:rsidRPr="00617BFD">
        <w:rPr>
          <w:rFonts w:ascii="Calibri" w:hAnsi="Calibri" w:cs="Calibri"/>
        </w:rPr>
        <w:t>d BIM Execution Plan (BEP) templates</w:t>
      </w:r>
      <w:r w:rsidR="00F152B8" w:rsidRPr="00617BFD">
        <w:rPr>
          <w:rFonts w:ascii="Calibri" w:hAnsi="Calibri" w:cs="Calibri"/>
        </w:rPr>
        <w:t xml:space="preserve"> and</w:t>
      </w:r>
      <w:r w:rsidRPr="00617BFD">
        <w:rPr>
          <w:rFonts w:ascii="Calibri" w:hAnsi="Calibri" w:cs="Calibri"/>
        </w:rPr>
        <w:t xml:space="preserve"> Exchange Information Requirements (EIR), the enterprise ensured that both legacy projects and newly onboarded contractors could rapidly establish semantic and geometric data attribution without having to design the digital architecture from scratch.</w:t>
      </w:r>
    </w:p>
    <w:p w14:paraId="6DC995E4" w14:textId="77777777" w:rsidR="008D0788" w:rsidRPr="00617BFD" w:rsidRDefault="008D0788" w:rsidP="006772EA">
      <w:pPr>
        <w:spacing w:after="40" w:line="240" w:lineRule="auto"/>
        <w:rPr>
          <w:rFonts w:ascii="Calibri" w:hAnsi="Calibri" w:cs="Calibri"/>
        </w:rPr>
      </w:pPr>
    </w:p>
    <w:p w14:paraId="63749F19" w14:textId="40A98702" w:rsidR="000D0068" w:rsidRPr="00617BFD" w:rsidRDefault="000D0068"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The Validation Layer</w:t>
      </w:r>
    </w:p>
    <w:p w14:paraId="021B56DE" w14:textId="341F382F" w:rsidR="000D0068" w:rsidRPr="00617BFD" w:rsidRDefault="00A85F60" w:rsidP="006772EA">
      <w:pPr>
        <w:spacing w:after="40" w:line="240" w:lineRule="auto"/>
        <w:ind w:firstLine="851"/>
        <w:jc w:val="both"/>
        <w:rPr>
          <w:rFonts w:ascii="Calibri" w:hAnsi="Calibri" w:cs="Calibri"/>
        </w:rPr>
      </w:pPr>
      <w:r w:rsidRPr="00617BFD">
        <w:rPr>
          <w:rFonts w:ascii="Calibri" w:hAnsi="Calibri" w:cs="Calibri"/>
        </w:rPr>
        <w:t>While the Regulatory and Resource layers establish the rules and tools, the Validation Layer ensures continuous operational alignment. To accurately measure corporate digital maturity, the enterprise employs a multi-tiered evaluation strategy</w:t>
      </w:r>
      <w:r w:rsidR="00A749E7" w:rsidRPr="00617BFD">
        <w:rPr>
          <w:rFonts w:ascii="Calibri" w:hAnsi="Calibri" w:cs="Calibri"/>
        </w:rPr>
        <w:t>.</w:t>
      </w:r>
      <w:r w:rsidR="003D4590">
        <w:rPr>
          <w:rFonts w:ascii="Calibri" w:hAnsi="Calibri" w:cs="Calibri"/>
        </w:rPr>
        <w:t xml:space="preserve"> </w:t>
      </w:r>
      <w:r w:rsidR="003D4590" w:rsidRPr="003D4590">
        <w:rPr>
          <w:rFonts w:ascii="Calibri" w:hAnsi="Calibri" w:cs="Calibri"/>
        </w:rPr>
        <w:t xml:space="preserve">In addition to these two metrics, the Validation </w:t>
      </w:r>
      <w:r w:rsidR="003D4590" w:rsidRPr="003D4590">
        <w:rPr>
          <w:rFonts w:ascii="Calibri" w:hAnsi="Calibri" w:cs="Calibri"/>
        </w:rPr>
        <w:lastRenderedPageBreak/>
        <w:t>Layer draws on a supplementary Cost-Benefit Analysis (CBA) conducted at project level, comparing each project's digital investment (BIM software, hardware, and personnel costs) against quantifiable downstream benefits such as reduced rework, faster procurement cycles, or schedule compression.</w:t>
      </w:r>
    </w:p>
    <w:p w14:paraId="03672489" w14:textId="77777777" w:rsidR="00A85F60" w:rsidRPr="00617BFD" w:rsidRDefault="00A85F60" w:rsidP="006772EA">
      <w:pPr>
        <w:spacing w:after="40" w:line="240" w:lineRule="auto"/>
        <w:jc w:val="both"/>
        <w:rPr>
          <w:rFonts w:ascii="Calibri" w:hAnsi="Calibri" w:cs="Calibri"/>
        </w:rPr>
      </w:pPr>
    </w:p>
    <w:p w14:paraId="5518ABE0" w14:textId="49588370" w:rsidR="00A85F60" w:rsidRPr="00617BFD" w:rsidRDefault="00C95218" w:rsidP="0052171B">
      <w:pPr>
        <w:pStyle w:val="ListParagraph"/>
        <w:numPr>
          <w:ilvl w:val="2"/>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The Quantitative Metric: The DC Parameter</w:t>
      </w:r>
    </w:p>
    <w:p w14:paraId="6FF60354" w14:textId="77777777" w:rsidR="00695D8A" w:rsidRPr="00617BFD" w:rsidRDefault="00695D8A" w:rsidP="00695D8A">
      <w:pPr>
        <w:spacing w:after="40" w:line="240" w:lineRule="auto"/>
        <w:ind w:firstLine="851"/>
        <w:jc w:val="both"/>
        <w:rPr>
          <w:rFonts w:ascii="Calibri" w:hAnsi="Calibri" w:cs="Calibri"/>
        </w:rPr>
      </w:pPr>
      <w:r w:rsidRPr="00617BFD">
        <w:rPr>
          <w:rFonts w:ascii="Calibri" w:hAnsi="Calibri" w:cs="Calibri"/>
        </w:rPr>
        <w:t>The primary metric is a continuous tracking cycle utilising a weighted, 110-point scoring system applied monthly. To reflect the realities of construction, the parameter evaluates 8 distinct pillars, prioritising core engineering over administrative tasks:</w:t>
      </w:r>
    </w:p>
    <w:p w14:paraId="4BEA8E06" w14:textId="77777777" w:rsidR="00695D8A" w:rsidRPr="00617BFD" w:rsidRDefault="00695D8A" w:rsidP="00695D8A">
      <w:pPr>
        <w:pStyle w:val="ListParagraph"/>
        <w:numPr>
          <w:ilvl w:val="0"/>
          <w:numId w:val="5"/>
        </w:numPr>
        <w:spacing w:after="40" w:line="240" w:lineRule="auto"/>
        <w:jc w:val="both"/>
        <w:rPr>
          <w:rFonts w:ascii="Calibri" w:hAnsi="Calibri" w:cs="Calibri"/>
        </w:rPr>
      </w:pPr>
      <w:r w:rsidRPr="00617BFD">
        <w:rPr>
          <w:rFonts w:ascii="Calibri" w:hAnsi="Calibri" w:cs="Calibri"/>
        </w:rPr>
        <w:t xml:space="preserve">The Foundation (31 points): This group establishes the prerequisites for modelling. It consists of (1) </w:t>
      </w:r>
      <w:r w:rsidRPr="00617BFD">
        <w:rPr>
          <w:rFonts w:ascii="Calibri" w:hAnsi="Calibri" w:cs="Calibri"/>
          <w:i/>
          <w:iCs/>
        </w:rPr>
        <w:t>Standard/Governance Compliance</w:t>
      </w:r>
      <w:r w:rsidRPr="00617BFD">
        <w:rPr>
          <w:rFonts w:ascii="Calibri" w:hAnsi="Calibri" w:cs="Calibri"/>
        </w:rPr>
        <w:t xml:space="preserve"> (16 points) to ensure legal documentation is approved and complies with corporate and external standards, and (2) </w:t>
      </w:r>
      <w:r w:rsidRPr="00617BFD">
        <w:rPr>
          <w:rFonts w:ascii="Calibri" w:hAnsi="Calibri" w:cs="Calibri"/>
          <w:i/>
          <w:iCs/>
        </w:rPr>
        <w:t>Digital Survey</w:t>
      </w:r>
      <w:r w:rsidRPr="00617BFD">
        <w:rPr>
          <w:rFonts w:ascii="Calibri" w:hAnsi="Calibri" w:cs="Calibri"/>
        </w:rPr>
        <w:t xml:space="preserve"> (15 points) to topography via photogrammetry.</w:t>
      </w:r>
    </w:p>
    <w:p w14:paraId="0057543A" w14:textId="77777777" w:rsidR="00695D8A" w:rsidRPr="00617BFD" w:rsidRDefault="00695D8A" w:rsidP="00695D8A">
      <w:pPr>
        <w:pStyle w:val="ListParagraph"/>
        <w:numPr>
          <w:ilvl w:val="0"/>
          <w:numId w:val="5"/>
        </w:numPr>
        <w:spacing w:after="40" w:line="240" w:lineRule="auto"/>
        <w:jc w:val="both"/>
        <w:rPr>
          <w:rFonts w:ascii="Calibri" w:hAnsi="Calibri" w:cs="Calibri"/>
        </w:rPr>
      </w:pPr>
      <w:r w:rsidRPr="00617BFD">
        <w:rPr>
          <w:rFonts w:ascii="Calibri" w:hAnsi="Calibri" w:cs="Calibri"/>
        </w:rPr>
        <w:t xml:space="preserve">The Core Engine (39 points): Functioning as the central data source for all downstream BIM applications, (3) </w:t>
      </w:r>
      <w:r w:rsidRPr="00617BFD">
        <w:rPr>
          <w:rFonts w:ascii="Calibri" w:hAnsi="Calibri" w:cs="Calibri"/>
          <w:i/>
          <w:iCs/>
        </w:rPr>
        <w:t>Digital Engineering</w:t>
      </w:r>
      <w:r w:rsidRPr="00617BFD">
        <w:rPr>
          <w:rFonts w:ascii="Calibri" w:hAnsi="Calibri" w:cs="Calibri"/>
        </w:rPr>
        <w:t xml:space="preserve"> (39 points) holds the highest individual weight. This ensures the enterprise's primary focus remains firmly on 3D geometric accuracy, spatial coordination, and Level of Information Need (LOIN) population, without which subsequent 4D and 5D integrations would be impossible.</w:t>
      </w:r>
    </w:p>
    <w:p w14:paraId="3146D298" w14:textId="77777777" w:rsidR="00695D8A" w:rsidRPr="00617BFD" w:rsidRDefault="00695D8A" w:rsidP="00695D8A">
      <w:pPr>
        <w:pStyle w:val="ListParagraph"/>
        <w:numPr>
          <w:ilvl w:val="0"/>
          <w:numId w:val="5"/>
        </w:numPr>
        <w:spacing w:after="40" w:line="240" w:lineRule="auto"/>
        <w:jc w:val="both"/>
        <w:rPr>
          <w:rFonts w:ascii="Calibri" w:hAnsi="Calibri" w:cs="Calibri"/>
        </w:rPr>
      </w:pPr>
      <w:r w:rsidRPr="00617BFD">
        <w:rPr>
          <w:rFonts w:ascii="Calibri" w:hAnsi="Calibri" w:cs="Calibri"/>
        </w:rPr>
        <w:t xml:space="preserve">Operational Integration (30 points): This group measures how well the 3D model is utilised for downstream project management. It is distributed across (4) </w:t>
      </w:r>
      <w:r w:rsidRPr="00617BFD">
        <w:rPr>
          <w:rFonts w:ascii="Calibri" w:hAnsi="Calibri" w:cs="Calibri"/>
          <w:i/>
          <w:iCs/>
        </w:rPr>
        <w:t>Digital Project Monitoring</w:t>
      </w:r>
      <w:r w:rsidRPr="00617BFD">
        <w:rPr>
          <w:rFonts w:ascii="Calibri" w:hAnsi="Calibri" w:cs="Calibri"/>
        </w:rPr>
        <w:t xml:space="preserve"> (13 points) which integrates a Project Management Information System (PMIS) dashboard, real-time CCTV site surveillance, and 4D schedule simulations, (5) </w:t>
      </w:r>
      <w:r w:rsidRPr="00617BFD">
        <w:rPr>
          <w:rFonts w:ascii="Calibri" w:hAnsi="Calibri" w:cs="Calibri"/>
          <w:i/>
          <w:iCs/>
        </w:rPr>
        <w:t>Document Management System</w:t>
      </w:r>
      <w:r w:rsidRPr="00617BFD">
        <w:rPr>
          <w:rFonts w:ascii="Calibri" w:hAnsi="Calibri" w:cs="Calibri"/>
        </w:rPr>
        <w:t xml:space="preserve"> (10 points) for CDE workflow compliance, and (6) </w:t>
      </w:r>
      <w:r w:rsidRPr="00617BFD">
        <w:rPr>
          <w:rFonts w:ascii="Calibri" w:hAnsi="Calibri" w:cs="Calibri"/>
          <w:i/>
          <w:iCs/>
        </w:rPr>
        <w:t>Digital Procurement</w:t>
      </w:r>
      <w:r w:rsidRPr="00617BFD">
        <w:rPr>
          <w:rFonts w:ascii="Calibri" w:hAnsi="Calibri" w:cs="Calibri"/>
        </w:rPr>
        <w:t xml:space="preserve"> (7 points) for 5D procurement extraction.</w:t>
      </w:r>
    </w:p>
    <w:p w14:paraId="0509DA6E" w14:textId="77777777" w:rsidR="00695D8A" w:rsidRDefault="00695D8A" w:rsidP="00695D8A">
      <w:pPr>
        <w:pStyle w:val="ListParagraph"/>
        <w:numPr>
          <w:ilvl w:val="0"/>
          <w:numId w:val="5"/>
        </w:numPr>
        <w:spacing w:after="40" w:line="240" w:lineRule="auto"/>
        <w:jc w:val="both"/>
        <w:rPr>
          <w:rFonts w:ascii="Calibri" w:hAnsi="Calibri" w:cs="Calibri"/>
        </w:rPr>
      </w:pPr>
      <w:r w:rsidRPr="00617BFD">
        <w:rPr>
          <w:rFonts w:ascii="Calibri" w:hAnsi="Calibri" w:cs="Calibri"/>
        </w:rPr>
        <w:t xml:space="preserve">Added Value (10 Bonus points): Recognising that not all projects possess the budget for specialised technology, (7) </w:t>
      </w:r>
      <w:r w:rsidRPr="00617BFD">
        <w:rPr>
          <w:rFonts w:ascii="Calibri" w:hAnsi="Calibri" w:cs="Calibri"/>
          <w:i/>
          <w:iCs/>
        </w:rPr>
        <w:t>Digital Advanced Equipment</w:t>
      </w:r>
      <w:r w:rsidRPr="00617BFD">
        <w:rPr>
          <w:rFonts w:ascii="Calibri" w:hAnsi="Calibri" w:cs="Calibri"/>
        </w:rPr>
        <w:t xml:space="preserve"> (5 points) and (8) </w:t>
      </w:r>
      <w:r w:rsidRPr="00617BFD">
        <w:rPr>
          <w:rFonts w:ascii="Calibri" w:hAnsi="Calibri" w:cs="Calibri"/>
          <w:i/>
          <w:iCs/>
        </w:rPr>
        <w:t>Digital Quality Control</w:t>
      </w:r>
      <w:r w:rsidRPr="00617BFD">
        <w:rPr>
          <w:rFonts w:ascii="Calibri" w:hAnsi="Calibri" w:cs="Calibri"/>
        </w:rPr>
        <w:t xml:space="preserve"> (5 points) function as bonus metrics. This ensures standard projects are not penalised for lacking tools like VR or intelligent compaction, while complex projects are rewarded for pushing technological boundaries.</w:t>
      </w:r>
    </w:p>
    <w:p w14:paraId="4BF9AD46" w14:textId="337D5D3A" w:rsidR="000D0068" w:rsidRPr="00617BFD" w:rsidRDefault="007A1AEE" w:rsidP="006772EA">
      <w:pPr>
        <w:spacing w:after="40" w:line="240" w:lineRule="auto"/>
        <w:ind w:firstLine="851"/>
        <w:rPr>
          <w:rFonts w:ascii="Calibri" w:hAnsi="Calibri" w:cs="Calibri"/>
        </w:rPr>
      </w:pPr>
      <w:r w:rsidRPr="00617BFD">
        <w:rPr>
          <w:rFonts w:ascii="Calibri" w:hAnsi="Calibri" w:cs="Calibri"/>
        </w:rPr>
        <w:t>By structuring the parameter with a maximum score of 110, the enterprise's target baseline of 80% acts as a rigorous but highly attainable "Glide Path"</w:t>
      </w:r>
      <w:r w:rsidR="00E32DF9" w:rsidRPr="00617BFD">
        <w:rPr>
          <w:rFonts w:ascii="Calibri" w:hAnsi="Calibri" w:cs="Calibri"/>
        </w:rPr>
        <w:t>.</w:t>
      </w:r>
    </w:p>
    <w:p w14:paraId="38293693" w14:textId="77777777" w:rsidR="007A1AEE" w:rsidRPr="00617BFD" w:rsidRDefault="007A1AEE" w:rsidP="006772EA">
      <w:pPr>
        <w:spacing w:after="40" w:line="240" w:lineRule="auto"/>
        <w:ind w:firstLine="851"/>
        <w:rPr>
          <w:rFonts w:ascii="Calibri" w:hAnsi="Calibri" w:cs="Calibri"/>
        </w:rPr>
      </w:pPr>
    </w:p>
    <w:p w14:paraId="582A9A95" w14:textId="354DA318" w:rsidR="007A1AEE" w:rsidRPr="00617BFD" w:rsidRDefault="006A7ECE" w:rsidP="006772EA">
      <w:pPr>
        <w:pStyle w:val="ListParagraph"/>
        <w:numPr>
          <w:ilvl w:val="2"/>
          <w:numId w:val="1"/>
        </w:numPr>
        <w:spacing w:after="40" w:line="240" w:lineRule="auto"/>
        <w:ind w:left="709" w:hanging="709"/>
        <w:rPr>
          <w:rFonts w:ascii="Calibri" w:hAnsi="Calibri" w:cs="Calibri"/>
          <w:b/>
          <w:bCs/>
          <w:sz w:val="28"/>
          <w:szCs w:val="28"/>
        </w:rPr>
      </w:pPr>
      <w:r w:rsidRPr="00617BFD">
        <w:rPr>
          <w:rFonts w:ascii="Calibri" w:hAnsi="Calibri" w:cs="Calibri"/>
          <w:b/>
          <w:bCs/>
          <w:sz w:val="28"/>
          <w:szCs w:val="28"/>
        </w:rPr>
        <w:t>The Qualitative Metric: ISO 19650 Audits</w:t>
      </w:r>
    </w:p>
    <w:p w14:paraId="6FBDE918" w14:textId="16A573B8" w:rsidR="007A1AEE" w:rsidRPr="00617BFD" w:rsidRDefault="004551C9" w:rsidP="006772EA">
      <w:pPr>
        <w:spacing w:after="40" w:line="240" w:lineRule="auto"/>
        <w:ind w:firstLine="851"/>
        <w:jc w:val="both"/>
        <w:rPr>
          <w:rFonts w:ascii="Calibri" w:hAnsi="Calibri" w:cs="Calibri"/>
        </w:rPr>
      </w:pPr>
      <w:r w:rsidRPr="00617BFD">
        <w:rPr>
          <w:rFonts w:ascii="Calibri" w:hAnsi="Calibri" w:cs="Calibri"/>
        </w:rPr>
        <w:t xml:space="preserve">To ensure internal DC Parameter scores correlate with international best practices, the enterprise conducts a qualitative auditing cycle. This involves rigorous internal preparatory reviews that </w:t>
      </w:r>
      <w:r w:rsidR="00B24CD3" w:rsidRPr="00617BFD">
        <w:rPr>
          <w:rFonts w:ascii="Calibri" w:hAnsi="Calibri" w:cs="Calibri"/>
        </w:rPr>
        <w:t>end</w:t>
      </w:r>
      <w:r w:rsidRPr="00617BFD">
        <w:rPr>
          <w:rFonts w:ascii="Calibri" w:hAnsi="Calibri" w:cs="Calibri"/>
        </w:rPr>
        <w:t xml:space="preserve"> in a formal, external surveillance audit conducted by an accredited third party</w:t>
      </w:r>
      <w:r w:rsidR="00775F2D" w:rsidRPr="00617BFD">
        <w:rPr>
          <w:rFonts w:ascii="Calibri" w:hAnsi="Calibri" w:cs="Calibri"/>
        </w:rPr>
        <w:t xml:space="preserve"> on a targeted sample of high-complexity projects</w:t>
      </w:r>
      <w:r w:rsidRPr="00617BFD">
        <w:rPr>
          <w:rFonts w:ascii="Calibri" w:hAnsi="Calibri" w:cs="Calibri"/>
        </w:rPr>
        <w:t xml:space="preserve">. This dual-layered approach guarantees that projects are not </w:t>
      </w:r>
      <w:r w:rsidR="00B82F16" w:rsidRPr="00617BFD">
        <w:rPr>
          <w:rFonts w:ascii="Calibri" w:hAnsi="Calibri" w:cs="Calibri"/>
        </w:rPr>
        <w:t>simply</w:t>
      </w:r>
      <w:r w:rsidRPr="00617BFD">
        <w:rPr>
          <w:rFonts w:ascii="Calibri" w:hAnsi="Calibri" w:cs="Calibri"/>
        </w:rPr>
        <w:t xml:space="preserve"> checking boxes to pass a monthly internal review, but are actively maintaining the rigorous Information Management standards mandated by ISO 19650 Parts 1, 2, and 5.</w:t>
      </w:r>
    </w:p>
    <w:p w14:paraId="288BAB1A" w14:textId="77777777" w:rsidR="007A1AEE" w:rsidRPr="00617BFD" w:rsidRDefault="007A1AEE" w:rsidP="006772EA">
      <w:pPr>
        <w:spacing w:after="40" w:line="240" w:lineRule="auto"/>
        <w:ind w:firstLine="851"/>
        <w:rPr>
          <w:rFonts w:ascii="Calibri" w:hAnsi="Calibri" w:cs="Calibri"/>
        </w:rPr>
      </w:pPr>
    </w:p>
    <w:p w14:paraId="0239CA95" w14:textId="40A8F507" w:rsidR="001523AF" w:rsidRPr="00617BFD" w:rsidRDefault="00A42FA3"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Organi</w:t>
      </w:r>
      <w:r w:rsidR="00E83E7B" w:rsidRPr="00617BFD">
        <w:rPr>
          <w:rFonts w:ascii="Calibri" w:hAnsi="Calibri" w:cs="Calibri"/>
          <w:b/>
          <w:bCs/>
          <w:sz w:val="28"/>
          <w:szCs w:val="28"/>
        </w:rPr>
        <w:t>s</w:t>
      </w:r>
      <w:r w:rsidRPr="00617BFD">
        <w:rPr>
          <w:rFonts w:ascii="Calibri" w:hAnsi="Calibri" w:cs="Calibri"/>
          <w:b/>
          <w:bCs/>
          <w:sz w:val="28"/>
          <w:szCs w:val="28"/>
        </w:rPr>
        <w:t>ational Scope and Project Typology</w:t>
      </w:r>
    </w:p>
    <w:p w14:paraId="0F406F39" w14:textId="64D261A6" w:rsidR="00B127AA" w:rsidRPr="00617BFD" w:rsidRDefault="00B127AA" w:rsidP="006772EA">
      <w:pPr>
        <w:spacing w:after="40" w:line="240" w:lineRule="auto"/>
        <w:ind w:firstLine="851"/>
        <w:jc w:val="both"/>
        <w:rPr>
          <w:rFonts w:ascii="Calibri" w:hAnsi="Calibri" w:cs="Calibri"/>
        </w:rPr>
      </w:pPr>
      <w:r w:rsidRPr="00617BFD">
        <w:rPr>
          <w:rFonts w:ascii="Calibri" w:hAnsi="Calibri" w:cs="Calibri"/>
        </w:rPr>
        <w:t>To test the viability of the Governance Triad, the central authority deployed the framework across a portfolio of 60 active construction-phase projects. To accurately assess the impact of the central</w:t>
      </w:r>
      <w:r w:rsidR="005053AB" w:rsidRPr="00617BFD">
        <w:rPr>
          <w:rFonts w:ascii="Calibri" w:hAnsi="Calibri" w:cs="Calibri"/>
        </w:rPr>
        <w:t>ise</w:t>
      </w:r>
      <w:r w:rsidRPr="00617BFD">
        <w:rPr>
          <w:rFonts w:ascii="Calibri" w:hAnsi="Calibri" w:cs="Calibri"/>
        </w:rPr>
        <w:t>d mandates, the evaluation required segmenting the portfolio by contract maturity. The enterprise classified the 60 projects into two distinct operational typologies:</w:t>
      </w:r>
    </w:p>
    <w:p w14:paraId="19F2A90B" w14:textId="2A1BCE75" w:rsidR="00813794" w:rsidRPr="00617BFD" w:rsidRDefault="00813794" w:rsidP="000B672F">
      <w:pPr>
        <w:pStyle w:val="ListParagraph"/>
        <w:numPr>
          <w:ilvl w:val="0"/>
          <w:numId w:val="6"/>
        </w:numPr>
        <w:spacing w:after="40" w:line="240" w:lineRule="auto"/>
        <w:ind w:left="709" w:hanging="283"/>
        <w:jc w:val="both"/>
        <w:rPr>
          <w:rFonts w:ascii="Calibri" w:hAnsi="Calibri" w:cs="Calibri"/>
        </w:rPr>
      </w:pPr>
      <w:r w:rsidRPr="00617BFD">
        <w:rPr>
          <w:rFonts w:ascii="Calibri" w:hAnsi="Calibri" w:cs="Calibri"/>
          <w:b/>
          <w:bCs/>
        </w:rPr>
        <w:lastRenderedPageBreak/>
        <w:t>Legacy Projects</w:t>
      </w:r>
      <w:r w:rsidRPr="00617BFD">
        <w:rPr>
          <w:rFonts w:ascii="Calibri" w:hAnsi="Calibri" w:cs="Calibri"/>
        </w:rPr>
        <w:t xml:space="preserve">: Existing projects initiated prior to 2025. These projects possessed </w:t>
      </w:r>
      <w:r w:rsidR="00CF77A9" w:rsidRPr="00617BFD">
        <w:rPr>
          <w:rFonts w:ascii="Calibri" w:hAnsi="Calibri" w:cs="Calibri"/>
        </w:rPr>
        <w:t>deep-rooted</w:t>
      </w:r>
      <w:r w:rsidRPr="00617BFD">
        <w:rPr>
          <w:rFonts w:ascii="Calibri" w:hAnsi="Calibri" w:cs="Calibri"/>
        </w:rPr>
        <w:t>, decentral</w:t>
      </w:r>
      <w:r w:rsidR="005053AB" w:rsidRPr="00617BFD">
        <w:rPr>
          <w:rFonts w:ascii="Calibri" w:hAnsi="Calibri" w:cs="Calibri"/>
        </w:rPr>
        <w:t>ise</w:t>
      </w:r>
      <w:r w:rsidRPr="00617BFD">
        <w:rPr>
          <w:rFonts w:ascii="Calibri" w:hAnsi="Calibri" w:cs="Calibri"/>
        </w:rPr>
        <w:t>d BIM habits, meaning their primary friction point was unlearning fragmented processes to comply with the new central</w:t>
      </w:r>
      <w:r w:rsidR="005053AB" w:rsidRPr="00617BFD">
        <w:rPr>
          <w:rFonts w:ascii="Calibri" w:hAnsi="Calibri" w:cs="Calibri"/>
        </w:rPr>
        <w:t>ise</w:t>
      </w:r>
      <w:r w:rsidRPr="00617BFD">
        <w:rPr>
          <w:rFonts w:ascii="Calibri" w:hAnsi="Calibri" w:cs="Calibri"/>
        </w:rPr>
        <w:t xml:space="preserve">d CDE </w:t>
      </w:r>
      <w:r w:rsidR="00F311EE" w:rsidRPr="00617BFD">
        <w:rPr>
          <w:rFonts w:ascii="Calibri" w:hAnsi="Calibri" w:cs="Calibri"/>
        </w:rPr>
        <w:t>framework</w:t>
      </w:r>
      <w:r w:rsidRPr="00617BFD">
        <w:rPr>
          <w:rFonts w:ascii="Calibri" w:hAnsi="Calibri" w:cs="Calibri"/>
        </w:rPr>
        <w:t>.</w:t>
      </w:r>
    </w:p>
    <w:p w14:paraId="2D6EBAE3" w14:textId="2BC53BDF" w:rsidR="00D6057A" w:rsidRPr="00617BFD" w:rsidRDefault="003F21EC" w:rsidP="000B672F">
      <w:pPr>
        <w:pStyle w:val="ListParagraph"/>
        <w:numPr>
          <w:ilvl w:val="0"/>
          <w:numId w:val="6"/>
        </w:numPr>
        <w:spacing w:after="40" w:line="240" w:lineRule="auto"/>
        <w:ind w:left="709" w:hanging="283"/>
        <w:jc w:val="both"/>
        <w:rPr>
          <w:rFonts w:ascii="Calibri" w:hAnsi="Calibri" w:cs="Calibri"/>
        </w:rPr>
      </w:pPr>
      <w:r w:rsidRPr="00617BFD">
        <w:rPr>
          <w:rFonts w:ascii="Calibri" w:hAnsi="Calibri" w:cs="Calibri"/>
          <w:b/>
          <w:bCs/>
        </w:rPr>
        <w:t>New Projects</w:t>
      </w:r>
      <w:r w:rsidRPr="00617BFD">
        <w:rPr>
          <w:rFonts w:ascii="Calibri" w:hAnsi="Calibri" w:cs="Calibri"/>
        </w:rPr>
        <w:t>: Newly contracted projects subjected to the Governance Triad from day one. These projects served as the ultimate test of the Resource Layer, measuring how fast a project could scale when provided with standard</w:t>
      </w:r>
      <w:r w:rsidR="005053AB" w:rsidRPr="00617BFD">
        <w:rPr>
          <w:rFonts w:ascii="Calibri" w:hAnsi="Calibri" w:cs="Calibri"/>
        </w:rPr>
        <w:t>ise</w:t>
      </w:r>
      <w:r w:rsidRPr="00617BFD">
        <w:rPr>
          <w:rFonts w:ascii="Calibri" w:hAnsi="Calibri" w:cs="Calibri"/>
        </w:rPr>
        <w:t>d templates immediately upon mobili</w:t>
      </w:r>
      <w:r w:rsidR="00266E0C" w:rsidRPr="00617BFD">
        <w:rPr>
          <w:rFonts w:ascii="Calibri" w:hAnsi="Calibri" w:cs="Calibri"/>
        </w:rPr>
        <w:t>s</w:t>
      </w:r>
      <w:r w:rsidRPr="00617BFD">
        <w:rPr>
          <w:rFonts w:ascii="Calibri" w:hAnsi="Calibri" w:cs="Calibri"/>
        </w:rPr>
        <w:t>ation.</w:t>
      </w:r>
    </w:p>
    <w:p w14:paraId="35FCDFCA" w14:textId="101D8EA6" w:rsidR="00691503" w:rsidRPr="00617BFD" w:rsidRDefault="00CC7617" w:rsidP="006772EA">
      <w:pPr>
        <w:spacing w:after="40" w:line="240" w:lineRule="auto"/>
        <w:ind w:firstLine="851"/>
        <w:jc w:val="both"/>
        <w:rPr>
          <w:rFonts w:ascii="Calibri" w:hAnsi="Calibri" w:cs="Calibri"/>
        </w:rPr>
      </w:pPr>
      <w:r w:rsidRPr="00617BFD">
        <w:rPr>
          <w:rFonts w:ascii="Calibri" w:hAnsi="Calibri" w:cs="Calibri"/>
        </w:rPr>
        <w:t xml:space="preserve">Furthermore, this </w:t>
      </w:r>
      <w:r w:rsidR="00BF6D08" w:rsidRPr="00617BFD">
        <w:rPr>
          <w:rFonts w:ascii="Calibri" w:hAnsi="Calibri" w:cs="Calibri"/>
        </w:rPr>
        <w:t>60-project</w:t>
      </w:r>
      <w:r w:rsidRPr="00617BFD">
        <w:rPr>
          <w:rFonts w:ascii="Calibri" w:hAnsi="Calibri" w:cs="Calibri"/>
        </w:rPr>
        <w:t xml:space="preserve"> portfolio spanned four distinct corporate divisions, requiring the framework to accommodate a unique dual-role dynamic. The Infrastructure, Vertical Building, and Engineering, Procurement, and Construction (EPC) divisions operated as main responsible for technical execution. Conversely, the Toll Road Developer division operated strictly as an asset owner</w:t>
      </w:r>
      <w:r w:rsidR="0038204B" w:rsidRPr="00617BFD">
        <w:rPr>
          <w:rFonts w:ascii="Calibri" w:hAnsi="Calibri" w:cs="Calibri"/>
        </w:rPr>
        <w:t xml:space="preserve"> r</w:t>
      </w:r>
      <w:r w:rsidRPr="00617BFD">
        <w:rPr>
          <w:rFonts w:ascii="Calibri" w:hAnsi="Calibri" w:cs="Calibri"/>
        </w:rPr>
        <w:t>esponsible for governing data for downstream facility management.</w:t>
      </w:r>
    </w:p>
    <w:p w14:paraId="2E1C4214" w14:textId="77777777" w:rsidR="003F21EC" w:rsidRPr="00617BFD" w:rsidRDefault="003F21EC" w:rsidP="006772EA">
      <w:pPr>
        <w:spacing w:after="40" w:line="240" w:lineRule="auto"/>
        <w:rPr>
          <w:rFonts w:ascii="Calibri" w:hAnsi="Calibri" w:cs="Calibri"/>
        </w:rPr>
      </w:pPr>
    </w:p>
    <w:p w14:paraId="40495490" w14:textId="1BD24BEA" w:rsidR="00FB64DD" w:rsidRPr="00617BFD" w:rsidRDefault="00200458" w:rsidP="0052171B">
      <w:pPr>
        <w:pStyle w:val="ListParagraph"/>
        <w:numPr>
          <w:ilvl w:val="0"/>
          <w:numId w:val="1"/>
        </w:numPr>
        <w:spacing w:after="40" w:line="240" w:lineRule="auto"/>
        <w:ind w:left="284" w:hanging="284"/>
        <w:rPr>
          <w:rFonts w:ascii="Calibri" w:hAnsi="Calibri" w:cs="Calibri"/>
          <w:b/>
          <w:bCs/>
          <w:sz w:val="28"/>
          <w:szCs w:val="28"/>
        </w:rPr>
      </w:pPr>
      <w:r w:rsidRPr="00617BFD">
        <w:rPr>
          <w:rFonts w:ascii="Calibri" w:hAnsi="Calibri" w:cs="Calibri"/>
          <w:b/>
          <w:bCs/>
          <w:sz w:val="28"/>
          <w:szCs w:val="28"/>
        </w:rPr>
        <w:t>IMPLEMENTATION AND RESULTS</w:t>
      </w:r>
    </w:p>
    <w:p w14:paraId="7AF0ACB9" w14:textId="77777777" w:rsidR="00CC7617" w:rsidRPr="00617BFD" w:rsidRDefault="00CC7617" w:rsidP="006772EA">
      <w:pPr>
        <w:spacing w:after="40" w:line="240" w:lineRule="auto"/>
        <w:rPr>
          <w:rFonts w:ascii="Calibri" w:hAnsi="Calibri" w:cs="Calibri"/>
        </w:rPr>
      </w:pPr>
    </w:p>
    <w:p w14:paraId="502E6BC3" w14:textId="005AD6FD" w:rsidR="008E2496" w:rsidRPr="00617BFD" w:rsidRDefault="00056253"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Enterprise Performance: Cohort Analysis</w:t>
      </w:r>
    </w:p>
    <w:p w14:paraId="04F741D7" w14:textId="094FAC37" w:rsidR="009F062E" w:rsidRPr="00617BFD" w:rsidRDefault="009F062E" w:rsidP="006772EA">
      <w:pPr>
        <w:spacing w:after="40" w:line="240" w:lineRule="auto"/>
        <w:ind w:firstLine="851"/>
        <w:jc w:val="both"/>
        <w:rPr>
          <w:rFonts w:ascii="Calibri" w:hAnsi="Calibri" w:cs="Calibri"/>
        </w:rPr>
      </w:pPr>
      <w:r w:rsidRPr="00617BFD">
        <w:rPr>
          <w:rFonts w:ascii="Calibri" w:hAnsi="Calibri" w:cs="Calibri"/>
        </w:rPr>
        <w:t>When evaluating the April–December 2025 deployment window across the 60-project portfolio, the data was segmented into the two operational cohorts</w:t>
      </w:r>
      <w:r w:rsidR="00D00A89" w:rsidRPr="00617BFD">
        <w:rPr>
          <w:rFonts w:ascii="Calibri" w:hAnsi="Calibri" w:cs="Calibri"/>
        </w:rPr>
        <w:t>:</w:t>
      </w:r>
      <w:r w:rsidRPr="00617BFD">
        <w:rPr>
          <w:rFonts w:ascii="Calibri" w:hAnsi="Calibri" w:cs="Calibri"/>
        </w:rPr>
        <w:t xml:space="preserve"> Cohort A (Legacy Projects, n=52) and Cohort B (New Projects, n=8).</w:t>
      </w:r>
    </w:p>
    <w:p w14:paraId="5EC44EDA" w14:textId="77777777" w:rsidR="00D337D6" w:rsidRPr="00617BFD" w:rsidRDefault="00D337D6" w:rsidP="006772EA">
      <w:pPr>
        <w:spacing w:after="40" w:line="240" w:lineRule="auto"/>
        <w:ind w:firstLine="851"/>
        <w:jc w:val="both"/>
        <w:rPr>
          <w:rFonts w:ascii="Calibri" w:hAnsi="Calibri" w:cs="Calibri"/>
        </w:rPr>
      </w:pPr>
    </w:p>
    <w:p w14:paraId="4E1EDB5A" w14:textId="2A577AAF" w:rsidR="008A396A" w:rsidRPr="00617BFD" w:rsidRDefault="008A396A" w:rsidP="005B5432">
      <w:pPr>
        <w:spacing w:after="40" w:line="240" w:lineRule="auto"/>
        <w:jc w:val="center"/>
        <w:rPr>
          <w:rFonts w:ascii="Calibri" w:hAnsi="Calibri" w:cs="Calibri"/>
        </w:rPr>
      </w:pPr>
      <w:r w:rsidRPr="00617BFD">
        <w:rPr>
          <w:rFonts w:ascii="Calibri" w:hAnsi="Calibri" w:cs="Calibri"/>
          <w:b/>
          <w:bCs/>
          <w:noProof/>
        </w:rPr>
        <w:drawing>
          <wp:inline distT="0" distB="0" distL="0" distR="0" wp14:anchorId="790A4E7B" wp14:editId="1FFAD203">
            <wp:extent cx="5579745" cy="1800000"/>
            <wp:effectExtent l="0" t="0" r="1905" b="10160"/>
            <wp:docPr id="125545572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265582" w14:textId="1A0FBC91" w:rsidR="00353275" w:rsidRPr="00617BFD" w:rsidRDefault="00020E7E" w:rsidP="005B5432">
      <w:pPr>
        <w:spacing w:after="40" w:line="240" w:lineRule="auto"/>
        <w:jc w:val="center"/>
        <w:rPr>
          <w:rFonts w:ascii="Calibri" w:hAnsi="Calibri" w:cs="Calibri"/>
          <w:b/>
          <w:bCs/>
        </w:rPr>
      </w:pPr>
      <w:r w:rsidRPr="00617BFD">
        <w:rPr>
          <w:rFonts w:ascii="Calibri" w:hAnsi="Calibri" w:cs="Calibri"/>
          <w:i/>
          <w:iCs/>
          <w:sz w:val="20"/>
          <w:szCs w:val="20"/>
        </w:rPr>
        <w:t>Figure</w:t>
      </w:r>
      <w:r w:rsidR="00353275" w:rsidRPr="00617BFD">
        <w:rPr>
          <w:rFonts w:ascii="Calibri" w:hAnsi="Calibri" w:cs="Calibri"/>
          <w:i/>
          <w:iCs/>
          <w:sz w:val="20"/>
          <w:szCs w:val="20"/>
        </w:rPr>
        <w:t xml:space="preserve"> </w:t>
      </w:r>
      <w:r w:rsidRPr="00617BFD">
        <w:rPr>
          <w:rFonts w:ascii="Calibri" w:hAnsi="Calibri" w:cs="Calibri"/>
          <w:i/>
          <w:iCs/>
          <w:sz w:val="20"/>
          <w:szCs w:val="20"/>
        </w:rPr>
        <w:t>2</w:t>
      </w:r>
      <w:r w:rsidR="00353275" w:rsidRPr="00617BFD">
        <w:rPr>
          <w:rFonts w:ascii="Calibri" w:hAnsi="Calibri" w:cs="Calibri"/>
          <w:i/>
          <w:iCs/>
          <w:sz w:val="20"/>
          <w:szCs w:val="20"/>
        </w:rPr>
        <w:t xml:space="preserve">: </w:t>
      </w:r>
      <w:r w:rsidR="00E877F7" w:rsidRPr="00617BFD">
        <w:rPr>
          <w:rFonts w:ascii="Calibri" w:hAnsi="Calibri" w:cs="Calibri"/>
          <w:i/>
          <w:iCs/>
          <w:sz w:val="20"/>
          <w:szCs w:val="20"/>
        </w:rPr>
        <w:t xml:space="preserve">The </w:t>
      </w:r>
      <w:r w:rsidR="00E3762D" w:rsidRPr="00617BFD">
        <w:rPr>
          <w:rFonts w:ascii="Calibri" w:hAnsi="Calibri" w:cs="Calibri"/>
          <w:i/>
          <w:iCs/>
          <w:sz w:val="20"/>
          <w:szCs w:val="20"/>
        </w:rPr>
        <w:t>Enterp</w:t>
      </w:r>
      <w:r w:rsidR="00B77395" w:rsidRPr="00617BFD">
        <w:rPr>
          <w:rFonts w:ascii="Calibri" w:hAnsi="Calibri" w:cs="Calibri"/>
          <w:i/>
          <w:iCs/>
          <w:sz w:val="20"/>
          <w:szCs w:val="20"/>
        </w:rPr>
        <w:t>r</w:t>
      </w:r>
      <w:r w:rsidR="00E3762D" w:rsidRPr="00617BFD">
        <w:rPr>
          <w:rFonts w:ascii="Calibri" w:hAnsi="Calibri" w:cs="Calibri"/>
          <w:i/>
          <w:iCs/>
          <w:sz w:val="20"/>
          <w:szCs w:val="20"/>
        </w:rPr>
        <w:t>ise S-Curve</w:t>
      </w:r>
      <w:r w:rsidR="003B56D1" w:rsidRPr="00617BFD">
        <w:rPr>
          <w:rFonts w:ascii="Calibri" w:hAnsi="Calibri" w:cs="Calibri"/>
          <w:i/>
          <w:iCs/>
          <w:sz w:val="20"/>
          <w:szCs w:val="20"/>
        </w:rPr>
        <w:t xml:space="preserve">, </w:t>
      </w:r>
      <w:r w:rsidR="003B56D1" w:rsidRPr="00617BFD">
        <w:rPr>
          <w:rFonts w:ascii="Calibri" w:hAnsi="Calibri" w:cs="Calibri"/>
          <w:i/>
          <w:sz w:val="20"/>
          <w:szCs w:val="20"/>
        </w:rPr>
        <w:t>illustrating the cumulative digital adoption trajectory based on the 110-point DC Parameter scale.</w:t>
      </w:r>
    </w:p>
    <w:p w14:paraId="560AED6D" w14:textId="77777777" w:rsidR="0067554D" w:rsidRPr="00617BFD" w:rsidRDefault="0067554D" w:rsidP="006772EA">
      <w:pPr>
        <w:spacing w:after="40" w:line="240" w:lineRule="auto"/>
        <w:ind w:firstLine="851"/>
        <w:jc w:val="both"/>
        <w:rPr>
          <w:rFonts w:ascii="Calibri" w:hAnsi="Calibri" w:cs="Calibri"/>
        </w:rPr>
      </w:pPr>
    </w:p>
    <w:p w14:paraId="1401901D" w14:textId="2F627722" w:rsidR="008E2496" w:rsidRPr="00617BFD" w:rsidRDefault="009F062E" w:rsidP="006772EA">
      <w:pPr>
        <w:spacing w:after="40" w:line="240" w:lineRule="auto"/>
        <w:ind w:firstLine="851"/>
        <w:jc w:val="both"/>
        <w:rPr>
          <w:rFonts w:ascii="Calibri" w:hAnsi="Calibri" w:cs="Calibri"/>
        </w:rPr>
      </w:pPr>
      <w:r w:rsidRPr="00617BFD">
        <w:rPr>
          <w:rFonts w:ascii="Calibri" w:hAnsi="Calibri" w:cs="Calibri"/>
        </w:rPr>
        <w:t>As illustrated in the Enterprise S-Curve</w:t>
      </w:r>
      <w:r w:rsidR="0054632C" w:rsidRPr="00617BFD">
        <w:rPr>
          <w:rFonts w:ascii="Calibri" w:hAnsi="Calibri" w:cs="Calibri"/>
        </w:rPr>
        <w:t xml:space="preserve"> (Fig. 2)</w:t>
      </w:r>
      <w:r w:rsidRPr="00617BFD">
        <w:rPr>
          <w:rFonts w:ascii="Calibri" w:hAnsi="Calibri" w:cs="Calibri"/>
        </w:rPr>
        <w:t>, the trajectory of Cohort B provides the strongest validation for the framework's Resource Layer. Lacking historical BIM infrastructure, these newly contracted projects predictably recorded initial compliance scores reflecting the early stages of the Glide Path, beginning with an average baseline of 41.65% in May. However, the provision of central</w:t>
      </w:r>
      <w:r w:rsidR="005053AB" w:rsidRPr="00617BFD">
        <w:rPr>
          <w:rFonts w:ascii="Calibri" w:hAnsi="Calibri" w:cs="Calibri"/>
        </w:rPr>
        <w:t>ise</w:t>
      </w:r>
      <w:r w:rsidRPr="00617BFD">
        <w:rPr>
          <w:rFonts w:ascii="Calibri" w:hAnsi="Calibri" w:cs="Calibri"/>
        </w:rPr>
        <w:t xml:space="preserve">d Plug-and-Play templates enabled a steep, aggressive trajectory of digital adoption, reaching 84.41% by December. Simultaneously, the continuous monthly auditing forced the </w:t>
      </w:r>
      <w:r w:rsidR="00095FB9">
        <w:rPr>
          <w:rFonts w:ascii="Calibri" w:hAnsi="Calibri" w:cs="Calibri"/>
        </w:rPr>
        <w:t>extensive</w:t>
      </w:r>
      <w:r w:rsidRPr="00617BFD">
        <w:rPr>
          <w:rFonts w:ascii="Calibri" w:hAnsi="Calibri" w:cs="Calibri"/>
        </w:rPr>
        <w:t xml:space="preserve"> backlog of Cohort A projects to correct their fragmented historical data, pushing their 70.14% April baseline steadily upward to 86.69%. By December 2025, both cohorts successfully converged above the mandated target, yielding a blended enterprise total average of 86.47%.</w:t>
      </w:r>
    </w:p>
    <w:p w14:paraId="7631F41F" w14:textId="77777777" w:rsidR="004D074C" w:rsidRPr="00617BFD" w:rsidRDefault="004D074C" w:rsidP="006772EA">
      <w:pPr>
        <w:spacing w:after="40" w:line="240" w:lineRule="auto"/>
        <w:ind w:firstLine="851"/>
        <w:jc w:val="both"/>
        <w:rPr>
          <w:rFonts w:ascii="Calibri" w:hAnsi="Calibri" w:cs="Calibri"/>
        </w:rPr>
      </w:pPr>
    </w:p>
    <w:p w14:paraId="61A4ADAE" w14:textId="2F98039E" w:rsidR="00A75F22" w:rsidRPr="00617BFD" w:rsidRDefault="001F247E"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Divisional Variance and Legacy Correction</w:t>
      </w:r>
    </w:p>
    <w:p w14:paraId="610FBCD9" w14:textId="0D077EDC" w:rsidR="00D27DDA" w:rsidRPr="00617BFD" w:rsidRDefault="00D27DDA" w:rsidP="006772EA">
      <w:pPr>
        <w:spacing w:after="40" w:line="240" w:lineRule="auto"/>
        <w:ind w:firstLine="851"/>
        <w:jc w:val="both"/>
        <w:rPr>
          <w:rFonts w:ascii="Calibri" w:hAnsi="Calibri" w:cs="Calibri"/>
        </w:rPr>
      </w:pPr>
      <w:r w:rsidRPr="00617BFD">
        <w:rPr>
          <w:rFonts w:ascii="Calibri" w:hAnsi="Calibri" w:cs="Calibri"/>
        </w:rPr>
        <w:t>To ensure the central</w:t>
      </w:r>
      <w:r w:rsidR="005053AB" w:rsidRPr="00617BFD">
        <w:rPr>
          <w:rFonts w:ascii="Calibri" w:hAnsi="Calibri" w:cs="Calibri"/>
        </w:rPr>
        <w:t>ise</w:t>
      </w:r>
      <w:r w:rsidRPr="00617BFD">
        <w:rPr>
          <w:rFonts w:ascii="Calibri" w:hAnsi="Calibri" w:cs="Calibri"/>
        </w:rPr>
        <w:t xml:space="preserve">d framework was viable across highly diverse operational models, the December 2025 snapshot evaluated compliance across four distinct corporate divisions. The </w:t>
      </w:r>
      <w:r w:rsidRPr="00617BFD">
        <w:rPr>
          <w:rFonts w:ascii="Calibri" w:hAnsi="Calibri" w:cs="Calibri"/>
        </w:rPr>
        <w:lastRenderedPageBreak/>
        <w:t>portfolio distribution highlights the reality of enterprise-scale digital transformation</w:t>
      </w:r>
      <w:r w:rsidR="0071499F" w:rsidRPr="00617BFD">
        <w:rPr>
          <w:rFonts w:ascii="Calibri" w:hAnsi="Calibri" w:cs="Calibri"/>
        </w:rPr>
        <w:t>,</w:t>
      </w:r>
      <w:r w:rsidRPr="00617BFD">
        <w:rPr>
          <w:rFonts w:ascii="Calibri" w:hAnsi="Calibri" w:cs="Calibri"/>
        </w:rPr>
        <w:t xml:space="preserve"> managing a</w:t>
      </w:r>
      <w:r w:rsidR="00214913">
        <w:rPr>
          <w:rFonts w:ascii="Calibri" w:hAnsi="Calibri" w:cs="Calibri"/>
        </w:rPr>
        <w:t>n</w:t>
      </w:r>
      <w:r w:rsidRPr="00617BFD">
        <w:rPr>
          <w:rFonts w:ascii="Calibri" w:hAnsi="Calibri" w:cs="Calibri"/>
        </w:rPr>
        <w:t xml:space="preserve"> </w:t>
      </w:r>
      <w:r w:rsidR="00095FB9">
        <w:rPr>
          <w:rFonts w:ascii="Calibri" w:hAnsi="Calibri" w:cs="Calibri"/>
        </w:rPr>
        <w:t>extensive</w:t>
      </w:r>
      <w:r w:rsidRPr="00617BFD">
        <w:rPr>
          <w:rFonts w:ascii="Calibri" w:hAnsi="Calibri" w:cs="Calibri"/>
        </w:rPr>
        <w:t xml:space="preserve"> backlog of legacy work alongside strategic injections of newly contracted work.</w:t>
      </w:r>
    </w:p>
    <w:p w14:paraId="186E7DB1" w14:textId="77777777" w:rsidR="005B5432" w:rsidRPr="00617BFD" w:rsidRDefault="005B5432" w:rsidP="006772EA">
      <w:pPr>
        <w:spacing w:after="40" w:line="240" w:lineRule="auto"/>
        <w:ind w:firstLine="851"/>
        <w:jc w:val="both"/>
        <w:rPr>
          <w:rFonts w:ascii="Calibri" w:hAnsi="Calibri" w:cs="Calibri"/>
        </w:rPr>
      </w:pPr>
    </w:p>
    <w:p w14:paraId="06750685" w14:textId="3EE2546D" w:rsidR="00E86FB2" w:rsidRPr="00617BFD" w:rsidRDefault="00E86FB2" w:rsidP="005B5432">
      <w:pPr>
        <w:spacing w:after="40" w:line="240" w:lineRule="auto"/>
        <w:jc w:val="center"/>
        <w:rPr>
          <w:rFonts w:ascii="Calibri" w:hAnsi="Calibri" w:cs="Calibri"/>
        </w:rPr>
      </w:pPr>
      <w:r w:rsidRPr="00617BFD">
        <w:rPr>
          <w:rFonts w:ascii="Calibri" w:hAnsi="Calibri" w:cs="Calibri"/>
          <w:noProof/>
        </w:rPr>
        <w:drawing>
          <wp:inline distT="0" distB="0" distL="0" distR="0" wp14:anchorId="0BCDBFA7" wp14:editId="303C4058">
            <wp:extent cx="5580000" cy="1620000"/>
            <wp:effectExtent l="0" t="0" r="1905" b="18415"/>
            <wp:docPr id="202562215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F45B87" w14:textId="5F250755" w:rsidR="005B5432" w:rsidRPr="00617BFD" w:rsidRDefault="00020E7E" w:rsidP="006856F6">
      <w:pPr>
        <w:spacing w:after="40" w:line="240" w:lineRule="auto"/>
        <w:jc w:val="center"/>
        <w:rPr>
          <w:rFonts w:ascii="Calibri" w:hAnsi="Calibri" w:cs="Calibri"/>
          <w:i/>
          <w:iCs/>
          <w:sz w:val="20"/>
          <w:szCs w:val="20"/>
        </w:rPr>
      </w:pPr>
      <w:r w:rsidRPr="00617BFD">
        <w:rPr>
          <w:rFonts w:ascii="Calibri" w:hAnsi="Calibri" w:cs="Calibri"/>
          <w:i/>
          <w:iCs/>
          <w:sz w:val="20"/>
          <w:szCs w:val="20"/>
        </w:rPr>
        <w:t>Figure 3</w:t>
      </w:r>
      <w:r w:rsidR="005B5432" w:rsidRPr="00617BFD">
        <w:rPr>
          <w:rFonts w:ascii="Calibri" w:hAnsi="Calibri" w:cs="Calibri"/>
          <w:i/>
          <w:iCs/>
          <w:sz w:val="20"/>
          <w:szCs w:val="20"/>
        </w:rPr>
        <w:t xml:space="preserve">: </w:t>
      </w:r>
      <w:r w:rsidR="001672ED" w:rsidRPr="00617BFD">
        <w:rPr>
          <w:rFonts w:ascii="Calibri" w:hAnsi="Calibri" w:cs="Calibri"/>
          <w:i/>
          <w:iCs/>
          <w:sz w:val="20"/>
          <w:szCs w:val="20"/>
        </w:rPr>
        <w:t xml:space="preserve">Divisional </w:t>
      </w:r>
      <w:r w:rsidR="00BC47AD" w:rsidRPr="00617BFD">
        <w:rPr>
          <w:rFonts w:ascii="Calibri" w:hAnsi="Calibri" w:cs="Calibri"/>
          <w:i/>
          <w:iCs/>
          <w:sz w:val="20"/>
          <w:szCs w:val="20"/>
        </w:rPr>
        <w:t>p</w:t>
      </w:r>
      <w:r w:rsidR="001672ED" w:rsidRPr="00617BFD">
        <w:rPr>
          <w:rFonts w:ascii="Calibri" w:hAnsi="Calibri" w:cs="Calibri"/>
          <w:i/>
          <w:iCs/>
          <w:sz w:val="20"/>
          <w:szCs w:val="20"/>
        </w:rPr>
        <w:t>erformance</w:t>
      </w:r>
      <w:r w:rsidR="000F246F" w:rsidRPr="00617BFD">
        <w:rPr>
          <w:rFonts w:ascii="Calibri" w:hAnsi="Calibri" w:cs="Calibri"/>
          <w:i/>
          <w:iCs/>
          <w:sz w:val="20"/>
          <w:szCs w:val="20"/>
        </w:rPr>
        <w:t>, reflecting final compliance percentages derived from the 110-point tracking parameter.</w:t>
      </w:r>
    </w:p>
    <w:p w14:paraId="44751013" w14:textId="77777777" w:rsidR="00D9627D" w:rsidRPr="007715A9" w:rsidRDefault="00D9627D" w:rsidP="007715A9">
      <w:pPr>
        <w:spacing w:after="40" w:line="240" w:lineRule="auto"/>
        <w:rPr>
          <w:rFonts w:ascii="Calibri" w:hAnsi="Calibri" w:cs="Calibri"/>
        </w:rPr>
      </w:pPr>
    </w:p>
    <w:p w14:paraId="40792981" w14:textId="508BED25" w:rsidR="00D27DDA" w:rsidRPr="00617BFD" w:rsidRDefault="00D27DDA" w:rsidP="006772EA">
      <w:pPr>
        <w:spacing w:after="40" w:line="240" w:lineRule="auto"/>
        <w:ind w:firstLine="851"/>
        <w:jc w:val="both"/>
        <w:rPr>
          <w:rFonts w:ascii="Calibri" w:hAnsi="Calibri" w:cs="Calibri"/>
        </w:rPr>
      </w:pPr>
      <w:r w:rsidRPr="00617BFD">
        <w:rPr>
          <w:rFonts w:ascii="Calibri" w:hAnsi="Calibri" w:cs="Calibri"/>
        </w:rPr>
        <w:t>The divisional performance data</w:t>
      </w:r>
      <w:r w:rsidR="002E24A4" w:rsidRPr="00617BFD">
        <w:rPr>
          <w:rFonts w:ascii="Calibri" w:hAnsi="Calibri" w:cs="Calibri"/>
        </w:rPr>
        <w:t xml:space="preserve"> (Fig. 3)</w:t>
      </w:r>
      <w:r w:rsidRPr="00617BFD">
        <w:rPr>
          <w:rFonts w:ascii="Calibri" w:hAnsi="Calibri" w:cs="Calibri"/>
        </w:rPr>
        <w:t xml:space="preserve"> reveals consistent high-level adoption across all sectors, though the operational pathways to compliance varied:</w:t>
      </w:r>
    </w:p>
    <w:p w14:paraId="57450101" w14:textId="6AE5E34A" w:rsidR="0091569D" w:rsidRPr="00617BFD" w:rsidRDefault="0091569D" w:rsidP="000B672F">
      <w:pPr>
        <w:pStyle w:val="ListParagraph"/>
        <w:numPr>
          <w:ilvl w:val="0"/>
          <w:numId w:val="7"/>
        </w:numPr>
        <w:spacing w:after="40" w:line="240" w:lineRule="auto"/>
        <w:ind w:left="709" w:hanging="283"/>
        <w:jc w:val="both"/>
        <w:rPr>
          <w:rFonts w:ascii="Calibri" w:hAnsi="Calibri" w:cs="Calibri"/>
        </w:rPr>
      </w:pPr>
      <w:r w:rsidRPr="00617BFD">
        <w:rPr>
          <w:rFonts w:ascii="Calibri" w:hAnsi="Calibri" w:cs="Calibri"/>
          <w:b/>
          <w:bCs/>
        </w:rPr>
        <w:t>The Mixed Portfolios (Infrastructure &amp; Vertical Building):</w:t>
      </w:r>
      <w:r w:rsidRPr="00617BFD">
        <w:rPr>
          <w:rFonts w:ascii="Calibri" w:hAnsi="Calibri" w:cs="Calibri"/>
        </w:rPr>
        <w:t xml:space="preserve"> The Infrastructure division (25 Legacy, 4 New) and Vertical Building division (9 Legacy, 4 New) managed complex, blended portfolios. The timing of their </w:t>
      </w:r>
      <w:r w:rsidR="00773382" w:rsidRPr="00617BFD">
        <w:rPr>
          <w:rFonts w:ascii="Calibri" w:hAnsi="Calibri" w:cs="Calibri"/>
        </w:rPr>
        <w:t>New</w:t>
      </w:r>
      <w:r w:rsidRPr="00617BFD">
        <w:rPr>
          <w:rFonts w:ascii="Calibri" w:hAnsi="Calibri" w:cs="Calibri"/>
        </w:rPr>
        <w:t xml:space="preserve"> </w:t>
      </w:r>
      <w:r w:rsidR="00773382" w:rsidRPr="00617BFD">
        <w:rPr>
          <w:rFonts w:ascii="Calibri" w:hAnsi="Calibri" w:cs="Calibri"/>
        </w:rPr>
        <w:t>P</w:t>
      </w:r>
      <w:r w:rsidRPr="00617BFD">
        <w:rPr>
          <w:rFonts w:ascii="Calibri" w:hAnsi="Calibri" w:cs="Calibri"/>
        </w:rPr>
        <w:t>roject injections further highlights the framework's agility. Vertical Building absorbed its new projects early in the rollout phase (two in May, two in June), allowing a steady integration to their 84.09% final average. Conversely, Infrastructure absorbed a late-stage injection of four new contracts in August. Despite this delayed onboarding, the provision of the standard</w:t>
      </w:r>
      <w:r w:rsidR="005053AB" w:rsidRPr="00617BFD">
        <w:rPr>
          <w:rFonts w:ascii="Calibri" w:hAnsi="Calibri" w:cs="Calibri"/>
        </w:rPr>
        <w:t>ise</w:t>
      </w:r>
      <w:r w:rsidRPr="00617BFD">
        <w:rPr>
          <w:rFonts w:ascii="Calibri" w:hAnsi="Calibri" w:cs="Calibri"/>
        </w:rPr>
        <w:t>d Resource Layer enabled rapid acceleration, elevating these late additions to compliance within just four months and ultimately securing the highest overall divisional average of 88.10%.</w:t>
      </w:r>
    </w:p>
    <w:p w14:paraId="048FB6A0" w14:textId="1D525EC6" w:rsidR="0091569D" w:rsidRPr="00617BFD" w:rsidRDefault="00F12CE8" w:rsidP="000B672F">
      <w:pPr>
        <w:pStyle w:val="ListParagraph"/>
        <w:numPr>
          <w:ilvl w:val="0"/>
          <w:numId w:val="7"/>
        </w:numPr>
        <w:spacing w:after="40" w:line="240" w:lineRule="auto"/>
        <w:ind w:left="709" w:hanging="283"/>
        <w:jc w:val="both"/>
        <w:rPr>
          <w:rFonts w:ascii="Calibri" w:hAnsi="Calibri" w:cs="Calibri"/>
        </w:rPr>
      </w:pPr>
      <w:r w:rsidRPr="00617BFD">
        <w:rPr>
          <w:rFonts w:ascii="Calibri" w:hAnsi="Calibri" w:cs="Calibri"/>
          <w:b/>
          <w:bCs/>
        </w:rPr>
        <w:t>The Legacy Portfolios (EPC &amp; Toll Road Developer):</w:t>
      </w:r>
      <w:r w:rsidRPr="00617BFD">
        <w:rPr>
          <w:rFonts w:ascii="Calibri" w:hAnsi="Calibri" w:cs="Calibri"/>
        </w:rPr>
        <w:t xml:space="preserve"> The EPC (5 projects) and Toll Road Developer (13 projects) divisions serve as critical control groups for legacy correction, as neither division contained any newly onboarded 2025 contracts. The success of these divisions, scoring 86.94% and 86.76% respectively, </w:t>
      </w:r>
      <w:r w:rsidR="00E90479">
        <w:rPr>
          <w:rFonts w:ascii="Calibri" w:hAnsi="Calibri" w:cs="Calibri"/>
        </w:rPr>
        <w:t>provides strong evidence</w:t>
      </w:r>
      <w:r w:rsidRPr="00617BFD">
        <w:rPr>
          <w:rFonts w:ascii="Calibri" w:hAnsi="Calibri" w:cs="Calibri"/>
        </w:rPr>
        <w:t xml:space="preserve"> that the strict implementation of the central</w:t>
      </w:r>
      <w:r w:rsidR="005053AB" w:rsidRPr="00617BFD">
        <w:rPr>
          <w:rFonts w:ascii="Calibri" w:hAnsi="Calibri" w:cs="Calibri"/>
        </w:rPr>
        <w:t>ise</w:t>
      </w:r>
      <w:r w:rsidRPr="00617BFD">
        <w:rPr>
          <w:rFonts w:ascii="Calibri" w:hAnsi="Calibri" w:cs="Calibri"/>
        </w:rPr>
        <w:t>d CDE Hard Gate</w:t>
      </w:r>
      <w:r w:rsidR="008A5DEF" w:rsidRPr="00617BFD">
        <w:rPr>
          <w:rFonts w:ascii="Calibri" w:hAnsi="Calibri" w:cs="Calibri"/>
        </w:rPr>
        <w:t xml:space="preserve">, enforced </w:t>
      </w:r>
      <w:r w:rsidR="00E238B0" w:rsidRPr="00617BFD">
        <w:rPr>
          <w:rFonts w:ascii="Calibri" w:hAnsi="Calibri" w:cs="Calibri"/>
        </w:rPr>
        <w:t>by the continuous tracking of the Validation Layer,</w:t>
      </w:r>
      <w:r w:rsidRPr="00617BFD">
        <w:rPr>
          <w:rFonts w:ascii="Calibri" w:hAnsi="Calibri" w:cs="Calibri"/>
        </w:rPr>
        <w:t xml:space="preserve"> successfully forced existing, </w:t>
      </w:r>
      <w:r w:rsidR="00FA57B8" w:rsidRPr="00617BFD">
        <w:rPr>
          <w:rFonts w:ascii="Calibri" w:hAnsi="Calibri" w:cs="Calibri"/>
        </w:rPr>
        <w:t>deep-rooted</w:t>
      </w:r>
      <w:r w:rsidRPr="00617BFD">
        <w:rPr>
          <w:rFonts w:ascii="Calibri" w:hAnsi="Calibri" w:cs="Calibri"/>
        </w:rPr>
        <w:t xml:space="preserve"> projects to align with the new corporate mandate.</w:t>
      </w:r>
    </w:p>
    <w:p w14:paraId="0D9D3A89" w14:textId="77777777" w:rsidR="007F4688" w:rsidRPr="00617BFD" w:rsidRDefault="007F4688" w:rsidP="006772EA">
      <w:pPr>
        <w:spacing w:after="40" w:line="240" w:lineRule="auto"/>
        <w:jc w:val="both"/>
        <w:rPr>
          <w:rFonts w:ascii="Calibri" w:hAnsi="Calibri" w:cs="Calibri"/>
        </w:rPr>
      </w:pPr>
    </w:p>
    <w:p w14:paraId="2BB4C34B" w14:textId="7F485307" w:rsidR="007F4688" w:rsidRPr="00617BFD" w:rsidRDefault="00C26039"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Operational Friction and Capability Mapping</w:t>
      </w:r>
    </w:p>
    <w:p w14:paraId="5BA1EE94" w14:textId="639FB14C" w:rsidR="0057268A" w:rsidRPr="00617BFD" w:rsidRDefault="0057268A" w:rsidP="0057268A">
      <w:pPr>
        <w:spacing w:after="40" w:line="240" w:lineRule="auto"/>
        <w:ind w:firstLine="851"/>
        <w:jc w:val="both"/>
        <w:rPr>
          <w:rFonts w:ascii="Calibri" w:hAnsi="Calibri" w:cs="Calibri"/>
        </w:rPr>
      </w:pPr>
      <w:r w:rsidRPr="00617BFD">
        <w:rPr>
          <w:rFonts w:ascii="Calibri" w:hAnsi="Calibri" w:cs="Calibri"/>
        </w:rPr>
        <w:t xml:space="preserve">To identify specific systemic challenges, the December 2025 snapshot was visualised across an 8-axis capability map (Fig. 4). Axes representing </w:t>
      </w:r>
      <w:r w:rsidRPr="00617BFD">
        <w:rPr>
          <w:rFonts w:ascii="Calibri" w:hAnsi="Calibri" w:cs="Calibri"/>
          <w:i/>
          <w:iCs/>
        </w:rPr>
        <w:t>Standard/Governance Compliance</w:t>
      </w:r>
      <w:r w:rsidRPr="00617BFD">
        <w:rPr>
          <w:rFonts w:ascii="Calibri" w:hAnsi="Calibri" w:cs="Calibri"/>
        </w:rPr>
        <w:t xml:space="preserve">, </w:t>
      </w:r>
      <w:r w:rsidRPr="00617BFD">
        <w:rPr>
          <w:rFonts w:ascii="Calibri" w:hAnsi="Calibri" w:cs="Calibri"/>
          <w:i/>
          <w:iCs/>
        </w:rPr>
        <w:t>Digital Survey</w:t>
      </w:r>
      <w:r w:rsidRPr="00617BFD">
        <w:rPr>
          <w:rFonts w:ascii="Calibri" w:hAnsi="Calibri" w:cs="Calibri"/>
        </w:rPr>
        <w:t xml:space="preserve">, </w:t>
      </w:r>
      <w:r w:rsidRPr="00617BFD">
        <w:rPr>
          <w:rFonts w:ascii="Calibri" w:hAnsi="Calibri" w:cs="Calibri"/>
          <w:i/>
          <w:iCs/>
        </w:rPr>
        <w:t>Digital Engineering</w:t>
      </w:r>
      <w:r w:rsidRPr="00617BFD">
        <w:rPr>
          <w:rFonts w:ascii="Calibri" w:hAnsi="Calibri" w:cs="Calibri"/>
        </w:rPr>
        <w:t xml:space="preserve">, and </w:t>
      </w:r>
      <w:r w:rsidRPr="00617BFD">
        <w:rPr>
          <w:rFonts w:ascii="Calibri" w:hAnsi="Calibri" w:cs="Calibri"/>
          <w:i/>
          <w:iCs/>
        </w:rPr>
        <w:t>Document Management Systems (DMS)</w:t>
      </w:r>
      <w:r w:rsidRPr="00617BFD">
        <w:rPr>
          <w:rFonts w:ascii="Calibri" w:hAnsi="Calibri" w:cs="Calibri"/>
        </w:rPr>
        <w:t xml:space="preserve"> exhibit strong outward expansion across all divisions. This robust compliance validates the Resource Layer</w:t>
      </w:r>
      <w:r w:rsidR="00F445F0" w:rsidRPr="00617BFD">
        <w:rPr>
          <w:rFonts w:ascii="Calibri" w:hAnsi="Calibri" w:cs="Calibri"/>
        </w:rPr>
        <w:t>;</w:t>
      </w:r>
      <w:r w:rsidRPr="00617BFD">
        <w:rPr>
          <w:rFonts w:ascii="Calibri" w:hAnsi="Calibri" w:cs="Calibri"/>
        </w:rPr>
        <w:t xml:space="preserve"> when project teams are supplied with mandatory templates, semantic and geometric data attribution scales successfully.</w:t>
      </w:r>
    </w:p>
    <w:p w14:paraId="3E61EB35" w14:textId="77777777" w:rsidR="0057268A" w:rsidRPr="00617BFD" w:rsidRDefault="0057268A" w:rsidP="0057268A">
      <w:pPr>
        <w:spacing w:after="40" w:line="240" w:lineRule="auto"/>
        <w:ind w:firstLine="851"/>
        <w:jc w:val="both"/>
        <w:rPr>
          <w:rFonts w:ascii="Calibri" w:hAnsi="Calibri" w:cs="Calibri"/>
        </w:rPr>
      </w:pPr>
      <w:r w:rsidRPr="00617BFD">
        <w:rPr>
          <w:rFonts w:ascii="Calibri" w:hAnsi="Calibri" w:cs="Calibri"/>
        </w:rPr>
        <w:t xml:space="preserve">Conversely, distinct inward contractions at the </w:t>
      </w:r>
      <w:r w:rsidRPr="00617BFD">
        <w:rPr>
          <w:rFonts w:ascii="Calibri" w:hAnsi="Calibri" w:cs="Calibri"/>
          <w:i/>
          <w:iCs/>
        </w:rPr>
        <w:t>Digital Project Monitoring</w:t>
      </w:r>
      <w:r w:rsidRPr="00617BFD">
        <w:rPr>
          <w:rFonts w:ascii="Calibri" w:hAnsi="Calibri" w:cs="Calibri"/>
        </w:rPr>
        <w:t xml:space="preserve"> axis highlight the difficulty of shifting to 4D schedule simulations. Interestingly, while the map shows strong outward expansion at the </w:t>
      </w:r>
      <w:r w:rsidRPr="00617BFD">
        <w:rPr>
          <w:rFonts w:ascii="Calibri" w:hAnsi="Calibri" w:cs="Calibri"/>
          <w:i/>
          <w:iCs/>
        </w:rPr>
        <w:t>Digital Procuremen</w:t>
      </w:r>
      <w:r w:rsidRPr="00617BFD">
        <w:rPr>
          <w:rFonts w:ascii="Calibri" w:hAnsi="Calibri" w:cs="Calibri"/>
        </w:rPr>
        <w:t>t axis, this visual metric masked a critical industry threshold. As triangulated in the subsequent qualitative evaluation, this surface-level score represented a Compliance Trap rather than true commercial integration.</w:t>
      </w:r>
    </w:p>
    <w:p w14:paraId="0B65E793" w14:textId="6C0EFCBD" w:rsidR="00BF29AF" w:rsidRPr="00617BFD" w:rsidRDefault="0057268A" w:rsidP="0057268A">
      <w:pPr>
        <w:spacing w:after="40" w:line="240" w:lineRule="auto"/>
        <w:ind w:firstLine="851"/>
        <w:jc w:val="both"/>
        <w:rPr>
          <w:rFonts w:ascii="Calibri" w:hAnsi="Calibri" w:cs="Calibri"/>
        </w:rPr>
      </w:pPr>
      <w:r w:rsidRPr="00617BFD">
        <w:rPr>
          <w:rFonts w:ascii="Calibri" w:hAnsi="Calibri" w:cs="Calibri"/>
        </w:rPr>
        <w:lastRenderedPageBreak/>
        <w:t xml:space="preserve">Finally, sharp contractions at </w:t>
      </w:r>
      <w:r w:rsidRPr="00617BFD">
        <w:rPr>
          <w:rFonts w:ascii="Calibri" w:hAnsi="Calibri" w:cs="Calibri"/>
          <w:i/>
          <w:iCs/>
        </w:rPr>
        <w:t>Digital Advanced Equipment</w:t>
      </w:r>
      <w:r w:rsidRPr="00617BFD">
        <w:rPr>
          <w:rFonts w:ascii="Calibri" w:hAnsi="Calibri" w:cs="Calibri"/>
        </w:rPr>
        <w:t xml:space="preserve"> and </w:t>
      </w:r>
      <w:r w:rsidRPr="00617BFD">
        <w:rPr>
          <w:rFonts w:ascii="Calibri" w:hAnsi="Calibri" w:cs="Calibri"/>
          <w:i/>
          <w:iCs/>
        </w:rPr>
        <w:t>Digital Quality Control</w:t>
      </w:r>
      <w:r w:rsidRPr="00617BFD">
        <w:rPr>
          <w:rFonts w:ascii="Calibri" w:hAnsi="Calibri" w:cs="Calibri"/>
        </w:rPr>
        <w:t xml:space="preserve">, most notably within the EPC division, </w:t>
      </w:r>
      <w:r w:rsidR="005B6C33">
        <w:rPr>
          <w:rFonts w:ascii="Calibri" w:hAnsi="Calibri" w:cs="Calibri"/>
        </w:rPr>
        <w:t>lend support to</w:t>
      </w:r>
      <w:r w:rsidRPr="00617BFD">
        <w:rPr>
          <w:rFonts w:ascii="Calibri" w:hAnsi="Calibri" w:cs="Calibri"/>
        </w:rPr>
        <w:t xml:space="preserve"> isolating these technologies as "Added Value" metrics. Preventing specialised tools from negatively inflating the core engineering baseline ensures an accurate, equitable assessment of fundamental digital maturity across disparate project scopes.</w:t>
      </w:r>
    </w:p>
    <w:p w14:paraId="04A5B299" w14:textId="77777777" w:rsidR="0057268A" w:rsidRPr="00617BFD" w:rsidRDefault="0057268A" w:rsidP="0057268A">
      <w:pPr>
        <w:spacing w:after="40" w:line="240" w:lineRule="auto"/>
        <w:ind w:firstLine="851"/>
        <w:jc w:val="both"/>
        <w:rPr>
          <w:rFonts w:ascii="Calibri" w:hAnsi="Calibri" w:cs="Calibri"/>
        </w:rPr>
      </w:pPr>
    </w:p>
    <w:p w14:paraId="51B53DC3" w14:textId="31D2E3FA" w:rsidR="005B5432" w:rsidRPr="00617BFD" w:rsidRDefault="005B5432" w:rsidP="005B5432">
      <w:pPr>
        <w:spacing w:after="40" w:line="240" w:lineRule="auto"/>
        <w:jc w:val="center"/>
        <w:rPr>
          <w:rFonts w:ascii="Calibri" w:hAnsi="Calibri" w:cs="Calibri"/>
        </w:rPr>
      </w:pPr>
      <w:r w:rsidRPr="00617BFD">
        <w:rPr>
          <w:rFonts w:ascii="Calibri" w:hAnsi="Calibri" w:cs="Calibri"/>
          <w:noProof/>
        </w:rPr>
        <w:drawing>
          <wp:inline distT="0" distB="0" distL="0" distR="0" wp14:anchorId="0280BF0C" wp14:editId="0F39B05F">
            <wp:extent cx="5399405" cy="1893600"/>
            <wp:effectExtent l="0" t="0" r="10795" b="11430"/>
            <wp:docPr id="42427086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F0FF02" w14:textId="2050D564" w:rsidR="00C64FD4" w:rsidRPr="00617BFD" w:rsidRDefault="00020E7E" w:rsidP="00C64FD4">
      <w:pPr>
        <w:spacing w:after="40" w:line="240" w:lineRule="auto"/>
        <w:jc w:val="center"/>
        <w:rPr>
          <w:rFonts w:ascii="Calibri" w:hAnsi="Calibri" w:cs="Calibri"/>
          <w:i/>
          <w:iCs/>
          <w:sz w:val="20"/>
          <w:szCs w:val="20"/>
        </w:rPr>
      </w:pPr>
      <w:r w:rsidRPr="00617BFD">
        <w:rPr>
          <w:rFonts w:ascii="Calibri" w:hAnsi="Calibri" w:cs="Calibri"/>
          <w:i/>
          <w:iCs/>
          <w:sz w:val="20"/>
          <w:szCs w:val="20"/>
        </w:rPr>
        <w:t>Figure</w:t>
      </w:r>
      <w:r w:rsidR="00C64FD4" w:rsidRPr="00617BFD">
        <w:rPr>
          <w:rFonts w:ascii="Calibri" w:hAnsi="Calibri" w:cs="Calibri"/>
          <w:i/>
          <w:iCs/>
          <w:sz w:val="20"/>
          <w:szCs w:val="20"/>
        </w:rPr>
        <w:t xml:space="preserve"> </w:t>
      </w:r>
      <w:r w:rsidRPr="00617BFD">
        <w:rPr>
          <w:rFonts w:ascii="Calibri" w:hAnsi="Calibri" w:cs="Calibri"/>
          <w:i/>
          <w:iCs/>
          <w:sz w:val="20"/>
          <w:szCs w:val="20"/>
        </w:rPr>
        <w:t>4</w:t>
      </w:r>
      <w:r w:rsidR="00C64FD4" w:rsidRPr="00617BFD">
        <w:rPr>
          <w:rFonts w:ascii="Calibri" w:hAnsi="Calibri" w:cs="Calibri"/>
          <w:i/>
          <w:iCs/>
          <w:sz w:val="20"/>
          <w:szCs w:val="20"/>
        </w:rPr>
        <w:t xml:space="preserve">: </w:t>
      </w:r>
      <w:r w:rsidR="00BC47AD" w:rsidRPr="00617BFD">
        <w:rPr>
          <w:rFonts w:ascii="Calibri" w:hAnsi="Calibri" w:cs="Calibri"/>
          <w:i/>
          <w:iCs/>
          <w:sz w:val="20"/>
          <w:szCs w:val="20"/>
        </w:rPr>
        <w:t>The Capabil</w:t>
      </w:r>
      <w:r w:rsidR="00B77395" w:rsidRPr="00617BFD">
        <w:rPr>
          <w:rFonts w:ascii="Calibri" w:hAnsi="Calibri" w:cs="Calibri"/>
          <w:i/>
          <w:iCs/>
          <w:sz w:val="20"/>
          <w:szCs w:val="20"/>
        </w:rPr>
        <w:t>i</w:t>
      </w:r>
      <w:r w:rsidR="00BC47AD" w:rsidRPr="00617BFD">
        <w:rPr>
          <w:rFonts w:ascii="Calibri" w:hAnsi="Calibri" w:cs="Calibri"/>
          <w:i/>
          <w:iCs/>
          <w:sz w:val="20"/>
          <w:szCs w:val="20"/>
        </w:rPr>
        <w:t>ty Map</w:t>
      </w:r>
      <w:r w:rsidR="00C64FD4" w:rsidRPr="00617BFD">
        <w:rPr>
          <w:rFonts w:ascii="Calibri" w:hAnsi="Calibri" w:cs="Calibri"/>
          <w:i/>
          <w:iCs/>
          <w:sz w:val="20"/>
          <w:szCs w:val="20"/>
        </w:rPr>
        <w:t>.</w:t>
      </w:r>
    </w:p>
    <w:p w14:paraId="5A852DA9" w14:textId="77777777" w:rsidR="00C64FD4" w:rsidRPr="00617BFD" w:rsidRDefault="00C64FD4" w:rsidP="006772EA">
      <w:pPr>
        <w:spacing w:after="40" w:line="240" w:lineRule="auto"/>
        <w:ind w:firstLine="851"/>
        <w:jc w:val="both"/>
        <w:rPr>
          <w:rFonts w:ascii="Calibri" w:hAnsi="Calibri" w:cs="Calibri"/>
        </w:rPr>
      </w:pPr>
    </w:p>
    <w:p w14:paraId="78644CDE" w14:textId="0D1FC7BB" w:rsidR="004F42F4" w:rsidRPr="00617BFD" w:rsidRDefault="00FD18CF"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Qualitative Validation: External ISO 19650 Triangulation</w:t>
      </w:r>
    </w:p>
    <w:p w14:paraId="5F5E2E90" w14:textId="3C28342D" w:rsidR="006D7F9F" w:rsidRPr="00617BFD" w:rsidRDefault="006D7F9F" w:rsidP="006772EA">
      <w:pPr>
        <w:spacing w:after="40" w:line="240" w:lineRule="auto"/>
        <w:ind w:firstLine="851"/>
        <w:jc w:val="both"/>
        <w:rPr>
          <w:rFonts w:ascii="Calibri" w:hAnsi="Calibri" w:cs="Calibri"/>
        </w:rPr>
      </w:pPr>
      <w:r w:rsidRPr="00617BFD">
        <w:rPr>
          <w:rFonts w:ascii="Calibri" w:hAnsi="Calibri" w:cs="Calibri"/>
        </w:rPr>
        <w:t>To ensure the internal DC Parameter scores accurately reflected international best practices, the enterprise's quantitative data was triangulated against a formal external surveillance audit conducted by the BSI in 2025. The audit evaluated highly complex strategic projects against ISO 19650 Parts 1, 2, and 5.</w:t>
      </w:r>
    </w:p>
    <w:p w14:paraId="598C59F7" w14:textId="6AE6E455" w:rsidR="004F42F4" w:rsidRPr="00617BFD" w:rsidRDefault="00FF36EF" w:rsidP="006772EA">
      <w:pPr>
        <w:spacing w:after="40" w:line="240" w:lineRule="auto"/>
        <w:ind w:firstLine="851"/>
        <w:jc w:val="both"/>
        <w:rPr>
          <w:rFonts w:ascii="Calibri" w:hAnsi="Calibri" w:cs="Calibri"/>
        </w:rPr>
      </w:pPr>
      <w:r w:rsidRPr="00FF36EF">
        <w:rPr>
          <w:rFonts w:ascii="Calibri" w:hAnsi="Calibri" w:cs="Calibri"/>
        </w:rPr>
        <w:t>The audit yielded zero non-conformities (0 Major, 0 Minor) and secured continued certification, confirming the Governance Triad's macro-level success. More importantly, it exposed the Compliance Trap that the capability map had masked: while the DC Parameter showed strong expansion for Digital Procurement, auditors issued an Opportunity for Improvement (OFI) noting that 3D models, though authored for 5D material volume quantification, remained structurally disconnected from formal use by QS functions. This confirms that internal metrics track geometric compliance, but external qualitative validation is needed to expose the cultural and operational bottlenecks behind true digital maturity</w:t>
      </w:r>
      <w:r w:rsidR="006D7F9F" w:rsidRPr="00617BFD">
        <w:rPr>
          <w:rFonts w:ascii="Calibri" w:hAnsi="Calibri" w:cs="Calibri"/>
        </w:rPr>
        <w:t>.</w:t>
      </w:r>
    </w:p>
    <w:p w14:paraId="144364BD" w14:textId="77777777" w:rsidR="006D7F9F" w:rsidRPr="00617BFD" w:rsidRDefault="006D7F9F" w:rsidP="006772EA">
      <w:pPr>
        <w:spacing w:after="40" w:line="240" w:lineRule="auto"/>
        <w:ind w:firstLine="851"/>
        <w:jc w:val="both"/>
        <w:rPr>
          <w:rFonts w:ascii="Calibri" w:hAnsi="Calibri" w:cs="Calibri"/>
        </w:rPr>
      </w:pPr>
    </w:p>
    <w:p w14:paraId="1B117521" w14:textId="15453A17" w:rsidR="006D7F9F" w:rsidRPr="00617BFD" w:rsidRDefault="004D5B4A" w:rsidP="0052171B">
      <w:pPr>
        <w:pStyle w:val="ListParagraph"/>
        <w:numPr>
          <w:ilvl w:val="0"/>
          <w:numId w:val="1"/>
        </w:numPr>
        <w:spacing w:after="40" w:line="240" w:lineRule="auto"/>
        <w:ind w:left="284" w:hanging="284"/>
        <w:rPr>
          <w:rFonts w:ascii="Calibri" w:hAnsi="Calibri" w:cs="Calibri"/>
          <w:b/>
          <w:bCs/>
          <w:sz w:val="28"/>
          <w:szCs w:val="28"/>
        </w:rPr>
      </w:pPr>
      <w:r w:rsidRPr="00617BFD">
        <w:rPr>
          <w:rFonts w:ascii="Calibri" w:hAnsi="Calibri" w:cs="Calibri"/>
          <w:b/>
          <w:bCs/>
          <w:sz w:val="28"/>
          <w:szCs w:val="28"/>
        </w:rPr>
        <w:t>DISCUSSION</w:t>
      </w:r>
    </w:p>
    <w:p w14:paraId="3A9A7D87" w14:textId="77777777" w:rsidR="00FD3DF8" w:rsidRPr="00617BFD" w:rsidRDefault="00FD3DF8" w:rsidP="00760CA3">
      <w:pPr>
        <w:spacing w:after="40" w:line="240" w:lineRule="auto"/>
        <w:jc w:val="both"/>
        <w:rPr>
          <w:rFonts w:ascii="Calibri" w:hAnsi="Calibri" w:cs="Calibri"/>
        </w:rPr>
      </w:pPr>
    </w:p>
    <w:p w14:paraId="1B0F727F" w14:textId="4C9F4B0C" w:rsidR="00FD3DF8" w:rsidRPr="00617BFD" w:rsidRDefault="00610231"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The Intelligent Client vs. The Execution Arm</w:t>
      </w:r>
    </w:p>
    <w:p w14:paraId="1AE38FBA" w14:textId="52C04992" w:rsidR="00B13269" w:rsidRPr="00617BFD" w:rsidRDefault="00062970" w:rsidP="006772EA">
      <w:pPr>
        <w:spacing w:after="40" w:line="240" w:lineRule="auto"/>
        <w:ind w:firstLine="851"/>
        <w:jc w:val="both"/>
        <w:rPr>
          <w:rFonts w:ascii="Calibri" w:hAnsi="Calibri" w:cs="Calibri"/>
        </w:rPr>
      </w:pPr>
      <w:r w:rsidRPr="00617BFD">
        <w:rPr>
          <w:rFonts w:ascii="Calibri" w:hAnsi="Calibri" w:cs="Calibri"/>
        </w:rPr>
        <w:t>To accurately contextualise the inherent operational friction of the 2025 deployment, a</w:t>
      </w:r>
      <w:r w:rsidR="00B13269" w:rsidRPr="00617BFD">
        <w:rPr>
          <w:rFonts w:ascii="Calibri" w:hAnsi="Calibri" w:cs="Calibri"/>
        </w:rPr>
        <w:t xml:space="preserve"> critical operational nuance of the portfolio is the distinction in divisional mandates. While Infrastructure, Vertical Building, and EPC function as main contractors, the Toll Road Developer division operates strictly as an asset owner.</w:t>
      </w:r>
    </w:p>
    <w:p w14:paraId="5138B2FF" w14:textId="0ED7BB2A" w:rsidR="00E97812" w:rsidRPr="00617BFD" w:rsidRDefault="00E97812" w:rsidP="006772EA">
      <w:pPr>
        <w:spacing w:after="40" w:line="240" w:lineRule="auto"/>
        <w:ind w:firstLine="851"/>
        <w:jc w:val="both"/>
        <w:rPr>
          <w:rFonts w:ascii="Calibri" w:hAnsi="Calibri" w:cs="Calibri"/>
        </w:rPr>
      </w:pPr>
      <w:r w:rsidRPr="00617BFD">
        <w:rPr>
          <w:rFonts w:ascii="Calibri" w:hAnsi="Calibri" w:cs="Calibri"/>
        </w:rPr>
        <w:t xml:space="preserve">The Toll Road Developer division's high compliance score (86.76%) validates their capability as an “Intelligent Client”. Their high scores in </w:t>
      </w:r>
      <w:r w:rsidRPr="00617BFD">
        <w:rPr>
          <w:rFonts w:ascii="Calibri" w:hAnsi="Calibri" w:cs="Calibri"/>
          <w:i/>
          <w:iCs/>
        </w:rPr>
        <w:t>Standard Governance</w:t>
      </w:r>
      <w:r w:rsidRPr="00617BFD">
        <w:rPr>
          <w:rFonts w:ascii="Calibri" w:hAnsi="Calibri" w:cs="Calibri"/>
        </w:rPr>
        <w:t xml:space="preserve"> and </w:t>
      </w:r>
      <w:r w:rsidRPr="00617BFD">
        <w:rPr>
          <w:rFonts w:ascii="Calibri" w:hAnsi="Calibri" w:cs="Calibri"/>
          <w:i/>
          <w:iCs/>
        </w:rPr>
        <w:t>DMS</w:t>
      </w:r>
      <w:r w:rsidRPr="00617BFD">
        <w:rPr>
          <w:rFonts w:ascii="Calibri" w:hAnsi="Calibri" w:cs="Calibri"/>
        </w:rPr>
        <w:t xml:space="preserve"> </w:t>
      </w:r>
      <w:r w:rsidR="005B6C33">
        <w:rPr>
          <w:rFonts w:ascii="Calibri" w:hAnsi="Calibri" w:cs="Calibri"/>
        </w:rPr>
        <w:t>indicate</w:t>
      </w:r>
      <w:r w:rsidRPr="00617BFD">
        <w:rPr>
          <w:rFonts w:ascii="Calibri" w:hAnsi="Calibri" w:cs="Calibri"/>
        </w:rPr>
        <w:t xml:space="preserve"> that the centralised Resource Layer effectively standardised how the enterprise acts as an owner, demanding high-quality data from supply chains. Crucially, this divisional performance reinforces a fundamental reality of digital transformation</w:t>
      </w:r>
      <w:r w:rsidR="00A4038F" w:rsidRPr="00617BFD">
        <w:rPr>
          <w:rFonts w:ascii="Calibri" w:hAnsi="Calibri" w:cs="Calibri"/>
        </w:rPr>
        <w:t>:</w:t>
      </w:r>
      <w:r w:rsidRPr="00617BFD">
        <w:rPr>
          <w:rFonts w:ascii="Calibri" w:hAnsi="Calibri" w:cs="Calibri"/>
        </w:rPr>
        <w:t xml:space="preserve"> strict Appointing Party mandates are the primary driver of supply chain compliance. Without this top-down demand, project-level execution tends to stagnate. Conversely, the contractor divisions bear the heavy burden of technical execution.</w:t>
      </w:r>
    </w:p>
    <w:p w14:paraId="35B8F1A2" w14:textId="77777777" w:rsidR="00B13269" w:rsidRPr="00617BFD" w:rsidRDefault="00B13269" w:rsidP="006772EA">
      <w:pPr>
        <w:spacing w:after="40" w:line="240" w:lineRule="auto"/>
        <w:ind w:firstLine="851"/>
        <w:jc w:val="both"/>
        <w:rPr>
          <w:rFonts w:ascii="Calibri" w:hAnsi="Calibri" w:cs="Calibri"/>
        </w:rPr>
      </w:pPr>
    </w:p>
    <w:p w14:paraId="35D843F7" w14:textId="3EA7F5F5" w:rsidR="00B13269" w:rsidRPr="00617BFD" w:rsidRDefault="00C70D04"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Overcoming the Compliance Trap</w:t>
      </w:r>
    </w:p>
    <w:p w14:paraId="2C8FA957" w14:textId="6AA5B672" w:rsidR="00E616DE" w:rsidRPr="00617BFD" w:rsidRDefault="003759CE" w:rsidP="006772EA">
      <w:pPr>
        <w:spacing w:after="40" w:line="240" w:lineRule="auto"/>
        <w:ind w:firstLine="851"/>
        <w:jc w:val="both"/>
        <w:rPr>
          <w:rFonts w:ascii="Calibri" w:hAnsi="Calibri" w:cs="Calibri"/>
        </w:rPr>
      </w:pPr>
      <w:r w:rsidRPr="00617BFD">
        <w:rPr>
          <w:rFonts w:ascii="Calibri" w:hAnsi="Calibri" w:cs="Calibri"/>
        </w:rPr>
        <w:t xml:space="preserve">Inward contractions at the </w:t>
      </w:r>
      <w:r w:rsidRPr="00617BFD">
        <w:rPr>
          <w:rFonts w:ascii="Calibri" w:hAnsi="Calibri" w:cs="Calibri"/>
          <w:i/>
          <w:iCs/>
        </w:rPr>
        <w:t>Digital Project Monitoring</w:t>
      </w:r>
      <w:r w:rsidRPr="00617BFD">
        <w:rPr>
          <w:rFonts w:ascii="Calibri" w:hAnsi="Calibri" w:cs="Calibri"/>
        </w:rPr>
        <w:t xml:space="preserve"> axis and qualitative evaluations revealed that although 3D models were authored and stored in the CDE, they were predominantly treated as static administrative documents to pass audits, a phenomenon known as the Compliance Trap. Internal Cost-Benefit Analysis (CBA) corroborated this, classifying these projects as "Digital Implemented but Not Moneti</w:t>
      </w:r>
      <w:r w:rsidR="00CF2DD6">
        <w:rPr>
          <w:rFonts w:ascii="Calibri" w:hAnsi="Calibri" w:cs="Calibri"/>
        </w:rPr>
        <w:t>s</w:t>
      </w:r>
      <w:r w:rsidRPr="00617BFD">
        <w:rPr>
          <w:rFonts w:ascii="Calibri" w:hAnsi="Calibri" w:cs="Calibri"/>
        </w:rPr>
        <w:t>ed”. Because digital outputs were disconnected from formal control workflows, the investment yielded zero or negative Return on Investment (ROI). Models had not yet become mandatory daily references for site superintendents, highlighting the cultural difficulty of shifting from 2D paper-centric workflows to dynamic 4D control.</w:t>
      </w:r>
    </w:p>
    <w:p w14:paraId="3B572633" w14:textId="77777777" w:rsidR="00292F88" w:rsidRPr="00617BFD" w:rsidRDefault="00292F88" w:rsidP="006772EA">
      <w:pPr>
        <w:spacing w:after="40" w:line="240" w:lineRule="auto"/>
        <w:ind w:firstLine="851"/>
        <w:jc w:val="both"/>
        <w:rPr>
          <w:rFonts w:ascii="Calibri" w:hAnsi="Calibri" w:cs="Calibri"/>
        </w:rPr>
      </w:pPr>
    </w:p>
    <w:p w14:paraId="028B4A93" w14:textId="6BAE59DC" w:rsidR="00292F88" w:rsidRPr="00617BFD" w:rsidRDefault="00391A49"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The 5D Procurement Bottleneck</w:t>
      </w:r>
    </w:p>
    <w:p w14:paraId="41268D13" w14:textId="592C35C8" w:rsidR="00292F88" w:rsidRPr="00617BFD" w:rsidRDefault="00334492" w:rsidP="006772EA">
      <w:pPr>
        <w:spacing w:after="40" w:line="240" w:lineRule="auto"/>
        <w:ind w:firstLine="851"/>
        <w:jc w:val="both"/>
        <w:rPr>
          <w:rFonts w:ascii="Calibri" w:hAnsi="Calibri" w:cs="Calibri"/>
        </w:rPr>
      </w:pPr>
      <w:r w:rsidRPr="00617BFD">
        <w:rPr>
          <w:rFonts w:ascii="Calibri" w:hAnsi="Calibri" w:cs="Calibri"/>
        </w:rPr>
        <w:t>Digital Procurement was the most significant friction point across contractor divisions. Although projects met the mandated ≤ 2% volume deviation between BIM 5D MTO and manual QS calculations, this compliance masked a severe "Key Personnel Bottleneck</w:t>
      </w:r>
      <w:r w:rsidR="0065110E" w:rsidRPr="00617BFD">
        <w:rPr>
          <w:rFonts w:ascii="Calibri" w:hAnsi="Calibri" w:cs="Calibri"/>
        </w:rPr>
        <w:t>”</w:t>
      </w:r>
      <w:r w:rsidRPr="00617BFD">
        <w:rPr>
          <w:rFonts w:ascii="Calibri" w:hAnsi="Calibri" w:cs="Calibri"/>
        </w:rPr>
        <w:t>. 5D implementation was frequently isolated to a few "BIM Experts</w:t>
      </w:r>
      <w:r w:rsidR="0065110E" w:rsidRPr="00617BFD">
        <w:rPr>
          <w:rFonts w:ascii="Calibri" w:hAnsi="Calibri" w:cs="Calibri"/>
        </w:rPr>
        <w:t>”</w:t>
      </w:r>
      <w:r w:rsidRPr="00617BFD">
        <w:rPr>
          <w:rFonts w:ascii="Calibri" w:hAnsi="Calibri" w:cs="Calibri"/>
        </w:rPr>
        <w:t>. True 5D requires systemic integration</w:t>
      </w:r>
      <w:r w:rsidR="00FD0450" w:rsidRPr="00617BFD">
        <w:rPr>
          <w:rFonts w:ascii="Calibri" w:hAnsi="Calibri" w:cs="Calibri"/>
        </w:rPr>
        <w:t>;</w:t>
      </w:r>
      <w:r w:rsidRPr="00617BFD">
        <w:rPr>
          <w:rFonts w:ascii="Calibri" w:hAnsi="Calibri" w:cs="Calibri"/>
        </w:rPr>
        <w:t xml:space="preserve"> when traditional QS lack trust in automated outputs and BIM modellers lack commercial supply chain knowledge, the workflow fragments. This friction was triangulated by a BSI</w:t>
      </w:r>
      <w:r w:rsidR="005D6CE2" w:rsidRPr="00617BFD">
        <w:rPr>
          <w:rFonts w:ascii="Calibri" w:hAnsi="Calibri" w:cs="Calibri"/>
        </w:rPr>
        <w:t xml:space="preserve"> audit </w:t>
      </w:r>
      <w:r w:rsidRPr="00617BFD">
        <w:rPr>
          <w:rFonts w:ascii="Calibri" w:hAnsi="Calibri" w:cs="Calibri"/>
        </w:rPr>
        <w:t>Opportunity for Improvement (OFI) noting: "The use of models for material volume quantification on some projects is already a required deliverable. Their use by the QS function could be included in the BEP as per project context</w:t>
      </w:r>
      <w:r w:rsidR="0065110E" w:rsidRPr="00617BFD">
        <w:rPr>
          <w:rFonts w:ascii="Calibri" w:hAnsi="Calibri" w:cs="Calibri"/>
        </w:rPr>
        <w:t>”</w:t>
      </w:r>
      <w:r w:rsidRPr="00617BFD">
        <w:rPr>
          <w:rFonts w:ascii="Calibri" w:hAnsi="Calibri" w:cs="Calibri"/>
        </w:rPr>
        <w:t>. This provides strong evidence that while the enterprise can successfully mandate geometric authoring, building commercial trust requires overcoming deep-seated professional resistance</w:t>
      </w:r>
      <w:r w:rsidR="005D3E6F" w:rsidRPr="00617BFD">
        <w:rPr>
          <w:rFonts w:ascii="Calibri" w:hAnsi="Calibri" w:cs="Calibri"/>
        </w:rPr>
        <w:t>.</w:t>
      </w:r>
    </w:p>
    <w:p w14:paraId="5414BB22" w14:textId="77777777" w:rsidR="00610231" w:rsidRPr="00617BFD" w:rsidRDefault="00610231" w:rsidP="006772EA">
      <w:pPr>
        <w:spacing w:after="40" w:line="240" w:lineRule="auto"/>
        <w:ind w:firstLine="851"/>
        <w:jc w:val="both"/>
        <w:rPr>
          <w:rFonts w:ascii="Calibri" w:hAnsi="Calibri" w:cs="Calibri"/>
        </w:rPr>
      </w:pPr>
    </w:p>
    <w:p w14:paraId="2763FC12" w14:textId="7348C76D" w:rsidR="003523B6" w:rsidRPr="00617BFD" w:rsidRDefault="0022401D" w:rsidP="0052171B">
      <w:pPr>
        <w:pStyle w:val="ListParagraph"/>
        <w:numPr>
          <w:ilvl w:val="1"/>
          <w:numId w:val="1"/>
        </w:numPr>
        <w:spacing w:after="40" w:line="240" w:lineRule="auto"/>
        <w:ind w:left="567" w:hanging="567"/>
        <w:rPr>
          <w:rFonts w:ascii="Calibri" w:hAnsi="Calibri" w:cs="Calibri"/>
          <w:b/>
          <w:bCs/>
          <w:sz w:val="28"/>
          <w:szCs w:val="28"/>
        </w:rPr>
      </w:pPr>
      <w:r w:rsidRPr="00617BFD">
        <w:rPr>
          <w:rFonts w:ascii="Calibri" w:hAnsi="Calibri" w:cs="Calibri"/>
          <w:b/>
          <w:bCs/>
          <w:sz w:val="28"/>
          <w:szCs w:val="28"/>
        </w:rPr>
        <w:t>Iterative Refinement: The 2026 Divisional Calibration</w:t>
      </w:r>
    </w:p>
    <w:p w14:paraId="455BC730" w14:textId="1D320ACA" w:rsidR="004477CD" w:rsidRPr="00617BFD" w:rsidRDefault="00E72263" w:rsidP="004477CD">
      <w:pPr>
        <w:spacing w:after="40" w:line="240" w:lineRule="auto"/>
        <w:ind w:firstLine="851"/>
        <w:jc w:val="both"/>
        <w:rPr>
          <w:rFonts w:ascii="Calibri" w:hAnsi="Calibri" w:cs="Calibri"/>
        </w:rPr>
      </w:pPr>
      <w:r w:rsidRPr="00E72263">
        <w:rPr>
          <w:rFonts w:ascii="Calibri" w:hAnsi="Calibri" w:cs="Calibri"/>
        </w:rPr>
        <w:t>In alignment with DSR principles, the enterprise used the 2025 friction data to refine the artefact, abandoning the one-size-fits-all metric in favour of a calibrated 2026 DC Parameter</w:t>
      </w:r>
      <w:r w:rsidR="004477CD" w:rsidRPr="00617BFD">
        <w:rPr>
          <w:rFonts w:ascii="Calibri" w:hAnsi="Calibri" w:cs="Calibri"/>
        </w:rPr>
        <w:t>. This updated framework introduced project-specific divisional weight calibration, elevating Digital Engineering for complex Vertical Buildings while prioritising Digital Project Monitoring for schedule-heavy Infrastructure contracts.</w:t>
      </w:r>
    </w:p>
    <w:p w14:paraId="619125E9" w14:textId="2114A9A9" w:rsidR="00E471D2" w:rsidRPr="00617BFD" w:rsidRDefault="00AF0713" w:rsidP="004477CD">
      <w:pPr>
        <w:spacing w:after="40" w:line="240" w:lineRule="auto"/>
        <w:ind w:firstLine="851"/>
        <w:jc w:val="both"/>
        <w:rPr>
          <w:rFonts w:ascii="Calibri" w:hAnsi="Calibri" w:cs="Calibri"/>
        </w:rPr>
      </w:pPr>
      <w:r w:rsidRPr="00AF0713">
        <w:rPr>
          <w:rFonts w:ascii="Calibri" w:hAnsi="Calibri" w:cs="Calibri"/>
        </w:rPr>
        <w:t>To dismantle the 5D procurement silo, the 2026 parameter mandates cross-functional integration through a strict four-tier classification system (Tier A–D) for MTO accuracy. Only "Tier A" items</w:t>
      </w:r>
      <w:r>
        <w:rPr>
          <w:rFonts w:ascii="Calibri" w:hAnsi="Calibri" w:cs="Calibri"/>
        </w:rPr>
        <w:t xml:space="preserve">, </w:t>
      </w:r>
      <w:r w:rsidRPr="00AF0713">
        <w:rPr>
          <w:rFonts w:ascii="Calibri" w:hAnsi="Calibri" w:cs="Calibri"/>
        </w:rPr>
        <w:t>those within ≤2% volume deviation</w:t>
      </w:r>
      <w:r>
        <w:rPr>
          <w:rFonts w:ascii="Calibri" w:hAnsi="Calibri" w:cs="Calibri"/>
        </w:rPr>
        <w:t xml:space="preserve">, </w:t>
      </w:r>
      <w:r w:rsidRPr="00AF0713">
        <w:rPr>
          <w:rFonts w:ascii="Calibri" w:hAnsi="Calibri" w:cs="Calibri"/>
        </w:rPr>
        <w:t>are authorised as the legal foundation for automated Material Requests; Tiers B–D trigger mandatory joint evaluations to improve model quality. Requiring formal sign-off from Project Managers, Site Engineers, and QS on these tiered outputs establishes a definitive 2026 KPI and secures enterprise readiness for continued ISO 19650 certification</w:t>
      </w:r>
      <w:r w:rsidR="004477CD" w:rsidRPr="00617BFD">
        <w:rPr>
          <w:rFonts w:ascii="Calibri" w:hAnsi="Calibri" w:cs="Calibri"/>
        </w:rPr>
        <w:t>.</w:t>
      </w:r>
    </w:p>
    <w:p w14:paraId="01DD8530" w14:textId="42ED5788" w:rsidR="008B5136" w:rsidRPr="00617BFD" w:rsidRDefault="008B5136" w:rsidP="006772EA">
      <w:pPr>
        <w:pStyle w:val="ListParagraph"/>
        <w:spacing w:after="40"/>
        <w:ind w:left="851"/>
        <w:rPr>
          <w:rFonts w:ascii="Calibri" w:hAnsi="Calibri" w:cs="Calibri"/>
        </w:rPr>
      </w:pPr>
    </w:p>
    <w:p w14:paraId="4BD33297" w14:textId="1AD89C69" w:rsidR="00181239" w:rsidRPr="00617BFD" w:rsidRDefault="006772EA" w:rsidP="0052171B">
      <w:pPr>
        <w:pStyle w:val="ListParagraph"/>
        <w:numPr>
          <w:ilvl w:val="0"/>
          <w:numId w:val="1"/>
        </w:numPr>
        <w:spacing w:after="40" w:line="240" w:lineRule="auto"/>
        <w:ind w:left="284" w:hanging="284"/>
        <w:rPr>
          <w:rFonts w:ascii="Calibri" w:hAnsi="Calibri" w:cs="Calibri"/>
          <w:b/>
          <w:bCs/>
          <w:sz w:val="28"/>
          <w:szCs w:val="28"/>
        </w:rPr>
      </w:pPr>
      <w:r w:rsidRPr="00617BFD">
        <w:rPr>
          <w:rFonts w:ascii="Calibri" w:hAnsi="Calibri" w:cs="Calibri"/>
          <w:b/>
          <w:bCs/>
          <w:sz w:val="28"/>
          <w:szCs w:val="28"/>
        </w:rPr>
        <w:t>CONCLUSION</w:t>
      </w:r>
    </w:p>
    <w:p w14:paraId="498FB6AD" w14:textId="47A25003" w:rsidR="003A3F3F" w:rsidRPr="00617BFD" w:rsidRDefault="001F4C08" w:rsidP="003A3F3F">
      <w:pPr>
        <w:spacing w:after="40" w:line="240" w:lineRule="auto"/>
        <w:ind w:firstLine="851"/>
        <w:jc w:val="both"/>
        <w:rPr>
          <w:rFonts w:ascii="Calibri" w:hAnsi="Calibri" w:cs="Calibri"/>
        </w:rPr>
      </w:pPr>
      <w:r w:rsidRPr="001F4C08">
        <w:rPr>
          <w:rFonts w:ascii="Calibri" w:hAnsi="Calibri" w:cs="Calibri"/>
        </w:rPr>
        <w:t>This research presented the Governance Triad, a centralised digital framework resolving corporate digital fragmentation across a large state-owned enterprise. Structured through mandated Regulatory, Resource, and Validation Layers, the framework unified disparate supply chains: over 9 months, New Projects accelerated to 84.41% compliance while an extensive Legacy Project backlog was brought to 86.69%, yielding a blended 86.47% enterprise average</w:t>
      </w:r>
      <w:r w:rsidR="003A3F3F" w:rsidRPr="00617BFD">
        <w:rPr>
          <w:rFonts w:ascii="Calibri" w:hAnsi="Calibri" w:cs="Calibri"/>
        </w:rPr>
        <w:t>.</w:t>
      </w:r>
    </w:p>
    <w:p w14:paraId="5F7BBE1B" w14:textId="05B724C9" w:rsidR="003A3F3F" w:rsidRPr="00617BFD" w:rsidRDefault="00833638" w:rsidP="003A3F3F">
      <w:pPr>
        <w:spacing w:after="40" w:line="240" w:lineRule="auto"/>
        <w:ind w:firstLine="851"/>
        <w:jc w:val="both"/>
        <w:rPr>
          <w:rFonts w:ascii="Calibri" w:hAnsi="Calibri" w:cs="Calibri"/>
        </w:rPr>
      </w:pPr>
      <w:r w:rsidRPr="00833638">
        <w:rPr>
          <w:rFonts w:ascii="Calibri" w:hAnsi="Calibri" w:cs="Calibri"/>
        </w:rPr>
        <w:t xml:space="preserve">Beyond compliance acceleration, the framework's value lies in its capacity to expose and respond to systemic friction. Capability mapping and the external ISO 19650 audit both confirmed that while the enterprise mastered 3D geometric authoring, commercial trust remained hindered by the Compliance Trap and traditional QS bottlenecks. The 2025 findings were used to iteratively calibrate a </w:t>
      </w:r>
      <w:r w:rsidRPr="00833638">
        <w:rPr>
          <w:rFonts w:ascii="Calibri" w:hAnsi="Calibri" w:cs="Calibri"/>
        </w:rPr>
        <w:lastRenderedPageBreak/>
        <w:t>2026 DC Parameter, introducing divisional weighting and tiered 5D outputs as the legal basis for material procurement</w:t>
      </w:r>
      <w:r>
        <w:rPr>
          <w:rFonts w:ascii="Calibri" w:hAnsi="Calibri" w:cs="Calibri"/>
        </w:rPr>
        <w:t xml:space="preserve">, </w:t>
      </w:r>
      <w:r w:rsidRPr="00833638">
        <w:rPr>
          <w:rFonts w:ascii="Calibri" w:hAnsi="Calibri" w:cs="Calibri"/>
        </w:rPr>
        <w:t>moving the enterprise from passive documentation toward active operational value</w:t>
      </w:r>
      <w:r w:rsidR="003A3F3F" w:rsidRPr="00617BFD">
        <w:rPr>
          <w:rFonts w:ascii="Calibri" w:hAnsi="Calibri" w:cs="Calibri"/>
        </w:rPr>
        <w:t>.</w:t>
      </w:r>
    </w:p>
    <w:p w14:paraId="05216480" w14:textId="33FB94DE" w:rsidR="00CC7617" w:rsidRPr="00617BFD" w:rsidRDefault="00833638" w:rsidP="003A3F3F">
      <w:pPr>
        <w:spacing w:after="40" w:line="240" w:lineRule="auto"/>
        <w:ind w:firstLine="851"/>
        <w:jc w:val="both"/>
        <w:rPr>
          <w:rFonts w:ascii="Calibri" w:hAnsi="Calibri" w:cs="Calibri"/>
        </w:rPr>
      </w:pPr>
      <w:r w:rsidRPr="00833638">
        <w:rPr>
          <w:rFonts w:ascii="Calibri" w:hAnsi="Calibri" w:cs="Calibri"/>
        </w:rPr>
        <w:t>This case demonstrates that enterprise-scale digital maturity requires a living, iterative governance structure aligning policy, process, and people. The study is limited by its 9-month timeframe</w:t>
      </w:r>
      <w:r w:rsidR="00D4051D">
        <w:rPr>
          <w:rFonts w:ascii="Calibri" w:hAnsi="Calibri" w:cs="Calibri"/>
        </w:rPr>
        <w:t>;</w:t>
      </w:r>
      <w:r w:rsidRPr="00833638">
        <w:rPr>
          <w:rFonts w:ascii="Calibri" w:hAnsi="Calibri" w:cs="Calibri"/>
        </w:rPr>
        <w:t xml:space="preserve"> longitudinal tracking is recommended to determine whether legacy behaviours are permanently eradicated or regress post-audit</w:t>
      </w:r>
      <w:r w:rsidR="003A3F3F" w:rsidRPr="00617BFD">
        <w:rPr>
          <w:rFonts w:ascii="Calibri" w:hAnsi="Calibri" w:cs="Calibri"/>
        </w:rPr>
        <w:t>.</w:t>
      </w:r>
    </w:p>
    <w:p w14:paraId="1B70D230" w14:textId="77777777" w:rsidR="009C5C7F" w:rsidRPr="00617BFD" w:rsidRDefault="009C5C7F" w:rsidP="009C5C7F">
      <w:pPr>
        <w:spacing w:after="40" w:line="240" w:lineRule="auto"/>
        <w:ind w:firstLine="851"/>
        <w:jc w:val="both"/>
        <w:rPr>
          <w:rFonts w:ascii="Calibri" w:hAnsi="Calibri" w:cs="Calibri"/>
        </w:rPr>
      </w:pPr>
    </w:p>
    <w:p w14:paraId="0C04582E" w14:textId="77777777" w:rsidR="00D6057A" w:rsidRPr="00617BFD" w:rsidRDefault="00D6057A" w:rsidP="006772EA">
      <w:pPr>
        <w:spacing w:after="40" w:line="240" w:lineRule="auto"/>
        <w:rPr>
          <w:rFonts w:ascii="Calibri" w:hAnsi="Calibri" w:cs="Calibri"/>
          <w:b/>
          <w:bCs/>
          <w:sz w:val="28"/>
          <w:szCs w:val="28"/>
        </w:rPr>
      </w:pPr>
      <w:r w:rsidRPr="00617BFD">
        <w:rPr>
          <w:rFonts w:ascii="Calibri" w:hAnsi="Calibri" w:cs="Calibri"/>
          <w:b/>
          <w:sz w:val="28"/>
          <w:szCs w:val="28"/>
        </w:rPr>
        <w:t>ACKNOWLEDGEMENTS</w:t>
      </w:r>
    </w:p>
    <w:p w14:paraId="69A3BD47" w14:textId="3A99CF44" w:rsidR="0092321D" w:rsidRPr="00617BFD" w:rsidRDefault="009E72ED" w:rsidP="009E72ED">
      <w:pPr>
        <w:spacing w:after="40" w:line="240" w:lineRule="auto"/>
        <w:ind w:firstLine="851"/>
        <w:jc w:val="both"/>
        <w:rPr>
          <w:rFonts w:ascii="Calibri" w:hAnsi="Calibri" w:cs="Calibri"/>
        </w:rPr>
      </w:pPr>
      <w:r w:rsidRPr="00617BFD">
        <w:rPr>
          <w:rFonts w:ascii="Calibri" w:hAnsi="Calibri" w:cs="Calibri"/>
        </w:rPr>
        <w:t>The author gratefully acknowledges that this study was fully funded and sponsored by PT Hutama Karya (Persero). The successful deployment of the Governance Triad and the subsequent publication of this research would not have been possible without the strategic authori</w:t>
      </w:r>
      <w:r w:rsidR="00CA0CFC">
        <w:rPr>
          <w:rFonts w:ascii="Calibri" w:hAnsi="Calibri" w:cs="Calibri"/>
        </w:rPr>
        <w:t>s</w:t>
      </w:r>
      <w:r w:rsidRPr="00617BFD">
        <w:rPr>
          <w:rFonts w:ascii="Calibri" w:hAnsi="Calibri" w:cs="Calibri"/>
        </w:rPr>
        <w:t>ation and guidance of Amy Rachmadhani W (</w:t>
      </w:r>
      <w:r w:rsidRPr="00617BFD">
        <w:rPr>
          <w:rFonts w:ascii="Calibri" w:hAnsi="Calibri" w:cs="Calibri"/>
          <w:i/>
          <w:iCs/>
        </w:rPr>
        <w:t>Executive Vice President of Engineering, Research, and Information Technology Division</w:t>
      </w:r>
      <w:r w:rsidRPr="00617BFD">
        <w:rPr>
          <w:rFonts w:ascii="Calibri" w:hAnsi="Calibri" w:cs="Calibri"/>
        </w:rPr>
        <w:t>), Dhono Nugroho (</w:t>
      </w:r>
      <w:r w:rsidRPr="00617BFD">
        <w:rPr>
          <w:rFonts w:ascii="Calibri" w:hAnsi="Calibri" w:cs="Calibri"/>
          <w:i/>
          <w:iCs/>
        </w:rPr>
        <w:t>Senior Vice President of Digital Technology Department</w:t>
      </w:r>
      <w:r w:rsidRPr="00617BFD">
        <w:rPr>
          <w:rFonts w:ascii="Calibri" w:hAnsi="Calibri" w:cs="Calibri"/>
        </w:rPr>
        <w:t>), and Halim Wiranata (</w:t>
      </w:r>
      <w:r w:rsidRPr="00617BFD">
        <w:rPr>
          <w:rFonts w:ascii="Calibri" w:hAnsi="Calibri" w:cs="Calibri"/>
          <w:i/>
          <w:iCs/>
        </w:rPr>
        <w:t>Vice President of Engineering &amp; Digital Construction</w:t>
      </w:r>
      <w:r w:rsidRPr="00617BFD">
        <w:rPr>
          <w:rFonts w:ascii="Calibri" w:hAnsi="Calibri" w:cs="Calibri"/>
        </w:rPr>
        <w:t>).</w:t>
      </w:r>
    </w:p>
    <w:p w14:paraId="03E8B101" w14:textId="77777777" w:rsidR="004477CD" w:rsidRPr="00617BFD" w:rsidRDefault="004477CD" w:rsidP="006772EA">
      <w:pPr>
        <w:spacing w:after="40" w:line="240" w:lineRule="auto"/>
        <w:rPr>
          <w:rFonts w:ascii="Calibri" w:hAnsi="Calibri" w:cs="Calibri"/>
        </w:rPr>
      </w:pPr>
    </w:p>
    <w:p w14:paraId="1C4D7BD6" w14:textId="77777777" w:rsidR="00D6057A" w:rsidRPr="00617BFD" w:rsidRDefault="00D6057A" w:rsidP="006772EA">
      <w:pPr>
        <w:spacing w:after="40" w:line="240" w:lineRule="auto"/>
        <w:rPr>
          <w:rFonts w:ascii="Calibri" w:hAnsi="Calibri" w:cs="Calibri"/>
          <w:b/>
          <w:bCs/>
          <w:sz w:val="28"/>
          <w:szCs w:val="28"/>
        </w:rPr>
      </w:pPr>
      <w:r w:rsidRPr="00617BFD">
        <w:rPr>
          <w:rFonts w:ascii="Calibri" w:hAnsi="Calibri" w:cs="Calibri"/>
          <w:b/>
          <w:bCs/>
          <w:sz w:val="28"/>
          <w:szCs w:val="28"/>
        </w:rPr>
        <w:t xml:space="preserve">REFERENCES </w:t>
      </w:r>
    </w:p>
    <w:p w14:paraId="5CCBD274" w14:textId="6BF7CD48" w:rsidR="00F453C3" w:rsidRPr="00617BFD" w:rsidRDefault="00F453C3" w:rsidP="003A0F59">
      <w:pPr>
        <w:spacing w:after="40" w:line="240" w:lineRule="auto"/>
        <w:ind w:left="851" w:hanging="851"/>
        <w:jc w:val="both"/>
        <w:rPr>
          <w:rFonts w:ascii="Calibri" w:hAnsi="Calibri" w:cs="Calibri"/>
        </w:rPr>
      </w:pPr>
      <w:r w:rsidRPr="00617BFD">
        <w:rPr>
          <w:rFonts w:ascii="Calibri" w:hAnsi="Calibri" w:cs="Calibri"/>
        </w:rPr>
        <w:t>Abanda, F.H., Balu, B., Adukpo, S.E., &amp; Akintola, A., (2025). Decoding ISO 19650 through process modelling for information management and stakeholder communication in BIM. Buildings, 15(3): p. 431. DOI: 10.3390/buildings15030431</w:t>
      </w:r>
    </w:p>
    <w:p w14:paraId="49E8CFEE" w14:textId="79E40C92" w:rsidR="00D81EF1" w:rsidRDefault="00645245" w:rsidP="003A0F59">
      <w:pPr>
        <w:spacing w:after="40" w:line="240" w:lineRule="auto"/>
        <w:ind w:left="851" w:hanging="851"/>
        <w:jc w:val="both"/>
        <w:rPr>
          <w:rFonts w:ascii="Calibri" w:hAnsi="Calibri" w:cs="Calibri"/>
        </w:rPr>
      </w:pPr>
      <w:r w:rsidRPr="00617BFD">
        <w:rPr>
          <w:rFonts w:ascii="Calibri" w:hAnsi="Calibri" w:cs="Calibri"/>
        </w:rPr>
        <w:t>BSI, (2013). PAS 1192-2:2013 Specification for information management for the capital/delivery phase of construction projects using building information modelling. London: British Standards Institution.</w:t>
      </w:r>
    </w:p>
    <w:p w14:paraId="17B8198F" w14:textId="239D48A0" w:rsidR="00BF4D84" w:rsidRPr="00617BFD" w:rsidRDefault="00BF4D84" w:rsidP="003A0F59">
      <w:pPr>
        <w:spacing w:after="40" w:line="240" w:lineRule="auto"/>
        <w:ind w:left="851" w:hanging="851"/>
        <w:jc w:val="both"/>
        <w:rPr>
          <w:rFonts w:ascii="Calibri" w:hAnsi="Calibri" w:cs="Calibri"/>
        </w:rPr>
      </w:pPr>
      <w:r w:rsidRPr="00BF4D84">
        <w:rPr>
          <w:rFonts w:ascii="Calibri" w:hAnsi="Calibri" w:cs="Calibri"/>
        </w:rPr>
        <w:t>BSI,</w:t>
      </w:r>
      <w:r w:rsidR="00F26CF5">
        <w:rPr>
          <w:rFonts w:ascii="Calibri" w:hAnsi="Calibri" w:cs="Calibri"/>
        </w:rPr>
        <w:t xml:space="preserve"> </w:t>
      </w:r>
      <w:r w:rsidRPr="00BF4D84">
        <w:rPr>
          <w:rFonts w:ascii="Calibri" w:hAnsi="Calibri" w:cs="Calibri"/>
        </w:rPr>
        <w:t>(2016). BS 1192:2007+A2:2016 Collaborative production of architectural, engineering and construction information. Code of practice. London: British Standards Institution.</w:t>
      </w:r>
    </w:p>
    <w:p w14:paraId="29FCFAAB" w14:textId="7CAD42B5" w:rsidR="00645245" w:rsidRDefault="00645245" w:rsidP="003A0F59">
      <w:pPr>
        <w:spacing w:after="40" w:line="240" w:lineRule="auto"/>
        <w:ind w:left="851" w:hanging="851"/>
        <w:jc w:val="both"/>
        <w:rPr>
          <w:rFonts w:ascii="Calibri" w:hAnsi="Calibri" w:cs="Calibri"/>
        </w:rPr>
      </w:pPr>
      <w:r w:rsidRPr="00617BFD">
        <w:rPr>
          <w:rFonts w:ascii="Calibri" w:hAnsi="Calibri" w:cs="Calibri"/>
        </w:rPr>
        <w:t>Eastman, C., (1999). Building product models: computer environments, supporting design and construction. Boca Raton: CRC Press.</w:t>
      </w:r>
    </w:p>
    <w:p w14:paraId="0213F55D" w14:textId="512B1D73" w:rsidR="009A5FB6" w:rsidRDefault="00D75096" w:rsidP="003A0F59">
      <w:pPr>
        <w:spacing w:after="40" w:line="240" w:lineRule="auto"/>
        <w:ind w:left="851" w:hanging="851"/>
        <w:jc w:val="both"/>
        <w:rPr>
          <w:rFonts w:ascii="Calibri" w:hAnsi="Calibri" w:cs="Calibri"/>
        </w:rPr>
      </w:pPr>
      <w:r w:rsidRPr="00D75096">
        <w:rPr>
          <w:rFonts w:ascii="Calibri" w:hAnsi="Calibri" w:cs="Calibri"/>
        </w:rPr>
        <w:t>Hevner, A.R., March, S.T., Park, J., &amp; Ram, S., (2004). Design science in information systems research. MIS Quarterly, 28(1): p. 75-105.</w:t>
      </w:r>
    </w:p>
    <w:p w14:paraId="3A63C42B" w14:textId="183435C2" w:rsidR="00D75096" w:rsidRDefault="00D75096" w:rsidP="00D75096">
      <w:pPr>
        <w:spacing w:after="40" w:line="240" w:lineRule="auto"/>
        <w:ind w:left="851" w:hanging="851"/>
        <w:jc w:val="both"/>
        <w:rPr>
          <w:rFonts w:ascii="Calibri" w:hAnsi="Calibri" w:cs="Calibri"/>
        </w:rPr>
      </w:pPr>
      <w:r w:rsidRPr="00D75096">
        <w:rPr>
          <w:rFonts w:ascii="Calibri" w:hAnsi="Calibri" w:cs="Calibri"/>
        </w:rPr>
        <w:t>Hevner, A.R., (2007). A three cycle view of design science research. Scandinavian Journal of Information Systems, 19(2): p. 87-92.</w:t>
      </w:r>
    </w:p>
    <w:p w14:paraId="51D85163" w14:textId="33EDFBE2" w:rsidR="00EB41C7" w:rsidRPr="00617BFD" w:rsidRDefault="00EB41C7" w:rsidP="00EB41C7">
      <w:pPr>
        <w:spacing w:after="40" w:line="240" w:lineRule="auto"/>
        <w:ind w:left="851" w:hanging="851"/>
        <w:jc w:val="both"/>
        <w:rPr>
          <w:rFonts w:ascii="Calibri" w:hAnsi="Calibri" w:cs="Calibri"/>
        </w:rPr>
      </w:pPr>
      <w:r w:rsidRPr="00617BFD">
        <w:rPr>
          <w:rFonts w:ascii="Calibri" w:hAnsi="Calibri" w:cs="Calibri"/>
        </w:rPr>
        <w:t>Kehily, D. &amp; Underwood, J., (2015). Design science: choosing an appropriate methodology for research in BIM. In CITA BIM Gathering 2015. Dublin, Ireland, November 12-13. DOI: 10.21427/fde9-tj97</w:t>
      </w:r>
    </w:p>
    <w:p w14:paraId="51BAEA61" w14:textId="75B73C7E" w:rsidR="005668DD" w:rsidRPr="00617BFD" w:rsidRDefault="005668DD" w:rsidP="005668DD">
      <w:pPr>
        <w:spacing w:after="40" w:line="240" w:lineRule="auto"/>
        <w:ind w:left="851" w:hanging="851"/>
        <w:jc w:val="both"/>
        <w:rPr>
          <w:rFonts w:ascii="Calibri" w:hAnsi="Calibri" w:cs="Calibri"/>
        </w:rPr>
      </w:pPr>
      <w:r w:rsidRPr="00617BFD">
        <w:rPr>
          <w:rFonts w:ascii="Calibri" w:hAnsi="Calibri" w:cs="Calibri"/>
        </w:rPr>
        <w:t>Keung, C.C.W., Yiu, T.W., &amp; Feng, Z., (2022). Building Information Modelling in quantity surveying practices: current state and future challenges in Hong Kong. Journal of Information Technology in Construction, 27: p. 1060-1074. DOI: 10.36680/j.itcon.2022.052</w:t>
      </w:r>
    </w:p>
    <w:p w14:paraId="01A79A6F" w14:textId="70644B84" w:rsidR="00BB346C" w:rsidRDefault="00BB346C" w:rsidP="00BB346C">
      <w:pPr>
        <w:spacing w:after="40" w:line="240" w:lineRule="auto"/>
        <w:ind w:left="851" w:hanging="851"/>
        <w:jc w:val="both"/>
        <w:rPr>
          <w:rFonts w:ascii="Calibri" w:hAnsi="Calibri" w:cs="Calibri"/>
        </w:rPr>
      </w:pPr>
      <w:r w:rsidRPr="00365F87">
        <w:rPr>
          <w:rFonts w:ascii="Calibri" w:hAnsi="Calibri" w:cs="Calibri"/>
        </w:rPr>
        <w:t>March, S.T. &amp; Smith, G.F., (1995). Design and natural science research on information technology. Decision Support Systems, 15: p. 251-266.</w:t>
      </w:r>
    </w:p>
    <w:p w14:paraId="4487ABF6" w14:textId="5DEDAA35" w:rsidR="00831C7E" w:rsidRDefault="00831C7E" w:rsidP="003A0F59">
      <w:pPr>
        <w:spacing w:after="40" w:line="240" w:lineRule="auto"/>
        <w:ind w:left="851" w:hanging="851"/>
        <w:jc w:val="both"/>
        <w:rPr>
          <w:rFonts w:ascii="Calibri" w:hAnsi="Calibri" w:cs="Calibri"/>
        </w:rPr>
      </w:pPr>
      <w:r w:rsidRPr="00617BFD">
        <w:rPr>
          <w:rFonts w:ascii="Calibri" w:hAnsi="Calibri" w:cs="Calibri"/>
        </w:rPr>
        <w:t>Mayouf, M., Gerges, M., &amp; Cox, S., (2019). 5D BIM: an investigation into the integration of quantity surveyors within the BIM process. Journal of Engineering, Design and Technology, 17(3): p. 537-553. DOI: 10.1108/jedt-05-2018-0080</w:t>
      </w:r>
    </w:p>
    <w:p w14:paraId="080FB812" w14:textId="00378B9A" w:rsidR="007349FA" w:rsidRPr="00617BFD" w:rsidRDefault="00A57F15" w:rsidP="003A0F59">
      <w:pPr>
        <w:spacing w:after="40" w:line="240" w:lineRule="auto"/>
        <w:ind w:left="851" w:hanging="851"/>
        <w:jc w:val="both"/>
        <w:rPr>
          <w:rFonts w:ascii="Calibri" w:hAnsi="Calibri" w:cs="Calibri"/>
        </w:rPr>
      </w:pPr>
      <w:r>
        <w:rPr>
          <w:rFonts w:ascii="Calibri" w:hAnsi="Calibri" w:cs="Calibri"/>
        </w:rPr>
        <w:t>Phung, Q. &amp; Tong, N.</w:t>
      </w:r>
      <w:r w:rsidR="007349FA" w:rsidRPr="00617BFD">
        <w:rPr>
          <w:rFonts w:ascii="Calibri" w:hAnsi="Calibri" w:cs="Calibri"/>
        </w:rPr>
        <w:t>, (2021). Developing an organizational readiness framework for BIM implementation in large design companies. International Journal of Sustainable Construction Engineering and Technology, 12(3): p. 57-67. DOI: 10.30880/ijscet.2021.12.03.006</w:t>
      </w:r>
    </w:p>
    <w:sectPr w:rsidR="007349FA" w:rsidRPr="00617BFD">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BAFFB" w14:textId="77777777" w:rsidR="00E1534E" w:rsidRDefault="00E1534E" w:rsidP="005076E1">
      <w:pPr>
        <w:spacing w:after="0" w:line="240" w:lineRule="auto"/>
      </w:pPr>
      <w:r>
        <w:separator/>
      </w:r>
    </w:p>
  </w:endnote>
  <w:endnote w:type="continuationSeparator" w:id="0">
    <w:p w14:paraId="67E0476F" w14:textId="77777777" w:rsidR="00E1534E" w:rsidRDefault="00E1534E"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D221F" w14:textId="77777777" w:rsidR="00E1534E" w:rsidRDefault="00E1534E" w:rsidP="005076E1">
      <w:pPr>
        <w:spacing w:after="0" w:line="240" w:lineRule="auto"/>
      </w:pPr>
      <w:r>
        <w:separator/>
      </w:r>
    </w:p>
  </w:footnote>
  <w:footnote w:type="continuationSeparator" w:id="0">
    <w:p w14:paraId="6C8E31EF" w14:textId="77777777" w:rsidR="00E1534E" w:rsidRDefault="00E1534E"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72086"/>
    <w:multiLevelType w:val="hybridMultilevel"/>
    <w:tmpl w:val="F95491DE"/>
    <w:lvl w:ilvl="0" w:tplc="38090001">
      <w:start w:val="1"/>
      <w:numFmt w:val="bullet"/>
      <w:lvlText w:val=""/>
      <w:lvlJc w:val="left"/>
      <w:pPr>
        <w:ind w:left="1571" w:hanging="360"/>
      </w:pPr>
      <w:rPr>
        <w:rFonts w:ascii="Symbol" w:hAnsi="Symbol" w:hint="default"/>
      </w:rPr>
    </w:lvl>
    <w:lvl w:ilvl="1" w:tplc="38090003">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1" w15:restartNumberingAfterBreak="0">
    <w:nsid w:val="3F5908B5"/>
    <w:multiLevelType w:val="hybridMultilevel"/>
    <w:tmpl w:val="4DE4911A"/>
    <w:lvl w:ilvl="0" w:tplc="C9847020">
      <w:start w:val="1"/>
      <w:numFmt w:val="decimal"/>
      <w:lvlText w:val="%1."/>
      <w:lvlJc w:val="left"/>
      <w:pPr>
        <w:ind w:left="2062"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 w15:restartNumberingAfterBreak="0">
    <w:nsid w:val="3FD17B1B"/>
    <w:multiLevelType w:val="hybridMultilevel"/>
    <w:tmpl w:val="D5A225A4"/>
    <w:lvl w:ilvl="0" w:tplc="C9847020">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 w15:restartNumberingAfterBreak="0">
    <w:nsid w:val="4BAC5098"/>
    <w:multiLevelType w:val="hybridMultilevel"/>
    <w:tmpl w:val="3558FD58"/>
    <w:lvl w:ilvl="0" w:tplc="C9847020">
      <w:start w:val="1"/>
      <w:numFmt w:val="decimal"/>
      <w:lvlText w:val="%1."/>
      <w:lvlJc w:val="left"/>
      <w:pPr>
        <w:ind w:left="2062"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 w15:restartNumberingAfterBreak="0">
    <w:nsid w:val="57B926DE"/>
    <w:multiLevelType w:val="multilevel"/>
    <w:tmpl w:val="3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F743C2E"/>
    <w:multiLevelType w:val="hybridMultilevel"/>
    <w:tmpl w:val="0100D69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61072667"/>
    <w:multiLevelType w:val="multilevel"/>
    <w:tmpl w:val="227A11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C372551"/>
    <w:multiLevelType w:val="hybridMultilevel"/>
    <w:tmpl w:val="87B26032"/>
    <w:lvl w:ilvl="0" w:tplc="C9847020">
      <w:start w:val="1"/>
      <w:numFmt w:val="decimal"/>
      <w:lvlText w:val="%1."/>
      <w:lvlJc w:val="left"/>
      <w:pPr>
        <w:ind w:left="121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23710480">
    <w:abstractNumId w:val="6"/>
  </w:num>
  <w:num w:numId="2" w16cid:durableId="971980657">
    <w:abstractNumId w:val="7"/>
  </w:num>
  <w:num w:numId="3" w16cid:durableId="15038354">
    <w:abstractNumId w:val="2"/>
  </w:num>
  <w:num w:numId="4" w16cid:durableId="444496375">
    <w:abstractNumId w:val="1"/>
  </w:num>
  <w:num w:numId="5" w16cid:durableId="849761391">
    <w:abstractNumId w:val="5"/>
  </w:num>
  <w:num w:numId="6" w16cid:durableId="1134787134">
    <w:abstractNumId w:val="8"/>
  </w:num>
  <w:num w:numId="7" w16cid:durableId="1596547953">
    <w:abstractNumId w:val="0"/>
  </w:num>
  <w:num w:numId="8" w16cid:durableId="1964340420">
    <w:abstractNumId w:val="3"/>
  </w:num>
  <w:num w:numId="9" w16cid:durableId="21204925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1CC0"/>
    <w:rsid w:val="00007F87"/>
    <w:rsid w:val="000136E1"/>
    <w:rsid w:val="00020B27"/>
    <w:rsid w:val="00020E7E"/>
    <w:rsid w:val="0002334D"/>
    <w:rsid w:val="00026577"/>
    <w:rsid w:val="00026B70"/>
    <w:rsid w:val="0003431A"/>
    <w:rsid w:val="00056253"/>
    <w:rsid w:val="00057DCB"/>
    <w:rsid w:val="00062970"/>
    <w:rsid w:val="00065111"/>
    <w:rsid w:val="0006577B"/>
    <w:rsid w:val="000751A6"/>
    <w:rsid w:val="0007568E"/>
    <w:rsid w:val="000817F9"/>
    <w:rsid w:val="00090A1B"/>
    <w:rsid w:val="00092285"/>
    <w:rsid w:val="00092784"/>
    <w:rsid w:val="00095FB9"/>
    <w:rsid w:val="000A0FB7"/>
    <w:rsid w:val="000A270A"/>
    <w:rsid w:val="000A753D"/>
    <w:rsid w:val="000B672F"/>
    <w:rsid w:val="000C5C35"/>
    <w:rsid w:val="000C6CC0"/>
    <w:rsid w:val="000C6DF4"/>
    <w:rsid w:val="000D0068"/>
    <w:rsid w:val="000D58BD"/>
    <w:rsid w:val="000E3C3B"/>
    <w:rsid w:val="000E6F58"/>
    <w:rsid w:val="000F1F2C"/>
    <w:rsid w:val="000F246F"/>
    <w:rsid w:val="000F4A91"/>
    <w:rsid w:val="000F4B6E"/>
    <w:rsid w:val="000F7245"/>
    <w:rsid w:val="00103C4B"/>
    <w:rsid w:val="00106566"/>
    <w:rsid w:val="00111457"/>
    <w:rsid w:val="00114134"/>
    <w:rsid w:val="00115618"/>
    <w:rsid w:val="00115EA5"/>
    <w:rsid w:val="00121A4D"/>
    <w:rsid w:val="00122D6E"/>
    <w:rsid w:val="00122DCF"/>
    <w:rsid w:val="001352D9"/>
    <w:rsid w:val="001374C8"/>
    <w:rsid w:val="00140BD5"/>
    <w:rsid w:val="00150F4F"/>
    <w:rsid w:val="001523AF"/>
    <w:rsid w:val="00153A8D"/>
    <w:rsid w:val="00155F09"/>
    <w:rsid w:val="00165436"/>
    <w:rsid w:val="001672ED"/>
    <w:rsid w:val="001726D6"/>
    <w:rsid w:val="00175D66"/>
    <w:rsid w:val="00180EEC"/>
    <w:rsid w:val="00181239"/>
    <w:rsid w:val="001870FB"/>
    <w:rsid w:val="0019123A"/>
    <w:rsid w:val="00192CC0"/>
    <w:rsid w:val="001951C3"/>
    <w:rsid w:val="00195F7C"/>
    <w:rsid w:val="001A11E4"/>
    <w:rsid w:val="001A2D68"/>
    <w:rsid w:val="001A5737"/>
    <w:rsid w:val="001B237E"/>
    <w:rsid w:val="001B6784"/>
    <w:rsid w:val="001C7C32"/>
    <w:rsid w:val="001D0BCB"/>
    <w:rsid w:val="001D325B"/>
    <w:rsid w:val="001E0BE6"/>
    <w:rsid w:val="001E444D"/>
    <w:rsid w:val="001E5916"/>
    <w:rsid w:val="001E6935"/>
    <w:rsid w:val="001F247E"/>
    <w:rsid w:val="001F4C08"/>
    <w:rsid w:val="00200458"/>
    <w:rsid w:val="002030BF"/>
    <w:rsid w:val="002040DC"/>
    <w:rsid w:val="002041F4"/>
    <w:rsid w:val="00205568"/>
    <w:rsid w:val="002056C5"/>
    <w:rsid w:val="00212A5C"/>
    <w:rsid w:val="00212DEE"/>
    <w:rsid w:val="00213CD9"/>
    <w:rsid w:val="00214913"/>
    <w:rsid w:val="00221CAE"/>
    <w:rsid w:val="0022401D"/>
    <w:rsid w:val="00240A77"/>
    <w:rsid w:val="00246F9B"/>
    <w:rsid w:val="00253BA0"/>
    <w:rsid w:val="00264DA4"/>
    <w:rsid w:val="002650C4"/>
    <w:rsid w:val="002663DB"/>
    <w:rsid w:val="00266E0C"/>
    <w:rsid w:val="002676CA"/>
    <w:rsid w:val="00271465"/>
    <w:rsid w:val="002734CF"/>
    <w:rsid w:val="0027367D"/>
    <w:rsid w:val="002804AE"/>
    <w:rsid w:val="00282174"/>
    <w:rsid w:val="00282EDB"/>
    <w:rsid w:val="00286167"/>
    <w:rsid w:val="0028715D"/>
    <w:rsid w:val="00292A66"/>
    <w:rsid w:val="00292F88"/>
    <w:rsid w:val="002A013D"/>
    <w:rsid w:val="002A22B2"/>
    <w:rsid w:val="002A5DFE"/>
    <w:rsid w:val="002A6240"/>
    <w:rsid w:val="002A63BB"/>
    <w:rsid w:val="002B2599"/>
    <w:rsid w:val="002B27E0"/>
    <w:rsid w:val="002C5412"/>
    <w:rsid w:val="002D19C4"/>
    <w:rsid w:val="002D24B5"/>
    <w:rsid w:val="002D55CD"/>
    <w:rsid w:val="002D7BC0"/>
    <w:rsid w:val="002E24A4"/>
    <w:rsid w:val="002E3285"/>
    <w:rsid w:val="002F0340"/>
    <w:rsid w:val="002F174A"/>
    <w:rsid w:val="002F6AF2"/>
    <w:rsid w:val="003049EB"/>
    <w:rsid w:val="00304B43"/>
    <w:rsid w:val="00306262"/>
    <w:rsid w:val="003063DC"/>
    <w:rsid w:val="003105E0"/>
    <w:rsid w:val="00311893"/>
    <w:rsid w:val="003151B5"/>
    <w:rsid w:val="003208E7"/>
    <w:rsid w:val="003251D4"/>
    <w:rsid w:val="00325D64"/>
    <w:rsid w:val="00330572"/>
    <w:rsid w:val="00334492"/>
    <w:rsid w:val="003523B6"/>
    <w:rsid w:val="00352758"/>
    <w:rsid w:val="00353275"/>
    <w:rsid w:val="00362092"/>
    <w:rsid w:val="00363012"/>
    <w:rsid w:val="00365F87"/>
    <w:rsid w:val="003672AC"/>
    <w:rsid w:val="0037140F"/>
    <w:rsid w:val="003759CE"/>
    <w:rsid w:val="003763EB"/>
    <w:rsid w:val="0037702B"/>
    <w:rsid w:val="0038204B"/>
    <w:rsid w:val="00391A49"/>
    <w:rsid w:val="00397474"/>
    <w:rsid w:val="003A0F59"/>
    <w:rsid w:val="003A3F3F"/>
    <w:rsid w:val="003A76F9"/>
    <w:rsid w:val="003B2EE3"/>
    <w:rsid w:val="003B56D1"/>
    <w:rsid w:val="003C10A1"/>
    <w:rsid w:val="003C11F6"/>
    <w:rsid w:val="003C1F96"/>
    <w:rsid w:val="003C2CB4"/>
    <w:rsid w:val="003C462F"/>
    <w:rsid w:val="003C4752"/>
    <w:rsid w:val="003C49F3"/>
    <w:rsid w:val="003C5662"/>
    <w:rsid w:val="003C7172"/>
    <w:rsid w:val="003D4590"/>
    <w:rsid w:val="003D4D5D"/>
    <w:rsid w:val="003D68F5"/>
    <w:rsid w:val="003F0914"/>
    <w:rsid w:val="003F1F71"/>
    <w:rsid w:val="003F21EC"/>
    <w:rsid w:val="00406F02"/>
    <w:rsid w:val="004077F8"/>
    <w:rsid w:val="00407D16"/>
    <w:rsid w:val="00416B2D"/>
    <w:rsid w:val="004224AF"/>
    <w:rsid w:val="00423F91"/>
    <w:rsid w:val="00427CF5"/>
    <w:rsid w:val="00430E4D"/>
    <w:rsid w:val="00431F6A"/>
    <w:rsid w:val="00436668"/>
    <w:rsid w:val="00445997"/>
    <w:rsid w:val="004464BA"/>
    <w:rsid w:val="0044732E"/>
    <w:rsid w:val="004477CD"/>
    <w:rsid w:val="00452FEB"/>
    <w:rsid w:val="0045405F"/>
    <w:rsid w:val="004551C9"/>
    <w:rsid w:val="00462127"/>
    <w:rsid w:val="00464827"/>
    <w:rsid w:val="004701C1"/>
    <w:rsid w:val="00484EA7"/>
    <w:rsid w:val="004964DC"/>
    <w:rsid w:val="00497F44"/>
    <w:rsid w:val="004A47FE"/>
    <w:rsid w:val="004A6D19"/>
    <w:rsid w:val="004B0505"/>
    <w:rsid w:val="004B56F9"/>
    <w:rsid w:val="004B5AA6"/>
    <w:rsid w:val="004C031F"/>
    <w:rsid w:val="004C5004"/>
    <w:rsid w:val="004D074C"/>
    <w:rsid w:val="004D3EED"/>
    <w:rsid w:val="004D55DB"/>
    <w:rsid w:val="004D5B4A"/>
    <w:rsid w:val="004D722C"/>
    <w:rsid w:val="004E009C"/>
    <w:rsid w:val="004E12E6"/>
    <w:rsid w:val="004E3EBA"/>
    <w:rsid w:val="004E3F28"/>
    <w:rsid w:val="004E501E"/>
    <w:rsid w:val="004E6567"/>
    <w:rsid w:val="004E6C55"/>
    <w:rsid w:val="004F42F4"/>
    <w:rsid w:val="004F777E"/>
    <w:rsid w:val="00500698"/>
    <w:rsid w:val="00501DFD"/>
    <w:rsid w:val="00504929"/>
    <w:rsid w:val="005053AB"/>
    <w:rsid w:val="00506A45"/>
    <w:rsid w:val="005076E1"/>
    <w:rsid w:val="005101E0"/>
    <w:rsid w:val="005113C5"/>
    <w:rsid w:val="00511B9F"/>
    <w:rsid w:val="005154C3"/>
    <w:rsid w:val="00516715"/>
    <w:rsid w:val="00520432"/>
    <w:rsid w:val="0052171B"/>
    <w:rsid w:val="0052202E"/>
    <w:rsid w:val="00537078"/>
    <w:rsid w:val="00540728"/>
    <w:rsid w:val="00543FDD"/>
    <w:rsid w:val="0054632C"/>
    <w:rsid w:val="00546EFB"/>
    <w:rsid w:val="00553C92"/>
    <w:rsid w:val="00553CD5"/>
    <w:rsid w:val="005547BC"/>
    <w:rsid w:val="00564A07"/>
    <w:rsid w:val="005668DD"/>
    <w:rsid w:val="00566BA2"/>
    <w:rsid w:val="00570197"/>
    <w:rsid w:val="0057268A"/>
    <w:rsid w:val="0057597E"/>
    <w:rsid w:val="005823BF"/>
    <w:rsid w:val="00586414"/>
    <w:rsid w:val="00586E69"/>
    <w:rsid w:val="005B2276"/>
    <w:rsid w:val="005B5432"/>
    <w:rsid w:val="005B56AE"/>
    <w:rsid w:val="005B6795"/>
    <w:rsid w:val="005B6C33"/>
    <w:rsid w:val="005C1B76"/>
    <w:rsid w:val="005C34EF"/>
    <w:rsid w:val="005C4267"/>
    <w:rsid w:val="005D0098"/>
    <w:rsid w:val="005D3E6F"/>
    <w:rsid w:val="005D5B42"/>
    <w:rsid w:val="005D6CE2"/>
    <w:rsid w:val="005D6F9A"/>
    <w:rsid w:val="005E1828"/>
    <w:rsid w:val="005E3209"/>
    <w:rsid w:val="005E3C1A"/>
    <w:rsid w:val="005E4320"/>
    <w:rsid w:val="005E6F5B"/>
    <w:rsid w:val="005E70AC"/>
    <w:rsid w:val="005F7791"/>
    <w:rsid w:val="0060621B"/>
    <w:rsid w:val="00610231"/>
    <w:rsid w:val="00610DF1"/>
    <w:rsid w:val="006171EF"/>
    <w:rsid w:val="00617BFD"/>
    <w:rsid w:val="00620468"/>
    <w:rsid w:val="0062596F"/>
    <w:rsid w:val="00626AFC"/>
    <w:rsid w:val="00636EDC"/>
    <w:rsid w:val="00637063"/>
    <w:rsid w:val="00640B05"/>
    <w:rsid w:val="006438ED"/>
    <w:rsid w:val="00645245"/>
    <w:rsid w:val="00650734"/>
    <w:rsid w:val="0065110E"/>
    <w:rsid w:val="00653D5C"/>
    <w:rsid w:val="0066719B"/>
    <w:rsid w:val="006676A3"/>
    <w:rsid w:val="0067554D"/>
    <w:rsid w:val="006772EA"/>
    <w:rsid w:val="006821AA"/>
    <w:rsid w:val="00682412"/>
    <w:rsid w:val="006856F6"/>
    <w:rsid w:val="00685FB6"/>
    <w:rsid w:val="00686E00"/>
    <w:rsid w:val="00691503"/>
    <w:rsid w:val="00691BC8"/>
    <w:rsid w:val="00693D48"/>
    <w:rsid w:val="00694C8F"/>
    <w:rsid w:val="00695D8A"/>
    <w:rsid w:val="006A7ECE"/>
    <w:rsid w:val="006B000D"/>
    <w:rsid w:val="006B14AE"/>
    <w:rsid w:val="006B177E"/>
    <w:rsid w:val="006B1AC6"/>
    <w:rsid w:val="006B263D"/>
    <w:rsid w:val="006D1CCF"/>
    <w:rsid w:val="006D4980"/>
    <w:rsid w:val="006D5079"/>
    <w:rsid w:val="006D581C"/>
    <w:rsid w:val="006D7F9F"/>
    <w:rsid w:val="006E0D04"/>
    <w:rsid w:val="006E4C60"/>
    <w:rsid w:val="006E77D5"/>
    <w:rsid w:val="00706ED5"/>
    <w:rsid w:val="0070786C"/>
    <w:rsid w:val="00710DF7"/>
    <w:rsid w:val="00711532"/>
    <w:rsid w:val="00712398"/>
    <w:rsid w:val="0071499F"/>
    <w:rsid w:val="00725457"/>
    <w:rsid w:val="00732921"/>
    <w:rsid w:val="007349FA"/>
    <w:rsid w:val="00736D03"/>
    <w:rsid w:val="00747C41"/>
    <w:rsid w:val="00747DA6"/>
    <w:rsid w:val="00750531"/>
    <w:rsid w:val="00760CA3"/>
    <w:rsid w:val="007663C2"/>
    <w:rsid w:val="007715A9"/>
    <w:rsid w:val="00773382"/>
    <w:rsid w:val="00775F2D"/>
    <w:rsid w:val="00777FD1"/>
    <w:rsid w:val="00790115"/>
    <w:rsid w:val="007904A4"/>
    <w:rsid w:val="0079250A"/>
    <w:rsid w:val="00792841"/>
    <w:rsid w:val="00793EEA"/>
    <w:rsid w:val="00795607"/>
    <w:rsid w:val="007A1AEE"/>
    <w:rsid w:val="007A2757"/>
    <w:rsid w:val="007B2E81"/>
    <w:rsid w:val="007C54FC"/>
    <w:rsid w:val="007D365F"/>
    <w:rsid w:val="007D727C"/>
    <w:rsid w:val="007E2322"/>
    <w:rsid w:val="007F0F63"/>
    <w:rsid w:val="007F318F"/>
    <w:rsid w:val="007F3C64"/>
    <w:rsid w:val="007F4688"/>
    <w:rsid w:val="007F4981"/>
    <w:rsid w:val="007F7FF9"/>
    <w:rsid w:val="00802AB3"/>
    <w:rsid w:val="00805159"/>
    <w:rsid w:val="00806D1B"/>
    <w:rsid w:val="00813794"/>
    <w:rsid w:val="00816B43"/>
    <w:rsid w:val="008277C9"/>
    <w:rsid w:val="00831C7E"/>
    <w:rsid w:val="00833638"/>
    <w:rsid w:val="008337E5"/>
    <w:rsid w:val="00836E2E"/>
    <w:rsid w:val="00842201"/>
    <w:rsid w:val="008434FE"/>
    <w:rsid w:val="00857843"/>
    <w:rsid w:val="00857A9C"/>
    <w:rsid w:val="00860A45"/>
    <w:rsid w:val="00861173"/>
    <w:rsid w:val="00861B82"/>
    <w:rsid w:val="0086270E"/>
    <w:rsid w:val="00862EF0"/>
    <w:rsid w:val="0086795D"/>
    <w:rsid w:val="00871519"/>
    <w:rsid w:val="008765C1"/>
    <w:rsid w:val="00896FC1"/>
    <w:rsid w:val="008A149D"/>
    <w:rsid w:val="008A396A"/>
    <w:rsid w:val="008A47AD"/>
    <w:rsid w:val="008A5DEF"/>
    <w:rsid w:val="008B34AA"/>
    <w:rsid w:val="008B5136"/>
    <w:rsid w:val="008C3579"/>
    <w:rsid w:val="008C695C"/>
    <w:rsid w:val="008C77A0"/>
    <w:rsid w:val="008D0788"/>
    <w:rsid w:val="008D460E"/>
    <w:rsid w:val="008E0D89"/>
    <w:rsid w:val="008E2496"/>
    <w:rsid w:val="008E48F7"/>
    <w:rsid w:val="008F2350"/>
    <w:rsid w:val="008F5054"/>
    <w:rsid w:val="008F6F12"/>
    <w:rsid w:val="00900615"/>
    <w:rsid w:val="00910284"/>
    <w:rsid w:val="00911EA1"/>
    <w:rsid w:val="00914FF0"/>
    <w:rsid w:val="00915002"/>
    <w:rsid w:val="0091569D"/>
    <w:rsid w:val="0092090A"/>
    <w:rsid w:val="0092321D"/>
    <w:rsid w:val="00924282"/>
    <w:rsid w:val="009322B7"/>
    <w:rsid w:val="009330AB"/>
    <w:rsid w:val="00935635"/>
    <w:rsid w:val="00940407"/>
    <w:rsid w:val="00943869"/>
    <w:rsid w:val="00952C00"/>
    <w:rsid w:val="00952E5D"/>
    <w:rsid w:val="00955F48"/>
    <w:rsid w:val="00957599"/>
    <w:rsid w:val="00963523"/>
    <w:rsid w:val="00974B1A"/>
    <w:rsid w:val="0097682F"/>
    <w:rsid w:val="00987DD8"/>
    <w:rsid w:val="00991C9C"/>
    <w:rsid w:val="00991EF6"/>
    <w:rsid w:val="00991F2C"/>
    <w:rsid w:val="009A5FB6"/>
    <w:rsid w:val="009B3397"/>
    <w:rsid w:val="009B361D"/>
    <w:rsid w:val="009B58F8"/>
    <w:rsid w:val="009C214E"/>
    <w:rsid w:val="009C5022"/>
    <w:rsid w:val="009C5C7F"/>
    <w:rsid w:val="009C75E8"/>
    <w:rsid w:val="009D4963"/>
    <w:rsid w:val="009D6E9E"/>
    <w:rsid w:val="009D7D8D"/>
    <w:rsid w:val="009D7F40"/>
    <w:rsid w:val="009E2555"/>
    <w:rsid w:val="009E6C93"/>
    <w:rsid w:val="009E72ED"/>
    <w:rsid w:val="009F062E"/>
    <w:rsid w:val="009F5249"/>
    <w:rsid w:val="00A03BA0"/>
    <w:rsid w:val="00A1441D"/>
    <w:rsid w:val="00A14A1A"/>
    <w:rsid w:val="00A16747"/>
    <w:rsid w:val="00A206D0"/>
    <w:rsid w:val="00A20CE6"/>
    <w:rsid w:val="00A31E49"/>
    <w:rsid w:val="00A33504"/>
    <w:rsid w:val="00A378B7"/>
    <w:rsid w:val="00A378DF"/>
    <w:rsid w:val="00A4038F"/>
    <w:rsid w:val="00A41BE6"/>
    <w:rsid w:val="00A42FA3"/>
    <w:rsid w:val="00A4542E"/>
    <w:rsid w:val="00A47031"/>
    <w:rsid w:val="00A529C8"/>
    <w:rsid w:val="00A57F15"/>
    <w:rsid w:val="00A61A0F"/>
    <w:rsid w:val="00A61C62"/>
    <w:rsid w:val="00A660F6"/>
    <w:rsid w:val="00A72719"/>
    <w:rsid w:val="00A7334F"/>
    <w:rsid w:val="00A74597"/>
    <w:rsid w:val="00A749E7"/>
    <w:rsid w:val="00A75F22"/>
    <w:rsid w:val="00A82755"/>
    <w:rsid w:val="00A829DF"/>
    <w:rsid w:val="00A85F60"/>
    <w:rsid w:val="00AA0F34"/>
    <w:rsid w:val="00AA228F"/>
    <w:rsid w:val="00AA5D67"/>
    <w:rsid w:val="00AA7E75"/>
    <w:rsid w:val="00AA7F17"/>
    <w:rsid w:val="00AB0D4E"/>
    <w:rsid w:val="00AB2A5F"/>
    <w:rsid w:val="00AC1212"/>
    <w:rsid w:val="00AC39B6"/>
    <w:rsid w:val="00AC47B4"/>
    <w:rsid w:val="00AC75E1"/>
    <w:rsid w:val="00AD1AB7"/>
    <w:rsid w:val="00AD3436"/>
    <w:rsid w:val="00AE19EA"/>
    <w:rsid w:val="00AE241E"/>
    <w:rsid w:val="00AF0713"/>
    <w:rsid w:val="00AF0F60"/>
    <w:rsid w:val="00AF17D6"/>
    <w:rsid w:val="00AF6CDE"/>
    <w:rsid w:val="00B0581C"/>
    <w:rsid w:val="00B06832"/>
    <w:rsid w:val="00B11627"/>
    <w:rsid w:val="00B116F9"/>
    <w:rsid w:val="00B127AA"/>
    <w:rsid w:val="00B13260"/>
    <w:rsid w:val="00B13269"/>
    <w:rsid w:val="00B147BB"/>
    <w:rsid w:val="00B147D1"/>
    <w:rsid w:val="00B15F64"/>
    <w:rsid w:val="00B24CD3"/>
    <w:rsid w:val="00B337E5"/>
    <w:rsid w:val="00B35343"/>
    <w:rsid w:val="00B3612A"/>
    <w:rsid w:val="00B36740"/>
    <w:rsid w:val="00B41BAB"/>
    <w:rsid w:val="00B42868"/>
    <w:rsid w:val="00B432AD"/>
    <w:rsid w:val="00B472C8"/>
    <w:rsid w:val="00B475F1"/>
    <w:rsid w:val="00B5038F"/>
    <w:rsid w:val="00B52770"/>
    <w:rsid w:val="00B54CB4"/>
    <w:rsid w:val="00B57A72"/>
    <w:rsid w:val="00B71BAC"/>
    <w:rsid w:val="00B72B60"/>
    <w:rsid w:val="00B77395"/>
    <w:rsid w:val="00B81847"/>
    <w:rsid w:val="00B82F16"/>
    <w:rsid w:val="00B83FA6"/>
    <w:rsid w:val="00B92E8B"/>
    <w:rsid w:val="00B94A5D"/>
    <w:rsid w:val="00B9688E"/>
    <w:rsid w:val="00B97ABD"/>
    <w:rsid w:val="00BA32A9"/>
    <w:rsid w:val="00BB12E8"/>
    <w:rsid w:val="00BB346C"/>
    <w:rsid w:val="00BC47AD"/>
    <w:rsid w:val="00BC702B"/>
    <w:rsid w:val="00BD15E4"/>
    <w:rsid w:val="00BD1DD3"/>
    <w:rsid w:val="00BD2D47"/>
    <w:rsid w:val="00BD489E"/>
    <w:rsid w:val="00BD4D63"/>
    <w:rsid w:val="00BD5058"/>
    <w:rsid w:val="00BE3422"/>
    <w:rsid w:val="00BE7357"/>
    <w:rsid w:val="00BF2564"/>
    <w:rsid w:val="00BF29AF"/>
    <w:rsid w:val="00BF3586"/>
    <w:rsid w:val="00BF3592"/>
    <w:rsid w:val="00BF4D84"/>
    <w:rsid w:val="00BF5865"/>
    <w:rsid w:val="00BF6D08"/>
    <w:rsid w:val="00C07D80"/>
    <w:rsid w:val="00C14AEB"/>
    <w:rsid w:val="00C162C0"/>
    <w:rsid w:val="00C26039"/>
    <w:rsid w:val="00C31F83"/>
    <w:rsid w:val="00C35E5A"/>
    <w:rsid w:val="00C47AB3"/>
    <w:rsid w:val="00C50D19"/>
    <w:rsid w:val="00C57484"/>
    <w:rsid w:val="00C57B39"/>
    <w:rsid w:val="00C64FD4"/>
    <w:rsid w:val="00C679A5"/>
    <w:rsid w:val="00C70D04"/>
    <w:rsid w:val="00C7131C"/>
    <w:rsid w:val="00C82BDE"/>
    <w:rsid w:val="00C8612A"/>
    <w:rsid w:val="00C92378"/>
    <w:rsid w:val="00C94301"/>
    <w:rsid w:val="00C95218"/>
    <w:rsid w:val="00C964B9"/>
    <w:rsid w:val="00CA0CFC"/>
    <w:rsid w:val="00CA60C4"/>
    <w:rsid w:val="00CA64BA"/>
    <w:rsid w:val="00CB3E52"/>
    <w:rsid w:val="00CB4763"/>
    <w:rsid w:val="00CB637E"/>
    <w:rsid w:val="00CB7E79"/>
    <w:rsid w:val="00CC2F71"/>
    <w:rsid w:val="00CC68FF"/>
    <w:rsid w:val="00CC7617"/>
    <w:rsid w:val="00CD710B"/>
    <w:rsid w:val="00CE04BB"/>
    <w:rsid w:val="00CE0ECC"/>
    <w:rsid w:val="00CF23C3"/>
    <w:rsid w:val="00CF2DD6"/>
    <w:rsid w:val="00CF77A9"/>
    <w:rsid w:val="00D00A89"/>
    <w:rsid w:val="00D02102"/>
    <w:rsid w:val="00D06933"/>
    <w:rsid w:val="00D108F1"/>
    <w:rsid w:val="00D10FCC"/>
    <w:rsid w:val="00D13137"/>
    <w:rsid w:val="00D133C8"/>
    <w:rsid w:val="00D16C0A"/>
    <w:rsid w:val="00D171C8"/>
    <w:rsid w:val="00D21432"/>
    <w:rsid w:val="00D23D71"/>
    <w:rsid w:val="00D27DDA"/>
    <w:rsid w:val="00D31924"/>
    <w:rsid w:val="00D31A98"/>
    <w:rsid w:val="00D3256A"/>
    <w:rsid w:val="00D334F8"/>
    <w:rsid w:val="00D337D6"/>
    <w:rsid w:val="00D34FBC"/>
    <w:rsid w:val="00D4051D"/>
    <w:rsid w:val="00D409E1"/>
    <w:rsid w:val="00D551A0"/>
    <w:rsid w:val="00D6057A"/>
    <w:rsid w:val="00D606A6"/>
    <w:rsid w:val="00D60CE0"/>
    <w:rsid w:val="00D65839"/>
    <w:rsid w:val="00D662BC"/>
    <w:rsid w:val="00D668B0"/>
    <w:rsid w:val="00D67792"/>
    <w:rsid w:val="00D75096"/>
    <w:rsid w:val="00D81EF1"/>
    <w:rsid w:val="00D8487B"/>
    <w:rsid w:val="00D8514B"/>
    <w:rsid w:val="00D911EA"/>
    <w:rsid w:val="00D928A3"/>
    <w:rsid w:val="00D92CB7"/>
    <w:rsid w:val="00D9627D"/>
    <w:rsid w:val="00D96F3A"/>
    <w:rsid w:val="00DB426F"/>
    <w:rsid w:val="00DB76C7"/>
    <w:rsid w:val="00DC105A"/>
    <w:rsid w:val="00DD5F98"/>
    <w:rsid w:val="00DD63F8"/>
    <w:rsid w:val="00DF2FBA"/>
    <w:rsid w:val="00DF5A9A"/>
    <w:rsid w:val="00E03CB8"/>
    <w:rsid w:val="00E04444"/>
    <w:rsid w:val="00E1534E"/>
    <w:rsid w:val="00E17E8E"/>
    <w:rsid w:val="00E21D2E"/>
    <w:rsid w:val="00E238B0"/>
    <w:rsid w:val="00E309B9"/>
    <w:rsid w:val="00E32DF9"/>
    <w:rsid w:val="00E3762D"/>
    <w:rsid w:val="00E414F1"/>
    <w:rsid w:val="00E42A60"/>
    <w:rsid w:val="00E471D2"/>
    <w:rsid w:val="00E473F0"/>
    <w:rsid w:val="00E52CBD"/>
    <w:rsid w:val="00E54516"/>
    <w:rsid w:val="00E55D26"/>
    <w:rsid w:val="00E6115A"/>
    <w:rsid w:val="00E616DE"/>
    <w:rsid w:val="00E618DF"/>
    <w:rsid w:val="00E64FF5"/>
    <w:rsid w:val="00E663EA"/>
    <w:rsid w:val="00E72263"/>
    <w:rsid w:val="00E77C49"/>
    <w:rsid w:val="00E823E1"/>
    <w:rsid w:val="00E82E3F"/>
    <w:rsid w:val="00E83E7B"/>
    <w:rsid w:val="00E846CB"/>
    <w:rsid w:val="00E84F7C"/>
    <w:rsid w:val="00E86A2D"/>
    <w:rsid w:val="00E86BE4"/>
    <w:rsid w:val="00E86FB2"/>
    <w:rsid w:val="00E877F7"/>
    <w:rsid w:val="00E90479"/>
    <w:rsid w:val="00E90547"/>
    <w:rsid w:val="00E9702C"/>
    <w:rsid w:val="00E97812"/>
    <w:rsid w:val="00EA5B2E"/>
    <w:rsid w:val="00EA64C0"/>
    <w:rsid w:val="00EA7808"/>
    <w:rsid w:val="00EB0290"/>
    <w:rsid w:val="00EB0DD9"/>
    <w:rsid w:val="00EB12E7"/>
    <w:rsid w:val="00EB275F"/>
    <w:rsid w:val="00EB41C7"/>
    <w:rsid w:val="00EB4EB5"/>
    <w:rsid w:val="00EB5C2F"/>
    <w:rsid w:val="00EC208B"/>
    <w:rsid w:val="00EC439F"/>
    <w:rsid w:val="00EC477F"/>
    <w:rsid w:val="00EC69DF"/>
    <w:rsid w:val="00ED39E4"/>
    <w:rsid w:val="00ED411F"/>
    <w:rsid w:val="00ED489C"/>
    <w:rsid w:val="00ED7B8F"/>
    <w:rsid w:val="00ED7DBD"/>
    <w:rsid w:val="00EE6819"/>
    <w:rsid w:val="00EF062D"/>
    <w:rsid w:val="00EF1901"/>
    <w:rsid w:val="00EF4638"/>
    <w:rsid w:val="00F053F5"/>
    <w:rsid w:val="00F100DD"/>
    <w:rsid w:val="00F12CE8"/>
    <w:rsid w:val="00F151D5"/>
    <w:rsid w:val="00F152B8"/>
    <w:rsid w:val="00F170BA"/>
    <w:rsid w:val="00F2161A"/>
    <w:rsid w:val="00F217D7"/>
    <w:rsid w:val="00F25DDF"/>
    <w:rsid w:val="00F26CF5"/>
    <w:rsid w:val="00F3008C"/>
    <w:rsid w:val="00F311EE"/>
    <w:rsid w:val="00F445F0"/>
    <w:rsid w:val="00F453C3"/>
    <w:rsid w:val="00F4657A"/>
    <w:rsid w:val="00F51602"/>
    <w:rsid w:val="00F65061"/>
    <w:rsid w:val="00F677BA"/>
    <w:rsid w:val="00F75549"/>
    <w:rsid w:val="00F8076D"/>
    <w:rsid w:val="00F85776"/>
    <w:rsid w:val="00F8763F"/>
    <w:rsid w:val="00F90746"/>
    <w:rsid w:val="00FA57B8"/>
    <w:rsid w:val="00FA63CC"/>
    <w:rsid w:val="00FA66E7"/>
    <w:rsid w:val="00FB00BC"/>
    <w:rsid w:val="00FB4F59"/>
    <w:rsid w:val="00FB64DD"/>
    <w:rsid w:val="00FC1590"/>
    <w:rsid w:val="00FD0450"/>
    <w:rsid w:val="00FD18CF"/>
    <w:rsid w:val="00FD3DF8"/>
    <w:rsid w:val="00FD5183"/>
    <w:rsid w:val="00FE6C7C"/>
    <w:rsid w:val="00FF0ED1"/>
    <w:rsid w:val="00FF36EF"/>
    <w:rsid w:val="00FF426B"/>
    <w:rsid w:val="00FF7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668F2D20-AF15-4F2D-8DC8-30FFFAF3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FD4"/>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FollowedHyperlink">
    <w:name w:val="FollowedHyperlink"/>
    <w:basedOn w:val="DefaultParagraphFont"/>
    <w:uiPriority w:val="99"/>
    <w:semiHidden/>
    <w:unhideWhenUsed/>
    <w:rsid w:val="004964DC"/>
    <w:rPr>
      <w:color w:val="96607D" w:themeColor="followedHyperlink"/>
      <w:u w:val="single"/>
    </w:rPr>
  </w:style>
  <w:style w:type="character" w:styleId="CommentReference">
    <w:name w:val="annotation reference"/>
    <w:basedOn w:val="DefaultParagraphFont"/>
    <w:uiPriority w:val="99"/>
    <w:semiHidden/>
    <w:unhideWhenUsed/>
    <w:rsid w:val="00115618"/>
    <w:rPr>
      <w:sz w:val="16"/>
      <w:szCs w:val="16"/>
    </w:rPr>
  </w:style>
  <w:style w:type="paragraph" w:styleId="CommentText">
    <w:name w:val="annotation text"/>
    <w:basedOn w:val="Normal"/>
    <w:link w:val="CommentTextChar"/>
    <w:uiPriority w:val="99"/>
    <w:unhideWhenUsed/>
    <w:rsid w:val="00115618"/>
    <w:pPr>
      <w:spacing w:line="240" w:lineRule="auto"/>
    </w:pPr>
    <w:rPr>
      <w:sz w:val="20"/>
      <w:szCs w:val="20"/>
    </w:rPr>
  </w:style>
  <w:style w:type="character" w:customStyle="1" w:styleId="CommentTextChar">
    <w:name w:val="Comment Text Char"/>
    <w:basedOn w:val="DefaultParagraphFont"/>
    <w:link w:val="CommentText"/>
    <w:uiPriority w:val="99"/>
    <w:rsid w:val="00115618"/>
    <w:rPr>
      <w:sz w:val="20"/>
      <w:szCs w:val="20"/>
    </w:rPr>
  </w:style>
  <w:style w:type="paragraph" w:styleId="CommentSubject">
    <w:name w:val="annotation subject"/>
    <w:basedOn w:val="CommentText"/>
    <w:next w:val="CommentText"/>
    <w:link w:val="CommentSubjectChar"/>
    <w:uiPriority w:val="99"/>
    <w:semiHidden/>
    <w:unhideWhenUsed/>
    <w:rsid w:val="00115618"/>
    <w:rPr>
      <w:b/>
      <w:bCs/>
    </w:rPr>
  </w:style>
  <w:style w:type="character" w:customStyle="1" w:styleId="CommentSubjectChar">
    <w:name w:val="Comment Subject Char"/>
    <w:basedOn w:val="CommentTextChar"/>
    <w:link w:val="CommentSubject"/>
    <w:uiPriority w:val="99"/>
    <w:semiHidden/>
    <w:rsid w:val="00115618"/>
    <w:rPr>
      <w:b/>
      <w:bCs/>
      <w:sz w:val="20"/>
      <w:szCs w:val="20"/>
    </w:rPr>
  </w:style>
  <w:style w:type="character" w:styleId="Mention">
    <w:name w:val="Mention"/>
    <w:basedOn w:val="DefaultParagraphFont"/>
    <w:uiPriority w:val="99"/>
    <w:unhideWhenUsed/>
    <w:rsid w:val="005D6F9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hammad.enal@hutamakarya.com" TargetMode="External"/><Relationship Id="rId5" Type="http://schemas.openxmlformats.org/officeDocument/2006/relationships/numbering" Target="numbering.xml"/><Relationship Id="rId15" Type="http://schemas.openxmlformats.org/officeDocument/2006/relationships/chart" Target="charts/chart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Legacy Projects</c:v>
                </c:pt>
              </c:strCache>
            </c:strRef>
          </c:tx>
          <c:spPr>
            <a:ln w="28575" cap="rnd">
              <a:solidFill>
                <a:schemeClr val="accent5">
                  <a:lumMod val="60000"/>
                  <a:lumOff val="40000"/>
                </a:schemeClr>
              </a:solidFill>
              <a:round/>
            </a:ln>
            <a:effectLst/>
          </c:spPr>
          <c:marker>
            <c:symbol val="none"/>
          </c:marker>
          <c:cat>
            <c:strRef>
              <c:f>Sheet1!$A$2:$A$10</c:f>
              <c:strCache>
                <c:ptCount val="9"/>
                <c:pt idx="0">
                  <c:v>Apr</c:v>
                </c:pt>
                <c:pt idx="1">
                  <c:v>May</c:v>
                </c:pt>
                <c:pt idx="2">
                  <c:v>Jun</c:v>
                </c:pt>
                <c:pt idx="3">
                  <c:v>Jul</c:v>
                </c:pt>
                <c:pt idx="4">
                  <c:v>Aug</c:v>
                </c:pt>
                <c:pt idx="5">
                  <c:v>Sep</c:v>
                </c:pt>
                <c:pt idx="6">
                  <c:v>Oct</c:v>
                </c:pt>
                <c:pt idx="7">
                  <c:v>Nov</c:v>
                </c:pt>
                <c:pt idx="8">
                  <c:v>Dec</c:v>
                </c:pt>
              </c:strCache>
            </c:strRef>
          </c:cat>
          <c:val>
            <c:numRef>
              <c:f>Sheet1!$B$2:$B$10</c:f>
              <c:numCache>
                <c:formatCode>0.00</c:formatCode>
                <c:ptCount val="9"/>
                <c:pt idx="0">
                  <c:v>70.144343803418806</c:v>
                </c:pt>
                <c:pt idx="1">
                  <c:v>75.093981445873254</c:v>
                </c:pt>
                <c:pt idx="2">
                  <c:v>79.679197615384624</c:v>
                </c:pt>
                <c:pt idx="3">
                  <c:v>81.570034841625016</c:v>
                </c:pt>
                <c:pt idx="4">
                  <c:v>83.022615268970029</c:v>
                </c:pt>
                <c:pt idx="5">
                  <c:v>84.712768406156385</c:v>
                </c:pt>
                <c:pt idx="6">
                  <c:v>85.433201831653918</c:v>
                </c:pt>
                <c:pt idx="7">
                  <c:v>85.534981120865837</c:v>
                </c:pt>
                <c:pt idx="8">
                  <c:v>86.688111005474326</c:v>
                </c:pt>
              </c:numCache>
            </c:numRef>
          </c:val>
          <c:smooth val="0"/>
          <c:extLst>
            <c:ext xmlns:c16="http://schemas.microsoft.com/office/drawing/2014/chart" uri="{C3380CC4-5D6E-409C-BE32-E72D297353CC}">
              <c16:uniqueId val="{00000000-148E-4DE3-AF86-E23CE572FC6C}"/>
            </c:ext>
          </c:extLst>
        </c:ser>
        <c:ser>
          <c:idx val="1"/>
          <c:order val="1"/>
          <c:tx>
            <c:strRef>
              <c:f>Sheet1!$C$1</c:f>
              <c:strCache>
                <c:ptCount val="1"/>
                <c:pt idx="0">
                  <c:v>New Projects</c:v>
                </c:pt>
              </c:strCache>
            </c:strRef>
          </c:tx>
          <c:spPr>
            <a:ln w="28575" cap="rnd">
              <a:solidFill>
                <a:schemeClr val="accent2"/>
              </a:solidFill>
              <a:round/>
            </a:ln>
            <a:effectLst/>
          </c:spPr>
          <c:marker>
            <c:symbol val="none"/>
          </c:marker>
          <c:cat>
            <c:strRef>
              <c:f>Sheet1!$A$2:$A$10</c:f>
              <c:strCache>
                <c:ptCount val="9"/>
                <c:pt idx="0">
                  <c:v>Apr</c:v>
                </c:pt>
                <c:pt idx="1">
                  <c:v>May</c:v>
                </c:pt>
                <c:pt idx="2">
                  <c:v>Jun</c:v>
                </c:pt>
                <c:pt idx="3">
                  <c:v>Jul</c:v>
                </c:pt>
                <c:pt idx="4">
                  <c:v>Aug</c:v>
                </c:pt>
                <c:pt idx="5">
                  <c:v>Sep</c:v>
                </c:pt>
                <c:pt idx="6">
                  <c:v>Oct</c:v>
                </c:pt>
                <c:pt idx="7">
                  <c:v>Nov</c:v>
                </c:pt>
                <c:pt idx="8">
                  <c:v>Dec</c:v>
                </c:pt>
              </c:strCache>
            </c:strRef>
          </c:cat>
          <c:val>
            <c:numRef>
              <c:f>Sheet1!$C$2:$C$10</c:f>
              <c:numCache>
                <c:formatCode>0.00</c:formatCode>
                <c:ptCount val="9"/>
                <c:pt idx="1">
                  <c:v>41.647857142857141</c:v>
                </c:pt>
                <c:pt idx="2">
                  <c:v>61.549166666666665</c:v>
                </c:pt>
                <c:pt idx="3">
                  <c:v>74.80599158227875</c:v>
                </c:pt>
                <c:pt idx="4">
                  <c:v>66.242335225518502</c:v>
                </c:pt>
                <c:pt idx="5">
                  <c:v>70.887694032833636</c:v>
                </c:pt>
                <c:pt idx="6">
                  <c:v>77.107708333333335</c:v>
                </c:pt>
                <c:pt idx="7">
                  <c:v>77.087626589848526</c:v>
                </c:pt>
                <c:pt idx="8">
                  <c:v>84.40516753833829</c:v>
                </c:pt>
              </c:numCache>
            </c:numRef>
          </c:val>
          <c:smooth val="0"/>
          <c:extLst>
            <c:ext xmlns:c16="http://schemas.microsoft.com/office/drawing/2014/chart" uri="{C3380CC4-5D6E-409C-BE32-E72D297353CC}">
              <c16:uniqueId val="{00000001-148E-4DE3-AF86-E23CE572FC6C}"/>
            </c:ext>
          </c:extLst>
        </c:ser>
        <c:ser>
          <c:idx val="2"/>
          <c:order val="2"/>
          <c:tx>
            <c:strRef>
              <c:f>Sheet1!$D$1</c:f>
              <c:strCache>
                <c:ptCount val="1"/>
                <c:pt idx="0">
                  <c:v>Total Projects</c:v>
                </c:pt>
              </c:strCache>
            </c:strRef>
          </c:tx>
          <c:spPr>
            <a:ln w="28575" cap="rnd">
              <a:solidFill>
                <a:schemeClr val="accent3">
                  <a:lumMod val="60000"/>
                  <a:lumOff val="40000"/>
                </a:schemeClr>
              </a:solidFill>
              <a:round/>
            </a:ln>
            <a:effectLst/>
          </c:spPr>
          <c:marker>
            <c:symbol val="none"/>
          </c:marker>
          <c:cat>
            <c:strRef>
              <c:f>Sheet1!$A$2:$A$10</c:f>
              <c:strCache>
                <c:ptCount val="9"/>
                <c:pt idx="0">
                  <c:v>Apr</c:v>
                </c:pt>
                <c:pt idx="1">
                  <c:v>May</c:v>
                </c:pt>
                <c:pt idx="2">
                  <c:v>Jun</c:v>
                </c:pt>
                <c:pt idx="3">
                  <c:v>Jul</c:v>
                </c:pt>
                <c:pt idx="4">
                  <c:v>Aug</c:v>
                </c:pt>
                <c:pt idx="5">
                  <c:v>Sep</c:v>
                </c:pt>
                <c:pt idx="6">
                  <c:v>Oct</c:v>
                </c:pt>
                <c:pt idx="7">
                  <c:v>Nov</c:v>
                </c:pt>
                <c:pt idx="8">
                  <c:v>Dec</c:v>
                </c:pt>
              </c:strCache>
            </c:strRef>
          </c:cat>
          <c:val>
            <c:numRef>
              <c:f>Sheet1!$D$2:$D$10</c:f>
              <c:numCache>
                <c:formatCode>0.00</c:formatCode>
                <c:ptCount val="9"/>
                <c:pt idx="0">
                  <c:v>70.144343803418806</c:v>
                </c:pt>
                <c:pt idx="1">
                  <c:v>73.637555923357951</c:v>
                </c:pt>
                <c:pt idx="2">
                  <c:v>78.253174538461536</c:v>
                </c:pt>
                <c:pt idx="3">
                  <c:v>81.042358477947232</c:v>
                </c:pt>
                <c:pt idx="4">
                  <c:v>81.671126188676737</c:v>
                </c:pt>
                <c:pt idx="5">
                  <c:v>83.576562761623137</c:v>
                </c:pt>
                <c:pt idx="6">
                  <c:v>84.750577577326368</c:v>
                </c:pt>
                <c:pt idx="7">
                  <c:v>84.747764669606326</c:v>
                </c:pt>
                <c:pt idx="8">
                  <c:v>86.470292394815857</c:v>
                </c:pt>
              </c:numCache>
            </c:numRef>
          </c:val>
          <c:smooth val="0"/>
          <c:extLst>
            <c:ext xmlns:c16="http://schemas.microsoft.com/office/drawing/2014/chart" uri="{C3380CC4-5D6E-409C-BE32-E72D297353CC}">
              <c16:uniqueId val="{00000002-148E-4DE3-AF86-E23CE572FC6C}"/>
            </c:ext>
          </c:extLst>
        </c:ser>
        <c:dLbls>
          <c:showLegendKey val="0"/>
          <c:showVal val="0"/>
          <c:showCatName val="0"/>
          <c:showSerName val="0"/>
          <c:showPercent val="0"/>
          <c:showBubbleSize val="0"/>
        </c:dLbls>
        <c:smooth val="0"/>
        <c:axId val="1706598463"/>
        <c:axId val="1706597023"/>
      </c:lineChart>
      <c:catAx>
        <c:axId val="17065984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597023"/>
        <c:crosses val="autoZero"/>
        <c:auto val="1"/>
        <c:lblAlgn val="ctr"/>
        <c:lblOffset val="100"/>
        <c:noMultiLvlLbl val="0"/>
      </c:catAx>
      <c:valAx>
        <c:axId val="1706597023"/>
        <c:scaling>
          <c:orientation val="minMax"/>
          <c:max val="11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a:t>Compliance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598463"/>
        <c:crosses val="autoZero"/>
        <c:crossBetween val="between"/>
        <c:minorUnit val="10"/>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Divisions</c:v>
          </c:tx>
          <c:spPr>
            <a:solidFill>
              <a:schemeClr val="accent1"/>
            </a:solidFill>
            <a:ln>
              <a:noFill/>
            </a:ln>
            <a:effectLst/>
          </c:spPr>
          <c:invertIfNegative val="0"/>
          <c:dPt>
            <c:idx val="0"/>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4-BFDE-414A-9F74-A6BB1B8DB311}"/>
              </c:ext>
            </c:extLst>
          </c:dPt>
          <c:dPt>
            <c:idx val="1"/>
            <c:invertIfNegative val="0"/>
            <c:bubble3D val="0"/>
            <c:spPr>
              <a:solidFill>
                <a:schemeClr val="tx2">
                  <a:lumMod val="50000"/>
                  <a:lumOff val="50000"/>
                </a:schemeClr>
              </a:solidFill>
              <a:ln>
                <a:noFill/>
              </a:ln>
              <a:effectLst/>
            </c:spPr>
            <c:extLst>
              <c:ext xmlns:c16="http://schemas.microsoft.com/office/drawing/2014/chart" uri="{C3380CC4-5D6E-409C-BE32-E72D297353CC}">
                <c16:uniqueId val="{00000005-BFDE-414A-9F74-A6BB1B8DB311}"/>
              </c:ext>
            </c:extLst>
          </c:dPt>
          <c:dPt>
            <c:idx val="2"/>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6-BFDE-414A-9F74-A6BB1B8DB311}"/>
              </c:ext>
            </c:extLst>
          </c:dPt>
          <c:dPt>
            <c:idx val="3"/>
            <c:invertIfNegative val="0"/>
            <c:bubble3D val="0"/>
            <c:spPr>
              <a:solidFill>
                <a:srgbClr val="92D050"/>
              </a:solidFill>
              <a:ln>
                <a:noFill/>
              </a:ln>
              <a:effectLst/>
            </c:spPr>
            <c:extLst>
              <c:ext xmlns:c16="http://schemas.microsoft.com/office/drawing/2014/chart" uri="{C3380CC4-5D6E-409C-BE32-E72D297353CC}">
                <c16:uniqueId val="{00000007-BFDE-414A-9F74-A6BB1B8DB311}"/>
              </c:ext>
            </c:extLst>
          </c:dPt>
          <c:cat>
            <c:strRef>
              <c:f>Sheet1!$A$2:$A$5</c:f>
              <c:strCache>
                <c:ptCount val="4"/>
                <c:pt idx="0">
                  <c:v>Infrastructure</c:v>
                </c:pt>
                <c:pt idx="1">
                  <c:v>Vertical Building</c:v>
                </c:pt>
                <c:pt idx="2">
                  <c:v>EPC</c:v>
                </c:pt>
                <c:pt idx="3">
                  <c:v>Toll Road Developer</c:v>
                </c:pt>
              </c:strCache>
            </c:strRef>
          </c:cat>
          <c:val>
            <c:numRef>
              <c:f>Sheet1!$B$2:$B$5</c:f>
              <c:numCache>
                <c:formatCode>0.00</c:formatCode>
                <c:ptCount val="4"/>
                <c:pt idx="0">
                  <c:v>88.096258544061286</c:v>
                </c:pt>
                <c:pt idx="1">
                  <c:v>84.085649496740615</c:v>
                </c:pt>
                <c:pt idx="2">
                  <c:v>86.941000000000003</c:v>
                </c:pt>
                <c:pt idx="3">
                  <c:v>86.758261538461525</c:v>
                </c:pt>
              </c:numCache>
            </c:numRef>
          </c:val>
          <c:extLst>
            <c:ext xmlns:c16="http://schemas.microsoft.com/office/drawing/2014/chart" uri="{C3380CC4-5D6E-409C-BE32-E72D297353CC}">
              <c16:uniqueId val="{00000000-BFDE-414A-9F74-A6BB1B8DB311}"/>
            </c:ext>
          </c:extLst>
        </c:ser>
        <c:dLbls>
          <c:showLegendKey val="0"/>
          <c:showVal val="0"/>
          <c:showCatName val="0"/>
          <c:showSerName val="0"/>
          <c:showPercent val="0"/>
          <c:showBubbleSize val="0"/>
        </c:dLbls>
        <c:gapWidth val="219"/>
        <c:overlap val="-27"/>
        <c:axId val="1212795967"/>
        <c:axId val="1212798847"/>
      </c:barChart>
      <c:catAx>
        <c:axId val="1212795967"/>
        <c:scaling>
          <c:orientation val="minMax"/>
        </c:scaling>
        <c:delete val="1"/>
        <c:axPos val="b"/>
        <c:numFmt formatCode="General" sourceLinked="1"/>
        <c:majorTickMark val="none"/>
        <c:minorTickMark val="none"/>
        <c:tickLblPos val="nextTo"/>
        <c:crossAx val="1212798847"/>
        <c:crosses val="autoZero"/>
        <c:auto val="1"/>
        <c:lblAlgn val="ctr"/>
        <c:lblOffset val="100"/>
        <c:noMultiLvlLbl val="0"/>
      </c:catAx>
      <c:valAx>
        <c:axId val="1212798847"/>
        <c:scaling>
          <c:orientation val="minMax"/>
          <c:max val="11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a:t>Compliance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2795967"/>
        <c:crosses val="autoZero"/>
        <c:crossBetween val="between"/>
        <c:minorUnit val="10"/>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2"/>
          <c:order val="0"/>
          <c:tx>
            <c:strRef>
              <c:f>Sheet1!$A$2</c:f>
              <c:strCache>
                <c:ptCount val="1"/>
                <c:pt idx="0">
                  <c:v>Infrastructure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Sheet1!$B$1:$I$1</c:f>
              <c:strCache>
                <c:ptCount val="8"/>
                <c:pt idx="0">
                  <c:v>Standard Governance</c:v>
                </c:pt>
                <c:pt idx="1">
                  <c:v>Dig. Survey</c:v>
                </c:pt>
                <c:pt idx="2">
                  <c:v>Dig. Engineering</c:v>
                </c:pt>
                <c:pt idx="3">
                  <c:v>Dig. Procurement</c:v>
                </c:pt>
                <c:pt idx="4">
                  <c:v>Dig. Project Monitoring</c:v>
                </c:pt>
                <c:pt idx="5">
                  <c:v>DMS</c:v>
                </c:pt>
                <c:pt idx="6">
                  <c:v>Dig. QC</c:v>
                </c:pt>
                <c:pt idx="7">
                  <c:v>Dig. Advanced Equipment</c:v>
                </c:pt>
              </c:strCache>
            </c:strRef>
          </c:cat>
          <c:val>
            <c:numRef>
              <c:f>Sheet1!$B$2:$I$2</c:f>
              <c:numCache>
                <c:formatCode>0.00%</c:formatCode>
                <c:ptCount val="8"/>
                <c:pt idx="0">
                  <c:v>0.94302262931034475</c:v>
                </c:pt>
                <c:pt idx="1">
                  <c:v>0.93965517241379315</c:v>
                </c:pt>
                <c:pt idx="2">
                  <c:v>0.83449071421554188</c:v>
                </c:pt>
                <c:pt idx="3">
                  <c:v>0.84689655172413836</c:v>
                </c:pt>
                <c:pt idx="4">
                  <c:v>0.76259946949602131</c:v>
                </c:pt>
                <c:pt idx="5">
                  <c:v>0.81551724137931025</c:v>
                </c:pt>
                <c:pt idx="6">
                  <c:v>0.25862068965517243</c:v>
                </c:pt>
                <c:pt idx="7">
                  <c:v>0.21551724137931033</c:v>
                </c:pt>
              </c:numCache>
            </c:numRef>
          </c:val>
          <c:extLst>
            <c:ext xmlns:c16="http://schemas.microsoft.com/office/drawing/2014/chart" uri="{C3380CC4-5D6E-409C-BE32-E72D297353CC}">
              <c16:uniqueId val="{0000000A-9DAD-46C0-B88D-5D67E5E0E5DB}"/>
            </c:ext>
          </c:extLst>
        </c:ser>
        <c:ser>
          <c:idx val="3"/>
          <c:order val="1"/>
          <c:tx>
            <c:strRef>
              <c:f>Sheet1!$A$3</c:f>
              <c:strCache>
                <c:ptCount val="1"/>
                <c:pt idx="0">
                  <c:v>Vertical Building</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Sheet1!$B$1:$I$1</c:f>
              <c:strCache>
                <c:ptCount val="8"/>
                <c:pt idx="0">
                  <c:v>Standard Governance</c:v>
                </c:pt>
                <c:pt idx="1">
                  <c:v>Dig. Survey</c:v>
                </c:pt>
                <c:pt idx="2">
                  <c:v>Dig. Engineering</c:v>
                </c:pt>
                <c:pt idx="3">
                  <c:v>Dig. Procurement</c:v>
                </c:pt>
                <c:pt idx="4">
                  <c:v>Dig. Project Monitoring</c:v>
                </c:pt>
                <c:pt idx="5">
                  <c:v>DMS</c:v>
                </c:pt>
                <c:pt idx="6">
                  <c:v>Dig. QC</c:v>
                </c:pt>
                <c:pt idx="7">
                  <c:v>Dig. Advanced Equipment</c:v>
                </c:pt>
              </c:strCache>
            </c:strRef>
          </c:cat>
          <c:val>
            <c:numRef>
              <c:f>Sheet1!$B$3:$I$3</c:f>
              <c:numCache>
                <c:formatCode>0.00%</c:formatCode>
                <c:ptCount val="8"/>
                <c:pt idx="0">
                  <c:v>0.98094951923076923</c:v>
                </c:pt>
                <c:pt idx="1">
                  <c:v>0.82692307692307709</c:v>
                </c:pt>
                <c:pt idx="2">
                  <c:v>0.81439370833194225</c:v>
                </c:pt>
                <c:pt idx="3">
                  <c:v>0.79076923076923067</c:v>
                </c:pt>
                <c:pt idx="4">
                  <c:v>0.58709072978303745</c:v>
                </c:pt>
                <c:pt idx="5">
                  <c:v>0.86538461538461542</c:v>
                </c:pt>
                <c:pt idx="6">
                  <c:v>0.48076923076923078</c:v>
                </c:pt>
                <c:pt idx="7">
                  <c:v>0</c:v>
                </c:pt>
              </c:numCache>
            </c:numRef>
          </c:val>
          <c:extLst>
            <c:ext xmlns:c16="http://schemas.microsoft.com/office/drawing/2014/chart" uri="{C3380CC4-5D6E-409C-BE32-E72D297353CC}">
              <c16:uniqueId val="{0000000B-9DAD-46C0-B88D-5D67E5E0E5DB}"/>
            </c:ext>
          </c:extLst>
        </c:ser>
        <c:ser>
          <c:idx val="4"/>
          <c:order val="2"/>
          <c:tx>
            <c:strRef>
              <c:f>Sheet1!$A$4</c:f>
              <c:strCache>
                <c:ptCount val="1"/>
                <c:pt idx="0">
                  <c:v>EPC</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Sheet1!$B$1:$I$1</c:f>
              <c:strCache>
                <c:ptCount val="8"/>
                <c:pt idx="0">
                  <c:v>Standard Governance</c:v>
                </c:pt>
                <c:pt idx="1">
                  <c:v>Dig. Survey</c:v>
                </c:pt>
                <c:pt idx="2">
                  <c:v>Dig. Engineering</c:v>
                </c:pt>
                <c:pt idx="3">
                  <c:v>Dig. Procurement</c:v>
                </c:pt>
                <c:pt idx="4">
                  <c:v>Dig. Project Monitoring</c:v>
                </c:pt>
                <c:pt idx="5">
                  <c:v>DMS</c:v>
                </c:pt>
                <c:pt idx="6">
                  <c:v>Dig. QC</c:v>
                </c:pt>
                <c:pt idx="7">
                  <c:v>Dig. Advanced Equipment</c:v>
                </c:pt>
              </c:strCache>
            </c:strRef>
          </c:cat>
          <c:val>
            <c:numRef>
              <c:f>Sheet1!$B$4:$I$4</c:f>
              <c:numCache>
                <c:formatCode>0.00%</c:formatCode>
                <c:ptCount val="8"/>
                <c:pt idx="0">
                  <c:v>0.95937499999999998</c:v>
                </c:pt>
                <c:pt idx="1">
                  <c:v>0.81666666666666665</c:v>
                </c:pt>
                <c:pt idx="2">
                  <c:v>0.9236153846153845</c:v>
                </c:pt>
                <c:pt idx="3">
                  <c:v>0.79999999999999993</c:v>
                </c:pt>
                <c:pt idx="4">
                  <c:v>0.63230769230769235</c:v>
                </c:pt>
                <c:pt idx="5">
                  <c:v>0.95</c:v>
                </c:pt>
                <c:pt idx="6">
                  <c:v>0</c:v>
                </c:pt>
                <c:pt idx="7">
                  <c:v>0</c:v>
                </c:pt>
              </c:numCache>
            </c:numRef>
          </c:val>
          <c:extLst>
            <c:ext xmlns:c16="http://schemas.microsoft.com/office/drawing/2014/chart" uri="{C3380CC4-5D6E-409C-BE32-E72D297353CC}">
              <c16:uniqueId val="{0000000C-9DAD-46C0-B88D-5D67E5E0E5DB}"/>
            </c:ext>
          </c:extLst>
        </c:ser>
        <c:ser>
          <c:idx val="0"/>
          <c:order val="3"/>
          <c:tx>
            <c:strRef>
              <c:f>Sheet1!$A$5</c:f>
              <c:strCache>
                <c:ptCount val="1"/>
                <c:pt idx="0">
                  <c:v>Toll Road Developer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Sheet1!$B$1:$I$1</c:f>
              <c:strCache>
                <c:ptCount val="8"/>
                <c:pt idx="0">
                  <c:v>Standard Governance</c:v>
                </c:pt>
                <c:pt idx="1">
                  <c:v>Dig. Survey</c:v>
                </c:pt>
                <c:pt idx="2">
                  <c:v>Dig. Engineering</c:v>
                </c:pt>
                <c:pt idx="3">
                  <c:v>Dig. Procurement</c:v>
                </c:pt>
                <c:pt idx="4">
                  <c:v>Dig. Project Monitoring</c:v>
                </c:pt>
                <c:pt idx="5">
                  <c:v>DMS</c:v>
                </c:pt>
                <c:pt idx="6">
                  <c:v>Dig. QC</c:v>
                </c:pt>
                <c:pt idx="7">
                  <c:v>Dig. Advanced Equipment</c:v>
                </c:pt>
              </c:strCache>
            </c:strRef>
          </c:cat>
          <c:val>
            <c:numRef>
              <c:f>Sheet1!$B$5:$I$5</c:f>
              <c:numCache>
                <c:formatCode>0.00%</c:formatCode>
                <c:ptCount val="8"/>
                <c:pt idx="0">
                  <c:v>0.91514423076923079</c:v>
                </c:pt>
                <c:pt idx="1">
                  <c:v>0.96794871794871795</c:v>
                </c:pt>
                <c:pt idx="2">
                  <c:v>0.76846627218934915</c:v>
                </c:pt>
                <c:pt idx="3">
                  <c:v>0.84307692307692306</c:v>
                </c:pt>
                <c:pt idx="4">
                  <c:v>0.68890532544378691</c:v>
                </c:pt>
                <c:pt idx="5">
                  <c:v>0.77692307692307705</c:v>
                </c:pt>
                <c:pt idx="6">
                  <c:v>0.36538461538461536</c:v>
                </c:pt>
                <c:pt idx="7">
                  <c:v>0.63461538461538458</c:v>
                </c:pt>
              </c:numCache>
            </c:numRef>
          </c:val>
          <c:extLst>
            <c:ext xmlns:c16="http://schemas.microsoft.com/office/drawing/2014/chart" uri="{C3380CC4-5D6E-409C-BE32-E72D297353CC}">
              <c16:uniqueId val="{0000000D-9DAD-46C0-B88D-5D67E5E0E5DB}"/>
            </c:ext>
          </c:extLst>
        </c:ser>
        <c:dLbls>
          <c:showLegendKey val="0"/>
          <c:showVal val="0"/>
          <c:showCatName val="0"/>
          <c:showSerName val="0"/>
          <c:showPercent val="0"/>
          <c:showBubbleSize val="0"/>
        </c:dLbls>
        <c:axId val="1169521903"/>
        <c:axId val="1169523823"/>
      </c:radarChart>
      <c:catAx>
        <c:axId val="1169521903"/>
        <c:scaling>
          <c:orientation val="minMax"/>
        </c:scaling>
        <c:delete val="0"/>
        <c:axPos val="b"/>
        <c:numFmt formatCode="General" sourceLinked="1"/>
        <c:majorTickMark val="none"/>
        <c:minorTickMark val="none"/>
        <c:tickLblPos val="nextTo"/>
        <c:spPr>
          <a:noFill/>
          <a:ln w="25400"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9523823"/>
        <c:crosses val="autoZero"/>
        <c:auto val="1"/>
        <c:lblAlgn val="ctr"/>
        <c:lblOffset val="100"/>
        <c:noMultiLvlLbl val="0"/>
      </c:catAx>
      <c:valAx>
        <c:axId val="1169523823"/>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116952190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c7af099-d97e-4a67-9cdd-95cce5707c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D897E85624D64BBC1CB5B89EAA1155" ma:contentTypeVersion="16" ma:contentTypeDescription="Create a new document." ma:contentTypeScope="" ma:versionID="19ce6d46d83c57988ffa329a58c95bc7">
  <xsd:schema xmlns:xsd="http://www.w3.org/2001/XMLSchema" xmlns:xs="http://www.w3.org/2001/XMLSchema" xmlns:p="http://schemas.microsoft.com/office/2006/metadata/properties" xmlns:ns3="ac7af099-d97e-4a67-9cdd-95cce5707cc9" xmlns:ns4="9a619b87-4dc7-4211-ad0b-8a2d94767aab" targetNamespace="http://schemas.microsoft.com/office/2006/metadata/properties" ma:root="true" ma:fieldsID="059141aeea89a9d5f824974d57b11307" ns3:_="" ns4:_="">
    <xsd:import namespace="ac7af099-d97e-4a67-9cdd-95cce5707cc9"/>
    <xsd:import namespace="9a619b87-4dc7-4211-ad0b-8a2d94767aab"/>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af099-d97e-4a67-9cdd-95cce5707cc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19b87-4dc7-4211-ad0b-8a2d94767aab"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DAB526-EB52-4BE9-A8B6-AF4FBC3333D1}">
  <ds:schemaRefs>
    <ds:schemaRef ds:uri="http://schemas.microsoft.com/office/2006/metadata/properties"/>
    <ds:schemaRef ds:uri="http://schemas.microsoft.com/office/infopath/2007/PartnerControls"/>
    <ds:schemaRef ds:uri="ac7af099-d97e-4a67-9cdd-95cce5707cc9"/>
  </ds:schemaRefs>
</ds:datastoreItem>
</file>

<file path=customXml/itemProps2.xml><?xml version="1.0" encoding="utf-8"?>
<ds:datastoreItem xmlns:ds="http://schemas.openxmlformats.org/officeDocument/2006/customXml" ds:itemID="{7FE3D72A-FC68-4029-B477-5F2AD6DDB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af099-d97e-4a67-9cdd-95cce5707cc9"/>
    <ds:schemaRef ds:uri="9a619b87-4dc7-4211-ad0b-8a2d94767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EB1AD-F58B-45F3-B808-B368CA462093}">
  <ds:schemaRefs>
    <ds:schemaRef ds:uri="http://schemas.openxmlformats.org/officeDocument/2006/bibliography"/>
  </ds:schemaRefs>
</ds:datastoreItem>
</file>

<file path=customXml/itemProps4.xml><?xml version="1.0" encoding="utf-8"?>
<ds:datastoreItem xmlns:ds="http://schemas.openxmlformats.org/officeDocument/2006/customXml" ds:itemID="{F27A7AC5-9800-4EA4-95B9-41FAD13A60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1179</TotalTime>
  <Pages>10</Pages>
  <Words>4777</Words>
  <Characters>27235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Muhammad Enal Hamdi</cp:lastModifiedBy>
  <cp:revision>161</cp:revision>
  <cp:lastPrinted>2026-09-06T12:42:00Z</cp:lastPrinted>
  <dcterms:created xsi:type="dcterms:W3CDTF">2026-06-29T03:12:00Z</dcterms:created>
  <dcterms:modified xsi:type="dcterms:W3CDTF">2026-09-07T11:16:00Z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0x01010009D897E85624D64BBC1CB5B89EAA1155</vt:lpwstr>
  </property>
</Properties>
</file>