
<file path=[Content_Types].xml><?xml version="1.0" encoding="utf-8"?>
<Types xmlns="http://schemas.openxmlformats.org/package/2006/content-types">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7EBFF76C" w:rsidR="005076E1" w:rsidRPr="007418D9" w:rsidRDefault="00107290" w:rsidP="006E77D5">
      <w:pPr>
        <w:spacing w:after="40" w:line="240" w:lineRule="auto"/>
        <w:jc w:val="center"/>
        <w:rPr>
          <w:rFonts w:ascii="Calibri" w:hAnsi="Calibri" w:cs="Calibri"/>
          <w:b/>
          <w:bCs/>
          <w:sz w:val="28"/>
          <w:szCs w:val="28"/>
        </w:rPr>
      </w:pPr>
      <w:r w:rsidRPr="007418D9">
        <w:rPr>
          <w:rFonts w:ascii="Calibri" w:hAnsi="Calibri" w:cs="Calibri"/>
          <w:b/>
          <w:bCs/>
          <w:sz w:val="28"/>
          <w:szCs w:val="28"/>
        </w:rPr>
        <w:t>End-of-Life as a Process Innovation Challenge in the Built Environment</w:t>
      </w:r>
    </w:p>
    <w:p w14:paraId="134952A8" w14:textId="4F6CF9E8" w:rsidR="005076E1" w:rsidRPr="007418D9" w:rsidRDefault="009F3B9E" w:rsidP="006E77D5">
      <w:pPr>
        <w:spacing w:after="40" w:line="240" w:lineRule="auto"/>
        <w:jc w:val="center"/>
        <w:rPr>
          <w:rFonts w:ascii="Calibri" w:hAnsi="Calibri" w:cs="Calibri"/>
          <w:color w:val="EE0000"/>
          <w:sz w:val="24"/>
          <w:szCs w:val="24"/>
        </w:rPr>
      </w:pPr>
      <w:r w:rsidRPr="007418D9">
        <w:rPr>
          <w:rFonts w:ascii="Calibri" w:hAnsi="Calibri" w:cs="Calibri"/>
          <w:sz w:val="24"/>
          <w:szCs w:val="24"/>
        </w:rPr>
        <w:t>A Paradigm Shift from Linear to Adaptive Systems</w:t>
      </w:r>
    </w:p>
    <w:p w14:paraId="2CDC613E" w14:textId="77777777" w:rsidR="00CE0599" w:rsidRPr="002D3AAE" w:rsidRDefault="00CE0599" w:rsidP="00CE0599">
      <w:pPr>
        <w:pStyle w:val="Author"/>
        <w:spacing w:after="40"/>
        <w:jc w:val="center"/>
        <w:rPr>
          <w:rFonts w:ascii="Calibri" w:hAnsi="Calibri" w:cs="Calibri"/>
          <w:lang w:val="sv-SE"/>
        </w:rPr>
      </w:pPr>
      <w:r w:rsidRPr="002D3AAE">
        <w:rPr>
          <w:rFonts w:ascii="Calibri" w:hAnsi="Calibri" w:cs="Calibri"/>
          <w:lang w:val="sv-SE"/>
        </w:rPr>
        <w:t>Habib Sadri</w:t>
      </w:r>
      <w:r w:rsidRPr="002D3AAE">
        <w:rPr>
          <w:rFonts w:ascii="Calibri" w:hAnsi="Calibri" w:cs="Calibri"/>
          <w:vertAlign w:val="superscript"/>
          <w:lang w:val="sv-SE"/>
        </w:rPr>
        <w:t>*</w:t>
      </w:r>
      <w:r w:rsidRPr="002D3AAE">
        <w:rPr>
          <w:rFonts w:ascii="Calibri" w:hAnsi="Calibri" w:cs="Calibri"/>
          <w:lang w:val="sv-SE"/>
        </w:rPr>
        <w:t xml:space="preserve">, Peter Johansson, </w:t>
      </w:r>
      <w:proofErr w:type="spellStart"/>
      <w:r w:rsidRPr="002D3AAE">
        <w:rPr>
          <w:rFonts w:ascii="Calibri" w:hAnsi="Calibri" w:cs="Calibri"/>
          <w:lang w:val="sv-SE"/>
        </w:rPr>
        <w:t>Rahel</w:t>
      </w:r>
      <w:proofErr w:type="spellEnd"/>
      <w:r w:rsidRPr="002D3AAE">
        <w:rPr>
          <w:rFonts w:ascii="Calibri" w:hAnsi="Calibri" w:cs="Calibri"/>
          <w:lang w:val="sv-SE"/>
        </w:rPr>
        <w:t xml:space="preserve"> </w:t>
      </w:r>
      <w:proofErr w:type="spellStart"/>
      <w:r w:rsidRPr="002D3AAE">
        <w:rPr>
          <w:rFonts w:ascii="Calibri" w:hAnsi="Calibri" w:cs="Calibri"/>
          <w:lang w:val="sv-SE"/>
        </w:rPr>
        <w:t>Kebede</w:t>
      </w:r>
      <w:proofErr w:type="spellEnd"/>
      <w:r w:rsidRPr="002D3AAE">
        <w:rPr>
          <w:rFonts w:ascii="Calibri" w:hAnsi="Calibri" w:cs="Calibri"/>
          <w:lang w:val="sv-SE"/>
        </w:rPr>
        <w:t xml:space="preserve">, Annika </w:t>
      </w:r>
      <w:proofErr w:type="spellStart"/>
      <w:r w:rsidRPr="002D3AAE">
        <w:rPr>
          <w:rFonts w:ascii="Calibri" w:hAnsi="Calibri" w:cs="Calibri"/>
          <w:lang w:val="sv-SE"/>
        </w:rPr>
        <w:t>Moscati</w:t>
      </w:r>
      <w:proofErr w:type="spellEnd"/>
    </w:p>
    <w:p w14:paraId="1D8B5334" w14:textId="77777777" w:rsidR="00CE0599" w:rsidRPr="002D3AAE" w:rsidRDefault="00CE0599" w:rsidP="00CE0599">
      <w:pPr>
        <w:pStyle w:val="Author"/>
        <w:spacing w:after="40"/>
        <w:rPr>
          <w:rFonts w:ascii="Calibri" w:hAnsi="Calibri" w:cs="Calibri"/>
          <w:sz w:val="22"/>
          <w:szCs w:val="22"/>
          <w:lang w:val="sv-SE"/>
        </w:rPr>
      </w:pPr>
    </w:p>
    <w:p w14:paraId="0503B6E7" w14:textId="77777777" w:rsidR="00CE0599" w:rsidRPr="007418D9" w:rsidRDefault="00CE0599" w:rsidP="00CE0599">
      <w:pPr>
        <w:pStyle w:val="Author"/>
        <w:spacing w:after="40"/>
        <w:rPr>
          <w:rFonts w:ascii="Calibri" w:hAnsi="Calibri" w:cs="Calibri"/>
          <w:sz w:val="22"/>
          <w:szCs w:val="22"/>
        </w:rPr>
      </w:pPr>
      <w:r w:rsidRPr="007418D9">
        <w:rPr>
          <w:rFonts w:ascii="Calibri" w:hAnsi="Calibri" w:cs="Calibri"/>
          <w:sz w:val="22"/>
          <w:szCs w:val="22"/>
        </w:rPr>
        <w:t xml:space="preserve">Department of Construction Engineering and Lighting Science, Jönköping School of Engineering, </w:t>
      </w:r>
      <w:proofErr w:type="spellStart"/>
      <w:r w:rsidRPr="007418D9">
        <w:rPr>
          <w:rFonts w:ascii="Calibri" w:hAnsi="Calibri" w:cs="Calibri"/>
          <w:sz w:val="22"/>
          <w:szCs w:val="22"/>
        </w:rPr>
        <w:t>Gjuterigatan</w:t>
      </w:r>
      <w:proofErr w:type="spellEnd"/>
      <w:r w:rsidRPr="007418D9">
        <w:rPr>
          <w:rFonts w:ascii="Calibri" w:hAnsi="Calibri" w:cs="Calibri"/>
          <w:sz w:val="22"/>
          <w:szCs w:val="22"/>
        </w:rPr>
        <w:t xml:space="preserve"> 5, 551 11 Jönköping, Sweden</w:t>
      </w:r>
    </w:p>
    <w:p w14:paraId="7A8C7A8E" w14:textId="77777777" w:rsidR="00CE0599" w:rsidRPr="007418D9" w:rsidRDefault="00CE0599" w:rsidP="00CE0599">
      <w:pPr>
        <w:pStyle w:val="Author"/>
        <w:spacing w:after="40"/>
        <w:rPr>
          <w:rFonts w:ascii="Calibri" w:hAnsi="Calibri" w:cs="Calibri"/>
          <w:sz w:val="22"/>
          <w:szCs w:val="22"/>
        </w:rPr>
      </w:pPr>
      <w:r w:rsidRPr="007418D9">
        <w:rPr>
          <w:rFonts w:ascii="Calibri" w:hAnsi="Calibri" w:cs="Calibri"/>
          <w:i/>
          <w:iCs/>
          <w:sz w:val="22"/>
          <w:szCs w:val="22"/>
          <w:vertAlign w:val="superscript"/>
        </w:rPr>
        <w:t>*</w:t>
      </w:r>
      <w:r w:rsidRPr="007418D9">
        <w:rPr>
          <w:rFonts w:ascii="Calibri" w:hAnsi="Calibri" w:cs="Calibri"/>
          <w:i/>
          <w:iCs/>
          <w:sz w:val="22"/>
          <w:szCs w:val="22"/>
        </w:rPr>
        <w:t xml:space="preserve">Corresponding email: </w:t>
      </w:r>
      <w:hyperlink r:id="rId10" w:history="1">
        <w:r w:rsidRPr="007418D9">
          <w:rPr>
            <w:rStyle w:val="Hyperlink"/>
            <w:rFonts w:ascii="Calibri" w:hAnsi="Calibri" w:cs="Calibri"/>
            <w:i/>
            <w:iCs/>
            <w:sz w:val="22"/>
            <w:szCs w:val="22"/>
          </w:rPr>
          <w:t>habib.sadri@ju.se</w:t>
        </w:r>
      </w:hyperlink>
    </w:p>
    <w:p w14:paraId="6330E787" w14:textId="77777777" w:rsidR="005076E1" w:rsidRPr="007418D9" w:rsidRDefault="005076E1" w:rsidP="006E77D5">
      <w:pPr>
        <w:spacing w:after="40" w:line="240" w:lineRule="auto"/>
        <w:rPr>
          <w:rFonts w:ascii="Calibri" w:hAnsi="Calibri" w:cs="Calibri"/>
        </w:rPr>
      </w:pPr>
    </w:p>
    <w:p w14:paraId="662F0B45" w14:textId="6755EE3D" w:rsidR="005076E1" w:rsidRPr="007418D9" w:rsidRDefault="005076E1" w:rsidP="00875067">
      <w:pPr>
        <w:spacing w:after="40" w:line="240" w:lineRule="auto"/>
        <w:ind w:left="1134" w:right="1088"/>
        <w:rPr>
          <w:rFonts w:ascii="Calibri" w:hAnsi="Calibri" w:cs="Calibri"/>
          <w:b/>
          <w:bCs/>
          <w:sz w:val="28"/>
          <w:szCs w:val="28"/>
        </w:rPr>
      </w:pPr>
      <w:r w:rsidRPr="007418D9">
        <w:rPr>
          <w:rFonts w:ascii="Calibri" w:hAnsi="Calibri" w:cs="Calibri"/>
          <w:b/>
          <w:bCs/>
          <w:sz w:val="28"/>
          <w:szCs w:val="28"/>
        </w:rPr>
        <w:t xml:space="preserve">ABSTRACT </w:t>
      </w:r>
    </w:p>
    <w:p w14:paraId="26080D97" w14:textId="3AD8254A" w:rsidR="005076E1" w:rsidRPr="007418D9" w:rsidRDefault="00BA77E0" w:rsidP="0010248E">
      <w:pPr>
        <w:spacing w:after="40" w:line="240" w:lineRule="auto"/>
        <w:ind w:left="1134" w:right="1088"/>
        <w:jc w:val="both"/>
        <w:rPr>
          <w:rFonts w:ascii="Calibri" w:hAnsi="Calibri" w:cs="Calibri"/>
          <w:color w:val="EE0000"/>
        </w:rPr>
      </w:pPr>
      <w:r w:rsidRPr="007418D9">
        <w:rPr>
          <w:rFonts w:ascii="Calibri" w:hAnsi="Calibri" w:cs="Calibri"/>
        </w:rPr>
        <w:t>This study conceptualizes product end-of-life (EoL)</w:t>
      </w:r>
      <w:r w:rsidR="00A0798A" w:rsidRPr="007418D9">
        <w:rPr>
          <w:rFonts w:ascii="Calibri" w:hAnsi="Calibri" w:cs="Calibri"/>
        </w:rPr>
        <w:t xml:space="preserve"> in the built environment as a production and process innovation challenge rather than a purely operational concern. While earlier lifecycle stages are supported by structured systems, EoL activities remain fragmented, reactive, and weakly integrated with digital infrastructures. Drawing on an interpretive and abductive research design, the study synthesizes insights from industry observations, expert interviews, site visits, and interdisciplinary dialogues.</w:t>
      </w:r>
      <w:r w:rsidR="0010248E" w:rsidRPr="007418D9">
        <w:rPr>
          <w:rFonts w:ascii="Calibri" w:hAnsi="Calibri" w:cs="Calibri"/>
        </w:rPr>
        <w:t xml:space="preserve"> </w:t>
      </w:r>
      <w:r w:rsidR="00A0798A" w:rsidRPr="007418D9">
        <w:rPr>
          <w:rFonts w:ascii="Calibri" w:hAnsi="Calibri" w:cs="Calibri"/>
        </w:rPr>
        <w:t>The findings reveal a persistent gap between the availability of digital data and its effective use in decision-making, highlighting that data alone does not enable circularity or efficiency without structured processes. Key challenges include fragmented workflows, lack of standardized process architecture, socio-technical complexity, and insufficient lifecycle integration. Building on these insights, the paper proposes a conceptual reframing of EoL as a structured production system characterized by integrated information flows, feedback mechanisms, and adaptive decision-making. It emphasizes the importance of aligning digital technologies with process design and organizational structures. The study contributes to the literature by shifting the focus from technology adoption to system structuring, offering a foundation for developing data-driven, circular, and adaptive production systems in the built environment</w:t>
      </w:r>
      <w:r w:rsidR="0010248E" w:rsidRPr="007418D9">
        <w:rPr>
          <w:rFonts w:ascii="Calibri" w:hAnsi="Calibri" w:cs="Calibri"/>
        </w:rPr>
        <w:t>.</w:t>
      </w:r>
    </w:p>
    <w:p w14:paraId="242D180E" w14:textId="77777777" w:rsidR="005076E1" w:rsidRPr="007418D9" w:rsidRDefault="005076E1" w:rsidP="006E77D5">
      <w:pPr>
        <w:spacing w:after="40" w:line="240" w:lineRule="auto"/>
        <w:rPr>
          <w:rFonts w:ascii="Calibri" w:hAnsi="Calibri" w:cs="Calibri"/>
          <w:color w:val="EE0000"/>
        </w:rPr>
      </w:pPr>
    </w:p>
    <w:p w14:paraId="19E47564" w14:textId="1B4B9A0B" w:rsidR="005076E1" w:rsidRPr="007418D9" w:rsidRDefault="005076E1" w:rsidP="006E77D5">
      <w:pPr>
        <w:pStyle w:val="ListParagraph"/>
        <w:numPr>
          <w:ilvl w:val="0"/>
          <w:numId w:val="1"/>
        </w:numPr>
        <w:spacing w:after="40" w:line="240" w:lineRule="auto"/>
        <w:rPr>
          <w:rFonts w:ascii="Calibri" w:hAnsi="Calibri" w:cs="Calibri"/>
          <w:b/>
          <w:bCs/>
          <w:sz w:val="28"/>
          <w:szCs w:val="28"/>
        </w:rPr>
      </w:pPr>
      <w:r w:rsidRPr="007418D9">
        <w:rPr>
          <w:rFonts w:ascii="Calibri" w:hAnsi="Calibri" w:cs="Calibri"/>
          <w:b/>
          <w:bCs/>
          <w:sz w:val="28"/>
          <w:szCs w:val="28"/>
        </w:rPr>
        <w:t>INTRODUCTION</w:t>
      </w:r>
    </w:p>
    <w:p w14:paraId="226A239C" w14:textId="5FDAC162" w:rsidR="009C3640" w:rsidRPr="007418D9" w:rsidRDefault="005D5444" w:rsidP="009C3640">
      <w:pPr>
        <w:jc w:val="both"/>
        <w:rPr>
          <w:rFonts w:ascii="Calibri" w:hAnsi="Calibri" w:cs="Calibri"/>
        </w:rPr>
      </w:pPr>
      <w:r w:rsidRPr="007418D9">
        <w:rPr>
          <w:rFonts w:ascii="Calibri" w:hAnsi="Calibri" w:cs="Calibri"/>
        </w:rPr>
        <w:t xml:space="preserve">Process </w:t>
      </w:r>
      <w:r w:rsidR="009C3640" w:rsidRPr="007418D9">
        <w:rPr>
          <w:rFonts w:ascii="Calibri" w:hAnsi="Calibri" w:cs="Calibri"/>
        </w:rPr>
        <w:t xml:space="preserve">innovation, </w:t>
      </w:r>
      <w:r w:rsidRPr="007418D9">
        <w:rPr>
          <w:rFonts w:ascii="Calibri" w:hAnsi="Calibri" w:cs="Calibri"/>
        </w:rPr>
        <w:t>also</w:t>
      </w:r>
      <w:r w:rsidR="009C3640" w:rsidRPr="007418D9">
        <w:rPr>
          <w:rFonts w:ascii="Calibri" w:hAnsi="Calibri" w:cs="Calibri"/>
        </w:rPr>
        <w:t xml:space="preserve"> referred to in academic literature as</w:t>
      </w:r>
      <w:r w:rsidRPr="007418D9">
        <w:rPr>
          <w:rFonts w:ascii="Calibri" w:hAnsi="Calibri" w:cs="Calibri"/>
        </w:rPr>
        <w:t xml:space="preserve"> production</w:t>
      </w:r>
      <w:r w:rsidR="009C3640" w:rsidRPr="007418D9">
        <w:rPr>
          <w:rFonts w:ascii="Calibri" w:hAnsi="Calibri" w:cs="Calibri"/>
        </w:rPr>
        <w:t xml:space="preserve"> innovation, represents a significant change in the way an organization uses its resources to produce outputs </w:t>
      </w:r>
      <w:r w:rsidR="009C3640" w:rsidRPr="007418D9">
        <w:rPr>
          <w:rFonts w:ascii="Calibri" w:hAnsi="Calibri" w:cs="Calibri"/>
        </w:rPr>
        <w:fldChar w:fldCharType="begin"/>
      </w:r>
      <w:r w:rsidR="00A16862" w:rsidRPr="007418D9">
        <w:rPr>
          <w:rFonts w:ascii="Calibri" w:hAnsi="Calibri" w:cs="Calibri"/>
        </w:rPr>
        <w:instrText xml:space="preserve"> ADDIN ZOTERO_ITEM CSL_CITATION {"citationID":"aNv4nif1","properties":{"formattedCitation":"(Qerimi et al., 2024)","plainCitation":"(Qerimi et al., 2024)","noteIndex":0},"citationItems":[{"id":1671,"uris":["http://zotero.org/users/9177935/items/8WGI7CYG"],"itemData":{"id":1671,"type":"article-journal","abstract":"Business process innovation (BPI) is an emerging field that has captured the interest of both academics and policymakers. However, the term is often fraught with ambiguity and inconsistencies in the literature, lacking a comprehensive understanding. The purpose of this paper is to explore what lies behind and determine the definition of BPI as well as to provide a deeper understanding of its key components and antecedents.The study reviews the literature by applying Tranfield, Denyer and Smart (2003) method. A systematic approach was adopted to gather pertinent scholarly articles from the Scopus database, resulting in 516 potential articles, of which 32 relevant articles were included for analysis.BPI encompasses innovations in processes, organizational structures and marketing. These components of innovation, along with crucial antecedents such as business process re-engineering, improvement and redesign, provide a comprehensive, end-to-end framework for defining BPI. These results demonstrate BPI as an internal change, modification or improvement of business processes and functions that should consolidate at least a type of innovation that is used in the organization and creates an output that is a value to the organization, customers and/or stakeholders.An important limitation of this study pertains to the inclusion criteria, which restricted to the “definitions”. Consequently, there is a possibility of overlooking some relevant literature. Furthermore, the framework is purely conceptual. Although grounded in the existing literature, the authors focused on examining the definitions and conceptual frameworks. The authors did not engage in empirical analysis or evaluate the methodologies of the selected papers. Furthermore, this study exclusively includes research articles published in academic journals, intentionally excluding books, conference proceedings and other forms of literature that could have been relevant. Another limitation of the study is the exclusive use of the Scopus database for article selection. This approach potentially overlooks relevant papers available in other databases, such as Web of Science, which offers a distinct collection of high-impact journals that are curated differently.The research contributions of this study remain relevant, as it consolidates existing literature on a relatively underexplored concept and offers a comprehensive overview of BPI, which can serve as a valuable reference for future scholarly work. This paper is also crucial for practitioners, as it provides a clear understanding of BPI, empowering them to make more informed decisions. By defining BPI more precisely, it can improve communication with stakeholders, promoting collaboration and innovation. With a shared understanding of the concept, teams are better positioned to drive projects forward successfully. Moreover, the study emphasizes that company leadership should view both incremental progress and breakthrough innovations as essential components of a successful BPI strategy. BPI facilitates small, incremental changes that offer quick wins with limited disruption to existing processes. Simultaneously, it promotes a flexible approach, allowing innovations to be scaled and adapted across different areas of the organization. In this way, BPI not only streamlines operations but also aligns processes with customer needs, ensuring that improvements are both operationally efficient and value-driven.By synthesizing a comprehensive selection of literature spanning the years 1990–2022, this paper represents a unique contribution to the conceptualization of BPI through its components and antecedents.","container-title":"International Journal of Innovation Science","DOI":"10.1108/IJIS-02-2024-0038","ISSN":"1757-2223","issue":"2","journalAbbreviation":"International Journal of Innovation Science","page":"308-332","title":"Unravelling the definition of business process innovation: a systematic literature review","volume":"18","author":[{"family":"Qerimi","given":"Detrin"},{"family":"Demeter","given":"Krisztina"},{"family":"Losonci","given":"Dávid"}],"issued":{"date-parts":[["2024",12,17]]}}}],"schema":"https://github.com/citation-style-language/schema/raw/master/csl-citation.json"} </w:instrText>
      </w:r>
      <w:r w:rsidR="009C3640" w:rsidRPr="007418D9">
        <w:rPr>
          <w:rFonts w:ascii="Calibri" w:hAnsi="Calibri" w:cs="Calibri"/>
        </w:rPr>
        <w:fldChar w:fldCharType="separate"/>
      </w:r>
      <w:r w:rsidR="009C3640" w:rsidRPr="007418D9">
        <w:rPr>
          <w:rFonts w:ascii="Calibri" w:hAnsi="Calibri" w:cs="Calibri"/>
        </w:rPr>
        <w:t>(Qerimi et al., 2024)</w:t>
      </w:r>
      <w:r w:rsidR="009C3640" w:rsidRPr="007418D9">
        <w:rPr>
          <w:rFonts w:ascii="Calibri" w:hAnsi="Calibri" w:cs="Calibri"/>
        </w:rPr>
        <w:fldChar w:fldCharType="end"/>
      </w:r>
      <w:r w:rsidR="009C3640" w:rsidRPr="007418D9">
        <w:rPr>
          <w:rFonts w:ascii="Calibri" w:hAnsi="Calibri" w:cs="Calibri"/>
        </w:rPr>
        <w:t xml:space="preserve">. Unlike product innovation, which focuses on “what” is delivered to the external customer, </w:t>
      </w:r>
      <w:r w:rsidR="00976B30" w:rsidRPr="007418D9">
        <w:rPr>
          <w:rFonts w:ascii="Calibri" w:hAnsi="Calibri" w:cs="Calibri"/>
        </w:rPr>
        <w:t>process</w:t>
      </w:r>
      <w:r w:rsidR="009C3640" w:rsidRPr="007418D9">
        <w:rPr>
          <w:rFonts w:ascii="Calibri" w:hAnsi="Calibri" w:cs="Calibri"/>
        </w:rPr>
        <w:t xml:space="preserve"> innovation concerns “how” products are produced and delivered. It involves introducing new components into a firm’s operations, more efficient workflows and information flows, or advanced equipment</w:t>
      </w:r>
      <w:r w:rsidR="009C3640" w:rsidRPr="007418D9">
        <w:rPr>
          <w:rFonts w:ascii="Calibri" w:hAnsi="Calibri" w:cs="Calibri"/>
          <w:b/>
          <w:bCs/>
        </w:rPr>
        <w:t xml:space="preserve"> </w:t>
      </w:r>
      <w:r w:rsidR="009C3640" w:rsidRPr="007418D9">
        <w:rPr>
          <w:rFonts w:ascii="Calibri" w:hAnsi="Calibri" w:cs="Calibri"/>
          <w:b/>
          <w:bCs/>
        </w:rPr>
        <w:fldChar w:fldCharType="begin"/>
      </w:r>
      <w:r w:rsidR="00A16862" w:rsidRPr="007418D9">
        <w:rPr>
          <w:rFonts w:ascii="Calibri" w:hAnsi="Calibri" w:cs="Calibri"/>
          <w:b/>
          <w:bCs/>
        </w:rPr>
        <w:instrText xml:space="preserve"> ADDIN ZOTERO_ITEM CSL_CITATION {"citationID":"Lip41rHv","properties":{"formattedCitation":"(Kurkkio et al., 2011)","plainCitation":"(Kurkkio et al., 2011)","noteIndex":0},"citationItems":[{"id":1649,"uris":["http://zotero.org/users/9177935/items/PTG2IJG9"],"itemData":{"id":1649,"type":"article-journal","container-title":"Technovation","ISSN":"0166-4972","issue":"9","journalAbbreviation":"Technovation","note":"publisher: Elsevier","page":"490-504","title":"Where process development begins: a multiple case study of front end activities in process firms","volume":"31","author":[{"family":"Kurkkio","given":"Monika"},{"family":"Frishammar","given":"Johan"},{"family":"Lichtenthaler","given":"Ulrich"}],"issued":{"date-parts":[["2011"]]}}}],"schema":"https://github.com/citation-style-language/schema/raw/master/csl-citation.json"} </w:instrText>
      </w:r>
      <w:r w:rsidR="009C3640" w:rsidRPr="007418D9">
        <w:rPr>
          <w:rFonts w:ascii="Calibri" w:hAnsi="Calibri" w:cs="Calibri"/>
          <w:b/>
          <w:bCs/>
        </w:rPr>
        <w:fldChar w:fldCharType="separate"/>
      </w:r>
      <w:r w:rsidR="009C3640" w:rsidRPr="007418D9">
        <w:rPr>
          <w:rFonts w:ascii="Calibri" w:hAnsi="Calibri" w:cs="Calibri"/>
        </w:rPr>
        <w:t>(Kurkkio et al., 2011)</w:t>
      </w:r>
      <w:r w:rsidR="009C3640" w:rsidRPr="007418D9">
        <w:rPr>
          <w:rFonts w:ascii="Calibri" w:hAnsi="Calibri" w:cs="Calibri"/>
          <w:b/>
          <w:bCs/>
        </w:rPr>
        <w:fldChar w:fldCharType="end"/>
      </w:r>
      <w:r w:rsidR="009C3640" w:rsidRPr="007418D9">
        <w:rPr>
          <w:rFonts w:ascii="Calibri" w:hAnsi="Calibri" w:cs="Calibri"/>
        </w:rPr>
        <w:t xml:space="preserve">. The key characteristics of </w:t>
      </w:r>
      <w:r w:rsidR="0049495C" w:rsidRPr="007418D9">
        <w:rPr>
          <w:rFonts w:ascii="Calibri" w:hAnsi="Calibri" w:cs="Calibri"/>
        </w:rPr>
        <w:t xml:space="preserve">process </w:t>
      </w:r>
      <w:r w:rsidR="009C3640" w:rsidRPr="007418D9">
        <w:rPr>
          <w:rFonts w:ascii="Calibri" w:hAnsi="Calibri" w:cs="Calibri"/>
        </w:rPr>
        <w:t xml:space="preserve">innovation set it apart from other forms of innovation through its internal orientation and its focus on improving efficiency. While product innovations are visible outcomes that attract attention in the market, </w:t>
      </w:r>
      <w:r w:rsidR="00C75917" w:rsidRPr="007418D9">
        <w:rPr>
          <w:rFonts w:ascii="Calibri" w:hAnsi="Calibri" w:cs="Calibri"/>
        </w:rPr>
        <w:t xml:space="preserve">process </w:t>
      </w:r>
      <w:r w:rsidR="009C3640" w:rsidRPr="007418D9">
        <w:rPr>
          <w:rFonts w:ascii="Calibri" w:hAnsi="Calibri" w:cs="Calibri"/>
        </w:rPr>
        <w:t xml:space="preserve">innovations are often less noticeable to end users, as they take place within the “black box” of a firm’s operational core </w:t>
      </w:r>
      <w:r w:rsidR="009C3640" w:rsidRPr="007418D9">
        <w:rPr>
          <w:rFonts w:ascii="Calibri" w:hAnsi="Calibri" w:cs="Calibri"/>
        </w:rPr>
        <w:fldChar w:fldCharType="begin"/>
      </w:r>
      <w:r w:rsidR="00A16862" w:rsidRPr="007418D9">
        <w:rPr>
          <w:rFonts w:ascii="Calibri" w:hAnsi="Calibri" w:cs="Calibri"/>
        </w:rPr>
        <w:instrText xml:space="preserve"> ADDIN ZOTERO_ITEM CSL_CITATION {"citationID":"QyesQkpF","properties":{"formattedCitation":"(Damanpour &amp; Gopalakrishnan, 2001)","plainCitation":"(Damanpour &amp; Gopalakrishnan, 2001)","noteIndex":0},"citationItems":[{"id":1647,"uris":["http://zotero.org/users/9177935/items/HLVC3LH4"],"itemData":{"id":1647,"type":"article-journal","abstract":"While many researchers have fruitfully explored the patterns of adoption of product and process innovations across industries, few have studied these same patterns within individual firms. In this study we address this issue, examining the dynamics that govern the adoption of product and process innovations at the firm level over time. We examine questions such as: Which type of innovation is more readily adopted? Does the adoption of one type of innovation lead or lag the adoption of the other type? And, would the pattern of adoption of innovation types have an effect on organizational performance? Using data on the innovations introduced between 1982 and 1993 by a sample of 101 commercial banks in the United States, we find that: (1) product innovations are adopted at a greater rate and speed than process innovations; (2) a product?process pattern of adoption is more likely than a process?product pattern; (3) the adoption of product innovations is positively associated with the adoption of process innovations; and (4) high-performance banks adopt product and process innovations more evenly than low-performance banks.","container-title":"Journal of Management Studies","DOI":"10.1111/1467-6486.00227","ISSN":"0022-2380","issue":"1","journalAbbreviation":"Journal of Management Studies","note":"publisher: John Wiley &amp; Sons, Ltd","page":"45-65","title":"The Dynamics of the Adoption of Product and Process Innovations in Organizations","volume":"38","author":[{"family":"Damanpour","given":"Fariborz"},{"family":"Gopalakrishnan","given":"Shanthi"}],"issued":{"date-parts":[["2001",1,1]]}}}],"schema":"https://github.com/citation-style-language/schema/raw/master/csl-citation.json"} </w:instrText>
      </w:r>
      <w:r w:rsidR="009C3640" w:rsidRPr="007418D9">
        <w:rPr>
          <w:rFonts w:ascii="Calibri" w:hAnsi="Calibri" w:cs="Calibri"/>
        </w:rPr>
        <w:fldChar w:fldCharType="separate"/>
      </w:r>
      <w:r w:rsidR="009C3640" w:rsidRPr="007418D9">
        <w:rPr>
          <w:rFonts w:ascii="Calibri" w:hAnsi="Calibri" w:cs="Calibri"/>
        </w:rPr>
        <w:t>(Damanpour &amp; Gopalakrishnan, 2001)</w:t>
      </w:r>
      <w:r w:rsidR="009C3640" w:rsidRPr="007418D9">
        <w:rPr>
          <w:rFonts w:ascii="Calibri" w:hAnsi="Calibri" w:cs="Calibri"/>
        </w:rPr>
        <w:fldChar w:fldCharType="end"/>
      </w:r>
      <w:r w:rsidR="009C3640" w:rsidRPr="007418D9">
        <w:rPr>
          <w:rFonts w:ascii="Calibri" w:hAnsi="Calibri" w:cs="Calibri"/>
        </w:rPr>
        <w:t xml:space="preserve">. </w:t>
      </w:r>
    </w:p>
    <w:p w14:paraId="5CE4DE2E" w14:textId="3254D863" w:rsidR="009C3640" w:rsidRPr="007418D9" w:rsidRDefault="009C3640" w:rsidP="009C3640">
      <w:pPr>
        <w:jc w:val="both"/>
        <w:rPr>
          <w:rFonts w:ascii="Calibri" w:hAnsi="Calibri" w:cs="Calibri"/>
        </w:rPr>
      </w:pPr>
      <w:r w:rsidRPr="007418D9">
        <w:rPr>
          <w:rFonts w:ascii="Calibri" w:hAnsi="Calibri" w:cs="Calibri"/>
        </w:rPr>
        <w:t xml:space="preserve">The contemporary approach to </w:t>
      </w:r>
      <w:r w:rsidR="00C75917" w:rsidRPr="007418D9">
        <w:rPr>
          <w:rFonts w:ascii="Calibri" w:hAnsi="Calibri" w:cs="Calibri"/>
        </w:rPr>
        <w:t xml:space="preserve">process </w:t>
      </w:r>
      <w:r w:rsidRPr="007418D9">
        <w:rPr>
          <w:rFonts w:ascii="Calibri" w:hAnsi="Calibri" w:cs="Calibri"/>
        </w:rPr>
        <w:t xml:space="preserve">innovation is increasingly shaped by two major trends: the adoption of Industry 4.0 technologies and the shift toward sustainability-oriented innovation </w:t>
      </w:r>
      <w:r w:rsidRPr="007418D9">
        <w:rPr>
          <w:rFonts w:ascii="Calibri" w:hAnsi="Calibri" w:cs="Calibri"/>
          <w:b/>
          <w:bCs/>
        </w:rPr>
        <w:fldChar w:fldCharType="begin"/>
      </w:r>
      <w:r w:rsidR="00A16862" w:rsidRPr="007418D9">
        <w:rPr>
          <w:rFonts w:ascii="Calibri" w:hAnsi="Calibri" w:cs="Calibri"/>
          <w:b/>
          <w:bCs/>
        </w:rPr>
        <w:instrText xml:space="preserve"> ADDIN ZOTERO_ITEM CSL_CITATION {"citationID":"jvyupIRP","properties":{"formattedCitation":"(Liu &amp; De Giovanni, 2025; Ortiz\\uc0\\u8208{}Avram et al., 2024)","plainCitation":"(Liu &amp; De Giovanni, 2025; Ortiz‐Avram et al., 2024)","noteIndex":0},"citationItems":[{"id":1652,"uris":["http://zotero.org/users/9177935/items/945EXKAZ"],"itemData":{"id":1652,"type":"article-journal","container-title":"Annals of Operations Research","ISSN":"0254-5330","issue":"2","journalAbbreviation":"Annals of Operations Research","note":"publisher: Springer","page":"767-802","title":"Green process innovation through Industry 4.0 technologies and supply chain coordination","volume":"349","author":[{"family":"Liu","given":"Baolong"},{"family":"De Giovanni","given":"Pietro"}],"issued":{"date-parts":[["2025"]]}}},{"id":1650,"uris":["http://zotero.org/users/9177935/items/LB2DTNFR"],"itemData":{"id":1650,"type":"article-journal","container-title":"Business Strategy and the Environment","ISSN":"0964-4733","issue":"4","journalAbbreviation":"Business Strategy and the Environment","note":"publisher: Wiley Online Library","page":"2969-3004","title":"Dynamic capabilities for sustainability: Toward a typology based on dimensions of sustainability‐oriented innovation and stakeholder integration","volume":"33","author":[{"family":"Ortiz‐Avram","given":"Daniela"},{"family":"Ovcharova","given":"Nelly"},{"family":"Engelmann","given":"Alexander"}],"issued":{"date-parts":[["2024"]]}}}],"schema":"https://github.com/citation-style-language/schema/raw/master/csl-citation.json"} </w:instrText>
      </w:r>
      <w:r w:rsidRPr="007418D9">
        <w:rPr>
          <w:rFonts w:ascii="Calibri" w:hAnsi="Calibri" w:cs="Calibri"/>
          <w:b/>
          <w:bCs/>
        </w:rPr>
        <w:fldChar w:fldCharType="separate"/>
      </w:r>
      <w:r w:rsidRPr="007418D9">
        <w:rPr>
          <w:rFonts w:ascii="Calibri" w:hAnsi="Calibri" w:cs="Calibri"/>
        </w:rPr>
        <w:t>(Liu &amp; De Giovanni, 2025; Ortiz‐Avram et al., 2024)</w:t>
      </w:r>
      <w:r w:rsidRPr="007418D9">
        <w:rPr>
          <w:rFonts w:ascii="Calibri" w:hAnsi="Calibri" w:cs="Calibri"/>
          <w:b/>
          <w:bCs/>
        </w:rPr>
        <w:fldChar w:fldCharType="end"/>
      </w:r>
      <w:r w:rsidRPr="007418D9">
        <w:rPr>
          <w:rFonts w:ascii="Calibri" w:hAnsi="Calibri" w:cs="Calibri"/>
        </w:rPr>
        <w:t>.</w:t>
      </w:r>
    </w:p>
    <w:p w14:paraId="532C61A0" w14:textId="64A62276" w:rsidR="009C3640" w:rsidRPr="007418D9" w:rsidRDefault="009C3640" w:rsidP="009C3640">
      <w:pPr>
        <w:jc w:val="both"/>
        <w:rPr>
          <w:rFonts w:ascii="Calibri" w:hAnsi="Calibri" w:cs="Calibri"/>
        </w:rPr>
      </w:pPr>
      <w:r w:rsidRPr="007418D9">
        <w:rPr>
          <w:rFonts w:ascii="Calibri" w:hAnsi="Calibri" w:cs="Calibri"/>
        </w:rPr>
        <w:lastRenderedPageBreak/>
        <w:t xml:space="preserve">In the context of the built environment, Industry 4.0 refers to the integration of enabling technologies, including but not limited to the Internet of Things (IoT), cloud and edge computing, big data analytics, artificial intelligence (AI), machine learning (ML), blockchain, virtual reality (VR), and digital twin technologies </w:t>
      </w:r>
      <w:r w:rsidRPr="007418D9">
        <w:rPr>
          <w:rFonts w:ascii="Calibri" w:hAnsi="Calibri" w:cs="Calibri"/>
        </w:rPr>
        <w:fldChar w:fldCharType="begin"/>
      </w:r>
      <w:r w:rsidR="00A16862" w:rsidRPr="007418D9">
        <w:rPr>
          <w:rFonts w:ascii="Calibri" w:hAnsi="Calibri" w:cs="Calibri"/>
        </w:rPr>
        <w:instrText xml:space="preserve"> ADDIN ZOTERO_ITEM CSL_CITATION {"citationID":"DZ7txiZf","properties":{"formattedCitation":"(Pachouri et al., 2024)","plainCitation":"(Pachouri et al., 2024)","noteIndex":0},"citationItems":[{"id":1672,"uris":["http://zotero.org/users/9177935/items/JZRJJGRJ"],"itemData":{"id":1672,"type":"article-journal","abstract":"According to the World Business Council for Sustainable Development (WBCSD), the built environment contributes around 10 % of global GDP but is also a major source of emissions, land use, and resource consumption. The built environment also consumes one-third of global energy and produces 40 % of greenhouse gas (GHG) emissions. The United Nations has set up the 2030 Sustainable Development Goals (SDGs), which emphasize the significance of transforming the built environment to cope with issues such as net-zero emissions, resilient infrastructure, circular economy, health, etc. Researchers have emphasized that digitalization is one of the factors that can meet the aforementioned targets in a built environment with a sustainability aspect. Digitalization in any field is realized with the assimilation of Industry 4.0 enabling technologies with sustainably built infrastructure. It has been identified that; there are limited studies where all Industry 4.0 enabling technologies are detailed discussed. Based upon the above facts, this study aims to analyze and identify the progress of distinct Industry 4.0 enabling technologies including the Internet of Things (IoT), Cloud Computing, Edge Computing/Fog Computing, Big Data Analytics, Artificial Intelligence (AI), Machine Learning (ML), Blockchain, Augmented Reality (AR), Virtual Reality (VR), Mixed Reality (MR), Digital Twin, Metaverse, and Robotics implementation in the built environment. Along with this, the study also discusses challenges and suggests recommendations for future work.","container-title":"Technology in Society","DOI":"10.1016/j.techsoc.2023.102427","ISSN":"0160-791X","journalAbbreviation":"Technology in Society","page":"102427","title":"Empowering sustainability in the built environment: A technological Lens on industry 4.0 Enablers","volume":"76","author":[{"family":"Pachouri","given":"Vikrant"},{"family":"Singh","given":"Rajesh"},{"family":"Gehlot","given":"Anita"},{"family":"Pandey","given":"Shweta"},{"family":"Vaseem Akram","given":"Shaik"},{"family":"Abbas","given":"Mohamed"}],"issued":{"date-parts":[["2024",3,1]]}}}],"schema":"https://github.com/citation-style-language/schema/raw/master/csl-citation.json"} </w:instrText>
      </w:r>
      <w:r w:rsidRPr="007418D9">
        <w:rPr>
          <w:rFonts w:ascii="Calibri" w:hAnsi="Calibri" w:cs="Calibri"/>
        </w:rPr>
        <w:fldChar w:fldCharType="separate"/>
      </w:r>
      <w:r w:rsidRPr="007418D9">
        <w:rPr>
          <w:rFonts w:ascii="Calibri" w:hAnsi="Calibri" w:cs="Calibri"/>
        </w:rPr>
        <w:t>(Pachouri et al., 2024)</w:t>
      </w:r>
      <w:r w:rsidRPr="007418D9">
        <w:rPr>
          <w:rFonts w:ascii="Calibri" w:hAnsi="Calibri" w:cs="Calibri"/>
        </w:rPr>
        <w:fldChar w:fldCharType="end"/>
      </w:r>
      <w:r w:rsidRPr="007418D9">
        <w:rPr>
          <w:rFonts w:ascii="Calibri" w:hAnsi="Calibri" w:cs="Calibri"/>
        </w:rPr>
        <w:t>.</w:t>
      </w:r>
    </w:p>
    <w:p w14:paraId="68AA2BF0" w14:textId="328408E3" w:rsidR="009C3640" w:rsidRPr="007418D9" w:rsidRDefault="009C3640" w:rsidP="009C3640">
      <w:pPr>
        <w:jc w:val="both"/>
        <w:rPr>
          <w:rFonts w:ascii="Calibri" w:hAnsi="Calibri" w:cs="Calibri"/>
        </w:rPr>
      </w:pPr>
      <w:r w:rsidRPr="007418D9">
        <w:rPr>
          <w:rFonts w:ascii="Calibri" w:hAnsi="Calibri" w:cs="Calibri"/>
        </w:rPr>
        <w:t xml:space="preserve">Alongside these technological developments, the concept of green process innovation has gained increasing attention. Green process innovation in the built environment can be defined as the integration of the aforementioned digital tools, among others, into sustainability-oriented practices to enable resource-efficient, low-carbon, and adaptable environments. This perspective is supported by policy frameworks and a growing body of research that highlight the close interdependence between digitalization and sustainability </w:t>
      </w:r>
      <w:r w:rsidRPr="007418D9">
        <w:rPr>
          <w:rFonts w:ascii="Calibri" w:hAnsi="Calibri" w:cs="Calibri"/>
        </w:rPr>
        <w:fldChar w:fldCharType="begin"/>
      </w:r>
      <w:r w:rsidR="00A16862" w:rsidRPr="007418D9">
        <w:rPr>
          <w:rFonts w:ascii="Calibri" w:hAnsi="Calibri" w:cs="Calibri"/>
        </w:rPr>
        <w:instrText xml:space="preserve"> ADDIN ZOTERO_ITEM CSL_CITATION {"citationID":"TkETEiXo","properties":{"formattedCitation":"(Kassem et al., 2025)","plainCitation":"(Kassem et al., 2025)","noteIndex":0},"citationItems":[{"id":1674,"uris":["http://zotero.org/users/9177935/items/KABQB3IG"],"itemData":{"id":1674,"type":"article-journal","abstract":"The built environment today is confronted by intersecting pressures that expose the sheer complexity of creating sustainable and digitally enhanced futures. Climate change, demographic shifts, resource constraints and accelerating technological development are reshaping expectations of how buildings and cities should perform. Yet the pathways forward are anything but straightforward. As the built environment adopts data-driven tools, climate-responsive modelling, circular practices and new sustainability assessment frameworks, it becomes clear that even technical measures are closely shaped by the social, institutional and policy dynamics that surround them.","container-title":"Smart and Sustainable Built Environment","DOI":"10.1108/SASBE-12-2025-571","ISSN":"2046-6099","issue":"7","journalAbbreviation":"Smart and Sustainable Built Environment","page":"2025-2030","title":"Editorial: Digital innovation for climate adaptation and sustainable development: emerging solutions for the built environment","volume":"14","author":[{"family":"Kassem","given":"Mohamad"},{"family":"Najafi","given":"Mina"},{"family":"Rahimian","given":"Farzad"}],"issued":{"date-parts":[["2025",12,3]]}}}],"schema":"https://github.com/citation-style-language/schema/raw/master/csl-citation.json"} </w:instrText>
      </w:r>
      <w:r w:rsidRPr="007418D9">
        <w:rPr>
          <w:rFonts w:ascii="Calibri" w:hAnsi="Calibri" w:cs="Calibri"/>
        </w:rPr>
        <w:fldChar w:fldCharType="separate"/>
      </w:r>
      <w:r w:rsidRPr="007418D9">
        <w:rPr>
          <w:rFonts w:ascii="Calibri" w:hAnsi="Calibri" w:cs="Calibri"/>
        </w:rPr>
        <w:t>(Kassem et al., 2025)</w:t>
      </w:r>
      <w:r w:rsidRPr="007418D9">
        <w:rPr>
          <w:rFonts w:ascii="Calibri" w:hAnsi="Calibri" w:cs="Calibri"/>
        </w:rPr>
        <w:fldChar w:fldCharType="end"/>
      </w:r>
      <w:r w:rsidRPr="007418D9">
        <w:rPr>
          <w:rFonts w:ascii="Calibri" w:hAnsi="Calibri" w:cs="Calibri"/>
        </w:rPr>
        <w:t xml:space="preserve">.  </w:t>
      </w:r>
    </w:p>
    <w:p w14:paraId="636476D8" w14:textId="77777777" w:rsidR="009C3640" w:rsidRPr="007418D9" w:rsidRDefault="009C3640" w:rsidP="003B5E9B">
      <w:pPr>
        <w:spacing w:after="40" w:line="240" w:lineRule="auto"/>
        <w:rPr>
          <w:rFonts w:ascii="Calibri" w:hAnsi="Calibri" w:cs="Calibri"/>
          <w:b/>
          <w:bCs/>
          <w:sz w:val="24"/>
          <w:szCs w:val="24"/>
        </w:rPr>
      </w:pPr>
      <w:r w:rsidRPr="007418D9">
        <w:rPr>
          <w:rFonts w:ascii="Calibri" w:hAnsi="Calibri" w:cs="Calibri"/>
          <w:b/>
          <w:bCs/>
          <w:sz w:val="24"/>
          <w:szCs w:val="24"/>
        </w:rPr>
        <w:t>1.1 Problem Definition and objectives</w:t>
      </w:r>
    </w:p>
    <w:p w14:paraId="20302273" w14:textId="3A295B3E" w:rsidR="009C3640" w:rsidRPr="007418D9" w:rsidRDefault="009C3640" w:rsidP="009C3640">
      <w:pPr>
        <w:jc w:val="both"/>
        <w:rPr>
          <w:rFonts w:ascii="Calibri" w:hAnsi="Calibri" w:cs="Calibri"/>
          <w:rtl/>
        </w:rPr>
      </w:pPr>
      <w:r w:rsidRPr="007418D9">
        <w:rPr>
          <w:rFonts w:ascii="Calibri" w:hAnsi="Calibri" w:cs="Calibri"/>
        </w:rPr>
        <w:t xml:space="preserve">The end-of-life (EoL) phase of products in the built environment remains largely unstructured and inefficient </w:t>
      </w:r>
      <w:r w:rsidRPr="007418D9">
        <w:rPr>
          <w:rFonts w:ascii="Calibri" w:hAnsi="Calibri" w:cs="Calibri"/>
        </w:rPr>
        <w:fldChar w:fldCharType="begin"/>
      </w:r>
      <w:r w:rsidR="00A16862" w:rsidRPr="007418D9">
        <w:rPr>
          <w:rFonts w:ascii="Calibri" w:hAnsi="Calibri" w:cs="Calibri"/>
        </w:rPr>
        <w:instrText xml:space="preserve"> ADDIN ZOTERO_ITEM CSL_CITATION {"citationID":"WjB05L3l","properties":{"formattedCitation":"(Ossio et al., 2023)","plainCitation":"(Ossio et al., 2023)","noteIndex":0},"citationItems":[{"id":1667,"uris":["http://zotero.org/users/9177935/items/VVIU5PH2"],"itemData":{"id":1667,"type":"article-journal","abstract":"The Circular Economy (CE) has become increasingly important across various industries. It challenges the traditional take-make-dispose approach and aims to maximize economic value while reducing waste. However, the construction industry is still in the early stages of adopting this concept, and a clear and unified definition is needed for Circular Construction (CC) in the built environment. Without a comprehensive understanding, the CE principles and practices may be misapplied, leading to inefficiencies. To address this, a Systematic Literature Review of 316 publications was conducted to bridge knowledge gaps and to propose a definition for CC. The study identified five clusters of conceptual affinities and nine attributes that contributed to the CC definition. The results suggest that the CC concept is mainly related to the conceptual affinities of Construction and Demolition Waste Management (CDWM) and the “R\" strategies, that the environment is prioritized over economic and social aspects, and that CC research focuses on building over other infrastructures, especially on aspects of building disassembly and reversibility. Still, despite these advances, most research lacks a holistic view of the application of the concept. Practitioners looking to promote cleaner construction practices can benefit from this study's valuable insights, helping to guide decision-making and prevent the misuse of the circular economy concept in the built environment.","container-title":"Journal of Cleaner Production","DOI":"10.1016/j.jclepro.2023.137738","ISSN":"0959-6526","journalAbbreviation":"Journal of Cleaner Production","page":"137738","title":"Circular economy in the built environment: A systematic literature review and definition of the circular construction concept","volume":"414","author":[{"family":"Ossio","given":"Felipe"},{"family":"Salinas","given":"Carlos"},{"family":"Hernández","given":"Héctor"}],"issued":{"date-parts":[["2023",8,15]]}}}],"schema":"https://github.com/citation-style-language/schema/raw/master/csl-citation.json"} </w:instrText>
      </w:r>
      <w:r w:rsidRPr="007418D9">
        <w:rPr>
          <w:rFonts w:ascii="Calibri" w:hAnsi="Calibri" w:cs="Calibri"/>
        </w:rPr>
        <w:fldChar w:fldCharType="separate"/>
      </w:r>
      <w:r w:rsidRPr="007418D9">
        <w:rPr>
          <w:rFonts w:ascii="Calibri" w:hAnsi="Calibri" w:cs="Calibri"/>
        </w:rPr>
        <w:t>(Ossio et al., 2023)</w:t>
      </w:r>
      <w:r w:rsidRPr="007418D9">
        <w:rPr>
          <w:rFonts w:ascii="Calibri" w:hAnsi="Calibri" w:cs="Calibri"/>
        </w:rPr>
        <w:fldChar w:fldCharType="end"/>
      </w:r>
      <w:r w:rsidRPr="007418D9">
        <w:rPr>
          <w:rFonts w:ascii="Calibri" w:hAnsi="Calibri" w:cs="Calibri"/>
        </w:rPr>
        <w:t xml:space="preserve">. While earlier lifecycle stages such as design and production are supported by well-defined systems and processes, EoL activities, such as maintenance and replacement, are often handled in an ad-hoc manner </w:t>
      </w:r>
      <w:r w:rsidRPr="007418D9">
        <w:rPr>
          <w:rFonts w:ascii="Calibri" w:hAnsi="Calibri" w:cs="Calibri"/>
        </w:rPr>
        <w:fldChar w:fldCharType="begin"/>
      </w:r>
      <w:r w:rsidR="00A16862" w:rsidRPr="007418D9">
        <w:rPr>
          <w:rFonts w:ascii="Calibri" w:hAnsi="Calibri" w:cs="Calibri"/>
        </w:rPr>
        <w:instrText xml:space="preserve"> ADDIN ZOTERO_ITEM CSL_CITATION {"citationID":"r8kYGhk0","properties":{"formattedCitation":"(Akbarieh et al., 2020)","plainCitation":"(Akbarieh et al., 2020)","noteIndex":0},"citationItems":[{"id":1675,"uris":["http://zotero.org/users/9177935/items/7WYSNH9X"],"itemData":{"id":1675,"type":"article-journal","container-title":"Sustainability","ISSN":"2071-1050","issue":"7","journalAbbreviation":"Sustainability","note":"publisher: MDPI","page":"2670","title":"BIM-based end-of-lifecycle decision making and digital deconstruction: Literature review","volume":"12","author":[{"family":"Akbarieh","given":"Arghavan"},{"family":"Jayasinghe","given":"Laddu Bhagya"},{"family":"Waldmann","given":"Danièle"},{"family":"Teferle","given":"Felix Norman"}],"issued":{"date-parts":[["2020"]]}}}],"schema":"https://github.com/citation-style-language/schema/raw/master/csl-citation.json"} </w:instrText>
      </w:r>
      <w:r w:rsidRPr="007418D9">
        <w:rPr>
          <w:rFonts w:ascii="Calibri" w:hAnsi="Calibri" w:cs="Calibri"/>
        </w:rPr>
        <w:fldChar w:fldCharType="separate"/>
      </w:r>
      <w:r w:rsidRPr="007418D9">
        <w:rPr>
          <w:rFonts w:ascii="Calibri" w:hAnsi="Calibri" w:cs="Calibri"/>
        </w:rPr>
        <w:t>(Akbarieh et al., 2020)</w:t>
      </w:r>
      <w:r w:rsidRPr="007418D9">
        <w:rPr>
          <w:rFonts w:ascii="Calibri" w:hAnsi="Calibri" w:cs="Calibri"/>
        </w:rPr>
        <w:fldChar w:fldCharType="end"/>
      </w:r>
      <w:r w:rsidRPr="007418D9">
        <w:rPr>
          <w:rFonts w:ascii="Calibri" w:hAnsi="Calibri" w:cs="Calibri"/>
        </w:rPr>
        <w:t>. This challenge suggest</w:t>
      </w:r>
      <w:r w:rsidR="00420695" w:rsidRPr="007418D9">
        <w:rPr>
          <w:rFonts w:ascii="Calibri" w:hAnsi="Calibri" w:cs="Calibri"/>
        </w:rPr>
        <w:t>s</w:t>
      </w:r>
      <w:r w:rsidRPr="007418D9">
        <w:rPr>
          <w:rFonts w:ascii="Calibri" w:hAnsi="Calibri" w:cs="Calibri"/>
        </w:rPr>
        <w:t xml:space="preserve"> that the problem is not the absence of data, but the absence of a structured system to organize and use that data </w:t>
      </w:r>
      <w:r w:rsidRPr="007418D9">
        <w:rPr>
          <w:rFonts w:ascii="Calibri" w:hAnsi="Calibri" w:cs="Calibri"/>
        </w:rPr>
        <w:fldChar w:fldCharType="begin"/>
      </w:r>
      <w:r w:rsidR="00A16862" w:rsidRPr="007418D9">
        <w:rPr>
          <w:rFonts w:ascii="Calibri" w:hAnsi="Calibri" w:cs="Calibri"/>
        </w:rPr>
        <w:instrText xml:space="preserve"> ADDIN ZOTERO_ITEM CSL_CITATION {"citationID":"UiOfxwbU","properties":{"formattedCitation":"(Bellini et al., 2024)","plainCitation":"(Bellini et al., 2024)","noteIndex":0},"citationItems":[{"id":1669,"uris":["http://zotero.org/users/9177935/items/K6MPXP8E"],"itemData":{"id":1669,"type":"article-journal","abstract":"The building and construction industry is characterized by high consumption of raw materials, waste generation, and significant energy-related greenhouse gas emissions. A substantial change in the way this sector operates is necessary to reduce its strong negative impact on the environment. In this context, the implementation of circular strategies is critical to achieving sustainable development. Reusing construction products derived from obsolete buildings at their end of life is increasingly being investigated as a strategy to achieve circularity. Despite growing interest, both in the literature and in the industry, several challenges hinder the large-scale adoption of circular reuse. The purpose of this study is to contribute to the efficient implementation of reuse in practice. The focus is on data and information that can support the reusability assessment of construction products. The findings are obtained through a case study comprising a building project in Bergen, Norway. First, the study assesses which material properties and information are available in the project, leading to the definition of eight information-driven evaluation criteria and a three-step process for reuse. The three-step process encompasses the following: (1) collecting information, (2) information-driven evaluations, and (3) planning for reuse. Each criterion is then shown in a reusability matrix, emphasizing an information-driven approach to reuse that has the potential to be extended beyond the context of the case study. Considerations for improving data management in a circular reuse process are discussed. This study provides an innovative method that may lead to a circular economy and sustainable development in the future.","container-title":"Journal of Cleaner Production","DOI":"10.1016/j.jclepro.2024.141753","ISSN":"0959-6526","journalAbbreviation":"Journal of Cleaner Production","page":"141753","title":"Achieving a circular economy through the effective reuse of construction products: A case study of a residential building","volume":"450","author":[{"family":"Bellini","given":"Alessia"},{"family":"Andersen","given":"Bjørn"},{"family":"Klungseth","given":"Nora Johanne"},{"family":"Tadayon","given":"Allen"}],"issued":{"date-parts":[["2024",4,15]]}}}],"schema":"https://github.com/citation-style-language/schema/raw/master/csl-citation.json"} </w:instrText>
      </w:r>
      <w:r w:rsidRPr="007418D9">
        <w:rPr>
          <w:rFonts w:ascii="Calibri" w:hAnsi="Calibri" w:cs="Calibri"/>
        </w:rPr>
        <w:fldChar w:fldCharType="separate"/>
      </w:r>
      <w:r w:rsidRPr="007418D9">
        <w:rPr>
          <w:rFonts w:ascii="Calibri" w:hAnsi="Calibri" w:cs="Calibri"/>
        </w:rPr>
        <w:t>(Bellini et al., 2024)</w:t>
      </w:r>
      <w:r w:rsidRPr="007418D9">
        <w:rPr>
          <w:rFonts w:ascii="Calibri" w:hAnsi="Calibri" w:cs="Calibri"/>
        </w:rPr>
        <w:fldChar w:fldCharType="end"/>
      </w:r>
      <w:r w:rsidRPr="007418D9">
        <w:rPr>
          <w:rFonts w:ascii="Calibri" w:hAnsi="Calibri" w:cs="Calibri"/>
        </w:rPr>
        <w:t xml:space="preserve">. </w:t>
      </w:r>
    </w:p>
    <w:p w14:paraId="71A6516B" w14:textId="343879D5" w:rsidR="009C3640" w:rsidRPr="007418D9" w:rsidRDefault="009C3640" w:rsidP="0006330D">
      <w:pPr>
        <w:jc w:val="both"/>
        <w:rPr>
          <w:rFonts w:ascii="Calibri" w:hAnsi="Calibri" w:cs="Calibri"/>
        </w:rPr>
      </w:pPr>
      <w:r w:rsidRPr="007418D9">
        <w:rPr>
          <w:rFonts w:ascii="Calibri" w:hAnsi="Calibri" w:cs="Calibri"/>
        </w:rPr>
        <w:t xml:space="preserve">This study aims to conceptually reframe the EoL phase as a </w:t>
      </w:r>
      <w:r w:rsidR="0006330D" w:rsidRPr="007418D9">
        <w:rPr>
          <w:rFonts w:ascii="Calibri" w:hAnsi="Calibri" w:cs="Calibri"/>
        </w:rPr>
        <w:t xml:space="preserve">process </w:t>
      </w:r>
      <w:r w:rsidRPr="007418D9">
        <w:rPr>
          <w:rFonts w:ascii="Calibri" w:hAnsi="Calibri" w:cs="Calibri"/>
        </w:rPr>
        <w:t>innovation problem, rather than a purely operational or maintenance issue. Accordingly, it seeks to identify key gaps in current EoL practices, interpret these gaps through a production and process innovation lens, and propose a conceptual understanding of EoL as a structured production system. In addition, the study aims to clarify the role of data infrastructures and tools in enabling this transformation.</w:t>
      </w:r>
    </w:p>
    <w:p w14:paraId="148E6631" w14:textId="49460AAB" w:rsidR="009C3640" w:rsidRPr="007418D9" w:rsidRDefault="00A16862" w:rsidP="003B5E9B">
      <w:pPr>
        <w:pStyle w:val="ListParagraph"/>
        <w:numPr>
          <w:ilvl w:val="0"/>
          <w:numId w:val="1"/>
        </w:numPr>
        <w:spacing w:after="40" w:line="240" w:lineRule="auto"/>
        <w:rPr>
          <w:rFonts w:ascii="Calibri" w:hAnsi="Calibri" w:cs="Calibri"/>
          <w:b/>
          <w:bCs/>
          <w:sz w:val="28"/>
          <w:szCs w:val="28"/>
        </w:rPr>
      </w:pPr>
      <w:r w:rsidRPr="007418D9">
        <w:rPr>
          <w:rFonts w:ascii="Calibri" w:hAnsi="Calibri" w:cs="Calibri"/>
          <w:b/>
          <w:bCs/>
          <w:sz w:val="28"/>
          <w:szCs w:val="28"/>
        </w:rPr>
        <w:t>THEORETICAL LENS</w:t>
      </w:r>
    </w:p>
    <w:p w14:paraId="35F32411" w14:textId="32AF8DB9" w:rsidR="009C3640" w:rsidRPr="007418D9" w:rsidRDefault="009C3640" w:rsidP="009C3640">
      <w:pPr>
        <w:jc w:val="both"/>
        <w:rPr>
          <w:rFonts w:ascii="Calibri" w:hAnsi="Calibri" w:cs="Calibri"/>
        </w:rPr>
      </w:pPr>
      <w:r w:rsidRPr="007418D9">
        <w:rPr>
          <w:rFonts w:ascii="Calibri" w:hAnsi="Calibri" w:cs="Calibri"/>
        </w:rPr>
        <w:t>The study adopts a production and process innovation perspective, where innovation is defined as changes in how processes and systems are organized to create value. The focus is not on introducing new technologies, but on structuring workflows, information flows, and decision-making. From this perspective, EoL can be analysed as a missing or underdeveloped system.</w:t>
      </w:r>
    </w:p>
    <w:p w14:paraId="4BBB77D7" w14:textId="3A3F83A6" w:rsidR="009C3640" w:rsidRPr="007418D9" w:rsidRDefault="009C3640" w:rsidP="009C3640">
      <w:pPr>
        <w:jc w:val="both"/>
        <w:rPr>
          <w:rFonts w:ascii="Calibri" w:hAnsi="Calibri" w:cs="Calibri"/>
          <w:rtl/>
          <w:lang w:bidi="fa-IR"/>
        </w:rPr>
      </w:pPr>
      <w:r w:rsidRPr="007418D9">
        <w:rPr>
          <w:rFonts w:ascii="Calibri" w:hAnsi="Calibri" w:cs="Calibri"/>
        </w:rPr>
        <w:t xml:space="preserve">The study also draws on circular economy principles, emphasizing value retention through reuse and repair. However, it argues that circularity requires structured processes, not just data availability </w:t>
      </w:r>
      <w:r w:rsidRPr="007418D9">
        <w:rPr>
          <w:rFonts w:ascii="Calibri" w:hAnsi="Calibri" w:cs="Calibri"/>
        </w:rPr>
        <w:fldChar w:fldCharType="begin"/>
      </w:r>
      <w:r w:rsidR="00A16862" w:rsidRPr="007418D9">
        <w:rPr>
          <w:rFonts w:ascii="Calibri" w:hAnsi="Calibri" w:cs="Calibri"/>
        </w:rPr>
        <w:instrText xml:space="preserve"> ADDIN ZOTERO_ITEM CSL_CITATION {"citationID":"Ov3Q8HCO","properties":{"formattedCitation":"(Ranasinghe et al., 2024)","plainCitation":"(Ranasinghe et al., 2024)","noteIndex":0},"citationItems":[{"id":1668,"uris":["http://zotero.org/users/9177935/items/HNQ7C74P"],"itemData":{"id":1668,"type":"article-journal","abstract":"The construction industry significantly consumes natural resources and generates substantial waste due to linear supply chain practices. Circular economy strategies are essential for extending material lifespans and promoting regeneration. Material reclamation is a central strategy for implementing circularity, yet its practical application remains limited. The purpose of this research is to identify the factors hindering building material circularity and propose measures to overcome them. This paper aims to explore the prerequisites and obstacles to material reclamation in the construction industry to foster its transition into a circular economy. A systematic literature review of 74 papers was conducted using data from Scopus, Google Scholar, IEEE Xplore, and Web of Science, following the Preferred Reporting Items for Systematic Reviews and Meta-Analyses guidelines. The review identified eight key themes related to achieving material circularity, with design, informational, and technological factors receiving top priority in researchers’ focus. Data availability emerged as a critical prerequisite, while the primary obstacle is the lack of data traceability throughout the building materials' lifecycle. This study concludes that digitalizing the material supply chain can address data unavailability and most of the identified obstacles. Ultimately, comprehensive material data will support the stakeholders in making solid circular decisions. This research provides guidance to construction industry stakeholders to overcome recognised obstacles and promote essential prerequisites of material circularity where no such information currently exists, to facilitate the transition to a circular construction industry.","container-title":"Journal of Building Engineering","DOI":"10.1016/j.jobe.2024.111136","ISSN":"2352-7102","journalAbbreviation":"Journal of Building Engineering","page":"111136","title":"Enhancing building material circularity: A systematic review on prerequisites, obstacles and the critical role of data traceability","volume":"98","author":[{"family":"Ranasinghe","given":"Navoda"},{"family":"Domingo","given":"Niluka"},{"family":"Kahandawa","given":"Ravindu"}],"issued":{"date-parts":[["2024",12,1]]}}}],"schema":"https://github.com/citation-style-language/schema/raw/master/csl-citation.json"} </w:instrText>
      </w:r>
      <w:r w:rsidRPr="007418D9">
        <w:rPr>
          <w:rFonts w:ascii="Calibri" w:hAnsi="Calibri" w:cs="Calibri"/>
        </w:rPr>
        <w:fldChar w:fldCharType="separate"/>
      </w:r>
      <w:r w:rsidRPr="007418D9">
        <w:rPr>
          <w:rFonts w:ascii="Calibri" w:hAnsi="Calibri" w:cs="Calibri"/>
        </w:rPr>
        <w:t>(Ranasinghe et al., 2024)</w:t>
      </w:r>
      <w:r w:rsidRPr="007418D9">
        <w:rPr>
          <w:rFonts w:ascii="Calibri" w:hAnsi="Calibri" w:cs="Calibri"/>
        </w:rPr>
        <w:fldChar w:fldCharType="end"/>
      </w:r>
      <w:r w:rsidRPr="007418D9">
        <w:rPr>
          <w:rFonts w:ascii="Calibri" w:hAnsi="Calibri" w:cs="Calibri"/>
        </w:rPr>
        <w:t>. Furthermore, this study is grounded in the principles of Socio-Technical Systems (STS), which emphasize the joint optimization of technological and social elements through stakeholder involvement and interdisciplinary collaboration, thereby enabling more effective and human-</w:t>
      </w:r>
      <w:r w:rsidR="007E17B0" w:rsidRPr="007418D9">
        <w:rPr>
          <w:rFonts w:ascii="Calibri" w:hAnsi="Calibri" w:cs="Calibri"/>
        </w:rPr>
        <w:t>centred</w:t>
      </w:r>
      <w:r w:rsidRPr="007418D9">
        <w:rPr>
          <w:rFonts w:ascii="Calibri" w:hAnsi="Calibri" w:cs="Calibri"/>
        </w:rPr>
        <w:t xml:space="preserve"> implementation of digital innovations </w:t>
      </w:r>
      <w:r w:rsidRPr="007418D9">
        <w:rPr>
          <w:rFonts w:ascii="Calibri" w:hAnsi="Calibri" w:cs="Calibri"/>
        </w:rPr>
        <w:fldChar w:fldCharType="begin"/>
      </w:r>
      <w:r w:rsidR="00A16862" w:rsidRPr="007418D9">
        <w:rPr>
          <w:rFonts w:ascii="Calibri" w:hAnsi="Calibri" w:cs="Calibri"/>
        </w:rPr>
        <w:instrText xml:space="preserve"> ADDIN ZOTERO_ITEM CSL_CITATION {"citationID":"UY9UJuZy","properties":{"formattedCitation":"(Guest et al., 2022)","plainCitation":"(Guest et al., 2022)","noteIndex":0},"citationItems":[{"id":1676,"uris":["http://zotero.org/users/9177935/items/5SIFHE4M"],"itemData":{"id":1676,"type":"article-journal","container-title":"Human relations","ISSN":"0018-7267","issue":"8","journalAbbreviation":"Human relations","note":"publisher: Sage Publications Sage UK: London, England","page":"1461-1482","title":"Humanizing work in the digital age: Lessons from socio-technical systems and quality of working life initiatives","volume":"75","author":[{"family":"Guest","given":"David"},{"family":"Knox","given":"Angela"},{"family":"Warhurst","given":"Chris"}],"issued":{"date-parts":[["2022"]]}}}],"schema":"https://github.com/citation-style-language/schema/raw/master/csl-citation.json"} </w:instrText>
      </w:r>
      <w:r w:rsidRPr="007418D9">
        <w:rPr>
          <w:rFonts w:ascii="Calibri" w:hAnsi="Calibri" w:cs="Calibri"/>
        </w:rPr>
        <w:fldChar w:fldCharType="separate"/>
      </w:r>
      <w:r w:rsidRPr="007418D9">
        <w:rPr>
          <w:rFonts w:ascii="Calibri" w:hAnsi="Calibri" w:cs="Calibri"/>
        </w:rPr>
        <w:t>(Guest et al., 2022)</w:t>
      </w:r>
      <w:r w:rsidRPr="007418D9">
        <w:rPr>
          <w:rFonts w:ascii="Calibri" w:hAnsi="Calibri" w:cs="Calibri"/>
        </w:rPr>
        <w:fldChar w:fldCharType="end"/>
      </w:r>
      <w:r w:rsidRPr="007418D9">
        <w:rPr>
          <w:rFonts w:ascii="Calibri" w:hAnsi="Calibri" w:cs="Calibri"/>
        </w:rPr>
        <w:t xml:space="preserve">. </w:t>
      </w:r>
    </w:p>
    <w:p w14:paraId="71F160DF" w14:textId="2835C0F4" w:rsidR="009C3640" w:rsidRPr="007418D9" w:rsidRDefault="009C3640" w:rsidP="009C3640">
      <w:pPr>
        <w:jc w:val="both"/>
        <w:rPr>
          <w:rFonts w:ascii="Calibri" w:hAnsi="Calibri" w:cs="Calibri"/>
        </w:rPr>
      </w:pPr>
      <w:r w:rsidRPr="007418D9">
        <w:rPr>
          <w:rFonts w:ascii="Calibri" w:hAnsi="Calibri" w:cs="Calibri"/>
        </w:rPr>
        <w:t xml:space="preserve">Within this approach, inputs consist of existing assets and their associated data, processes include inspection, diagnosis, and decision-making activities, and outputs result in repaired, reused, or replaced components. While these elements are already present, they are not yet fully structured into a coherent and integrated system. Consequently, decision-making remains largely reactive and experience-based rather than being guided by a system-driven logic. From a </w:t>
      </w:r>
      <w:r w:rsidR="004264B2" w:rsidRPr="007418D9">
        <w:rPr>
          <w:rFonts w:ascii="Calibri" w:hAnsi="Calibri" w:cs="Calibri"/>
        </w:rPr>
        <w:t xml:space="preserve">process </w:t>
      </w:r>
      <w:r w:rsidRPr="007418D9">
        <w:rPr>
          <w:rFonts w:ascii="Calibri" w:hAnsi="Calibri" w:cs="Calibri"/>
        </w:rPr>
        <w:t>innovation point of view, the key challenge is therefore to design and formalize this system by structuring information flows, enabling feedback through the use of historical data, and integrating decision-making processes into a consistent and systematic framework.</w:t>
      </w:r>
    </w:p>
    <w:p w14:paraId="541E4F2F" w14:textId="5F6AD618" w:rsidR="009C3640" w:rsidRPr="007418D9" w:rsidRDefault="00A16862" w:rsidP="009C3640">
      <w:pPr>
        <w:pStyle w:val="ListParagraph"/>
        <w:numPr>
          <w:ilvl w:val="0"/>
          <w:numId w:val="1"/>
        </w:numPr>
        <w:spacing w:after="40" w:line="240" w:lineRule="auto"/>
        <w:rPr>
          <w:rFonts w:ascii="Calibri" w:hAnsi="Calibri" w:cs="Calibri"/>
          <w:b/>
          <w:bCs/>
          <w:sz w:val="28"/>
          <w:szCs w:val="28"/>
        </w:rPr>
      </w:pPr>
      <w:r w:rsidRPr="007418D9">
        <w:rPr>
          <w:rFonts w:ascii="Calibri" w:hAnsi="Calibri" w:cs="Calibri"/>
          <w:b/>
          <w:bCs/>
          <w:sz w:val="28"/>
          <w:szCs w:val="28"/>
        </w:rPr>
        <w:lastRenderedPageBreak/>
        <w:t>METHOD</w:t>
      </w:r>
    </w:p>
    <w:p w14:paraId="29D0A7CD" w14:textId="2654C186" w:rsidR="009C3640" w:rsidRPr="007418D9" w:rsidRDefault="009C3640" w:rsidP="009C3640">
      <w:pPr>
        <w:jc w:val="both"/>
        <w:rPr>
          <w:rFonts w:ascii="Calibri" w:hAnsi="Calibri" w:cs="Calibri"/>
        </w:rPr>
      </w:pPr>
      <w:r w:rsidRPr="007418D9">
        <w:rPr>
          <w:rFonts w:ascii="Calibri" w:hAnsi="Calibri" w:cs="Calibri"/>
        </w:rPr>
        <w:t xml:space="preserve">This study adopts a qualitative and interpretive research design aimed at developing a conceptual understanding of process innovation in the built environment. </w:t>
      </w:r>
      <w:r w:rsidR="009D690C" w:rsidRPr="009D690C">
        <w:rPr>
          <w:rFonts w:ascii="Calibri" w:hAnsi="Calibri" w:cs="Calibri"/>
        </w:rPr>
        <w:t>Because this position paper seeks to conceptually reframe EoL rather than test a predefined model, an interpretive approach</w:t>
      </w:r>
      <w:r w:rsidRPr="007418D9">
        <w:rPr>
          <w:rFonts w:ascii="Calibri" w:hAnsi="Calibri" w:cs="Calibri"/>
        </w:rPr>
        <w:t xml:space="preserve"> </w:t>
      </w:r>
      <w:r w:rsidRPr="007418D9">
        <w:rPr>
          <w:rFonts w:ascii="Calibri" w:hAnsi="Calibri" w:cs="Calibri"/>
        </w:rPr>
        <w:fldChar w:fldCharType="begin"/>
      </w:r>
      <w:r w:rsidR="00A16862" w:rsidRPr="007418D9">
        <w:rPr>
          <w:rFonts w:ascii="Calibri" w:hAnsi="Calibri" w:cs="Calibri"/>
        </w:rPr>
        <w:instrText xml:space="preserve"> ADDIN ZOTERO_ITEM CSL_CITATION {"citationID":"cDZ6ib2Q","properties":{"formattedCitation":"(Babones, 2016)","plainCitation":"(Babones, 2016)","noteIndex":0},"citationItems":[{"id":1677,"uris":["http://zotero.org/users/9177935/items/4MDX3PSU"],"itemData":{"id":1677,"type":"article-journal","abstract":"Quantitative social science has long been dominated by self-consciously positivist approaches to the philosophy, rhetoric and methodology of research. This article outlines an alternative approach based on interpretive research methods. Interpretative approaches are usually associated with qualitative social science but are equally applicable to the analysis of quantitative data. In interpretive quantitative research, statistics are used to shed light on the unobservable data generating processes that underlie observed data. Key tenets of interpretive quantitative methodology are the triangulation of research results arrived at by analysing data from multiple perspectives, the integration of measurement and modelling into a more holistic process of discovery and the need to think reflexively about the manner in which data have come into existence. Interpretive quantitative research has the potential to yield results that are more meaningful, more understandable and more applicable (from a policy standpoint) than those achieved through conventional positivist approaches.","container-title":"Sociology","DOI":"10.1177/0038038515583637","ISSN":"0038-0385","issue":"3","note":"publisher: SAGE Publications Ltd","page":"453-469","title":"Interpretive Quantitative Methods for the Social Sciences","volume":"50","author":[{"family":"Babones","given":"Salvatore"}],"issued":{"date-parts":[["2016",6,1]]}}}],"schema":"https://github.com/citation-style-language/schema/raw/master/csl-citation.json"} </w:instrText>
      </w:r>
      <w:r w:rsidRPr="007418D9">
        <w:rPr>
          <w:rFonts w:ascii="Calibri" w:hAnsi="Calibri" w:cs="Calibri"/>
        </w:rPr>
        <w:fldChar w:fldCharType="separate"/>
      </w:r>
      <w:r w:rsidRPr="007418D9">
        <w:rPr>
          <w:rFonts w:ascii="Calibri" w:hAnsi="Calibri" w:cs="Calibri"/>
        </w:rPr>
        <w:t>(</w:t>
      </w:r>
      <w:proofErr w:type="spellStart"/>
      <w:r w:rsidRPr="007418D9">
        <w:rPr>
          <w:rFonts w:ascii="Calibri" w:hAnsi="Calibri" w:cs="Calibri"/>
        </w:rPr>
        <w:t>Babones</w:t>
      </w:r>
      <w:proofErr w:type="spellEnd"/>
      <w:r w:rsidRPr="007418D9">
        <w:rPr>
          <w:rFonts w:ascii="Calibri" w:hAnsi="Calibri" w:cs="Calibri"/>
        </w:rPr>
        <w:t>, 2016)</w:t>
      </w:r>
      <w:r w:rsidRPr="007418D9">
        <w:rPr>
          <w:rFonts w:ascii="Calibri" w:hAnsi="Calibri" w:cs="Calibri"/>
        </w:rPr>
        <w:fldChar w:fldCharType="end"/>
      </w:r>
      <w:r w:rsidRPr="007418D9">
        <w:rPr>
          <w:rFonts w:ascii="Calibri" w:hAnsi="Calibri" w:cs="Calibri"/>
        </w:rPr>
        <w:t xml:space="preserve"> </w:t>
      </w:r>
      <w:r w:rsidR="0062461C" w:rsidRPr="0062461C">
        <w:rPr>
          <w:rFonts w:ascii="Calibri" w:hAnsi="Calibri" w:cs="Calibri"/>
        </w:rPr>
        <w:t>was combined with abductive reasoning to iteratively connect patterns from complementary empirical sources with process-innovation and socio-technical theory.</w:t>
      </w:r>
    </w:p>
    <w:p w14:paraId="66A9466B" w14:textId="616D3037" w:rsidR="009C3640" w:rsidRPr="007418D9" w:rsidRDefault="00BD32D6" w:rsidP="003E1510">
      <w:pPr>
        <w:jc w:val="both"/>
        <w:rPr>
          <w:rFonts w:ascii="Calibri" w:hAnsi="Calibri" w:cs="Calibri"/>
        </w:rPr>
      </w:pPr>
      <w:r w:rsidRPr="00BD32D6">
        <w:rPr>
          <w:rFonts w:ascii="Calibri" w:hAnsi="Calibri" w:cs="Calibri"/>
        </w:rPr>
        <w:t>The empirical basis of the study is derived from multiple complementary sources collected between January and April 2026. First, insights were collected through three site/lab visits to innovation-intensive enterprises in Sweden, including firms working with automation, manufacturing, and digital transformation, enabling direct observation of ongoing digitalization practices in real-world industrial contexts. Second, participation in two industrial events and conferences, provided exposure to current industry challenges, trends, and practitioner perspectives related to digitalization, circularity, sustainability, and process innovation. Third, the study draws on interdisciplinary research dialogues among scholars from diverse engineering domains, facilitating the integration of multiple theoretical and technical viewpoints.</w:t>
      </w:r>
      <w:r w:rsidR="003E1510">
        <w:rPr>
          <w:rFonts w:ascii="Calibri" w:hAnsi="Calibri" w:cs="Calibri"/>
        </w:rPr>
        <w:t xml:space="preserve"> </w:t>
      </w:r>
      <w:r w:rsidR="00E91E94" w:rsidRPr="007418D9">
        <w:rPr>
          <w:rFonts w:ascii="Calibri" w:hAnsi="Calibri" w:cs="Calibri"/>
        </w:rPr>
        <w:t>In addition, the study draws on insights from semi-structured interviews previously conducted as part of a broader research project. These interviews involved industry professionals working with digitalization</w:t>
      </w:r>
      <w:r w:rsidR="00B23E7E">
        <w:rPr>
          <w:rFonts w:ascii="Calibri" w:hAnsi="Calibri" w:cs="Calibri"/>
        </w:rPr>
        <w:t xml:space="preserve"> and </w:t>
      </w:r>
      <w:r w:rsidR="00E91E94" w:rsidRPr="007418D9">
        <w:rPr>
          <w:rFonts w:ascii="Calibri" w:hAnsi="Calibri" w:cs="Calibri"/>
        </w:rPr>
        <w:t>asset management within the built environment. The interviews were used as a complementary source of insight to support and critically reflect upon observations and discussions from other empirical sources, providing perspectives on current EoL practices, data utilization challenges, and barriers to implementing feedback-driven processes.</w:t>
      </w:r>
    </w:p>
    <w:p w14:paraId="06FF6E29" w14:textId="77777777" w:rsidR="009C3640" w:rsidRPr="007418D9" w:rsidRDefault="009C3640" w:rsidP="007374E8">
      <w:pPr>
        <w:spacing w:after="40"/>
        <w:jc w:val="both"/>
        <w:rPr>
          <w:rFonts w:ascii="Calibri" w:hAnsi="Calibri" w:cs="Calibri"/>
          <w:lang w:bidi="fa-IR"/>
        </w:rPr>
      </w:pPr>
      <w:r w:rsidRPr="007418D9">
        <w:rPr>
          <w:rFonts w:ascii="Calibri" w:hAnsi="Calibri" w:cs="Calibri"/>
        </w:rPr>
        <w:t>The analysis followed an iterative and abductive logic, moving back and forth between empirical insights and theoretical concepts. To identify missing pieces of the puzzle and establish connections between heterogeneous empirical insights, recent literature was also explored and utilized to support the analysis. Through this process, recurring themes related to linear process structures, data fragmentation, and the lack of integrated feedback mechanisms were identified and synthesized. These themes informed the development of a conceptual framework that reinterprets digitalization as a transition from control-oriented, sequential processes toward adaptive, data-driven systems characterized by continuous feedback and recursive decision-making. Figure 1 illustrates the study’s roadmap, depicting the overall research process and its key stages.</w:t>
      </w:r>
    </w:p>
    <w:p w14:paraId="49391CEE" w14:textId="16FC5D8C" w:rsidR="005B4E6C" w:rsidRPr="007418D9" w:rsidRDefault="007374E8" w:rsidP="0030482F">
      <w:pPr>
        <w:ind w:left="-426"/>
        <w:jc w:val="center"/>
        <w:rPr>
          <w:rFonts w:ascii="Calibri" w:hAnsi="Calibri" w:cs="Calibri"/>
          <w:i/>
          <w:iCs/>
          <w:sz w:val="20"/>
          <w:szCs w:val="20"/>
        </w:rPr>
      </w:pPr>
      <w:r w:rsidRPr="007418D9">
        <w:rPr>
          <w:rFonts w:ascii="Calibri" w:hAnsi="Calibri" w:cs="Calibri"/>
          <w:b/>
          <w:bCs/>
        </w:rPr>
        <w:object w:dxaOrig="9708" w:dyaOrig="5450" w14:anchorId="78380E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5pt;height:197.5pt" o:ole="">
            <v:imagedata r:id="rId11" o:title=""/>
          </v:shape>
          <o:OLEObject Type="Embed" ProgID="PowerPoint.Show.12" ShapeID="_x0000_i1025" DrawAspect="Content" ObjectID="_1849883403" r:id="rId12"/>
        </w:object>
      </w:r>
    </w:p>
    <w:p w14:paraId="1031D4F8" w14:textId="3B43669A" w:rsidR="009C3640" w:rsidRPr="007418D9" w:rsidRDefault="005B4E6C" w:rsidP="007374E8">
      <w:pPr>
        <w:spacing w:after="0"/>
        <w:ind w:left="-425"/>
        <w:jc w:val="center"/>
        <w:rPr>
          <w:rFonts w:ascii="Calibri" w:hAnsi="Calibri" w:cs="Calibri"/>
        </w:rPr>
      </w:pPr>
      <w:r w:rsidRPr="007418D9">
        <w:rPr>
          <w:rFonts w:ascii="Calibri" w:hAnsi="Calibri" w:cs="Calibri"/>
          <w:i/>
          <w:iCs/>
          <w:sz w:val="20"/>
          <w:szCs w:val="20"/>
        </w:rPr>
        <w:t>Fi</w:t>
      </w:r>
      <w:r w:rsidR="009C3640" w:rsidRPr="007418D9">
        <w:rPr>
          <w:rFonts w:ascii="Calibri" w:hAnsi="Calibri" w:cs="Calibri"/>
          <w:i/>
          <w:iCs/>
          <w:sz w:val="20"/>
          <w:szCs w:val="20"/>
        </w:rPr>
        <w:t>gure 1</w:t>
      </w:r>
      <w:r w:rsidR="0030482F" w:rsidRPr="007418D9">
        <w:rPr>
          <w:rFonts w:ascii="Calibri" w:hAnsi="Calibri" w:cs="Calibri"/>
          <w:i/>
          <w:iCs/>
          <w:sz w:val="20"/>
          <w:szCs w:val="20"/>
        </w:rPr>
        <w:t>:</w:t>
      </w:r>
      <w:r w:rsidR="009C3640" w:rsidRPr="007418D9">
        <w:rPr>
          <w:rFonts w:ascii="Calibri" w:hAnsi="Calibri" w:cs="Calibri"/>
          <w:i/>
          <w:iCs/>
          <w:sz w:val="20"/>
          <w:szCs w:val="20"/>
        </w:rPr>
        <w:t xml:space="preserve"> The research process from empirical inputs to abductive analysis and conceptual synthesis.</w:t>
      </w:r>
    </w:p>
    <w:p w14:paraId="62C3D8CD" w14:textId="55B9B1B0" w:rsidR="009C3640" w:rsidRPr="007418D9" w:rsidRDefault="00A16862" w:rsidP="009C3640">
      <w:pPr>
        <w:pStyle w:val="ListParagraph"/>
        <w:numPr>
          <w:ilvl w:val="0"/>
          <w:numId w:val="1"/>
        </w:numPr>
        <w:spacing w:after="40" w:line="240" w:lineRule="auto"/>
        <w:rPr>
          <w:rFonts w:ascii="Calibri" w:hAnsi="Calibri" w:cs="Calibri"/>
          <w:b/>
          <w:bCs/>
          <w:sz w:val="28"/>
          <w:szCs w:val="28"/>
          <w:rtl/>
        </w:rPr>
      </w:pPr>
      <w:r w:rsidRPr="007418D9">
        <w:rPr>
          <w:rFonts w:ascii="Calibri" w:hAnsi="Calibri" w:cs="Calibri"/>
          <w:b/>
          <w:bCs/>
          <w:sz w:val="28"/>
          <w:szCs w:val="28"/>
        </w:rPr>
        <w:lastRenderedPageBreak/>
        <w:t xml:space="preserve">EXPLORATORY OBSERVATIONS </w:t>
      </w:r>
    </w:p>
    <w:p w14:paraId="0E611ED8" w14:textId="562718F8" w:rsidR="009C3640" w:rsidRPr="007418D9" w:rsidRDefault="005058A5" w:rsidP="009C3640">
      <w:pPr>
        <w:spacing w:line="278" w:lineRule="auto"/>
        <w:jc w:val="both"/>
        <w:rPr>
          <w:rFonts w:ascii="Calibri" w:hAnsi="Calibri" w:cs="Calibri"/>
        </w:rPr>
      </w:pPr>
      <w:r w:rsidRPr="007418D9">
        <w:rPr>
          <w:rFonts w:ascii="Calibri" w:hAnsi="Calibri" w:cs="Calibri"/>
        </w:rPr>
        <w:t xml:space="preserve">Drawing on the empirical data </w:t>
      </w:r>
      <w:r w:rsidR="0058256F" w:rsidRPr="007418D9">
        <w:rPr>
          <w:rFonts w:ascii="Calibri" w:hAnsi="Calibri" w:cs="Calibri"/>
        </w:rPr>
        <w:t>analysed</w:t>
      </w:r>
      <w:r w:rsidRPr="007418D9">
        <w:rPr>
          <w:rFonts w:ascii="Calibri" w:hAnsi="Calibri" w:cs="Calibri"/>
        </w:rPr>
        <w:t xml:space="preserve"> in this study, this section synthesizes key observations that provide a foundation for understanding the EoL phase as a </w:t>
      </w:r>
      <w:r w:rsidR="009E59A0">
        <w:rPr>
          <w:rFonts w:ascii="Calibri" w:hAnsi="Calibri" w:cs="Calibri"/>
        </w:rPr>
        <w:t>pro</w:t>
      </w:r>
      <w:r w:rsidR="00BF3474">
        <w:rPr>
          <w:rFonts w:ascii="Calibri" w:hAnsi="Calibri" w:cs="Calibri"/>
        </w:rPr>
        <w:t>cess</w:t>
      </w:r>
      <w:r w:rsidRPr="007418D9">
        <w:rPr>
          <w:rFonts w:ascii="Calibri" w:hAnsi="Calibri" w:cs="Calibri"/>
        </w:rPr>
        <w:t xml:space="preserve"> innovation challenge.</w:t>
      </w:r>
      <w:r w:rsidR="009C3640" w:rsidRPr="007418D9">
        <w:rPr>
          <w:rFonts w:ascii="Calibri" w:hAnsi="Calibri" w:cs="Calibri"/>
        </w:rPr>
        <w:t xml:space="preserve"> While these observations are not derived from a single case study, they collectively reveal recurring patterns across multiple industrial contexts, particularly in relation to digitalization, circularity, and system-level transformation. These patterns are structured in the following subsections to highlight key challenges, systemic gaps, and emerging transformation directions.</w:t>
      </w:r>
    </w:p>
    <w:p w14:paraId="3EE90D4D" w14:textId="77777777" w:rsidR="009C3640" w:rsidRPr="007418D9" w:rsidRDefault="009C3640" w:rsidP="003B5E9B">
      <w:pPr>
        <w:spacing w:after="40" w:line="240" w:lineRule="auto"/>
        <w:rPr>
          <w:rFonts w:ascii="Calibri" w:hAnsi="Calibri" w:cs="Calibri"/>
          <w:b/>
          <w:bCs/>
          <w:sz w:val="24"/>
          <w:szCs w:val="24"/>
        </w:rPr>
      </w:pPr>
      <w:r w:rsidRPr="007418D9">
        <w:rPr>
          <w:rFonts w:ascii="Calibri" w:hAnsi="Calibri" w:cs="Calibri"/>
          <w:b/>
          <w:bCs/>
          <w:sz w:val="24"/>
          <w:szCs w:val="24"/>
        </w:rPr>
        <w:t>4.1 Fragmentation of EoL-Related Activities</w:t>
      </w:r>
    </w:p>
    <w:p w14:paraId="0DB00BBB" w14:textId="65F012FF" w:rsidR="009C3640" w:rsidRPr="007418D9" w:rsidRDefault="009C3640" w:rsidP="00456E8C">
      <w:pPr>
        <w:spacing w:line="278" w:lineRule="auto"/>
        <w:jc w:val="both"/>
        <w:rPr>
          <w:rFonts w:ascii="Calibri" w:hAnsi="Calibri" w:cs="Calibri"/>
        </w:rPr>
      </w:pPr>
      <w:r w:rsidRPr="007418D9">
        <w:rPr>
          <w:rFonts w:ascii="Calibri" w:hAnsi="Calibri" w:cs="Calibri"/>
        </w:rPr>
        <w:t xml:space="preserve">A consistent observation across different industrial sectors is the fragmented and unstructured nature of activities associated with resource recovery, reuse, and maintenance. Interview insights also confirm that such activities are often handled through disconnected documentation systems and rely heavily on individual experience rather than standardized procedures. Although many of the core elements of EoL processes, such as inspection, repair, and material recovery, are present in practice, they are not organized into coherent and integrated systems. Instead, these activities are often performed in an ad-hoc and context-dependent manner, with limited traceability of previous interventions or maintenance history at the component level, lacking standardized workflows and clearly defined process logic. From a </w:t>
      </w:r>
      <w:r w:rsidR="00456E8C" w:rsidRPr="007418D9">
        <w:rPr>
          <w:rFonts w:ascii="Calibri" w:hAnsi="Calibri" w:cs="Calibri"/>
        </w:rPr>
        <w:t xml:space="preserve">process </w:t>
      </w:r>
      <w:r w:rsidRPr="007418D9">
        <w:rPr>
          <w:rFonts w:ascii="Calibri" w:hAnsi="Calibri" w:cs="Calibri"/>
        </w:rPr>
        <w:t>innovation perspective, this reflects a structural gap, where the absence of system design limits the ability to create consistent and scalable value.</w:t>
      </w:r>
    </w:p>
    <w:p w14:paraId="35BEC6B9" w14:textId="5F1C0769" w:rsidR="009C3640" w:rsidRPr="007418D9" w:rsidRDefault="009C3640" w:rsidP="003B5E9B">
      <w:pPr>
        <w:spacing w:after="40" w:line="240" w:lineRule="auto"/>
        <w:rPr>
          <w:rFonts w:ascii="Calibri" w:hAnsi="Calibri" w:cs="Calibri"/>
          <w:b/>
          <w:bCs/>
          <w:sz w:val="24"/>
          <w:szCs w:val="24"/>
        </w:rPr>
      </w:pPr>
      <w:r w:rsidRPr="007418D9">
        <w:rPr>
          <w:rFonts w:ascii="Calibri" w:hAnsi="Calibri" w:cs="Calibri"/>
          <w:b/>
          <w:bCs/>
          <w:sz w:val="24"/>
          <w:szCs w:val="24"/>
        </w:rPr>
        <w:t>4.2 Data</w:t>
      </w:r>
      <w:r w:rsidR="004B2EE0" w:rsidRPr="007418D9">
        <w:rPr>
          <w:rFonts w:ascii="Calibri" w:hAnsi="Calibri" w:cs="Calibri"/>
          <w:b/>
          <w:bCs/>
          <w:sz w:val="24"/>
          <w:szCs w:val="24"/>
        </w:rPr>
        <w:t>-</w:t>
      </w:r>
      <w:r w:rsidRPr="007418D9">
        <w:rPr>
          <w:rFonts w:ascii="Calibri" w:hAnsi="Calibri" w:cs="Calibri"/>
          <w:b/>
          <w:bCs/>
          <w:sz w:val="24"/>
          <w:szCs w:val="24"/>
        </w:rPr>
        <w:t>Structure Gap in Circular Systems</w:t>
      </w:r>
    </w:p>
    <w:p w14:paraId="2A635C79" w14:textId="13DCCB99" w:rsidR="004868E4" w:rsidRPr="007418D9" w:rsidRDefault="00EC1133" w:rsidP="00EC1133">
      <w:pPr>
        <w:spacing w:line="278" w:lineRule="auto"/>
        <w:jc w:val="both"/>
        <w:rPr>
          <w:rFonts w:ascii="Calibri" w:hAnsi="Calibri" w:cs="Calibri"/>
        </w:rPr>
      </w:pPr>
      <w:r w:rsidRPr="007418D9">
        <w:rPr>
          <w:rFonts w:ascii="Calibri" w:hAnsi="Calibri" w:cs="Calibri"/>
        </w:rPr>
        <w:t xml:space="preserve">Another key observation is the widespread availability of data across industrial systems, contrasted with a limited ability to systematically utilize it for decision-making. Companies generate extensive technical and sustainability data (e.g., LCA and EPD), while advanced monitoring technologies, sensor systems, and digital platforms enable detailed tracking of processes and resource flows. Yet decision-making often remains reactive and experience-based rather than data-driven </w:t>
      </w:r>
      <w:r w:rsidRPr="007418D9">
        <w:rPr>
          <w:rFonts w:ascii="Calibri" w:hAnsi="Calibri" w:cs="Calibri"/>
        </w:rPr>
        <w:fldChar w:fldCharType="begin"/>
      </w:r>
      <w:r w:rsidRPr="007418D9">
        <w:rPr>
          <w:rFonts w:ascii="Calibri" w:hAnsi="Calibri" w:cs="Calibri"/>
        </w:rPr>
        <w:instrText xml:space="preserve"> ADDIN ZOTERO_ITEM CSL_CITATION {"citationID":"NwQBmZOF","properties":{"formattedCitation":"(Colombari et al., 2023)","plainCitation":"(Colombari et al., 2023)","noteIndex":0},"citationItems":[{"id":1681,"uris":["http://zotero.org/users/9177935/items/49M857N6"],"itemData":{"id":1681,"type":"article-journal","abstract":"With the diffusion of information systems and new technologies for the real-time capturing of data, especially in rapid technological and managerial innovation contexts such as the automotive industry, data-driven decision-making (DDM) has now the potential to generate dramatic improvements in the performance of manufacturing firms. However, there is still a lack of evidence in literature on whether these technologies can actually enhance the effectiveness of data-driven approaches. The aim of this article is to investigate the impact of DDM on operational performance moderated by two main dimensions of digitalization: data integration and the breadth of new digitization technologies. The results of a cross-country survey of 138 Italian and U.S. auto-supplier firms, which was supported by plant visits and interviews, suggest that an interplay between DDM and the two dimensions exists. Higher degrees of data integration in information systems increase the positive effect of DDM on the probability of cost reductions. On the other hand, introducing multiple emerging digitization technologies leads to worse DDM results, in terms of cost performance. The conclusion that can be drawn is that the operational employees of auto-supplier firms are now facing difficulties in successfully combining real-time operational data from various sources and in exploiting them for decision-making. Managers and workers need to align their intuition, experience and analytical capabilities to initiate the digitalization process. The challenge, in the medium term, is to limit the difficulties of implementing new digitization technologies and integrating their data, to embrace DDM and fully grasp the potential of data analytics in operations.","container-title":"International Journal of Production Economics","DOI":"10.1016/j.ijpe.2022.108718","ISSN":"0925-5273","journalAbbreviation":"International Journal of Production Economics","page":"108718","title":"The interplay between data-driven decision-making and digitalization: A firm-level survey of the Italian and U.S. automotive industries","volume":"255","author":[{"family":"Colombari","given":"Ruggero"},{"family":"Geuna","given":"Aldo"},{"family":"Helper","given":"Susan"},{"family":"Martins","given":"Raphael"},{"family":"Paolucci","given":"Emilio"},{"family":"Ricci","given":"Riccardo"},{"family":"Seamans","given":"Robert"}],"issued":{"date-parts":[["2023",1,1]]}}}],"schema":"https://github.com/citation-style-language/schema/raw/master/csl-citation.json"} </w:instrText>
      </w:r>
      <w:r w:rsidRPr="007418D9">
        <w:rPr>
          <w:rFonts w:ascii="Calibri" w:hAnsi="Calibri" w:cs="Calibri"/>
        </w:rPr>
        <w:fldChar w:fldCharType="separate"/>
      </w:r>
      <w:r w:rsidRPr="007418D9">
        <w:rPr>
          <w:rFonts w:ascii="Calibri" w:hAnsi="Calibri" w:cs="Calibri"/>
        </w:rPr>
        <w:t>(Colombari et al., 2023)</w:t>
      </w:r>
      <w:r w:rsidRPr="007418D9">
        <w:rPr>
          <w:rFonts w:ascii="Calibri" w:hAnsi="Calibri" w:cs="Calibri"/>
        </w:rPr>
        <w:fldChar w:fldCharType="end"/>
      </w:r>
      <w:r w:rsidRPr="007418D9">
        <w:rPr>
          <w:rFonts w:ascii="Calibri" w:hAnsi="Calibri" w:cs="Calibri"/>
        </w:rPr>
        <w:t>, due to fragmented data ownership, limited interoperability, and unclear responsibilities across lifecycle stages. This highlights a critical gap between digitalization and value creation: data alone does not improve outcomes unless embedded within structured processes and decision rules. The gap is particularly evident in circular economy initiatives, where challenges are often structural rather than technological. Despite the technical feasibility of reusing waste streams such as industrial heat, by-products, and organic waste, implementation remains difficult to scale because of weak system integration, reverse logistics challenges, limited coordination across value chains, and the absence of lifecycle-based business models.</w:t>
      </w:r>
    </w:p>
    <w:p w14:paraId="5C9EE9B7" w14:textId="0E569373" w:rsidR="00EC1133" w:rsidRPr="007418D9" w:rsidRDefault="00EC1133" w:rsidP="00064A29">
      <w:pPr>
        <w:spacing w:line="278" w:lineRule="auto"/>
        <w:jc w:val="both"/>
        <w:rPr>
          <w:rFonts w:ascii="Calibri" w:hAnsi="Calibri" w:cs="Calibri"/>
        </w:rPr>
      </w:pPr>
      <w:r w:rsidRPr="007418D9">
        <w:rPr>
          <w:rFonts w:ascii="Calibri" w:hAnsi="Calibri" w:cs="Calibri"/>
        </w:rPr>
        <w:t>From this perspective, circularity can be understood as a production system challenge, where value retention depends on process design and coordination rather than solely on the availability of materials or technologies.</w:t>
      </w:r>
    </w:p>
    <w:p w14:paraId="48DBCAE6" w14:textId="77777777" w:rsidR="009C3640" w:rsidRPr="007418D9" w:rsidRDefault="009C3640" w:rsidP="00064A29">
      <w:pPr>
        <w:spacing w:after="40" w:line="240" w:lineRule="auto"/>
        <w:jc w:val="both"/>
        <w:rPr>
          <w:rFonts w:ascii="Calibri" w:hAnsi="Calibri" w:cs="Calibri"/>
          <w:b/>
          <w:bCs/>
          <w:sz w:val="24"/>
          <w:szCs w:val="24"/>
        </w:rPr>
      </w:pPr>
      <w:r w:rsidRPr="007418D9">
        <w:rPr>
          <w:rFonts w:ascii="Calibri" w:hAnsi="Calibri" w:cs="Calibri"/>
          <w:b/>
          <w:bCs/>
          <w:sz w:val="24"/>
          <w:szCs w:val="24"/>
        </w:rPr>
        <w:t>4.3 Socio-Technical Complexity</w:t>
      </w:r>
    </w:p>
    <w:p w14:paraId="6886AC59" w14:textId="77777777" w:rsidR="004C3396" w:rsidRPr="007418D9" w:rsidRDefault="004C3396" w:rsidP="00064A29">
      <w:pPr>
        <w:spacing w:line="278" w:lineRule="auto"/>
        <w:jc w:val="both"/>
        <w:rPr>
          <w:rFonts w:ascii="Calibri" w:hAnsi="Calibri" w:cs="Calibri"/>
        </w:rPr>
      </w:pPr>
      <w:r w:rsidRPr="007418D9">
        <w:rPr>
          <w:rFonts w:ascii="Calibri" w:hAnsi="Calibri" w:cs="Calibri"/>
        </w:rPr>
        <w:t>A further recurring pattern is the strong dependency on multi-stakeholder collaboration. Many sustainability and circularity initiatives require coordination among industry actors, public institutions, research organizations, and local communities. Interview data also highlights complexities related to data ownership, access rights, and responsibility allocation across stakeholders.</w:t>
      </w:r>
    </w:p>
    <w:p w14:paraId="3D14A8E2" w14:textId="5E3EA1B9" w:rsidR="004C3396" w:rsidRPr="007418D9" w:rsidRDefault="004C3396" w:rsidP="004C3396">
      <w:pPr>
        <w:spacing w:line="278" w:lineRule="auto"/>
        <w:jc w:val="both"/>
        <w:rPr>
          <w:rFonts w:ascii="Calibri" w:hAnsi="Calibri" w:cs="Calibri"/>
        </w:rPr>
      </w:pPr>
      <w:r w:rsidRPr="007418D9">
        <w:rPr>
          <w:rFonts w:ascii="Calibri" w:hAnsi="Calibri" w:cs="Calibri"/>
        </w:rPr>
        <w:lastRenderedPageBreak/>
        <w:t xml:space="preserve">These observations emphasize the inherently socio-technical nature of EoL systems. Technical solutions alone are insufficient; successful implementation depends on aligning organizational structures, incentives, and stakeholder interests  </w:t>
      </w:r>
      <w:r w:rsidRPr="007418D9">
        <w:rPr>
          <w:rFonts w:ascii="Calibri" w:hAnsi="Calibri" w:cs="Calibri"/>
        </w:rPr>
        <w:fldChar w:fldCharType="begin"/>
      </w:r>
      <w:r w:rsidRPr="007418D9">
        <w:rPr>
          <w:rFonts w:ascii="Calibri" w:hAnsi="Calibri" w:cs="Calibri"/>
        </w:rPr>
        <w:instrText xml:space="preserve"> ADDIN ZOTERO_ITEM CSL_CITATION {"citationID":"hWrsHyKL","properties":{"formattedCitation":"(Kompella, 2020)","plainCitation":"(Kompella, 2020)","noteIndex":0},"citationItems":[{"id":1682,"uris":["http://zotero.org/users/9177935/items/8Y5437IG"],"itemData":{"id":1682,"type":"article-journal","container-title":"Journal of Global Information Technology Management","DOI":"10.1080/1097198X.2020.1752082","ISSN":"1097-198X","issue":"2","journalAbbreviation":"Journal of Global Information Technology Management","note":"publisher: Routledge","page":"89-111","title":"Socio-Technical Transitions and Organizational Responses: Insights from E-Governance Case Studies","volume":"23","author":[{"family":"Kompella","given":"Lakshminarayana"}],"issued":{"date-parts":[["2020",4,2]]}}}],"schema":"https://github.com/citation-style-language/schema/raw/master/csl-citation.json"} </w:instrText>
      </w:r>
      <w:r w:rsidRPr="007418D9">
        <w:rPr>
          <w:rFonts w:ascii="Calibri" w:hAnsi="Calibri" w:cs="Calibri"/>
        </w:rPr>
        <w:fldChar w:fldCharType="separate"/>
      </w:r>
      <w:r w:rsidRPr="007418D9">
        <w:rPr>
          <w:rFonts w:ascii="Calibri" w:hAnsi="Calibri" w:cs="Calibri"/>
        </w:rPr>
        <w:t>(Kompella, 2020)</w:t>
      </w:r>
      <w:r w:rsidRPr="007418D9">
        <w:rPr>
          <w:rFonts w:ascii="Calibri" w:hAnsi="Calibri" w:cs="Calibri"/>
        </w:rPr>
        <w:fldChar w:fldCharType="end"/>
      </w:r>
      <w:r w:rsidRPr="007418D9">
        <w:rPr>
          <w:rFonts w:ascii="Calibri" w:hAnsi="Calibri" w:cs="Calibri"/>
        </w:rPr>
        <w:t xml:space="preserve">, particularly where regulatory frameworks, such as data protection rules, constrain lifecycle information flows. Regulatory constraints, public perception, and economic feasibility often emerge as critical barriers, sometimes outweighing technical considerations </w:t>
      </w:r>
      <w:r w:rsidRPr="007418D9">
        <w:rPr>
          <w:rFonts w:ascii="Calibri" w:hAnsi="Calibri" w:cs="Calibri"/>
        </w:rPr>
        <w:fldChar w:fldCharType="begin"/>
      </w:r>
      <w:r w:rsidRPr="007418D9">
        <w:rPr>
          <w:rFonts w:ascii="Calibri" w:hAnsi="Calibri" w:cs="Calibri"/>
        </w:rPr>
        <w:instrText xml:space="preserve"> ADDIN ZOTERO_ITEM CSL_CITATION {"citationID":"ZA1HB3CW","properties":{"formattedCitation":"(Chau et al., 2025)","plainCitation":"(Chau et al., 2025)","noteIndex":0},"citationItems":[{"id":1684,"uris":["http://zotero.org/users/9177935/items/E3JZTMA7"],"itemData":{"id":1684,"type":"article-journal","abstract":"Urbanisation has resulted in significant environmental challenges, particularly the phenomenon of urban overheating, with a significant increase in temperatures in urban environments. To tackle the adverse impact of urban overheating, the implementation of green infrastructure (GI) has been considered particularly effective. Although there are various benefits of GI for sustainable urban management, its widespread implementation faces numerous challenges. To effectively scale up the deployment of GI, it is crucial to develop political and institutional frameworks that are both responsive and adaptable to the evolving complexities inherent in human–nature interactions. The barriers to implementation are not merely technical but also embedded in organisational norms, social practices, and governance systems, which makes them particularly difficult to overcome. This paper identifies five key categories of barriers: technical limitations, financial impediments, regulatory constraints, weak political leadership, and governance and coordination challenges. Through a targeted literature review and a detailed case study of Melbourne, the paper explores the city’s primary greening initiatives and examines how these barriers have influenced implementation. By linking specific policy responses to each barrier, this study provides new insights into the institutional and policy dynamics affecting GI adoption. The findings offer lessons for other cities seeking to better implement nature-based solutions through integrated and scalable GI strategies.","container-title":"Land","DOI":"10.3390/land14050961","ISSN":"2073-445X","issue":"5","page":"961","title":"Key Barriers and Challenges to Green Infrastructure Implementation: Policy Insights from the Melbourne Case","volume":"14","author":[{"family":"Chau","given":"Hing-Wah"},{"family":"Abuseif","given":"Majed"},{"family":"Geng","given":"Shiran"},{"family":"Jamei","given":"Elmira"}],"issued":{"date-parts":[["2025"]]}}}],"schema":"https://github.com/citation-style-language/schema/raw/master/csl-citation.json"} </w:instrText>
      </w:r>
      <w:r w:rsidRPr="007418D9">
        <w:rPr>
          <w:rFonts w:ascii="Calibri" w:hAnsi="Calibri" w:cs="Calibri"/>
        </w:rPr>
        <w:fldChar w:fldCharType="separate"/>
      </w:r>
      <w:r w:rsidRPr="007418D9">
        <w:rPr>
          <w:rFonts w:ascii="Calibri" w:hAnsi="Calibri" w:cs="Calibri"/>
        </w:rPr>
        <w:t>(Chau et al., 2025)</w:t>
      </w:r>
      <w:r w:rsidRPr="007418D9">
        <w:rPr>
          <w:rFonts w:ascii="Calibri" w:hAnsi="Calibri" w:cs="Calibri"/>
        </w:rPr>
        <w:fldChar w:fldCharType="end"/>
      </w:r>
      <w:r w:rsidRPr="007418D9">
        <w:rPr>
          <w:rFonts w:ascii="Calibri" w:hAnsi="Calibri" w:cs="Calibri"/>
        </w:rPr>
        <w:t>. This reinforces the relevance of a</w:t>
      </w:r>
      <w:r w:rsidR="00316606" w:rsidRPr="007418D9">
        <w:rPr>
          <w:rFonts w:ascii="Calibri" w:hAnsi="Calibri" w:cs="Calibri"/>
        </w:rPr>
        <w:t>n</w:t>
      </w:r>
      <w:r w:rsidRPr="007418D9">
        <w:rPr>
          <w:rFonts w:ascii="Calibri" w:hAnsi="Calibri" w:cs="Calibri"/>
        </w:rPr>
        <w:t xml:space="preserve"> STS perspective, in which system performance depends on the joint optimization of technological and social components.</w:t>
      </w:r>
    </w:p>
    <w:p w14:paraId="23AFB955" w14:textId="77777777" w:rsidR="009C3640" w:rsidRPr="007418D9" w:rsidRDefault="009C3640" w:rsidP="003B5E9B">
      <w:pPr>
        <w:spacing w:after="40" w:line="240" w:lineRule="auto"/>
        <w:rPr>
          <w:rFonts w:ascii="Calibri" w:hAnsi="Calibri" w:cs="Calibri"/>
          <w:b/>
          <w:bCs/>
          <w:sz w:val="24"/>
          <w:szCs w:val="24"/>
        </w:rPr>
      </w:pPr>
      <w:r w:rsidRPr="007418D9">
        <w:rPr>
          <w:rFonts w:ascii="Calibri" w:hAnsi="Calibri" w:cs="Calibri"/>
          <w:b/>
          <w:bCs/>
          <w:sz w:val="24"/>
          <w:szCs w:val="24"/>
        </w:rPr>
        <w:t>4.4 Shift Toward System-Level and Lifecycle Thinking</w:t>
      </w:r>
    </w:p>
    <w:p w14:paraId="26326915" w14:textId="7ED9208F" w:rsidR="000624B8" w:rsidRPr="007418D9" w:rsidRDefault="000624B8" w:rsidP="00693805">
      <w:pPr>
        <w:spacing w:line="278" w:lineRule="auto"/>
        <w:jc w:val="both"/>
        <w:rPr>
          <w:rFonts w:ascii="Calibri" w:hAnsi="Calibri" w:cs="Calibri"/>
        </w:rPr>
      </w:pPr>
      <w:r w:rsidRPr="007418D9">
        <w:rPr>
          <w:rFonts w:ascii="Calibri" w:hAnsi="Calibri" w:cs="Calibri"/>
        </w:rPr>
        <w:t>The insights also indicate a broader shift from process-level optimization toward system-level and lifecycle-oriented thinking. This trend is reflected in growing attention to product traceability, lifecycle transparency, and the integration of design, production, use, and EoL phases through shared data infrastructures. Increasing focus on value chain emissions further highlights the need to understand production systems beyond individual firms</w:t>
      </w:r>
      <w:r w:rsidR="00AD4D39">
        <w:rPr>
          <w:rFonts w:ascii="Calibri" w:hAnsi="Calibri" w:cs="Calibri"/>
        </w:rPr>
        <w:t xml:space="preserve"> a</w:t>
      </w:r>
      <w:r w:rsidR="00AD4D39" w:rsidRPr="00AD4D39">
        <w:rPr>
          <w:rFonts w:ascii="Calibri" w:hAnsi="Calibri" w:cs="Calibri"/>
        </w:rPr>
        <w:t>nd industries</w:t>
      </w:r>
      <w:r w:rsidRPr="007418D9">
        <w:rPr>
          <w:rFonts w:ascii="Calibri" w:hAnsi="Calibri" w:cs="Calibri"/>
        </w:rPr>
        <w:t xml:space="preserve">. As a result, value creation and sustainability performance are increasingly distributed across interconnected processes and actors. Consequently, EoL can no longer be treated as an isolated phase but must be integrated into a broader production ecosystem </w:t>
      </w:r>
      <w:r w:rsidR="00693805" w:rsidRPr="007418D9">
        <w:rPr>
          <w:rFonts w:ascii="Calibri" w:hAnsi="Calibri" w:cs="Calibri"/>
        </w:rPr>
        <w:fldChar w:fldCharType="begin"/>
      </w:r>
      <w:r w:rsidR="00693805" w:rsidRPr="007418D9">
        <w:rPr>
          <w:rFonts w:ascii="Calibri" w:hAnsi="Calibri" w:cs="Calibri"/>
        </w:rPr>
        <w:instrText xml:space="preserve"> ADDIN ZOTERO_ITEM CSL_CITATION {"citationID":"1OL1YzsB","properties":{"formattedCitation":"(Mathur et al., 2023)","plainCitation":"(Mathur et al., 2023)","noteIndex":0},"citationItems":[{"id":1685,"uris":["http://zotero.org/users/9177935/items/EBANWAMW"],"itemData":{"id":1685,"type":"article-journal","abstract":"The development of secondary sources as industrial feedstocks is important to creating resilient supply chains that contribute towards diverting resources away from landfills, mitigating deleterious environmental impacts, and minimizing market volatility. A major challenge to develop secondary feedstocks is the coordination and digitalization of the large quantities of generated information at each phase of a product’s life cycle. This paper builds upon earlier work that illustrates a top-level model of the activities and information needs to integrate product manufacturing with circular practices. This paper extends the initial work to explore the cyclical nature of Circular Economy (CE) information flows specifically related to product End-of-life. Using the Integrated Definition 0, IDEF0, modeling technique this paper examines the End-of-life function envisioned under a CE manufacturing model [ISO, 2012]. This function is decomposed into subsequent child functions and is analyzed relative to other product life cycle phases. The paper reviews the current global product EoL practices and in the context of the developed IDEF0 model. The proposed framework contributes a detailed description and presentation of information flows and the drivers of change (i.e., feedback loops) that are essential for creating secondary material streams based on the critically analyzing the reviewed literature. The novelty of this study includes the identification of standards and metrics gaps to facilitate quantitative assessment and evaluation in a CE. The study further elucidates the discussion around CE in terms of resource regeneration by ‘designing out waste’ and decoupling economic growth from resource depletion.","container-title":"Frontiers in Manufacturing Technology","DOI":"10.3389/fmtec.2023.988073","ISSN":"2813-0359","title":"A process model representation of the end-of-life phase of a product in a circular economy to identify standards needs","URL":"https://www.frontiersin.org/journals/manufacturing-technology/articles/10.3389/fmtec.2023.988073","volume":"Volume 3 - 2023","author":[{"family":"Mathur","given":"Nehika"},{"family":"Last","given":"Noah"},{"family":"Morris","given":"K. C."}],"issued":{"date-parts":[["2023"]]}}}],"schema":"https://github.com/citation-style-language/schema/raw/master/csl-citation.json"} </w:instrText>
      </w:r>
      <w:r w:rsidR="00693805" w:rsidRPr="007418D9">
        <w:rPr>
          <w:rFonts w:ascii="Calibri" w:hAnsi="Calibri" w:cs="Calibri"/>
        </w:rPr>
        <w:fldChar w:fldCharType="separate"/>
      </w:r>
      <w:r w:rsidR="00693805" w:rsidRPr="007418D9">
        <w:rPr>
          <w:rFonts w:ascii="Calibri" w:hAnsi="Calibri" w:cs="Calibri"/>
        </w:rPr>
        <w:t>(Mathur et al., 2023)</w:t>
      </w:r>
      <w:r w:rsidR="00693805" w:rsidRPr="007418D9">
        <w:rPr>
          <w:rFonts w:ascii="Calibri" w:hAnsi="Calibri" w:cs="Calibri"/>
        </w:rPr>
        <w:fldChar w:fldCharType="end"/>
      </w:r>
      <w:r w:rsidRPr="007418D9">
        <w:rPr>
          <w:rFonts w:ascii="Calibri" w:hAnsi="Calibri" w:cs="Calibri"/>
        </w:rPr>
        <w:t>, where information continuity and lifecycle feedback become critical enablers of system performance.</w:t>
      </w:r>
    </w:p>
    <w:p w14:paraId="06FD46C1" w14:textId="77777777" w:rsidR="009C3640" w:rsidRPr="007418D9" w:rsidRDefault="009C3640" w:rsidP="003B5E9B">
      <w:pPr>
        <w:spacing w:after="40" w:line="240" w:lineRule="auto"/>
        <w:rPr>
          <w:rFonts w:ascii="Calibri" w:hAnsi="Calibri" w:cs="Calibri"/>
          <w:b/>
          <w:bCs/>
          <w:sz w:val="24"/>
          <w:szCs w:val="24"/>
        </w:rPr>
      </w:pPr>
      <w:r w:rsidRPr="007418D9">
        <w:rPr>
          <w:rFonts w:ascii="Calibri" w:hAnsi="Calibri" w:cs="Calibri"/>
          <w:b/>
          <w:bCs/>
          <w:sz w:val="24"/>
          <w:szCs w:val="24"/>
        </w:rPr>
        <w:t>4.5 Toward Adaptive and Data-Driven Production Systems</w:t>
      </w:r>
    </w:p>
    <w:p w14:paraId="06AC11A2" w14:textId="71597E32" w:rsidR="004D30F5" w:rsidRPr="007418D9" w:rsidRDefault="004D30F5" w:rsidP="00FE2EC7">
      <w:pPr>
        <w:jc w:val="both"/>
        <w:rPr>
          <w:rFonts w:ascii="Calibri" w:hAnsi="Calibri" w:cs="Calibri"/>
        </w:rPr>
      </w:pPr>
      <w:r w:rsidRPr="007418D9">
        <w:rPr>
          <w:rFonts w:ascii="Calibri" w:hAnsi="Calibri" w:cs="Calibri"/>
        </w:rPr>
        <w:t xml:space="preserve">Finally, multiple observations point to a growing need for flexibility, speed, and adaptability in industrial systems. Rapid technological change, geopolitical uncertainty, and sustainability pressures are driving a shift toward more reconfigurable and data-driven production models. This transformation is enabled by digital technologies such as AI, simulation tools, and real-time monitoring systems </w:t>
      </w:r>
      <w:r w:rsidR="003E499F" w:rsidRPr="007418D9">
        <w:rPr>
          <w:rFonts w:ascii="Calibri" w:hAnsi="Calibri" w:cs="Calibri"/>
        </w:rPr>
        <w:fldChar w:fldCharType="begin"/>
      </w:r>
      <w:r w:rsidR="003E499F" w:rsidRPr="007418D9">
        <w:rPr>
          <w:rFonts w:ascii="Calibri" w:hAnsi="Calibri" w:cs="Calibri"/>
        </w:rPr>
        <w:instrText xml:space="preserve"> ADDIN ZOTERO_ITEM CSL_CITATION {"citationID":"lO0uJwEQ","properties":{"unsorted":false,"formattedCitation":"(Jeong, 2023)","plainCitation":"(Jeong, 2023)","noteIndex":0},"citationItems":[{"id":"Lg3wxFa4/gdLJim0y","uris":["http://zotero.org/users/9177935/items/PBK7SZKK"],"itemData":{"id":1,"type":"article-journal","container-title":"Int. J. Precis. Eng. Manuf.-Smart Tech.","DOI":"10.57062/ijpem-st.2023.0052","ISSN":"2951-4614","issue":"2","journalAbbreviation":"Int. J. Precis. Eng. Manuf.-Smart Tech.","page":"187-200","publisher":"Korean Society for Precision Engineering","title":"Digitalization in Production Logistics: How AI, Digital Twins, and Simulation Are Driving the Shift from Model-based to Data-driven Approaches","volume":"1","author":[{"family":"Jeong","given":"Yongkuk"}],"issued":{"date-parts":[["2023",7,5]]}}}],"schema":"https://github.com/citation-style-language/schema/raw/master/csl-citation.json"} </w:instrText>
      </w:r>
      <w:r w:rsidR="003E499F" w:rsidRPr="007418D9">
        <w:rPr>
          <w:rFonts w:ascii="Calibri" w:hAnsi="Calibri" w:cs="Calibri"/>
        </w:rPr>
        <w:fldChar w:fldCharType="separate"/>
      </w:r>
      <w:r w:rsidR="003E499F" w:rsidRPr="007418D9">
        <w:rPr>
          <w:rFonts w:ascii="Calibri" w:hAnsi="Calibri" w:cs="Calibri"/>
        </w:rPr>
        <w:t>(Jeong, 2023)</w:t>
      </w:r>
      <w:r w:rsidR="003E499F" w:rsidRPr="007418D9">
        <w:rPr>
          <w:rFonts w:ascii="Calibri" w:hAnsi="Calibri" w:cs="Calibri"/>
        </w:rPr>
        <w:fldChar w:fldCharType="end"/>
      </w:r>
      <w:r w:rsidRPr="007418D9">
        <w:rPr>
          <w:rFonts w:ascii="Calibri" w:hAnsi="Calibri" w:cs="Calibri"/>
        </w:rPr>
        <w:t>. However, their effectiveness depends on integration into structured production systems with clearly defined processes and feedback mechanisms, which is often hindered by fragmented architectures and the lack of closed-loop data flows.</w:t>
      </w:r>
      <w:r w:rsidR="003F69DA" w:rsidRPr="007418D9">
        <w:t xml:space="preserve"> </w:t>
      </w:r>
      <w:r w:rsidR="003F69DA" w:rsidRPr="007418D9">
        <w:rPr>
          <w:rFonts w:ascii="Calibri" w:hAnsi="Calibri" w:cs="Calibri"/>
        </w:rPr>
        <w:t>Viewed through a process innovation lens,</w:t>
      </w:r>
      <w:r w:rsidRPr="007418D9">
        <w:rPr>
          <w:rFonts w:ascii="Calibri" w:hAnsi="Calibri" w:cs="Calibri"/>
        </w:rPr>
        <w:t xml:space="preserve"> future EoL systems should therefore be designed as adaptive and learning systems, capable of continuously incorporating new data and responding to changing conditions. This would support a transition from reactive, experience-based practices to systematic and feedback-driven decision-making.</w:t>
      </w:r>
    </w:p>
    <w:p w14:paraId="58862120" w14:textId="77777777" w:rsidR="009C3640" w:rsidRPr="007418D9" w:rsidRDefault="009C3640" w:rsidP="009C3640">
      <w:pPr>
        <w:jc w:val="both"/>
        <w:rPr>
          <w:rFonts w:ascii="Calibri" w:hAnsi="Calibri" w:cs="Calibri"/>
        </w:rPr>
      </w:pPr>
      <w:r w:rsidRPr="007418D9">
        <w:rPr>
          <w:rFonts w:ascii="Calibri" w:hAnsi="Calibri" w:cs="Calibri"/>
        </w:rPr>
        <w:t>Table 1 presents a comparative synthesis of the identified patterns and insights across multiple perspectives, highlighting key industrial challenges, built environment observations, and their implications from a process innovation perspective.</w:t>
      </w:r>
    </w:p>
    <w:p w14:paraId="4112AFEE" w14:textId="584134F2" w:rsidR="00795A75" w:rsidRPr="007418D9" w:rsidRDefault="00795A75" w:rsidP="00795A75">
      <w:pPr>
        <w:jc w:val="both"/>
        <w:rPr>
          <w:rFonts w:ascii="Calibri" w:hAnsi="Calibri" w:cs="Calibri"/>
        </w:rPr>
      </w:pPr>
      <w:r w:rsidRPr="007418D9">
        <w:rPr>
          <w:rFonts w:ascii="Calibri" w:hAnsi="Calibri" w:cs="Calibri"/>
        </w:rPr>
        <w:t xml:space="preserve">Taken together, the observations outlined in this section support a reinterpretation of EoL as a process innovation problem. The key challenges identified (fragmentation, underutilized data, lack of process structure, and socio-technical complexity) are not isolated issues, but interconnected aspects of an underdeveloped system. </w:t>
      </w:r>
      <w:r w:rsidR="009C1B7B" w:rsidRPr="007418D9">
        <w:rPr>
          <w:rFonts w:ascii="Calibri" w:hAnsi="Calibri" w:cs="Calibri"/>
        </w:rPr>
        <w:t>This reinforces the central argument that improving EoL performance requires not only technological solutions but also a structured production system that systematically integrates information flows, decision-making, and stakeholder interactions.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69"/>
        <w:gridCol w:w="2212"/>
        <w:gridCol w:w="2229"/>
        <w:gridCol w:w="2316"/>
      </w:tblGrid>
      <w:tr w:rsidR="009C3640" w:rsidRPr="007418D9" w14:paraId="354825B0" w14:textId="77777777" w:rsidTr="004D4919">
        <w:trPr>
          <w:tblHeader/>
          <w:tblCellSpacing w:w="15" w:type="dxa"/>
        </w:trPr>
        <w:tc>
          <w:tcPr>
            <w:tcW w:w="0" w:type="auto"/>
            <w:gridSpan w:val="4"/>
            <w:vAlign w:val="center"/>
          </w:tcPr>
          <w:p w14:paraId="2CB19FB1" w14:textId="6A6ADD67" w:rsidR="009C3640" w:rsidRPr="007418D9" w:rsidRDefault="009C3640" w:rsidP="004D4919">
            <w:pPr>
              <w:spacing w:after="0"/>
              <w:rPr>
                <w:rFonts w:ascii="Calibri" w:hAnsi="Calibri" w:cs="Calibri"/>
                <w:i/>
                <w:iCs/>
                <w:sz w:val="20"/>
                <w:szCs w:val="20"/>
                <w:rtl/>
              </w:rPr>
            </w:pPr>
            <w:r w:rsidRPr="007418D9">
              <w:rPr>
                <w:rFonts w:ascii="Calibri" w:hAnsi="Calibri" w:cs="Calibri"/>
                <w:i/>
                <w:iCs/>
                <w:sz w:val="20"/>
                <w:szCs w:val="20"/>
              </w:rPr>
              <w:lastRenderedPageBreak/>
              <w:t>Table 1</w:t>
            </w:r>
            <w:r w:rsidR="0030482F" w:rsidRPr="007418D9">
              <w:rPr>
                <w:rFonts w:ascii="Calibri" w:hAnsi="Calibri" w:cs="Calibri"/>
                <w:i/>
                <w:iCs/>
                <w:sz w:val="20"/>
                <w:szCs w:val="20"/>
              </w:rPr>
              <w:t>:</w:t>
            </w:r>
            <w:r w:rsidRPr="007418D9">
              <w:rPr>
                <w:rFonts w:ascii="Calibri" w:hAnsi="Calibri" w:cs="Calibri"/>
                <w:i/>
                <w:iCs/>
                <w:sz w:val="20"/>
                <w:szCs w:val="20"/>
              </w:rPr>
              <w:t xml:space="preserve"> An overview of patterns and insights across multiple perspectives on EoL system transformation.</w:t>
            </w:r>
          </w:p>
        </w:tc>
      </w:tr>
      <w:tr w:rsidR="009C3640" w:rsidRPr="007418D9" w14:paraId="4F058FE4" w14:textId="77777777" w:rsidTr="004D4919">
        <w:trPr>
          <w:tblHeader/>
          <w:tblCellSpacing w:w="15" w:type="dxa"/>
        </w:trPr>
        <w:tc>
          <w:tcPr>
            <w:tcW w:w="0" w:type="auto"/>
            <w:vAlign w:val="center"/>
            <w:hideMark/>
          </w:tcPr>
          <w:p w14:paraId="2BDAA95B" w14:textId="77777777" w:rsidR="009C3640" w:rsidRPr="007418D9" w:rsidRDefault="009C3640" w:rsidP="004D4919">
            <w:pPr>
              <w:spacing w:after="0"/>
              <w:rPr>
                <w:rFonts w:ascii="Calibri" w:hAnsi="Calibri" w:cs="Calibri"/>
                <w:b/>
                <w:bCs/>
                <w:sz w:val="18"/>
                <w:szCs w:val="18"/>
              </w:rPr>
            </w:pPr>
            <w:r w:rsidRPr="007418D9">
              <w:rPr>
                <w:rFonts w:ascii="Calibri" w:hAnsi="Calibri" w:cs="Calibri"/>
                <w:b/>
                <w:bCs/>
                <w:sz w:val="18"/>
                <w:szCs w:val="18"/>
              </w:rPr>
              <w:t>Key Patterns and Transformation Dynamics</w:t>
            </w:r>
          </w:p>
        </w:tc>
        <w:tc>
          <w:tcPr>
            <w:tcW w:w="0" w:type="auto"/>
            <w:vAlign w:val="center"/>
            <w:hideMark/>
          </w:tcPr>
          <w:p w14:paraId="7E9FC86B" w14:textId="77777777" w:rsidR="009C3640" w:rsidRPr="007418D9" w:rsidRDefault="009C3640" w:rsidP="004D4919">
            <w:pPr>
              <w:spacing w:after="0"/>
              <w:rPr>
                <w:rFonts w:ascii="Calibri" w:hAnsi="Calibri" w:cs="Calibri"/>
                <w:b/>
                <w:bCs/>
                <w:sz w:val="18"/>
                <w:szCs w:val="18"/>
              </w:rPr>
            </w:pPr>
            <w:r w:rsidRPr="007418D9">
              <w:rPr>
                <w:rFonts w:ascii="Calibri" w:hAnsi="Calibri" w:cs="Calibri"/>
                <w:b/>
                <w:bCs/>
                <w:sz w:val="18"/>
                <w:szCs w:val="18"/>
              </w:rPr>
              <w:t>Industrial Challenges</w:t>
            </w:r>
          </w:p>
        </w:tc>
        <w:tc>
          <w:tcPr>
            <w:tcW w:w="0" w:type="auto"/>
            <w:vAlign w:val="center"/>
            <w:hideMark/>
          </w:tcPr>
          <w:p w14:paraId="52D8B232" w14:textId="77777777" w:rsidR="009C3640" w:rsidRPr="007418D9" w:rsidRDefault="009C3640" w:rsidP="004D4919">
            <w:pPr>
              <w:spacing w:after="0"/>
              <w:rPr>
                <w:rFonts w:ascii="Calibri" w:hAnsi="Calibri" w:cs="Calibri"/>
                <w:b/>
                <w:bCs/>
                <w:sz w:val="18"/>
                <w:szCs w:val="18"/>
              </w:rPr>
            </w:pPr>
            <w:r w:rsidRPr="007418D9">
              <w:rPr>
                <w:rFonts w:ascii="Calibri" w:hAnsi="Calibri" w:cs="Calibri"/>
                <w:b/>
                <w:bCs/>
                <w:sz w:val="18"/>
                <w:szCs w:val="18"/>
              </w:rPr>
              <w:t>Built Environment Insights</w:t>
            </w:r>
          </w:p>
        </w:tc>
        <w:tc>
          <w:tcPr>
            <w:tcW w:w="0" w:type="auto"/>
            <w:vAlign w:val="center"/>
            <w:hideMark/>
          </w:tcPr>
          <w:p w14:paraId="5E3915C8" w14:textId="77777777" w:rsidR="009C3640" w:rsidRPr="007418D9" w:rsidRDefault="009C3640" w:rsidP="004D4919">
            <w:pPr>
              <w:spacing w:after="0"/>
              <w:rPr>
                <w:rFonts w:ascii="Calibri" w:hAnsi="Calibri" w:cs="Calibri"/>
                <w:b/>
                <w:bCs/>
                <w:sz w:val="18"/>
                <w:szCs w:val="18"/>
              </w:rPr>
            </w:pPr>
            <w:r w:rsidRPr="007418D9">
              <w:rPr>
                <w:rFonts w:ascii="Calibri" w:hAnsi="Calibri" w:cs="Calibri"/>
                <w:b/>
                <w:bCs/>
                <w:sz w:val="18"/>
                <w:szCs w:val="18"/>
              </w:rPr>
              <w:t>Process Innovation Takeaway</w:t>
            </w:r>
          </w:p>
        </w:tc>
      </w:tr>
      <w:tr w:rsidR="009C3640" w:rsidRPr="007418D9" w14:paraId="57EDFC41" w14:textId="77777777" w:rsidTr="004D4919">
        <w:trPr>
          <w:tblCellSpacing w:w="15" w:type="dxa"/>
        </w:trPr>
        <w:tc>
          <w:tcPr>
            <w:tcW w:w="0" w:type="auto"/>
            <w:vAlign w:val="center"/>
            <w:hideMark/>
          </w:tcPr>
          <w:p w14:paraId="236E0FCC" w14:textId="77777777" w:rsidR="009C3640" w:rsidRPr="007418D9" w:rsidRDefault="009C3640" w:rsidP="004D4919">
            <w:pPr>
              <w:spacing w:after="0"/>
              <w:rPr>
                <w:rFonts w:ascii="Calibri" w:hAnsi="Calibri" w:cs="Calibri"/>
                <w:sz w:val="18"/>
                <w:szCs w:val="18"/>
              </w:rPr>
            </w:pPr>
            <w:r w:rsidRPr="007418D9">
              <w:rPr>
                <w:rFonts w:ascii="Calibri" w:hAnsi="Calibri" w:cs="Calibri"/>
                <w:b/>
                <w:bCs/>
                <w:sz w:val="18"/>
                <w:szCs w:val="18"/>
              </w:rPr>
              <w:t xml:space="preserve">Fragmented EoL Processes  </w:t>
            </w:r>
          </w:p>
        </w:tc>
        <w:tc>
          <w:tcPr>
            <w:tcW w:w="0" w:type="auto"/>
            <w:vAlign w:val="center"/>
            <w:hideMark/>
          </w:tcPr>
          <w:p w14:paraId="5060C326"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EoL activities fragmented and ad-hoc</w:t>
            </w:r>
          </w:p>
          <w:p w14:paraId="2B2B71EE"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Lack of standardized workflows</w:t>
            </w:r>
          </w:p>
          <w:p w14:paraId="3CBE8B3B"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No integrated system structure</w:t>
            </w:r>
          </w:p>
        </w:tc>
        <w:tc>
          <w:tcPr>
            <w:tcW w:w="0" w:type="auto"/>
            <w:vAlign w:val="center"/>
            <w:hideMark/>
          </w:tcPr>
          <w:p w14:paraId="74F0331E"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Reactive, experience-based practices</w:t>
            </w:r>
          </w:p>
          <w:p w14:paraId="3DE5FA30"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No formal workflows or traceability</w:t>
            </w:r>
          </w:p>
        </w:tc>
        <w:tc>
          <w:tcPr>
            <w:tcW w:w="0" w:type="auto"/>
            <w:vAlign w:val="center"/>
            <w:hideMark/>
          </w:tcPr>
          <w:p w14:paraId="3ABBD9AE"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Missing process architecture</w:t>
            </w:r>
          </w:p>
          <w:p w14:paraId="539AC4AC"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Lack of standardization limits scalability</w:t>
            </w:r>
          </w:p>
          <w:p w14:paraId="7377D9DE"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EoL not formalized as a production system</w:t>
            </w:r>
          </w:p>
        </w:tc>
      </w:tr>
      <w:tr w:rsidR="009C3640" w:rsidRPr="007418D9" w14:paraId="70E318E1" w14:textId="77777777" w:rsidTr="004D4919">
        <w:trPr>
          <w:tblCellSpacing w:w="15" w:type="dxa"/>
        </w:trPr>
        <w:tc>
          <w:tcPr>
            <w:tcW w:w="0" w:type="auto"/>
            <w:vAlign w:val="center"/>
            <w:hideMark/>
          </w:tcPr>
          <w:p w14:paraId="5FF324F3" w14:textId="77777777" w:rsidR="009C3640" w:rsidRPr="007418D9" w:rsidRDefault="009C3640" w:rsidP="004D4919">
            <w:pPr>
              <w:spacing w:after="0"/>
              <w:rPr>
                <w:rFonts w:ascii="Calibri" w:hAnsi="Calibri" w:cs="Calibri"/>
                <w:sz w:val="18"/>
                <w:szCs w:val="18"/>
              </w:rPr>
            </w:pPr>
            <w:r w:rsidRPr="007418D9">
              <w:rPr>
                <w:rFonts w:ascii="Calibri" w:hAnsi="Calibri" w:cs="Calibri"/>
                <w:b/>
                <w:bCs/>
                <w:sz w:val="18"/>
                <w:szCs w:val="18"/>
              </w:rPr>
              <w:t>Data-Structure Gap in Circular Systems</w:t>
            </w:r>
          </w:p>
        </w:tc>
        <w:tc>
          <w:tcPr>
            <w:tcW w:w="0" w:type="auto"/>
            <w:vAlign w:val="center"/>
            <w:hideMark/>
          </w:tcPr>
          <w:p w14:paraId="0DDD683B"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Data available but underutilized</w:t>
            </w:r>
          </w:p>
          <w:p w14:paraId="01F44CC5"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Structural barriers (coordination, logistics)</w:t>
            </w:r>
          </w:p>
          <w:p w14:paraId="1431D0ED"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Circularity limited by system design</w:t>
            </w:r>
          </w:p>
        </w:tc>
        <w:tc>
          <w:tcPr>
            <w:tcW w:w="0" w:type="auto"/>
            <w:vAlign w:val="center"/>
            <w:hideMark/>
          </w:tcPr>
          <w:p w14:paraId="5628BFC8"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Data fragmented and not decision-oriented</w:t>
            </w:r>
          </w:p>
          <w:p w14:paraId="74524886"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Weak link between data and action</w:t>
            </w:r>
          </w:p>
          <w:p w14:paraId="13B539F6"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Limited feedback from use phase</w:t>
            </w:r>
          </w:p>
        </w:tc>
        <w:tc>
          <w:tcPr>
            <w:tcW w:w="0" w:type="auto"/>
            <w:vAlign w:val="center"/>
            <w:hideMark/>
          </w:tcPr>
          <w:p w14:paraId="2A7D60D2"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Data not embedded in processes</w:t>
            </w:r>
          </w:p>
          <w:p w14:paraId="26F81296"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Lack of decision-support structures</w:t>
            </w:r>
          </w:p>
          <w:p w14:paraId="15EDC41C"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Absence of feedback integration</w:t>
            </w:r>
          </w:p>
          <w:p w14:paraId="5D8921D0"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Circularity as process design challenge</w:t>
            </w:r>
          </w:p>
        </w:tc>
      </w:tr>
      <w:tr w:rsidR="009C3640" w:rsidRPr="007418D9" w14:paraId="54152585" w14:textId="77777777" w:rsidTr="004D4919">
        <w:trPr>
          <w:tblCellSpacing w:w="15" w:type="dxa"/>
        </w:trPr>
        <w:tc>
          <w:tcPr>
            <w:tcW w:w="0" w:type="auto"/>
            <w:vAlign w:val="center"/>
            <w:hideMark/>
          </w:tcPr>
          <w:p w14:paraId="533E544B" w14:textId="77777777" w:rsidR="009C3640" w:rsidRPr="007418D9" w:rsidRDefault="009C3640" w:rsidP="004D4919">
            <w:pPr>
              <w:spacing w:after="0"/>
              <w:rPr>
                <w:rFonts w:ascii="Calibri" w:hAnsi="Calibri" w:cs="Calibri"/>
                <w:sz w:val="18"/>
                <w:szCs w:val="18"/>
              </w:rPr>
            </w:pPr>
            <w:r w:rsidRPr="007418D9">
              <w:rPr>
                <w:rFonts w:ascii="Calibri" w:hAnsi="Calibri" w:cs="Calibri"/>
                <w:b/>
                <w:bCs/>
                <w:sz w:val="18"/>
                <w:szCs w:val="18"/>
              </w:rPr>
              <w:t>Socio-Technical Complexity</w:t>
            </w:r>
          </w:p>
        </w:tc>
        <w:tc>
          <w:tcPr>
            <w:tcW w:w="0" w:type="auto"/>
            <w:vAlign w:val="center"/>
            <w:hideMark/>
          </w:tcPr>
          <w:p w14:paraId="19349219"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Multi-stakeholder dependency</w:t>
            </w:r>
          </w:p>
          <w:p w14:paraId="10D57C30"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Barriers: regulation, incentives</w:t>
            </w:r>
          </w:p>
          <w:p w14:paraId="6909EC44"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Need for STS alignment</w:t>
            </w:r>
          </w:p>
        </w:tc>
        <w:tc>
          <w:tcPr>
            <w:tcW w:w="0" w:type="auto"/>
            <w:vAlign w:val="center"/>
            <w:hideMark/>
          </w:tcPr>
          <w:p w14:paraId="3CB9DAB3"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Unclear data ownership</w:t>
            </w:r>
          </w:p>
          <w:p w14:paraId="4107D161"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Organizational misalignment</w:t>
            </w:r>
          </w:p>
        </w:tc>
        <w:tc>
          <w:tcPr>
            <w:tcW w:w="0" w:type="auto"/>
            <w:vAlign w:val="center"/>
            <w:hideMark/>
          </w:tcPr>
          <w:p w14:paraId="63F85399"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Need for role clarity and governance</w:t>
            </w:r>
          </w:p>
          <w:p w14:paraId="48ABFADC"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Alignment of social and technical systems</w:t>
            </w:r>
          </w:p>
          <w:p w14:paraId="08C3A171"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Coordination as core process requirement</w:t>
            </w:r>
          </w:p>
        </w:tc>
      </w:tr>
      <w:tr w:rsidR="009C3640" w:rsidRPr="007418D9" w14:paraId="0AE3C7A1" w14:textId="77777777" w:rsidTr="004D4919">
        <w:trPr>
          <w:tblCellSpacing w:w="15" w:type="dxa"/>
        </w:trPr>
        <w:tc>
          <w:tcPr>
            <w:tcW w:w="0" w:type="auto"/>
            <w:vAlign w:val="center"/>
            <w:hideMark/>
          </w:tcPr>
          <w:p w14:paraId="4A4D455E" w14:textId="77777777" w:rsidR="009C3640" w:rsidRPr="007418D9" w:rsidRDefault="009C3640" w:rsidP="004D4919">
            <w:pPr>
              <w:spacing w:after="0"/>
              <w:rPr>
                <w:rFonts w:ascii="Calibri" w:hAnsi="Calibri" w:cs="Calibri"/>
                <w:sz w:val="18"/>
                <w:szCs w:val="18"/>
              </w:rPr>
            </w:pPr>
            <w:r w:rsidRPr="007418D9">
              <w:rPr>
                <w:rFonts w:ascii="Calibri" w:hAnsi="Calibri" w:cs="Calibri"/>
                <w:b/>
                <w:bCs/>
                <w:sz w:val="18"/>
                <w:szCs w:val="18"/>
              </w:rPr>
              <w:t>System-Level and Lifecycle Integration Shift</w:t>
            </w:r>
          </w:p>
        </w:tc>
        <w:tc>
          <w:tcPr>
            <w:tcW w:w="0" w:type="auto"/>
            <w:vAlign w:val="center"/>
            <w:hideMark/>
          </w:tcPr>
          <w:p w14:paraId="116B1020"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Interconnected value chains</w:t>
            </w:r>
          </w:p>
          <w:p w14:paraId="53566175"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EoL must be integrated</w:t>
            </w:r>
          </w:p>
        </w:tc>
        <w:tc>
          <w:tcPr>
            <w:tcW w:w="0" w:type="auto"/>
            <w:vAlign w:val="center"/>
            <w:hideMark/>
          </w:tcPr>
          <w:p w14:paraId="33E5AA6F"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Disconnected lifecycle phases</w:t>
            </w:r>
          </w:p>
          <w:p w14:paraId="0CC83181"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Lack of information continuity</w:t>
            </w:r>
          </w:p>
        </w:tc>
        <w:tc>
          <w:tcPr>
            <w:tcW w:w="0" w:type="auto"/>
            <w:vAlign w:val="center"/>
            <w:hideMark/>
          </w:tcPr>
          <w:p w14:paraId="771FD8C8"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Need for end-to-end process integration</w:t>
            </w:r>
          </w:p>
          <w:p w14:paraId="1BCC7655"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EoL as part of continuous production system</w:t>
            </w:r>
          </w:p>
          <w:p w14:paraId="0DE45028"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Lifecycle-wide information flows</w:t>
            </w:r>
          </w:p>
        </w:tc>
      </w:tr>
      <w:tr w:rsidR="009C3640" w:rsidRPr="007418D9" w14:paraId="1A22F6BF" w14:textId="77777777" w:rsidTr="004D4919">
        <w:trPr>
          <w:tblCellSpacing w:w="15" w:type="dxa"/>
        </w:trPr>
        <w:tc>
          <w:tcPr>
            <w:tcW w:w="0" w:type="auto"/>
            <w:vAlign w:val="center"/>
            <w:hideMark/>
          </w:tcPr>
          <w:p w14:paraId="5F6E2EB3" w14:textId="77777777" w:rsidR="009C3640" w:rsidRPr="007418D9" w:rsidRDefault="009C3640" w:rsidP="004D4919">
            <w:pPr>
              <w:spacing w:after="0"/>
              <w:rPr>
                <w:rFonts w:ascii="Calibri" w:hAnsi="Calibri" w:cs="Calibri"/>
                <w:sz w:val="18"/>
                <w:szCs w:val="18"/>
              </w:rPr>
            </w:pPr>
            <w:r w:rsidRPr="007418D9">
              <w:rPr>
                <w:rFonts w:ascii="Calibri" w:hAnsi="Calibri" w:cs="Calibri"/>
                <w:b/>
                <w:bCs/>
                <w:sz w:val="18"/>
                <w:szCs w:val="18"/>
              </w:rPr>
              <w:t>Adaptive and Data-Driven Production Shift</w:t>
            </w:r>
          </w:p>
        </w:tc>
        <w:tc>
          <w:tcPr>
            <w:tcW w:w="0" w:type="auto"/>
            <w:vAlign w:val="center"/>
            <w:hideMark/>
          </w:tcPr>
          <w:p w14:paraId="2102603F"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Need for flexible, adaptive systems</w:t>
            </w:r>
          </w:p>
          <w:p w14:paraId="733314D8"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Enabled by AI and monitoring</w:t>
            </w:r>
          </w:p>
          <w:p w14:paraId="09B39902"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Requires structured processes</w:t>
            </w:r>
          </w:p>
        </w:tc>
        <w:tc>
          <w:tcPr>
            <w:tcW w:w="0" w:type="auto"/>
            <w:vAlign w:val="center"/>
            <w:hideMark/>
          </w:tcPr>
          <w:p w14:paraId="4A01A2FD"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Systems remain linear</w:t>
            </w:r>
          </w:p>
          <w:p w14:paraId="3BD6A5C4"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Limited use of feedback and data loops</w:t>
            </w:r>
          </w:p>
          <w:p w14:paraId="34A23296"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Potential of digital tools</w:t>
            </w:r>
          </w:p>
        </w:tc>
        <w:tc>
          <w:tcPr>
            <w:tcW w:w="0" w:type="auto"/>
            <w:vAlign w:val="center"/>
            <w:hideMark/>
          </w:tcPr>
          <w:p w14:paraId="4D7B6AED"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Shift from linear to feedback-driven systems</w:t>
            </w:r>
          </w:p>
          <w:p w14:paraId="12C1D60D"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Importance of closed-loop processes</w:t>
            </w:r>
          </w:p>
          <w:p w14:paraId="313D5CEE" w14:textId="77777777" w:rsidR="009C3640" w:rsidRPr="007418D9" w:rsidRDefault="009C3640" w:rsidP="004D4919">
            <w:pPr>
              <w:spacing w:after="0"/>
              <w:rPr>
                <w:rFonts w:ascii="Calibri" w:hAnsi="Calibri" w:cs="Calibri"/>
                <w:sz w:val="18"/>
                <w:szCs w:val="18"/>
              </w:rPr>
            </w:pPr>
            <w:r w:rsidRPr="007418D9">
              <w:rPr>
                <w:rFonts w:ascii="Calibri" w:hAnsi="Calibri" w:cs="Calibri"/>
                <w:sz w:val="18"/>
                <w:szCs w:val="18"/>
              </w:rPr>
              <w:t>- Adaptive and learning system design</w:t>
            </w:r>
          </w:p>
        </w:tc>
      </w:tr>
    </w:tbl>
    <w:p w14:paraId="4A60C086" w14:textId="77777777" w:rsidR="009C3640" w:rsidRPr="007418D9" w:rsidRDefault="009C3640" w:rsidP="009C3640">
      <w:pPr>
        <w:jc w:val="both"/>
        <w:rPr>
          <w:rFonts w:ascii="Calibri" w:hAnsi="Calibri" w:cs="Calibri"/>
        </w:rPr>
      </w:pPr>
    </w:p>
    <w:p w14:paraId="27B1D272" w14:textId="4469E326" w:rsidR="009C3640" w:rsidRPr="007418D9" w:rsidRDefault="00A16862" w:rsidP="009D129A">
      <w:pPr>
        <w:pStyle w:val="ListParagraph"/>
        <w:numPr>
          <w:ilvl w:val="0"/>
          <w:numId w:val="1"/>
        </w:numPr>
        <w:spacing w:after="40" w:line="240" w:lineRule="auto"/>
        <w:rPr>
          <w:rFonts w:ascii="Calibri" w:hAnsi="Calibri" w:cs="Calibri"/>
          <w:b/>
          <w:bCs/>
          <w:sz w:val="28"/>
          <w:szCs w:val="28"/>
        </w:rPr>
      </w:pPr>
      <w:r w:rsidRPr="007418D9">
        <w:rPr>
          <w:rFonts w:ascii="Calibri" w:hAnsi="Calibri" w:cs="Calibri"/>
          <w:b/>
          <w:bCs/>
          <w:sz w:val="28"/>
          <w:szCs w:val="28"/>
        </w:rPr>
        <w:t>DISCUSSION</w:t>
      </w:r>
    </w:p>
    <w:p w14:paraId="6BE3320F" w14:textId="77777777" w:rsidR="009C3640" w:rsidRPr="007418D9" w:rsidRDefault="009C3640" w:rsidP="00064A29">
      <w:pPr>
        <w:jc w:val="both"/>
        <w:rPr>
          <w:rFonts w:ascii="Calibri" w:hAnsi="Calibri" w:cs="Calibri"/>
          <w:rtl/>
          <w:lang w:bidi="fa-IR"/>
        </w:rPr>
      </w:pPr>
      <w:r w:rsidRPr="007418D9">
        <w:rPr>
          <w:rFonts w:ascii="Calibri" w:hAnsi="Calibri" w:cs="Calibri"/>
        </w:rPr>
        <w:t>Building on the exploratory observations presented in the previous section, this section moves beyond the identification of empirical patterns to provide a deeper interpretative discussion of the underlying systemic, organizational, and conceptual dynamics shaping EoL systems, examined through multiple complementary perspectives, as presented in the following subsections.</w:t>
      </w:r>
    </w:p>
    <w:p w14:paraId="060450B4" w14:textId="77777777" w:rsidR="009C3640" w:rsidRPr="007418D9" w:rsidRDefault="009C3640" w:rsidP="00064A29">
      <w:pPr>
        <w:spacing w:after="40" w:line="240" w:lineRule="auto"/>
        <w:jc w:val="both"/>
        <w:rPr>
          <w:rFonts w:ascii="Calibri" w:hAnsi="Calibri" w:cs="Calibri"/>
          <w:b/>
          <w:bCs/>
          <w:sz w:val="24"/>
          <w:szCs w:val="24"/>
        </w:rPr>
      </w:pPr>
      <w:r w:rsidRPr="007418D9">
        <w:rPr>
          <w:rFonts w:ascii="Calibri" w:hAnsi="Calibri" w:cs="Calibri"/>
          <w:b/>
          <w:bCs/>
          <w:sz w:val="24"/>
          <w:szCs w:val="24"/>
        </w:rPr>
        <w:t>5.1 Circular Business Models as the Missing Operational Layer</w:t>
      </w:r>
    </w:p>
    <w:p w14:paraId="5C93E954" w14:textId="3FE85F57" w:rsidR="00BB0080" w:rsidRPr="007418D9" w:rsidRDefault="00BB0080" w:rsidP="00064A29">
      <w:pPr>
        <w:spacing w:line="278" w:lineRule="auto"/>
        <w:jc w:val="both"/>
        <w:rPr>
          <w:rFonts w:ascii="Calibri" w:hAnsi="Calibri" w:cs="Calibri"/>
        </w:rPr>
      </w:pPr>
      <w:r w:rsidRPr="007418D9">
        <w:rPr>
          <w:rFonts w:ascii="Calibri" w:hAnsi="Calibri" w:cs="Calibri"/>
        </w:rPr>
        <w:t xml:space="preserve">While the findings of this study highlight structural and process-related deficiencies in the EoL phase, a deeper interpretation suggests that these challenges stem not only from technological or organizational limitations, but also from the absence of appropriate business logic </w:t>
      </w:r>
      <w:r w:rsidRPr="007418D9">
        <w:rPr>
          <w:rFonts w:ascii="Calibri" w:hAnsi="Calibri" w:cs="Calibri"/>
        </w:rPr>
        <w:fldChar w:fldCharType="begin"/>
      </w:r>
      <w:r w:rsidRPr="007418D9">
        <w:rPr>
          <w:rFonts w:ascii="Calibri" w:hAnsi="Calibri" w:cs="Calibri"/>
        </w:rPr>
        <w:instrText xml:space="preserve"> ADDIN ZOTERO_ITEM CSL_CITATION {"citationID":"x61SV2o7","properties":{"formattedCitation":"(Ibarra et al., 2026)","plainCitation":"(Ibarra et al., 2026)","noteIndex":0},"citationItems":[{"id":1686,"uris":["http://zotero.org/users/9177935/items/A4SQD59P"],"itemData":{"id":1686,"type":"article-journal","abstract":"Circular and sustainable business models (CSBMs) offer promising solutions to address the resource and environmental challenges related to the life cycle management (LCM) of wind turbine blades (WTB). However, most literature and industry practice focus on material and technological innovation, overlooking systemic business model transformation. This paper presents a comprehensive roadmap for implementing and upscaling CSBMs for the efficient end-of-life (EoL) management of WTBs, built upon the definition and characterisation of 15 CSBM typologies and 29 circular innovation patterns. The findings draw on a systematic review of 98 academic and industry sources, 15 expert interviews, and a stakeholder group workshop with 24 participants from 10 organisations. CSBMs are examined across five EoL phases: WTB decommissioning, recycling, material upgrading, end industrial end-use and transversal supporting businesses. For each, the key value creation mechanisms, enablers, and barriers are identified, including sustainability considerations. Subsequently, a three-phase roadmap (2025–2035) is developed to align technological readiness, policy drivers, market conditions, and required resources and competences, supporting the transition from a fragmented, landfill-dependent system to a mature, circular ecosystem. Key opportunities identified include vertical business integration, development of material passports, regional recycling hubs, and advanced recycling methods, such as low-carbon pyrolysis and green solvolysis. Strategic recommendations for industry, policymakers, and researchers to coordinate efforts and unlock circular value at scale, while also offering insights applicable to other composite-intensive sectors undergoing circular transitions, are also provided.","container-title":"Renewable and Sustainable Energy Reviews","DOI":"10.1016/j.rser.2025.116382","ISSN":"1364-0321","journalAbbreviation":"Renewable and Sustainable Energy Reviews","page":"116382","title":"Circular business models and value chains for wind turbine blade end-of-life management: A roadmap for turning waste into value","volume":"226","author":[{"family":"Ibarra","given":"Dorleta"},{"family":"Nieto Cerezo","given":"Oscar"},{"family":"Mendoza","given":"Joan Manuel F."}],"issued":{"date-parts":[["2026",1,1]]}}}],"schema":"https://github.com/citation-style-language/schema/raw/master/csl-citation.json"} </w:instrText>
      </w:r>
      <w:r w:rsidRPr="007418D9">
        <w:rPr>
          <w:rFonts w:ascii="Calibri" w:hAnsi="Calibri" w:cs="Calibri"/>
        </w:rPr>
        <w:fldChar w:fldCharType="separate"/>
      </w:r>
      <w:r w:rsidRPr="007418D9">
        <w:rPr>
          <w:rFonts w:ascii="Calibri" w:hAnsi="Calibri" w:cs="Calibri"/>
        </w:rPr>
        <w:t>(Ibarra et al., 2026)</w:t>
      </w:r>
      <w:r w:rsidRPr="007418D9">
        <w:rPr>
          <w:rFonts w:ascii="Calibri" w:hAnsi="Calibri" w:cs="Calibri"/>
        </w:rPr>
        <w:fldChar w:fldCharType="end"/>
      </w:r>
      <w:r w:rsidRPr="007418D9">
        <w:rPr>
          <w:rFonts w:ascii="Calibri" w:hAnsi="Calibri" w:cs="Calibri"/>
        </w:rPr>
        <w:t xml:space="preserve">. Current EoL practices in the built environment remain largely embedded within linear business models </w:t>
      </w:r>
      <w:r w:rsidRPr="007418D9">
        <w:rPr>
          <w:rFonts w:ascii="Calibri" w:hAnsi="Calibri" w:cs="Calibri"/>
        </w:rPr>
        <w:fldChar w:fldCharType="begin"/>
      </w:r>
      <w:r w:rsidRPr="007418D9">
        <w:rPr>
          <w:rFonts w:ascii="Calibri" w:hAnsi="Calibri" w:cs="Calibri"/>
        </w:rPr>
        <w:instrText xml:space="preserve"> ADDIN ZOTERO_ITEM CSL_CITATION {"citationID":"gzYNN1ng","properties":{"formattedCitation":"(Izquierdo Ruben Salazar et al., 2024)","plainCitation":"(Izquierdo Ruben Salazar et al., 2024)","noteIndex":0},"citationItems":[{"id":1688,"uris":["http://zotero.org/users/9177935/items/4F4ISMQ4"],"itemData":{"id":1688,"type":"article-journal","abstract":"Construction firms that deliver, renovate, and maintain built environment (BE)?i.e., facilities and infrastructures?rely heavily on the linear take-make-use-dispose economic model that has resulted in environmental degradation and resources depletion. Circular economy (CE) is an alternative economic model envisioned to disrupt the linear mode of operations of most industries. Whereas CE may help BE firms to improve their environmental performance, the specificity of the construction industry makes its implementation quite complex. This exploratory study sets out to identify the most common CE practices in BE and to uncover the enablers and barriers for implementing them in the Pacific Northwest. Twelve CE practices were initially identified from the literature. Then, fifteen industry representatives in the Pacific Northwest were interviewed about their knowledge and direct experience with these practices to identify enablers, barriers as well as the stakeholders that drive the decision to implement these practices on projects. Analysis of the interview findings led to identify seven barriers and enablers and evaluate them against each of the CE practices. Further, project success factors, contractual requirements, and preconstruction were uncovered as the leading enablers while design characteristics, project constraints and poor stakeholder experience are potential barriers. Additionally, the study revealed selective demolition, selecting materials and products, design for prefabrication, built out of waste, design for adaptability and flexibility as the practices with the biggest potential to be implemented in the current state of practice. This study will help construction practitioners better understand the CE practices that can be implemented on BE projects, highlighting the barriers, and enabling factors for implementation.","container-title":"Journal of Legal Affairs and Dispute Resolution in Engineering and Construction","DOI":"10.1061/JLADAH.LADR-1094","issue":"2","journalAbbreviation":"Journal of Legal Affairs and Dispute Resolution in Engineering and Construction","note":"publisher: American Society of Civil Engineers","page":"05023009","title":"Enablers and Barriers to Implementation of Circular Economy Practices in the Built Environment: An Exploratory Study","volume":"16","author":[{"literal":"Izquierdo Ruben Salazar"},{"literal":"Soliu Idris"},{"literal":"Migliaccio Giovanni C."}],"issued":{"date-parts":[["2024",5,1]]}}}],"schema":"https://github.com/citation-style-language/schema/raw/master/csl-citation.json"} </w:instrText>
      </w:r>
      <w:r w:rsidRPr="007418D9">
        <w:rPr>
          <w:rFonts w:ascii="Calibri" w:hAnsi="Calibri" w:cs="Calibri"/>
        </w:rPr>
        <w:fldChar w:fldCharType="separate"/>
      </w:r>
      <w:r w:rsidRPr="007418D9">
        <w:rPr>
          <w:rFonts w:ascii="Calibri" w:hAnsi="Calibri" w:cs="Calibri"/>
        </w:rPr>
        <w:t>(Izquierdo Ruben Salazar et al., 2024)</w:t>
      </w:r>
      <w:r w:rsidRPr="007418D9">
        <w:rPr>
          <w:rFonts w:ascii="Calibri" w:hAnsi="Calibri" w:cs="Calibri"/>
        </w:rPr>
        <w:fldChar w:fldCharType="end"/>
      </w:r>
      <w:r w:rsidRPr="007418D9">
        <w:rPr>
          <w:rFonts w:ascii="Calibri" w:hAnsi="Calibri" w:cs="Calibri"/>
        </w:rPr>
        <w:t xml:space="preserve">, where value creation is concentrated in production and delivery, </w:t>
      </w:r>
      <w:r w:rsidR="00425562" w:rsidRPr="007418D9">
        <w:rPr>
          <w:rFonts w:ascii="Calibri" w:hAnsi="Calibri" w:cs="Calibri"/>
        </w:rPr>
        <w:lastRenderedPageBreak/>
        <w:t>while the end-of-life stage is often treated primarily as a cost</w:t>
      </w:r>
      <w:r w:rsidRPr="007418D9">
        <w:rPr>
          <w:rFonts w:ascii="Calibri" w:hAnsi="Calibri" w:cs="Calibri"/>
        </w:rPr>
        <w:t>. Consequently, there is little economic incentive to invest in structured processes for reuse, repair, or recovery.</w:t>
      </w:r>
    </w:p>
    <w:p w14:paraId="724612F5" w14:textId="7383E82D" w:rsidR="00834406" w:rsidRPr="007418D9" w:rsidRDefault="00BB0080" w:rsidP="00BB0080">
      <w:pPr>
        <w:spacing w:line="278" w:lineRule="auto"/>
        <w:jc w:val="both"/>
        <w:rPr>
          <w:rFonts w:ascii="Calibri" w:hAnsi="Calibri" w:cs="Calibri"/>
        </w:rPr>
      </w:pPr>
      <w:r w:rsidRPr="007418D9">
        <w:rPr>
          <w:rFonts w:ascii="Calibri" w:hAnsi="Calibri" w:cs="Calibri"/>
        </w:rPr>
        <w:t>From this perspective, circular business models represent the missing operational layer linking process innovation to value creation. Without mechanisms that allow actors to capture value from extended product lifecycles, structured EoL systems remain economically difficult to sustain. The transformation of EoL into a production system is therefore not only a process design challenge but also a business model innovation challenge, requiring the alignment of incentives, revenue streams, and cost structures with circular flows.</w:t>
      </w:r>
    </w:p>
    <w:p w14:paraId="61BB4445" w14:textId="77777777" w:rsidR="009C3640" w:rsidRPr="007418D9" w:rsidRDefault="009C3640" w:rsidP="003B5E9B">
      <w:pPr>
        <w:spacing w:after="40" w:line="240" w:lineRule="auto"/>
        <w:rPr>
          <w:rFonts w:ascii="Calibri" w:hAnsi="Calibri" w:cs="Calibri"/>
          <w:b/>
          <w:bCs/>
          <w:sz w:val="24"/>
          <w:szCs w:val="24"/>
        </w:rPr>
      </w:pPr>
      <w:r w:rsidRPr="007418D9">
        <w:rPr>
          <w:rFonts w:ascii="Calibri" w:hAnsi="Calibri" w:cs="Calibri"/>
          <w:b/>
          <w:bCs/>
          <w:sz w:val="24"/>
          <w:szCs w:val="24"/>
        </w:rPr>
        <w:t>5.2 Product-Service Systems and the Death of Ownership</w:t>
      </w:r>
    </w:p>
    <w:p w14:paraId="6836FB62" w14:textId="311BA1EA" w:rsidR="009C3640" w:rsidRPr="007418D9" w:rsidRDefault="009C3640" w:rsidP="009C3640">
      <w:pPr>
        <w:spacing w:line="278" w:lineRule="auto"/>
        <w:jc w:val="both"/>
        <w:rPr>
          <w:rFonts w:ascii="Calibri" w:hAnsi="Calibri" w:cs="Calibri"/>
        </w:rPr>
      </w:pPr>
      <w:r w:rsidRPr="007418D9">
        <w:rPr>
          <w:rFonts w:ascii="Calibri" w:hAnsi="Calibri" w:cs="Calibri"/>
        </w:rPr>
        <w:t xml:space="preserve">A critical but often overlooked dimension of EoL inefficiencies lies in the prevailing ownership structures that underpin current production systems. In traditional models, ownership is transferred to the end-user at the point of sale, effectively disconnecting manufacturers from the operational phase of the product </w:t>
      </w:r>
      <w:r w:rsidRPr="007418D9">
        <w:rPr>
          <w:rFonts w:ascii="Calibri" w:hAnsi="Calibri" w:cs="Calibri"/>
        </w:rPr>
        <w:fldChar w:fldCharType="begin"/>
      </w:r>
      <w:r w:rsidR="00A16862" w:rsidRPr="007418D9">
        <w:rPr>
          <w:rFonts w:ascii="Calibri" w:hAnsi="Calibri" w:cs="Calibri"/>
        </w:rPr>
        <w:instrText xml:space="preserve"> ADDIN ZOTERO_ITEM CSL_CITATION {"citationID":"WEXurzs4","properties":{"formattedCitation":"(Jensen &amp; Remmen, 2017)","plainCitation":"(Jensen &amp; Remmen, 2017)","noteIndex":0},"citationItems":[{"id":1690,"uris":["http://zotero.org/users/9177935/items/8TWYNLHY"],"itemData":{"id":1690,"type":"article-journal","abstract":"Sustainable manufacturing extends beyond the manufacturing process and the product, to include the supply chain, across multiple product life-cycles as well as end-of-life considerations. Companies can gain a competitive advantage by applying sustainability manufacturing for environmental friendlier products and operations. Industry 4.0 sets new requirements for becoming a sustainable manufacturer where data management, the Internet of Things and extended product service systems are tightly linked with traditional manufacturing processes. Automobile, aircraft and ship manufacturers have either been regulated or have voluntarily adopted product stewardship initiatives to support high quality, end-of-life management. This paper analyses how different ‘product stewardship’ and ‘end-of-life’ strategies can support the circular economy and what the challenges and benefits are from an original equipment manufacturer perspective.","container-title":"14th Global Conference on Sustainable Manufacturing, GCSM 3-5 October 2016, Stellenbosch, South Africa","DOI":"10.1016/j.promfg.2017.02.048","ISSN":"2351-9789","journalAbbreviation":"Procedia Manufacturing","page":"377-384","title":"Enabling Circular Economy Through Product Stewardship","volume":"8","author":[{"family":"Jensen","given":"J.P."},{"family":"Remmen","given":"A."}],"issued":{"date-parts":[["2017",1,1]]}}}],"schema":"https://github.com/citation-style-language/schema/raw/master/csl-citation.json"} </w:instrText>
      </w:r>
      <w:r w:rsidRPr="007418D9">
        <w:rPr>
          <w:rFonts w:ascii="Calibri" w:hAnsi="Calibri" w:cs="Calibri"/>
        </w:rPr>
        <w:fldChar w:fldCharType="separate"/>
      </w:r>
      <w:r w:rsidRPr="007418D9">
        <w:rPr>
          <w:rFonts w:ascii="Calibri" w:hAnsi="Calibri" w:cs="Calibri"/>
        </w:rPr>
        <w:t>(Jensen &amp; Remmen, 2017)</w:t>
      </w:r>
      <w:r w:rsidRPr="007418D9">
        <w:rPr>
          <w:rFonts w:ascii="Calibri" w:hAnsi="Calibri" w:cs="Calibri"/>
        </w:rPr>
        <w:fldChar w:fldCharType="end"/>
      </w:r>
      <w:r w:rsidRPr="007418D9">
        <w:rPr>
          <w:rFonts w:ascii="Calibri" w:hAnsi="Calibri" w:cs="Calibri"/>
        </w:rPr>
        <w:t>. This separation limits the availability of lifecycle data, reduces accountability for long-term performance, and weakens incentives for designing products that are repairable, reusable, or adaptable over time.</w:t>
      </w:r>
    </w:p>
    <w:p w14:paraId="6412B435" w14:textId="30965232" w:rsidR="004C2A5E" w:rsidRPr="007418D9" w:rsidRDefault="004C2A5E" w:rsidP="004C2A5E">
      <w:pPr>
        <w:spacing w:line="278" w:lineRule="auto"/>
        <w:jc w:val="both"/>
        <w:rPr>
          <w:rFonts w:ascii="Calibri" w:hAnsi="Calibri" w:cs="Calibri"/>
        </w:rPr>
      </w:pPr>
      <w:r w:rsidRPr="007418D9">
        <w:rPr>
          <w:rFonts w:ascii="Calibri" w:hAnsi="Calibri" w:cs="Calibri"/>
        </w:rPr>
        <w:t>Product-Service Systems (PSS) challenge this paradigm by shifting the focus from ownership to access and performance. Rather than selling products, producers deliver them as services and retain control over assets throughout their lifecycle</w:t>
      </w:r>
      <w:r w:rsidR="00B35704" w:rsidRPr="007418D9">
        <w:rPr>
          <w:rFonts w:ascii="Calibri" w:hAnsi="Calibri" w:cs="Calibri"/>
        </w:rPr>
        <w:t xml:space="preserve"> </w:t>
      </w:r>
      <w:r w:rsidR="00B35704" w:rsidRPr="007418D9">
        <w:rPr>
          <w:rFonts w:ascii="Calibri" w:hAnsi="Calibri" w:cs="Calibri"/>
        </w:rPr>
        <w:fldChar w:fldCharType="begin"/>
      </w:r>
      <w:r w:rsidR="00B35704" w:rsidRPr="007418D9">
        <w:rPr>
          <w:rFonts w:ascii="Calibri" w:hAnsi="Calibri" w:cs="Calibri"/>
        </w:rPr>
        <w:instrText xml:space="preserve"> ADDIN ZOTERO_ITEM CSL_CITATION {"citationID":"rAGCSt0s","properties":{"formattedCitation":"(McAloone &amp; Andreasen, 2002)","plainCitation":"(McAloone &amp; Andreasen, 2002)","noteIndex":0},"citationItems":[{"id":1691,"uris":["http://zotero.org/users/9177935/items/3AKXEZG3"],"itemData":{"id":1691,"type":"article-journal","title":"Defining product service systems","author":[{"family":"McAloone","given":"Tim"},{"family":"Andreasen","given":"M Myrup"}],"issued":{"date-parts":[["2002"]]}}}],"schema":"https://github.com/citation-style-language/schema/raw/master/csl-citation.json"} </w:instrText>
      </w:r>
      <w:r w:rsidR="00B35704" w:rsidRPr="007418D9">
        <w:rPr>
          <w:rFonts w:ascii="Calibri" w:hAnsi="Calibri" w:cs="Calibri"/>
        </w:rPr>
        <w:fldChar w:fldCharType="separate"/>
      </w:r>
      <w:r w:rsidR="00B35704" w:rsidRPr="007418D9">
        <w:rPr>
          <w:rFonts w:ascii="Calibri" w:hAnsi="Calibri" w:cs="Calibri"/>
        </w:rPr>
        <w:t>(McAloone &amp; Andreasen, 2002)</w:t>
      </w:r>
      <w:r w:rsidR="00B35704" w:rsidRPr="007418D9">
        <w:rPr>
          <w:rFonts w:ascii="Calibri" w:hAnsi="Calibri" w:cs="Calibri"/>
        </w:rPr>
        <w:fldChar w:fldCharType="end"/>
      </w:r>
      <w:r w:rsidRPr="007418D9">
        <w:rPr>
          <w:rFonts w:ascii="Calibri" w:hAnsi="Calibri" w:cs="Calibri"/>
        </w:rPr>
        <w:t xml:space="preserve">. This reconfiguration transforms EoL processes from reactive maintenance activities into integral elements of continuous value creation. From a process innovation </w:t>
      </w:r>
      <w:r w:rsidR="00AA5DFC" w:rsidRPr="007418D9">
        <w:rPr>
          <w:rFonts w:ascii="Calibri" w:hAnsi="Calibri" w:cs="Calibri"/>
        </w:rPr>
        <w:t>standpoint</w:t>
      </w:r>
      <w:r w:rsidRPr="007418D9">
        <w:rPr>
          <w:rFonts w:ascii="Calibri" w:hAnsi="Calibri" w:cs="Calibri"/>
        </w:rPr>
        <w:t>, PSS enables the closure of feedback loops by aligning economic incentives with lifecycle performance and supporting the integration of data, decision-making, and process control across lifecycle phases.</w:t>
      </w:r>
    </w:p>
    <w:p w14:paraId="4B52FDF7" w14:textId="77777777" w:rsidR="003045B7" w:rsidRPr="007418D9" w:rsidRDefault="003045B7" w:rsidP="003045B7">
      <w:pPr>
        <w:spacing w:after="40" w:line="240" w:lineRule="auto"/>
        <w:jc w:val="both"/>
        <w:rPr>
          <w:rFonts w:ascii="Calibri" w:hAnsi="Calibri" w:cs="Calibri"/>
          <w:b/>
          <w:bCs/>
          <w:sz w:val="24"/>
          <w:szCs w:val="24"/>
        </w:rPr>
      </w:pPr>
      <w:r w:rsidRPr="007418D9">
        <w:rPr>
          <w:rFonts w:ascii="Calibri" w:hAnsi="Calibri" w:cs="Calibri"/>
          <w:b/>
          <w:bCs/>
          <w:sz w:val="24"/>
          <w:szCs w:val="24"/>
        </w:rPr>
        <w:t>5.3 Temporal Misalignment: Long Lifetimes vs. Short Data Cycles</w:t>
      </w:r>
    </w:p>
    <w:p w14:paraId="49E5C778" w14:textId="187B7ACF" w:rsidR="003045B7" w:rsidRPr="007418D9" w:rsidRDefault="003045B7" w:rsidP="003045B7">
      <w:pPr>
        <w:spacing w:line="278" w:lineRule="auto"/>
        <w:jc w:val="both"/>
        <w:rPr>
          <w:rFonts w:ascii="Calibri" w:hAnsi="Calibri" w:cs="Calibri"/>
        </w:rPr>
      </w:pPr>
      <w:r w:rsidRPr="007418D9">
        <w:rPr>
          <w:rFonts w:ascii="Calibri" w:hAnsi="Calibri" w:cs="Calibri"/>
        </w:rPr>
        <w:t xml:space="preserve">Another underexplored challenge in the built environment is the temporal mismatch between the long lifespans of physical assets and the much shorter lifecycles of digital systems and data infrastructures. Buildings and their components are designed to last for decades, whereas digital technologies, software platforms, and data standards evolve rapidly and may become obsolete within a few years  </w:t>
      </w:r>
      <w:r w:rsidRPr="007418D9">
        <w:rPr>
          <w:rFonts w:ascii="Calibri" w:hAnsi="Calibri" w:cs="Calibri"/>
        </w:rPr>
        <w:fldChar w:fldCharType="begin"/>
      </w:r>
      <w:r w:rsidRPr="007418D9">
        <w:rPr>
          <w:rFonts w:ascii="Calibri" w:hAnsi="Calibri" w:cs="Calibri"/>
        </w:rPr>
        <w:instrText xml:space="preserve"> ADDIN ZOTERO_ITEM CSL_CITATION {"citationID":"HoYdhwBD","properties":{"formattedCitation":"(Marsh, 2017; Sawhney et al., 2020)","plainCitation":"(Marsh, 2017; Sawhney et al., 2020)","noteIndex":0},"citationItems":[{"id":1695,"uris":["http://zotero.org/users/9177935/items/79ABMQMH"],"itemData":{"id":1695,"type":"article-journal","container-title":"Architectural Engineering and Design Management","DOI":"10.1080/17452007.2016.1205471","ISSN":"1745-2007","issue":"2","journalAbbreviation":"Architectural Engineering and Design Management","note":"publisher: Taylor &amp; Francis","page":"80-100","title":"Building lifespan: effect on the environmental impact of building components in a Danish perspective","volume":"13","author":[{"family":"Marsh","given":"Rob"}],"issued":{"date-parts":[["2017",3,4]]}}},{"id":1697,"uris":["http://zotero.org/users/9177935/items/9YRGC6GA"],"itemData":{"id":1697,"type":"article-journal","container-title":"Sawhney, A., Riley, M., Irizarry, J., Eds","journalAbbreviation":"Sawhney, A., Riley, M., Irizarry, J., Eds","title":"Construction 4.0","author":[{"family":"Sawhney","given":"Anil"},{"family":"Riley","given":"Mike"},{"family":"Irizarry","given":"Javier"},{"family":"Riley","given":"M"}],"issued":{"date-parts":[["2020"]]}}}],"schema":"https://github.com/citation-style-language/schema/raw/master/csl-citation.json"} </w:instrText>
      </w:r>
      <w:r w:rsidRPr="007418D9">
        <w:rPr>
          <w:rFonts w:ascii="Calibri" w:hAnsi="Calibri" w:cs="Calibri"/>
        </w:rPr>
        <w:fldChar w:fldCharType="separate"/>
      </w:r>
      <w:r w:rsidRPr="007418D9">
        <w:rPr>
          <w:rFonts w:ascii="Calibri" w:hAnsi="Calibri" w:cs="Calibri"/>
        </w:rPr>
        <w:t>(Marsh, 2017; Sawhney et al., 2020)</w:t>
      </w:r>
      <w:r w:rsidRPr="007418D9">
        <w:rPr>
          <w:rFonts w:ascii="Calibri" w:hAnsi="Calibri" w:cs="Calibri"/>
        </w:rPr>
        <w:fldChar w:fldCharType="end"/>
      </w:r>
      <w:r w:rsidRPr="007418D9">
        <w:rPr>
          <w:rFonts w:ascii="Calibri" w:hAnsi="Calibri" w:cs="Calibri"/>
        </w:rPr>
        <w:t>. As a result, data generated during earlier lifecycle stages may become inaccessible, incompatible, or less relevant over time, limiting its value for EoL decision-making. In process innovation terms, this challenge highlights the need for data infrastructures that can withstand technological change while ensuring long-term information continuity. Addressing this temporal gap is essential for enabling feedback-driven and adaptive EoL systems that operate effectively over extended time horizons.</w:t>
      </w:r>
    </w:p>
    <w:p w14:paraId="0F221F2A" w14:textId="77777777" w:rsidR="003045B7" w:rsidRPr="007418D9" w:rsidRDefault="003045B7" w:rsidP="003045B7">
      <w:pPr>
        <w:spacing w:after="40" w:line="240" w:lineRule="auto"/>
        <w:rPr>
          <w:rFonts w:ascii="Calibri" w:hAnsi="Calibri" w:cs="Calibri"/>
          <w:b/>
          <w:bCs/>
          <w:sz w:val="24"/>
          <w:szCs w:val="24"/>
        </w:rPr>
      </w:pPr>
      <w:r w:rsidRPr="007418D9">
        <w:rPr>
          <w:rFonts w:ascii="Calibri" w:hAnsi="Calibri" w:cs="Calibri"/>
          <w:b/>
          <w:bCs/>
          <w:sz w:val="24"/>
          <w:szCs w:val="24"/>
        </w:rPr>
        <w:t>5.4 Standardization vs. Innovation Paradox</w:t>
      </w:r>
    </w:p>
    <w:p w14:paraId="2B123632" w14:textId="542322F3" w:rsidR="003045B7" w:rsidRPr="007418D9" w:rsidRDefault="003045B7" w:rsidP="003045B7">
      <w:pPr>
        <w:spacing w:line="278" w:lineRule="auto"/>
        <w:jc w:val="both"/>
        <w:rPr>
          <w:rFonts w:ascii="Calibri" w:hAnsi="Calibri" w:cs="Calibri"/>
        </w:rPr>
      </w:pPr>
      <w:r w:rsidRPr="007418D9">
        <w:rPr>
          <w:rFonts w:ascii="Calibri" w:hAnsi="Calibri" w:cs="Calibri"/>
        </w:rPr>
        <w:t xml:space="preserve">The transition toward structured and data-driven EoL systems may also give rise to a fundamental tension between the need for standardization and the desire for innovation </w:t>
      </w:r>
      <w:r w:rsidRPr="007418D9">
        <w:rPr>
          <w:rFonts w:ascii="Calibri" w:hAnsi="Calibri" w:cs="Calibri"/>
        </w:rPr>
        <w:fldChar w:fldCharType="begin"/>
      </w:r>
      <w:r w:rsidRPr="007418D9">
        <w:rPr>
          <w:rFonts w:ascii="Calibri" w:hAnsi="Calibri" w:cs="Calibri"/>
        </w:rPr>
        <w:instrText xml:space="preserve"> ADDIN ZOTERO_ITEM CSL_CITATION {"citationID":"6zmq5R3k","properties":{"formattedCitation":"(Kim, 2025)","plainCitation":"(Kim, 2025)","noteIndex":0},"citationItems":[{"id":1692,"uris":["http://zotero.org/users/9177935/items/VN5IRKRK"],"itemData":{"id":1692,"type":"article-journal","abstract":"Abstract This research explores the intricate relationship between standards and innovation through the lens of Niklas Luhmann's theoretical framework. Standardisation transforms uncertainty into certainty, providing a stable foundation for modern social systems and shaping reality. Historically, standardisation has facilitated social homogenisation and bureaucratic efficiency, as observed by Max Weber. However, defining standards and standardisation remains ambiguous due to their diverse applications across various domains. This study reconceptualises standards and standardisation as dynamic constructs that integrate specific forms and general principles, aligning with Luhmann's notion of unity. It addresses the paradox of standards and innovation, which arises from the duality and simultaneity of complexity reduction (uniformity) and complexity increase (diversity), as well as the tension between compatibility (standards) and novelty (innovation). The research introduces the concept of stylisation to the works of technological standardisation, enabling the comparability of technological systems with art systems. By embracing dynamic stability and stylisation, systems can navigate the paradox effectively, ensuring sustainable growth and adaptation.","container-title":"Systems Research and Behavioral Science","DOI":"10.1002/sres.3068","ISSN":"1092-7026","issue":"2","journalAbbreviation":"Systems Research and Behavioral Science","note":"publisher: John Wiley &amp; Sons, Ltd","page":"338-347","title":"The paradox of standards and innovation: Reconceptualising standards and standardisation with the help of Niklas Luhmann","volume":"42","author":[{"family":"Kim","given":"Dong-hyu"}],"issued":{"date-parts":[["2025",3,1]]}}}],"schema":"https://github.com/citation-style-language/schema/raw/master/csl-citation.json"} </w:instrText>
      </w:r>
      <w:r w:rsidRPr="007418D9">
        <w:rPr>
          <w:rFonts w:ascii="Calibri" w:hAnsi="Calibri" w:cs="Calibri"/>
        </w:rPr>
        <w:fldChar w:fldCharType="separate"/>
      </w:r>
      <w:r w:rsidRPr="007418D9">
        <w:rPr>
          <w:rFonts w:ascii="Calibri" w:hAnsi="Calibri" w:cs="Calibri"/>
        </w:rPr>
        <w:t>(Kim, 2025)</w:t>
      </w:r>
      <w:r w:rsidRPr="007418D9">
        <w:rPr>
          <w:rFonts w:ascii="Calibri" w:hAnsi="Calibri" w:cs="Calibri"/>
        </w:rPr>
        <w:fldChar w:fldCharType="end"/>
      </w:r>
      <w:r w:rsidRPr="007418D9">
        <w:rPr>
          <w:rFonts w:ascii="Calibri" w:hAnsi="Calibri" w:cs="Calibri"/>
        </w:rPr>
        <w:t xml:space="preserve">. From one perspective, standardization is essential for enabling interoperability, ensuring data consistency, and supporting scalable system architectures across multiple actors and platforms. Without common standards for data formats, identification systems, and information exchange, the integration required </w:t>
      </w:r>
      <w:r w:rsidRPr="007418D9">
        <w:rPr>
          <w:rFonts w:ascii="Calibri" w:hAnsi="Calibri" w:cs="Calibri"/>
        </w:rPr>
        <w:lastRenderedPageBreak/>
        <w:t>for lifecycle-wide processes remains difficult to achieve. From another perspective, excessive standardization may constrain flexibility and limit the capacity for innovation, particularly in rapidly evolving technological environments. As companies experiment with new materials, digital tools, and business models, rigid standards can become barriers rather than enablers.</w:t>
      </w:r>
    </w:p>
    <w:p w14:paraId="74B5EEE2" w14:textId="6300B69E" w:rsidR="003045B7" w:rsidRPr="007418D9" w:rsidRDefault="003045B7" w:rsidP="003045B7">
      <w:pPr>
        <w:spacing w:line="278" w:lineRule="auto"/>
        <w:jc w:val="both"/>
        <w:rPr>
          <w:rFonts w:ascii="Calibri" w:hAnsi="Calibri" w:cs="Calibri"/>
        </w:rPr>
      </w:pPr>
      <w:r w:rsidRPr="007418D9">
        <w:rPr>
          <w:rFonts w:ascii="Calibri" w:hAnsi="Calibri" w:cs="Calibri"/>
        </w:rPr>
        <w:t xml:space="preserve">This creates a paradox in which the very structures needed to enable system-level coordination may simultaneously restrict the adaptive capabilities required for innovation </w:t>
      </w:r>
      <w:r w:rsidRPr="007418D9">
        <w:rPr>
          <w:rFonts w:ascii="Calibri" w:hAnsi="Calibri" w:cs="Calibri"/>
        </w:rPr>
        <w:fldChar w:fldCharType="begin"/>
      </w:r>
      <w:r w:rsidRPr="007418D9">
        <w:rPr>
          <w:rFonts w:ascii="Calibri" w:hAnsi="Calibri" w:cs="Calibri"/>
        </w:rPr>
        <w:instrText xml:space="preserve"> ADDIN ZOTERO_ITEM CSL_CITATION {"citationID":"k76oZgPP","properties":{"formattedCitation":"(Eriksson et al., 2026; Kim, 2025)","plainCitation":"(Eriksson et al., 2026; Kim, 2025)","noteIndex":0},"citationItems":[{"id":1693,"uris":["http://zotero.org/users/9177935/items/G3LU5CC8"],"itemData":{"id":1693,"type":"article-journal","container-title":"Construction Management and Economics","DOI":"10.1080/01446193.2026.2632877","ISSN":"0144-6193","journalAbbreviation":"Construction Management and Economics","note":"publisher: Routledge","page":"1-16","title":"Standardization as a cross-project connector: loose couplings and connectivity in construction innovation","author":[{"family":"Eriksson","given":"Henrik"},{"family":"Stehn","given":"Lars"},{"family":"Nilsson Vestola","given":"Emilia"}],"issued":{"date-parts":[["2026",2,23]]}}},{"id":1692,"uris":["http://zotero.org/users/9177935/items/VN5IRKRK"],"itemData":{"id":1692,"type":"article-journal","abstract":"Abstract This research explores the intricate relationship between standards and innovation through the lens of Niklas Luhmann's theoretical framework. Standardisation transforms uncertainty into certainty, providing a stable foundation for modern social systems and shaping reality. Historically, standardisation has facilitated social homogenisation and bureaucratic efficiency, as observed by Max Weber. However, defining standards and standardisation remains ambiguous due to their diverse applications across various domains. This study reconceptualises standards and standardisation as dynamic constructs that integrate specific forms and general principles, aligning with Luhmann's notion of unity. It addresses the paradox of standards and innovation, which arises from the duality and simultaneity of complexity reduction (uniformity) and complexity increase (diversity), as well as the tension between compatibility (standards) and novelty (innovation). The research introduces the concept of stylisation to the works of technological standardisation, enabling the comparability of technological systems with art systems. By embracing dynamic stability and stylisation, systems can navigate the paradox effectively, ensuring sustainable growth and adaptation.","container-title":"Systems Research and Behavioral Science","DOI":"10.1002/sres.3068","ISSN":"1092-7026","issue":"2","journalAbbreviation":"Systems Research and Behavioral Science","note":"publisher: John Wiley &amp; Sons, Ltd","page":"338-347","title":"The paradox of standards and innovation: Reconceptualising standards and standardisation with the help of Niklas Luhmann","volume":"42","author":[{"family":"Kim","given":"Dong-hyu"}],"issued":{"date-parts":[["2025",3,1]]}}}],"schema":"https://github.com/citation-style-language/schema/raw/master/csl-citation.json"} </w:instrText>
      </w:r>
      <w:r w:rsidRPr="007418D9">
        <w:rPr>
          <w:rFonts w:ascii="Calibri" w:hAnsi="Calibri" w:cs="Calibri"/>
        </w:rPr>
        <w:fldChar w:fldCharType="separate"/>
      </w:r>
      <w:r w:rsidRPr="007418D9">
        <w:rPr>
          <w:rFonts w:ascii="Calibri" w:hAnsi="Calibri" w:cs="Calibri"/>
        </w:rPr>
        <w:t>(Eriksson et al., 2026; Kim, 2025)</w:t>
      </w:r>
      <w:r w:rsidRPr="007418D9">
        <w:rPr>
          <w:rFonts w:ascii="Calibri" w:hAnsi="Calibri" w:cs="Calibri"/>
        </w:rPr>
        <w:fldChar w:fldCharType="end"/>
      </w:r>
      <w:r w:rsidRPr="007418D9">
        <w:rPr>
          <w:rFonts w:ascii="Calibri" w:hAnsi="Calibri" w:cs="Calibri"/>
        </w:rPr>
        <w:t>. Addressing this tension requires a balanced approach, where standards are designed to be modular, evolvable, and open-ended, allowing for both interoperability and experimentation within EoL systems.</w:t>
      </w:r>
    </w:p>
    <w:p w14:paraId="41D207DE" w14:textId="77777777" w:rsidR="009C3640" w:rsidRPr="007418D9" w:rsidRDefault="009C3640" w:rsidP="009F3BA1">
      <w:pPr>
        <w:spacing w:line="278" w:lineRule="auto"/>
        <w:jc w:val="both"/>
        <w:rPr>
          <w:rFonts w:ascii="Calibri" w:hAnsi="Calibri" w:cs="Calibri"/>
        </w:rPr>
      </w:pPr>
      <w:r w:rsidRPr="007418D9">
        <w:rPr>
          <w:rFonts w:ascii="Calibri" w:hAnsi="Calibri" w:cs="Calibri"/>
        </w:rPr>
        <w:t>Figure 2 synthesizes observed industry patterns presented in Section 4 to identify a core systemic gap in EoL systems and, based on the discussions in this section, outlines key transformation directions to address it.</w:t>
      </w:r>
    </w:p>
    <w:p w14:paraId="68802673" w14:textId="276FF3ED" w:rsidR="00543FE7" w:rsidRPr="007418D9" w:rsidRDefault="00000000" w:rsidP="0030482F">
      <w:pPr>
        <w:spacing w:line="278" w:lineRule="auto"/>
        <w:ind w:left="-426"/>
        <w:jc w:val="center"/>
        <w:rPr>
          <w:rFonts w:ascii="Calibri" w:hAnsi="Calibri" w:cs="Calibri"/>
          <w:b/>
          <w:bCs/>
          <w:lang w:bidi="fa-IR"/>
        </w:rPr>
      </w:pPr>
      <w:r>
        <w:rPr>
          <w:rFonts w:ascii="Calibri" w:hAnsi="Calibri" w:cs="Calibri"/>
          <w:b/>
          <w:bCs/>
          <w:lang w:bidi="fa-IR"/>
        </w:rPr>
        <w:pict w14:anchorId="52B26F71">
          <v:shape id="_x0000_i1026" type="#_x0000_t75" style="width:430.5pt;height:241pt">
            <v:imagedata r:id="rId13" o:title=""/>
          </v:shape>
        </w:pict>
      </w:r>
    </w:p>
    <w:p w14:paraId="3184BA33" w14:textId="224FBFDC" w:rsidR="009C3640" w:rsidRPr="007418D9" w:rsidRDefault="009C3640" w:rsidP="0030482F">
      <w:pPr>
        <w:spacing w:line="278" w:lineRule="auto"/>
        <w:ind w:left="-426"/>
        <w:jc w:val="center"/>
        <w:rPr>
          <w:rFonts w:ascii="Calibri" w:hAnsi="Calibri" w:cs="Calibri"/>
          <w:lang w:bidi="fa-IR"/>
        </w:rPr>
      </w:pPr>
      <w:r w:rsidRPr="007418D9">
        <w:rPr>
          <w:rFonts w:ascii="Calibri" w:hAnsi="Calibri" w:cs="Calibri"/>
          <w:i/>
          <w:iCs/>
          <w:sz w:val="20"/>
          <w:szCs w:val="20"/>
        </w:rPr>
        <w:t>Figure 2</w:t>
      </w:r>
      <w:r w:rsidR="0030482F" w:rsidRPr="007418D9">
        <w:rPr>
          <w:rFonts w:ascii="Calibri" w:hAnsi="Calibri" w:cs="Calibri"/>
          <w:i/>
          <w:iCs/>
          <w:sz w:val="20"/>
          <w:szCs w:val="20"/>
        </w:rPr>
        <w:t>:</w:t>
      </w:r>
      <w:r w:rsidRPr="007418D9">
        <w:rPr>
          <w:rFonts w:ascii="Calibri" w:hAnsi="Calibri" w:cs="Calibri"/>
          <w:i/>
          <w:iCs/>
          <w:sz w:val="20"/>
          <w:szCs w:val="20"/>
        </w:rPr>
        <w:t xml:space="preserve"> Linking industry patterns to systemic gaps and transformation directions in EoL systems</w:t>
      </w:r>
    </w:p>
    <w:p w14:paraId="644A8474" w14:textId="673241E2" w:rsidR="00D0666D" w:rsidRPr="007418D9" w:rsidRDefault="00D0666D" w:rsidP="00D0666D">
      <w:pPr>
        <w:pStyle w:val="ListParagraph"/>
        <w:numPr>
          <w:ilvl w:val="0"/>
          <w:numId w:val="1"/>
        </w:numPr>
        <w:spacing w:after="40" w:line="240" w:lineRule="auto"/>
        <w:rPr>
          <w:rFonts w:ascii="Calibri" w:hAnsi="Calibri" w:cs="Calibri"/>
          <w:b/>
          <w:bCs/>
          <w:sz w:val="28"/>
          <w:szCs w:val="28"/>
        </w:rPr>
      </w:pPr>
      <w:r w:rsidRPr="007418D9">
        <w:rPr>
          <w:rFonts w:ascii="Calibri" w:hAnsi="Calibri" w:cs="Calibri"/>
          <w:b/>
          <w:bCs/>
          <w:sz w:val="28"/>
          <w:szCs w:val="28"/>
        </w:rPr>
        <w:t>CONCLUSION</w:t>
      </w:r>
    </w:p>
    <w:p w14:paraId="0F0EFEA4" w14:textId="4C5C8E96" w:rsidR="00EA0649" w:rsidRPr="007418D9" w:rsidRDefault="00EA0649" w:rsidP="00400838">
      <w:pPr>
        <w:spacing w:line="278" w:lineRule="auto"/>
        <w:jc w:val="both"/>
        <w:rPr>
          <w:rFonts w:ascii="Calibri" w:hAnsi="Calibri" w:cs="Calibri"/>
        </w:rPr>
      </w:pPr>
      <w:r w:rsidRPr="007418D9">
        <w:rPr>
          <w:rFonts w:ascii="Calibri" w:hAnsi="Calibri" w:cs="Calibri"/>
        </w:rPr>
        <w:t xml:space="preserve">This study set out to reconceptualize the EoL phase </w:t>
      </w:r>
      <w:r w:rsidR="00EE4BBB" w:rsidRPr="007418D9">
        <w:rPr>
          <w:rFonts w:ascii="Calibri" w:hAnsi="Calibri" w:cs="Calibri"/>
        </w:rPr>
        <w:t xml:space="preserve">of </w:t>
      </w:r>
      <w:r w:rsidR="00E96DBC" w:rsidRPr="007418D9">
        <w:rPr>
          <w:rFonts w:ascii="Calibri" w:hAnsi="Calibri" w:cs="Calibri"/>
        </w:rPr>
        <w:t xml:space="preserve">products </w:t>
      </w:r>
      <w:r w:rsidRPr="007418D9">
        <w:rPr>
          <w:rFonts w:ascii="Calibri" w:hAnsi="Calibri" w:cs="Calibri"/>
        </w:rPr>
        <w:t>in the built environment through the lens of production and process innovation. The findings demonstrate that the core challenge is not the lack of data or technological capability, but the absence of a structured system that integrates processes, information flows, and decision-making across lifecycle stages. Current EoL practices remain fragmented, reactive, and heavily dependent on individual experience, limiting their scalability and effectiveness.</w:t>
      </w:r>
      <w:r w:rsidR="00E96DBC" w:rsidRPr="007418D9">
        <w:rPr>
          <w:rFonts w:ascii="Calibri" w:hAnsi="Calibri" w:cs="Calibri"/>
        </w:rPr>
        <w:t xml:space="preserve"> </w:t>
      </w:r>
      <w:r w:rsidRPr="007418D9">
        <w:rPr>
          <w:rFonts w:ascii="Calibri" w:hAnsi="Calibri" w:cs="Calibri"/>
        </w:rPr>
        <w:t>By synthesizing empirical observations and theoretical perspectives, the study identifies several interconnected systemic gaps, including the fragmentation of EoL activities, the disconnect between data availability and its operational use, and the socio-technical complexity of multi-stakeholder environments. These challenges collectively point to the need for a paradigm shift from linear, control-oriented processes toward adaptive, feedback-driven production systems.</w:t>
      </w:r>
    </w:p>
    <w:p w14:paraId="6915853C" w14:textId="7D100E74" w:rsidR="00EA0649" w:rsidRPr="007418D9" w:rsidRDefault="00804824" w:rsidP="00400838">
      <w:pPr>
        <w:spacing w:line="278" w:lineRule="auto"/>
        <w:jc w:val="both"/>
        <w:rPr>
          <w:rFonts w:ascii="Calibri" w:hAnsi="Calibri" w:cs="Calibri"/>
        </w:rPr>
      </w:pPr>
      <w:r w:rsidRPr="007418D9">
        <w:rPr>
          <w:rFonts w:ascii="Calibri" w:hAnsi="Calibri" w:cs="Calibri"/>
        </w:rPr>
        <w:lastRenderedPageBreak/>
        <w:t>Achieving this transformation requires coherent process architectures, the integration of lifecycle data into decision-making, and the alignment of organizational and business models with circular value creation. In this context, circular business models and product-service systems emerge as critical enablers, providing the conditions needed to sustain structured EoL systems. This transformation also aligns with emerging Industry 5.0 perspectives that emphasize human-centricity, resilience, and sustainability, highlighting that digital technologies should augment human capabilities within well-designed and responsibly governed systems.</w:t>
      </w:r>
    </w:p>
    <w:p w14:paraId="06E6705B" w14:textId="0194CE3D" w:rsidR="00D905F0" w:rsidRPr="007418D9" w:rsidRDefault="00DD4DB0" w:rsidP="00400838">
      <w:pPr>
        <w:spacing w:line="278" w:lineRule="auto"/>
        <w:jc w:val="both"/>
        <w:rPr>
          <w:rFonts w:ascii="Calibri" w:hAnsi="Calibri" w:cs="Calibri"/>
          <w:rtl/>
          <w:lang w:bidi="fa-IR"/>
        </w:rPr>
      </w:pPr>
      <w:r w:rsidRPr="00DD4DB0">
        <w:rPr>
          <w:rFonts w:ascii="Calibri" w:hAnsi="Calibri" w:cs="Calibri"/>
        </w:rPr>
        <w:t>Moreover, the study highlights two key tensions: balancing standardization with innovation and aligning long-lived assets with rapidly evolving digital systems. Addressing them requires flexible, modular, and future-proof designs based on a shared process logic for stage-specific technologies and decisions, rather than a uniform lifecycle solution. Reframing EoL as a production system problem shifts attention from isolated technologies to integrated system design, providing a conceptual foundation for more sustainable, data-driven, and adaptive built environment systems consistent with other industries.</w:t>
      </w:r>
    </w:p>
    <w:p w14:paraId="7E77071B" w14:textId="796AF8E8" w:rsidR="009C038C" w:rsidRPr="007418D9" w:rsidRDefault="009C038C" w:rsidP="009C038C">
      <w:pPr>
        <w:spacing w:line="278" w:lineRule="auto"/>
        <w:jc w:val="both"/>
        <w:rPr>
          <w:rFonts w:ascii="Calibri" w:hAnsi="Calibri" w:cs="Calibri"/>
          <w:b/>
          <w:bCs/>
        </w:rPr>
      </w:pPr>
      <w:r w:rsidRPr="007418D9">
        <w:rPr>
          <w:rFonts w:ascii="Calibri" w:hAnsi="Calibri" w:cs="Calibri"/>
          <w:b/>
          <w:bCs/>
        </w:rPr>
        <w:t>Acknowledgements</w:t>
      </w:r>
    </w:p>
    <w:p w14:paraId="07077E94" w14:textId="25B00245" w:rsidR="009C038C" w:rsidRPr="007418D9" w:rsidRDefault="009C038C" w:rsidP="00817377">
      <w:pPr>
        <w:spacing w:line="278" w:lineRule="auto"/>
        <w:jc w:val="both"/>
        <w:rPr>
          <w:rFonts w:ascii="Calibri" w:hAnsi="Calibri" w:cs="Calibri"/>
        </w:rPr>
      </w:pPr>
      <w:r w:rsidRPr="007418D9">
        <w:rPr>
          <w:rFonts w:ascii="Calibri" w:hAnsi="Calibri" w:cs="Calibri"/>
        </w:rPr>
        <w:t>This study is supported by the Pass4Sustainability project, co-funded by the Knowledge Foundation (KK-</w:t>
      </w:r>
      <w:proofErr w:type="spellStart"/>
      <w:r w:rsidRPr="007418D9">
        <w:rPr>
          <w:rFonts w:ascii="Calibri" w:hAnsi="Calibri" w:cs="Calibri"/>
        </w:rPr>
        <w:t>stiftelsen</w:t>
      </w:r>
      <w:proofErr w:type="spellEnd"/>
      <w:r w:rsidRPr="007418D9">
        <w:rPr>
          <w:rFonts w:ascii="Calibri" w:hAnsi="Calibri" w:cs="Calibri"/>
        </w:rPr>
        <w:t>), Sweden.</w:t>
      </w:r>
      <w:r w:rsidR="00817377" w:rsidRPr="007418D9">
        <w:rPr>
          <w:rFonts w:ascii="Calibri" w:hAnsi="Calibri" w:cs="Calibri"/>
          <w:rtl/>
        </w:rPr>
        <w:t xml:space="preserve"> </w:t>
      </w:r>
      <w:r w:rsidR="00817377" w:rsidRPr="007418D9">
        <w:rPr>
          <w:rFonts w:ascii="Calibri" w:hAnsi="Calibri" w:cs="Calibri"/>
        </w:rPr>
        <w:t xml:space="preserve">The authors would like to thank Professor Anna </w:t>
      </w:r>
      <w:proofErr w:type="spellStart"/>
      <w:r w:rsidR="00817377" w:rsidRPr="007418D9">
        <w:rPr>
          <w:rFonts w:ascii="Calibri" w:hAnsi="Calibri" w:cs="Calibri"/>
        </w:rPr>
        <w:t>Öhrwall</w:t>
      </w:r>
      <w:proofErr w:type="spellEnd"/>
      <w:r w:rsidR="00817377" w:rsidRPr="007418D9">
        <w:rPr>
          <w:rFonts w:ascii="Calibri" w:hAnsi="Calibri" w:cs="Calibri"/>
        </w:rPr>
        <w:t xml:space="preserve"> Rönnbäck and Professor Kerstin Johansen for their valuable feedback, support, and encouragement throughout the development of this work.</w:t>
      </w:r>
    </w:p>
    <w:p w14:paraId="7AC526BC" w14:textId="786C06A2" w:rsidR="00673305" w:rsidRPr="007418D9" w:rsidRDefault="00673305" w:rsidP="0049147A">
      <w:pPr>
        <w:spacing w:line="276" w:lineRule="auto"/>
        <w:jc w:val="both"/>
        <w:rPr>
          <w:rFonts w:ascii="Calibri" w:hAnsi="Calibri" w:cs="Calibri"/>
          <w:b/>
          <w:bCs/>
          <w:sz w:val="28"/>
          <w:szCs w:val="28"/>
        </w:rPr>
      </w:pPr>
      <w:r w:rsidRPr="007418D9">
        <w:rPr>
          <w:rFonts w:ascii="Calibri" w:hAnsi="Calibri" w:cs="Calibri"/>
          <w:b/>
          <w:bCs/>
          <w:sz w:val="28"/>
          <w:szCs w:val="28"/>
        </w:rPr>
        <w:t>REFERENCES</w:t>
      </w:r>
    </w:p>
    <w:p w14:paraId="54BCE920" w14:textId="4B8AB14E" w:rsidR="006B529B" w:rsidRPr="007418D9" w:rsidRDefault="00673305" w:rsidP="0095260A">
      <w:pPr>
        <w:pStyle w:val="Bibliography"/>
        <w:spacing w:line="264" w:lineRule="auto"/>
        <w:rPr>
          <w:rFonts w:ascii="Calibri" w:hAnsi="Calibri" w:cs="Calibri"/>
          <w:kern w:val="0"/>
          <w:sz w:val="20"/>
          <w:szCs w:val="20"/>
        </w:rPr>
      </w:pPr>
      <w:r w:rsidRPr="007418D9">
        <w:rPr>
          <w:sz w:val="20"/>
          <w:szCs w:val="20"/>
        </w:rPr>
        <w:t xml:space="preserve"> </w:t>
      </w:r>
      <w:r w:rsidR="006B529B" w:rsidRPr="007418D9">
        <w:rPr>
          <w:sz w:val="20"/>
          <w:szCs w:val="20"/>
        </w:rPr>
        <w:fldChar w:fldCharType="begin"/>
      </w:r>
      <w:r w:rsidR="006B529B" w:rsidRPr="007418D9">
        <w:rPr>
          <w:sz w:val="20"/>
          <w:szCs w:val="20"/>
        </w:rPr>
        <w:instrText xml:space="preserve"> ADDIN ZOTERO_BIBL {"uncited":[],"omitted":[],"custom":[]} CSL_BIBLIOGRAPHY </w:instrText>
      </w:r>
      <w:r w:rsidR="006B529B" w:rsidRPr="007418D9">
        <w:rPr>
          <w:sz w:val="20"/>
          <w:szCs w:val="20"/>
        </w:rPr>
        <w:fldChar w:fldCharType="separate"/>
      </w:r>
      <w:r w:rsidR="006B529B" w:rsidRPr="007418D9">
        <w:rPr>
          <w:rFonts w:ascii="Calibri" w:hAnsi="Calibri" w:cs="Calibri"/>
          <w:sz w:val="20"/>
          <w:szCs w:val="20"/>
        </w:rPr>
        <w:fldChar w:fldCharType="begin"/>
      </w:r>
      <w:r w:rsidR="006B529B" w:rsidRPr="007418D9">
        <w:rPr>
          <w:rFonts w:ascii="Calibri" w:hAnsi="Calibri" w:cs="Calibri"/>
          <w:sz w:val="20"/>
          <w:szCs w:val="20"/>
        </w:rPr>
        <w:instrText xml:space="preserve"> INCLUDETEXT "C:\\Users\\sadsey\\AppData\\Local\\Temp\\ZOT5ABD.tmp" \c MSRTF </w:instrText>
      </w:r>
      <w:r w:rsidR="0049147A" w:rsidRPr="007418D9">
        <w:rPr>
          <w:rFonts w:ascii="Calibri" w:hAnsi="Calibri" w:cs="Calibri"/>
          <w:sz w:val="20"/>
          <w:szCs w:val="20"/>
        </w:rPr>
        <w:instrText xml:space="preserve"> \* MERGEFORMAT </w:instrText>
      </w:r>
      <w:r w:rsidR="006B529B" w:rsidRPr="007418D9">
        <w:rPr>
          <w:rFonts w:ascii="Calibri" w:hAnsi="Calibri" w:cs="Calibri"/>
          <w:sz w:val="20"/>
          <w:szCs w:val="20"/>
        </w:rPr>
        <w:fldChar w:fldCharType="separate"/>
      </w:r>
      <w:r w:rsidR="006B529B" w:rsidRPr="007418D9">
        <w:rPr>
          <w:rFonts w:ascii="Calibri" w:hAnsi="Calibri" w:cs="Calibri"/>
          <w:kern w:val="0"/>
          <w:sz w:val="20"/>
          <w:szCs w:val="20"/>
        </w:rPr>
        <w:t xml:space="preserve">Akbarieh, A., Jayasinghe, L. B., Waldmann, D., &amp; Teferle, F. N. (2020). BIM-based end-of-lifecycle decision making and digital deconstruction: Literature review. </w:t>
      </w:r>
      <w:r w:rsidR="006B529B" w:rsidRPr="007418D9">
        <w:rPr>
          <w:rFonts w:ascii="Calibri" w:hAnsi="Calibri" w:cs="Calibri"/>
          <w:i/>
          <w:iCs/>
          <w:kern w:val="0"/>
          <w:sz w:val="20"/>
          <w:szCs w:val="20"/>
        </w:rPr>
        <w:t>Sustainability</w:t>
      </w:r>
      <w:r w:rsidR="006B529B" w:rsidRPr="007418D9">
        <w:rPr>
          <w:rFonts w:ascii="Calibri" w:hAnsi="Calibri" w:cs="Calibri"/>
          <w:kern w:val="0"/>
          <w:sz w:val="20"/>
          <w:szCs w:val="20"/>
        </w:rPr>
        <w:t xml:space="preserve">, </w:t>
      </w:r>
      <w:r w:rsidR="006B529B" w:rsidRPr="007418D9">
        <w:rPr>
          <w:rFonts w:ascii="Calibri" w:hAnsi="Calibri" w:cs="Calibri"/>
          <w:i/>
          <w:iCs/>
          <w:kern w:val="0"/>
          <w:sz w:val="20"/>
          <w:szCs w:val="20"/>
        </w:rPr>
        <w:t>12</w:t>
      </w:r>
      <w:r w:rsidR="006B529B" w:rsidRPr="007418D9">
        <w:rPr>
          <w:rFonts w:ascii="Calibri" w:hAnsi="Calibri" w:cs="Calibri"/>
          <w:kern w:val="0"/>
          <w:sz w:val="20"/>
          <w:szCs w:val="20"/>
        </w:rPr>
        <w:t>(7), 2670.</w:t>
      </w:r>
    </w:p>
    <w:p w14:paraId="6E485819"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Babones, S. (2016). Interpretive Quantitative Methods for the Social Sciences. </w:t>
      </w:r>
      <w:r w:rsidRPr="007418D9">
        <w:rPr>
          <w:rFonts w:ascii="Calibri" w:hAnsi="Calibri" w:cs="Calibri"/>
          <w:i/>
          <w:iCs/>
          <w:kern w:val="0"/>
          <w:sz w:val="20"/>
          <w:szCs w:val="20"/>
        </w:rPr>
        <w:t>Sociology</w:t>
      </w:r>
      <w:r w:rsidRPr="007418D9">
        <w:rPr>
          <w:rFonts w:ascii="Calibri" w:hAnsi="Calibri" w:cs="Calibri"/>
          <w:kern w:val="0"/>
          <w:sz w:val="20"/>
          <w:szCs w:val="20"/>
        </w:rPr>
        <w:t xml:space="preserve">, </w:t>
      </w:r>
      <w:r w:rsidRPr="007418D9">
        <w:rPr>
          <w:rFonts w:ascii="Calibri" w:hAnsi="Calibri" w:cs="Calibri"/>
          <w:i/>
          <w:iCs/>
          <w:kern w:val="0"/>
          <w:sz w:val="20"/>
          <w:szCs w:val="20"/>
        </w:rPr>
        <w:t>50</w:t>
      </w:r>
      <w:r w:rsidRPr="007418D9">
        <w:rPr>
          <w:rFonts w:ascii="Calibri" w:hAnsi="Calibri" w:cs="Calibri"/>
          <w:kern w:val="0"/>
          <w:sz w:val="20"/>
          <w:szCs w:val="20"/>
        </w:rPr>
        <w:t>(3), 453–469. https://doi.org/10.1177/0038038515583637</w:t>
      </w:r>
    </w:p>
    <w:p w14:paraId="6868B15D"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Bellini, A., Andersen, B., Klungseth, N. J., &amp; Tadayon, A. (2024). Achieving a circular economy through the effective reuse of construction products: A case study of a residential building. </w:t>
      </w:r>
      <w:r w:rsidRPr="007418D9">
        <w:rPr>
          <w:rFonts w:ascii="Calibri" w:hAnsi="Calibri" w:cs="Calibri"/>
          <w:i/>
          <w:iCs/>
          <w:kern w:val="0"/>
          <w:sz w:val="20"/>
          <w:szCs w:val="20"/>
        </w:rPr>
        <w:t>Journal of Cleaner Production</w:t>
      </w:r>
      <w:r w:rsidRPr="007418D9">
        <w:rPr>
          <w:rFonts w:ascii="Calibri" w:hAnsi="Calibri" w:cs="Calibri"/>
          <w:kern w:val="0"/>
          <w:sz w:val="20"/>
          <w:szCs w:val="20"/>
        </w:rPr>
        <w:t xml:space="preserve">, </w:t>
      </w:r>
      <w:r w:rsidRPr="007418D9">
        <w:rPr>
          <w:rFonts w:ascii="Calibri" w:hAnsi="Calibri" w:cs="Calibri"/>
          <w:i/>
          <w:iCs/>
          <w:kern w:val="0"/>
          <w:sz w:val="20"/>
          <w:szCs w:val="20"/>
        </w:rPr>
        <w:t>450</w:t>
      </w:r>
      <w:r w:rsidRPr="007418D9">
        <w:rPr>
          <w:rFonts w:ascii="Calibri" w:hAnsi="Calibri" w:cs="Calibri"/>
          <w:kern w:val="0"/>
          <w:sz w:val="20"/>
          <w:szCs w:val="20"/>
        </w:rPr>
        <w:t>, 141753. https://doi.org/10.1016/j.jclepro.2024.141753</w:t>
      </w:r>
    </w:p>
    <w:p w14:paraId="13692769"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Chau, H.-W., Abuseif, M., Geng, S., &amp; Jamei, E. (2025). Key Barriers and Challenges to Green Infrastructure Implementation: Policy Insights from the Melbourne Case. </w:t>
      </w:r>
      <w:r w:rsidRPr="007418D9">
        <w:rPr>
          <w:rFonts w:ascii="Calibri" w:hAnsi="Calibri" w:cs="Calibri"/>
          <w:i/>
          <w:iCs/>
          <w:kern w:val="0"/>
          <w:sz w:val="20"/>
          <w:szCs w:val="20"/>
        </w:rPr>
        <w:t>Land</w:t>
      </w:r>
      <w:r w:rsidRPr="007418D9">
        <w:rPr>
          <w:rFonts w:ascii="Calibri" w:hAnsi="Calibri" w:cs="Calibri"/>
          <w:kern w:val="0"/>
          <w:sz w:val="20"/>
          <w:szCs w:val="20"/>
        </w:rPr>
        <w:t xml:space="preserve">, </w:t>
      </w:r>
      <w:r w:rsidRPr="007418D9">
        <w:rPr>
          <w:rFonts w:ascii="Calibri" w:hAnsi="Calibri" w:cs="Calibri"/>
          <w:i/>
          <w:iCs/>
          <w:kern w:val="0"/>
          <w:sz w:val="20"/>
          <w:szCs w:val="20"/>
        </w:rPr>
        <w:t>14</w:t>
      </w:r>
      <w:r w:rsidRPr="007418D9">
        <w:rPr>
          <w:rFonts w:ascii="Calibri" w:hAnsi="Calibri" w:cs="Calibri"/>
          <w:kern w:val="0"/>
          <w:sz w:val="20"/>
          <w:szCs w:val="20"/>
        </w:rPr>
        <w:t>(5), 961. https://doi.org/10.3390/land14050961</w:t>
      </w:r>
    </w:p>
    <w:p w14:paraId="4419ACD4"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Colombari, R., Geuna, A., Helper, S., Martins, R., Paolucci, E., Ricci, R., &amp; Seamans, R. (2023). The interplay between data-driven decision-making and digitalization: A firm-level survey of the Italian and U.S. automotive industries. </w:t>
      </w:r>
      <w:r w:rsidRPr="007418D9">
        <w:rPr>
          <w:rFonts w:ascii="Calibri" w:hAnsi="Calibri" w:cs="Calibri"/>
          <w:i/>
          <w:iCs/>
          <w:kern w:val="0"/>
          <w:sz w:val="20"/>
          <w:szCs w:val="20"/>
        </w:rPr>
        <w:t>International Journal of Production Economics</w:t>
      </w:r>
      <w:r w:rsidRPr="007418D9">
        <w:rPr>
          <w:rFonts w:ascii="Calibri" w:hAnsi="Calibri" w:cs="Calibri"/>
          <w:kern w:val="0"/>
          <w:sz w:val="20"/>
          <w:szCs w:val="20"/>
        </w:rPr>
        <w:t xml:space="preserve">, </w:t>
      </w:r>
      <w:r w:rsidRPr="007418D9">
        <w:rPr>
          <w:rFonts w:ascii="Calibri" w:hAnsi="Calibri" w:cs="Calibri"/>
          <w:i/>
          <w:iCs/>
          <w:kern w:val="0"/>
          <w:sz w:val="20"/>
          <w:szCs w:val="20"/>
        </w:rPr>
        <w:t>255</w:t>
      </w:r>
      <w:r w:rsidRPr="007418D9">
        <w:rPr>
          <w:rFonts w:ascii="Calibri" w:hAnsi="Calibri" w:cs="Calibri"/>
          <w:kern w:val="0"/>
          <w:sz w:val="20"/>
          <w:szCs w:val="20"/>
        </w:rPr>
        <w:t>, 108718. https://doi.org/10.1016/j.ijpe.2022.108718</w:t>
      </w:r>
    </w:p>
    <w:p w14:paraId="28081802"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Damanpour, F., &amp; Gopalakrishnan, S. (2001). The Dynamics of the Adoption of Product and Process Innovations in Organizations. </w:t>
      </w:r>
      <w:r w:rsidRPr="007418D9">
        <w:rPr>
          <w:rFonts w:ascii="Calibri" w:hAnsi="Calibri" w:cs="Calibri"/>
          <w:i/>
          <w:iCs/>
          <w:kern w:val="0"/>
          <w:sz w:val="20"/>
          <w:szCs w:val="20"/>
        </w:rPr>
        <w:t>Journal of Management Studies</w:t>
      </w:r>
      <w:r w:rsidRPr="007418D9">
        <w:rPr>
          <w:rFonts w:ascii="Calibri" w:hAnsi="Calibri" w:cs="Calibri"/>
          <w:kern w:val="0"/>
          <w:sz w:val="20"/>
          <w:szCs w:val="20"/>
        </w:rPr>
        <w:t xml:space="preserve">, </w:t>
      </w:r>
      <w:r w:rsidRPr="007418D9">
        <w:rPr>
          <w:rFonts w:ascii="Calibri" w:hAnsi="Calibri" w:cs="Calibri"/>
          <w:i/>
          <w:iCs/>
          <w:kern w:val="0"/>
          <w:sz w:val="20"/>
          <w:szCs w:val="20"/>
        </w:rPr>
        <w:t>38</w:t>
      </w:r>
      <w:r w:rsidRPr="007418D9">
        <w:rPr>
          <w:rFonts w:ascii="Calibri" w:hAnsi="Calibri" w:cs="Calibri"/>
          <w:kern w:val="0"/>
          <w:sz w:val="20"/>
          <w:szCs w:val="20"/>
        </w:rPr>
        <w:t>(1), 45–65. https://doi.org/10.1111/1467-6486.00227</w:t>
      </w:r>
    </w:p>
    <w:p w14:paraId="598DDA25"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Eriksson, H., Stehn, L., &amp; Nilsson Vestola, E. (2026). Standardization as a cross-project connector: Loose couplings and connectivity in construction innovation. </w:t>
      </w:r>
      <w:r w:rsidRPr="007418D9">
        <w:rPr>
          <w:rFonts w:ascii="Calibri" w:hAnsi="Calibri" w:cs="Calibri"/>
          <w:i/>
          <w:iCs/>
          <w:kern w:val="0"/>
          <w:sz w:val="20"/>
          <w:szCs w:val="20"/>
        </w:rPr>
        <w:t>Construction Management and Economics</w:t>
      </w:r>
      <w:r w:rsidRPr="007418D9">
        <w:rPr>
          <w:rFonts w:ascii="Calibri" w:hAnsi="Calibri" w:cs="Calibri"/>
          <w:kern w:val="0"/>
          <w:sz w:val="20"/>
          <w:szCs w:val="20"/>
        </w:rPr>
        <w:t>, 1–16. https://doi.org/10.1080/01446193.2026.2632877</w:t>
      </w:r>
    </w:p>
    <w:p w14:paraId="31F699FB"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Guest, D., Knox, A., &amp; Warhurst, C. (2022). Humanizing work in the digital age: Lessons from socio-technical systems and quality of working life initiatives. </w:t>
      </w:r>
      <w:r w:rsidRPr="007418D9">
        <w:rPr>
          <w:rFonts w:ascii="Calibri" w:hAnsi="Calibri" w:cs="Calibri"/>
          <w:i/>
          <w:iCs/>
          <w:kern w:val="0"/>
          <w:sz w:val="20"/>
          <w:szCs w:val="20"/>
        </w:rPr>
        <w:t>Human Relations</w:t>
      </w:r>
      <w:r w:rsidRPr="007418D9">
        <w:rPr>
          <w:rFonts w:ascii="Calibri" w:hAnsi="Calibri" w:cs="Calibri"/>
          <w:kern w:val="0"/>
          <w:sz w:val="20"/>
          <w:szCs w:val="20"/>
        </w:rPr>
        <w:t xml:space="preserve">, </w:t>
      </w:r>
      <w:r w:rsidRPr="007418D9">
        <w:rPr>
          <w:rFonts w:ascii="Calibri" w:hAnsi="Calibri" w:cs="Calibri"/>
          <w:i/>
          <w:iCs/>
          <w:kern w:val="0"/>
          <w:sz w:val="20"/>
          <w:szCs w:val="20"/>
        </w:rPr>
        <w:t>75</w:t>
      </w:r>
      <w:r w:rsidRPr="007418D9">
        <w:rPr>
          <w:rFonts w:ascii="Calibri" w:hAnsi="Calibri" w:cs="Calibri"/>
          <w:kern w:val="0"/>
          <w:sz w:val="20"/>
          <w:szCs w:val="20"/>
        </w:rPr>
        <w:t>(8), 1461–1482.</w:t>
      </w:r>
    </w:p>
    <w:p w14:paraId="5C7DF22C"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lastRenderedPageBreak/>
        <w:t xml:space="preserve">Ibarra, D., Nieto Cerezo, O., &amp; Mendoza, J. M. F. (2026). Circular business models and value chains for wind turbine blade end-of-life management: A roadmap for turning waste into value. </w:t>
      </w:r>
      <w:r w:rsidRPr="007418D9">
        <w:rPr>
          <w:rFonts w:ascii="Calibri" w:hAnsi="Calibri" w:cs="Calibri"/>
          <w:i/>
          <w:iCs/>
          <w:kern w:val="0"/>
          <w:sz w:val="20"/>
          <w:szCs w:val="20"/>
        </w:rPr>
        <w:t>Renewable and Sustainable Energy Reviews</w:t>
      </w:r>
      <w:r w:rsidRPr="007418D9">
        <w:rPr>
          <w:rFonts w:ascii="Calibri" w:hAnsi="Calibri" w:cs="Calibri"/>
          <w:kern w:val="0"/>
          <w:sz w:val="20"/>
          <w:szCs w:val="20"/>
        </w:rPr>
        <w:t xml:space="preserve">, </w:t>
      </w:r>
      <w:r w:rsidRPr="007418D9">
        <w:rPr>
          <w:rFonts w:ascii="Calibri" w:hAnsi="Calibri" w:cs="Calibri"/>
          <w:i/>
          <w:iCs/>
          <w:kern w:val="0"/>
          <w:sz w:val="20"/>
          <w:szCs w:val="20"/>
        </w:rPr>
        <w:t>226</w:t>
      </w:r>
      <w:r w:rsidRPr="007418D9">
        <w:rPr>
          <w:rFonts w:ascii="Calibri" w:hAnsi="Calibri" w:cs="Calibri"/>
          <w:kern w:val="0"/>
          <w:sz w:val="20"/>
          <w:szCs w:val="20"/>
        </w:rPr>
        <w:t>, 116382. https://doi.org/10.1016/j.rser.2025.116382</w:t>
      </w:r>
    </w:p>
    <w:p w14:paraId="66C06078"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Izquierdo Ruben Salazar, Soliu Idris, &amp; Migliaccio Giovanni C. (2024). Enablers and Barriers to Implementation of Circular Economy Practices in the Built Environment: An Exploratory Study. </w:t>
      </w:r>
      <w:r w:rsidRPr="007418D9">
        <w:rPr>
          <w:rFonts w:ascii="Calibri" w:hAnsi="Calibri" w:cs="Calibri"/>
          <w:i/>
          <w:iCs/>
          <w:kern w:val="0"/>
          <w:sz w:val="20"/>
          <w:szCs w:val="20"/>
        </w:rPr>
        <w:t>Journal of Legal Affairs and Dispute Resolution in Engineering and Construction</w:t>
      </w:r>
      <w:r w:rsidRPr="007418D9">
        <w:rPr>
          <w:rFonts w:ascii="Calibri" w:hAnsi="Calibri" w:cs="Calibri"/>
          <w:kern w:val="0"/>
          <w:sz w:val="20"/>
          <w:szCs w:val="20"/>
        </w:rPr>
        <w:t xml:space="preserve">, </w:t>
      </w:r>
      <w:r w:rsidRPr="007418D9">
        <w:rPr>
          <w:rFonts w:ascii="Calibri" w:hAnsi="Calibri" w:cs="Calibri"/>
          <w:i/>
          <w:iCs/>
          <w:kern w:val="0"/>
          <w:sz w:val="20"/>
          <w:szCs w:val="20"/>
        </w:rPr>
        <w:t>16</w:t>
      </w:r>
      <w:r w:rsidRPr="007418D9">
        <w:rPr>
          <w:rFonts w:ascii="Calibri" w:hAnsi="Calibri" w:cs="Calibri"/>
          <w:kern w:val="0"/>
          <w:sz w:val="20"/>
          <w:szCs w:val="20"/>
        </w:rPr>
        <w:t>(2), 05023009. https://doi.org/10.1061/JLADAH.LADR-1094</w:t>
      </w:r>
    </w:p>
    <w:p w14:paraId="7D41B74D"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Jensen, J. P., &amp; Remmen, A. (2017). Enabling Circular Economy Through Product Stewardship. </w:t>
      </w:r>
      <w:r w:rsidRPr="007418D9">
        <w:rPr>
          <w:rFonts w:ascii="Calibri" w:hAnsi="Calibri" w:cs="Calibri"/>
          <w:i/>
          <w:iCs/>
          <w:kern w:val="0"/>
          <w:sz w:val="20"/>
          <w:szCs w:val="20"/>
        </w:rPr>
        <w:t>14th Global Conference on Sustainable Manufacturing, GCSM 3-5 October 2016, Stellenbosch, South Africa</w:t>
      </w:r>
      <w:r w:rsidRPr="007418D9">
        <w:rPr>
          <w:rFonts w:ascii="Calibri" w:hAnsi="Calibri" w:cs="Calibri"/>
          <w:kern w:val="0"/>
          <w:sz w:val="20"/>
          <w:szCs w:val="20"/>
        </w:rPr>
        <w:t xml:space="preserve">, </w:t>
      </w:r>
      <w:r w:rsidRPr="007418D9">
        <w:rPr>
          <w:rFonts w:ascii="Calibri" w:hAnsi="Calibri" w:cs="Calibri"/>
          <w:i/>
          <w:iCs/>
          <w:kern w:val="0"/>
          <w:sz w:val="20"/>
          <w:szCs w:val="20"/>
        </w:rPr>
        <w:t>8</w:t>
      </w:r>
      <w:r w:rsidRPr="007418D9">
        <w:rPr>
          <w:rFonts w:ascii="Calibri" w:hAnsi="Calibri" w:cs="Calibri"/>
          <w:kern w:val="0"/>
          <w:sz w:val="20"/>
          <w:szCs w:val="20"/>
        </w:rPr>
        <w:t>, 377–384. https://doi.org/10.1016/j.promfg.2017.02.048</w:t>
      </w:r>
    </w:p>
    <w:p w14:paraId="5D2211C3"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Jeong, Y. (2023). Digitalization in Production Logistics: How AI, Digital Twins, and Simulation Are Driving the Shift from Model-based to Data-driven Approaches. </w:t>
      </w:r>
      <w:r w:rsidRPr="007418D9">
        <w:rPr>
          <w:rFonts w:ascii="Calibri" w:hAnsi="Calibri" w:cs="Calibri"/>
          <w:i/>
          <w:iCs/>
          <w:kern w:val="0"/>
          <w:sz w:val="20"/>
          <w:szCs w:val="20"/>
        </w:rPr>
        <w:t>Int. J. Precis. Eng. Manuf.-Smart Tech.</w:t>
      </w:r>
      <w:r w:rsidRPr="007418D9">
        <w:rPr>
          <w:rFonts w:ascii="Calibri" w:hAnsi="Calibri" w:cs="Calibri"/>
          <w:kern w:val="0"/>
          <w:sz w:val="20"/>
          <w:szCs w:val="20"/>
        </w:rPr>
        <w:t xml:space="preserve">, </w:t>
      </w:r>
      <w:r w:rsidRPr="007418D9">
        <w:rPr>
          <w:rFonts w:ascii="Calibri" w:hAnsi="Calibri" w:cs="Calibri"/>
          <w:i/>
          <w:iCs/>
          <w:kern w:val="0"/>
          <w:sz w:val="20"/>
          <w:szCs w:val="20"/>
        </w:rPr>
        <w:t>1</w:t>
      </w:r>
      <w:r w:rsidRPr="007418D9">
        <w:rPr>
          <w:rFonts w:ascii="Calibri" w:hAnsi="Calibri" w:cs="Calibri"/>
          <w:kern w:val="0"/>
          <w:sz w:val="20"/>
          <w:szCs w:val="20"/>
        </w:rPr>
        <w:t>(2), 187–200. https://doi.org/10.57062/ijpem-st.2023.0052</w:t>
      </w:r>
    </w:p>
    <w:p w14:paraId="7F104B5D"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Kassem, M., Najafi, M., &amp; Rahimian, F. (2025). Editorial: Digital innovation for climate adaptation and sustainable development: Emerging solutions for the built environment. </w:t>
      </w:r>
      <w:r w:rsidRPr="007418D9">
        <w:rPr>
          <w:rFonts w:ascii="Calibri" w:hAnsi="Calibri" w:cs="Calibri"/>
          <w:i/>
          <w:iCs/>
          <w:kern w:val="0"/>
          <w:sz w:val="20"/>
          <w:szCs w:val="20"/>
        </w:rPr>
        <w:t>Smart and Sustainable Built Environment</w:t>
      </w:r>
      <w:r w:rsidRPr="007418D9">
        <w:rPr>
          <w:rFonts w:ascii="Calibri" w:hAnsi="Calibri" w:cs="Calibri"/>
          <w:kern w:val="0"/>
          <w:sz w:val="20"/>
          <w:szCs w:val="20"/>
        </w:rPr>
        <w:t xml:space="preserve">, </w:t>
      </w:r>
      <w:r w:rsidRPr="007418D9">
        <w:rPr>
          <w:rFonts w:ascii="Calibri" w:hAnsi="Calibri" w:cs="Calibri"/>
          <w:i/>
          <w:iCs/>
          <w:kern w:val="0"/>
          <w:sz w:val="20"/>
          <w:szCs w:val="20"/>
        </w:rPr>
        <w:t>14</w:t>
      </w:r>
      <w:r w:rsidRPr="007418D9">
        <w:rPr>
          <w:rFonts w:ascii="Calibri" w:hAnsi="Calibri" w:cs="Calibri"/>
          <w:kern w:val="0"/>
          <w:sz w:val="20"/>
          <w:szCs w:val="20"/>
        </w:rPr>
        <w:t>(7), 2025–2030. https://doi.org/10.1108/SASBE-12-2025-571</w:t>
      </w:r>
    </w:p>
    <w:p w14:paraId="2F2833B6"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Kim, D. (2025). The paradox of standards and innovation: Reconceptualising standards and standardisation with the help of Niklas Luhmann. </w:t>
      </w:r>
      <w:r w:rsidRPr="007418D9">
        <w:rPr>
          <w:rFonts w:ascii="Calibri" w:hAnsi="Calibri" w:cs="Calibri"/>
          <w:i/>
          <w:iCs/>
          <w:kern w:val="0"/>
          <w:sz w:val="20"/>
          <w:szCs w:val="20"/>
        </w:rPr>
        <w:t>Systems Research and Behavioral Science</w:t>
      </w:r>
      <w:r w:rsidRPr="007418D9">
        <w:rPr>
          <w:rFonts w:ascii="Calibri" w:hAnsi="Calibri" w:cs="Calibri"/>
          <w:kern w:val="0"/>
          <w:sz w:val="20"/>
          <w:szCs w:val="20"/>
        </w:rPr>
        <w:t xml:space="preserve">, </w:t>
      </w:r>
      <w:r w:rsidRPr="007418D9">
        <w:rPr>
          <w:rFonts w:ascii="Calibri" w:hAnsi="Calibri" w:cs="Calibri"/>
          <w:i/>
          <w:iCs/>
          <w:kern w:val="0"/>
          <w:sz w:val="20"/>
          <w:szCs w:val="20"/>
        </w:rPr>
        <w:t>42</w:t>
      </w:r>
      <w:r w:rsidRPr="007418D9">
        <w:rPr>
          <w:rFonts w:ascii="Calibri" w:hAnsi="Calibri" w:cs="Calibri"/>
          <w:kern w:val="0"/>
          <w:sz w:val="20"/>
          <w:szCs w:val="20"/>
        </w:rPr>
        <w:t>(2), 338–347. https://doi.org/10.1002/sres.3068</w:t>
      </w:r>
    </w:p>
    <w:p w14:paraId="34548996"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Kompella, L. (2020). Socio-Technical Transitions and Organizational Responses: Insights from E-Governance Case Studies. </w:t>
      </w:r>
      <w:r w:rsidRPr="007418D9">
        <w:rPr>
          <w:rFonts w:ascii="Calibri" w:hAnsi="Calibri" w:cs="Calibri"/>
          <w:i/>
          <w:iCs/>
          <w:kern w:val="0"/>
          <w:sz w:val="20"/>
          <w:szCs w:val="20"/>
        </w:rPr>
        <w:t>Journal of Global Information Technology Management</w:t>
      </w:r>
      <w:r w:rsidRPr="007418D9">
        <w:rPr>
          <w:rFonts w:ascii="Calibri" w:hAnsi="Calibri" w:cs="Calibri"/>
          <w:kern w:val="0"/>
          <w:sz w:val="20"/>
          <w:szCs w:val="20"/>
        </w:rPr>
        <w:t xml:space="preserve">, </w:t>
      </w:r>
      <w:r w:rsidRPr="007418D9">
        <w:rPr>
          <w:rFonts w:ascii="Calibri" w:hAnsi="Calibri" w:cs="Calibri"/>
          <w:i/>
          <w:iCs/>
          <w:kern w:val="0"/>
          <w:sz w:val="20"/>
          <w:szCs w:val="20"/>
        </w:rPr>
        <w:t>23</w:t>
      </w:r>
      <w:r w:rsidRPr="007418D9">
        <w:rPr>
          <w:rFonts w:ascii="Calibri" w:hAnsi="Calibri" w:cs="Calibri"/>
          <w:kern w:val="0"/>
          <w:sz w:val="20"/>
          <w:szCs w:val="20"/>
        </w:rPr>
        <w:t>(2), 89–111. https://doi.org/10.1080/1097198X.2020.1752082</w:t>
      </w:r>
    </w:p>
    <w:p w14:paraId="2A2F0960"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Kurkkio, M., Frishammar, J., &amp; Lichtenthaler, U. (2011). Where process development begins: A multiple case study of front end activities in process firms. </w:t>
      </w:r>
      <w:r w:rsidRPr="007418D9">
        <w:rPr>
          <w:rFonts w:ascii="Calibri" w:hAnsi="Calibri" w:cs="Calibri"/>
          <w:i/>
          <w:iCs/>
          <w:kern w:val="0"/>
          <w:sz w:val="20"/>
          <w:szCs w:val="20"/>
        </w:rPr>
        <w:t>Technovation</w:t>
      </w:r>
      <w:r w:rsidRPr="007418D9">
        <w:rPr>
          <w:rFonts w:ascii="Calibri" w:hAnsi="Calibri" w:cs="Calibri"/>
          <w:kern w:val="0"/>
          <w:sz w:val="20"/>
          <w:szCs w:val="20"/>
        </w:rPr>
        <w:t xml:space="preserve">, </w:t>
      </w:r>
      <w:r w:rsidRPr="007418D9">
        <w:rPr>
          <w:rFonts w:ascii="Calibri" w:hAnsi="Calibri" w:cs="Calibri"/>
          <w:i/>
          <w:iCs/>
          <w:kern w:val="0"/>
          <w:sz w:val="20"/>
          <w:szCs w:val="20"/>
        </w:rPr>
        <w:t>31</w:t>
      </w:r>
      <w:r w:rsidRPr="007418D9">
        <w:rPr>
          <w:rFonts w:ascii="Calibri" w:hAnsi="Calibri" w:cs="Calibri"/>
          <w:kern w:val="0"/>
          <w:sz w:val="20"/>
          <w:szCs w:val="20"/>
        </w:rPr>
        <w:t>(9), 490–504.</w:t>
      </w:r>
    </w:p>
    <w:p w14:paraId="69875F18"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Liu, B., &amp; De Giovanni, P. (2025). Green process innovation through Industry 4.0 technologies and supply chain coordination. </w:t>
      </w:r>
      <w:r w:rsidRPr="007418D9">
        <w:rPr>
          <w:rFonts w:ascii="Calibri" w:hAnsi="Calibri" w:cs="Calibri"/>
          <w:i/>
          <w:iCs/>
          <w:kern w:val="0"/>
          <w:sz w:val="20"/>
          <w:szCs w:val="20"/>
        </w:rPr>
        <w:t>Annals of Operations Research</w:t>
      </w:r>
      <w:r w:rsidRPr="007418D9">
        <w:rPr>
          <w:rFonts w:ascii="Calibri" w:hAnsi="Calibri" w:cs="Calibri"/>
          <w:kern w:val="0"/>
          <w:sz w:val="20"/>
          <w:szCs w:val="20"/>
        </w:rPr>
        <w:t xml:space="preserve">, </w:t>
      </w:r>
      <w:r w:rsidRPr="007418D9">
        <w:rPr>
          <w:rFonts w:ascii="Calibri" w:hAnsi="Calibri" w:cs="Calibri"/>
          <w:i/>
          <w:iCs/>
          <w:kern w:val="0"/>
          <w:sz w:val="20"/>
          <w:szCs w:val="20"/>
        </w:rPr>
        <w:t>349</w:t>
      </w:r>
      <w:r w:rsidRPr="007418D9">
        <w:rPr>
          <w:rFonts w:ascii="Calibri" w:hAnsi="Calibri" w:cs="Calibri"/>
          <w:kern w:val="0"/>
          <w:sz w:val="20"/>
          <w:szCs w:val="20"/>
        </w:rPr>
        <w:t>(2), 767–802.</w:t>
      </w:r>
    </w:p>
    <w:p w14:paraId="095816E8"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Marsh, R. (2017). Building lifespan: Effect on the environmental impact of building components in a Danish perspective. </w:t>
      </w:r>
      <w:r w:rsidRPr="007418D9">
        <w:rPr>
          <w:rFonts w:ascii="Calibri" w:hAnsi="Calibri" w:cs="Calibri"/>
          <w:i/>
          <w:iCs/>
          <w:kern w:val="0"/>
          <w:sz w:val="20"/>
          <w:szCs w:val="20"/>
        </w:rPr>
        <w:t>Architectural Engineering and Design Management</w:t>
      </w:r>
      <w:r w:rsidRPr="007418D9">
        <w:rPr>
          <w:rFonts w:ascii="Calibri" w:hAnsi="Calibri" w:cs="Calibri"/>
          <w:kern w:val="0"/>
          <w:sz w:val="20"/>
          <w:szCs w:val="20"/>
        </w:rPr>
        <w:t xml:space="preserve">, </w:t>
      </w:r>
      <w:r w:rsidRPr="007418D9">
        <w:rPr>
          <w:rFonts w:ascii="Calibri" w:hAnsi="Calibri" w:cs="Calibri"/>
          <w:i/>
          <w:iCs/>
          <w:kern w:val="0"/>
          <w:sz w:val="20"/>
          <w:szCs w:val="20"/>
        </w:rPr>
        <w:t>13</w:t>
      </w:r>
      <w:r w:rsidRPr="007418D9">
        <w:rPr>
          <w:rFonts w:ascii="Calibri" w:hAnsi="Calibri" w:cs="Calibri"/>
          <w:kern w:val="0"/>
          <w:sz w:val="20"/>
          <w:szCs w:val="20"/>
        </w:rPr>
        <w:t>(2), 80–100. https://doi.org/10.1080/17452007.2016.1205471</w:t>
      </w:r>
    </w:p>
    <w:p w14:paraId="13736713"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Mathur, N., Last, N., &amp; Morris, K. C. (2023). A process model representation of the end-of-life phase of a product in a circular economy to identify standards needs. </w:t>
      </w:r>
      <w:r w:rsidRPr="007418D9">
        <w:rPr>
          <w:rFonts w:ascii="Calibri" w:hAnsi="Calibri" w:cs="Calibri"/>
          <w:i/>
          <w:iCs/>
          <w:kern w:val="0"/>
          <w:sz w:val="20"/>
          <w:szCs w:val="20"/>
        </w:rPr>
        <w:t>Frontiers in Manufacturing Technology</w:t>
      </w:r>
      <w:r w:rsidRPr="007418D9">
        <w:rPr>
          <w:rFonts w:ascii="Calibri" w:hAnsi="Calibri" w:cs="Calibri"/>
          <w:kern w:val="0"/>
          <w:sz w:val="20"/>
          <w:szCs w:val="20"/>
        </w:rPr>
        <w:t xml:space="preserve">, </w:t>
      </w:r>
      <w:r w:rsidRPr="007418D9">
        <w:rPr>
          <w:rFonts w:ascii="Calibri" w:hAnsi="Calibri" w:cs="Calibri"/>
          <w:i/>
          <w:iCs/>
          <w:kern w:val="0"/>
          <w:sz w:val="20"/>
          <w:szCs w:val="20"/>
        </w:rPr>
        <w:t>Volume 3-2023</w:t>
      </w:r>
      <w:r w:rsidRPr="007418D9">
        <w:rPr>
          <w:rFonts w:ascii="Calibri" w:hAnsi="Calibri" w:cs="Calibri"/>
          <w:kern w:val="0"/>
          <w:sz w:val="20"/>
          <w:szCs w:val="20"/>
        </w:rPr>
        <w:t>. https://doi.org/10.3389/fmtec.2023.988073</w:t>
      </w:r>
    </w:p>
    <w:p w14:paraId="4D45FE7F"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McAloone, T., &amp; Andreasen, M. M. (2002). </w:t>
      </w:r>
      <w:r w:rsidRPr="007418D9">
        <w:rPr>
          <w:rFonts w:ascii="Calibri" w:hAnsi="Calibri" w:cs="Calibri"/>
          <w:i/>
          <w:iCs/>
          <w:kern w:val="0"/>
          <w:sz w:val="20"/>
          <w:szCs w:val="20"/>
        </w:rPr>
        <w:t>Defining product service systems</w:t>
      </w:r>
      <w:r w:rsidRPr="007418D9">
        <w:rPr>
          <w:rFonts w:ascii="Calibri" w:hAnsi="Calibri" w:cs="Calibri"/>
          <w:kern w:val="0"/>
          <w:sz w:val="20"/>
          <w:szCs w:val="20"/>
        </w:rPr>
        <w:t>.</w:t>
      </w:r>
    </w:p>
    <w:p w14:paraId="114129A1"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Ortiz‐Avram, D., Ovcharova, N., &amp; Engelmann, A. (2024). Dynamic capabilities for sustainability: Toward a typology based on dimensions of sustainability‐oriented innovation and stakeholder integration. </w:t>
      </w:r>
      <w:r w:rsidRPr="007418D9">
        <w:rPr>
          <w:rFonts w:ascii="Calibri" w:hAnsi="Calibri" w:cs="Calibri"/>
          <w:i/>
          <w:iCs/>
          <w:kern w:val="0"/>
          <w:sz w:val="20"/>
          <w:szCs w:val="20"/>
        </w:rPr>
        <w:t>Business Strategy and the Environment</w:t>
      </w:r>
      <w:r w:rsidRPr="007418D9">
        <w:rPr>
          <w:rFonts w:ascii="Calibri" w:hAnsi="Calibri" w:cs="Calibri"/>
          <w:kern w:val="0"/>
          <w:sz w:val="20"/>
          <w:szCs w:val="20"/>
        </w:rPr>
        <w:t xml:space="preserve">, </w:t>
      </w:r>
      <w:r w:rsidRPr="007418D9">
        <w:rPr>
          <w:rFonts w:ascii="Calibri" w:hAnsi="Calibri" w:cs="Calibri"/>
          <w:i/>
          <w:iCs/>
          <w:kern w:val="0"/>
          <w:sz w:val="20"/>
          <w:szCs w:val="20"/>
        </w:rPr>
        <w:t>33</w:t>
      </w:r>
      <w:r w:rsidRPr="007418D9">
        <w:rPr>
          <w:rFonts w:ascii="Calibri" w:hAnsi="Calibri" w:cs="Calibri"/>
          <w:kern w:val="0"/>
          <w:sz w:val="20"/>
          <w:szCs w:val="20"/>
        </w:rPr>
        <w:t>(4), 2969–3004.</w:t>
      </w:r>
    </w:p>
    <w:p w14:paraId="0BE6B0A7"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Ossio, F., Salinas, C., &amp; Hernández, H. (2023). Circular economy in the built environment: A systematic literature review and definition of the circular construction concept. </w:t>
      </w:r>
      <w:r w:rsidRPr="007418D9">
        <w:rPr>
          <w:rFonts w:ascii="Calibri" w:hAnsi="Calibri" w:cs="Calibri"/>
          <w:i/>
          <w:iCs/>
          <w:kern w:val="0"/>
          <w:sz w:val="20"/>
          <w:szCs w:val="20"/>
        </w:rPr>
        <w:t>Journal of Cleaner Production</w:t>
      </w:r>
      <w:r w:rsidRPr="007418D9">
        <w:rPr>
          <w:rFonts w:ascii="Calibri" w:hAnsi="Calibri" w:cs="Calibri"/>
          <w:kern w:val="0"/>
          <w:sz w:val="20"/>
          <w:szCs w:val="20"/>
        </w:rPr>
        <w:t xml:space="preserve">, </w:t>
      </w:r>
      <w:r w:rsidRPr="007418D9">
        <w:rPr>
          <w:rFonts w:ascii="Calibri" w:hAnsi="Calibri" w:cs="Calibri"/>
          <w:i/>
          <w:iCs/>
          <w:kern w:val="0"/>
          <w:sz w:val="20"/>
          <w:szCs w:val="20"/>
        </w:rPr>
        <w:t>414</w:t>
      </w:r>
      <w:r w:rsidRPr="007418D9">
        <w:rPr>
          <w:rFonts w:ascii="Calibri" w:hAnsi="Calibri" w:cs="Calibri"/>
          <w:kern w:val="0"/>
          <w:sz w:val="20"/>
          <w:szCs w:val="20"/>
        </w:rPr>
        <w:t>, 137738. https://doi.org/10.1016/j.jclepro.2023.137738</w:t>
      </w:r>
    </w:p>
    <w:p w14:paraId="2C139BC2"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Pachouri, V., Singh, R., Gehlot, A., Pandey, S., Vaseem Akram, S., &amp; Abbas, M. (2024). Empowering sustainability in the built environment: A technological Lens on industry 4.0 Enablers. </w:t>
      </w:r>
      <w:r w:rsidRPr="007418D9">
        <w:rPr>
          <w:rFonts w:ascii="Calibri" w:hAnsi="Calibri" w:cs="Calibri"/>
          <w:i/>
          <w:iCs/>
          <w:kern w:val="0"/>
          <w:sz w:val="20"/>
          <w:szCs w:val="20"/>
        </w:rPr>
        <w:t>Technology in Society</w:t>
      </w:r>
      <w:r w:rsidRPr="007418D9">
        <w:rPr>
          <w:rFonts w:ascii="Calibri" w:hAnsi="Calibri" w:cs="Calibri"/>
          <w:kern w:val="0"/>
          <w:sz w:val="20"/>
          <w:szCs w:val="20"/>
        </w:rPr>
        <w:t xml:space="preserve">, </w:t>
      </w:r>
      <w:r w:rsidRPr="007418D9">
        <w:rPr>
          <w:rFonts w:ascii="Calibri" w:hAnsi="Calibri" w:cs="Calibri"/>
          <w:i/>
          <w:iCs/>
          <w:kern w:val="0"/>
          <w:sz w:val="20"/>
          <w:szCs w:val="20"/>
        </w:rPr>
        <w:t>76</w:t>
      </w:r>
      <w:r w:rsidRPr="007418D9">
        <w:rPr>
          <w:rFonts w:ascii="Calibri" w:hAnsi="Calibri" w:cs="Calibri"/>
          <w:kern w:val="0"/>
          <w:sz w:val="20"/>
          <w:szCs w:val="20"/>
        </w:rPr>
        <w:t>, 102427. https://doi.org/10.1016/j.techsoc.2023.102427</w:t>
      </w:r>
    </w:p>
    <w:p w14:paraId="074B37F3"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Qerimi, D., Demeter, K., &amp; Losonci, D. (2024). Unravelling the definition of business process innovation: A systematic literature review. </w:t>
      </w:r>
      <w:r w:rsidRPr="007418D9">
        <w:rPr>
          <w:rFonts w:ascii="Calibri" w:hAnsi="Calibri" w:cs="Calibri"/>
          <w:i/>
          <w:iCs/>
          <w:kern w:val="0"/>
          <w:sz w:val="20"/>
          <w:szCs w:val="20"/>
        </w:rPr>
        <w:t>International Journal of Innovation Science</w:t>
      </w:r>
      <w:r w:rsidRPr="007418D9">
        <w:rPr>
          <w:rFonts w:ascii="Calibri" w:hAnsi="Calibri" w:cs="Calibri"/>
          <w:kern w:val="0"/>
          <w:sz w:val="20"/>
          <w:szCs w:val="20"/>
        </w:rPr>
        <w:t xml:space="preserve">, </w:t>
      </w:r>
      <w:r w:rsidRPr="007418D9">
        <w:rPr>
          <w:rFonts w:ascii="Calibri" w:hAnsi="Calibri" w:cs="Calibri"/>
          <w:i/>
          <w:iCs/>
          <w:kern w:val="0"/>
          <w:sz w:val="20"/>
          <w:szCs w:val="20"/>
        </w:rPr>
        <w:t>18</w:t>
      </w:r>
      <w:r w:rsidRPr="007418D9">
        <w:rPr>
          <w:rFonts w:ascii="Calibri" w:hAnsi="Calibri" w:cs="Calibri"/>
          <w:kern w:val="0"/>
          <w:sz w:val="20"/>
          <w:szCs w:val="20"/>
        </w:rPr>
        <w:t>(2), 308–332. https://doi.org/10.1108/IJIS-02-2024-0038</w:t>
      </w:r>
    </w:p>
    <w:p w14:paraId="6BAE09EA" w14:textId="77777777" w:rsidR="006B529B" w:rsidRPr="007418D9" w:rsidRDefault="006B529B" w:rsidP="0095260A">
      <w:pPr>
        <w:pStyle w:val="Bibliography"/>
        <w:spacing w:line="264" w:lineRule="auto"/>
        <w:rPr>
          <w:rFonts w:ascii="Calibri" w:hAnsi="Calibri" w:cs="Calibri"/>
          <w:kern w:val="0"/>
          <w:sz w:val="20"/>
          <w:szCs w:val="20"/>
        </w:rPr>
      </w:pPr>
      <w:r w:rsidRPr="007418D9">
        <w:rPr>
          <w:rFonts w:ascii="Calibri" w:hAnsi="Calibri" w:cs="Calibri"/>
          <w:kern w:val="0"/>
          <w:sz w:val="20"/>
          <w:szCs w:val="20"/>
        </w:rPr>
        <w:t xml:space="preserve">Ranasinghe, N., Domingo, N., &amp; Kahandawa, R. (2024). Enhancing building material circularity: A systematic review on prerequisites, obstacles and the critical role of data traceability. </w:t>
      </w:r>
      <w:r w:rsidRPr="007418D9">
        <w:rPr>
          <w:rFonts w:ascii="Calibri" w:hAnsi="Calibri" w:cs="Calibri"/>
          <w:i/>
          <w:iCs/>
          <w:kern w:val="0"/>
          <w:sz w:val="20"/>
          <w:szCs w:val="20"/>
        </w:rPr>
        <w:t>Journal of Building Engineering</w:t>
      </w:r>
      <w:r w:rsidRPr="007418D9">
        <w:rPr>
          <w:rFonts w:ascii="Calibri" w:hAnsi="Calibri" w:cs="Calibri"/>
          <w:kern w:val="0"/>
          <w:sz w:val="20"/>
          <w:szCs w:val="20"/>
        </w:rPr>
        <w:t xml:space="preserve">, </w:t>
      </w:r>
      <w:r w:rsidRPr="007418D9">
        <w:rPr>
          <w:rFonts w:ascii="Calibri" w:hAnsi="Calibri" w:cs="Calibri"/>
          <w:i/>
          <w:iCs/>
          <w:kern w:val="0"/>
          <w:sz w:val="20"/>
          <w:szCs w:val="20"/>
        </w:rPr>
        <w:t>98</w:t>
      </w:r>
      <w:r w:rsidRPr="007418D9">
        <w:rPr>
          <w:rFonts w:ascii="Calibri" w:hAnsi="Calibri" w:cs="Calibri"/>
          <w:kern w:val="0"/>
          <w:sz w:val="20"/>
          <w:szCs w:val="20"/>
        </w:rPr>
        <w:t>, 111136. https://doi.org/10.1016/j.jobe.2024.111136</w:t>
      </w:r>
    </w:p>
    <w:p w14:paraId="36BF849D" w14:textId="22B16247" w:rsidR="00673305" w:rsidRPr="007418D9" w:rsidRDefault="006B529B" w:rsidP="006D6E05">
      <w:pPr>
        <w:pStyle w:val="Bibliography"/>
        <w:spacing w:line="264" w:lineRule="auto"/>
        <w:rPr>
          <w:sz w:val="20"/>
          <w:szCs w:val="20"/>
        </w:rPr>
      </w:pPr>
      <w:r w:rsidRPr="007418D9">
        <w:rPr>
          <w:rFonts w:ascii="Calibri" w:hAnsi="Calibri" w:cs="Calibri"/>
          <w:kern w:val="0"/>
          <w:sz w:val="20"/>
          <w:szCs w:val="20"/>
        </w:rPr>
        <w:t xml:space="preserve">Sawhney, A., Riley, M., Irizarry, J., &amp; Riley, M. (2020). Construction 4.0. </w:t>
      </w:r>
      <w:r w:rsidRPr="007418D9">
        <w:rPr>
          <w:rFonts w:ascii="Calibri" w:hAnsi="Calibri" w:cs="Calibri"/>
          <w:i/>
          <w:iCs/>
          <w:kern w:val="0"/>
          <w:sz w:val="20"/>
          <w:szCs w:val="20"/>
        </w:rPr>
        <w:t>Sawhney, A., Riley, M., Irizarry, J., Eds</w:t>
      </w:r>
      <w:r w:rsidRPr="007418D9">
        <w:rPr>
          <w:rFonts w:ascii="Calibri" w:hAnsi="Calibri" w:cs="Calibri"/>
          <w:kern w:val="0"/>
          <w:sz w:val="20"/>
          <w:szCs w:val="20"/>
        </w:rPr>
        <w:t>.</w:t>
      </w:r>
      <w:r w:rsidRPr="007418D9">
        <w:rPr>
          <w:rFonts w:ascii="Calibri" w:hAnsi="Calibri" w:cs="Calibri"/>
          <w:sz w:val="20"/>
          <w:szCs w:val="20"/>
        </w:rPr>
        <w:fldChar w:fldCharType="end"/>
      </w:r>
      <w:r w:rsidRPr="007418D9">
        <w:rPr>
          <w:sz w:val="20"/>
          <w:szCs w:val="20"/>
        </w:rPr>
        <w:fldChar w:fldCharType="end"/>
      </w:r>
    </w:p>
    <w:sectPr w:rsidR="00673305" w:rsidRPr="007418D9">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4B273" w14:textId="77777777" w:rsidR="007677D8" w:rsidRDefault="007677D8" w:rsidP="005076E1">
      <w:pPr>
        <w:spacing w:after="0" w:line="240" w:lineRule="auto"/>
      </w:pPr>
      <w:r>
        <w:separator/>
      </w:r>
    </w:p>
  </w:endnote>
  <w:endnote w:type="continuationSeparator" w:id="0">
    <w:p w14:paraId="13E3CB50" w14:textId="77777777" w:rsidR="007677D8" w:rsidRDefault="007677D8"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04F6A" w14:textId="77777777" w:rsidR="007217B0" w:rsidRDefault="007217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7764454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6D10" w14:textId="77777777" w:rsidR="007217B0" w:rsidRDefault="007217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9AE7E" w14:textId="77777777" w:rsidR="007677D8" w:rsidRDefault="007677D8" w:rsidP="005076E1">
      <w:pPr>
        <w:spacing w:after="0" w:line="240" w:lineRule="auto"/>
      </w:pPr>
      <w:r>
        <w:separator/>
      </w:r>
    </w:p>
  </w:footnote>
  <w:footnote w:type="continuationSeparator" w:id="0">
    <w:p w14:paraId="4CAB2E5B" w14:textId="77777777" w:rsidR="007677D8" w:rsidRDefault="007677D8"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6AB73" w14:textId="77777777" w:rsidR="007217B0" w:rsidRDefault="007217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F5182" w14:textId="77777777" w:rsidR="007217B0" w:rsidRDefault="007217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71487"/>
    <w:multiLevelType w:val="hybridMultilevel"/>
    <w:tmpl w:val="E0BC485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1"/>
  </w:num>
  <w:num w:numId="2" w16cid:durableId="971980657">
    <w:abstractNumId w:val="2"/>
  </w:num>
  <w:num w:numId="3" w16cid:durableId="1627080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6802"/>
    <w:rsid w:val="0002305B"/>
    <w:rsid w:val="00042377"/>
    <w:rsid w:val="0004248B"/>
    <w:rsid w:val="00061691"/>
    <w:rsid w:val="000624B8"/>
    <w:rsid w:val="0006330D"/>
    <w:rsid w:val="00064A29"/>
    <w:rsid w:val="000851D5"/>
    <w:rsid w:val="00086769"/>
    <w:rsid w:val="000935A8"/>
    <w:rsid w:val="00094BC3"/>
    <w:rsid w:val="000E24DB"/>
    <w:rsid w:val="000E7D84"/>
    <w:rsid w:val="000F5E0C"/>
    <w:rsid w:val="000F70EC"/>
    <w:rsid w:val="0010248E"/>
    <w:rsid w:val="00107290"/>
    <w:rsid w:val="0011291D"/>
    <w:rsid w:val="0014462C"/>
    <w:rsid w:val="001836B1"/>
    <w:rsid w:val="0018765A"/>
    <w:rsid w:val="001B1C29"/>
    <w:rsid w:val="001C16C9"/>
    <w:rsid w:val="001C6E23"/>
    <w:rsid w:val="001D0867"/>
    <w:rsid w:val="001D7077"/>
    <w:rsid w:val="001E2C03"/>
    <w:rsid w:val="001F0BF9"/>
    <w:rsid w:val="0020474A"/>
    <w:rsid w:val="00212578"/>
    <w:rsid w:val="00212AC2"/>
    <w:rsid w:val="00217B9F"/>
    <w:rsid w:val="0022187D"/>
    <w:rsid w:val="00223256"/>
    <w:rsid w:val="00226593"/>
    <w:rsid w:val="0023249B"/>
    <w:rsid w:val="00236E81"/>
    <w:rsid w:val="00240E08"/>
    <w:rsid w:val="00295B8D"/>
    <w:rsid w:val="002B68E2"/>
    <w:rsid w:val="002C409D"/>
    <w:rsid w:val="002C4419"/>
    <w:rsid w:val="002D3AAE"/>
    <w:rsid w:val="003045B7"/>
    <w:rsid w:val="0030482F"/>
    <w:rsid w:val="00310582"/>
    <w:rsid w:val="00316606"/>
    <w:rsid w:val="00333438"/>
    <w:rsid w:val="00333540"/>
    <w:rsid w:val="0033388B"/>
    <w:rsid w:val="00346353"/>
    <w:rsid w:val="00365FC5"/>
    <w:rsid w:val="003829D3"/>
    <w:rsid w:val="0038479E"/>
    <w:rsid w:val="003A5461"/>
    <w:rsid w:val="003B5E9B"/>
    <w:rsid w:val="003D1656"/>
    <w:rsid w:val="003E04AD"/>
    <w:rsid w:val="003E1510"/>
    <w:rsid w:val="003E499F"/>
    <w:rsid w:val="003F4B7A"/>
    <w:rsid w:val="003F69DA"/>
    <w:rsid w:val="00400838"/>
    <w:rsid w:val="004022FB"/>
    <w:rsid w:val="00412D1B"/>
    <w:rsid w:val="00420695"/>
    <w:rsid w:val="00425562"/>
    <w:rsid w:val="004264B2"/>
    <w:rsid w:val="004357F4"/>
    <w:rsid w:val="00436315"/>
    <w:rsid w:val="00456E8C"/>
    <w:rsid w:val="00460A7E"/>
    <w:rsid w:val="0046398A"/>
    <w:rsid w:val="00463AFE"/>
    <w:rsid w:val="00466A4A"/>
    <w:rsid w:val="00467DA2"/>
    <w:rsid w:val="0047000E"/>
    <w:rsid w:val="00484B24"/>
    <w:rsid w:val="004868E4"/>
    <w:rsid w:val="0049147A"/>
    <w:rsid w:val="004914F6"/>
    <w:rsid w:val="0049495C"/>
    <w:rsid w:val="004A6E50"/>
    <w:rsid w:val="004B0C31"/>
    <w:rsid w:val="004B2EE0"/>
    <w:rsid w:val="004B7F0D"/>
    <w:rsid w:val="004C2A5E"/>
    <w:rsid w:val="004C3396"/>
    <w:rsid w:val="004D1C74"/>
    <w:rsid w:val="004D30F5"/>
    <w:rsid w:val="004D6675"/>
    <w:rsid w:val="004E3DE6"/>
    <w:rsid w:val="004E6611"/>
    <w:rsid w:val="004E6AA9"/>
    <w:rsid w:val="004F0AF2"/>
    <w:rsid w:val="004F28B8"/>
    <w:rsid w:val="004F764C"/>
    <w:rsid w:val="005058A5"/>
    <w:rsid w:val="005076E1"/>
    <w:rsid w:val="005229E6"/>
    <w:rsid w:val="00527EE7"/>
    <w:rsid w:val="0054370A"/>
    <w:rsid w:val="00543FE7"/>
    <w:rsid w:val="005651D4"/>
    <w:rsid w:val="005779E3"/>
    <w:rsid w:val="005813CB"/>
    <w:rsid w:val="0058256F"/>
    <w:rsid w:val="00593025"/>
    <w:rsid w:val="005A15F6"/>
    <w:rsid w:val="005B390D"/>
    <w:rsid w:val="005B4E6C"/>
    <w:rsid w:val="005C04DF"/>
    <w:rsid w:val="005C62B9"/>
    <w:rsid w:val="005D5444"/>
    <w:rsid w:val="00606156"/>
    <w:rsid w:val="00621828"/>
    <w:rsid w:val="0062461C"/>
    <w:rsid w:val="0062584B"/>
    <w:rsid w:val="006303BF"/>
    <w:rsid w:val="00642274"/>
    <w:rsid w:val="00660489"/>
    <w:rsid w:val="00663D4A"/>
    <w:rsid w:val="006651BC"/>
    <w:rsid w:val="00665457"/>
    <w:rsid w:val="00673305"/>
    <w:rsid w:val="00681D02"/>
    <w:rsid w:val="00683B9C"/>
    <w:rsid w:val="00692F4F"/>
    <w:rsid w:val="00693805"/>
    <w:rsid w:val="006B529B"/>
    <w:rsid w:val="006C5DBD"/>
    <w:rsid w:val="006D6E05"/>
    <w:rsid w:val="006E77D5"/>
    <w:rsid w:val="00717CD9"/>
    <w:rsid w:val="007217B0"/>
    <w:rsid w:val="00736CB9"/>
    <w:rsid w:val="007374E8"/>
    <w:rsid w:val="007418D9"/>
    <w:rsid w:val="00742BB7"/>
    <w:rsid w:val="00743668"/>
    <w:rsid w:val="007677D8"/>
    <w:rsid w:val="00770F05"/>
    <w:rsid w:val="0078740E"/>
    <w:rsid w:val="00795502"/>
    <w:rsid w:val="00795676"/>
    <w:rsid w:val="00795A75"/>
    <w:rsid w:val="00796844"/>
    <w:rsid w:val="007A2CCA"/>
    <w:rsid w:val="007A32CB"/>
    <w:rsid w:val="007B214D"/>
    <w:rsid w:val="007B3DA0"/>
    <w:rsid w:val="007D2E43"/>
    <w:rsid w:val="007D5B18"/>
    <w:rsid w:val="007E17B0"/>
    <w:rsid w:val="00804824"/>
    <w:rsid w:val="00804DA2"/>
    <w:rsid w:val="008171E9"/>
    <w:rsid w:val="00817377"/>
    <w:rsid w:val="00821AFD"/>
    <w:rsid w:val="00822F84"/>
    <w:rsid w:val="0082433A"/>
    <w:rsid w:val="00834406"/>
    <w:rsid w:val="00844357"/>
    <w:rsid w:val="0084480F"/>
    <w:rsid w:val="0085077C"/>
    <w:rsid w:val="0085346A"/>
    <w:rsid w:val="00853807"/>
    <w:rsid w:val="00875067"/>
    <w:rsid w:val="00882781"/>
    <w:rsid w:val="00884224"/>
    <w:rsid w:val="00885FEA"/>
    <w:rsid w:val="008A6ADF"/>
    <w:rsid w:val="008B20CD"/>
    <w:rsid w:val="008B77F5"/>
    <w:rsid w:val="008C5C9C"/>
    <w:rsid w:val="008C5CAD"/>
    <w:rsid w:val="008D6D5E"/>
    <w:rsid w:val="008D749F"/>
    <w:rsid w:val="009033FE"/>
    <w:rsid w:val="00910A30"/>
    <w:rsid w:val="00923DB2"/>
    <w:rsid w:val="009254F1"/>
    <w:rsid w:val="00926472"/>
    <w:rsid w:val="009270F9"/>
    <w:rsid w:val="00943FBA"/>
    <w:rsid w:val="00946175"/>
    <w:rsid w:val="0095260A"/>
    <w:rsid w:val="0095551B"/>
    <w:rsid w:val="009566EB"/>
    <w:rsid w:val="00964E4D"/>
    <w:rsid w:val="00971FC6"/>
    <w:rsid w:val="00976B30"/>
    <w:rsid w:val="009800A0"/>
    <w:rsid w:val="00981A2E"/>
    <w:rsid w:val="0098439B"/>
    <w:rsid w:val="0099186E"/>
    <w:rsid w:val="00997CBF"/>
    <w:rsid w:val="009C038C"/>
    <w:rsid w:val="009C1B7B"/>
    <w:rsid w:val="009C3300"/>
    <w:rsid w:val="009C3640"/>
    <w:rsid w:val="009C3948"/>
    <w:rsid w:val="009D0DFA"/>
    <w:rsid w:val="009D129A"/>
    <w:rsid w:val="009D690C"/>
    <w:rsid w:val="009E59A0"/>
    <w:rsid w:val="009F3B9E"/>
    <w:rsid w:val="009F3BA1"/>
    <w:rsid w:val="00A0798A"/>
    <w:rsid w:val="00A1441D"/>
    <w:rsid w:val="00A16862"/>
    <w:rsid w:val="00A16BFD"/>
    <w:rsid w:val="00A329EB"/>
    <w:rsid w:val="00A37B02"/>
    <w:rsid w:val="00A37DD3"/>
    <w:rsid w:val="00A50744"/>
    <w:rsid w:val="00A52ECF"/>
    <w:rsid w:val="00A570AA"/>
    <w:rsid w:val="00A60593"/>
    <w:rsid w:val="00AA1C14"/>
    <w:rsid w:val="00AA5DFC"/>
    <w:rsid w:val="00AC2E74"/>
    <w:rsid w:val="00AD0F79"/>
    <w:rsid w:val="00AD4D39"/>
    <w:rsid w:val="00B1525E"/>
    <w:rsid w:val="00B23E7E"/>
    <w:rsid w:val="00B35704"/>
    <w:rsid w:val="00B42868"/>
    <w:rsid w:val="00B51995"/>
    <w:rsid w:val="00B71DEF"/>
    <w:rsid w:val="00B73347"/>
    <w:rsid w:val="00B92B10"/>
    <w:rsid w:val="00B96604"/>
    <w:rsid w:val="00BA4783"/>
    <w:rsid w:val="00BA745F"/>
    <w:rsid w:val="00BA77E0"/>
    <w:rsid w:val="00BB007A"/>
    <w:rsid w:val="00BB0080"/>
    <w:rsid w:val="00BC08CD"/>
    <w:rsid w:val="00BC2AD0"/>
    <w:rsid w:val="00BC3570"/>
    <w:rsid w:val="00BD32D6"/>
    <w:rsid w:val="00BE4066"/>
    <w:rsid w:val="00BE6787"/>
    <w:rsid w:val="00BF3474"/>
    <w:rsid w:val="00C05F5E"/>
    <w:rsid w:val="00C2630A"/>
    <w:rsid w:val="00C53446"/>
    <w:rsid w:val="00C65113"/>
    <w:rsid w:val="00C75917"/>
    <w:rsid w:val="00C863A0"/>
    <w:rsid w:val="00C92A14"/>
    <w:rsid w:val="00CA3B6E"/>
    <w:rsid w:val="00CB5732"/>
    <w:rsid w:val="00CD1226"/>
    <w:rsid w:val="00CD182C"/>
    <w:rsid w:val="00CD2C66"/>
    <w:rsid w:val="00CD7271"/>
    <w:rsid w:val="00CE0599"/>
    <w:rsid w:val="00CE6CE5"/>
    <w:rsid w:val="00CF731B"/>
    <w:rsid w:val="00D031AD"/>
    <w:rsid w:val="00D0666D"/>
    <w:rsid w:val="00D07989"/>
    <w:rsid w:val="00D128C8"/>
    <w:rsid w:val="00D310E3"/>
    <w:rsid w:val="00D3325C"/>
    <w:rsid w:val="00D41121"/>
    <w:rsid w:val="00D52EBB"/>
    <w:rsid w:val="00D541A1"/>
    <w:rsid w:val="00D60300"/>
    <w:rsid w:val="00D6057A"/>
    <w:rsid w:val="00D71ACC"/>
    <w:rsid w:val="00D80969"/>
    <w:rsid w:val="00D849C6"/>
    <w:rsid w:val="00D905F0"/>
    <w:rsid w:val="00D90663"/>
    <w:rsid w:val="00DA2AAD"/>
    <w:rsid w:val="00DA4125"/>
    <w:rsid w:val="00DB03DD"/>
    <w:rsid w:val="00DD16FA"/>
    <w:rsid w:val="00DD38FC"/>
    <w:rsid w:val="00DD4B0B"/>
    <w:rsid w:val="00DD4DB0"/>
    <w:rsid w:val="00E0314B"/>
    <w:rsid w:val="00E0326D"/>
    <w:rsid w:val="00E11424"/>
    <w:rsid w:val="00E229F0"/>
    <w:rsid w:val="00E26DE4"/>
    <w:rsid w:val="00E42C46"/>
    <w:rsid w:val="00E450DB"/>
    <w:rsid w:val="00E62579"/>
    <w:rsid w:val="00E64A86"/>
    <w:rsid w:val="00E8349B"/>
    <w:rsid w:val="00E85007"/>
    <w:rsid w:val="00E87DD7"/>
    <w:rsid w:val="00E91E94"/>
    <w:rsid w:val="00E96DBC"/>
    <w:rsid w:val="00E96E97"/>
    <w:rsid w:val="00E97845"/>
    <w:rsid w:val="00EA0649"/>
    <w:rsid w:val="00EA6420"/>
    <w:rsid w:val="00EB7330"/>
    <w:rsid w:val="00EC1133"/>
    <w:rsid w:val="00EC2510"/>
    <w:rsid w:val="00ED5E2D"/>
    <w:rsid w:val="00EE3483"/>
    <w:rsid w:val="00EE3D6E"/>
    <w:rsid w:val="00EE4BBB"/>
    <w:rsid w:val="00F0180A"/>
    <w:rsid w:val="00F105ED"/>
    <w:rsid w:val="00F12C50"/>
    <w:rsid w:val="00F14F14"/>
    <w:rsid w:val="00F306C4"/>
    <w:rsid w:val="00F33079"/>
    <w:rsid w:val="00F337EC"/>
    <w:rsid w:val="00F43389"/>
    <w:rsid w:val="00F4359D"/>
    <w:rsid w:val="00F47777"/>
    <w:rsid w:val="00F567AE"/>
    <w:rsid w:val="00F75472"/>
    <w:rsid w:val="00F9010C"/>
    <w:rsid w:val="00F92031"/>
    <w:rsid w:val="00F95439"/>
    <w:rsid w:val="00F968D2"/>
    <w:rsid w:val="00FA3466"/>
    <w:rsid w:val="00FB0897"/>
    <w:rsid w:val="00FB0FCE"/>
    <w:rsid w:val="00FC2179"/>
    <w:rsid w:val="00FC4C2B"/>
    <w:rsid w:val="00FC7C5A"/>
    <w:rsid w:val="00FD4ECA"/>
    <w:rsid w:val="00FE158C"/>
    <w:rsid w:val="00FE2EC7"/>
    <w:rsid w:val="00FF04B6"/>
    <w:rsid w:val="00FF6B78"/>
    <w:rsid w:val="0207B676"/>
    <w:rsid w:val="03CB289A"/>
    <w:rsid w:val="0D13E13D"/>
    <w:rsid w:val="12FCEAE4"/>
    <w:rsid w:val="14643B05"/>
    <w:rsid w:val="17E85656"/>
    <w:rsid w:val="1857CE6F"/>
    <w:rsid w:val="1CB402FB"/>
    <w:rsid w:val="27AB4A60"/>
    <w:rsid w:val="365179C6"/>
    <w:rsid w:val="47259579"/>
    <w:rsid w:val="47BFEACF"/>
    <w:rsid w:val="657E750C"/>
    <w:rsid w:val="6D3DE89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styleId="Bibliography">
    <w:name w:val="Bibliography"/>
    <w:basedOn w:val="Normal"/>
    <w:next w:val="Normal"/>
    <w:uiPriority w:val="37"/>
    <w:unhideWhenUsed/>
    <w:rsid w:val="00A16862"/>
    <w:pPr>
      <w:spacing w:after="0" w:line="480" w:lineRule="auto"/>
      <w:ind w:left="720" w:hanging="720"/>
    </w:pPr>
  </w:style>
  <w:style w:type="character" w:styleId="CommentReference">
    <w:name w:val="annotation reference"/>
    <w:basedOn w:val="DefaultParagraphFont"/>
    <w:uiPriority w:val="99"/>
    <w:semiHidden/>
    <w:unhideWhenUsed/>
    <w:rsid w:val="0046398A"/>
    <w:rPr>
      <w:sz w:val="16"/>
      <w:szCs w:val="16"/>
    </w:rPr>
  </w:style>
  <w:style w:type="paragraph" w:styleId="CommentText">
    <w:name w:val="annotation text"/>
    <w:basedOn w:val="Normal"/>
    <w:link w:val="CommentTextChar"/>
    <w:uiPriority w:val="99"/>
    <w:unhideWhenUsed/>
    <w:rsid w:val="0046398A"/>
    <w:pPr>
      <w:spacing w:line="240" w:lineRule="auto"/>
    </w:pPr>
    <w:rPr>
      <w:sz w:val="20"/>
      <w:szCs w:val="20"/>
    </w:rPr>
  </w:style>
  <w:style w:type="character" w:customStyle="1" w:styleId="CommentTextChar">
    <w:name w:val="Comment Text Char"/>
    <w:basedOn w:val="DefaultParagraphFont"/>
    <w:link w:val="CommentText"/>
    <w:uiPriority w:val="99"/>
    <w:rsid w:val="0046398A"/>
    <w:rPr>
      <w:sz w:val="20"/>
      <w:szCs w:val="20"/>
    </w:rPr>
  </w:style>
  <w:style w:type="paragraph" w:styleId="CommentSubject">
    <w:name w:val="annotation subject"/>
    <w:basedOn w:val="CommentText"/>
    <w:next w:val="CommentText"/>
    <w:link w:val="CommentSubjectChar"/>
    <w:uiPriority w:val="99"/>
    <w:semiHidden/>
    <w:unhideWhenUsed/>
    <w:rsid w:val="0046398A"/>
    <w:rPr>
      <w:b/>
      <w:bCs/>
    </w:rPr>
  </w:style>
  <w:style w:type="character" w:customStyle="1" w:styleId="CommentSubjectChar">
    <w:name w:val="Comment Subject Char"/>
    <w:basedOn w:val="CommentTextChar"/>
    <w:link w:val="CommentSubject"/>
    <w:uiPriority w:val="99"/>
    <w:semiHidden/>
    <w:rsid w:val="004639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package" Target="embeddings/Microsoft_PowerPoint_Presentation.pptx"/><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habib.sadri@ju.seg"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1890A032FCC4249B469E93A0E7ADCB0" ma:contentTypeVersion="8" ma:contentTypeDescription="Skapa ett nytt dokument." ma:contentTypeScope="" ma:versionID="eadf615d3904e8493fd0214a90fc7ad5">
  <xsd:schema xmlns:xsd="http://www.w3.org/2001/XMLSchema" xmlns:xs="http://www.w3.org/2001/XMLSchema" xmlns:p="http://schemas.microsoft.com/office/2006/metadata/properties" xmlns:ns2="37867020-ed4d-4f98-8f8f-6b0a3f5e416a" targetNamespace="http://schemas.microsoft.com/office/2006/metadata/properties" ma:root="true" ma:fieldsID="d18d16ecee47c77257e66e3ac921df4e" ns2:_="">
    <xsd:import namespace="37867020-ed4d-4f98-8f8f-6b0a3f5e41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67020-ed4d-4f98-8f8f-6b0a3f5e41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D1BF95-9037-4300-A111-33AD339D69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67020-ed4d-4f98-8f8f-6b0a3f5e4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21F6DB-663F-4417-BE5D-AEFE3D8B169C}">
  <ds:schemaRefs>
    <ds:schemaRef ds:uri="http://schemas.microsoft.com/sharepoint/v3/contenttype/forms"/>
  </ds:schemaRefs>
</ds:datastoreItem>
</file>

<file path=customXml/itemProps3.xml><?xml version="1.0" encoding="utf-8"?>
<ds:datastoreItem xmlns:ds="http://schemas.openxmlformats.org/officeDocument/2006/customXml" ds:itemID="{3F593AF2-AFC5-4E3E-8738-7B2B1F23596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476</TotalTime>
  <Pages>10</Pages>
  <Words>10688</Words>
  <Characters>70649</Characters>
  <Application>Microsoft Office Word</Application>
  <DocSecurity>0</DocSecurity>
  <Lines>1139</Lines>
  <Paragraphs>400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80937</CharactersWithSpaces>
  <SharedDoc>false</SharedDoc>
  <HLinks>
    <vt:vector size="6" baseType="variant">
      <vt:variant>
        <vt:i4>5570617</vt:i4>
      </vt:variant>
      <vt:variant>
        <vt:i4>0</vt:i4>
      </vt:variant>
      <vt:variant>
        <vt:i4>0</vt:i4>
      </vt:variant>
      <vt:variant>
        <vt:i4>5</vt:i4>
      </vt:variant>
      <vt:variant>
        <vt:lpwstr>mailto:habib.sadri@ju.seg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Habib- Sadri Nooshabadi</cp:lastModifiedBy>
  <cp:revision>189</cp:revision>
  <cp:lastPrinted>2026-06-29T10:02:00Z</cp:lastPrinted>
  <dcterms:created xsi:type="dcterms:W3CDTF">2026-04-20T09:31:00Z</dcterms:created>
  <dcterms:modified xsi:type="dcterms:W3CDTF">2026-09-02T17:43:00Z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ZOTERO_PREF_1">
    <vt:lpwstr>&lt;data data-version="3" zotero-version="9.0.4"&gt;&lt;session id="pWEEAsWu"/&gt;&lt;style id="http://www.zotero.org/styles/apa" locale="en-US" hasBibliography="1" bibliographyStyleHasBeenSet="1"/&gt;&lt;prefs&gt;&lt;pref name="fieldType" value="Field"/&gt;&lt;pref name="automaticJourna</vt:lpwstr>
  </property>
  <property fmtid="{D5CDD505-2E9C-101B-9397-08002B2CF9AE}" pid="4" name="ZOTERO_PREF_2">
    <vt:lpwstr>lAbbreviations" value="true"/&gt;&lt;/prefs&gt;&lt;/data&gt;</vt:lpwstr>
  </property>
  <property fmtid="{D5CDD505-2E9C-101B-9397-08002B2CF9AE}" pid="5" name="ContentTypeId">
    <vt:lpwstr>0x01010051890A032FCC4249B469E93A0E7ADCB0</vt:lpwstr>
  </property>
</Properties>
</file>