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12759" w14:textId="77777777" w:rsidR="00835714" w:rsidRPr="002B23D3" w:rsidRDefault="00835714" w:rsidP="002639D6">
      <w:pPr>
        <w:spacing w:line="233" w:lineRule="auto"/>
        <w:jc w:val="center"/>
        <w:rPr>
          <w:b/>
          <w:bCs/>
          <w:sz w:val="28"/>
        </w:rPr>
      </w:pPr>
      <w:r w:rsidRPr="002B23D3">
        <w:rPr>
          <w:b/>
          <w:bCs/>
          <w:sz w:val="28"/>
        </w:rPr>
        <w:t>Data-Centre Delivery Readiness: An Evidence-Governed Framework from Site Suitability to Project Commitment</w:t>
      </w:r>
    </w:p>
    <w:p w14:paraId="43ADD52E" w14:textId="4C4194EF" w:rsidR="00367938" w:rsidRPr="002B23D3" w:rsidRDefault="00F2479D" w:rsidP="002639D6">
      <w:pPr>
        <w:spacing w:line="233" w:lineRule="auto"/>
        <w:jc w:val="center"/>
        <w:rPr>
          <w:sz w:val="22"/>
        </w:rPr>
      </w:pPr>
      <w:r w:rsidRPr="002B23D3">
        <w:rPr>
          <w:sz w:val="22"/>
        </w:rPr>
        <w:t>Sherif Mostafa</w:t>
      </w:r>
    </w:p>
    <w:p w14:paraId="7ED813A2" w14:textId="286B8A1E" w:rsidR="00367938" w:rsidRPr="002B23D3" w:rsidRDefault="00F2479D" w:rsidP="002639D6">
      <w:pPr>
        <w:spacing w:line="233" w:lineRule="auto"/>
        <w:jc w:val="center"/>
        <w:rPr>
          <w:sz w:val="22"/>
        </w:rPr>
      </w:pPr>
      <w:r w:rsidRPr="002B23D3">
        <w:rPr>
          <w:sz w:val="22"/>
        </w:rPr>
        <w:t xml:space="preserve"> School of Engineering and Built Environment, Griffith University, Queensland, Australia</w:t>
      </w:r>
    </w:p>
    <w:p w14:paraId="42762A75" w14:textId="4979CD99" w:rsidR="00367938" w:rsidRPr="002B23D3" w:rsidRDefault="00E026B3" w:rsidP="002639D6">
      <w:pPr>
        <w:spacing w:line="233" w:lineRule="auto"/>
        <w:jc w:val="center"/>
      </w:pPr>
      <w:hyperlink r:id="rId7" w:history="1">
        <w:r w:rsidRPr="00A70B60">
          <w:rPr>
            <w:rStyle w:val="Hyperlink"/>
            <w:sz w:val="18"/>
          </w:rPr>
          <w:t>sherif.mostafa@griffith.edu.au</w:t>
        </w:r>
      </w:hyperlink>
      <w:r w:rsidR="001A3575" w:rsidRPr="002B23D3">
        <w:rPr>
          <w:sz w:val="18"/>
        </w:rPr>
        <w:t xml:space="preserve"> </w:t>
      </w:r>
    </w:p>
    <w:p w14:paraId="4A47A70A" w14:textId="77777777" w:rsidR="00367938" w:rsidRPr="002B23D3" w:rsidRDefault="00F2479D" w:rsidP="00335095">
      <w:pPr>
        <w:spacing w:line="235" w:lineRule="auto"/>
        <w:ind w:left="1134" w:right="1088"/>
        <w:rPr>
          <w:rFonts w:eastAsiaTheme="minorHAnsi" w:cs="Calibri"/>
          <w:b/>
          <w:bCs/>
          <w:sz w:val="28"/>
          <w:szCs w:val="28"/>
        </w:rPr>
      </w:pPr>
      <w:r w:rsidRPr="002B23D3">
        <w:rPr>
          <w:rFonts w:eastAsiaTheme="minorHAnsi" w:cs="Calibri"/>
          <w:b/>
          <w:bCs/>
          <w:sz w:val="28"/>
          <w:szCs w:val="28"/>
        </w:rPr>
        <w:t>ABSTRACT</w:t>
      </w:r>
    </w:p>
    <w:p w14:paraId="5FB3CABB" w14:textId="3BE797FE" w:rsidR="00ED2C1E" w:rsidRPr="0055767F" w:rsidRDefault="00A1734B" w:rsidP="00A1734B">
      <w:pPr>
        <w:spacing w:line="233" w:lineRule="auto"/>
        <w:ind w:left="1134"/>
        <w:jc w:val="both"/>
        <w:rPr>
          <w:rFonts w:eastAsiaTheme="minorHAnsi" w:cs="Calibri"/>
          <w:sz w:val="22"/>
        </w:rPr>
      </w:pPr>
      <w:r w:rsidRPr="0055767F">
        <w:rPr>
          <w:rFonts w:eastAsiaTheme="minorHAnsi" w:cs="Calibri"/>
          <w:sz w:val="22"/>
        </w:rPr>
        <w:t>Data centres increasingly underpin AI-enabled urban and regional systems, yet the reviewed literature is comparatively more developed for site suitability and completed-facility operations than for the intermediate project-commitment decision. This conceptual paper develops the Data-Centre Delivery Readiness (DCDR) Framework for large, grid-connected projects. DCDR is the time-specific, evidence-governed state of a site-configuration alternative indicating whether it is fit to be presented to accountable decision-makers for project commitment. Using a design-theory-informed conceptual model-building approach, it integrates data-centre siting, construction front-end planning, information management, infrastructure justice and decision-support theory</w:t>
      </w:r>
      <w:r w:rsidR="00391B6E" w:rsidRPr="0055767F">
        <w:rPr>
          <w:rFonts w:eastAsiaTheme="minorHAnsi" w:cs="Calibri"/>
          <w:sz w:val="22"/>
        </w:rPr>
        <w:t>. At a defined decision time, each alternative is represented by its site, current configuration, available evidence package and Community Legitimacy and Justice conditions. Six proposed core readiness gates assess Grid and Energisation; Water and Cooling; Planning and Land; Environment and Biodiversity; Programme and Delivery Capability; and Community Legitimacy and Justice. The decision logic is hierarchical: any failed gate produces Reject; otherwise, any Unknown gate or unaccepted critical evidence produces Withhold; one or more accepted Conditional gates produce Conditionally ready; and Commitment-ready requires every gate to Pass, with all required critical evidence accepted by authorised decision-makers. Five design propositions are operationalised through Delivery Decision Requirements, a project-specific Gate Register and a human-authorised decision-support architecture. An illustrative Sydney decision scenario demonstrates how changing evidence and gate conditions produce the four readiness states but does not constitute empirical validation. The contribution is an evidence-governed construction-informatics framework for progressing from site suitability to project commitment, rather than a siting algorithm or implemented AI system. Within the bounded review, no framework was identified that combines these technical, evidential, delivery and justice conditions at the project-commitment stage</w:t>
      </w:r>
      <w:r w:rsidR="00ED2C1E" w:rsidRPr="0055767F">
        <w:rPr>
          <w:rFonts w:eastAsiaTheme="minorHAnsi" w:cs="Calibri"/>
          <w:sz w:val="22"/>
        </w:rPr>
        <w:t>.</w:t>
      </w:r>
    </w:p>
    <w:p w14:paraId="63F87208" w14:textId="56BE5AF2" w:rsidR="00367938" w:rsidRPr="002B23D3" w:rsidRDefault="00F2479D" w:rsidP="00D04335">
      <w:pPr>
        <w:spacing w:line="235" w:lineRule="auto"/>
        <w:ind w:left="1134"/>
        <w:jc w:val="both"/>
      </w:pPr>
      <w:r w:rsidRPr="002B23D3">
        <w:rPr>
          <w:b/>
          <w:bCs/>
          <w:sz w:val="19"/>
        </w:rPr>
        <w:t>Keywords:</w:t>
      </w:r>
      <w:r w:rsidRPr="002B23D3">
        <w:rPr>
          <w:sz w:val="19"/>
        </w:rPr>
        <w:t xml:space="preserve"> </w:t>
      </w:r>
      <w:r w:rsidR="00E848F4" w:rsidRPr="002B23D3">
        <w:rPr>
          <w:sz w:val="19"/>
        </w:rPr>
        <w:t>data-centre delivery readiness; front-end planning; site selection; project commitment; construction informatics; evidence governance; infrastructure justice; data-centre infrastructure</w:t>
      </w:r>
    </w:p>
    <w:p w14:paraId="4D3B789E" w14:textId="77777777" w:rsidR="00367938" w:rsidRPr="002B23D3" w:rsidRDefault="00F2479D" w:rsidP="00D04335">
      <w:pPr>
        <w:pStyle w:val="ListParagraph"/>
        <w:spacing w:line="235" w:lineRule="auto"/>
        <w:ind w:hanging="360"/>
        <w:rPr>
          <w:rFonts w:eastAsiaTheme="minorHAnsi" w:cs="Calibri"/>
          <w:b/>
          <w:bCs/>
          <w:sz w:val="28"/>
          <w:szCs w:val="28"/>
        </w:rPr>
      </w:pPr>
      <w:r w:rsidRPr="002B23D3">
        <w:rPr>
          <w:rFonts w:eastAsiaTheme="minorHAnsi" w:cs="Calibri"/>
          <w:b/>
          <w:bCs/>
          <w:sz w:val="28"/>
          <w:szCs w:val="28"/>
        </w:rPr>
        <w:t>1. INTRODUCTION</w:t>
      </w:r>
    </w:p>
    <w:p w14:paraId="3C936BBC" w14:textId="5386DE66" w:rsidR="00C34E86" w:rsidRPr="00C34E86" w:rsidRDefault="00C34E86" w:rsidP="00342AA0">
      <w:pPr>
        <w:spacing w:line="233" w:lineRule="auto"/>
        <w:ind w:firstLine="851"/>
        <w:jc w:val="both"/>
        <w:rPr>
          <w:rFonts w:eastAsiaTheme="minorHAnsi" w:cs="Calibri"/>
          <w:sz w:val="22"/>
        </w:rPr>
      </w:pPr>
      <w:r w:rsidRPr="00C34E86">
        <w:rPr>
          <w:rFonts w:eastAsiaTheme="minorHAnsi" w:cs="Calibri"/>
          <w:sz w:val="22"/>
        </w:rPr>
        <w:t xml:space="preserve">Artificial intelligence is often represented as immaterial or cloud-based, yet its expansion depends on land, buildings, substations, cooling systems, water pathways and timely electricity access. </w:t>
      </w:r>
      <w:r w:rsidR="00342AA0" w:rsidRPr="00342AA0">
        <w:rPr>
          <w:rFonts w:eastAsiaTheme="minorHAnsi" w:cs="Calibri"/>
          <w:sz w:val="22"/>
        </w:rPr>
        <w:t>Data centres are core urban AI infrastructure whose development redistributes demands on electricity, water, land and labour, while placing additional pressure on public-sector planning and regulatory capacity</w:t>
      </w:r>
      <w:r w:rsidRPr="00C34E86">
        <w:rPr>
          <w:rFonts w:eastAsiaTheme="minorHAnsi" w:cs="Calibri"/>
          <w:sz w:val="22"/>
        </w:rPr>
        <w:t xml:space="preserve"> (Tiwari, 2026; </w:t>
      </w:r>
      <w:proofErr w:type="spellStart"/>
      <w:r w:rsidRPr="00C34E86">
        <w:rPr>
          <w:rFonts w:eastAsiaTheme="minorHAnsi" w:cs="Calibri"/>
          <w:sz w:val="22"/>
        </w:rPr>
        <w:t>Cugurullo</w:t>
      </w:r>
      <w:proofErr w:type="spellEnd"/>
      <w:r w:rsidRPr="00C34E86">
        <w:rPr>
          <w:rFonts w:eastAsiaTheme="minorHAnsi" w:cs="Calibri"/>
          <w:sz w:val="22"/>
        </w:rPr>
        <w:t xml:space="preserve"> et al., 2025). The IEA estimates that data centres consumed about 415 TWh in 2024 and could consume about 945 TWh in its uncertain 2030 Base Case (IEA, 2025). Australia has issued national expectations concerning clean energy or storage, infrastructure cost sharing, flexibility, water, workforce, local capability and community engagement (Australian Government, 2026). By March 2026, 11 large projects representing 5.4 GW were progressing through the National Electricity Market (NEM) transmission connection process, with timing dependent partly on project readiness and system conditions (AEMO, 2026). On 17 August 2026, NSW released a Data Centre Policy Framework and Guidelines covering environmental efficiency, no net community cost, additional energy and water supply, community benefit, supply chains and skills. Projects meeting the measures may receive a 75-day assessment commitment while remaining subject to statutory planning, environmental and consultation requirements (NSW Government, 2026). Federal energy and water requirements were also proposed, while Australian Energy Market Commission (AEMC) Package 2 remained at draft-determination stage (Prime Minister of Australia, 2026a; AEMC, 2026). On 26 August 2026, National Cabinet subsequently agreed that large data centres have material impacts on energy, water and land use, and that the Commonwealth will work with the states and territories to develop </w:t>
      </w:r>
      <w:r w:rsidRPr="00C34E86">
        <w:rPr>
          <w:rFonts w:eastAsiaTheme="minorHAnsi" w:cs="Calibri"/>
          <w:sz w:val="22"/>
        </w:rPr>
        <w:lastRenderedPageBreak/>
        <w:t>consistent mandatory national standards covering those areas alongside skills and training, with legislation planned for early 2027 and detailed thresholds and duties still to be published as of August 2026 (Prime Minister of Australia, 2026b). These developments make evidence maturity and delivery capability front-end construction concerns.</w:t>
      </w:r>
    </w:p>
    <w:p w14:paraId="7E98ED86" w14:textId="77777777" w:rsidR="00C34E86" w:rsidRPr="00C34E86" w:rsidRDefault="00C34E86" w:rsidP="00C34E86">
      <w:pPr>
        <w:spacing w:line="233" w:lineRule="auto"/>
        <w:ind w:firstLine="851"/>
        <w:jc w:val="both"/>
        <w:rPr>
          <w:rFonts w:eastAsiaTheme="minorHAnsi" w:cs="Calibri"/>
          <w:sz w:val="22"/>
        </w:rPr>
      </w:pPr>
      <w:r w:rsidRPr="00C34E86">
        <w:rPr>
          <w:rFonts w:eastAsiaTheme="minorHAnsi" w:cs="Calibri"/>
          <w:sz w:val="22"/>
        </w:rPr>
        <w:t>Research support remains uneven across this decision chain. Regional studies identify the spatial concentration of AI activity and public-cloud capacity (</w:t>
      </w:r>
      <w:proofErr w:type="spellStart"/>
      <w:r w:rsidRPr="00C34E86">
        <w:rPr>
          <w:rFonts w:eastAsiaTheme="minorHAnsi" w:cs="Calibri"/>
          <w:sz w:val="22"/>
        </w:rPr>
        <w:t>Bratanova</w:t>
      </w:r>
      <w:proofErr w:type="spellEnd"/>
      <w:r w:rsidRPr="00C34E86">
        <w:rPr>
          <w:rFonts w:eastAsiaTheme="minorHAnsi" w:cs="Calibri"/>
          <w:sz w:val="22"/>
        </w:rPr>
        <w:t xml:space="preserve"> et al., 2022; </w:t>
      </w:r>
      <w:proofErr w:type="spellStart"/>
      <w:r w:rsidRPr="00C34E86">
        <w:rPr>
          <w:rFonts w:eastAsiaTheme="minorHAnsi" w:cs="Calibri"/>
          <w:sz w:val="22"/>
        </w:rPr>
        <w:t>Lehdonvirta</w:t>
      </w:r>
      <w:proofErr w:type="spellEnd"/>
      <w:r w:rsidRPr="00C34E86">
        <w:rPr>
          <w:rFonts w:eastAsiaTheme="minorHAnsi" w:cs="Calibri"/>
          <w:sz w:val="22"/>
        </w:rPr>
        <w:t xml:space="preserve"> et al., 2025), while site-selection research ranges from multicriteria and geospatial screening (Covas et al., 2013; Daim et al., 2013; Arzumanyan et al., 2025; Tiwari et al., 2026) to joint location-configuration optimisation (Wang et al., 2023) and reliability-gated power-system siting (Kim et al., 2026). Kim et al. (2026), for example, integrate grid-reliability screening with firm, pause and shift flexibility envelopes to identify interconnection-ready locations for large flexible loads. </w:t>
      </w:r>
      <w:proofErr w:type="spellStart"/>
      <w:r w:rsidRPr="00C34E86">
        <w:rPr>
          <w:rFonts w:eastAsiaTheme="minorHAnsi" w:cs="Calibri"/>
          <w:sz w:val="22"/>
        </w:rPr>
        <w:t>Birahim</w:t>
      </w:r>
      <w:proofErr w:type="spellEnd"/>
      <w:r w:rsidRPr="00C34E86">
        <w:rPr>
          <w:rFonts w:eastAsiaTheme="minorHAnsi" w:cs="Calibri"/>
          <w:sz w:val="22"/>
        </w:rPr>
        <w:t xml:space="preserve"> (2026) similarly proposes auditable interconnection obligations relating to clean power, grid services and heat recovery. These studies provide important upstream precedents, but they do not specify how a project should progress from comparative site suitability to evidence-governed project commitment across grid, water, cooling, planning, environmental approval, procurement, programme and community evidence. They also do not formalise evidence maturity, Community Legitimacy and Justice, or retained human authorisation as components of delivery readiness. </w:t>
      </w:r>
    </w:p>
    <w:p w14:paraId="7B86EFA2" w14:textId="4BDD32E7" w:rsidR="00AA6255" w:rsidRPr="002B23D3" w:rsidRDefault="00C34E86" w:rsidP="00C34E86">
      <w:pPr>
        <w:spacing w:line="233" w:lineRule="auto"/>
        <w:ind w:firstLine="851"/>
        <w:jc w:val="both"/>
        <w:rPr>
          <w:rFonts w:eastAsiaTheme="minorHAnsi" w:cs="Calibri"/>
          <w:sz w:val="22"/>
        </w:rPr>
      </w:pPr>
      <w:r w:rsidRPr="00C34E86">
        <w:rPr>
          <w:rFonts w:eastAsiaTheme="minorHAnsi" w:cs="Calibri"/>
          <w:sz w:val="22"/>
        </w:rPr>
        <w:t xml:space="preserve">A site is not delivery-ready merely because it performs well in a regional or spatial screen. Proximity to a substation does not establish spare capacity, connection feasibility or a credible energisation date (Kim et al., 2026; </w:t>
      </w:r>
      <w:proofErr w:type="spellStart"/>
      <w:r w:rsidRPr="00C34E86">
        <w:rPr>
          <w:rFonts w:eastAsiaTheme="minorHAnsi" w:cs="Calibri"/>
          <w:sz w:val="22"/>
        </w:rPr>
        <w:t>Birahim</w:t>
      </w:r>
      <w:proofErr w:type="spellEnd"/>
      <w:r w:rsidRPr="00C34E86">
        <w:rPr>
          <w:rFonts w:eastAsiaTheme="minorHAnsi" w:cs="Calibri"/>
          <w:sz w:val="22"/>
        </w:rPr>
        <w:t xml:space="preserve">, 2026). Proximity to water does not establish servicing capacity, entitlement or an approved cooling pathway, particularly because water demand varies with climate and technical configuration (Lei et al., 2025). Regional environmental screening does not replace statutory mapping, site investigation or project approval (Terrestrial Ecosystem Research Network (TERN), 2026), and consultation activity alone does not establish procedural legitimacy (Gross, 2007; Moffat and Zhang, 2014; </w:t>
      </w:r>
      <w:proofErr w:type="spellStart"/>
      <w:r w:rsidRPr="00C34E86">
        <w:rPr>
          <w:rFonts w:eastAsiaTheme="minorHAnsi" w:cs="Calibri"/>
          <w:sz w:val="22"/>
        </w:rPr>
        <w:t>Monstadt</w:t>
      </w:r>
      <w:proofErr w:type="spellEnd"/>
      <w:r w:rsidRPr="00C34E86">
        <w:rPr>
          <w:rFonts w:eastAsiaTheme="minorHAnsi" w:cs="Calibri"/>
          <w:sz w:val="22"/>
        </w:rPr>
        <w:t xml:space="preserve"> and Saltzman, 2025). Construction front-end planning similarly demonstrates the importance of resolving utilities, approvals, environmental constraints and project unknowns before execution (Bingham and Gibson, 2017). Data-centre delivery extends this problem across tightly coupled energy, water, digital, environmental, social and programme systems</w:t>
      </w:r>
      <w:r w:rsidR="00AA6255" w:rsidRPr="002B23D3">
        <w:rPr>
          <w:rFonts w:eastAsiaTheme="minorHAnsi" w:cs="Calibri"/>
          <w:sz w:val="22"/>
        </w:rPr>
        <w:t>.</w:t>
      </w:r>
    </w:p>
    <w:p w14:paraId="02A40202" w14:textId="713F1594" w:rsidR="00AA6255" w:rsidRPr="002B23D3" w:rsidRDefault="00916DD1" w:rsidP="00EF440C">
      <w:pPr>
        <w:spacing w:line="233" w:lineRule="auto"/>
        <w:ind w:firstLine="851"/>
        <w:jc w:val="both"/>
        <w:rPr>
          <w:rFonts w:eastAsiaTheme="minorHAnsi" w:cs="Calibri"/>
          <w:sz w:val="22"/>
        </w:rPr>
      </w:pPr>
      <w:r w:rsidRPr="00916DD1">
        <w:rPr>
          <w:rFonts w:eastAsiaTheme="minorHAnsi" w:cs="Calibri"/>
          <w:sz w:val="22"/>
        </w:rPr>
        <w:t>Within the reviewed literature, research is comparatively developed at two ends of the data-centre lifecycle. Site selection denotes the upstream process of identifying and comparing locations, while site suitability is the comparative property or assessment outcome assigned to a candidate location. Regional and site-screening studies support this location intelligence through demand mapping, multicriteria assessment, geospatial analysis and joint site-configuration modelling (</w:t>
      </w:r>
      <w:proofErr w:type="spellStart"/>
      <w:r w:rsidRPr="00916DD1">
        <w:rPr>
          <w:rFonts w:eastAsiaTheme="minorHAnsi" w:cs="Calibri"/>
          <w:sz w:val="22"/>
        </w:rPr>
        <w:t>Bratanova</w:t>
      </w:r>
      <w:proofErr w:type="spellEnd"/>
      <w:r w:rsidRPr="00916DD1">
        <w:rPr>
          <w:rFonts w:eastAsiaTheme="minorHAnsi" w:cs="Calibri"/>
          <w:sz w:val="22"/>
        </w:rPr>
        <w:t xml:space="preserve"> et al., 2022; </w:t>
      </w:r>
      <w:proofErr w:type="spellStart"/>
      <w:r w:rsidRPr="00916DD1">
        <w:rPr>
          <w:rFonts w:eastAsiaTheme="minorHAnsi" w:cs="Calibri"/>
          <w:sz w:val="22"/>
        </w:rPr>
        <w:t>Lehdonvirta</w:t>
      </w:r>
      <w:proofErr w:type="spellEnd"/>
      <w:r w:rsidRPr="00916DD1">
        <w:rPr>
          <w:rFonts w:eastAsiaTheme="minorHAnsi" w:cs="Calibri"/>
          <w:sz w:val="22"/>
        </w:rPr>
        <w:t xml:space="preserve"> et al., 2025; Arzumanyan et al., 2025; Tiwari et al., 2026; Wang et al., 2023; Kim et al., 2026). A separate operational literature examines how workload, server efficiency, cooling design and infrastructure configuration affect energy, water and life-cycle performance (Lei et al., 2025; Alissa et al., 2025). The less developed middle is Data-Centre Delivery Readiness: the time-specific condition of a site-configuration alternative supported by decision-fit evidence, legitimacy and delivery capability. Project commitment is the organisational decision boundary at which an authorised body may decide whether that alternative is sufficiently mature to progress. The construction-information problem is therefore not merely to rank alternatives, but to manage time-sensitive evidence, preserve consistent boundaries, trace configuration changes, identify failed or unresolved conditions and withhold commitment when critical evidence is missing or unfit</w:t>
      </w:r>
      <w:r w:rsidR="00AA6255" w:rsidRPr="002B23D3">
        <w:rPr>
          <w:rFonts w:eastAsiaTheme="minorHAnsi" w:cs="Calibri"/>
          <w:sz w:val="22"/>
        </w:rPr>
        <w:t>.</w:t>
      </w:r>
    </w:p>
    <w:p w14:paraId="5FC1E1AC" w14:textId="6B8B6DF0" w:rsidR="00367938" w:rsidRPr="002B23D3" w:rsidRDefault="00AA6255" w:rsidP="00E418CF">
      <w:pPr>
        <w:spacing w:line="233" w:lineRule="auto"/>
        <w:ind w:firstLine="851"/>
        <w:jc w:val="both"/>
        <w:rPr>
          <w:rFonts w:eastAsiaTheme="minorHAnsi" w:cs="Calibri"/>
          <w:sz w:val="22"/>
        </w:rPr>
      </w:pPr>
      <w:r w:rsidRPr="002B23D3">
        <w:rPr>
          <w:rFonts w:eastAsiaTheme="minorHAnsi" w:cs="Calibri"/>
          <w:sz w:val="22"/>
        </w:rPr>
        <w:t>Accordingly, the paper addresses three research questions: (1) How can a data-centre site-configuration alternative be represented so that its site, configuration, evidence maturity and community legitimacy remain distinct but connected over time? (2) Which non-compensatory gates govern progression from a provisionally suitable location to a commitment-ready project? (3) What decision-support behaviours are required when evidence is incomplete, expired, contradictory or incompatible?</w:t>
      </w:r>
      <w:r w:rsidR="00E418CF">
        <w:rPr>
          <w:rFonts w:eastAsiaTheme="minorHAnsi" w:cs="Calibri"/>
          <w:sz w:val="22"/>
        </w:rPr>
        <w:t xml:space="preserve"> </w:t>
      </w:r>
      <w:r w:rsidR="00F549A1" w:rsidRPr="00F549A1">
        <w:rPr>
          <w:rFonts w:eastAsiaTheme="minorHAnsi" w:cs="Calibri"/>
          <w:sz w:val="22"/>
        </w:rPr>
        <w:t>The paper makes four contributions. First, it formalises Data-Centre Delivery Readiness through four states: Reject, Withhold, Conditionally ready and Commitment-ready. Second, it derives five Delivery Decision Requirements that translate the conceptual propositions into observable information-system behaviours. Third, it maps those requirements to a project-specific Gate Register, Evidence and Decision Ledger, and proposed human-</w:t>
      </w:r>
      <w:r w:rsidR="00F549A1" w:rsidRPr="00F549A1">
        <w:rPr>
          <w:rFonts w:eastAsiaTheme="minorHAnsi" w:cs="Calibri"/>
          <w:sz w:val="22"/>
        </w:rPr>
        <w:lastRenderedPageBreak/>
        <w:t>authorised decision-support architecture. Fourth, it uses an illustrative Sydney decision scenario as a design probe. The paper does not claim novelty for siting, optimisation, gate logic, justice concepts or AI individually. Its integration-specific contribution is the formal separation of site suitability from delivery readiness and the use of evidence-sensitive, non-compensatory gates to determine whether a site-configuration alternative should be rejected, withheld, treated as conditionally ready or presented to authorised decision-makers as commitment-ready. The framework is conceptual and empirically testable, not a universal siting index or validated AI artefact</w:t>
      </w:r>
      <w:r w:rsidR="00907946" w:rsidRPr="002B23D3">
        <w:rPr>
          <w:rFonts w:eastAsiaTheme="minorHAnsi" w:cs="Calibri"/>
          <w:sz w:val="22"/>
        </w:rPr>
        <w:t>.</w:t>
      </w:r>
    </w:p>
    <w:p w14:paraId="2BFB6438" w14:textId="77777777" w:rsidR="00367938" w:rsidRPr="002B23D3" w:rsidRDefault="00F2479D" w:rsidP="00EF440C">
      <w:pPr>
        <w:pStyle w:val="ListParagraph"/>
        <w:spacing w:line="233" w:lineRule="auto"/>
        <w:ind w:hanging="360"/>
        <w:rPr>
          <w:rFonts w:eastAsiaTheme="minorHAnsi" w:cs="Calibri"/>
          <w:b/>
          <w:bCs/>
          <w:sz w:val="28"/>
          <w:szCs w:val="28"/>
        </w:rPr>
      </w:pPr>
      <w:r w:rsidRPr="002B23D3">
        <w:rPr>
          <w:rFonts w:eastAsiaTheme="minorHAnsi" w:cs="Calibri"/>
          <w:b/>
          <w:bCs/>
          <w:sz w:val="28"/>
          <w:szCs w:val="28"/>
        </w:rPr>
        <w:t>2. THEORETICAL FOUNDATIONS</w:t>
      </w:r>
    </w:p>
    <w:p w14:paraId="66407EED" w14:textId="77777777" w:rsidR="00367938" w:rsidRPr="002B23D3" w:rsidRDefault="00F2479D" w:rsidP="00EF440C">
      <w:pPr>
        <w:spacing w:line="233" w:lineRule="auto"/>
        <w:rPr>
          <w:rFonts w:eastAsiaTheme="minorHAnsi" w:cs="Calibri"/>
          <w:b/>
          <w:bCs/>
          <w:sz w:val="24"/>
          <w:szCs w:val="24"/>
        </w:rPr>
      </w:pPr>
      <w:r w:rsidRPr="002B23D3">
        <w:rPr>
          <w:rFonts w:eastAsiaTheme="minorHAnsi" w:cs="Calibri"/>
          <w:b/>
          <w:bCs/>
          <w:sz w:val="24"/>
          <w:szCs w:val="24"/>
        </w:rPr>
        <w:t>2.1 Strategic compute need, site suitability and configuration</w:t>
      </w:r>
    </w:p>
    <w:p w14:paraId="11D4B8E1" w14:textId="0D9544E8" w:rsidR="00367938" w:rsidRPr="002B23D3" w:rsidRDefault="00170FD8" w:rsidP="002639D6">
      <w:pPr>
        <w:spacing w:line="233" w:lineRule="auto"/>
        <w:ind w:firstLine="851"/>
        <w:jc w:val="both"/>
        <w:rPr>
          <w:rFonts w:eastAsiaTheme="minorHAnsi" w:cs="Calibri"/>
          <w:sz w:val="22"/>
        </w:rPr>
      </w:pPr>
      <w:r w:rsidRPr="002B23D3">
        <w:rPr>
          <w:rFonts w:eastAsiaTheme="minorHAnsi" w:cs="Calibri"/>
          <w:sz w:val="22"/>
        </w:rPr>
        <w:t>The location question begins at the regional scale. Strategic compute need reflects AI-intensive users, locality and sovereignty requirements, gaps in existing compute supply and expected growth. Australian AI business, patent and labour-market activity is geographically clustered, while public-cloud compute has a measurable physical geography (</w:t>
      </w:r>
      <w:proofErr w:type="spellStart"/>
      <w:r w:rsidRPr="002B23D3">
        <w:rPr>
          <w:rFonts w:eastAsiaTheme="minorHAnsi" w:cs="Calibri"/>
          <w:sz w:val="22"/>
        </w:rPr>
        <w:t>Bratanova</w:t>
      </w:r>
      <w:proofErr w:type="spellEnd"/>
      <w:r w:rsidRPr="002B23D3">
        <w:rPr>
          <w:rFonts w:eastAsiaTheme="minorHAnsi" w:cs="Calibri"/>
          <w:sz w:val="22"/>
        </w:rPr>
        <w:t xml:space="preserve"> et al., 2022; </w:t>
      </w:r>
      <w:proofErr w:type="spellStart"/>
      <w:r w:rsidRPr="002B23D3">
        <w:rPr>
          <w:rFonts w:eastAsiaTheme="minorHAnsi" w:cs="Calibri"/>
          <w:sz w:val="22"/>
        </w:rPr>
        <w:t>Lehdonvirta</w:t>
      </w:r>
      <w:proofErr w:type="spellEnd"/>
      <w:r w:rsidRPr="002B23D3">
        <w:rPr>
          <w:rFonts w:eastAsiaTheme="minorHAnsi" w:cs="Calibri"/>
          <w:sz w:val="22"/>
        </w:rPr>
        <w:t xml:space="preserve"> et al., 2025). These indicators can explain why a city-region may require or attract capacity; they cannot establish parcel viability or whether demand must be hosted locally.</w:t>
      </w:r>
      <w:r w:rsidR="002639D6">
        <w:rPr>
          <w:rFonts w:eastAsiaTheme="minorHAnsi" w:cs="Calibri"/>
          <w:sz w:val="22"/>
        </w:rPr>
        <w:t xml:space="preserve"> </w:t>
      </w:r>
      <w:r w:rsidRPr="002B23D3">
        <w:rPr>
          <w:rFonts w:eastAsiaTheme="minorHAnsi" w:cs="Calibri"/>
          <w:sz w:val="22"/>
        </w:rPr>
        <w:t>Site suitability is a separate comparative construct. Established models consider power, fibre, climate, land, hazards, transport, water, market conditions and social effects. Covas et al. (2013) use outranking to avoid collapsing incommensurable dimensions into one fully compensatory score. Arzumanyan et al. (2025) combine machine-learning feature importance with multicriteria geospatial analysis, while Tiwari et al. (2026) combine spatial clustering with GIS-based suitability analysis. Wang et al. (2023) go further by jointly optimising location, scale, cooling technology and power-supply mix, and Kim et al. (2026) couple reliability gates with firm, pause and shift flexibility envelopes. These studies establish that site and configuration are interdependent. The unresolved construction question is when a site-configuration alternative has sufficient authoritative evidence, institutional legitimacy and programme certainty to support accountable commitment</w:t>
      </w:r>
      <w:r w:rsidR="00F2479D" w:rsidRPr="002B23D3">
        <w:rPr>
          <w:rFonts w:eastAsiaTheme="minorHAnsi" w:cs="Calibri"/>
          <w:sz w:val="22"/>
        </w:rPr>
        <w:t>.</w:t>
      </w:r>
    </w:p>
    <w:p w14:paraId="28C54A69" w14:textId="2FC5A4D9" w:rsidR="00367938" w:rsidRPr="002B23D3" w:rsidRDefault="00F2479D" w:rsidP="00EF440C">
      <w:pPr>
        <w:spacing w:line="233" w:lineRule="auto"/>
        <w:rPr>
          <w:rFonts w:eastAsiaTheme="minorHAnsi" w:cs="Calibri"/>
          <w:b/>
          <w:bCs/>
          <w:sz w:val="24"/>
          <w:szCs w:val="24"/>
        </w:rPr>
      </w:pPr>
      <w:r w:rsidRPr="002B23D3">
        <w:rPr>
          <w:rFonts w:eastAsiaTheme="minorHAnsi" w:cs="Calibri"/>
          <w:b/>
          <w:bCs/>
          <w:sz w:val="24"/>
          <w:szCs w:val="24"/>
        </w:rPr>
        <w:t xml:space="preserve">2.2 </w:t>
      </w:r>
      <w:r w:rsidR="00A7470F" w:rsidRPr="002B23D3">
        <w:rPr>
          <w:rFonts w:eastAsiaTheme="minorHAnsi" w:cs="Calibri"/>
          <w:b/>
          <w:bCs/>
          <w:sz w:val="24"/>
          <w:szCs w:val="24"/>
        </w:rPr>
        <w:t>E</w:t>
      </w:r>
      <w:r w:rsidRPr="002B23D3">
        <w:rPr>
          <w:rFonts w:eastAsiaTheme="minorHAnsi" w:cs="Calibri"/>
          <w:b/>
          <w:bCs/>
          <w:sz w:val="24"/>
          <w:szCs w:val="24"/>
        </w:rPr>
        <w:t>vidence maturity</w:t>
      </w:r>
      <w:r w:rsidR="00A7470F" w:rsidRPr="002B23D3">
        <w:rPr>
          <w:rFonts w:eastAsiaTheme="minorHAnsi" w:cs="Calibri"/>
          <w:b/>
          <w:bCs/>
          <w:sz w:val="24"/>
          <w:szCs w:val="24"/>
        </w:rPr>
        <w:t xml:space="preserve">, environmental context </w:t>
      </w:r>
      <w:r w:rsidRPr="002B23D3">
        <w:rPr>
          <w:rFonts w:eastAsiaTheme="minorHAnsi" w:cs="Calibri"/>
          <w:b/>
          <w:bCs/>
          <w:sz w:val="24"/>
          <w:szCs w:val="24"/>
        </w:rPr>
        <w:t>and delivery readiness</w:t>
      </w:r>
    </w:p>
    <w:p w14:paraId="325A35B2" w14:textId="77777777" w:rsidR="00D07E75" w:rsidRPr="00D07E75" w:rsidRDefault="00D07E75" w:rsidP="00EF440C">
      <w:pPr>
        <w:spacing w:line="233" w:lineRule="auto"/>
        <w:ind w:firstLine="851"/>
        <w:jc w:val="both"/>
        <w:rPr>
          <w:rFonts w:eastAsiaTheme="minorHAnsi" w:cs="Calibri"/>
          <w:sz w:val="22"/>
        </w:rPr>
      </w:pPr>
      <w:r w:rsidRPr="00D07E75">
        <w:rPr>
          <w:rFonts w:eastAsiaTheme="minorHAnsi" w:cs="Calibri"/>
          <w:sz w:val="22"/>
        </w:rPr>
        <w:t xml:space="preserve">Delivery readiness marks the transition from a plausible site option to an evidence-supported project commitment. Evidence maturity concerns authority, status, version, scope, boundary and decision relevance, not merely document availability. Evidence acceptance is a project-governance judgement of fitness for the stated decision purpose against the approved Gate Register, and remains conditional on scope, version, validity and decision time. Connection offers, water advice, planning conditions, approvals, cost plans, procurement status and programmes can mature or expire at different rates. This extends ISO 19650 information-management principles into an explicit commitment test (ISO, 2018a, 2018b) and reflects data centres' multiple infrastructural </w:t>
      </w:r>
      <w:proofErr w:type="spellStart"/>
      <w:r w:rsidRPr="00D07E75">
        <w:rPr>
          <w:rFonts w:eastAsiaTheme="minorHAnsi" w:cs="Calibri"/>
          <w:sz w:val="22"/>
        </w:rPr>
        <w:t>timescapes</w:t>
      </w:r>
      <w:proofErr w:type="spellEnd"/>
      <w:r w:rsidRPr="00D07E75">
        <w:rPr>
          <w:rFonts w:eastAsiaTheme="minorHAnsi" w:cs="Calibri"/>
          <w:sz w:val="22"/>
        </w:rPr>
        <w:t xml:space="preserve"> (</w:t>
      </w:r>
      <w:proofErr w:type="spellStart"/>
      <w:r w:rsidRPr="00D07E75">
        <w:rPr>
          <w:rFonts w:eastAsiaTheme="minorHAnsi" w:cs="Calibri"/>
          <w:sz w:val="22"/>
        </w:rPr>
        <w:t>Velkova</w:t>
      </w:r>
      <w:proofErr w:type="spellEnd"/>
      <w:r w:rsidRPr="00D07E75">
        <w:rPr>
          <w:rFonts w:eastAsiaTheme="minorHAnsi" w:cs="Calibri"/>
          <w:sz w:val="22"/>
        </w:rPr>
        <w:t xml:space="preserve"> and Plantin, 2023). The August 2026 NSW Guidelines similarly turn broad policy expectations into evidence requirements, but do not by themselves establish project readiness (NSW Government, 2026).</w:t>
      </w:r>
    </w:p>
    <w:p w14:paraId="0EC6A390" w14:textId="49CAA8DB" w:rsidR="00367938" w:rsidRPr="002B23D3" w:rsidRDefault="00D07E75" w:rsidP="00EF440C">
      <w:pPr>
        <w:spacing w:line="233" w:lineRule="auto"/>
        <w:ind w:firstLine="851"/>
        <w:jc w:val="both"/>
      </w:pPr>
      <w:r w:rsidRPr="00D07E75">
        <w:rPr>
          <w:rFonts w:eastAsiaTheme="minorHAnsi" w:cs="Calibri"/>
          <w:sz w:val="22"/>
        </w:rPr>
        <w:t>The environmental context illustrates the distinction between screening and commitment evidence. TERN’s Landscape Monitoring platform provides regional climate, fire, vegetation, soil and terrain products that can support preliminary comparisons of cooling climate, water balance, drainage and earthworks exposure, ecological sensitivity and bushfire context (TERN, 2026). Lei et al. (2025) show that workload-level water use varies substantially with server efficiency, grid water intensity, utilisation, cooling design and climate. Water and environmental performance are therefore site- and configuration-specific. TERN products do not determine statutory hazard status, water entitlement, geotechnical conditions or environmental approval. Before commitment, screening information must be corroborated by statutory mapping, utility advice, site investigation, ecological surveys and accepted design evidence</w:t>
      </w:r>
      <w:r w:rsidR="003C6F3B" w:rsidRPr="002B23D3">
        <w:t>.</w:t>
      </w:r>
    </w:p>
    <w:p w14:paraId="757D9723" w14:textId="77777777" w:rsidR="00367938" w:rsidRPr="002B23D3" w:rsidRDefault="00F2479D" w:rsidP="00D04335">
      <w:pPr>
        <w:spacing w:line="235" w:lineRule="auto"/>
        <w:rPr>
          <w:rFonts w:eastAsiaTheme="minorHAnsi" w:cs="Calibri"/>
          <w:b/>
          <w:bCs/>
          <w:sz w:val="24"/>
          <w:szCs w:val="24"/>
        </w:rPr>
      </w:pPr>
      <w:r w:rsidRPr="002B23D3">
        <w:rPr>
          <w:rFonts w:eastAsiaTheme="minorHAnsi" w:cs="Calibri"/>
          <w:b/>
          <w:bCs/>
          <w:sz w:val="24"/>
          <w:szCs w:val="24"/>
        </w:rPr>
        <w:t>2.3 Community Legitimacy and Justice</w:t>
      </w:r>
    </w:p>
    <w:p w14:paraId="0CEE8CF5" w14:textId="77777777" w:rsidR="00342EE6" w:rsidRPr="002B23D3" w:rsidRDefault="00342EE6" w:rsidP="002639D6">
      <w:pPr>
        <w:spacing w:line="233" w:lineRule="auto"/>
        <w:ind w:firstLine="238"/>
        <w:jc w:val="both"/>
        <w:rPr>
          <w:rFonts w:eastAsiaTheme="minorHAnsi" w:cs="Calibri"/>
          <w:sz w:val="22"/>
        </w:rPr>
      </w:pPr>
      <w:r w:rsidRPr="002B23D3">
        <w:rPr>
          <w:rFonts w:eastAsiaTheme="minorHAnsi" w:cs="Calibri"/>
          <w:sz w:val="22"/>
        </w:rPr>
        <w:t xml:space="preserve">Data-centre location is also a question of social sustainability and democratic legitimacy. </w:t>
      </w:r>
      <w:proofErr w:type="spellStart"/>
      <w:r w:rsidRPr="002B23D3">
        <w:rPr>
          <w:rFonts w:eastAsiaTheme="minorHAnsi" w:cs="Calibri"/>
          <w:sz w:val="22"/>
        </w:rPr>
        <w:t>Monstadt</w:t>
      </w:r>
      <w:proofErr w:type="spellEnd"/>
      <w:r w:rsidRPr="002B23D3">
        <w:rPr>
          <w:rFonts w:eastAsiaTheme="minorHAnsi" w:cs="Calibri"/>
          <w:sz w:val="22"/>
        </w:rPr>
        <w:t xml:space="preserve"> and Saltzman (2025) trace how conflicts over electricity, land, resources and residual heat prompted governance reform in the Amsterdam Metropolitan Area. A recent governance review likewise synthesises siting criteria, local impacts and anticipatory governance for data centres (Young, 2026); it does not, however, provide readiness states, evidence-maturity logic, non-compensatory gate semantics or retained human authorisation, which are the present framework's contribution. Rone (2024) documents contestation over </w:t>
      </w:r>
      <w:r w:rsidRPr="002B23D3">
        <w:rPr>
          <w:rFonts w:eastAsiaTheme="minorHAnsi" w:cs="Calibri"/>
          <w:sz w:val="22"/>
        </w:rPr>
        <w:lastRenderedPageBreak/>
        <w:t>energy and water use, landscape effects, secrecy, employment, local benefits and participation in North Holland, while Ngata et al. (2025) report health concerns, water use, noise, infrastructure strain and economic burdens around Northern Virginia's Data Center Alley. More general infrastructure research shows that procedural and outcome fairness affect legitimacy, while trust, contact quality, perceived risks and benefits shape social licence (Gross, 2007; Moffat and Zhang, 2014). Objection counts therefore measure mobilisation, not the quality and fairness of the project-community relationship.</w:t>
      </w:r>
    </w:p>
    <w:p w14:paraId="4612AA04" w14:textId="36A2522B" w:rsidR="00367938" w:rsidRPr="002B23D3" w:rsidRDefault="00342EE6" w:rsidP="002639D6">
      <w:pPr>
        <w:spacing w:line="233" w:lineRule="auto"/>
        <w:ind w:firstLine="238"/>
        <w:jc w:val="both"/>
        <w:rPr>
          <w:rFonts w:eastAsiaTheme="minorHAnsi" w:cs="Calibri"/>
          <w:sz w:val="22"/>
        </w:rPr>
      </w:pPr>
      <w:r w:rsidRPr="002B23D3">
        <w:rPr>
          <w:rFonts w:eastAsiaTheme="minorHAnsi" w:cs="Calibri"/>
          <w:sz w:val="22"/>
        </w:rPr>
        <w:t>This paper treats Community Legitimacy and Justice (CLJ) as a multidimensional governance condition comprising procedural justice, distribution of burdens and benefits, recognition of affected groups, and trust and accountability. The first three dimensions build on the established distributional, recognition and procedural framing of energy justice (Jenkins et al., 2016). Distribution includes employment, training, procurement opportunities, infrastructure costs and environmental burdens. In Australian applications, recognition should include Traditional Owners and First Nations interests where land, water, cultural heritage or place-based rights are affected. CLJ is not a universal score or a mechanism for optimising away opposition; it can alter the preferred site, configuration, mitigation, commitments or readiness classification over time</w:t>
      </w:r>
      <w:r w:rsidR="00D62C74" w:rsidRPr="002B23D3">
        <w:rPr>
          <w:rFonts w:eastAsiaTheme="minorHAnsi" w:cs="Calibri"/>
          <w:sz w:val="22"/>
        </w:rPr>
        <w:t>.</w:t>
      </w:r>
    </w:p>
    <w:p w14:paraId="55113764" w14:textId="02C4FF3E" w:rsidR="00367938" w:rsidRPr="002B23D3" w:rsidRDefault="00F2479D" w:rsidP="00D04335">
      <w:pPr>
        <w:pStyle w:val="ListParagraph"/>
        <w:spacing w:line="235" w:lineRule="auto"/>
        <w:ind w:hanging="360"/>
        <w:rPr>
          <w:rFonts w:eastAsiaTheme="minorHAnsi" w:cs="Calibri"/>
          <w:b/>
          <w:bCs/>
          <w:sz w:val="28"/>
          <w:szCs w:val="28"/>
        </w:rPr>
      </w:pPr>
      <w:r w:rsidRPr="002B23D3">
        <w:rPr>
          <w:rFonts w:eastAsiaTheme="minorHAnsi" w:cs="Calibri"/>
          <w:b/>
          <w:bCs/>
          <w:sz w:val="28"/>
          <w:szCs w:val="28"/>
        </w:rPr>
        <w:t>3. RESEARCH DESIGN</w:t>
      </w:r>
      <w:r w:rsidR="00342EE6" w:rsidRPr="002B23D3">
        <w:rPr>
          <w:rFonts w:eastAsiaTheme="minorHAnsi" w:cs="Calibri"/>
          <w:b/>
          <w:bCs/>
          <w:sz w:val="28"/>
          <w:szCs w:val="28"/>
        </w:rPr>
        <w:t xml:space="preserve"> </w:t>
      </w:r>
      <w:r w:rsidR="00342EE6" w:rsidRPr="002B23D3">
        <w:rPr>
          <w:rFonts w:eastAsiaTheme="minorHAnsi" w:cs="Calibri"/>
          <w:b/>
          <w:bCs/>
          <w:sz w:val="28"/>
          <w:szCs w:val="28"/>
        </w:rPr>
        <w:tab/>
        <w:t>AND FRAMEWORK DEVELOPMENT</w:t>
      </w:r>
    </w:p>
    <w:p w14:paraId="655EAE69" w14:textId="77777777" w:rsidR="00B739D4" w:rsidRPr="00B739D4" w:rsidRDefault="00B739D4" w:rsidP="002639D6">
      <w:pPr>
        <w:spacing w:line="233" w:lineRule="auto"/>
        <w:ind w:firstLine="851"/>
        <w:jc w:val="both"/>
        <w:rPr>
          <w:rFonts w:eastAsiaTheme="minorHAnsi" w:cs="Calibri"/>
          <w:sz w:val="22"/>
        </w:rPr>
      </w:pPr>
      <w:r w:rsidRPr="00B739D4">
        <w:rPr>
          <w:rFonts w:eastAsiaTheme="minorHAnsi" w:cs="Calibri"/>
          <w:sz w:val="22"/>
        </w:rPr>
        <w:t>This study adopts a design-theory-informed conceptual model-building approach. Jaakkola (2020) supports development of constructs, relationships and decision rules, while Gregor and Jones (2007) guide specification of purpose, propositions, design principles and illustrative instantiation. The unit of analysis is a site-configuration alternative at a stated decision time. A bounded, purposive review of academic and primary policy sources available to 25 August 2026 combined data-centre terminology with site selection, front-end planning, project delivery, information management, infrastructure justice, community legitimacy and decision support across major scholarly databases, selected CIB proceedings and Australian policy sources. The review was conceptual rather than systematic or exhaustive.</w:t>
      </w:r>
    </w:p>
    <w:p w14:paraId="1E5858B4" w14:textId="1DD07DCA" w:rsidR="00367938" w:rsidRPr="002B23D3" w:rsidRDefault="00EE1B45" w:rsidP="00EE1B45">
      <w:pPr>
        <w:spacing w:line="233" w:lineRule="auto"/>
        <w:ind w:firstLine="851"/>
        <w:jc w:val="both"/>
        <w:rPr>
          <w:rFonts w:eastAsiaTheme="minorHAnsi" w:cs="Calibri"/>
          <w:sz w:val="22"/>
        </w:rPr>
      </w:pPr>
      <w:r w:rsidRPr="00EE1B45">
        <w:rPr>
          <w:rFonts w:eastAsiaTheme="minorHAnsi" w:cs="Calibri"/>
          <w:sz w:val="22"/>
        </w:rPr>
        <w:t>Framework development followed three analytical steps</w:t>
      </w:r>
      <w:r w:rsidR="00B739D4" w:rsidRPr="00B739D4">
        <w:rPr>
          <w:rFonts w:eastAsiaTheme="minorHAnsi" w:cs="Calibri"/>
          <w:sz w:val="22"/>
        </w:rPr>
        <w:t>. First, the literature was synthesised to distinguish site suitability, configuration, evidence maturity, CLJ and DCDR, addressing RQ1. Second, each delivery domain was examined in terms of its critical constraint, affected decision, required evidence and consequence of missing or conflicting evidence, producing the six non-compensatory gates for RQ2. Third, the constructs and gate logic were translated into four readiness states, five Delivery Decision Requirements, a Gate Register and a human-authorised decision-support architecture, addressing RQ3. A deliberately constructed Sydney scenario was used as a design probe for explanatory completeness, not predictive accuracy, representativeness or system performance. Novelty claims are bounded to the reviewed sources</w:t>
      </w:r>
      <w:r w:rsidR="00D62C74" w:rsidRPr="002B23D3">
        <w:rPr>
          <w:rFonts w:eastAsiaTheme="minorHAnsi" w:cs="Calibri"/>
          <w:sz w:val="22"/>
        </w:rPr>
        <w:t>.</w:t>
      </w:r>
    </w:p>
    <w:p w14:paraId="3E4FA3BE" w14:textId="55F80C4F" w:rsidR="00367938" w:rsidRPr="002B23D3" w:rsidRDefault="00F2479D" w:rsidP="006A7A55">
      <w:pPr>
        <w:pStyle w:val="ListParagraph"/>
        <w:spacing w:line="235" w:lineRule="auto"/>
        <w:ind w:hanging="360"/>
        <w:rPr>
          <w:rFonts w:eastAsiaTheme="minorHAnsi" w:cs="Calibri"/>
          <w:b/>
          <w:bCs/>
          <w:sz w:val="28"/>
          <w:szCs w:val="28"/>
        </w:rPr>
      </w:pPr>
      <w:r w:rsidRPr="002B23D3">
        <w:rPr>
          <w:rFonts w:eastAsiaTheme="minorHAnsi" w:cs="Calibri"/>
          <w:b/>
          <w:bCs/>
          <w:sz w:val="28"/>
          <w:szCs w:val="28"/>
        </w:rPr>
        <w:t xml:space="preserve">4. </w:t>
      </w:r>
      <w:r w:rsidR="00B16F74" w:rsidRPr="002B23D3">
        <w:rPr>
          <w:rFonts w:eastAsiaTheme="minorHAnsi" w:cs="Calibri"/>
          <w:b/>
          <w:bCs/>
          <w:sz w:val="28"/>
          <w:szCs w:val="28"/>
        </w:rPr>
        <w:t>DATA-CENTRE DELIVERY READINESS FRAMEWORK</w:t>
      </w:r>
    </w:p>
    <w:p w14:paraId="10498C43" w14:textId="02CA3DF2" w:rsidR="00367938" w:rsidRPr="002B23D3" w:rsidRDefault="00F2479D" w:rsidP="006A7A55">
      <w:pPr>
        <w:spacing w:line="235" w:lineRule="auto"/>
        <w:rPr>
          <w:rFonts w:eastAsiaTheme="minorHAnsi" w:cs="Calibri"/>
          <w:b/>
          <w:bCs/>
          <w:sz w:val="24"/>
          <w:szCs w:val="24"/>
        </w:rPr>
      </w:pPr>
      <w:r w:rsidRPr="002B23D3">
        <w:rPr>
          <w:rFonts w:eastAsiaTheme="minorHAnsi" w:cs="Calibri"/>
          <w:b/>
          <w:bCs/>
          <w:sz w:val="24"/>
          <w:szCs w:val="24"/>
        </w:rPr>
        <w:t xml:space="preserve">4.1 </w:t>
      </w:r>
      <w:r w:rsidR="00B739D4">
        <w:rPr>
          <w:rFonts w:eastAsiaTheme="minorHAnsi" w:cs="Calibri"/>
          <w:b/>
          <w:bCs/>
          <w:sz w:val="24"/>
          <w:szCs w:val="24"/>
        </w:rPr>
        <w:t>S</w:t>
      </w:r>
      <w:r w:rsidR="007015AA" w:rsidRPr="002B23D3">
        <w:rPr>
          <w:rFonts w:eastAsiaTheme="minorHAnsi" w:cs="Calibri"/>
          <w:b/>
          <w:bCs/>
          <w:sz w:val="24"/>
          <w:szCs w:val="24"/>
        </w:rPr>
        <w:t xml:space="preserve">ite-configuration alternative </w:t>
      </w:r>
      <w:r w:rsidR="003469AD" w:rsidRPr="002B23D3">
        <w:rPr>
          <w:rFonts w:eastAsiaTheme="minorHAnsi" w:cs="Calibri"/>
          <w:b/>
          <w:bCs/>
          <w:sz w:val="24"/>
          <w:szCs w:val="24"/>
        </w:rPr>
        <w:t>decision state and readiness function</w:t>
      </w:r>
    </w:p>
    <w:p w14:paraId="66C5D1DB" w14:textId="735B2B65" w:rsidR="00233ABA" w:rsidRPr="002B23D3" w:rsidRDefault="00413F08" w:rsidP="0055767F">
      <w:pPr>
        <w:spacing w:line="233" w:lineRule="auto"/>
        <w:ind w:firstLine="289"/>
        <w:jc w:val="both"/>
      </w:pPr>
      <w:r w:rsidRPr="00413F08">
        <w:rPr>
          <w:rFonts w:eastAsiaTheme="minorHAnsi" w:cs="Calibri"/>
          <w:sz w:val="22"/>
          <w:lang w:val="en-AU"/>
        </w:rPr>
        <w:t>Data-Centre Delivery Readiness is evaluated for a site-configuration alternative rather than for a site in isolation.</w:t>
      </w:r>
      <w:r>
        <w:rPr>
          <w:rFonts w:eastAsiaTheme="minorHAnsi" w:cs="Calibri"/>
          <w:sz w:val="22"/>
          <w:lang w:val="en-AU"/>
        </w:rPr>
        <w:t xml:space="preserve"> </w:t>
      </w:r>
      <w:r w:rsidR="0055767F">
        <w:rPr>
          <w:rFonts w:eastAsiaTheme="minorHAnsi" w:cs="Calibri"/>
          <w:sz w:val="22"/>
          <w:lang w:val="en-AU"/>
        </w:rPr>
        <w:t>D</w:t>
      </w:r>
      <w:r w:rsidRPr="00413F08">
        <w:rPr>
          <w:rFonts w:eastAsiaTheme="minorHAnsi" w:cs="Calibri"/>
          <w:sz w:val="22"/>
          <w:lang w:val="en-AU"/>
        </w:rPr>
        <w:t xml:space="preserve">ata-Centre Delivery Readiness is the time-specific, evidence-governed state of a site-configuration alternative indicating whether it is fit to be presented to accountable decision-makers for project </w:t>
      </w:r>
      <w:r w:rsidR="0055767F">
        <w:rPr>
          <w:rFonts w:eastAsiaTheme="minorHAnsi" w:cs="Calibri"/>
          <w:sz w:val="22"/>
          <w:lang w:val="en-AU"/>
        </w:rPr>
        <w:t>commitment.</w:t>
      </w:r>
      <w:r w:rsidR="00E42CCA" w:rsidRPr="00E42CCA">
        <w:rPr>
          <w:rFonts w:eastAsiaTheme="minorHAnsi" w:cs="Calibri"/>
          <w:sz w:val="22"/>
        </w:rPr>
        <w:t xml:space="preserve"> For alternative </w:t>
      </w:r>
      <w:proofErr w:type="spellStart"/>
      <w:r w:rsidR="00E42CCA" w:rsidRPr="00E42CCA">
        <w:rPr>
          <w:rFonts w:eastAsiaTheme="minorHAnsi" w:cs="Calibri"/>
          <w:sz w:val="22"/>
        </w:rPr>
        <w:t>i</w:t>
      </w:r>
      <w:proofErr w:type="spellEnd"/>
      <w:r w:rsidR="00E42CCA" w:rsidRPr="00E42CCA">
        <w:rPr>
          <w:rFonts w:eastAsiaTheme="minorHAnsi" w:cs="Calibri"/>
          <w:sz w:val="22"/>
        </w:rPr>
        <w:t xml:space="preserve"> at decision time t, Equation (1) defines the candidate decision state as the combination of the site, its time-varying physical and operating configuration, the evidence package available at that time, and the structured Community Legitimacy and Justice condition</w:t>
      </w:r>
      <w:r w:rsidR="00B66D15" w:rsidRPr="002B23D3">
        <w:rPr>
          <w:rFonts w:eastAsiaTheme="minorHAnsi" w:cs="Calibri"/>
          <w:sz w:val="22"/>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8323"/>
        <w:gridCol w:w="604"/>
      </w:tblGrid>
      <w:tr w:rsidR="00233ABA" w:rsidRPr="002B23D3" w14:paraId="3EF3A980" w14:textId="77777777" w:rsidTr="00233ABA">
        <w:trPr>
          <w:cantSplit/>
          <w:jc w:val="center"/>
        </w:trPr>
        <w:tc>
          <w:tcPr>
            <w:tcW w:w="8323" w:type="dxa"/>
            <w:tcMar>
              <w:top w:w="0" w:type="dxa"/>
              <w:left w:w="10" w:type="dxa"/>
              <w:bottom w:w="0" w:type="dxa"/>
              <w:right w:w="10" w:type="dxa"/>
            </w:tcMar>
            <w:vAlign w:val="center"/>
          </w:tcPr>
          <w:p w14:paraId="02029B7C" w14:textId="08C81ADF" w:rsidR="00233ABA" w:rsidRPr="002B23D3" w:rsidRDefault="00C41C24" w:rsidP="006A7A55">
            <w:pPr>
              <w:spacing w:line="235" w:lineRule="auto"/>
              <w:jc w:val="center"/>
              <w:rPr>
                <w:rFonts w:cs="Calibri"/>
              </w:rPr>
            </w:pPr>
            <m:oMathPara>
              <m:oMath>
                <m:sSub>
                  <m:sSubPr>
                    <m:ctrlPr>
                      <w:rPr>
                        <w:rFonts w:ascii="Cambria Math" w:hAnsi="Cambria Math" w:cs="Calibri"/>
                        <w:i/>
                      </w:rPr>
                    </m:ctrlPr>
                  </m:sSubPr>
                  <m:e>
                    <m:r>
                      <w:rPr>
                        <w:rFonts w:ascii="Cambria Math" w:hAnsi="Cambria Math" w:cs="Calibri"/>
                      </w:rPr>
                      <m:t>a</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 xml:space="preserve"> </m:t>
                    </m:r>
                    <m:r>
                      <w:rPr>
                        <w:rFonts w:ascii="Cambria Math" w:hAnsi="Cambria Math" w:cs="Calibri"/>
                      </w:rPr>
                      <m:t>S</m:t>
                    </m:r>
                  </m:e>
                  <m:sub>
                    <m:r>
                      <w:rPr>
                        <w:rFonts w:ascii="Cambria Math" w:hAnsi="Cambria Math" w:cs="Calibri"/>
                      </w:rPr>
                      <m:t>i</m:t>
                    </m:r>
                  </m:sub>
                </m:sSub>
                <m:r>
                  <w:rPr>
                    <w:rFonts w:ascii="Cambria Math" w:hAnsi="Cambria Math" w:cs="Calibri"/>
                  </w:rPr>
                  <m:t xml:space="preserve">, </m:t>
                </m:r>
                <m:sSub>
                  <m:sSubPr>
                    <m:ctrlPr>
                      <w:rPr>
                        <w:rFonts w:ascii="Cambria Math" w:hAnsi="Cambria Math" w:cs="Calibri"/>
                        <w:i/>
                      </w:rPr>
                    </m:ctrlPr>
                  </m:sSubPr>
                  <m:e>
                    <m:r>
                      <w:rPr>
                        <w:rFonts w:ascii="Cambria Math" w:hAnsi="Cambria Math" w:cs="Calibri"/>
                      </w:rPr>
                      <m:t xml:space="preserve"> </m:t>
                    </m:r>
                    <m:r>
                      <w:rPr>
                        <w:rFonts w:ascii="Cambria Math" w:hAnsi="Cambria Math" w:cs="Calibri"/>
                      </w:rPr>
                      <m:t>C</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 xml:space="preserve"> </m:t>
                    </m:r>
                    <m:r>
                      <w:rPr>
                        <w:rFonts w:ascii="Cambria Math" w:hAnsi="Cambria Math" w:cs="Calibri"/>
                      </w:rPr>
                      <m:t>E</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i/>
                      </w:rPr>
                    </m:ctrlPr>
                  </m:sSubPr>
                  <m:e>
                    <m:r>
                      <w:rPr>
                        <w:rFonts w:ascii="Cambria Math" w:hAnsi="Cambria Math" w:cs="Calibri"/>
                      </w:rPr>
                      <m:t xml:space="preserve"> </m:t>
                    </m:r>
                    <m:r>
                      <w:rPr>
                        <w:rFonts w:ascii="Cambria Math" w:hAnsi="Cambria Math" w:cs="Calibri"/>
                      </w:rPr>
                      <m:t>J</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oMath>
            </m:oMathPara>
          </w:p>
        </w:tc>
        <w:tc>
          <w:tcPr>
            <w:tcW w:w="604" w:type="dxa"/>
            <w:tcMar>
              <w:top w:w="0" w:type="dxa"/>
              <w:left w:w="10" w:type="dxa"/>
              <w:bottom w:w="0" w:type="dxa"/>
              <w:right w:w="10" w:type="dxa"/>
            </w:tcMar>
            <w:vAlign w:val="center"/>
          </w:tcPr>
          <w:p w14:paraId="391392CE" w14:textId="6337B837" w:rsidR="00233ABA" w:rsidRPr="002B23D3" w:rsidRDefault="00233ABA" w:rsidP="006A7A55">
            <w:pPr>
              <w:spacing w:line="235" w:lineRule="auto"/>
              <w:jc w:val="right"/>
              <w:rPr>
                <w:rFonts w:cs="Calibri"/>
              </w:rPr>
            </w:pPr>
            <w:r w:rsidRPr="002B23D3">
              <w:rPr>
                <w:rFonts w:cs="Calibri"/>
              </w:rPr>
              <w:t>(1)</w:t>
            </w:r>
          </w:p>
        </w:tc>
      </w:tr>
    </w:tbl>
    <w:p w14:paraId="00A17B46" w14:textId="55256082" w:rsidR="005C1C95" w:rsidRPr="002B23D3" w:rsidRDefault="005C1C95" w:rsidP="006A7A55">
      <w:pPr>
        <w:spacing w:line="235" w:lineRule="auto"/>
        <w:ind w:firstLine="288"/>
        <w:jc w:val="both"/>
        <w:rPr>
          <w:lang w:val="en-AU"/>
        </w:rPr>
      </w:pPr>
      <w:r w:rsidRPr="002B23D3">
        <w:rPr>
          <w:lang w:val="en-AU"/>
        </w:rPr>
        <w:t>where:</w:t>
      </w:r>
    </w:p>
    <w:p w14:paraId="4E02CB3A" w14:textId="79D0F378" w:rsidR="005C1C95" w:rsidRPr="002B23D3" w:rsidRDefault="00C41C24" w:rsidP="006A7A55">
      <w:pPr>
        <w:numPr>
          <w:ilvl w:val="0"/>
          <w:numId w:val="3"/>
        </w:numPr>
        <w:spacing w:line="235" w:lineRule="auto"/>
        <w:jc w:val="both"/>
        <w:rPr>
          <w:lang w:val="en-AU"/>
        </w:rPr>
      </w:pPr>
      <m:oMath>
        <m:sSub>
          <m:sSubPr>
            <m:ctrlPr>
              <w:rPr>
                <w:rFonts w:ascii="Cambria Math" w:hAnsi="Cambria Math"/>
                <w:lang w:val="en-AU"/>
              </w:rPr>
            </m:ctrlPr>
          </m:sSubPr>
          <m:e>
            <m:r>
              <w:rPr>
                <w:rFonts w:ascii="Cambria Math" w:hAnsi="Cambria Math"/>
                <w:lang w:val="en-AU"/>
              </w:rPr>
              <m:t>a</m:t>
            </m:r>
          </m:e>
          <m:sub>
            <m:r>
              <w:rPr>
                <w:rFonts w:ascii="Cambria Math" w:hAnsi="Cambria Math"/>
                <w:lang w:val="en-AU"/>
              </w:rPr>
              <m:t>i</m:t>
            </m:r>
            <m:r>
              <w:rPr>
                <w:rFonts w:ascii="Cambria Math" w:hAnsi="Cambria Math"/>
                <w:lang w:val="en-AU"/>
              </w:rPr>
              <m:t>,</m:t>
            </m:r>
            <m:r>
              <w:rPr>
                <w:rFonts w:ascii="Cambria Math" w:hAnsi="Cambria Math"/>
                <w:lang w:val="en-AU"/>
              </w:rPr>
              <m:t>t</m:t>
            </m:r>
          </m:sub>
        </m:sSub>
      </m:oMath>
      <w:r w:rsidR="009373E9" w:rsidRPr="002B23D3">
        <w:rPr>
          <w:lang w:val="en-AU"/>
        </w:rPr>
        <w:t xml:space="preserve"> i</w:t>
      </w:r>
      <w:r w:rsidR="005C1C95" w:rsidRPr="002B23D3">
        <w:rPr>
          <w:lang w:val="en-AU"/>
        </w:rPr>
        <w:t xml:space="preserve">s the </w:t>
      </w:r>
      <w:r w:rsidR="009D7F33" w:rsidRPr="002B23D3">
        <w:rPr>
          <w:lang w:val="en-AU"/>
        </w:rPr>
        <w:t xml:space="preserve">decision </w:t>
      </w:r>
      <w:r w:rsidR="005C1C95" w:rsidRPr="002B23D3">
        <w:rPr>
          <w:lang w:val="en-AU"/>
        </w:rPr>
        <w:t xml:space="preserve">state of a </w:t>
      </w:r>
      <w:r w:rsidR="00475147" w:rsidRPr="002B23D3">
        <w:t>site-configuration alternative</w:t>
      </w:r>
      <w:r w:rsidR="005C1C95" w:rsidRPr="002B23D3">
        <w:rPr>
          <w:lang w:val="en-AU"/>
        </w:rPr>
        <w:t xml:space="preserve"> at decision time </w:t>
      </w:r>
      <m:oMath>
        <m:r>
          <w:rPr>
            <w:rFonts w:ascii="Cambria Math" w:hAnsi="Cambria Math"/>
            <w:lang w:val="en-AU"/>
          </w:rPr>
          <m:t>t</m:t>
        </m:r>
      </m:oMath>
      <w:r w:rsidR="005C1C95" w:rsidRPr="002B23D3">
        <w:rPr>
          <w:lang w:val="en-AU"/>
        </w:rPr>
        <w:t xml:space="preserve">; </w:t>
      </w:r>
    </w:p>
    <w:p w14:paraId="5C3B3CA6" w14:textId="71ED7D99" w:rsidR="005C1C95" w:rsidRPr="002B23D3" w:rsidRDefault="00C41C24" w:rsidP="002639D6">
      <w:pPr>
        <w:numPr>
          <w:ilvl w:val="0"/>
          <w:numId w:val="3"/>
        </w:numPr>
        <w:spacing w:line="233" w:lineRule="auto"/>
        <w:ind w:left="714" w:hanging="357"/>
        <w:jc w:val="both"/>
        <w:rPr>
          <w:lang w:val="en-AU"/>
        </w:rPr>
      </w:pPr>
      <m:oMath>
        <m:sSub>
          <m:sSubPr>
            <m:ctrlPr>
              <w:rPr>
                <w:rFonts w:ascii="Cambria Math" w:hAnsi="Cambria Math"/>
                <w:i/>
                <w:lang w:val="en-AU"/>
              </w:rPr>
            </m:ctrlPr>
          </m:sSubPr>
          <m:e>
            <m:r>
              <w:rPr>
                <w:rFonts w:ascii="Cambria Math" w:hAnsi="Cambria Math"/>
                <w:lang w:val="en-AU"/>
              </w:rPr>
              <m:t>s</m:t>
            </m:r>
          </m:e>
          <m:sub>
            <m:r>
              <w:rPr>
                <w:rFonts w:ascii="Cambria Math" w:hAnsi="Cambria Math"/>
                <w:lang w:val="en-AU"/>
              </w:rPr>
              <m:t>i</m:t>
            </m:r>
          </m:sub>
        </m:sSub>
      </m:oMath>
      <w:r w:rsidR="006A11D0" w:rsidRPr="002B23D3">
        <w:rPr>
          <w:lang w:val="en-AU"/>
        </w:rPr>
        <w:t xml:space="preserve"> </w:t>
      </w:r>
      <w:r w:rsidR="009373E9" w:rsidRPr="002B23D3">
        <w:rPr>
          <w:lang w:val="en-AU"/>
        </w:rPr>
        <w:t xml:space="preserve"> </w:t>
      </w:r>
      <w:r w:rsidR="00556F56" w:rsidRPr="00556F56">
        <w:t xml:space="preserve">is the site or parcel associated with alternative </w:t>
      </w:r>
      <w:proofErr w:type="spellStart"/>
      <w:r w:rsidR="00556F56" w:rsidRPr="00556F56">
        <w:t>i</w:t>
      </w:r>
      <w:proofErr w:type="spellEnd"/>
      <w:r w:rsidR="00556F56" w:rsidRPr="00556F56">
        <w:t>;</w:t>
      </w:r>
      <w:r w:rsidR="005C1C95" w:rsidRPr="002B23D3">
        <w:rPr>
          <w:lang w:val="en-AU"/>
        </w:rPr>
        <w:t xml:space="preserve"> </w:t>
      </w:r>
    </w:p>
    <w:p w14:paraId="679283AB" w14:textId="1D72CDBC" w:rsidR="005C1C95" w:rsidRPr="002B23D3" w:rsidRDefault="00C41C24" w:rsidP="002639D6">
      <w:pPr>
        <w:numPr>
          <w:ilvl w:val="0"/>
          <w:numId w:val="3"/>
        </w:numPr>
        <w:spacing w:line="233" w:lineRule="auto"/>
        <w:ind w:left="714" w:hanging="357"/>
        <w:jc w:val="both"/>
        <w:rPr>
          <w:lang w:val="en-AU"/>
        </w:rPr>
      </w:pPr>
      <m:oMath>
        <m:sSub>
          <m:sSubPr>
            <m:ctrlPr>
              <w:rPr>
                <w:rFonts w:ascii="Cambria Math" w:hAnsi="Cambria Math"/>
                <w:i/>
                <w:lang w:val="en-AU"/>
              </w:rPr>
            </m:ctrlPr>
          </m:sSubPr>
          <m:e>
            <m:r>
              <w:rPr>
                <w:rFonts w:ascii="Cambria Math" w:hAnsi="Cambria Math"/>
                <w:lang w:val="en-AU"/>
              </w:rPr>
              <m:t>c</m:t>
            </m:r>
          </m:e>
          <m:sub>
            <m:r>
              <w:rPr>
                <w:rFonts w:ascii="Cambria Math" w:hAnsi="Cambria Math"/>
                <w:lang w:val="en-AU"/>
              </w:rPr>
              <m:t>i</m:t>
            </m:r>
            <m:r>
              <w:rPr>
                <w:rFonts w:ascii="Cambria Math" w:hAnsi="Cambria Math"/>
                <w:lang w:val="en-AU"/>
              </w:rPr>
              <m:t>,</m:t>
            </m:r>
            <m:r>
              <w:rPr>
                <w:rFonts w:ascii="Cambria Math" w:hAnsi="Cambria Math"/>
                <w:lang w:val="en-AU"/>
              </w:rPr>
              <m:t>t</m:t>
            </m:r>
          </m:sub>
        </m:sSub>
      </m:oMath>
      <w:r w:rsidR="005C1C95" w:rsidRPr="002B23D3">
        <w:rPr>
          <w:lang w:val="en-AU"/>
        </w:rPr>
        <w:t xml:space="preserve"> </w:t>
      </w:r>
      <w:r w:rsidR="009373E9" w:rsidRPr="002B23D3">
        <w:rPr>
          <w:lang w:val="en-AU"/>
        </w:rPr>
        <w:t xml:space="preserve">is </w:t>
      </w:r>
      <w:r w:rsidR="005C1C95" w:rsidRPr="002B23D3">
        <w:rPr>
          <w:lang w:val="en-AU"/>
        </w:rPr>
        <w:t xml:space="preserve">the physical and operating configuration; </w:t>
      </w:r>
    </w:p>
    <w:p w14:paraId="7AD22F61" w14:textId="7692663D" w:rsidR="005C1C95" w:rsidRPr="002B23D3" w:rsidRDefault="00C41C24" w:rsidP="002639D6">
      <w:pPr>
        <w:numPr>
          <w:ilvl w:val="0"/>
          <w:numId w:val="3"/>
        </w:numPr>
        <w:spacing w:line="233" w:lineRule="auto"/>
        <w:ind w:left="714" w:hanging="357"/>
        <w:jc w:val="both"/>
        <w:rPr>
          <w:lang w:val="en-AU"/>
        </w:rPr>
      </w:pPr>
      <m:oMath>
        <m:sSub>
          <m:sSubPr>
            <m:ctrlPr>
              <w:rPr>
                <w:rFonts w:ascii="Cambria Math" w:hAnsi="Cambria Math"/>
                <w:lang w:val="en-AU"/>
              </w:rPr>
            </m:ctrlPr>
          </m:sSubPr>
          <m:e>
            <m:r>
              <w:rPr>
                <w:rFonts w:ascii="Cambria Math" w:hAnsi="Cambria Math"/>
                <w:lang w:val="en-AU"/>
              </w:rPr>
              <m:t>E</m:t>
            </m:r>
          </m:e>
          <m:sub>
            <m:r>
              <w:rPr>
                <w:rFonts w:ascii="Cambria Math" w:hAnsi="Cambria Math"/>
                <w:lang w:val="en-AU"/>
              </w:rPr>
              <m:t>i</m:t>
            </m:r>
            <m:r>
              <w:rPr>
                <w:rFonts w:ascii="Cambria Math" w:hAnsi="Cambria Math"/>
                <w:lang w:val="en-AU"/>
              </w:rPr>
              <m:t>,</m:t>
            </m:r>
            <m:r>
              <w:rPr>
                <w:rFonts w:ascii="Cambria Math" w:hAnsi="Cambria Math"/>
                <w:lang w:val="en-AU"/>
              </w:rPr>
              <m:t>t</m:t>
            </m:r>
            <m:r>
              <w:rPr>
                <w:rFonts w:ascii="Cambria Math" w:hAnsi="Cambria Math"/>
                <w:lang w:val="en-AU"/>
              </w:rPr>
              <m:t xml:space="preserve"> </m:t>
            </m:r>
          </m:sub>
        </m:sSub>
      </m:oMath>
      <w:r w:rsidR="005C1C95" w:rsidRPr="002B23D3">
        <w:rPr>
          <w:lang w:val="en-AU"/>
        </w:rPr>
        <w:t xml:space="preserve">is </w:t>
      </w:r>
      <w:r w:rsidR="001A75D0" w:rsidRPr="002B23D3">
        <w:rPr>
          <w:lang w:val="en-AU"/>
        </w:rPr>
        <w:t xml:space="preserve">the evidence package available for </w:t>
      </w:r>
      <w:r w:rsidR="00475147" w:rsidRPr="002B23D3">
        <w:t xml:space="preserve">site-configuration alternative </w:t>
      </w:r>
      <w:proofErr w:type="spellStart"/>
      <w:r w:rsidR="001A75D0" w:rsidRPr="002B23D3">
        <w:rPr>
          <w:lang w:val="en-AU"/>
        </w:rPr>
        <w:t>i</w:t>
      </w:r>
      <w:proofErr w:type="spellEnd"/>
      <w:r w:rsidR="001A75D0" w:rsidRPr="002B23D3">
        <w:rPr>
          <w:lang w:val="en-AU"/>
        </w:rPr>
        <w:t xml:space="preserve"> at time t; individual records may be accepted, provisional, superseded, conflicting or unresolved; and</w:t>
      </w:r>
      <w:r w:rsidR="005C1C95" w:rsidRPr="002B23D3">
        <w:rPr>
          <w:lang w:val="en-AU"/>
        </w:rPr>
        <w:t xml:space="preserve"> </w:t>
      </w:r>
    </w:p>
    <w:p w14:paraId="6C708A88" w14:textId="023553F7" w:rsidR="005C1C95" w:rsidRPr="000C5219" w:rsidRDefault="00C41C24" w:rsidP="002639D6">
      <w:pPr>
        <w:numPr>
          <w:ilvl w:val="0"/>
          <w:numId w:val="3"/>
        </w:numPr>
        <w:spacing w:line="233" w:lineRule="auto"/>
        <w:ind w:left="714" w:hanging="357"/>
        <w:jc w:val="both"/>
        <w:rPr>
          <w:lang w:val="en-AU"/>
        </w:rPr>
      </w:pPr>
      <m:oMath>
        <m:sSub>
          <m:sSubPr>
            <m:ctrlPr>
              <w:rPr>
                <w:rFonts w:ascii="Cambria Math" w:hAnsi="Cambria Math"/>
                <w:lang w:val="en-AU"/>
              </w:rPr>
            </m:ctrlPr>
          </m:sSubPr>
          <m:e>
            <m:r>
              <w:rPr>
                <w:rFonts w:ascii="Cambria Math" w:hAnsi="Cambria Math"/>
                <w:lang w:val="en-AU"/>
              </w:rPr>
              <m:t>J</m:t>
            </m:r>
          </m:e>
          <m:sub>
            <m:r>
              <w:rPr>
                <w:rFonts w:ascii="Cambria Math" w:hAnsi="Cambria Math"/>
                <w:lang w:val="en-AU"/>
              </w:rPr>
              <m:t xml:space="preserve"> </m:t>
            </m:r>
            <m:r>
              <w:rPr>
                <w:rFonts w:ascii="Cambria Math" w:hAnsi="Cambria Math"/>
                <w:lang w:val="en-AU"/>
              </w:rPr>
              <m:t>i</m:t>
            </m:r>
            <m:r>
              <w:rPr>
                <w:rFonts w:ascii="Cambria Math" w:hAnsi="Cambria Math"/>
                <w:lang w:val="en-AU"/>
              </w:rPr>
              <m:t>,</m:t>
            </m:r>
            <m:r>
              <w:rPr>
                <w:rFonts w:ascii="Cambria Math" w:hAnsi="Cambria Math"/>
                <w:lang w:val="en-AU"/>
              </w:rPr>
              <m:t>t</m:t>
            </m:r>
          </m:sub>
        </m:sSub>
      </m:oMath>
      <w:r w:rsidR="001A75D0" w:rsidRPr="000C5219">
        <w:rPr>
          <w:lang w:val="en-AU"/>
        </w:rPr>
        <w:t xml:space="preserve"> </w:t>
      </w:r>
      <w:proofErr w:type="spellStart"/>
      <w:r w:rsidR="00337DC4" w:rsidRPr="000C5219">
        <w:rPr>
          <w:lang w:val="en-AU"/>
        </w:rPr>
        <w:t>i</w:t>
      </w:r>
      <w:r w:rsidR="000C5219" w:rsidRPr="000C5219">
        <w:rPr>
          <w:sz w:val="22"/>
        </w:rPr>
        <w:t>s</w:t>
      </w:r>
      <w:proofErr w:type="spellEnd"/>
      <w:r w:rsidR="000C5219" w:rsidRPr="000C5219">
        <w:rPr>
          <w:sz w:val="22"/>
        </w:rPr>
        <w:t xml:space="preserve"> the multidimensional CLJ vector comprising procedural, distributional, recognition, and trust and accountability dimensions; these dimensions are not summed into a universal score</w:t>
      </w:r>
    </w:p>
    <w:p w14:paraId="04A0AF67" w14:textId="347F6BA2" w:rsidR="005C1C95" w:rsidRPr="002639D6" w:rsidRDefault="005C1C95" w:rsidP="006A7A55">
      <w:pPr>
        <w:spacing w:line="235" w:lineRule="auto"/>
        <w:ind w:firstLine="288"/>
        <w:jc w:val="both"/>
        <w:rPr>
          <w:sz w:val="10"/>
          <w:szCs w:val="10"/>
          <w:lang w:val="en-AU"/>
        </w:rPr>
      </w:pPr>
    </w:p>
    <w:p w14:paraId="13751488" w14:textId="1B5A0A00" w:rsidR="00D0777B" w:rsidRPr="002B23D3" w:rsidRDefault="00366FDF" w:rsidP="002639D6">
      <w:pPr>
        <w:spacing w:line="233" w:lineRule="auto"/>
        <w:ind w:firstLine="289"/>
        <w:jc w:val="both"/>
        <w:rPr>
          <w:rFonts w:eastAsiaTheme="minorHAnsi" w:cs="Calibri"/>
          <w:sz w:val="22"/>
          <w:lang w:val="en-AU"/>
        </w:rPr>
      </w:pPr>
      <w:r w:rsidRPr="00366FDF">
        <w:rPr>
          <w:sz w:val="22"/>
        </w:rPr>
        <w:t>The candidate decision state provides the common basis for evidence acceptance and gate evaluation.</w:t>
      </w:r>
      <w:r>
        <w:rPr>
          <w:sz w:val="22"/>
        </w:rPr>
        <w:t xml:space="preserve"> </w:t>
      </w:r>
      <w:r w:rsidR="008C39BC" w:rsidRPr="002B23D3">
        <w:rPr>
          <w:sz w:val="22"/>
        </w:rPr>
        <w:t>Each evidence record retains source, date, authority, version, scope, boundary and validity status</w:t>
      </w:r>
      <w:r w:rsidR="00D0777B" w:rsidRPr="002B23D3">
        <w:rPr>
          <w:rFonts w:eastAsiaTheme="minorHAnsi" w:cs="Calibri"/>
          <w:sz w:val="22"/>
          <w:lang w:val="en-AU"/>
        </w:rPr>
        <w:t xml:space="preserve">. Let </w:t>
      </w:r>
      <m:oMath>
        <m:sSub>
          <m:sSubPr>
            <m:ctrlPr>
              <w:rPr>
                <w:rFonts w:ascii="Cambria Math" w:eastAsiaTheme="minorHAnsi" w:hAnsi="Cambria Math" w:cs="Calibri"/>
                <w:sz w:val="22"/>
              </w:rPr>
            </m:ctrlPr>
          </m:sSubPr>
          <m:e>
            <m:r>
              <w:rPr>
                <w:rFonts w:ascii="Cambria Math" w:eastAsiaTheme="minorHAnsi" w:hAnsi="Cambria Math" w:cs="Calibri"/>
                <w:sz w:val="22"/>
              </w:rPr>
              <m:t>E</m:t>
            </m:r>
          </m:e>
          <m:sub>
            <m:r>
              <w:rPr>
                <w:rFonts w:ascii="Cambria Math" w:eastAsiaTheme="minorHAnsi" w:hAnsi="Cambria Math" w:cs="Calibri"/>
                <w:sz w:val="22"/>
              </w:rPr>
              <m:t>i,t</m:t>
            </m:r>
          </m:sub>
        </m:sSub>
      </m:oMath>
      <w:r w:rsidR="00423D75" w:rsidRPr="002B23D3">
        <w:rPr>
          <w:rFonts w:eastAsiaTheme="minorEastAsia" w:cs="Calibri"/>
          <w:sz w:val="22"/>
        </w:rPr>
        <w:t xml:space="preserve"> </w:t>
      </w:r>
      <w:r w:rsidR="00D0777B" w:rsidRPr="002B23D3">
        <w:rPr>
          <w:rFonts w:eastAsiaTheme="minorHAnsi" w:cs="Calibri"/>
          <w:sz w:val="22"/>
          <w:lang w:val="en-AU"/>
        </w:rPr>
        <w:lastRenderedPageBreak/>
        <w:t xml:space="preserve">denote the evidence package available for </w:t>
      </w:r>
      <w:r w:rsidR="00475147" w:rsidRPr="002B23D3">
        <w:rPr>
          <w:rFonts w:eastAsiaTheme="minorHAnsi" w:cs="Calibri"/>
          <w:sz w:val="22"/>
        </w:rPr>
        <w:t xml:space="preserve">site-configuration alternative </w:t>
      </w:r>
      <w:proofErr w:type="spellStart"/>
      <w:r w:rsidR="00CD4412" w:rsidRPr="002B23D3">
        <w:rPr>
          <w:rFonts w:eastAsiaTheme="minorHAnsi" w:cs="Calibri"/>
          <w:i/>
          <w:iCs/>
          <w:sz w:val="22"/>
          <w:lang w:val="en-AU"/>
        </w:rPr>
        <w:t>i</w:t>
      </w:r>
      <w:proofErr w:type="spellEnd"/>
      <w:r w:rsidR="00D0777B" w:rsidRPr="002B23D3">
        <w:rPr>
          <w:rFonts w:eastAsiaTheme="minorHAnsi" w:cs="Calibri"/>
          <w:sz w:val="22"/>
          <w:lang w:val="en-AU"/>
        </w:rPr>
        <w:t xml:space="preserve"> at decision time</w:t>
      </w:r>
      <w:r w:rsidR="00CD4412" w:rsidRPr="002B23D3">
        <w:rPr>
          <w:rFonts w:eastAsiaTheme="minorHAnsi" w:cs="Calibri"/>
          <w:sz w:val="22"/>
          <w:lang w:val="en-AU"/>
        </w:rPr>
        <w:t xml:space="preserve"> </w:t>
      </w:r>
      <w:r w:rsidR="00CD4412" w:rsidRPr="002B23D3">
        <w:rPr>
          <w:rFonts w:eastAsiaTheme="minorHAnsi" w:cs="Calibri"/>
          <w:i/>
          <w:iCs/>
          <w:sz w:val="22"/>
          <w:lang w:val="en-AU"/>
        </w:rPr>
        <w:t>t</w:t>
      </w:r>
      <w:r w:rsidR="00D0777B" w:rsidRPr="002B23D3">
        <w:rPr>
          <w:rFonts w:eastAsiaTheme="minorHAnsi" w:cs="Calibri"/>
          <w:sz w:val="22"/>
          <w:lang w:val="en-AU"/>
        </w:rPr>
        <w:t xml:space="preserve">, and let </w:t>
      </w:r>
      <m:oMath>
        <m:sSubSup>
          <m:sSubSupPr>
            <m:ctrlPr>
              <w:rPr>
                <w:rFonts w:ascii="Cambria Math" w:eastAsiaTheme="minorHAnsi" w:hAnsi="Cambria Math" w:cs="Calibri"/>
                <w:sz w:val="22"/>
              </w:rPr>
            </m:ctrlPr>
          </m:sSubSupPr>
          <m:e>
            <m:r>
              <w:rPr>
                <w:rFonts w:ascii="Cambria Math" w:eastAsiaTheme="minorHAnsi" w:hAnsi="Cambria Math" w:cs="Calibri"/>
                <w:sz w:val="22"/>
              </w:rPr>
              <m:t>E</m:t>
            </m:r>
          </m:e>
          <m:sub>
            <m:r>
              <w:rPr>
                <w:rFonts w:ascii="Cambria Math" w:eastAsiaTheme="minorHAnsi" w:hAnsi="Cambria Math" w:cs="Calibri"/>
                <w:sz w:val="22"/>
              </w:rPr>
              <m:t>i,t</m:t>
            </m:r>
          </m:sub>
          <m:sup>
            <m:r>
              <w:rPr>
                <w:rFonts w:ascii="Cambria Math" w:eastAsiaTheme="minorHAnsi" w:hAnsi="Cambria Math" w:cs="Calibri"/>
                <w:sz w:val="22"/>
              </w:rPr>
              <m:t>*</m:t>
            </m:r>
          </m:sup>
        </m:sSubSup>
        <m:r>
          <w:rPr>
            <w:rFonts w:ascii="Cambria Math" w:eastAsiaTheme="minorEastAsia" w:hAnsi="Cambria Math" w:cs="Calibri"/>
            <w:sz w:val="22"/>
          </w:rPr>
          <m:t xml:space="preserve"> </m:t>
        </m:r>
      </m:oMath>
      <w:r w:rsidR="00D0777B" w:rsidRPr="002B23D3">
        <w:rPr>
          <w:rFonts w:eastAsiaTheme="minorHAnsi" w:cs="Calibri"/>
          <w:sz w:val="22"/>
          <w:lang w:val="en-AU"/>
        </w:rPr>
        <w:t>denote the subset accepted as fit for the applicable project-specific gate criteria. Evidence may therefore be available without being accepted where it is provisional, expired, superseded, conflicting or under challenge.</w:t>
      </w:r>
      <w:r w:rsidR="00CD4412" w:rsidRPr="002B23D3">
        <w:rPr>
          <w:rFonts w:eastAsiaTheme="minorHAnsi" w:cs="Calibri"/>
          <w:sz w:val="22"/>
          <w:lang w:val="en-AU"/>
        </w:rPr>
        <w:t xml:space="preserve"> </w:t>
      </w:r>
      <w:r w:rsidR="00D0777B" w:rsidRPr="002B23D3">
        <w:rPr>
          <w:rFonts w:eastAsiaTheme="minorHAnsi" w:cs="Calibri"/>
          <w:sz w:val="22"/>
          <w:lang w:val="en-AU"/>
        </w:rPr>
        <w:t xml:space="preserve">Let </w:t>
      </w:r>
      <m:oMath>
        <m:r>
          <m:rPr>
            <m:scr m:val="script"/>
            <m:sty m:val="p"/>
          </m:rPr>
          <w:rPr>
            <w:rFonts w:ascii="Cambria Math" w:eastAsiaTheme="minorHAnsi" w:hAnsi="Cambria Math" w:cs="Calibri"/>
            <w:sz w:val="22"/>
          </w:rPr>
          <m:t>C</m:t>
        </m:r>
      </m:oMath>
      <w:r w:rsidR="00731DC9" w:rsidRPr="002B23D3">
        <w:rPr>
          <w:rFonts w:eastAsiaTheme="minorHAnsi" w:cs="Calibri"/>
          <w:sz w:val="22"/>
        </w:rPr>
        <w:t xml:space="preserve"> </w:t>
      </w:r>
      <w:r w:rsidR="00D0777B" w:rsidRPr="002B23D3">
        <w:rPr>
          <w:rFonts w:eastAsiaTheme="minorHAnsi" w:cs="Calibri"/>
          <w:sz w:val="22"/>
          <w:lang w:val="en-AU"/>
        </w:rPr>
        <w:t>denote the six critical gates: Grid and Energisation (GE), Water and Cooling (WC), Planning and Land (PL), Environment and Biodiversity (EB), Programme and Delivery Capability (PDC), and Community Legitimacy and Justice (CLJ). For each</w:t>
      </w:r>
      <w:r w:rsidR="00BD4CBE" w:rsidRPr="002B23D3">
        <w:rPr>
          <w:rFonts w:eastAsiaTheme="minorHAnsi" w:cs="Calibri"/>
          <w:sz w:val="22"/>
          <w:lang w:val="en-AU"/>
        </w:rPr>
        <w:t xml:space="preserve"> </w:t>
      </w:r>
      <m:oMath>
        <m:r>
          <w:rPr>
            <w:rFonts w:ascii="Cambria Math" w:eastAsiaTheme="minorHAnsi" w:hAnsi="Cambria Math" w:cs="Calibri"/>
            <w:sz w:val="22"/>
          </w:rPr>
          <m:t>j∈</m:t>
        </m:r>
        <m:r>
          <m:rPr>
            <m:scr m:val="script"/>
            <m:sty m:val="p"/>
          </m:rPr>
          <w:rPr>
            <w:rFonts w:ascii="Cambria Math" w:eastAsiaTheme="minorHAnsi" w:hAnsi="Cambria Math" w:cs="Calibri"/>
            <w:sz w:val="22"/>
          </w:rPr>
          <m:t>C</m:t>
        </m:r>
      </m:oMath>
      <w:r w:rsidR="00D0777B" w:rsidRPr="002B23D3">
        <w:rPr>
          <w:rFonts w:eastAsiaTheme="minorHAnsi" w:cs="Calibri"/>
          <w:sz w:val="22"/>
          <w:lang w:val="en-AU"/>
        </w:rPr>
        <w:t xml:space="preserve">, the function </w:t>
      </w:r>
      <m:oMath>
        <m:sSub>
          <m:sSubPr>
            <m:ctrlPr>
              <w:rPr>
                <w:rFonts w:ascii="Cambria Math" w:eastAsiaTheme="minorHAnsi" w:hAnsi="Cambria Math" w:cs="Calibri"/>
                <w:sz w:val="22"/>
              </w:rPr>
            </m:ctrlPr>
          </m:sSubPr>
          <m:e>
            <m:r>
              <w:rPr>
                <w:rFonts w:ascii="Cambria Math" w:eastAsiaTheme="minorHAnsi" w:hAnsi="Cambria Math" w:cs="Calibri"/>
                <w:sz w:val="22"/>
              </w:rPr>
              <m:t>g</m:t>
            </m:r>
          </m:e>
          <m:sub>
            <m:r>
              <w:rPr>
                <w:rFonts w:ascii="Cambria Math" w:eastAsiaTheme="minorHAnsi" w:hAnsi="Cambria Math" w:cs="Calibri"/>
                <w:sz w:val="22"/>
              </w:rPr>
              <m:t>j</m:t>
            </m:r>
          </m:sub>
        </m:sSub>
        <m:d>
          <m:dPr>
            <m:ctrlPr>
              <w:rPr>
                <w:rFonts w:ascii="Cambria Math" w:eastAsiaTheme="minorHAnsi" w:hAnsi="Cambria Math" w:cs="Calibri"/>
                <w:sz w:val="22"/>
              </w:rPr>
            </m:ctrlPr>
          </m:dPr>
          <m:e>
            <m:sSub>
              <m:sSubPr>
                <m:ctrlPr>
                  <w:rPr>
                    <w:rFonts w:ascii="Cambria Math" w:eastAsiaTheme="minorHAnsi" w:hAnsi="Cambria Math" w:cs="Calibri"/>
                    <w:sz w:val="22"/>
                  </w:rPr>
                </m:ctrlPr>
              </m:sSubPr>
              <m:e>
                <m:r>
                  <w:rPr>
                    <w:rFonts w:ascii="Cambria Math" w:eastAsiaTheme="minorHAnsi" w:hAnsi="Cambria Math" w:cs="Calibri"/>
                    <w:sz w:val="22"/>
                  </w:rPr>
                  <m:t>a</m:t>
                </m:r>
              </m:e>
              <m:sub>
                <m:r>
                  <w:rPr>
                    <w:rFonts w:ascii="Cambria Math" w:eastAsiaTheme="minorHAnsi" w:hAnsi="Cambria Math" w:cs="Calibri"/>
                    <w:sz w:val="22"/>
                  </w:rPr>
                  <m:t>i,t</m:t>
                </m:r>
              </m:sub>
            </m:sSub>
            <m:r>
              <w:rPr>
                <w:rFonts w:ascii="Cambria Math" w:eastAsiaTheme="minorHAnsi" w:hAnsi="Cambria Math" w:cs="Calibri"/>
                <w:sz w:val="22"/>
              </w:rPr>
              <m:t>;</m:t>
            </m:r>
            <m:sSub>
              <m:sSubPr>
                <m:ctrlPr>
                  <w:rPr>
                    <w:rFonts w:ascii="Cambria Math" w:eastAsiaTheme="minorHAnsi" w:hAnsi="Cambria Math" w:cs="Calibri"/>
                    <w:sz w:val="22"/>
                  </w:rPr>
                </m:ctrlPr>
              </m:sSubPr>
              <m:e>
                <m:r>
                  <m:rPr>
                    <m:sty m:val="p"/>
                  </m:rPr>
                  <w:rPr>
                    <w:rFonts w:ascii="Cambria Math" w:eastAsiaTheme="minorHAnsi" w:hAnsi="Cambria Math" w:cs="Calibri"/>
                    <w:sz w:val="22"/>
                  </w:rPr>
                  <m:t>Γ</m:t>
                </m:r>
              </m:e>
              <m:sub>
                <m:r>
                  <w:rPr>
                    <w:rFonts w:ascii="Cambria Math" w:eastAsiaTheme="minorHAnsi" w:hAnsi="Cambria Math" w:cs="Calibri"/>
                    <w:sz w:val="22"/>
                  </w:rPr>
                  <m:t>j</m:t>
                </m:r>
              </m:sub>
            </m:sSub>
          </m:e>
        </m:d>
      </m:oMath>
      <w:r w:rsidR="004033AB" w:rsidRPr="002B23D3">
        <w:rPr>
          <w:rFonts w:eastAsiaTheme="minorEastAsia" w:cs="Calibri"/>
          <w:sz w:val="22"/>
        </w:rPr>
        <w:t xml:space="preserve"> </w:t>
      </w:r>
      <w:r w:rsidR="00D0777B" w:rsidRPr="002B23D3">
        <w:rPr>
          <w:rFonts w:eastAsiaTheme="minorHAnsi" w:cs="Calibri"/>
          <w:sz w:val="22"/>
          <w:lang w:val="en-AU"/>
        </w:rPr>
        <w:t xml:space="preserve">returns Pass, Conditional, Fail or Unknown. The project-specific Gate Register specification </w:t>
      </w:r>
      <m:oMath>
        <m:sSub>
          <m:sSubPr>
            <m:ctrlPr>
              <w:rPr>
                <w:rFonts w:ascii="Cambria Math" w:eastAsiaTheme="minorHAnsi" w:hAnsi="Cambria Math" w:cs="Calibri"/>
                <w:sz w:val="22"/>
              </w:rPr>
            </m:ctrlPr>
          </m:sSubPr>
          <m:e>
            <m:r>
              <m:rPr>
                <m:sty m:val="p"/>
              </m:rPr>
              <w:rPr>
                <w:rFonts w:ascii="Cambria Math" w:eastAsiaTheme="minorHAnsi" w:hAnsi="Cambria Math" w:cs="Calibri"/>
                <w:sz w:val="22"/>
              </w:rPr>
              <m:t>Γ</m:t>
            </m:r>
          </m:e>
          <m:sub>
            <m:r>
              <w:rPr>
                <w:rFonts w:ascii="Cambria Math" w:eastAsiaTheme="minorHAnsi" w:hAnsi="Cambria Math" w:cs="Calibri"/>
                <w:sz w:val="22"/>
              </w:rPr>
              <m:t>j</m:t>
            </m:r>
          </m:sub>
        </m:sSub>
        <m:r>
          <w:rPr>
            <w:rFonts w:ascii="Cambria Math" w:eastAsiaTheme="minorHAnsi" w:hAnsi="Cambria Math" w:cs="Calibri"/>
            <w:sz w:val="22"/>
          </w:rPr>
          <m:t xml:space="preserve"> </m:t>
        </m:r>
      </m:oMath>
      <w:r w:rsidR="00D0777B" w:rsidRPr="002B23D3">
        <w:rPr>
          <w:rFonts w:eastAsiaTheme="minorHAnsi" w:cs="Calibri"/>
          <w:sz w:val="22"/>
          <w:lang w:val="en-AU"/>
        </w:rPr>
        <w:t xml:space="preserve">records the criterion, minimum evidence, source hierarchy, currency rule, evidence owner, decision authority and closure requirement. </w:t>
      </w:r>
      <w:r w:rsidR="008054DF" w:rsidRPr="002B23D3">
        <w:rPr>
          <w:rFonts w:eastAsiaTheme="minorHAnsi" w:cs="Calibri"/>
          <w:sz w:val="22"/>
        </w:rPr>
        <w:t>Equation (2) defines the corresponding Fail, Unknown and Conditional gate sets; gates outside these sets are Pass</w:t>
      </w:r>
      <w:r w:rsidR="00D0777B" w:rsidRPr="002B23D3">
        <w:rPr>
          <w:rFonts w:eastAsiaTheme="minorHAnsi" w:cs="Calibri"/>
          <w:sz w:val="22"/>
          <w:lang w:val="en-AU"/>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04"/>
        <w:gridCol w:w="8323"/>
        <w:gridCol w:w="604"/>
      </w:tblGrid>
      <w:tr w:rsidR="00367938" w:rsidRPr="002B23D3" w14:paraId="271A6343" w14:textId="77777777" w:rsidTr="003C6F3B">
        <w:trPr>
          <w:cantSplit/>
          <w:jc w:val="center"/>
        </w:trPr>
        <w:tc>
          <w:tcPr>
            <w:tcW w:w="604" w:type="dxa"/>
            <w:tcMar>
              <w:top w:w="0" w:type="dxa"/>
              <w:left w:w="10" w:type="dxa"/>
              <w:bottom w:w="0" w:type="dxa"/>
              <w:right w:w="10" w:type="dxa"/>
            </w:tcMar>
            <w:vAlign w:val="center"/>
          </w:tcPr>
          <w:p w14:paraId="7BE5E948" w14:textId="2BE0D99E" w:rsidR="00367938" w:rsidRPr="002B23D3" w:rsidRDefault="00364A1C" w:rsidP="006A7A55">
            <w:pPr>
              <w:spacing w:line="235" w:lineRule="auto"/>
            </w:pPr>
            <w:r w:rsidRPr="002B23D3">
              <w:rPr>
                <w:rFonts w:eastAsiaTheme="minorHAnsi" w:cs="Calibri"/>
                <w:sz w:val="22"/>
              </w:rPr>
              <w:tab/>
              <w:t>​</w:t>
            </w:r>
          </w:p>
        </w:tc>
        <w:tc>
          <w:tcPr>
            <w:tcW w:w="8323" w:type="dxa"/>
            <w:tcMar>
              <w:top w:w="0" w:type="dxa"/>
              <w:left w:w="10" w:type="dxa"/>
              <w:bottom w:w="0" w:type="dxa"/>
              <w:right w:w="10" w:type="dxa"/>
            </w:tcMar>
            <w:vAlign w:val="center"/>
          </w:tcPr>
          <w:p w14:paraId="3E335B34" w14:textId="2FB6175E" w:rsidR="005C1C95" w:rsidRPr="002B23D3" w:rsidRDefault="00C41C24" w:rsidP="006A7A55">
            <w:pPr>
              <w:spacing w:line="235" w:lineRule="auto"/>
              <w:jc w:val="center"/>
              <w:rPr>
                <w:rFonts w:cs="Calibri"/>
              </w:rPr>
            </w:pPr>
            <m:oMathPara>
              <m:oMath>
                <m:eqArr>
                  <m:eqArrPr>
                    <m:maxDist m:val="1"/>
                    <m:ctrlPr>
                      <w:rPr>
                        <w:rFonts w:ascii="Cambria Math" w:hAnsi="Cambria Math" w:cs="Calibri"/>
                      </w:rPr>
                    </m:ctrlPr>
                  </m:eqArrPr>
                  <m:e>
                    <m:r>
                      <m:rPr>
                        <m:scr m:val="script"/>
                        <m:sty m:val="p"/>
                      </m:rPr>
                      <w:rPr>
                        <w:rFonts w:ascii="Cambria Math" w:hAnsi="Cambria Math" w:cs="Calibri"/>
                      </w:rPr>
                      <m:t>C</m:t>
                    </m:r>
                    <m:r>
                      <w:rPr>
                        <w:rFonts w:ascii="Cambria Math" w:hAnsi="Cambria Math" w:cs="Calibri"/>
                      </w:rPr>
                      <m:t>&amp;=</m:t>
                    </m:r>
                    <m:d>
                      <m:dPr>
                        <m:begChr m:val="{"/>
                        <m:endChr m:val="}"/>
                        <m:ctrlPr>
                          <w:rPr>
                            <w:rFonts w:ascii="Cambria Math" w:hAnsi="Cambria Math" w:cs="Calibri"/>
                          </w:rPr>
                        </m:ctrlPr>
                      </m:dPr>
                      <m:e>
                        <m:r>
                          <m:rPr>
                            <m:sty m:val="p"/>
                          </m:rPr>
                          <w:rPr>
                            <w:rFonts w:ascii="Cambria Math" w:hAnsi="Cambria Math" w:cs="Calibri"/>
                          </w:rPr>
                          <m:t>GE</m:t>
                        </m:r>
                        <m:r>
                          <w:rPr>
                            <w:rFonts w:ascii="Cambria Math" w:hAnsi="Cambria Math" w:cs="Calibri"/>
                          </w:rPr>
                          <m:t>,</m:t>
                        </m:r>
                        <m:r>
                          <m:rPr>
                            <m:sty m:val="p"/>
                          </m:rPr>
                          <w:rPr>
                            <w:rFonts w:ascii="Cambria Math" w:hAnsi="Cambria Math" w:cs="Calibri"/>
                          </w:rPr>
                          <m:t>WC</m:t>
                        </m:r>
                        <m:r>
                          <w:rPr>
                            <w:rFonts w:ascii="Cambria Math" w:hAnsi="Cambria Math" w:cs="Calibri"/>
                          </w:rPr>
                          <m:t>,</m:t>
                        </m:r>
                        <m:r>
                          <m:rPr>
                            <m:sty m:val="p"/>
                          </m:rPr>
                          <w:rPr>
                            <w:rFonts w:ascii="Cambria Math" w:hAnsi="Cambria Math" w:cs="Calibri"/>
                          </w:rPr>
                          <m:t>PL</m:t>
                        </m:r>
                        <m:r>
                          <w:rPr>
                            <w:rFonts w:ascii="Cambria Math" w:hAnsi="Cambria Math" w:cs="Calibri"/>
                          </w:rPr>
                          <m:t>,</m:t>
                        </m:r>
                        <m:r>
                          <m:rPr>
                            <m:sty m:val="p"/>
                          </m:rPr>
                          <w:rPr>
                            <w:rFonts w:ascii="Cambria Math" w:hAnsi="Cambria Math" w:cs="Calibri"/>
                          </w:rPr>
                          <m:t>EB</m:t>
                        </m:r>
                        <m:r>
                          <w:rPr>
                            <w:rFonts w:ascii="Cambria Math" w:hAnsi="Cambria Math" w:cs="Calibri"/>
                          </w:rPr>
                          <m:t>,</m:t>
                        </m:r>
                        <m:r>
                          <m:rPr>
                            <m:sty m:val="p"/>
                          </m:rPr>
                          <w:rPr>
                            <w:rFonts w:ascii="Cambria Math" w:hAnsi="Cambria Math" w:cs="Calibri"/>
                          </w:rPr>
                          <m:t>PDC</m:t>
                        </m:r>
                        <m:r>
                          <w:rPr>
                            <w:rFonts w:ascii="Cambria Math" w:hAnsi="Cambria Math" w:cs="Calibri"/>
                          </w:rPr>
                          <m:t>,</m:t>
                        </m:r>
                        <m:r>
                          <m:rPr>
                            <m:sty m:val="p"/>
                          </m:rPr>
                          <w:rPr>
                            <w:rFonts w:ascii="Cambria Math" w:hAnsi="Cambria Math" w:cs="Calibri"/>
                          </w:rPr>
                          <m:t>CLJ</m:t>
                        </m:r>
                      </m:e>
                    </m:d>
                    <m:r>
                      <w:rPr>
                        <w:rFonts w:ascii="Cambria Math" w:hAnsi="Cambria Math" w:cs="Calibri"/>
                      </w:rPr>
                      <m:t>,</m:t>
                    </m:r>
                  </m:e>
                  <m:e>
                    <m:sSub>
                      <m:sSubPr>
                        <m:ctrlPr>
                          <w:rPr>
                            <w:rFonts w:ascii="Cambria Math" w:hAnsi="Cambria Math" w:cs="Calibri"/>
                          </w:rPr>
                        </m:ctrlPr>
                      </m:sSubPr>
                      <m:e>
                        <m:r>
                          <w:rPr>
                            <w:rFonts w:ascii="Cambria Math" w:hAnsi="Cambria Math" w:cs="Calibri"/>
                          </w:rPr>
                          <m:t>F</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&amp;=</m:t>
                    </m:r>
                    <m:d>
                      <m:dPr>
                        <m:begChr m:val="{"/>
                        <m:endChr m:val="}"/>
                        <m:ctrlPr>
                          <w:rPr>
                            <w:rFonts w:ascii="Cambria Math" w:hAnsi="Cambria Math" w:cs="Calibri"/>
                          </w:rPr>
                        </m:ctrlPr>
                      </m:dPr>
                      <m:e>
                        <m:r>
                          <w:rPr>
                            <w:rFonts w:ascii="Cambria Math" w:hAnsi="Cambria Math" w:cs="Calibri"/>
                          </w:rPr>
                          <m:t>j</m:t>
                        </m:r>
                        <m:r>
                          <w:rPr>
                            <w:rFonts w:ascii="Cambria Math" w:hAnsi="Cambria Math" w:cs="Calibri"/>
                          </w:rPr>
                          <m:t>∈</m:t>
                        </m:r>
                        <m:r>
                          <m:rPr>
                            <m:scr m:val="script"/>
                            <m:sty m:val="p"/>
                          </m:rPr>
                          <w:rPr>
                            <w:rFonts w:ascii="Cambria Math" w:hAnsi="Cambria Math" w:cs="Calibri"/>
                          </w:rPr>
                          <m:t>C</m:t>
                        </m:r>
                        <m:r>
                          <w:rPr>
                            <w:rFonts w:ascii="Cambria Math" w:hAnsi="Cambria Math" w:cs="Calibri"/>
                          </w:rPr>
                          <m:t>∣</m:t>
                        </m:r>
                        <m:sSub>
                          <m:sSubPr>
                            <m:ctrlPr>
                              <w:rPr>
                                <w:rFonts w:ascii="Cambria Math" w:hAnsi="Cambria Math" w:cs="Calibri"/>
                              </w:rPr>
                            </m:ctrlPr>
                          </m:sSubPr>
                          <m:e>
                            <m:r>
                              <w:rPr>
                                <w:rFonts w:ascii="Cambria Math" w:hAnsi="Cambria Math" w:cs="Calibri"/>
                              </w:rPr>
                              <m:t>g</m:t>
                            </m:r>
                          </m:e>
                          <m:sub>
                            <m:r>
                              <w:rPr>
                                <w:rFonts w:ascii="Cambria Math" w:hAnsi="Cambria Math" w:cs="Calibri"/>
                              </w:rPr>
                              <m:t>j</m:t>
                            </m:r>
                          </m:sub>
                        </m:sSub>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a</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rPr>
                                </m:ctrlPr>
                              </m:sSubPr>
                              <m:e>
                                <m:r>
                                  <m:rPr>
                                    <m:sty m:val="p"/>
                                  </m:rPr>
                                  <w:rPr>
                                    <w:rFonts w:ascii="Cambria Math" w:hAnsi="Cambria Math" w:cs="Calibri"/>
                                  </w:rPr>
                                  <m:t>Γ</m:t>
                                </m:r>
                              </m:e>
                              <m:sub>
                                <m:r>
                                  <w:rPr>
                                    <w:rFonts w:ascii="Cambria Math" w:hAnsi="Cambria Math" w:cs="Calibri"/>
                                  </w:rPr>
                                  <m:t>j</m:t>
                                </m:r>
                              </m:sub>
                            </m:sSub>
                          </m:e>
                        </m:d>
                        <m:r>
                          <w:rPr>
                            <w:rFonts w:ascii="Cambria Math" w:hAnsi="Cambria Math" w:cs="Calibri"/>
                          </w:rPr>
                          <m:t>=</m:t>
                        </m:r>
                        <m:r>
                          <m:rPr>
                            <m:sty m:val="p"/>
                          </m:rPr>
                          <w:rPr>
                            <w:rFonts w:ascii="Cambria Math" w:hAnsi="Cambria Math" w:cs="Calibri"/>
                          </w:rPr>
                          <m:t>Fail</m:t>
                        </m:r>
                      </m:e>
                    </m:d>
                    <m:r>
                      <w:rPr>
                        <w:rFonts w:ascii="Cambria Math" w:hAnsi="Cambria Math" w:cs="Calibri"/>
                      </w:rPr>
                      <m:t>,</m:t>
                    </m:r>
                  </m:e>
                  <m:e>
                    <m:sSub>
                      <m:sSubPr>
                        <m:ctrlPr>
                          <w:rPr>
                            <w:rFonts w:ascii="Cambria Math" w:hAnsi="Cambria Math" w:cs="Calibri"/>
                          </w:rPr>
                        </m:ctrlPr>
                      </m:sSubPr>
                      <m:e>
                        <m:r>
                          <w:rPr>
                            <w:rFonts w:ascii="Cambria Math" w:hAnsi="Cambria Math" w:cs="Calibri"/>
                          </w:rPr>
                          <m:t>U</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&amp;=</m:t>
                    </m:r>
                    <m:d>
                      <m:dPr>
                        <m:begChr m:val="{"/>
                        <m:endChr m:val="}"/>
                        <m:ctrlPr>
                          <w:rPr>
                            <w:rFonts w:ascii="Cambria Math" w:hAnsi="Cambria Math" w:cs="Calibri"/>
                          </w:rPr>
                        </m:ctrlPr>
                      </m:dPr>
                      <m:e>
                        <m:r>
                          <w:rPr>
                            <w:rFonts w:ascii="Cambria Math" w:hAnsi="Cambria Math" w:cs="Calibri"/>
                          </w:rPr>
                          <m:t>j</m:t>
                        </m:r>
                        <m:r>
                          <w:rPr>
                            <w:rFonts w:ascii="Cambria Math" w:hAnsi="Cambria Math" w:cs="Calibri"/>
                          </w:rPr>
                          <m:t>∈</m:t>
                        </m:r>
                        <m:r>
                          <m:rPr>
                            <m:scr m:val="script"/>
                            <m:sty m:val="p"/>
                          </m:rPr>
                          <w:rPr>
                            <w:rFonts w:ascii="Cambria Math" w:hAnsi="Cambria Math" w:cs="Calibri"/>
                          </w:rPr>
                          <m:t>C</m:t>
                        </m:r>
                        <m:r>
                          <w:rPr>
                            <w:rFonts w:ascii="Cambria Math" w:hAnsi="Cambria Math" w:cs="Calibri"/>
                          </w:rPr>
                          <m:t>∣</m:t>
                        </m:r>
                        <m:sSub>
                          <m:sSubPr>
                            <m:ctrlPr>
                              <w:rPr>
                                <w:rFonts w:ascii="Cambria Math" w:hAnsi="Cambria Math" w:cs="Calibri"/>
                              </w:rPr>
                            </m:ctrlPr>
                          </m:sSubPr>
                          <m:e>
                            <m:r>
                              <w:rPr>
                                <w:rFonts w:ascii="Cambria Math" w:hAnsi="Cambria Math" w:cs="Calibri"/>
                              </w:rPr>
                              <m:t>g</m:t>
                            </m:r>
                          </m:e>
                          <m:sub>
                            <m:r>
                              <w:rPr>
                                <w:rFonts w:ascii="Cambria Math" w:hAnsi="Cambria Math" w:cs="Calibri"/>
                              </w:rPr>
                              <m:t>j</m:t>
                            </m:r>
                          </m:sub>
                        </m:sSub>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a</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rPr>
                                </m:ctrlPr>
                              </m:sSubPr>
                              <m:e>
                                <m:r>
                                  <m:rPr>
                                    <m:sty m:val="p"/>
                                  </m:rPr>
                                  <w:rPr>
                                    <w:rFonts w:ascii="Cambria Math" w:hAnsi="Cambria Math" w:cs="Calibri"/>
                                  </w:rPr>
                                  <m:t>Γ</m:t>
                                </m:r>
                              </m:e>
                              <m:sub>
                                <m:r>
                                  <w:rPr>
                                    <w:rFonts w:ascii="Cambria Math" w:hAnsi="Cambria Math" w:cs="Calibri"/>
                                  </w:rPr>
                                  <m:t>j</m:t>
                                </m:r>
                              </m:sub>
                            </m:sSub>
                          </m:e>
                        </m:d>
                        <m:r>
                          <w:rPr>
                            <w:rFonts w:ascii="Cambria Math" w:hAnsi="Cambria Math" w:cs="Calibri"/>
                          </w:rPr>
                          <m:t>=</m:t>
                        </m:r>
                        <m:r>
                          <m:rPr>
                            <m:sty m:val="p"/>
                          </m:rPr>
                          <w:rPr>
                            <w:rFonts w:ascii="Cambria Math" w:hAnsi="Cambria Math" w:cs="Calibri"/>
                          </w:rPr>
                          <m:t>Unknown</m:t>
                        </m:r>
                      </m:e>
                    </m:d>
                    <m:r>
                      <w:rPr>
                        <w:rFonts w:ascii="Cambria Math" w:hAnsi="Cambria Math" w:cs="Calibri"/>
                      </w:rPr>
                      <m:t>,</m:t>
                    </m:r>
                  </m:e>
                  <m:e>
                    <m:sSub>
                      <m:sSubPr>
                        <m:ctrlPr>
                          <w:rPr>
                            <w:rFonts w:ascii="Cambria Math" w:hAnsi="Cambria Math" w:cs="Calibri"/>
                          </w:rPr>
                        </m:ctrlPr>
                      </m:sSubPr>
                      <m:e>
                        <m:r>
                          <w:rPr>
                            <w:rFonts w:ascii="Cambria Math" w:hAnsi="Cambria Math" w:cs="Calibri"/>
                          </w:rPr>
                          <m:t>Q</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&amp;=</m:t>
                    </m:r>
                    <m:d>
                      <m:dPr>
                        <m:begChr m:val="{"/>
                        <m:endChr m:val="}"/>
                        <m:ctrlPr>
                          <w:rPr>
                            <w:rFonts w:ascii="Cambria Math" w:hAnsi="Cambria Math" w:cs="Calibri"/>
                          </w:rPr>
                        </m:ctrlPr>
                      </m:dPr>
                      <m:e>
                        <m:r>
                          <w:rPr>
                            <w:rFonts w:ascii="Cambria Math" w:hAnsi="Cambria Math" w:cs="Calibri"/>
                          </w:rPr>
                          <m:t>j</m:t>
                        </m:r>
                        <m:r>
                          <w:rPr>
                            <w:rFonts w:ascii="Cambria Math" w:hAnsi="Cambria Math" w:cs="Calibri"/>
                          </w:rPr>
                          <m:t>∈</m:t>
                        </m:r>
                        <m:r>
                          <m:rPr>
                            <m:scr m:val="script"/>
                            <m:sty m:val="p"/>
                          </m:rPr>
                          <w:rPr>
                            <w:rFonts w:ascii="Cambria Math" w:hAnsi="Cambria Math" w:cs="Calibri"/>
                          </w:rPr>
                          <m:t>C</m:t>
                        </m:r>
                        <m:r>
                          <w:rPr>
                            <w:rFonts w:ascii="Cambria Math" w:hAnsi="Cambria Math" w:cs="Calibri"/>
                          </w:rPr>
                          <m:t>∣</m:t>
                        </m:r>
                        <m:sSub>
                          <m:sSubPr>
                            <m:ctrlPr>
                              <w:rPr>
                                <w:rFonts w:ascii="Cambria Math" w:hAnsi="Cambria Math" w:cs="Calibri"/>
                              </w:rPr>
                            </m:ctrlPr>
                          </m:sSubPr>
                          <m:e>
                            <m:r>
                              <w:rPr>
                                <w:rFonts w:ascii="Cambria Math" w:hAnsi="Cambria Math" w:cs="Calibri"/>
                              </w:rPr>
                              <m:t>g</m:t>
                            </m:r>
                          </m:e>
                          <m:sub>
                            <m:r>
                              <w:rPr>
                                <w:rFonts w:ascii="Cambria Math" w:hAnsi="Cambria Math" w:cs="Calibri"/>
                              </w:rPr>
                              <m:t>j</m:t>
                            </m:r>
                          </m:sub>
                        </m:sSub>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a</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rPr>
                                </m:ctrlPr>
                              </m:sSubPr>
                              <m:e>
                                <m:r>
                                  <m:rPr>
                                    <m:sty m:val="p"/>
                                  </m:rPr>
                                  <w:rPr>
                                    <w:rFonts w:ascii="Cambria Math" w:hAnsi="Cambria Math" w:cs="Calibri"/>
                                  </w:rPr>
                                  <m:t>Γ</m:t>
                                </m:r>
                              </m:e>
                              <m:sub>
                                <m:r>
                                  <w:rPr>
                                    <w:rFonts w:ascii="Cambria Math" w:hAnsi="Cambria Math" w:cs="Calibri"/>
                                  </w:rPr>
                                  <m:t>j</m:t>
                                </m:r>
                              </m:sub>
                            </m:sSub>
                          </m:e>
                        </m:d>
                        <m:r>
                          <w:rPr>
                            <w:rFonts w:ascii="Cambria Math" w:hAnsi="Cambria Math" w:cs="Calibri"/>
                          </w:rPr>
                          <m:t>=</m:t>
                        </m:r>
                        <m:r>
                          <m:rPr>
                            <m:sty m:val="p"/>
                          </m:rPr>
                          <w:rPr>
                            <w:rFonts w:ascii="Cambria Math" w:hAnsi="Cambria Math" w:cs="Calibri"/>
                          </w:rPr>
                          <m:t>Conditional</m:t>
                        </m:r>
                      </m:e>
                    </m:d>
                    <m:r>
                      <w:rPr>
                        <w:rFonts w:ascii="Cambria Math" w:hAnsi="Cambria Math" w:cs="Calibri"/>
                      </w:rPr>
                      <m:t>.</m:t>
                    </m:r>
                  </m:e>
                </m:eqArr>
              </m:oMath>
            </m:oMathPara>
          </w:p>
        </w:tc>
        <w:tc>
          <w:tcPr>
            <w:tcW w:w="604" w:type="dxa"/>
            <w:tcMar>
              <w:top w:w="0" w:type="dxa"/>
              <w:left w:w="10" w:type="dxa"/>
              <w:bottom w:w="0" w:type="dxa"/>
              <w:right w:w="10" w:type="dxa"/>
            </w:tcMar>
            <w:vAlign w:val="center"/>
          </w:tcPr>
          <w:p w14:paraId="533EB108" w14:textId="77777777" w:rsidR="00367938" w:rsidRPr="002B23D3" w:rsidRDefault="00F2479D" w:rsidP="006A7A55">
            <w:pPr>
              <w:spacing w:line="235" w:lineRule="auto"/>
              <w:jc w:val="center"/>
            </w:pPr>
            <w:r w:rsidRPr="002B23D3">
              <w:t>(2)</w:t>
            </w:r>
          </w:p>
        </w:tc>
      </w:tr>
    </w:tbl>
    <w:p w14:paraId="4BC32300" w14:textId="77777777" w:rsidR="005C1C95" w:rsidRPr="002B23D3" w:rsidRDefault="005C1C95" w:rsidP="006A7A55">
      <w:pPr>
        <w:spacing w:line="235" w:lineRule="auto"/>
        <w:ind w:firstLine="288"/>
        <w:jc w:val="both"/>
        <w:rPr>
          <w:lang w:val="en-AU"/>
        </w:rPr>
      </w:pPr>
      <w:r w:rsidRPr="002B23D3">
        <w:rPr>
          <w:lang w:val="en-AU"/>
        </w:rPr>
        <w:t>where:</w:t>
      </w:r>
    </w:p>
    <w:p w14:paraId="18229F87" w14:textId="75E9BDF2" w:rsidR="005C1C95" w:rsidRPr="002B23D3" w:rsidRDefault="00A41763" w:rsidP="006A7A55">
      <w:pPr>
        <w:numPr>
          <w:ilvl w:val="0"/>
          <w:numId w:val="4"/>
        </w:numPr>
        <w:spacing w:line="235" w:lineRule="auto"/>
        <w:jc w:val="both"/>
        <w:rPr>
          <w:lang w:val="en-AU"/>
        </w:rPr>
      </w:pPr>
      <m:oMath>
        <m:r>
          <m:rPr>
            <m:scr m:val="script"/>
            <m:sty m:val="p"/>
          </m:rPr>
          <w:rPr>
            <w:rFonts w:ascii="Cambria Math" w:hAnsi="Cambria Math" w:cs="Calibri"/>
          </w:rPr>
          <m:t>C</m:t>
        </m:r>
      </m:oMath>
      <w:r w:rsidRPr="002B23D3">
        <w:t xml:space="preserve"> </w:t>
      </w:r>
      <w:r w:rsidR="005C1C95" w:rsidRPr="002B23D3">
        <w:rPr>
          <w:lang w:val="en-AU"/>
        </w:rPr>
        <w:t xml:space="preserve">is the set of critical gates; </w:t>
      </w:r>
    </w:p>
    <w:p w14:paraId="034EC06F" w14:textId="6BCFC2A6" w:rsidR="005C1C95" w:rsidRPr="002B23D3" w:rsidRDefault="00C41C24" w:rsidP="006A7A55">
      <w:pPr>
        <w:numPr>
          <w:ilvl w:val="0"/>
          <w:numId w:val="4"/>
        </w:numPr>
        <w:spacing w:line="235" w:lineRule="auto"/>
        <w:jc w:val="both"/>
        <w:rPr>
          <w:lang w:val="en-AU"/>
        </w:rPr>
      </w:pPr>
      <m:oMath>
        <m:sSub>
          <m:sSubPr>
            <m:ctrlPr>
              <w:rPr>
                <w:rFonts w:ascii="Cambria Math" w:hAnsi="Cambria Math" w:cs="Calibri"/>
              </w:rPr>
            </m:ctrlPr>
          </m:sSubPr>
          <m:e>
            <m:r>
              <w:rPr>
                <w:rFonts w:ascii="Cambria Math" w:hAnsi="Cambria Math" w:cs="Calibri"/>
              </w:rPr>
              <m:t>g</m:t>
            </m:r>
          </m:e>
          <m:sub>
            <m:r>
              <w:rPr>
                <w:rFonts w:ascii="Cambria Math" w:hAnsi="Cambria Math" w:cs="Calibri"/>
              </w:rPr>
              <m:t>j</m:t>
            </m:r>
          </m:sub>
        </m:sSub>
        <m:d>
          <m:dPr>
            <m:ctrlPr>
              <w:rPr>
                <w:rFonts w:ascii="Cambria Math" w:hAnsi="Cambria Math" w:cs="Calibri"/>
              </w:rPr>
            </m:ctrlPr>
          </m:dPr>
          <m:e>
            <m:sSub>
              <m:sSubPr>
                <m:ctrlPr>
                  <w:rPr>
                    <w:rFonts w:ascii="Cambria Math" w:hAnsi="Cambria Math" w:cs="Calibri"/>
                  </w:rPr>
                </m:ctrlPr>
              </m:sSubPr>
              <m:e>
                <m:r>
                  <w:rPr>
                    <w:rFonts w:ascii="Cambria Math" w:hAnsi="Cambria Math" w:cs="Calibri"/>
                  </w:rPr>
                  <m:t>a</m:t>
                </m:r>
              </m:e>
              <m:sub>
                <m:r>
                  <w:rPr>
                    <w:rFonts w:ascii="Cambria Math" w:hAnsi="Cambria Math" w:cs="Calibri"/>
                  </w:rPr>
                  <m:t>i</m:t>
                </m:r>
                <m:r>
                  <w:rPr>
                    <w:rFonts w:ascii="Cambria Math" w:hAnsi="Cambria Math" w:cs="Calibri"/>
                  </w:rPr>
                  <m:t>,</m:t>
                </m:r>
                <m:r>
                  <w:rPr>
                    <w:rFonts w:ascii="Cambria Math" w:hAnsi="Cambria Math" w:cs="Calibri"/>
                  </w:rPr>
                  <m:t>t</m:t>
                </m:r>
              </m:sub>
            </m:sSub>
            <m:r>
              <w:rPr>
                <w:rFonts w:ascii="Cambria Math" w:hAnsi="Cambria Math" w:cs="Calibri"/>
              </w:rPr>
              <m:t>;</m:t>
            </m:r>
            <m:sSub>
              <m:sSubPr>
                <m:ctrlPr>
                  <w:rPr>
                    <w:rFonts w:ascii="Cambria Math" w:hAnsi="Cambria Math" w:cs="Calibri"/>
                  </w:rPr>
                </m:ctrlPr>
              </m:sSubPr>
              <m:e>
                <m:r>
                  <m:rPr>
                    <m:sty m:val="p"/>
                  </m:rPr>
                  <w:rPr>
                    <w:rFonts w:ascii="Cambria Math" w:hAnsi="Cambria Math" w:cs="Calibri"/>
                  </w:rPr>
                  <m:t>Γ</m:t>
                </m:r>
              </m:e>
              <m:sub>
                <m:r>
                  <w:rPr>
                    <w:rFonts w:ascii="Cambria Math" w:hAnsi="Cambria Math" w:cs="Calibri"/>
                  </w:rPr>
                  <m:t>j</m:t>
                </m:r>
              </m:sub>
            </m:sSub>
          </m:e>
        </m:d>
      </m:oMath>
      <w:r w:rsidR="00F713B3" w:rsidRPr="002B23D3">
        <w:t xml:space="preserve"> </w:t>
      </w:r>
      <w:r w:rsidR="005C1C95" w:rsidRPr="002B23D3">
        <w:rPr>
          <w:lang w:val="en-AU"/>
        </w:rPr>
        <w:t xml:space="preserve">is </w:t>
      </w:r>
      <w:r w:rsidR="00C724C6" w:rsidRPr="002B23D3">
        <w:rPr>
          <w:lang w:val="en-AU"/>
        </w:rPr>
        <w:t xml:space="preserve">the state of gate j for </w:t>
      </w:r>
      <w:r w:rsidR="009A64F5" w:rsidRPr="002B23D3">
        <w:rPr>
          <w:lang w:val="en-AU"/>
        </w:rPr>
        <w:t xml:space="preserve">a </w:t>
      </w:r>
      <w:r w:rsidR="00475147" w:rsidRPr="002B23D3">
        <w:t xml:space="preserve">site-configuration alternative </w:t>
      </w:r>
      <w:proofErr w:type="spellStart"/>
      <w:r w:rsidR="00C724C6" w:rsidRPr="002B23D3">
        <w:rPr>
          <w:lang w:val="en-AU"/>
        </w:rPr>
        <w:t>i</w:t>
      </w:r>
      <w:proofErr w:type="spellEnd"/>
      <w:r w:rsidR="00C724C6" w:rsidRPr="002B23D3">
        <w:rPr>
          <w:lang w:val="en-AU"/>
        </w:rPr>
        <w:t xml:space="preserve"> at time t under its approved Gate Register specification;</w:t>
      </w:r>
      <w:r w:rsidR="005C1C95" w:rsidRPr="002B23D3">
        <w:rPr>
          <w:lang w:val="en-AU"/>
        </w:rPr>
        <w:t xml:space="preserve"> </w:t>
      </w:r>
    </w:p>
    <w:p w14:paraId="7F391340" w14:textId="4CDB0DD8" w:rsidR="005C1C95" w:rsidRPr="004358EA" w:rsidRDefault="00C41C24" w:rsidP="006A7A55">
      <w:pPr>
        <w:numPr>
          <w:ilvl w:val="0"/>
          <w:numId w:val="4"/>
        </w:numPr>
        <w:spacing w:line="235" w:lineRule="auto"/>
        <w:jc w:val="both"/>
        <w:rPr>
          <w:lang w:val="en-AU"/>
        </w:rPr>
      </w:pPr>
      <m:oMath>
        <m:sSub>
          <m:sSubPr>
            <m:ctrlPr>
              <w:rPr>
                <w:rFonts w:ascii="Cambria Math" w:hAnsi="Cambria Math"/>
                <w:lang w:val="en-AU"/>
              </w:rPr>
            </m:ctrlPr>
          </m:sSubPr>
          <m:e>
            <m:r>
              <w:rPr>
                <w:rFonts w:ascii="Cambria Math" w:hAnsi="Cambria Math"/>
                <w:lang w:val="en-AU"/>
              </w:rPr>
              <m:t>F</m:t>
            </m:r>
          </m:e>
          <m:sub>
            <m:r>
              <w:rPr>
                <w:rFonts w:ascii="Cambria Math" w:hAnsi="Cambria Math"/>
                <w:lang w:val="en-AU"/>
              </w:rPr>
              <m:t>i</m:t>
            </m:r>
            <m:r>
              <w:rPr>
                <w:rFonts w:ascii="Cambria Math" w:hAnsi="Cambria Math"/>
                <w:lang w:val="en-AU"/>
              </w:rPr>
              <m:t>,</m:t>
            </m:r>
            <m:r>
              <w:rPr>
                <w:rFonts w:ascii="Cambria Math" w:hAnsi="Cambria Math"/>
                <w:lang w:val="en-AU"/>
              </w:rPr>
              <m:t>t</m:t>
            </m:r>
          </m:sub>
        </m:sSub>
      </m:oMath>
      <w:r w:rsidR="005C1C95" w:rsidRPr="002B23D3">
        <w:rPr>
          <w:lang w:val="en-AU"/>
        </w:rPr>
        <w:t xml:space="preserve">is the set of gates evaluated as </w:t>
      </w:r>
      <w:r w:rsidR="005C1C95" w:rsidRPr="004358EA">
        <w:rPr>
          <w:lang w:val="en-AU"/>
        </w:rPr>
        <w:t xml:space="preserve">Fail; </w:t>
      </w:r>
    </w:p>
    <w:p w14:paraId="4BA46F8B" w14:textId="7F3CCAFB" w:rsidR="005C1C95" w:rsidRPr="004358EA" w:rsidRDefault="00C41C24" w:rsidP="006A7A55">
      <w:pPr>
        <w:numPr>
          <w:ilvl w:val="0"/>
          <w:numId w:val="4"/>
        </w:numPr>
        <w:spacing w:line="235" w:lineRule="auto"/>
        <w:jc w:val="both"/>
        <w:rPr>
          <w:lang w:val="en-AU"/>
        </w:rPr>
      </w:pPr>
      <m:oMath>
        <m:sSub>
          <m:sSubPr>
            <m:ctrlPr>
              <w:rPr>
                <w:rFonts w:ascii="Cambria Math" w:hAnsi="Cambria Math"/>
                <w:lang w:val="en-AU"/>
              </w:rPr>
            </m:ctrlPr>
          </m:sSubPr>
          <m:e>
            <m:r>
              <w:rPr>
                <w:rFonts w:ascii="Cambria Math" w:hAnsi="Cambria Math"/>
                <w:lang w:val="en-AU"/>
              </w:rPr>
              <m:t>U</m:t>
            </m:r>
          </m:e>
          <m:sub>
            <m:r>
              <w:rPr>
                <w:rFonts w:ascii="Cambria Math" w:hAnsi="Cambria Math"/>
                <w:lang w:val="en-AU"/>
              </w:rPr>
              <m:t>i</m:t>
            </m:r>
            <m:r>
              <w:rPr>
                <w:rFonts w:ascii="Cambria Math" w:hAnsi="Cambria Math"/>
                <w:lang w:val="en-AU"/>
              </w:rPr>
              <m:t>,</m:t>
            </m:r>
            <m:r>
              <w:rPr>
                <w:rFonts w:ascii="Cambria Math" w:hAnsi="Cambria Math"/>
                <w:lang w:val="en-AU"/>
              </w:rPr>
              <m:t>t</m:t>
            </m:r>
          </m:sub>
        </m:sSub>
      </m:oMath>
      <w:r w:rsidR="005C1C95" w:rsidRPr="004358EA">
        <w:rPr>
          <w:lang w:val="en-AU"/>
        </w:rPr>
        <w:t xml:space="preserve">is the set of gates evaluated as Unknown; and </w:t>
      </w:r>
    </w:p>
    <w:p w14:paraId="7E580A9F" w14:textId="2E6DE358" w:rsidR="005C1C95" w:rsidRPr="004358EA" w:rsidRDefault="00C41C24" w:rsidP="006A7A55">
      <w:pPr>
        <w:numPr>
          <w:ilvl w:val="0"/>
          <w:numId w:val="4"/>
        </w:numPr>
        <w:spacing w:line="235" w:lineRule="auto"/>
        <w:jc w:val="both"/>
        <w:rPr>
          <w:lang w:val="en-AU"/>
        </w:rPr>
      </w:pPr>
      <m:oMath>
        <m:sSub>
          <m:sSubPr>
            <m:ctrlPr>
              <w:rPr>
                <w:rFonts w:ascii="Cambria Math" w:hAnsi="Cambria Math"/>
                <w:lang w:val="en-AU"/>
              </w:rPr>
            </m:ctrlPr>
          </m:sSubPr>
          <m:e>
            <m:r>
              <w:rPr>
                <w:rFonts w:ascii="Cambria Math" w:hAnsi="Cambria Math"/>
                <w:lang w:val="en-AU"/>
              </w:rPr>
              <m:t>Q</m:t>
            </m:r>
          </m:e>
          <m:sub>
            <m:r>
              <w:rPr>
                <w:rFonts w:ascii="Cambria Math" w:hAnsi="Cambria Math"/>
                <w:lang w:val="en-AU"/>
              </w:rPr>
              <m:t>i</m:t>
            </m:r>
            <m:r>
              <w:rPr>
                <w:rFonts w:ascii="Cambria Math" w:hAnsi="Cambria Math"/>
                <w:lang w:val="en-AU"/>
              </w:rPr>
              <m:t>,</m:t>
            </m:r>
            <m:r>
              <w:rPr>
                <w:rFonts w:ascii="Cambria Math" w:hAnsi="Cambria Math"/>
                <w:lang w:val="en-AU"/>
              </w:rPr>
              <m:t>t</m:t>
            </m:r>
          </m:sub>
        </m:sSub>
      </m:oMath>
      <w:r w:rsidR="005C1C95" w:rsidRPr="004358EA">
        <w:rPr>
          <w:lang w:val="en-AU"/>
        </w:rPr>
        <w:t>is the set of gates evaluated as Conditional.</w:t>
      </w:r>
    </w:p>
    <w:p w14:paraId="3FEB392C" w14:textId="77777777" w:rsidR="00404BAD" w:rsidRPr="002639D6" w:rsidRDefault="00404BAD" w:rsidP="006A7A55">
      <w:pPr>
        <w:spacing w:line="235" w:lineRule="auto"/>
        <w:ind w:firstLine="288"/>
        <w:jc w:val="both"/>
        <w:rPr>
          <w:rFonts w:eastAsiaTheme="minorHAnsi" w:cs="Calibri"/>
          <w:sz w:val="10"/>
          <w:szCs w:val="10"/>
        </w:rPr>
      </w:pPr>
    </w:p>
    <w:p w14:paraId="7FB9A283" w14:textId="6C2E8CB1" w:rsidR="00486709" w:rsidRPr="002B23D3" w:rsidRDefault="00283F89" w:rsidP="002639D6">
      <w:pPr>
        <w:spacing w:line="233" w:lineRule="auto"/>
        <w:ind w:firstLine="289"/>
        <w:jc w:val="both"/>
        <w:rPr>
          <w:rFonts w:eastAsiaTheme="minorHAnsi" w:cs="Calibri"/>
          <w:sz w:val="22"/>
        </w:rPr>
      </w:pPr>
      <w:r w:rsidRPr="002B23D3">
        <w:rPr>
          <w:rFonts w:eastAsiaTheme="minorHAnsi" w:cs="Calibri"/>
          <w:sz w:val="22"/>
        </w:rPr>
        <w:t xml:space="preserve">Let </w:t>
      </w:r>
      <m:oMath>
        <m:sSub>
          <m:sSubPr>
            <m:ctrlPr>
              <w:rPr>
                <w:rFonts w:ascii="Cambria Math" w:hAnsi="Cambria Math" w:cs="Calibri"/>
              </w:rPr>
            </m:ctrlPr>
          </m:sSubPr>
          <m:e>
            <m:r>
              <w:rPr>
                <w:rFonts w:ascii="Cambria Math" w:hAnsi="Cambria Math" w:cs="Calibri"/>
              </w:rPr>
              <m:t>a</m:t>
            </m:r>
          </m:e>
          <m:sub>
            <m:r>
              <w:rPr>
                <w:rFonts w:ascii="Cambria Math" w:hAnsi="Cambria Math" w:cs="Calibri"/>
              </w:rPr>
              <m:t>i,t</m:t>
            </m:r>
          </m:sub>
        </m:sSub>
      </m:oMath>
      <w:r w:rsidRPr="002B23D3">
        <w:rPr>
          <w:rFonts w:eastAsiaTheme="minorHAnsi" w:cs="Calibri"/>
          <w:sz w:val="22"/>
        </w:rPr>
        <w:t xml:space="preserve">= 1 only when </w:t>
      </w:r>
      <m:oMath>
        <m:sSubSup>
          <m:sSubSupPr>
            <m:ctrlPr>
              <w:rPr>
                <w:rFonts w:ascii="Cambria Math" w:eastAsiaTheme="minorHAnsi" w:hAnsi="Cambria Math" w:cs="Calibri"/>
                <w:sz w:val="22"/>
              </w:rPr>
            </m:ctrlPr>
          </m:sSubSupPr>
          <m:e>
            <m:r>
              <w:rPr>
                <w:rFonts w:ascii="Cambria Math" w:eastAsiaTheme="minorHAnsi" w:hAnsi="Cambria Math" w:cs="Calibri"/>
                <w:sz w:val="22"/>
              </w:rPr>
              <m:t>E</m:t>
            </m:r>
          </m:e>
          <m:sub>
            <m:r>
              <w:rPr>
                <w:rFonts w:ascii="Cambria Math" w:eastAsiaTheme="minorHAnsi" w:hAnsi="Cambria Math" w:cs="Calibri"/>
                <w:sz w:val="22"/>
              </w:rPr>
              <m:t>i,t</m:t>
            </m:r>
          </m:sub>
          <m:sup>
            <m:r>
              <w:rPr>
                <w:rFonts w:ascii="Cambria Math" w:eastAsiaTheme="minorHAnsi" w:hAnsi="Cambria Math" w:cs="Calibri"/>
                <w:sz w:val="22"/>
              </w:rPr>
              <m:t>*</m:t>
            </m:r>
          </m:sup>
        </m:sSubSup>
      </m:oMath>
      <w:r w:rsidRPr="002B23D3">
        <w:rPr>
          <w:rFonts w:eastAsiaTheme="minorHAnsi" w:cs="Calibri"/>
          <w:sz w:val="22"/>
        </w:rPr>
        <w:t xml:space="preserve"> satisfies the approved minimum evidence requirements across the critical gates; otherwise </w:t>
      </w:r>
      <m:oMath>
        <m:sSub>
          <m:sSubPr>
            <m:ctrlPr>
              <w:rPr>
                <w:rFonts w:ascii="Cambria Math" w:hAnsi="Cambria Math" w:cs="Calibri"/>
              </w:rPr>
            </m:ctrlPr>
          </m:sSubPr>
          <m:e>
            <m:r>
              <w:rPr>
                <w:rFonts w:ascii="Cambria Math" w:hAnsi="Cambria Math" w:cs="Calibri"/>
              </w:rPr>
              <m:t>a</m:t>
            </m:r>
          </m:e>
          <m:sub>
            <m:r>
              <w:rPr>
                <w:rFonts w:ascii="Cambria Math" w:hAnsi="Cambria Math" w:cs="Calibri"/>
              </w:rPr>
              <m:t>i,t</m:t>
            </m:r>
          </m:sub>
        </m:sSub>
      </m:oMath>
      <w:r w:rsidRPr="002B23D3">
        <w:rPr>
          <w:rFonts w:eastAsiaTheme="minorHAnsi" w:cs="Calibri"/>
          <w:sz w:val="22"/>
        </w:rPr>
        <w:t xml:space="preserve">= 0. </w:t>
      </w:r>
      <w:r w:rsidR="004358EA" w:rsidRPr="004358EA">
        <w:rPr>
          <w:rFonts w:eastAsiaTheme="minorHAnsi" w:cs="Calibri"/>
          <w:sz w:val="22"/>
        </w:rPr>
        <w:t>Data-Centre Delivery Readiness is then represented by the provisional classification, obtained by applying the gate-state sets and evidence-acceptance condition to the candidate decision state. Equation (3) defines this readiness function</w:t>
      </w:r>
      <w:r w:rsidRPr="002B23D3">
        <w:rPr>
          <w:rFonts w:eastAsiaTheme="minorHAnsi" w:cs="Calibri"/>
          <w:sz w:val="22"/>
        </w:rPr>
        <w: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04"/>
        <w:gridCol w:w="8323"/>
        <w:gridCol w:w="604"/>
      </w:tblGrid>
      <w:tr w:rsidR="008E40CA" w:rsidRPr="002B23D3" w14:paraId="4B49FDA5" w14:textId="77777777" w:rsidTr="008D7CA5">
        <w:trPr>
          <w:cantSplit/>
          <w:jc w:val="center"/>
        </w:trPr>
        <w:tc>
          <w:tcPr>
            <w:tcW w:w="604" w:type="dxa"/>
            <w:tcMar>
              <w:top w:w="0" w:type="dxa"/>
              <w:left w:w="10" w:type="dxa"/>
              <w:bottom w:w="0" w:type="dxa"/>
              <w:right w:w="10" w:type="dxa"/>
            </w:tcMar>
            <w:vAlign w:val="center"/>
          </w:tcPr>
          <w:p w14:paraId="093C5096" w14:textId="77777777" w:rsidR="008E40CA" w:rsidRPr="002B23D3" w:rsidRDefault="008E40CA" w:rsidP="006A7A55">
            <w:pPr>
              <w:spacing w:line="235" w:lineRule="auto"/>
            </w:pPr>
          </w:p>
          <w:p w14:paraId="25E73238" w14:textId="77777777" w:rsidR="008E40CA" w:rsidRPr="002B23D3" w:rsidRDefault="008E40CA" w:rsidP="006A7A55">
            <w:pPr>
              <w:spacing w:line="235" w:lineRule="auto"/>
            </w:pPr>
          </w:p>
          <w:p w14:paraId="246EE18B" w14:textId="77777777" w:rsidR="008E40CA" w:rsidRPr="002B23D3" w:rsidRDefault="008E40CA" w:rsidP="006A7A55">
            <w:pPr>
              <w:spacing w:line="235" w:lineRule="auto"/>
            </w:pPr>
          </w:p>
        </w:tc>
        <w:tc>
          <w:tcPr>
            <w:tcW w:w="8323" w:type="dxa"/>
            <w:tcMar>
              <w:top w:w="0" w:type="dxa"/>
              <w:left w:w="10" w:type="dxa"/>
              <w:bottom w:w="0" w:type="dxa"/>
              <w:right w:w="10" w:type="dxa"/>
            </w:tcMar>
            <w:vAlign w:val="center"/>
          </w:tcPr>
          <w:p w14:paraId="4CCF62F1" w14:textId="417C024B" w:rsidR="008E40CA" w:rsidRPr="002B23D3" w:rsidRDefault="009927F7" w:rsidP="006A7A55">
            <w:pPr>
              <w:spacing w:line="235" w:lineRule="auto"/>
              <w:rPr>
                <w:rFonts w:cs="Arial"/>
              </w:rPr>
            </w:pPr>
            <m:oMathPara>
              <m:oMathParaPr>
                <m:jc m:val="left"/>
              </m:oMathParaPr>
              <m:oMath>
                <m:r>
                  <w:rPr>
                    <w:rFonts w:ascii="Cambria Math" w:hAnsi="Cambria Math" w:cs="Arial"/>
                  </w:rPr>
                  <m:t>R(</m:t>
                </m:r>
                <m:sSub>
                  <m:sSubPr>
                    <m:ctrlPr>
                      <w:rPr>
                        <w:rFonts w:ascii="Cambria Math" w:hAnsi="Cambria Math" w:cs="Calibri"/>
                      </w:rPr>
                    </m:ctrlPr>
                  </m:sSubPr>
                  <m:e>
                    <m:r>
                      <w:rPr>
                        <w:rFonts w:ascii="Cambria Math" w:hAnsi="Cambria Math" w:cs="Calibri"/>
                      </w:rPr>
                      <m:t>a</m:t>
                    </m:r>
                  </m:e>
                  <m:sub>
                    <m:r>
                      <w:rPr>
                        <w:rFonts w:ascii="Cambria Math" w:hAnsi="Cambria Math" w:cs="Calibri"/>
                      </w:rPr>
                      <m:t>i,t</m:t>
                    </m:r>
                  </m:sub>
                </m:sSub>
                <m:r>
                  <w:rPr>
                    <w:rFonts w:ascii="Cambria Math" w:hAnsi="Cambria Math" w:cs="Arial"/>
                  </w:rPr>
                  <m:t>)=</m:t>
                </m:r>
                <m:d>
                  <m:dPr>
                    <m:begChr m:val="{"/>
                    <m:endChr m:val=""/>
                    <m:ctrlPr>
                      <w:rPr>
                        <w:rFonts w:ascii="Cambria Math" w:hAnsi="Cambria Math" w:cs="Arial"/>
                        <w:i/>
                      </w:rPr>
                    </m:ctrlPr>
                  </m:dPr>
                  <m:e>
                    <m:eqArr>
                      <m:eqArrPr>
                        <m:ctrlPr>
                          <w:rPr>
                            <w:rFonts w:ascii="Cambria Math" w:hAnsi="Cambria Math" w:cs="Arial"/>
                            <w:i/>
                          </w:rPr>
                        </m:ctrlPr>
                      </m:eqArrPr>
                      <m:e>
                        <m:r>
                          <w:rPr>
                            <w:rFonts w:ascii="Cambria Math" w:hAnsi="Cambria Math" w:cs="Arial"/>
                          </w:rPr>
                          <m:t>Reject, Fᵢ,ₜ ≠ ∅  &amp;</m:t>
                        </m:r>
                      </m:e>
                      <m:e>
                        <m:r>
                          <w:rPr>
                            <w:rFonts w:ascii="Cambria Math" w:hAnsi="Cambria Math" w:cs="Arial"/>
                          </w:rPr>
                          <m:t>Withhold,  &amp;Fᵢ,ₜ = ∅ ∧ (Uᵢ,ₜ ≠ ∅ ∨ Aᵢ,ₜ = 0)</m:t>
                        </m:r>
                        <m:ctrlPr>
                          <w:rPr>
                            <w:rFonts w:ascii="Cambria Math" w:eastAsia="Cambria Math" w:hAnsi="Cambria Math" w:cs="Cambria Math"/>
                            <w:i/>
                          </w:rPr>
                        </m:ctrlPr>
                      </m:e>
                      <m:e>
                        <m:r>
                          <w:rPr>
                            <w:rFonts w:ascii="Cambria Math" w:eastAsia="Cambria Math" w:hAnsi="Cambria Math" w:cs="Cambria Math"/>
                          </w:rPr>
                          <m:t>Conditionally ready, Fᵢ,ₜ = Uᵢ,ₜ = ∅ ∧ Qᵢ,ₜ ≠ ∅ ∧ Aᵢ,ₜ = 1</m:t>
                        </m:r>
                        <m:ctrlPr>
                          <w:rPr>
                            <w:rFonts w:ascii="Cambria Math" w:eastAsia="Cambria Math" w:hAnsi="Cambria Math" w:cs="Cambria Math"/>
                            <w:i/>
                          </w:rPr>
                        </m:ctrlPr>
                      </m:e>
                      <m:e>
                        <m:r>
                          <w:rPr>
                            <w:rFonts w:ascii="Cambria Math" w:eastAsia="Cambria Math" w:hAnsi="Cambria Math" w:cs="Cambria Math"/>
                          </w:rPr>
                          <m:t>Commitment-ready, Fᵢ,ₜ = Uᵢ,ₜ = Qᵢ,ₜ = ∅ ∧ Aᵢ,ₜ = 1</m:t>
                        </m:r>
                      </m:e>
                    </m:eqArr>
                  </m:e>
                </m:d>
              </m:oMath>
            </m:oMathPara>
          </w:p>
        </w:tc>
        <w:tc>
          <w:tcPr>
            <w:tcW w:w="604" w:type="dxa"/>
            <w:tcMar>
              <w:top w:w="0" w:type="dxa"/>
              <w:left w:w="10" w:type="dxa"/>
              <w:bottom w:w="0" w:type="dxa"/>
              <w:right w:w="10" w:type="dxa"/>
            </w:tcMar>
            <w:vAlign w:val="center"/>
          </w:tcPr>
          <w:p w14:paraId="4B13A266" w14:textId="6A6ACEF0" w:rsidR="008E40CA" w:rsidRPr="002B23D3" w:rsidRDefault="008D7CA5" w:rsidP="006A7A55">
            <w:pPr>
              <w:spacing w:line="235" w:lineRule="auto"/>
              <w:jc w:val="center"/>
            </w:pPr>
            <w:r w:rsidRPr="002B23D3">
              <w:t>(3)</w:t>
            </w:r>
          </w:p>
        </w:tc>
      </w:tr>
    </w:tbl>
    <w:p w14:paraId="1C60933F" w14:textId="1DC27CAC" w:rsidR="00C97EDC" w:rsidRPr="00C97EDC" w:rsidRDefault="00C97EDC" w:rsidP="002639D6">
      <w:pPr>
        <w:keepNext/>
        <w:spacing w:line="233" w:lineRule="auto"/>
        <w:jc w:val="both"/>
        <w:rPr>
          <w:rFonts w:eastAsiaTheme="minorHAnsi" w:cs="Calibri"/>
          <w:sz w:val="22"/>
        </w:rPr>
      </w:pPr>
      <w:r w:rsidRPr="00C97EDC">
        <w:rPr>
          <w:rFonts w:eastAsiaTheme="minorHAnsi" w:cs="Calibri"/>
          <w:sz w:val="22"/>
        </w:rPr>
        <w:t>Equation (3) applies a hierarchical, non-compensatory rule. Any Fail determines Reject. In the absence of Fail, any Unknown gate or unaccepted required critical evidence determines Withhold. Only after those conditions are absent can accepted Conditional gates determine Conditionally ready; Commitment-ready requires every critical gate to Pass with the required evidence accepted. Performance in one domain cannot offset a failed or unresolved critical requirement. Commitment-ready is therefore a decision-support classification, not statutory consent, financing approval, corporate investment approval, contractual notice to proceed or project authorisation.</w:t>
      </w:r>
      <w:r w:rsidR="00B00F14">
        <w:rPr>
          <w:rFonts w:eastAsiaTheme="minorHAnsi" w:cs="Calibri"/>
          <w:sz w:val="22"/>
        </w:rPr>
        <w:t xml:space="preserve"> </w:t>
      </w:r>
    </w:p>
    <w:p w14:paraId="25138881" w14:textId="3FFDA19E" w:rsidR="008E40CA" w:rsidRPr="002B23D3" w:rsidRDefault="00C97EDC" w:rsidP="002639D6">
      <w:pPr>
        <w:keepNext/>
        <w:spacing w:line="233" w:lineRule="auto"/>
        <w:jc w:val="both"/>
      </w:pPr>
      <w:r w:rsidRPr="00C97EDC">
        <w:rPr>
          <w:rFonts w:eastAsiaTheme="minorHAnsi" w:cs="Calibri"/>
          <w:sz w:val="22"/>
        </w:rPr>
        <w:t>The sponsor should approve gate criteria before alternatives are compared. A multidisciplinary panel should include the developer and relevant grid, water, planning, environmental, commercial, programme, delivery-capability and community specialists, with Traditional Owner or First Nations representatives or advisers where rights or cultural heritage are affected. The Gate Register records each criterion, minimum evidence, source hierarchy, currency rule, evidence owner, decision authority and closure requirement. A domain lead proposes the state; governance Gate 1 accepts evidence, Gate 2 challenges interpretation and unresolved conflict, and Gate 3 authorises the classification. These governance gates are distinct from the six delivery-domain gates. Digital or AI tools may retrieve and flag evidence, but do not set thresholds, resolve normative disputes or authorise commitment</w:t>
      </w:r>
      <w:r w:rsidR="008E40CA" w:rsidRPr="002B23D3">
        <w:t>.</w:t>
      </w:r>
    </w:p>
    <w:p w14:paraId="6415242D" w14:textId="0FDCCF90" w:rsidR="00367938" w:rsidRPr="002B23D3" w:rsidRDefault="00F2479D" w:rsidP="002639D6">
      <w:pPr>
        <w:spacing w:line="233" w:lineRule="auto"/>
        <w:rPr>
          <w:rFonts w:eastAsiaTheme="minorHAnsi" w:cs="Calibri"/>
          <w:b/>
          <w:bCs/>
          <w:sz w:val="24"/>
          <w:szCs w:val="24"/>
        </w:rPr>
      </w:pPr>
      <w:r w:rsidRPr="002B23D3">
        <w:rPr>
          <w:rFonts w:eastAsiaTheme="minorHAnsi" w:cs="Calibri"/>
          <w:b/>
          <w:bCs/>
          <w:sz w:val="24"/>
          <w:szCs w:val="24"/>
        </w:rPr>
        <w:t>4.2 Propositions and Delivery Decision Requirements</w:t>
      </w:r>
    </w:p>
    <w:p w14:paraId="1A19C7C3" w14:textId="4A1B9CF5" w:rsidR="00367938" w:rsidRDefault="008D7CA5" w:rsidP="002639D6">
      <w:pPr>
        <w:spacing w:line="233" w:lineRule="auto"/>
        <w:ind w:firstLine="288"/>
        <w:jc w:val="both"/>
      </w:pPr>
      <w:r w:rsidRPr="002B23D3">
        <w:rPr>
          <w:rFonts w:eastAsiaTheme="minorHAnsi" w:cs="Calibri"/>
          <w:sz w:val="22"/>
        </w:rPr>
        <w:t xml:space="preserve">Equations (1) to (3) operationalise five propositions. P1 asserts that regional need does not determine site viability. P2 treats site and configuration as co-evaluated factors. P3 states that environmental context can modify alternatives and gate status. P4 proposes that Community Legitimacy and Justice influence configuration and site admissibility. P5 states that failed gates prevent progression and unknown critical evidence requires withholding. Figure 1 summarises these relationships, while Table 1 translates them into </w:t>
      </w:r>
      <w:r w:rsidRPr="002B23D3">
        <w:rPr>
          <w:rFonts w:eastAsiaTheme="minorHAnsi" w:cs="Calibri"/>
          <w:sz w:val="22"/>
        </w:rPr>
        <w:lastRenderedPageBreak/>
        <w:t>Delivery Decision Requirements. The requirements define observable system behaviour; project-specific thresholds remain the responsibility of the authorised gate panel</w:t>
      </w:r>
      <w:r w:rsidR="00D62C74" w:rsidRPr="002B23D3">
        <w:t>.</w:t>
      </w:r>
    </w:p>
    <w:p w14:paraId="170BEEB3" w14:textId="4CF392A5" w:rsidR="008D7CA5" w:rsidRPr="002B23D3" w:rsidRDefault="00D1481D" w:rsidP="00561065">
      <w:pPr>
        <w:jc w:val="center"/>
      </w:pPr>
      <w:r>
        <w:rPr>
          <w:noProof/>
        </w:rPr>
        <w:drawing>
          <wp:inline distT="0" distB="0" distL="0" distR="0" wp14:anchorId="374D98B0" wp14:editId="1C9DB643">
            <wp:extent cx="5920105" cy="1847850"/>
            <wp:effectExtent l="0" t="0" r="4445" b="0"/>
            <wp:docPr id="2919425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42572" name="Picture 2919425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6607" cy="1856122"/>
                    </a:xfrm>
                    <a:prstGeom prst="rect">
                      <a:avLst/>
                    </a:prstGeom>
                  </pic:spPr>
                </pic:pic>
              </a:graphicData>
            </a:graphic>
          </wp:inline>
        </w:drawing>
      </w:r>
    </w:p>
    <w:p w14:paraId="6070AB8B" w14:textId="77777777" w:rsidR="00281B8A" w:rsidRPr="002B23D3" w:rsidRDefault="00281B8A" w:rsidP="006A7A55">
      <w:pPr>
        <w:spacing w:line="235" w:lineRule="auto"/>
        <w:ind w:firstLine="288"/>
        <w:jc w:val="both"/>
        <w:rPr>
          <w:i/>
        </w:rPr>
      </w:pPr>
      <w:r w:rsidRPr="002B23D3">
        <w:rPr>
          <w:i/>
        </w:rPr>
        <w:t>Figure 1: Seven-stage pathway for data-centre delivery readiness and accountable human authorisation.</w:t>
      </w:r>
    </w:p>
    <w:p w14:paraId="71DFF6B8" w14:textId="77777777" w:rsidR="00A0007A" w:rsidRPr="00EF440C" w:rsidRDefault="00A0007A" w:rsidP="006A7A55">
      <w:pPr>
        <w:spacing w:line="235" w:lineRule="auto"/>
        <w:ind w:firstLine="288"/>
        <w:jc w:val="both"/>
        <w:rPr>
          <w:sz w:val="16"/>
          <w:szCs w:val="16"/>
        </w:rPr>
      </w:pPr>
    </w:p>
    <w:p w14:paraId="50766328" w14:textId="67532F38" w:rsidR="00367938" w:rsidRPr="002B23D3" w:rsidRDefault="00F2479D" w:rsidP="006A7A55">
      <w:pPr>
        <w:keepNext/>
        <w:spacing w:line="235" w:lineRule="auto"/>
        <w:jc w:val="center"/>
        <w:rPr>
          <w:rFonts w:eastAsiaTheme="minorHAnsi" w:cs="Calibri"/>
          <w:i/>
          <w:iCs/>
          <w:szCs w:val="20"/>
        </w:rPr>
      </w:pPr>
      <w:r w:rsidRPr="002B23D3">
        <w:rPr>
          <w:rFonts w:eastAsiaTheme="minorHAnsi" w:cs="Calibri"/>
          <w:i/>
          <w:iCs/>
          <w:szCs w:val="20"/>
        </w:rPr>
        <w:t xml:space="preserve">Table </w:t>
      </w:r>
      <w:r w:rsidR="009D7FDE" w:rsidRPr="002B23D3">
        <w:rPr>
          <w:rFonts w:eastAsiaTheme="minorHAnsi" w:cs="Calibri"/>
          <w:i/>
          <w:iCs/>
          <w:szCs w:val="20"/>
        </w:rPr>
        <w:t>1:</w:t>
      </w:r>
      <w:r w:rsidRPr="002B23D3">
        <w:rPr>
          <w:rFonts w:eastAsiaTheme="minorHAnsi" w:cs="Calibri"/>
          <w:i/>
          <w:iCs/>
          <w:szCs w:val="20"/>
        </w:rPr>
        <w:t xml:space="preserve"> Conceptual propositions and Delivery Decision Requirements.</w:t>
      </w:r>
    </w:p>
    <w:tbl>
      <w:tblPr>
        <w:tblStyle w:val="TableGrid"/>
        <w:tblW w:w="5000" w:type="pct"/>
        <w:tblLook w:val="04A0" w:firstRow="1" w:lastRow="0" w:firstColumn="1" w:lastColumn="0" w:noHBand="0" w:noVBand="1"/>
      </w:tblPr>
      <w:tblGrid>
        <w:gridCol w:w="782"/>
        <w:gridCol w:w="3125"/>
        <w:gridCol w:w="5627"/>
      </w:tblGrid>
      <w:tr w:rsidR="006E490B" w:rsidRPr="002B23D3" w14:paraId="76886D07" w14:textId="77777777" w:rsidTr="00F609E0">
        <w:tc>
          <w:tcPr>
            <w:tcW w:w="410" w:type="pct"/>
            <w:vAlign w:val="center"/>
          </w:tcPr>
          <w:p w14:paraId="7BBD8BD9" w14:textId="77777777" w:rsidR="006E490B" w:rsidRPr="002B23D3" w:rsidRDefault="006E490B" w:rsidP="006A7A55">
            <w:pPr>
              <w:keepNext/>
              <w:spacing w:line="235" w:lineRule="auto"/>
              <w:jc w:val="center"/>
              <w:rPr>
                <w:rFonts w:eastAsiaTheme="minorHAnsi" w:cs="Calibri"/>
                <w:bCs/>
                <w:szCs w:val="20"/>
              </w:rPr>
            </w:pPr>
            <w:r w:rsidRPr="002B23D3">
              <w:rPr>
                <w:rFonts w:eastAsiaTheme="minorHAnsi" w:cs="Calibri"/>
                <w:bCs/>
                <w:szCs w:val="20"/>
              </w:rPr>
              <w:t>Prop.</w:t>
            </w:r>
          </w:p>
        </w:tc>
        <w:tc>
          <w:tcPr>
            <w:tcW w:w="1639" w:type="pct"/>
            <w:vAlign w:val="center"/>
          </w:tcPr>
          <w:p w14:paraId="31AAF1FA" w14:textId="77777777" w:rsidR="006E490B" w:rsidRPr="002B23D3" w:rsidRDefault="006E490B" w:rsidP="006A7A55">
            <w:pPr>
              <w:keepNext/>
              <w:spacing w:line="235" w:lineRule="auto"/>
              <w:jc w:val="center"/>
              <w:rPr>
                <w:rFonts w:eastAsiaTheme="minorHAnsi" w:cs="Calibri"/>
                <w:bCs/>
                <w:szCs w:val="20"/>
              </w:rPr>
            </w:pPr>
            <w:r w:rsidRPr="002B23D3">
              <w:rPr>
                <w:rFonts w:eastAsiaTheme="minorHAnsi" w:cs="Calibri"/>
                <w:bCs/>
                <w:szCs w:val="20"/>
              </w:rPr>
              <w:t>Conceptual relationship</w:t>
            </w:r>
          </w:p>
        </w:tc>
        <w:tc>
          <w:tcPr>
            <w:tcW w:w="2950" w:type="pct"/>
            <w:vAlign w:val="center"/>
          </w:tcPr>
          <w:p w14:paraId="0611DE43" w14:textId="77777777" w:rsidR="006E490B" w:rsidRPr="002B23D3" w:rsidRDefault="006E490B" w:rsidP="006A7A55">
            <w:pPr>
              <w:keepNext/>
              <w:spacing w:line="235" w:lineRule="auto"/>
              <w:jc w:val="center"/>
              <w:rPr>
                <w:rFonts w:eastAsiaTheme="minorHAnsi" w:cs="Calibri"/>
                <w:bCs/>
                <w:szCs w:val="20"/>
              </w:rPr>
            </w:pPr>
            <w:r w:rsidRPr="002B23D3">
              <w:rPr>
                <w:rFonts w:eastAsiaTheme="minorHAnsi" w:cs="Calibri"/>
                <w:bCs/>
                <w:szCs w:val="20"/>
              </w:rPr>
              <w:t>Delivery Decision Requirement and observable behaviour</w:t>
            </w:r>
          </w:p>
        </w:tc>
      </w:tr>
      <w:tr w:rsidR="006E490B" w:rsidRPr="002B23D3" w14:paraId="5E07A779" w14:textId="77777777" w:rsidTr="00F609E0">
        <w:tc>
          <w:tcPr>
            <w:tcW w:w="410" w:type="pct"/>
            <w:vAlign w:val="center"/>
          </w:tcPr>
          <w:p w14:paraId="6ACBAAB0"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P1</w:t>
            </w:r>
          </w:p>
        </w:tc>
        <w:tc>
          <w:tcPr>
            <w:tcW w:w="1639" w:type="pct"/>
            <w:vAlign w:val="center"/>
          </w:tcPr>
          <w:p w14:paraId="2260199A"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Regional need does not establish site viability.</w:t>
            </w:r>
          </w:p>
        </w:tc>
        <w:tc>
          <w:tcPr>
            <w:tcW w:w="2950" w:type="pct"/>
            <w:vAlign w:val="center"/>
          </w:tcPr>
          <w:p w14:paraId="5BC2DF91"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DDR1: Separate demand indicators from parcel evidence; demand cannot override a failed gate.</w:t>
            </w:r>
          </w:p>
        </w:tc>
      </w:tr>
      <w:tr w:rsidR="006E490B" w:rsidRPr="002B23D3" w14:paraId="08D04F10" w14:textId="77777777" w:rsidTr="00F609E0">
        <w:tc>
          <w:tcPr>
            <w:tcW w:w="410" w:type="pct"/>
            <w:vAlign w:val="center"/>
          </w:tcPr>
          <w:p w14:paraId="66B0B914"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P2</w:t>
            </w:r>
          </w:p>
        </w:tc>
        <w:tc>
          <w:tcPr>
            <w:tcW w:w="1639" w:type="pct"/>
            <w:vAlign w:val="center"/>
          </w:tcPr>
          <w:p w14:paraId="24B9123A"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Site and configuration are co-evaluated.</w:t>
            </w:r>
          </w:p>
        </w:tc>
        <w:tc>
          <w:tcPr>
            <w:tcW w:w="2950" w:type="pct"/>
            <w:vAlign w:val="center"/>
          </w:tcPr>
          <w:p w14:paraId="6AFD0C5D"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DDR2: Link site and configuration; propagate changes across grid, water, carbon, cost and programme.</w:t>
            </w:r>
          </w:p>
        </w:tc>
      </w:tr>
      <w:tr w:rsidR="006E490B" w:rsidRPr="002B23D3" w14:paraId="66D7A160" w14:textId="77777777" w:rsidTr="00F609E0">
        <w:tc>
          <w:tcPr>
            <w:tcW w:w="410" w:type="pct"/>
            <w:vAlign w:val="center"/>
          </w:tcPr>
          <w:p w14:paraId="3A75D548"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P3</w:t>
            </w:r>
          </w:p>
        </w:tc>
        <w:tc>
          <w:tcPr>
            <w:tcW w:w="1639" w:type="pct"/>
            <w:vAlign w:val="center"/>
          </w:tcPr>
          <w:p w14:paraId="5583F509"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Environmental context modifies alternatives and gate status.</w:t>
            </w:r>
          </w:p>
        </w:tc>
        <w:tc>
          <w:tcPr>
            <w:tcW w:w="2950" w:type="pct"/>
            <w:vAlign w:val="center"/>
          </w:tcPr>
          <w:p w14:paraId="425C37DB"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DDR3: Record source, scale, authority, currency and validity; replace screening proxies before commitment.</w:t>
            </w:r>
          </w:p>
        </w:tc>
      </w:tr>
      <w:tr w:rsidR="006E490B" w:rsidRPr="002B23D3" w14:paraId="2E0393FE" w14:textId="77777777" w:rsidTr="00F609E0">
        <w:tc>
          <w:tcPr>
            <w:tcW w:w="410" w:type="pct"/>
            <w:vAlign w:val="center"/>
          </w:tcPr>
          <w:p w14:paraId="7956D163"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P4</w:t>
            </w:r>
          </w:p>
        </w:tc>
        <w:tc>
          <w:tcPr>
            <w:tcW w:w="1639" w:type="pct"/>
            <w:vAlign w:val="center"/>
          </w:tcPr>
          <w:p w14:paraId="12ABCA4A"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Community Legitimacy and Justice shape configuration and site admissibility.</w:t>
            </w:r>
          </w:p>
        </w:tc>
        <w:tc>
          <w:tcPr>
            <w:tcW w:w="2950" w:type="pct"/>
            <w:vAlign w:val="center"/>
          </w:tcPr>
          <w:p w14:paraId="637C2E28"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DDR4: Treat participation, burdens, benefits, recognition, trust and commitments as auditable evidence.</w:t>
            </w:r>
          </w:p>
        </w:tc>
      </w:tr>
      <w:tr w:rsidR="006E490B" w:rsidRPr="002B23D3" w14:paraId="7402DC01" w14:textId="77777777" w:rsidTr="00F609E0">
        <w:tc>
          <w:tcPr>
            <w:tcW w:w="410" w:type="pct"/>
            <w:vAlign w:val="center"/>
          </w:tcPr>
          <w:p w14:paraId="5A513A7C"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P5</w:t>
            </w:r>
          </w:p>
        </w:tc>
        <w:tc>
          <w:tcPr>
            <w:tcW w:w="1639" w:type="pct"/>
            <w:vAlign w:val="center"/>
          </w:tcPr>
          <w:p w14:paraId="793D7E43"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Failed gates preclude progression; unknown evidence requires withholding.</w:t>
            </w:r>
          </w:p>
        </w:tc>
        <w:tc>
          <w:tcPr>
            <w:tcW w:w="2950" w:type="pct"/>
            <w:vAlign w:val="center"/>
          </w:tcPr>
          <w:p w14:paraId="4721BAAA" w14:textId="77777777" w:rsidR="006E490B" w:rsidRPr="002B23D3" w:rsidRDefault="006E490B" w:rsidP="006A7A55">
            <w:pPr>
              <w:keepNext/>
              <w:spacing w:line="235" w:lineRule="auto"/>
              <w:jc w:val="center"/>
              <w:rPr>
                <w:rFonts w:eastAsiaTheme="minorHAnsi" w:cs="Calibri"/>
                <w:szCs w:val="20"/>
              </w:rPr>
            </w:pPr>
            <w:r w:rsidRPr="002B23D3">
              <w:rPr>
                <w:rFonts w:eastAsiaTheme="minorHAnsi" w:cs="Calibri"/>
                <w:szCs w:val="20"/>
              </w:rPr>
              <w:t>DDR5: Apply pre-agreed gate criteria and minimum evidence requirements. Each gate records its evidence owner, currency rule and approval authority. Fail results in Reject; Unknown or unaccepted critical evidence results in Withhold.</w:t>
            </w:r>
          </w:p>
        </w:tc>
      </w:tr>
    </w:tbl>
    <w:p w14:paraId="097D05D1" w14:textId="77777777" w:rsidR="006E490B" w:rsidRPr="002B23D3" w:rsidRDefault="006E490B" w:rsidP="006A7A55">
      <w:pPr>
        <w:keepNext/>
        <w:spacing w:line="235" w:lineRule="auto"/>
        <w:jc w:val="center"/>
        <w:rPr>
          <w:rFonts w:eastAsiaTheme="minorHAnsi" w:cs="Calibri"/>
          <w:i/>
          <w:iCs/>
          <w:szCs w:val="20"/>
        </w:rPr>
      </w:pPr>
    </w:p>
    <w:p w14:paraId="22D48C15" w14:textId="0DC33BEF" w:rsidR="00367938" w:rsidRPr="002B23D3" w:rsidRDefault="00F2479D" w:rsidP="006A7A55">
      <w:pPr>
        <w:spacing w:line="235" w:lineRule="auto"/>
        <w:rPr>
          <w:rFonts w:eastAsiaTheme="minorHAnsi" w:cs="Calibri"/>
          <w:b/>
          <w:bCs/>
          <w:sz w:val="28"/>
          <w:szCs w:val="28"/>
        </w:rPr>
      </w:pPr>
      <w:r w:rsidRPr="002B23D3">
        <w:rPr>
          <w:rFonts w:eastAsiaTheme="minorHAnsi" w:cs="Calibri"/>
          <w:b/>
          <w:bCs/>
          <w:sz w:val="28"/>
          <w:szCs w:val="28"/>
        </w:rPr>
        <w:t xml:space="preserve">5. </w:t>
      </w:r>
      <w:r w:rsidR="003845E1" w:rsidRPr="002B23D3">
        <w:rPr>
          <w:rFonts w:eastAsiaTheme="minorHAnsi" w:cs="Calibri"/>
          <w:b/>
          <w:bCs/>
          <w:sz w:val="28"/>
          <w:szCs w:val="28"/>
        </w:rPr>
        <w:t>PROPOSED DECISION-SUPPORT ARCHITECTURE AND ILLUSTRATIVE SCENARIO</w:t>
      </w:r>
    </w:p>
    <w:p w14:paraId="4F0ED373" w14:textId="55753FC7" w:rsidR="00367938" w:rsidRPr="002B23D3" w:rsidRDefault="00F2479D" w:rsidP="00AA6255">
      <w:pPr>
        <w:rPr>
          <w:rFonts w:eastAsiaTheme="minorHAnsi" w:cs="Calibri"/>
          <w:b/>
          <w:bCs/>
          <w:sz w:val="24"/>
          <w:szCs w:val="24"/>
        </w:rPr>
      </w:pPr>
      <w:r w:rsidRPr="002B23D3">
        <w:rPr>
          <w:rFonts w:eastAsiaTheme="minorHAnsi" w:cs="Calibri"/>
          <w:b/>
          <w:bCs/>
          <w:sz w:val="24"/>
          <w:szCs w:val="24"/>
        </w:rPr>
        <w:t xml:space="preserve">5.1 Human-authorised </w:t>
      </w:r>
      <w:r w:rsidR="003F1222" w:rsidRPr="002B23D3">
        <w:rPr>
          <w:rFonts w:eastAsiaTheme="minorHAnsi" w:cs="Calibri"/>
          <w:b/>
          <w:bCs/>
          <w:sz w:val="24"/>
          <w:szCs w:val="24"/>
        </w:rPr>
        <w:t xml:space="preserve">decision-support architecture </w:t>
      </w:r>
    </w:p>
    <w:p w14:paraId="26C6F65B" w14:textId="77777777" w:rsidR="00676AFB" w:rsidRPr="00676AFB" w:rsidRDefault="00676AFB" w:rsidP="00EF440C">
      <w:pPr>
        <w:spacing w:line="235" w:lineRule="auto"/>
        <w:ind w:firstLine="289"/>
        <w:jc w:val="both"/>
        <w:rPr>
          <w:rFonts w:eastAsiaTheme="minorHAnsi" w:cs="Calibri"/>
          <w:sz w:val="22"/>
        </w:rPr>
      </w:pPr>
      <w:r w:rsidRPr="00676AFB">
        <w:rPr>
          <w:rFonts w:eastAsiaTheme="minorHAnsi" w:cs="Calibri"/>
          <w:sz w:val="22"/>
        </w:rPr>
        <w:t>The proposed architecture is conceptual and implementation-neutral. A Gate Register and Evidence and Decision Ledger could operate through conventional project systems or rules-based workflows and later through knowledge graphs, retrieval systems, digital twins or agentic tools. The theoretical requirement is preservation of gate criteria, provenance, currency, conflict status and accountable human decision rights, not a particular software stack. External requirements, including the NSW Data Centre Guidelines, may be encoded as gate criteria, but claimed compliance remains evidence for review rather than automatic proof of Commitment-ready status.</w:t>
      </w:r>
    </w:p>
    <w:p w14:paraId="39E5CAA4" w14:textId="77777777" w:rsidR="00676AFB" w:rsidRPr="00676AFB" w:rsidRDefault="00676AFB" w:rsidP="00EF440C">
      <w:pPr>
        <w:spacing w:line="235" w:lineRule="auto"/>
        <w:ind w:firstLine="289"/>
        <w:jc w:val="both"/>
        <w:rPr>
          <w:rFonts w:eastAsiaTheme="minorHAnsi" w:cs="Calibri"/>
          <w:sz w:val="22"/>
        </w:rPr>
      </w:pPr>
      <w:r w:rsidRPr="00676AFB">
        <w:rPr>
          <w:rFonts w:eastAsiaTheme="minorHAnsi" w:cs="Calibri"/>
          <w:sz w:val="22"/>
        </w:rPr>
        <w:t>The approved Gate Register defines project-specific criteria and evidence requirements. The Evidence and Decision Ledger records source, version, date, scope, boundary, authority, evidence status, conflict status, resolution or dissent, conditions, owners and review triggers. Domain analyses assess GE, WC, PL, EB, PDC and CLJ, with cost and embodied carbon treated as comparative dimensions unless a binding threshold makes them non-compensatory. The cross-domain readiness coordination function compares dependencies, checks evidence status against the Gate Register, surfaces conflicts and applies Equation (3) to produce a draft readiness assessment. Unresolved authoritative conflicts are routed to Gate 2 rather than reconciled autonomously. Gate 3 retains accountable human authorisation, and authorised decisions and conditions return to the ledger.</w:t>
      </w:r>
    </w:p>
    <w:p w14:paraId="5FA033CA" w14:textId="3F9BB74A" w:rsidR="00367938" w:rsidRDefault="00676AFB" w:rsidP="00EF440C">
      <w:pPr>
        <w:spacing w:line="235" w:lineRule="auto"/>
        <w:ind w:firstLine="289"/>
        <w:jc w:val="both"/>
        <w:rPr>
          <w:rFonts w:eastAsiaTheme="minorHAnsi" w:cs="Calibri"/>
          <w:sz w:val="22"/>
        </w:rPr>
      </w:pPr>
      <w:r w:rsidRPr="00676AFB">
        <w:rPr>
          <w:rFonts w:eastAsiaTheme="minorHAnsi" w:cs="Calibri"/>
          <w:sz w:val="22"/>
        </w:rPr>
        <w:t xml:space="preserve">Conflicts are distinguished as evidential or normative. Evidential conflict occurs when relevant sources disagree because of different versions, dates, scopes, assumptions, authorities or boundaries. Both sources remain visible in the ledger and the affected gate remains Unknown until Gate 2 accepts an interpretation </w:t>
      </w:r>
      <w:r w:rsidRPr="00676AFB">
        <w:rPr>
          <w:rFonts w:eastAsiaTheme="minorHAnsi" w:cs="Calibri"/>
          <w:sz w:val="22"/>
        </w:rPr>
        <w:lastRenderedPageBreak/>
        <w:t>or requests more evidence. Where disagreement concerns rights, values, distribution of burdens or the legitimacy of a proposed condition rather than the factual status of evidence, the system records and escalates the disagreement; it does not infer consensus or resolve the normative issue computationally. The ledger records affected-group positions, relevant justice dimensions, proposed mitigation, outstanding commitments and unresolved dissent rather than converting disagreement into a sentiment score. Gate 3 may accept explicit conditions, require further engagement or retain Withhold</w:t>
      </w:r>
      <w:r w:rsidR="00D62C74" w:rsidRPr="002B23D3">
        <w:rPr>
          <w:rFonts w:eastAsiaTheme="minorHAnsi" w:cs="Calibri"/>
          <w:sz w:val="22"/>
        </w:rPr>
        <w:t>.</w:t>
      </w:r>
    </w:p>
    <w:p w14:paraId="381046BF" w14:textId="77777777" w:rsidR="002B1EA2" w:rsidRPr="00EF440C" w:rsidRDefault="002B1EA2" w:rsidP="00EF440C">
      <w:pPr>
        <w:spacing w:line="235" w:lineRule="auto"/>
        <w:ind w:firstLine="289"/>
        <w:jc w:val="both"/>
        <w:rPr>
          <w:rFonts w:eastAsiaTheme="minorHAnsi" w:cs="Calibri"/>
          <w:sz w:val="16"/>
          <w:szCs w:val="16"/>
        </w:rPr>
      </w:pPr>
    </w:p>
    <w:p w14:paraId="21E05FDA" w14:textId="5E14DD14" w:rsidR="00DF6D43" w:rsidRPr="002B23D3" w:rsidRDefault="002B1EA2" w:rsidP="00EF440C">
      <w:pPr>
        <w:spacing w:line="235" w:lineRule="auto"/>
        <w:jc w:val="center"/>
      </w:pPr>
      <w:r>
        <w:rPr>
          <w:noProof/>
        </w:rPr>
        <w:drawing>
          <wp:inline distT="0" distB="0" distL="0" distR="0" wp14:anchorId="61723403" wp14:editId="0C3E826D">
            <wp:extent cx="5895340" cy="2219325"/>
            <wp:effectExtent l="0" t="0" r="0" b="9525"/>
            <wp:docPr id="984842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842645" name="Picture 984842645"/>
                    <pic:cNvPicPr/>
                  </pic:nvPicPr>
                  <pic:blipFill>
                    <a:blip r:embed="rId9">
                      <a:extLst>
                        <a:ext uri="{28A0092B-C50C-407E-A947-70E740481C1C}">
                          <a14:useLocalDpi xmlns:a14="http://schemas.microsoft.com/office/drawing/2010/main" val="0"/>
                        </a:ext>
                      </a:extLst>
                    </a:blip>
                    <a:stretch>
                      <a:fillRect/>
                    </a:stretch>
                  </pic:blipFill>
                  <pic:spPr>
                    <a:xfrm>
                      <a:off x="0" y="0"/>
                      <a:ext cx="5958188" cy="2242984"/>
                    </a:xfrm>
                    <a:prstGeom prst="rect">
                      <a:avLst/>
                    </a:prstGeom>
                  </pic:spPr>
                </pic:pic>
              </a:graphicData>
            </a:graphic>
          </wp:inline>
        </w:drawing>
      </w:r>
    </w:p>
    <w:p w14:paraId="4AB00A1E" w14:textId="77777777" w:rsidR="00E44574" w:rsidRPr="002B23D3" w:rsidRDefault="00E44574" w:rsidP="00EF440C">
      <w:pPr>
        <w:keepNext/>
        <w:spacing w:line="235" w:lineRule="auto"/>
        <w:jc w:val="center"/>
        <w:rPr>
          <w:rFonts w:eastAsiaTheme="minorHAnsi" w:cs="Calibri"/>
          <w:i/>
          <w:iCs/>
          <w:szCs w:val="20"/>
        </w:rPr>
      </w:pPr>
      <w:r w:rsidRPr="002B23D3">
        <w:rPr>
          <w:rFonts w:eastAsiaTheme="minorHAnsi" w:cs="Calibri"/>
          <w:i/>
          <w:iCs/>
          <w:szCs w:val="20"/>
        </w:rPr>
        <w:t>Figure 2: Evidence-governed and human-authorised architecture for data-centre delivery readiness.</w:t>
      </w:r>
    </w:p>
    <w:p w14:paraId="14357729" w14:textId="77777777" w:rsidR="004E2EC6" w:rsidRPr="002B23D3" w:rsidRDefault="004E2EC6" w:rsidP="00EF440C">
      <w:pPr>
        <w:keepNext/>
        <w:spacing w:line="235" w:lineRule="auto"/>
        <w:jc w:val="center"/>
        <w:rPr>
          <w:rFonts w:eastAsiaTheme="minorHAnsi" w:cs="Calibri"/>
          <w:i/>
          <w:iCs/>
          <w:szCs w:val="20"/>
        </w:rPr>
      </w:pPr>
    </w:p>
    <w:p w14:paraId="581B4C1C" w14:textId="2A9AE931" w:rsidR="00367938" w:rsidRPr="002B23D3" w:rsidRDefault="00F2479D" w:rsidP="00EF440C">
      <w:pPr>
        <w:spacing w:line="235" w:lineRule="auto"/>
        <w:rPr>
          <w:rFonts w:eastAsiaTheme="minorHAnsi" w:cs="Calibri"/>
          <w:b/>
          <w:bCs/>
          <w:sz w:val="24"/>
          <w:szCs w:val="24"/>
        </w:rPr>
      </w:pPr>
      <w:r w:rsidRPr="002B23D3">
        <w:rPr>
          <w:rFonts w:eastAsiaTheme="minorHAnsi" w:cs="Calibri"/>
          <w:b/>
          <w:bCs/>
          <w:sz w:val="24"/>
          <w:szCs w:val="24"/>
        </w:rPr>
        <w:t xml:space="preserve">5.2 </w:t>
      </w:r>
      <w:r w:rsidR="004E2EC6" w:rsidRPr="002B23D3">
        <w:rPr>
          <w:rFonts w:eastAsiaTheme="minorHAnsi" w:cs="Calibri"/>
          <w:b/>
          <w:bCs/>
          <w:sz w:val="24"/>
          <w:szCs w:val="24"/>
        </w:rPr>
        <w:t>Illustrative</w:t>
      </w:r>
      <w:r w:rsidRPr="002B23D3">
        <w:rPr>
          <w:rFonts w:eastAsiaTheme="minorHAnsi" w:cs="Calibri"/>
          <w:b/>
          <w:bCs/>
          <w:sz w:val="24"/>
          <w:szCs w:val="24"/>
        </w:rPr>
        <w:t xml:space="preserve"> Sydney </w:t>
      </w:r>
      <w:r w:rsidR="00676AFB">
        <w:rPr>
          <w:rFonts w:eastAsiaTheme="minorHAnsi" w:cs="Calibri"/>
          <w:b/>
          <w:bCs/>
          <w:sz w:val="24"/>
          <w:szCs w:val="24"/>
        </w:rPr>
        <w:t>Decision</w:t>
      </w:r>
      <w:r w:rsidRPr="002B23D3">
        <w:rPr>
          <w:rFonts w:eastAsiaTheme="minorHAnsi" w:cs="Calibri"/>
          <w:b/>
          <w:bCs/>
          <w:sz w:val="24"/>
          <w:szCs w:val="24"/>
        </w:rPr>
        <w:t xml:space="preserve"> </w:t>
      </w:r>
      <w:r w:rsidR="00676AFB">
        <w:rPr>
          <w:rFonts w:eastAsiaTheme="minorHAnsi" w:cs="Calibri"/>
          <w:b/>
          <w:bCs/>
          <w:sz w:val="24"/>
          <w:szCs w:val="24"/>
        </w:rPr>
        <w:t>S</w:t>
      </w:r>
      <w:r w:rsidRPr="002B23D3">
        <w:rPr>
          <w:rFonts w:eastAsiaTheme="minorHAnsi" w:cs="Calibri"/>
          <w:b/>
          <w:bCs/>
          <w:sz w:val="24"/>
          <w:szCs w:val="24"/>
        </w:rPr>
        <w:t>cenario</w:t>
      </w:r>
    </w:p>
    <w:p w14:paraId="7C6CFFA5" w14:textId="77777777" w:rsidR="00493899" w:rsidRPr="00493899" w:rsidRDefault="00493899" w:rsidP="00EF440C">
      <w:pPr>
        <w:spacing w:line="235" w:lineRule="auto"/>
        <w:ind w:firstLine="288"/>
        <w:jc w:val="both"/>
        <w:rPr>
          <w:rFonts w:eastAsiaTheme="minorHAnsi" w:cs="Calibri"/>
          <w:sz w:val="22"/>
        </w:rPr>
      </w:pPr>
      <w:r w:rsidRPr="00493899">
        <w:rPr>
          <w:rFonts w:eastAsiaTheme="minorHAnsi" w:cs="Calibri"/>
          <w:sz w:val="22"/>
        </w:rPr>
        <w:t>The following scenario is a deliberately constructed design probe used to test the explanatory completeness of the framework by traversing all four readiness states. It is not a representative project case, an empirical validation exercise or evidence of predictive performance. Regional indicators suggest a strong strategic case. Site A has excellent fibre and market access, but its firm-load configuration lacks a credible connection date, has an unresolved water pathway and presents a sensitive community interface. Because GE is Fail, Equation (3) classifies Site A as Reject. Site A2 introduces staged energisation, workload flexibility and dry or hybrid heat rejection. No gate fails, but environmental and engagement evidence remain Unknown, so the state is Withhold.</w:t>
      </w:r>
    </w:p>
    <w:p w14:paraId="0054EF7B" w14:textId="7C98569F" w:rsidR="00367938" w:rsidRPr="002B23D3" w:rsidRDefault="00493899" w:rsidP="00EF440C">
      <w:pPr>
        <w:spacing w:line="235" w:lineRule="auto"/>
        <w:ind w:firstLine="288"/>
        <w:jc w:val="both"/>
      </w:pPr>
      <w:r w:rsidRPr="00493899">
        <w:rPr>
          <w:rFonts w:eastAsiaTheme="minorHAnsi" w:cs="Calibri"/>
          <w:sz w:val="22"/>
        </w:rPr>
        <w:t>Site B has a documented connection pathway, compatible land use, lower preliminary environmental sensitivity and earlier stakeholder engagement. Closed-loop liquid cooling aligns with the rack-density roadmap and reduces direct water exposure, although whole-system performance still depends on heat rejection, electricity, noise, commissioning and vendor interfaces. Published evidence indicates that advanced cooling configurations can materially reduce life-cycle emissions, energy demand and blue-water use, although outcomes remain configuration-specific (Alissa et al., 2025). For Site B, the minimum evidence set is accepted, while water, geotechnical, ecological and community gates remain Conditional, with evidence owners and closure actions assigned. Equation (3) therefore classifies Site B as Conditionally ready. Once those conditions are closed and all critical gates pass, Site B+ becomes Commitment-ready. The sequence demonstrates that readiness is not an intrinsic or permanent property of a site: the decision state changes as configuration, evidence and gate conditions change at successive decision times</w:t>
      </w:r>
      <w:r w:rsidR="007643E7" w:rsidRPr="002B23D3">
        <w:t>.</w:t>
      </w:r>
    </w:p>
    <w:p w14:paraId="3D001994" w14:textId="77777777" w:rsidR="009D7FDE" w:rsidRPr="00EF440C" w:rsidRDefault="009D7FDE" w:rsidP="00AA6255">
      <w:pPr>
        <w:ind w:firstLine="288"/>
        <w:jc w:val="both"/>
        <w:rPr>
          <w:sz w:val="18"/>
          <w:szCs w:val="18"/>
        </w:rPr>
      </w:pPr>
    </w:p>
    <w:p w14:paraId="5573FE86" w14:textId="520562DD" w:rsidR="00367938" w:rsidRPr="002B23D3" w:rsidRDefault="00BD4412" w:rsidP="00AA6255">
      <w:pPr>
        <w:keepNext/>
        <w:jc w:val="center"/>
        <w:rPr>
          <w:rFonts w:eastAsiaTheme="minorHAnsi" w:cs="Calibri"/>
          <w:i/>
          <w:iCs/>
          <w:szCs w:val="20"/>
        </w:rPr>
      </w:pPr>
      <w:r w:rsidRPr="002B23D3">
        <w:rPr>
          <w:rFonts w:eastAsiaTheme="minorHAnsi" w:cs="Calibri"/>
          <w:i/>
          <w:iCs/>
          <w:szCs w:val="20"/>
        </w:rPr>
        <w:t>Table 2: Illustrative progression through the four DCDR readiness states.</w:t>
      </w:r>
    </w:p>
    <w:tbl>
      <w:tblPr>
        <w:tblStyle w:val="TableGrid"/>
        <w:tblW w:w="5000" w:type="pct"/>
        <w:tblLook w:val="04A0" w:firstRow="1" w:lastRow="0" w:firstColumn="1" w:lastColumn="0" w:noHBand="0" w:noVBand="1"/>
      </w:tblPr>
      <w:tblGrid>
        <w:gridCol w:w="686"/>
        <w:gridCol w:w="3562"/>
        <w:gridCol w:w="1842"/>
        <w:gridCol w:w="3444"/>
      </w:tblGrid>
      <w:tr w:rsidR="006F6E91" w:rsidRPr="002B23D3" w14:paraId="77EC568C" w14:textId="77777777" w:rsidTr="00F609E0">
        <w:tc>
          <w:tcPr>
            <w:tcW w:w="360" w:type="pct"/>
            <w:vAlign w:val="center"/>
          </w:tcPr>
          <w:p w14:paraId="22453253" w14:textId="77777777" w:rsidR="006F6E91" w:rsidRPr="002B23D3" w:rsidRDefault="006F6E91" w:rsidP="00F609E0">
            <w:pPr>
              <w:rPr>
                <w:bCs/>
                <w:szCs w:val="20"/>
              </w:rPr>
            </w:pPr>
            <w:r w:rsidRPr="002B23D3">
              <w:rPr>
                <w:bCs/>
                <w:szCs w:val="20"/>
              </w:rPr>
              <w:t>State</w:t>
            </w:r>
          </w:p>
        </w:tc>
        <w:tc>
          <w:tcPr>
            <w:tcW w:w="1868" w:type="pct"/>
            <w:vAlign w:val="center"/>
          </w:tcPr>
          <w:p w14:paraId="53A864C8" w14:textId="77777777" w:rsidR="006F6E91" w:rsidRPr="002B23D3" w:rsidRDefault="006F6E91" w:rsidP="00F609E0">
            <w:pPr>
              <w:rPr>
                <w:bCs/>
                <w:szCs w:val="20"/>
              </w:rPr>
            </w:pPr>
            <w:r w:rsidRPr="002B23D3">
              <w:rPr>
                <w:bCs/>
                <w:szCs w:val="20"/>
              </w:rPr>
              <w:t>Determining condition</w:t>
            </w:r>
          </w:p>
        </w:tc>
        <w:tc>
          <w:tcPr>
            <w:tcW w:w="966" w:type="pct"/>
            <w:vAlign w:val="center"/>
          </w:tcPr>
          <w:p w14:paraId="7E2F2332" w14:textId="77777777" w:rsidR="006F6E91" w:rsidRPr="002B23D3" w:rsidRDefault="006F6E91" w:rsidP="00F609E0">
            <w:pPr>
              <w:rPr>
                <w:bCs/>
                <w:szCs w:val="20"/>
              </w:rPr>
            </w:pPr>
            <w:r w:rsidRPr="002B23D3">
              <w:rPr>
                <w:bCs/>
                <w:szCs w:val="20"/>
              </w:rPr>
              <w:t>Classification</w:t>
            </w:r>
          </w:p>
        </w:tc>
        <w:tc>
          <w:tcPr>
            <w:tcW w:w="1806" w:type="pct"/>
            <w:vAlign w:val="center"/>
          </w:tcPr>
          <w:p w14:paraId="71662D7F" w14:textId="77777777" w:rsidR="006F6E91" w:rsidRPr="002B23D3" w:rsidRDefault="006F6E91" w:rsidP="00F609E0">
            <w:pPr>
              <w:rPr>
                <w:bCs/>
                <w:szCs w:val="20"/>
              </w:rPr>
            </w:pPr>
            <w:r w:rsidRPr="002B23D3">
              <w:rPr>
                <w:bCs/>
                <w:szCs w:val="20"/>
              </w:rPr>
              <w:t>Required action</w:t>
            </w:r>
          </w:p>
        </w:tc>
      </w:tr>
      <w:tr w:rsidR="006F6E91" w:rsidRPr="002B23D3" w14:paraId="0B377B98" w14:textId="77777777" w:rsidTr="00F609E0">
        <w:tc>
          <w:tcPr>
            <w:tcW w:w="360" w:type="pct"/>
            <w:vAlign w:val="center"/>
          </w:tcPr>
          <w:p w14:paraId="40C12AFA" w14:textId="77777777" w:rsidR="006F6E91" w:rsidRPr="002B23D3" w:rsidRDefault="006F6E91" w:rsidP="00F609E0">
            <w:pPr>
              <w:rPr>
                <w:bCs/>
                <w:szCs w:val="20"/>
              </w:rPr>
            </w:pPr>
            <w:r w:rsidRPr="002B23D3">
              <w:rPr>
                <w:bCs/>
                <w:szCs w:val="20"/>
              </w:rPr>
              <w:t>A</w:t>
            </w:r>
          </w:p>
        </w:tc>
        <w:tc>
          <w:tcPr>
            <w:tcW w:w="1868" w:type="pct"/>
            <w:vAlign w:val="center"/>
          </w:tcPr>
          <w:p w14:paraId="4D9A84DF" w14:textId="77777777" w:rsidR="006F6E91" w:rsidRPr="002B23D3" w:rsidRDefault="006F6E91" w:rsidP="00F609E0">
            <w:pPr>
              <w:rPr>
                <w:bCs/>
                <w:szCs w:val="20"/>
              </w:rPr>
            </w:pPr>
            <w:r w:rsidRPr="002B23D3">
              <w:rPr>
                <w:bCs/>
                <w:szCs w:val="20"/>
              </w:rPr>
              <w:t>GE = Fail</w:t>
            </w:r>
          </w:p>
        </w:tc>
        <w:tc>
          <w:tcPr>
            <w:tcW w:w="966" w:type="pct"/>
            <w:vAlign w:val="center"/>
          </w:tcPr>
          <w:p w14:paraId="3BE846DD" w14:textId="77777777" w:rsidR="006F6E91" w:rsidRPr="002B23D3" w:rsidRDefault="006F6E91" w:rsidP="00F609E0">
            <w:pPr>
              <w:rPr>
                <w:bCs/>
                <w:szCs w:val="20"/>
              </w:rPr>
            </w:pPr>
            <w:r w:rsidRPr="002B23D3">
              <w:rPr>
                <w:bCs/>
                <w:szCs w:val="20"/>
              </w:rPr>
              <w:t>Reject</w:t>
            </w:r>
          </w:p>
        </w:tc>
        <w:tc>
          <w:tcPr>
            <w:tcW w:w="1806" w:type="pct"/>
            <w:vAlign w:val="center"/>
          </w:tcPr>
          <w:p w14:paraId="58F35CAF" w14:textId="77777777" w:rsidR="006F6E91" w:rsidRPr="002B23D3" w:rsidRDefault="006F6E91" w:rsidP="00F609E0">
            <w:pPr>
              <w:rPr>
                <w:bCs/>
                <w:szCs w:val="20"/>
              </w:rPr>
            </w:pPr>
            <w:r w:rsidRPr="002B23D3">
              <w:rPr>
                <w:bCs/>
                <w:szCs w:val="20"/>
              </w:rPr>
              <w:t>Reconfigure or discontinue</w:t>
            </w:r>
          </w:p>
        </w:tc>
      </w:tr>
      <w:tr w:rsidR="006F6E91" w:rsidRPr="002B23D3" w14:paraId="18FB6DE9" w14:textId="77777777" w:rsidTr="00F609E0">
        <w:tc>
          <w:tcPr>
            <w:tcW w:w="360" w:type="pct"/>
            <w:vAlign w:val="center"/>
          </w:tcPr>
          <w:p w14:paraId="6A8D3DC6" w14:textId="77777777" w:rsidR="006F6E91" w:rsidRPr="002B23D3" w:rsidRDefault="006F6E91" w:rsidP="00F609E0">
            <w:pPr>
              <w:rPr>
                <w:bCs/>
                <w:szCs w:val="20"/>
              </w:rPr>
            </w:pPr>
            <w:r w:rsidRPr="002B23D3">
              <w:rPr>
                <w:bCs/>
                <w:szCs w:val="20"/>
              </w:rPr>
              <w:t>A2</w:t>
            </w:r>
          </w:p>
        </w:tc>
        <w:tc>
          <w:tcPr>
            <w:tcW w:w="1868" w:type="pct"/>
            <w:vAlign w:val="center"/>
          </w:tcPr>
          <w:p w14:paraId="4787C0AD" w14:textId="77777777" w:rsidR="006F6E91" w:rsidRPr="002B23D3" w:rsidRDefault="006F6E91" w:rsidP="00F609E0">
            <w:pPr>
              <w:rPr>
                <w:bCs/>
                <w:szCs w:val="20"/>
              </w:rPr>
            </w:pPr>
            <w:r w:rsidRPr="002B23D3">
              <w:rPr>
                <w:bCs/>
                <w:szCs w:val="20"/>
              </w:rPr>
              <w:t>No Fail; EB or CLJ = Unknown, or critical evidence unaccepted</w:t>
            </w:r>
          </w:p>
        </w:tc>
        <w:tc>
          <w:tcPr>
            <w:tcW w:w="966" w:type="pct"/>
            <w:vAlign w:val="center"/>
          </w:tcPr>
          <w:p w14:paraId="3DF78E54" w14:textId="77777777" w:rsidR="006F6E91" w:rsidRPr="002B23D3" w:rsidRDefault="006F6E91" w:rsidP="00F609E0">
            <w:pPr>
              <w:rPr>
                <w:bCs/>
                <w:szCs w:val="20"/>
              </w:rPr>
            </w:pPr>
            <w:r w:rsidRPr="002B23D3">
              <w:rPr>
                <w:bCs/>
                <w:szCs w:val="20"/>
              </w:rPr>
              <w:t>Withhold</w:t>
            </w:r>
          </w:p>
        </w:tc>
        <w:tc>
          <w:tcPr>
            <w:tcW w:w="1806" w:type="pct"/>
            <w:vAlign w:val="center"/>
          </w:tcPr>
          <w:p w14:paraId="5D1C126B" w14:textId="77777777" w:rsidR="006F6E91" w:rsidRPr="002B23D3" w:rsidRDefault="006F6E91" w:rsidP="00F609E0">
            <w:pPr>
              <w:rPr>
                <w:bCs/>
                <w:szCs w:val="20"/>
              </w:rPr>
            </w:pPr>
            <w:r w:rsidRPr="002B23D3">
              <w:rPr>
                <w:bCs/>
                <w:szCs w:val="20"/>
              </w:rPr>
              <w:t>Obtain and accept missing evidence</w:t>
            </w:r>
          </w:p>
        </w:tc>
      </w:tr>
      <w:tr w:rsidR="006F6E91" w:rsidRPr="002B23D3" w14:paraId="43C6AC26" w14:textId="77777777" w:rsidTr="00F609E0">
        <w:tc>
          <w:tcPr>
            <w:tcW w:w="360" w:type="pct"/>
            <w:vAlign w:val="center"/>
          </w:tcPr>
          <w:p w14:paraId="00B451B9" w14:textId="77777777" w:rsidR="006F6E91" w:rsidRPr="002B23D3" w:rsidRDefault="006F6E91" w:rsidP="00F609E0">
            <w:pPr>
              <w:rPr>
                <w:bCs/>
                <w:szCs w:val="20"/>
              </w:rPr>
            </w:pPr>
            <w:r w:rsidRPr="002B23D3">
              <w:rPr>
                <w:bCs/>
                <w:szCs w:val="20"/>
              </w:rPr>
              <w:t>B</w:t>
            </w:r>
          </w:p>
        </w:tc>
        <w:tc>
          <w:tcPr>
            <w:tcW w:w="1868" w:type="pct"/>
            <w:vAlign w:val="center"/>
          </w:tcPr>
          <w:p w14:paraId="20AFE406" w14:textId="77777777" w:rsidR="006F6E91" w:rsidRPr="002B23D3" w:rsidRDefault="006F6E91" w:rsidP="00F609E0">
            <w:pPr>
              <w:rPr>
                <w:bCs/>
                <w:szCs w:val="20"/>
              </w:rPr>
            </w:pPr>
            <w:r w:rsidRPr="002B23D3">
              <w:rPr>
                <w:bCs/>
                <w:szCs w:val="20"/>
              </w:rPr>
              <w:t>No Fail or Unknown; at least one Conditional gate</w:t>
            </w:r>
          </w:p>
        </w:tc>
        <w:tc>
          <w:tcPr>
            <w:tcW w:w="966" w:type="pct"/>
            <w:vAlign w:val="center"/>
          </w:tcPr>
          <w:p w14:paraId="16CB8E67" w14:textId="77777777" w:rsidR="006F6E91" w:rsidRPr="002B23D3" w:rsidRDefault="006F6E91" w:rsidP="00F609E0">
            <w:pPr>
              <w:rPr>
                <w:bCs/>
                <w:szCs w:val="20"/>
              </w:rPr>
            </w:pPr>
            <w:r w:rsidRPr="002B23D3">
              <w:rPr>
                <w:bCs/>
                <w:szCs w:val="20"/>
              </w:rPr>
              <w:t>Conditionally ready</w:t>
            </w:r>
          </w:p>
        </w:tc>
        <w:tc>
          <w:tcPr>
            <w:tcW w:w="1806" w:type="pct"/>
            <w:vAlign w:val="center"/>
          </w:tcPr>
          <w:p w14:paraId="1A22CAB1" w14:textId="77777777" w:rsidR="006F6E91" w:rsidRPr="002B23D3" w:rsidRDefault="006F6E91" w:rsidP="00F609E0">
            <w:pPr>
              <w:rPr>
                <w:bCs/>
                <w:szCs w:val="20"/>
              </w:rPr>
            </w:pPr>
            <w:r w:rsidRPr="002B23D3">
              <w:rPr>
                <w:bCs/>
                <w:szCs w:val="20"/>
              </w:rPr>
              <w:t>Close assigned conditions</w:t>
            </w:r>
          </w:p>
        </w:tc>
      </w:tr>
      <w:tr w:rsidR="006F6E91" w:rsidRPr="002B23D3" w14:paraId="6BD09364" w14:textId="77777777" w:rsidTr="00F609E0">
        <w:tc>
          <w:tcPr>
            <w:tcW w:w="360" w:type="pct"/>
            <w:vAlign w:val="center"/>
          </w:tcPr>
          <w:p w14:paraId="37C706B5" w14:textId="77777777" w:rsidR="006F6E91" w:rsidRPr="002B23D3" w:rsidRDefault="006F6E91" w:rsidP="00F609E0">
            <w:pPr>
              <w:rPr>
                <w:bCs/>
                <w:szCs w:val="20"/>
              </w:rPr>
            </w:pPr>
            <w:r w:rsidRPr="002B23D3">
              <w:rPr>
                <w:bCs/>
                <w:szCs w:val="20"/>
              </w:rPr>
              <w:t>B+</w:t>
            </w:r>
          </w:p>
        </w:tc>
        <w:tc>
          <w:tcPr>
            <w:tcW w:w="1868" w:type="pct"/>
            <w:vAlign w:val="center"/>
          </w:tcPr>
          <w:p w14:paraId="69592844" w14:textId="77777777" w:rsidR="006F6E91" w:rsidRPr="002B23D3" w:rsidRDefault="006F6E91" w:rsidP="00F609E0">
            <w:pPr>
              <w:rPr>
                <w:bCs/>
                <w:szCs w:val="20"/>
              </w:rPr>
            </w:pPr>
            <w:r w:rsidRPr="002B23D3">
              <w:rPr>
                <w:bCs/>
                <w:szCs w:val="20"/>
              </w:rPr>
              <w:t>All gates Pass; minimum evidence accepted</w:t>
            </w:r>
          </w:p>
        </w:tc>
        <w:tc>
          <w:tcPr>
            <w:tcW w:w="966" w:type="pct"/>
            <w:vAlign w:val="center"/>
          </w:tcPr>
          <w:p w14:paraId="1C6AA2BB" w14:textId="77777777" w:rsidR="006F6E91" w:rsidRPr="002B23D3" w:rsidRDefault="006F6E91" w:rsidP="00F609E0">
            <w:pPr>
              <w:rPr>
                <w:bCs/>
                <w:szCs w:val="20"/>
              </w:rPr>
            </w:pPr>
            <w:r w:rsidRPr="002B23D3">
              <w:rPr>
                <w:bCs/>
                <w:szCs w:val="20"/>
              </w:rPr>
              <w:t>Commitment-ready</w:t>
            </w:r>
          </w:p>
        </w:tc>
        <w:tc>
          <w:tcPr>
            <w:tcW w:w="1806" w:type="pct"/>
            <w:vAlign w:val="center"/>
          </w:tcPr>
          <w:p w14:paraId="41F1943C" w14:textId="77777777" w:rsidR="006F6E91" w:rsidRPr="002B23D3" w:rsidRDefault="006F6E91" w:rsidP="00F609E0">
            <w:pPr>
              <w:rPr>
                <w:bCs/>
                <w:szCs w:val="20"/>
              </w:rPr>
            </w:pPr>
            <w:r w:rsidRPr="002B23D3">
              <w:rPr>
                <w:bCs/>
                <w:szCs w:val="20"/>
              </w:rPr>
              <w:t>Submit for Gate 3 human authorisation</w:t>
            </w:r>
          </w:p>
        </w:tc>
      </w:tr>
    </w:tbl>
    <w:p w14:paraId="4CFC512E" w14:textId="77777777" w:rsidR="00367938" w:rsidRPr="002B23D3" w:rsidRDefault="00F2479D" w:rsidP="00AA6255">
      <w:pPr>
        <w:keepNext/>
      </w:pPr>
      <w:r w:rsidRPr="002B23D3">
        <w:rPr>
          <w:b/>
          <w:sz w:val="28"/>
        </w:rPr>
        <w:lastRenderedPageBreak/>
        <w:t>6. DISCUSSION AND VALIDATION AGENDA</w:t>
      </w:r>
    </w:p>
    <w:p w14:paraId="06C3373F" w14:textId="77777777" w:rsidR="00367938" w:rsidRPr="002B23D3" w:rsidRDefault="00F2479D" w:rsidP="00AA6255">
      <w:pPr>
        <w:rPr>
          <w:rFonts w:eastAsiaTheme="minorHAnsi" w:cs="Calibri"/>
          <w:b/>
          <w:bCs/>
          <w:sz w:val="24"/>
          <w:szCs w:val="24"/>
        </w:rPr>
      </w:pPr>
      <w:r w:rsidRPr="002B23D3">
        <w:rPr>
          <w:rFonts w:eastAsiaTheme="minorHAnsi" w:cs="Calibri"/>
          <w:b/>
          <w:bCs/>
          <w:sz w:val="24"/>
          <w:szCs w:val="24"/>
        </w:rPr>
        <w:t>6.1 Nature of the contribution</w:t>
      </w:r>
    </w:p>
    <w:p w14:paraId="1E33AA5B" w14:textId="76B73726" w:rsidR="00617E71" w:rsidRPr="002B23D3" w:rsidRDefault="00617E71" w:rsidP="00AA6255">
      <w:pPr>
        <w:ind w:firstLine="288"/>
        <w:rPr>
          <w:rFonts w:eastAsiaTheme="minorHAnsi" w:cs="Calibri"/>
          <w:sz w:val="22"/>
        </w:rPr>
      </w:pPr>
      <w:r w:rsidRPr="002B23D3">
        <w:rPr>
          <w:rFonts w:eastAsiaTheme="minorHAnsi" w:cs="Calibri"/>
          <w:sz w:val="22"/>
        </w:rPr>
        <w:t>The framework integrates established but fragmented concerns: site-configuration optimisation (Wang et al., 2023), grid-feasible siting under flexibility envelopes (Kim et al., 2026), auditable interconnection obligations (</w:t>
      </w:r>
      <w:proofErr w:type="spellStart"/>
      <w:r w:rsidRPr="002B23D3">
        <w:rPr>
          <w:rFonts w:eastAsiaTheme="minorHAnsi" w:cs="Calibri"/>
          <w:sz w:val="22"/>
        </w:rPr>
        <w:t>Birahim</w:t>
      </w:r>
      <w:proofErr w:type="spellEnd"/>
      <w:r w:rsidRPr="002B23D3">
        <w:rPr>
          <w:rFonts w:eastAsiaTheme="minorHAnsi" w:cs="Calibri"/>
          <w:sz w:val="22"/>
        </w:rPr>
        <w:t>, 2026), data centres as urban AI infrastructure (Tiwari, 2026), and governance of environmental and social burdens (</w:t>
      </w:r>
      <w:proofErr w:type="spellStart"/>
      <w:r w:rsidRPr="002B23D3">
        <w:rPr>
          <w:rFonts w:eastAsiaTheme="minorHAnsi" w:cs="Calibri"/>
          <w:sz w:val="22"/>
        </w:rPr>
        <w:t>Monstadt</w:t>
      </w:r>
      <w:proofErr w:type="spellEnd"/>
      <w:r w:rsidRPr="002B23D3">
        <w:rPr>
          <w:rFonts w:eastAsiaTheme="minorHAnsi" w:cs="Calibri"/>
          <w:sz w:val="22"/>
        </w:rPr>
        <w:t xml:space="preserve"> and Saltzman, 2025; </w:t>
      </w:r>
      <w:proofErr w:type="spellStart"/>
      <w:r w:rsidRPr="002B23D3">
        <w:rPr>
          <w:rFonts w:eastAsiaTheme="minorHAnsi" w:cs="Calibri"/>
          <w:sz w:val="22"/>
        </w:rPr>
        <w:t>Cugurullo</w:t>
      </w:r>
      <w:proofErr w:type="spellEnd"/>
      <w:r w:rsidRPr="002B23D3">
        <w:rPr>
          <w:rFonts w:eastAsiaTheme="minorHAnsi" w:cs="Calibri"/>
          <w:sz w:val="22"/>
        </w:rPr>
        <w:t xml:space="preserve"> et al., 2025). Its contribution is the transition from comparative site suitability to evidence-governed project commitment. The unit of analysis is a time-dependent </w:t>
      </w:r>
      <w:r w:rsidR="009A64F5" w:rsidRPr="002B23D3">
        <w:rPr>
          <w:rFonts w:eastAsiaTheme="minorHAnsi" w:cs="Calibri"/>
          <w:sz w:val="22"/>
        </w:rPr>
        <w:t>site-configuration alternative</w:t>
      </w:r>
      <w:r w:rsidRPr="002B23D3">
        <w:rPr>
          <w:rFonts w:eastAsiaTheme="minorHAnsi" w:cs="Calibri"/>
          <w:sz w:val="22"/>
        </w:rPr>
        <w:t>, configuration, evidence package and CLJ condition. Within the bounded review, no construction-informatics framework was identified that combines these elements at project level.</w:t>
      </w:r>
    </w:p>
    <w:p w14:paraId="31C6D6D3" w14:textId="190EE9B4" w:rsidR="00367938" w:rsidRPr="002B23D3" w:rsidRDefault="00617E71" w:rsidP="00AA6255">
      <w:pPr>
        <w:ind w:firstLine="288"/>
        <w:jc w:val="both"/>
        <w:rPr>
          <w:rFonts w:eastAsiaTheme="minorHAnsi" w:cs="Calibri"/>
          <w:sz w:val="22"/>
        </w:rPr>
      </w:pPr>
      <w:r w:rsidRPr="002B23D3">
        <w:rPr>
          <w:rFonts w:eastAsiaTheme="minorHAnsi" w:cs="Calibri"/>
          <w:sz w:val="22"/>
        </w:rPr>
        <w:t>The framework occupies the middle of a broader lifecycle. Location intelligence identifies strategically and spatially plausible alternatives. Delivery intelligence describes the process of testing whether a specific site-configuration alternative has the authoritative evidence, legitimacy and delivery capability required for commitment. Operations intelligence then optimises the commissioned facility using telemetry and workload data. The formal contribution is Data-Centre Delivery Readiness, not the generic phrase delivery intelligence. For construction informatics, the framework shifts attention from information availability to evidence-governed commitment and calibrated withholding</w:t>
      </w:r>
      <w:r w:rsidR="008D6BAA" w:rsidRPr="002B23D3">
        <w:rPr>
          <w:rFonts w:eastAsiaTheme="minorHAnsi" w:cs="Calibri"/>
          <w:sz w:val="22"/>
        </w:rPr>
        <w:t>.</w:t>
      </w:r>
    </w:p>
    <w:p w14:paraId="76995B08" w14:textId="77777777" w:rsidR="009D7FDE" w:rsidRPr="002639D6" w:rsidRDefault="009D7FDE" w:rsidP="00AA6255">
      <w:pPr>
        <w:ind w:firstLine="288"/>
        <w:jc w:val="both"/>
        <w:rPr>
          <w:sz w:val="18"/>
          <w:szCs w:val="18"/>
        </w:rPr>
      </w:pPr>
    </w:p>
    <w:p w14:paraId="342C196C" w14:textId="77777777" w:rsidR="00367938" w:rsidRPr="002B23D3" w:rsidRDefault="00F2479D" w:rsidP="00AA6255">
      <w:pPr>
        <w:rPr>
          <w:rFonts w:eastAsiaTheme="minorHAnsi" w:cs="Calibri"/>
          <w:b/>
          <w:bCs/>
          <w:sz w:val="24"/>
          <w:szCs w:val="24"/>
        </w:rPr>
      </w:pPr>
      <w:r w:rsidRPr="002B23D3">
        <w:rPr>
          <w:rFonts w:eastAsiaTheme="minorHAnsi" w:cs="Calibri"/>
          <w:b/>
          <w:bCs/>
          <w:sz w:val="24"/>
          <w:szCs w:val="24"/>
        </w:rPr>
        <w:t>6.2 Validation, falsifiability and limitations</w:t>
      </w:r>
    </w:p>
    <w:p w14:paraId="16205D11" w14:textId="77777777" w:rsidR="00EA100A" w:rsidRPr="00EA100A" w:rsidRDefault="00EA100A" w:rsidP="00EA100A">
      <w:pPr>
        <w:spacing w:line="235" w:lineRule="auto"/>
        <w:ind w:firstLine="238"/>
        <w:rPr>
          <w:rFonts w:eastAsiaTheme="minorHAnsi" w:cs="Calibri"/>
          <w:sz w:val="22"/>
        </w:rPr>
      </w:pPr>
      <w:r w:rsidRPr="00EA100A">
        <w:rPr>
          <w:rFonts w:eastAsiaTheme="minorHAnsi" w:cs="Calibri"/>
          <w:sz w:val="22"/>
        </w:rPr>
        <w:t>Validation should proceed in three stages. First, co-design workshops should test construct clarity, gate completeness, evidence hierarchies and decision responsibilities. Second, subject to access and ethics approval, a retrospective temporal-replay study could reconstruct about 6-10 de-identified Australian projects at 3-5 historical decision dates. Independent reviewers would assign gate states and classifications, enabling inter-rater agreement, evidence completeness, classification stability, false-positive Commitment-ready outcomes, false-negative Withhold or Reject outcomes, and sensitivity to evidence expiry to be assessed. Third, a prospective multidisciplinary pilot could compare framework-supported review with current practice or a simpler rules-based process using decision time, evidence-gap detection, conflict visibility, reviewer workload and classification changes. These ranges are indicative design targets.</w:t>
      </w:r>
    </w:p>
    <w:p w14:paraId="3A4C367F" w14:textId="26DD4E69" w:rsidR="008E28A9" w:rsidRPr="002B23D3" w:rsidRDefault="00EA100A" w:rsidP="00EA100A">
      <w:pPr>
        <w:spacing w:line="235" w:lineRule="auto"/>
        <w:ind w:firstLine="238"/>
        <w:rPr>
          <w:rFonts w:eastAsiaTheme="minorHAnsi" w:cs="Calibri"/>
          <w:sz w:val="22"/>
        </w:rPr>
      </w:pPr>
      <w:r w:rsidRPr="00EA100A">
        <w:rPr>
          <w:rFonts w:eastAsiaTheme="minorHAnsi" w:cs="Calibri"/>
          <w:sz w:val="22"/>
        </w:rPr>
        <w:t>The framework requires revision if practitioners cannot distinguish its constructs, gate states cannot be assigned reliably, classifications do not explain observed transitions, or evidence governance produces premature Commitment-ready decisions or excessive withholding. The study remains conceptual and bounded: the review was targeted; the six gate specifications are project and jurisdiction dependent; NSW policy is evolving; TERN products are screening inputs rather than approvals; CLJ is neither a universal score nor proof of unanimous support; and the Sydney design probe omits site-specific engineering, cost and primary community research. Future CLJ operationalisation must be co-designed with affected communities and rights holders. These limitations prevent the framework from being mistaken for a validated tool or approval pathway</w:t>
      </w:r>
      <w:r w:rsidR="008E28A9" w:rsidRPr="002B23D3">
        <w:rPr>
          <w:rFonts w:eastAsiaTheme="minorHAnsi" w:cs="Calibri"/>
          <w:sz w:val="22"/>
        </w:rPr>
        <w:t>.</w:t>
      </w:r>
    </w:p>
    <w:p w14:paraId="37CD2D63" w14:textId="77777777" w:rsidR="00367938" w:rsidRPr="002B23D3" w:rsidRDefault="00F2479D" w:rsidP="006A3392">
      <w:pPr>
        <w:keepNext/>
        <w:spacing w:line="235" w:lineRule="auto"/>
        <w:rPr>
          <w:b/>
          <w:sz w:val="28"/>
        </w:rPr>
      </w:pPr>
      <w:r w:rsidRPr="002B23D3">
        <w:rPr>
          <w:b/>
          <w:sz w:val="28"/>
        </w:rPr>
        <w:t>7. CONCLUSION</w:t>
      </w:r>
    </w:p>
    <w:p w14:paraId="6EF587F4" w14:textId="668CC9D2" w:rsidR="00367938" w:rsidRPr="002B23D3" w:rsidRDefault="00994408" w:rsidP="007A5F52">
      <w:pPr>
        <w:spacing w:line="235" w:lineRule="auto"/>
        <w:ind w:firstLine="851"/>
        <w:jc w:val="both"/>
        <w:rPr>
          <w:rFonts w:eastAsiaTheme="minorHAnsi" w:cs="Calibri"/>
          <w:sz w:val="22"/>
        </w:rPr>
      </w:pPr>
      <w:r w:rsidRPr="00994408">
        <w:rPr>
          <w:rFonts w:eastAsiaTheme="minorHAnsi" w:cs="Calibri"/>
          <w:sz w:val="22"/>
        </w:rPr>
        <w:t>Data-centre projects provide a demanding test of whether construction informatics can connect site suitability to accountable project commitment. This paper developed the Data-Centre Delivery Readiness Framework, in which regional compute need establishes the strategic case, site and time-varying configuration are co-evaluated, environmental context and multidimensional CLJ shape gate status, and priority-ordered critical gates determine readiness. Five propositions were translated into Delivery Decision Requirements and mapped to a proposed human-authorised decision-support architecture that could later be implemented through rules, knowledge models, retrieval or AI tools.</w:t>
      </w:r>
      <w:r w:rsidR="007A5F52">
        <w:rPr>
          <w:rFonts w:eastAsiaTheme="minorHAnsi" w:cs="Calibri"/>
          <w:sz w:val="22"/>
        </w:rPr>
        <w:t xml:space="preserve"> </w:t>
      </w:r>
      <w:r w:rsidRPr="00994408">
        <w:rPr>
          <w:rFonts w:eastAsiaTheme="minorHAnsi" w:cs="Calibri"/>
          <w:sz w:val="22"/>
        </w:rPr>
        <w:t xml:space="preserve">The central proposition is that a site-suitable alternative should not become Commitment-ready merely because it ranks favourably as a location. Commitment requires the current site-configuration alternative to satisfy all critical gates with decision-fit evidence accepted by designated human authorities. The four readiness states and six proposed core gates provide a reusable basis for empirical validation, project-specific Gate Registers, digital Evidence and Decision Ledgers and cross-jurisdictional comparison. Commitment-ready does not replace development </w:t>
      </w:r>
      <w:r w:rsidRPr="00994408">
        <w:rPr>
          <w:rFonts w:eastAsiaTheme="minorHAnsi" w:cs="Calibri"/>
          <w:sz w:val="22"/>
        </w:rPr>
        <w:lastRenderedPageBreak/>
        <w:t>consent, financing approval, a final investment decision or notice to proceed. Future work should publish a versioned Gate Register specification and synthetic or de-identified benchmark for independent implementation and testing</w:t>
      </w:r>
      <w:r w:rsidR="00246DB1" w:rsidRPr="002B23D3">
        <w:rPr>
          <w:rFonts w:eastAsiaTheme="minorHAnsi" w:cs="Calibri"/>
          <w:sz w:val="22"/>
        </w:rPr>
        <w:t>.</w:t>
      </w:r>
    </w:p>
    <w:p w14:paraId="40296464" w14:textId="77777777" w:rsidR="00246DB1" w:rsidRPr="002639D6" w:rsidRDefault="00246DB1" w:rsidP="00AA6255">
      <w:pPr>
        <w:ind w:firstLine="851"/>
        <w:jc w:val="both"/>
        <w:rPr>
          <w:rFonts w:eastAsiaTheme="minorHAnsi" w:cs="Calibri"/>
          <w:sz w:val="16"/>
          <w:szCs w:val="16"/>
        </w:rPr>
      </w:pPr>
    </w:p>
    <w:p w14:paraId="5C6D7E9F" w14:textId="77777777" w:rsidR="00367938" w:rsidRPr="002B23D3" w:rsidRDefault="00F2479D" w:rsidP="00AA6255">
      <w:pPr>
        <w:rPr>
          <w:rFonts w:eastAsiaTheme="minorHAnsi" w:cs="Calibri"/>
          <w:b/>
          <w:bCs/>
          <w:sz w:val="28"/>
          <w:szCs w:val="28"/>
        </w:rPr>
      </w:pPr>
      <w:r w:rsidRPr="002B23D3">
        <w:rPr>
          <w:rFonts w:eastAsiaTheme="minorHAnsi" w:cs="Calibri"/>
          <w:b/>
          <w:bCs/>
          <w:sz w:val="28"/>
          <w:szCs w:val="28"/>
        </w:rPr>
        <w:t>REFERENCES</w:t>
      </w:r>
    </w:p>
    <w:p w14:paraId="6F9F71A6" w14:textId="4188C9B7"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Alissa, H., Nick, T., </w:t>
      </w:r>
      <w:proofErr w:type="spellStart"/>
      <w:r w:rsidRPr="002B23D3">
        <w:rPr>
          <w:rFonts w:eastAsiaTheme="minorHAnsi" w:cs="Calibri"/>
          <w:sz w:val="22"/>
        </w:rPr>
        <w:t>Raniwala</w:t>
      </w:r>
      <w:proofErr w:type="spellEnd"/>
      <w:r w:rsidRPr="002B23D3">
        <w:rPr>
          <w:rFonts w:eastAsiaTheme="minorHAnsi" w:cs="Calibri"/>
          <w:sz w:val="22"/>
        </w:rPr>
        <w:t xml:space="preserve">, A., et al. (2025). Using life cycle assessment to drive innovation for sustainable cool clouds. Nature, 641(8062), 331-338. </w:t>
      </w:r>
      <w:hyperlink r:id="rId10" w:history="1">
        <w:r w:rsidR="009D7FDE" w:rsidRPr="002B23D3">
          <w:rPr>
            <w:rStyle w:val="Hyperlink"/>
            <w:rFonts w:eastAsiaTheme="minorHAnsi" w:cs="Calibri"/>
            <w:color w:val="auto"/>
            <w:sz w:val="22"/>
          </w:rPr>
          <w:t>https://doi.org/10.1038/s41586-025-08832-3</w:t>
        </w:r>
      </w:hyperlink>
      <w:r w:rsidR="009D7FDE" w:rsidRPr="002B23D3">
        <w:rPr>
          <w:rFonts w:eastAsiaTheme="minorHAnsi" w:cs="Calibri"/>
          <w:sz w:val="22"/>
        </w:rPr>
        <w:t xml:space="preserve"> </w:t>
      </w:r>
      <w:r w:rsidRPr="002B23D3">
        <w:rPr>
          <w:rFonts w:eastAsiaTheme="minorHAnsi" w:cs="Calibri"/>
          <w:sz w:val="22"/>
        </w:rPr>
        <w:t>.</w:t>
      </w:r>
    </w:p>
    <w:p w14:paraId="52D7EFFB" w14:textId="568E7577"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Australian Energy Market Commission (AEMC) (2026). Improving the NEM access standards - Package 2. Draft determination and draft rule, 12 March. Final determination scheduled for 29 October 2026. Available at: </w:t>
      </w:r>
      <w:hyperlink r:id="rId11" w:history="1">
        <w:r w:rsidR="009D7FDE" w:rsidRPr="002B23D3">
          <w:rPr>
            <w:rStyle w:val="Hyperlink"/>
            <w:rFonts w:eastAsiaTheme="minorHAnsi" w:cs="Calibri"/>
            <w:color w:val="auto"/>
            <w:sz w:val="22"/>
          </w:rPr>
          <w:t>https://www.aemc.gov.au/rule-changes/improving-nem-access-standards-package-2</w:t>
        </w:r>
      </w:hyperlink>
      <w:r w:rsidR="009D7FDE" w:rsidRPr="002B23D3">
        <w:rPr>
          <w:rFonts w:eastAsiaTheme="minorHAnsi" w:cs="Calibri"/>
          <w:sz w:val="22"/>
        </w:rPr>
        <w:t xml:space="preserve"> </w:t>
      </w:r>
      <w:r w:rsidRPr="002B23D3">
        <w:rPr>
          <w:rFonts w:eastAsiaTheme="minorHAnsi" w:cs="Calibri"/>
          <w:sz w:val="22"/>
        </w:rPr>
        <w:t xml:space="preserve"> </w:t>
      </w:r>
      <w:r w:rsidR="009D7FDE" w:rsidRPr="002B23D3">
        <w:rPr>
          <w:rFonts w:eastAsiaTheme="minorHAnsi" w:cs="Calibri"/>
          <w:sz w:val="22"/>
        </w:rPr>
        <w:t xml:space="preserve"> </w:t>
      </w:r>
      <w:r w:rsidRPr="002B23D3">
        <w:rPr>
          <w:rFonts w:eastAsiaTheme="minorHAnsi" w:cs="Calibri"/>
          <w:sz w:val="22"/>
        </w:rPr>
        <w:t>(accessed 19 July 2026).</w:t>
      </w:r>
    </w:p>
    <w:p w14:paraId="029467C6" w14:textId="77777777" w:rsidR="00062653" w:rsidRPr="002B23D3" w:rsidRDefault="00062653" w:rsidP="00E418CF">
      <w:pPr>
        <w:spacing w:line="230" w:lineRule="auto"/>
        <w:ind w:left="851" w:hanging="851"/>
        <w:jc w:val="both"/>
        <w:rPr>
          <w:rFonts w:eastAsiaTheme="minorHAnsi" w:cs="Calibri"/>
          <w:sz w:val="22"/>
        </w:rPr>
      </w:pPr>
      <w:r w:rsidRPr="002B23D3">
        <w:rPr>
          <w:rFonts w:eastAsiaTheme="minorHAnsi" w:cs="Calibri"/>
          <w:sz w:val="22"/>
        </w:rPr>
        <w:t xml:space="preserve">Australian Energy Market Operator (AEMO) (2026). Digital demand surge: Preparing Australia's power systems for the rise of data centres. News update, 1 June. Available at: </w:t>
      </w:r>
      <w:hyperlink r:id="rId12" w:history="1">
        <w:r w:rsidRPr="002B23D3">
          <w:rPr>
            <w:rFonts w:eastAsiaTheme="minorHAnsi" w:cs="Calibri"/>
            <w:sz w:val="22"/>
          </w:rPr>
          <w:t>https://www.aemo.com.au/newsroom/news-updates/digital-demand-surge</w:t>
        </w:r>
      </w:hyperlink>
      <w:r w:rsidRPr="002B23D3">
        <w:rPr>
          <w:rFonts w:eastAsiaTheme="minorHAnsi" w:cs="Calibri"/>
          <w:sz w:val="22"/>
        </w:rPr>
        <w:t xml:space="preserve">  (accessed 23 August 2026).</w:t>
      </w:r>
    </w:p>
    <w:p w14:paraId="411E41A2" w14:textId="039B286B"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lang w:val="de-DE"/>
        </w:rPr>
        <w:t xml:space="preserve">Arzumanyan, M., Rodriguez Calzado, E., Lin, N., Bahadur, V., Das, J., Ko, T.L. and Koesterke, L. (2025). </w:t>
      </w:r>
      <w:r w:rsidRPr="002B23D3">
        <w:rPr>
          <w:rFonts w:eastAsiaTheme="minorHAnsi" w:cs="Calibri"/>
          <w:sz w:val="22"/>
        </w:rPr>
        <w:t xml:space="preserve">Geospatial suitability analysis for data </w:t>
      </w:r>
      <w:proofErr w:type="spellStart"/>
      <w:r w:rsidRPr="002B23D3">
        <w:rPr>
          <w:rFonts w:eastAsiaTheme="minorHAnsi" w:cs="Calibri"/>
          <w:sz w:val="22"/>
        </w:rPr>
        <w:t>center</w:t>
      </w:r>
      <w:proofErr w:type="spellEnd"/>
      <w:r w:rsidRPr="002B23D3">
        <w:rPr>
          <w:rFonts w:eastAsiaTheme="minorHAnsi" w:cs="Calibri"/>
          <w:sz w:val="22"/>
        </w:rPr>
        <w:t xml:space="preserve"> placement: A case study in Texas, USA. Sustainable Cities and Society, 131, 106687. </w:t>
      </w:r>
      <w:hyperlink r:id="rId13" w:history="1">
        <w:r w:rsidR="009D7FDE" w:rsidRPr="002B23D3">
          <w:rPr>
            <w:rStyle w:val="Hyperlink"/>
            <w:rFonts w:eastAsiaTheme="minorHAnsi" w:cs="Calibri"/>
            <w:color w:val="auto"/>
            <w:sz w:val="22"/>
          </w:rPr>
          <w:t>https://doi.org/10.1016/j.scs.2025.106687</w:t>
        </w:r>
      </w:hyperlink>
      <w:r w:rsidR="009D7FDE" w:rsidRPr="002B23D3">
        <w:rPr>
          <w:rFonts w:eastAsiaTheme="minorHAnsi" w:cs="Calibri"/>
          <w:sz w:val="22"/>
        </w:rPr>
        <w:t xml:space="preserve"> </w:t>
      </w:r>
      <w:r w:rsidRPr="002B23D3">
        <w:rPr>
          <w:rFonts w:eastAsiaTheme="minorHAnsi" w:cs="Calibri"/>
          <w:sz w:val="22"/>
        </w:rPr>
        <w:t>.</w:t>
      </w:r>
    </w:p>
    <w:p w14:paraId="40C8A856" w14:textId="301FA6ED"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Australian Government (2026). Expectations of data centres and AI infrastructure developers. Department of Industry, Science and Resources, announced 23 March. Available at: </w:t>
      </w:r>
      <w:hyperlink r:id="rId14" w:history="1">
        <w:r w:rsidR="009D7FDE" w:rsidRPr="002B23D3">
          <w:rPr>
            <w:rStyle w:val="Hyperlink"/>
            <w:rFonts w:eastAsiaTheme="minorHAnsi" w:cs="Calibri"/>
            <w:color w:val="auto"/>
            <w:sz w:val="22"/>
          </w:rPr>
          <w:t>https://www.industry.gov.au/publications/expectations-data-centres-and-ai-infrastructure-developers</w:t>
        </w:r>
      </w:hyperlink>
      <w:r w:rsidR="009D7FDE" w:rsidRPr="002B23D3">
        <w:rPr>
          <w:rFonts w:eastAsiaTheme="minorHAnsi" w:cs="Calibri"/>
          <w:sz w:val="22"/>
        </w:rPr>
        <w:t xml:space="preserve"> </w:t>
      </w:r>
      <w:r w:rsidRPr="002B23D3">
        <w:rPr>
          <w:rFonts w:eastAsiaTheme="minorHAnsi" w:cs="Calibri"/>
          <w:sz w:val="22"/>
        </w:rPr>
        <w:t xml:space="preserve"> (accessed 19 July 2026).</w:t>
      </w:r>
    </w:p>
    <w:p w14:paraId="6CEEC5D4" w14:textId="1B382417"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Bingham, E. and Gibson, G.E. (2017). Infrastructure project scope definition using Project Definition Rating Index. Journal of Management in Engineering, 33(2), 04016037. </w:t>
      </w:r>
      <w:hyperlink r:id="rId15" w:history="1">
        <w:r w:rsidR="009D7FDE" w:rsidRPr="002B23D3">
          <w:rPr>
            <w:rStyle w:val="Hyperlink"/>
            <w:rFonts w:eastAsiaTheme="minorHAnsi" w:cs="Calibri"/>
            <w:color w:val="auto"/>
            <w:sz w:val="22"/>
          </w:rPr>
          <w:t>https://doi.org/10.1061/(ASCE)ME.1943-5479.0000483</w:t>
        </w:r>
      </w:hyperlink>
      <w:r w:rsidR="009D7FDE" w:rsidRPr="002B23D3">
        <w:rPr>
          <w:rFonts w:eastAsiaTheme="minorHAnsi" w:cs="Calibri"/>
          <w:sz w:val="22"/>
        </w:rPr>
        <w:t xml:space="preserve"> </w:t>
      </w:r>
      <w:r w:rsidRPr="002B23D3">
        <w:rPr>
          <w:rFonts w:eastAsiaTheme="minorHAnsi" w:cs="Calibri"/>
          <w:sz w:val="22"/>
        </w:rPr>
        <w:t>.</w:t>
      </w:r>
    </w:p>
    <w:p w14:paraId="1F284703" w14:textId="7A19E67E" w:rsidR="00367938" w:rsidRPr="002B23D3" w:rsidRDefault="00F2479D" w:rsidP="00E418CF">
      <w:pPr>
        <w:spacing w:line="230" w:lineRule="auto"/>
        <w:ind w:left="851" w:hanging="851"/>
        <w:jc w:val="both"/>
        <w:rPr>
          <w:rFonts w:eastAsiaTheme="minorHAnsi" w:cs="Calibri"/>
          <w:sz w:val="22"/>
        </w:rPr>
      </w:pPr>
      <w:proofErr w:type="spellStart"/>
      <w:r w:rsidRPr="002B23D3">
        <w:rPr>
          <w:rFonts w:eastAsiaTheme="minorHAnsi" w:cs="Calibri"/>
          <w:sz w:val="22"/>
        </w:rPr>
        <w:t>Birahim</w:t>
      </w:r>
      <w:proofErr w:type="spellEnd"/>
      <w:r w:rsidRPr="002B23D3">
        <w:rPr>
          <w:rFonts w:eastAsiaTheme="minorHAnsi" w:cs="Calibri"/>
          <w:sz w:val="22"/>
        </w:rPr>
        <w:t xml:space="preserve">, S.A. (2026). A net-grid-benefit test for interconnecting AI data centres. </w:t>
      </w:r>
      <w:proofErr w:type="spellStart"/>
      <w:r w:rsidRPr="002B23D3">
        <w:rPr>
          <w:rFonts w:eastAsiaTheme="minorHAnsi" w:cs="Calibri"/>
          <w:sz w:val="22"/>
        </w:rPr>
        <w:t>npj</w:t>
      </w:r>
      <w:proofErr w:type="spellEnd"/>
      <w:r w:rsidRPr="002B23D3">
        <w:rPr>
          <w:rFonts w:eastAsiaTheme="minorHAnsi" w:cs="Calibri"/>
          <w:sz w:val="22"/>
        </w:rPr>
        <w:t xml:space="preserve"> Environmental Social Sciences, 1, 8. </w:t>
      </w:r>
      <w:hyperlink r:id="rId16" w:history="1">
        <w:r w:rsidR="009D7FDE" w:rsidRPr="002B23D3">
          <w:rPr>
            <w:rStyle w:val="Hyperlink"/>
            <w:rFonts w:eastAsiaTheme="minorHAnsi" w:cs="Calibri"/>
            <w:color w:val="auto"/>
            <w:sz w:val="22"/>
          </w:rPr>
          <w:t>https://doi.org/10.1038/s44432-026-00013-5</w:t>
        </w:r>
      </w:hyperlink>
      <w:r w:rsidR="009D7FDE" w:rsidRPr="002B23D3">
        <w:rPr>
          <w:rFonts w:eastAsiaTheme="minorHAnsi" w:cs="Calibri"/>
          <w:sz w:val="22"/>
        </w:rPr>
        <w:t xml:space="preserve"> </w:t>
      </w:r>
      <w:r w:rsidRPr="002B23D3">
        <w:rPr>
          <w:rFonts w:eastAsiaTheme="minorHAnsi" w:cs="Calibri"/>
          <w:sz w:val="22"/>
        </w:rPr>
        <w:t>.</w:t>
      </w:r>
    </w:p>
    <w:p w14:paraId="6738EE44" w14:textId="5EF5906F" w:rsidR="00367938" w:rsidRPr="002B23D3" w:rsidRDefault="00F2479D" w:rsidP="00E418CF">
      <w:pPr>
        <w:spacing w:line="230" w:lineRule="auto"/>
        <w:ind w:left="851" w:hanging="851"/>
        <w:jc w:val="both"/>
        <w:rPr>
          <w:rFonts w:eastAsiaTheme="minorHAnsi" w:cs="Calibri"/>
          <w:sz w:val="22"/>
        </w:rPr>
      </w:pPr>
      <w:proofErr w:type="spellStart"/>
      <w:r w:rsidRPr="002B23D3">
        <w:rPr>
          <w:rFonts w:eastAsiaTheme="minorHAnsi" w:cs="Calibri"/>
          <w:sz w:val="22"/>
        </w:rPr>
        <w:t>Bratanova</w:t>
      </w:r>
      <w:proofErr w:type="spellEnd"/>
      <w:r w:rsidRPr="002B23D3">
        <w:rPr>
          <w:rFonts w:eastAsiaTheme="minorHAnsi" w:cs="Calibri"/>
          <w:sz w:val="22"/>
        </w:rPr>
        <w:t xml:space="preserve">, A., Pham, H., Mason, C., Hajkowicz, S., Naughtin, C., Schleiger, E., Sanderson, C., Chen, C. and Karimi, S. (2022). Differentiating artificial intelligence activity clusters in Australia. Technology in Society, 71, 102104. </w:t>
      </w:r>
      <w:hyperlink r:id="rId17" w:history="1">
        <w:r w:rsidR="009D7FDE" w:rsidRPr="002B23D3">
          <w:rPr>
            <w:rStyle w:val="Hyperlink"/>
            <w:rFonts w:eastAsiaTheme="minorHAnsi" w:cs="Calibri"/>
            <w:color w:val="auto"/>
            <w:sz w:val="22"/>
          </w:rPr>
          <w:t>https://doi.org/10.1016/j.techsoc.2022.102104</w:t>
        </w:r>
      </w:hyperlink>
      <w:r w:rsidR="009D7FDE" w:rsidRPr="002B23D3">
        <w:rPr>
          <w:rFonts w:eastAsiaTheme="minorHAnsi" w:cs="Calibri"/>
          <w:sz w:val="22"/>
        </w:rPr>
        <w:t xml:space="preserve"> </w:t>
      </w:r>
      <w:r w:rsidRPr="002B23D3">
        <w:rPr>
          <w:rFonts w:eastAsiaTheme="minorHAnsi" w:cs="Calibri"/>
          <w:sz w:val="22"/>
        </w:rPr>
        <w:t>.</w:t>
      </w:r>
    </w:p>
    <w:p w14:paraId="0E199F0B" w14:textId="14B05EAA" w:rsidR="00367938"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Covas, M.T., Silva, C.A. and Dias, L.C. (2013). Multicriteria decision analysis for sustainable data </w:t>
      </w:r>
      <w:proofErr w:type="spellStart"/>
      <w:r w:rsidRPr="002B23D3">
        <w:rPr>
          <w:rFonts w:eastAsiaTheme="minorHAnsi" w:cs="Calibri"/>
          <w:sz w:val="22"/>
        </w:rPr>
        <w:t>centers</w:t>
      </w:r>
      <w:proofErr w:type="spellEnd"/>
      <w:r w:rsidRPr="002B23D3">
        <w:rPr>
          <w:rFonts w:eastAsiaTheme="minorHAnsi" w:cs="Calibri"/>
          <w:sz w:val="22"/>
        </w:rPr>
        <w:t xml:space="preserve"> location. International Transactions in Operational Research, 20(3), 269-299. </w:t>
      </w:r>
      <w:hyperlink r:id="rId18" w:history="1">
        <w:r w:rsidR="009D7FDE" w:rsidRPr="002B23D3">
          <w:rPr>
            <w:rStyle w:val="Hyperlink"/>
            <w:rFonts w:eastAsiaTheme="minorHAnsi" w:cs="Calibri"/>
            <w:color w:val="auto"/>
            <w:sz w:val="22"/>
          </w:rPr>
          <w:t>https://doi.org/10.1111/j.1475-3995.2012.00874.x</w:t>
        </w:r>
      </w:hyperlink>
      <w:r w:rsidR="009D7FDE" w:rsidRPr="002B23D3">
        <w:rPr>
          <w:rFonts w:eastAsiaTheme="minorHAnsi" w:cs="Calibri"/>
          <w:sz w:val="22"/>
        </w:rPr>
        <w:t xml:space="preserve"> </w:t>
      </w:r>
      <w:r w:rsidRPr="002B23D3">
        <w:rPr>
          <w:rFonts w:eastAsiaTheme="minorHAnsi" w:cs="Calibri"/>
          <w:sz w:val="22"/>
        </w:rPr>
        <w:t>.</w:t>
      </w:r>
    </w:p>
    <w:p w14:paraId="3D1D9F26" w14:textId="77777777" w:rsidR="002B76EB" w:rsidRPr="002B76EB" w:rsidRDefault="002B76EB" w:rsidP="00E418CF">
      <w:pPr>
        <w:spacing w:line="230" w:lineRule="auto"/>
        <w:ind w:left="851" w:hanging="851"/>
        <w:jc w:val="both"/>
        <w:rPr>
          <w:rFonts w:eastAsiaTheme="minorHAnsi" w:cs="Calibri"/>
          <w:sz w:val="22"/>
        </w:rPr>
      </w:pPr>
      <w:r w:rsidRPr="002B76EB">
        <w:rPr>
          <w:rFonts w:eastAsiaTheme="minorHAnsi" w:cs="Calibri"/>
          <w:sz w:val="22"/>
        </w:rPr>
        <w:t>Cugurullo, F., Caprotti, F., Day, J., Geoghegan, S., Lynch, C.R., Menga, F., Robinson, C. and Williams, J. (2025). The nature of AI: Metabolism, energy, water, labour and justice in the urban political ecology of artificial intelligence. Urban Political Ecology, 1(1-2), 33-54. https://doi.org/10.1177/30497515251344495.</w:t>
      </w:r>
    </w:p>
    <w:p w14:paraId="07F71189" w14:textId="6DF88E1C"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Daim, T.U., </w:t>
      </w:r>
      <w:proofErr w:type="spellStart"/>
      <w:r w:rsidRPr="002B23D3">
        <w:rPr>
          <w:rFonts w:eastAsiaTheme="minorHAnsi" w:cs="Calibri"/>
          <w:sz w:val="22"/>
        </w:rPr>
        <w:t>Bhatla</w:t>
      </w:r>
      <w:proofErr w:type="spellEnd"/>
      <w:r w:rsidRPr="002B23D3">
        <w:rPr>
          <w:rFonts w:eastAsiaTheme="minorHAnsi" w:cs="Calibri"/>
          <w:sz w:val="22"/>
        </w:rPr>
        <w:t xml:space="preserve">, A. and Mansour, M. (2013). Site selection for a data centre: a multi-criteria decision-making model. International Journal of Sustainable Engineering, 6(1), 10-22. </w:t>
      </w:r>
      <w:hyperlink r:id="rId19" w:history="1">
        <w:r w:rsidR="009D7FDE" w:rsidRPr="002B23D3">
          <w:rPr>
            <w:rStyle w:val="Hyperlink"/>
            <w:rFonts w:eastAsiaTheme="minorHAnsi" w:cs="Calibri"/>
            <w:color w:val="auto"/>
            <w:sz w:val="22"/>
          </w:rPr>
          <w:t>https://doi.org/10.1080/19397038.2012.719554</w:t>
        </w:r>
      </w:hyperlink>
      <w:r w:rsidR="009D7FDE" w:rsidRPr="002B23D3">
        <w:rPr>
          <w:rFonts w:eastAsiaTheme="minorHAnsi" w:cs="Calibri"/>
          <w:sz w:val="22"/>
        </w:rPr>
        <w:t xml:space="preserve"> </w:t>
      </w:r>
      <w:r w:rsidRPr="002B23D3">
        <w:rPr>
          <w:rFonts w:eastAsiaTheme="minorHAnsi" w:cs="Calibri"/>
          <w:sz w:val="22"/>
        </w:rPr>
        <w:t>.</w:t>
      </w:r>
    </w:p>
    <w:p w14:paraId="2C687283" w14:textId="68F1188A"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Gregor, S. and Jones, D. (2007). The anatomy of a design theory. Journal of the Association for Information Systems, 8(5), 312-335. </w:t>
      </w:r>
      <w:hyperlink r:id="rId20" w:history="1">
        <w:r w:rsidR="009D7FDE" w:rsidRPr="002B23D3">
          <w:rPr>
            <w:rStyle w:val="Hyperlink"/>
            <w:rFonts w:eastAsiaTheme="minorHAnsi" w:cs="Calibri"/>
            <w:color w:val="auto"/>
            <w:sz w:val="22"/>
          </w:rPr>
          <w:t>https://doi.org/10.17705/1jais.00129</w:t>
        </w:r>
      </w:hyperlink>
      <w:r w:rsidR="009D7FDE" w:rsidRPr="002B23D3">
        <w:rPr>
          <w:rFonts w:eastAsiaTheme="minorHAnsi" w:cs="Calibri"/>
          <w:sz w:val="22"/>
        </w:rPr>
        <w:t xml:space="preserve"> </w:t>
      </w:r>
      <w:r w:rsidRPr="002B23D3">
        <w:rPr>
          <w:rFonts w:eastAsiaTheme="minorHAnsi" w:cs="Calibri"/>
          <w:sz w:val="22"/>
        </w:rPr>
        <w:t>.</w:t>
      </w:r>
    </w:p>
    <w:p w14:paraId="3DFDD8D7" w14:textId="77765CF9"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Gross, C. (2007). Community perspectives of wind energy in Australia: the application of a justice and community fairness framework to increase social acceptance. Energy Policy, 35(5), 2727-2736. </w:t>
      </w:r>
      <w:hyperlink r:id="rId21" w:history="1">
        <w:r w:rsidR="009D7FDE" w:rsidRPr="002B23D3">
          <w:rPr>
            <w:rStyle w:val="Hyperlink"/>
            <w:rFonts w:eastAsiaTheme="minorHAnsi" w:cs="Calibri"/>
            <w:color w:val="auto"/>
            <w:sz w:val="22"/>
          </w:rPr>
          <w:t>https://doi.org/10.1016/j.enpol.2006.12.013</w:t>
        </w:r>
      </w:hyperlink>
      <w:r w:rsidR="009D7FDE" w:rsidRPr="002B23D3">
        <w:rPr>
          <w:rFonts w:eastAsiaTheme="minorHAnsi" w:cs="Calibri"/>
          <w:sz w:val="22"/>
        </w:rPr>
        <w:t xml:space="preserve"> </w:t>
      </w:r>
      <w:r w:rsidRPr="002B23D3">
        <w:rPr>
          <w:rFonts w:eastAsiaTheme="minorHAnsi" w:cs="Calibri"/>
          <w:sz w:val="22"/>
        </w:rPr>
        <w:t>.</w:t>
      </w:r>
    </w:p>
    <w:p w14:paraId="4E74945C" w14:textId="30E8D1CF"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International Energy Agency (IEA) (2025). Energy and AI. Paris: IEA. Available at: </w:t>
      </w:r>
      <w:hyperlink r:id="rId22" w:history="1">
        <w:r w:rsidR="008C0E9F" w:rsidRPr="002B23D3">
          <w:rPr>
            <w:rStyle w:val="Hyperlink"/>
            <w:rFonts w:eastAsiaTheme="minorHAnsi" w:cs="Calibri"/>
            <w:color w:val="auto"/>
            <w:sz w:val="22"/>
          </w:rPr>
          <w:t>https://www.iea.org/reports/energy-and-ai</w:t>
        </w:r>
      </w:hyperlink>
      <w:r w:rsidR="008C0E9F" w:rsidRPr="002B23D3">
        <w:rPr>
          <w:rFonts w:eastAsiaTheme="minorHAnsi" w:cs="Calibri"/>
          <w:sz w:val="22"/>
        </w:rPr>
        <w:t xml:space="preserve"> </w:t>
      </w:r>
      <w:r w:rsidR="009D7FDE" w:rsidRPr="002B23D3">
        <w:rPr>
          <w:rFonts w:eastAsiaTheme="minorHAnsi" w:cs="Calibri"/>
          <w:sz w:val="22"/>
        </w:rPr>
        <w:t xml:space="preserve"> </w:t>
      </w:r>
      <w:r w:rsidRPr="002B23D3">
        <w:rPr>
          <w:rFonts w:eastAsiaTheme="minorHAnsi" w:cs="Calibri"/>
          <w:sz w:val="22"/>
        </w:rPr>
        <w:t>(accessed 19 July 2026).</w:t>
      </w:r>
    </w:p>
    <w:p w14:paraId="29A1D022" w14:textId="38602EA9" w:rsidR="001D672E" w:rsidRPr="002B23D3" w:rsidRDefault="001D672E" w:rsidP="00E418CF">
      <w:pPr>
        <w:spacing w:line="230" w:lineRule="auto"/>
        <w:ind w:left="851" w:hanging="851"/>
        <w:jc w:val="both"/>
        <w:rPr>
          <w:rFonts w:eastAsiaTheme="minorHAnsi" w:cs="Calibri"/>
          <w:sz w:val="22"/>
        </w:rPr>
      </w:pPr>
      <w:r w:rsidRPr="002B23D3">
        <w:rPr>
          <w:rFonts w:eastAsiaTheme="minorHAnsi" w:cs="Calibri"/>
          <w:sz w:val="22"/>
        </w:rPr>
        <w:t>International Organization for Standardization (ISO) (2018a). ISO 19650-1:2018, Organization and digitization of information about buildings and civil engineering works, including building information modelling (BIM) - Information management using BIM - Part 1: Concepts and principles. Geneva</w:t>
      </w:r>
      <w:r w:rsidR="00E418CF">
        <w:rPr>
          <w:rFonts w:eastAsiaTheme="minorHAnsi" w:cs="Calibri"/>
          <w:sz w:val="22"/>
        </w:rPr>
        <w:t>.</w:t>
      </w:r>
    </w:p>
    <w:p w14:paraId="3FBA6A83" w14:textId="77777777" w:rsidR="001D672E" w:rsidRPr="002B23D3" w:rsidRDefault="001D672E" w:rsidP="00E418CF">
      <w:pPr>
        <w:spacing w:line="230" w:lineRule="auto"/>
        <w:ind w:left="851" w:hanging="851"/>
        <w:jc w:val="both"/>
        <w:rPr>
          <w:rFonts w:eastAsiaTheme="minorHAnsi" w:cs="Calibri"/>
          <w:sz w:val="22"/>
        </w:rPr>
      </w:pPr>
      <w:r w:rsidRPr="002B23D3">
        <w:rPr>
          <w:rFonts w:eastAsiaTheme="minorHAnsi" w:cs="Calibri"/>
          <w:sz w:val="22"/>
        </w:rPr>
        <w:t xml:space="preserve">International Organization for Standardization (ISO) (2018b). ISO 19650-2:2018, Organization and digitization of information about buildings and civil engineering works, including building </w:t>
      </w:r>
      <w:r w:rsidRPr="002B23D3">
        <w:rPr>
          <w:rFonts w:eastAsiaTheme="minorHAnsi" w:cs="Calibri"/>
          <w:sz w:val="22"/>
        </w:rPr>
        <w:lastRenderedPageBreak/>
        <w:t>information modelling (BIM) - Information management using BIM - Part 2: Delivery phase of the assets. Geneva: ISO.</w:t>
      </w:r>
    </w:p>
    <w:p w14:paraId="005B8E10" w14:textId="77777777" w:rsidR="00766565"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Jaakkola, E. (2020). Designing conceptual articles: four approaches. AMS Review, 10(1-2), 18-26. </w:t>
      </w:r>
      <w:hyperlink r:id="rId23" w:history="1">
        <w:r w:rsidR="008C0E9F" w:rsidRPr="002B23D3">
          <w:rPr>
            <w:rStyle w:val="Hyperlink"/>
            <w:rFonts w:eastAsiaTheme="minorHAnsi" w:cs="Calibri"/>
            <w:color w:val="auto"/>
            <w:sz w:val="22"/>
          </w:rPr>
          <w:t>https://doi.org/10.1007/s13162-020-00161-0</w:t>
        </w:r>
      </w:hyperlink>
      <w:r w:rsidR="008C0E9F" w:rsidRPr="002B23D3">
        <w:rPr>
          <w:rFonts w:eastAsiaTheme="minorHAnsi" w:cs="Calibri"/>
          <w:sz w:val="22"/>
        </w:rPr>
        <w:t xml:space="preserve">  </w:t>
      </w:r>
      <w:r w:rsidR="009D7FDE" w:rsidRPr="002B23D3">
        <w:rPr>
          <w:rFonts w:eastAsiaTheme="minorHAnsi" w:cs="Calibri"/>
          <w:sz w:val="22"/>
        </w:rPr>
        <w:t xml:space="preserve">  </w:t>
      </w:r>
    </w:p>
    <w:p w14:paraId="53659FA1" w14:textId="77777777" w:rsidR="00766565" w:rsidRPr="002B23D3" w:rsidRDefault="00766565" w:rsidP="00E418CF">
      <w:pPr>
        <w:spacing w:line="230" w:lineRule="auto"/>
        <w:ind w:left="851" w:hanging="851"/>
        <w:jc w:val="both"/>
        <w:rPr>
          <w:rFonts w:eastAsiaTheme="minorHAnsi" w:cs="Calibri"/>
          <w:sz w:val="22"/>
        </w:rPr>
      </w:pPr>
      <w:r w:rsidRPr="002B23D3">
        <w:rPr>
          <w:rFonts w:eastAsiaTheme="minorHAnsi" w:cs="Calibri"/>
          <w:sz w:val="22"/>
        </w:rPr>
        <w:t>Jenkins, K., McCauley, D., Heffron, R., et al. (2016). Energy justice: A conceptual review. Energy Research &amp; Social Science, 11, 174-182. https://doi.org/10.1016/j.erss.2015.10.004.</w:t>
      </w:r>
    </w:p>
    <w:p w14:paraId="7EF604AE" w14:textId="1305EDE9" w:rsidR="00367938" w:rsidRPr="002B23D3" w:rsidRDefault="001A3575" w:rsidP="00E418CF">
      <w:pPr>
        <w:spacing w:line="230" w:lineRule="auto"/>
        <w:ind w:left="851" w:hanging="851"/>
        <w:jc w:val="both"/>
        <w:rPr>
          <w:rFonts w:eastAsiaTheme="minorHAnsi" w:cs="Calibri"/>
          <w:sz w:val="22"/>
        </w:rPr>
      </w:pPr>
      <w:r w:rsidRPr="002B23D3">
        <w:rPr>
          <w:rFonts w:eastAsiaTheme="minorHAnsi" w:cs="Calibri"/>
          <w:sz w:val="22"/>
        </w:rPr>
        <w:t xml:space="preserve"> </w:t>
      </w:r>
      <w:r w:rsidR="00F2479D" w:rsidRPr="002B23D3">
        <w:rPr>
          <w:rFonts w:eastAsiaTheme="minorHAnsi" w:cs="Calibri"/>
          <w:sz w:val="22"/>
        </w:rPr>
        <w:t xml:space="preserve">Kim, D., Dong, L. and Xie, L. (2026). Flexibility-aware framework for efficient planner-initiated siting of data </w:t>
      </w:r>
      <w:proofErr w:type="spellStart"/>
      <w:r w:rsidR="00F2479D" w:rsidRPr="002B23D3">
        <w:rPr>
          <w:rFonts w:eastAsiaTheme="minorHAnsi" w:cs="Calibri"/>
          <w:sz w:val="22"/>
        </w:rPr>
        <w:t>center</w:t>
      </w:r>
      <w:proofErr w:type="spellEnd"/>
      <w:r w:rsidR="00F2479D" w:rsidRPr="002B23D3">
        <w:rPr>
          <w:rFonts w:eastAsiaTheme="minorHAnsi" w:cs="Calibri"/>
          <w:sz w:val="22"/>
        </w:rPr>
        <w:t>. Nature Communications, 17, 6512.</w:t>
      </w:r>
      <w:r w:rsidR="008C0E9F" w:rsidRPr="002B23D3">
        <w:rPr>
          <w:rFonts w:eastAsiaTheme="minorHAnsi" w:cs="Calibri"/>
          <w:sz w:val="22"/>
        </w:rPr>
        <w:t xml:space="preserve"> </w:t>
      </w:r>
      <w:hyperlink r:id="rId24" w:history="1">
        <w:r w:rsidR="008C0E9F" w:rsidRPr="002B23D3">
          <w:rPr>
            <w:rStyle w:val="Hyperlink"/>
            <w:rFonts w:eastAsiaTheme="minorHAnsi" w:cs="Calibri"/>
            <w:color w:val="auto"/>
            <w:sz w:val="22"/>
          </w:rPr>
          <w:t>https://doi.org/10.1038/s41467-026-72324-9</w:t>
        </w:r>
      </w:hyperlink>
      <w:r w:rsidR="008C0E9F" w:rsidRPr="002B23D3">
        <w:rPr>
          <w:rFonts w:eastAsiaTheme="minorHAnsi" w:cs="Calibri"/>
          <w:sz w:val="22"/>
        </w:rPr>
        <w:t xml:space="preserve"> </w:t>
      </w:r>
    </w:p>
    <w:p w14:paraId="3F1E8983" w14:textId="6C063249" w:rsidR="00367938" w:rsidRPr="002B23D3" w:rsidRDefault="00F2479D" w:rsidP="00E418CF">
      <w:pPr>
        <w:spacing w:line="230" w:lineRule="auto"/>
        <w:ind w:left="851" w:hanging="851"/>
        <w:jc w:val="both"/>
        <w:rPr>
          <w:rFonts w:eastAsiaTheme="minorHAnsi" w:cs="Calibri"/>
          <w:sz w:val="22"/>
        </w:rPr>
      </w:pPr>
      <w:proofErr w:type="spellStart"/>
      <w:r w:rsidRPr="002B23D3">
        <w:rPr>
          <w:rFonts w:eastAsiaTheme="minorHAnsi" w:cs="Calibri"/>
          <w:sz w:val="22"/>
        </w:rPr>
        <w:t>Lehdonvirta</w:t>
      </w:r>
      <w:proofErr w:type="spellEnd"/>
      <w:r w:rsidRPr="002B23D3">
        <w:rPr>
          <w:rFonts w:eastAsiaTheme="minorHAnsi" w:cs="Calibri"/>
          <w:sz w:val="22"/>
        </w:rPr>
        <w:t xml:space="preserve">, V., Wu, B., Hawkins, Z.J., Caira, C. and Russo, L. (2025). Measuring domestic public cloud compute availability for artificial intelligence. OECD Artificial Intelligence Papers, No. 49. Paris: OECD Publishing. </w:t>
      </w:r>
      <w:hyperlink r:id="rId25" w:history="1">
        <w:r w:rsidR="008C0E9F" w:rsidRPr="002B23D3">
          <w:rPr>
            <w:rStyle w:val="Hyperlink"/>
            <w:rFonts w:eastAsiaTheme="minorHAnsi" w:cs="Calibri"/>
            <w:color w:val="auto"/>
            <w:sz w:val="22"/>
          </w:rPr>
          <w:t>https://doi.org/10.1787/8602a322-en</w:t>
        </w:r>
      </w:hyperlink>
      <w:r w:rsidR="008C0E9F" w:rsidRPr="002B23D3">
        <w:rPr>
          <w:rFonts w:eastAsiaTheme="minorHAnsi" w:cs="Calibri"/>
          <w:sz w:val="22"/>
        </w:rPr>
        <w:t xml:space="preserve"> </w:t>
      </w:r>
      <w:r w:rsidR="009D7FDE" w:rsidRPr="002B23D3">
        <w:rPr>
          <w:rFonts w:eastAsiaTheme="minorHAnsi" w:cs="Calibri"/>
          <w:sz w:val="22"/>
        </w:rPr>
        <w:t xml:space="preserve"> </w:t>
      </w:r>
    </w:p>
    <w:p w14:paraId="118E3BA3" w14:textId="25C34573"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lang w:val="en-AU"/>
        </w:rPr>
        <w:t xml:space="preserve">Lei, N., Lu, J., Shehabi, A. and </w:t>
      </w:r>
      <w:proofErr w:type="spellStart"/>
      <w:r w:rsidRPr="002B23D3">
        <w:rPr>
          <w:rFonts w:eastAsiaTheme="minorHAnsi" w:cs="Calibri"/>
          <w:sz w:val="22"/>
          <w:lang w:val="en-AU"/>
        </w:rPr>
        <w:t>Masanet</w:t>
      </w:r>
      <w:proofErr w:type="spellEnd"/>
      <w:r w:rsidRPr="002B23D3">
        <w:rPr>
          <w:rFonts w:eastAsiaTheme="minorHAnsi" w:cs="Calibri"/>
          <w:sz w:val="22"/>
          <w:lang w:val="en-AU"/>
        </w:rPr>
        <w:t xml:space="preserve">, E. (2025). </w:t>
      </w:r>
      <w:r w:rsidRPr="002B23D3">
        <w:rPr>
          <w:rFonts w:eastAsiaTheme="minorHAnsi" w:cs="Calibri"/>
          <w:sz w:val="22"/>
        </w:rPr>
        <w:t xml:space="preserve">The water use of data </w:t>
      </w:r>
      <w:proofErr w:type="spellStart"/>
      <w:r w:rsidRPr="002B23D3">
        <w:rPr>
          <w:rFonts w:eastAsiaTheme="minorHAnsi" w:cs="Calibri"/>
          <w:sz w:val="22"/>
        </w:rPr>
        <w:t>center</w:t>
      </w:r>
      <w:proofErr w:type="spellEnd"/>
      <w:r w:rsidRPr="002B23D3">
        <w:rPr>
          <w:rFonts w:eastAsiaTheme="minorHAnsi" w:cs="Calibri"/>
          <w:sz w:val="22"/>
        </w:rPr>
        <w:t xml:space="preserve"> workloads: A review and assessment of key determinants. Resources, Conservation and Recycling, 219, 108310. </w:t>
      </w:r>
      <w:hyperlink r:id="rId26" w:history="1">
        <w:r w:rsidR="009D7FDE" w:rsidRPr="002B23D3">
          <w:rPr>
            <w:rStyle w:val="Hyperlink"/>
            <w:rFonts w:eastAsiaTheme="minorHAnsi" w:cs="Calibri"/>
            <w:color w:val="auto"/>
            <w:sz w:val="22"/>
          </w:rPr>
          <w:t>https://doi.org/10.1016/j.resconrec.2025.108310</w:t>
        </w:r>
      </w:hyperlink>
      <w:r w:rsidR="009D7FDE" w:rsidRPr="002B23D3">
        <w:rPr>
          <w:rFonts w:eastAsiaTheme="minorHAnsi" w:cs="Calibri"/>
          <w:sz w:val="22"/>
        </w:rPr>
        <w:t xml:space="preserve"> </w:t>
      </w:r>
      <w:r w:rsidRPr="002B23D3">
        <w:rPr>
          <w:rFonts w:eastAsiaTheme="minorHAnsi" w:cs="Calibri"/>
          <w:sz w:val="22"/>
        </w:rPr>
        <w:t>.</w:t>
      </w:r>
    </w:p>
    <w:p w14:paraId="189295EA" w14:textId="35E96971"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Moffat, K. and Zhang, A. (2014). The paths to social licence to operate: an integrative model explaining community acceptance of mining. Resources Policy, 39, 61-70. </w:t>
      </w:r>
      <w:hyperlink r:id="rId27" w:history="1">
        <w:r w:rsidR="009D7FDE" w:rsidRPr="002B23D3">
          <w:rPr>
            <w:rStyle w:val="Hyperlink"/>
            <w:rFonts w:eastAsiaTheme="minorHAnsi" w:cs="Calibri"/>
            <w:color w:val="auto"/>
            <w:sz w:val="22"/>
          </w:rPr>
          <w:t>https://doi.org/10.1016/j.resourpol.2013.11.003</w:t>
        </w:r>
      </w:hyperlink>
      <w:r w:rsidR="009D7FDE" w:rsidRPr="002B23D3">
        <w:rPr>
          <w:rFonts w:eastAsiaTheme="minorHAnsi" w:cs="Calibri"/>
          <w:sz w:val="22"/>
        </w:rPr>
        <w:t xml:space="preserve"> </w:t>
      </w:r>
      <w:r w:rsidRPr="002B23D3">
        <w:rPr>
          <w:rFonts w:eastAsiaTheme="minorHAnsi" w:cs="Calibri"/>
          <w:sz w:val="22"/>
        </w:rPr>
        <w:t>.</w:t>
      </w:r>
    </w:p>
    <w:p w14:paraId="4A8DE03D" w14:textId="6704A723" w:rsidR="00367938" w:rsidRPr="002B23D3" w:rsidRDefault="00F2479D" w:rsidP="00E418CF">
      <w:pPr>
        <w:spacing w:line="230" w:lineRule="auto"/>
        <w:ind w:left="851" w:hanging="851"/>
        <w:jc w:val="both"/>
        <w:rPr>
          <w:rFonts w:eastAsiaTheme="minorHAnsi" w:cs="Calibri"/>
          <w:sz w:val="22"/>
        </w:rPr>
      </w:pPr>
      <w:proofErr w:type="spellStart"/>
      <w:r w:rsidRPr="002B23D3">
        <w:rPr>
          <w:rFonts w:eastAsiaTheme="minorHAnsi" w:cs="Calibri"/>
          <w:sz w:val="22"/>
        </w:rPr>
        <w:t>Monstadt</w:t>
      </w:r>
      <w:proofErr w:type="spellEnd"/>
      <w:r w:rsidRPr="002B23D3">
        <w:rPr>
          <w:rFonts w:eastAsiaTheme="minorHAnsi" w:cs="Calibri"/>
          <w:sz w:val="22"/>
        </w:rPr>
        <w:t xml:space="preserve">, J. and Saltzman, K. (2025). How data </w:t>
      </w:r>
      <w:proofErr w:type="spellStart"/>
      <w:r w:rsidRPr="002B23D3">
        <w:rPr>
          <w:rFonts w:eastAsiaTheme="minorHAnsi" w:cs="Calibri"/>
          <w:sz w:val="22"/>
        </w:rPr>
        <w:t>centers</w:t>
      </w:r>
      <w:proofErr w:type="spellEnd"/>
      <w:r w:rsidRPr="002B23D3">
        <w:rPr>
          <w:rFonts w:eastAsiaTheme="minorHAnsi" w:cs="Calibri"/>
          <w:sz w:val="22"/>
        </w:rPr>
        <w:t xml:space="preserve"> have come to matter: Governing the spatial and environmental footprint of the </w:t>
      </w:r>
      <w:r w:rsidR="00907946" w:rsidRPr="002B23D3">
        <w:rPr>
          <w:rFonts w:eastAsiaTheme="minorHAnsi" w:cs="Calibri"/>
          <w:sz w:val="22"/>
        </w:rPr>
        <w:t>‘</w:t>
      </w:r>
      <w:r w:rsidRPr="002B23D3">
        <w:rPr>
          <w:rFonts w:eastAsiaTheme="minorHAnsi" w:cs="Calibri"/>
          <w:sz w:val="22"/>
        </w:rPr>
        <w:t>Digital Gateway to Europe</w:t>
      </w:r>
      <w:r w:rsidR="00907946" w:rsidRPr="002B23D3">
        <w:rPr>
          <w:rFonts w:eastAsiaTheme="minorHAnsi" w:cs="Calibri"/>
          <w:sz w:val="22"/>
        </w:rPr>
        <w:t>’</w:t>
      </w:r>
      <w:r w:rsidRPr="002B23D3">
        <w:rPr>
          <w:rFonts w:eastAsiaTheme="minorHAnsi" w:cs="Calibri"/>
          <w:sz w:val="22"/>
        </w:rPr>
        <w:t xml:space="preserve">. International Journal of Urban and Regional Research, 49(4), 757-778. </w:t>
      </w:r>
      <w:hyperlink r:id="rId28" w:history="1">
        <w:r w:rsidR="009D7FDE" w:rsidRPr="002B23D3">
          <w:rPr>
            <w:rStyle w:val="Hyperlink"/>
            <w:rFonts w:eastAsiaTheme="minorHAnsi" w:cs="Calibri"/>
            <w:color w:val="auto"/>
            <w:sz w:val="22"/>
          </w:rPr>
          <w:t>https://doi.org/10.1111/1468-2427.13316</w:t>
        </w:r>
      </w:hyperlink>
      <w:r w:rsidR="009D7FDE" w:rsidRPr="002B23D3">
        <w:rPr>
          <w:rFonts w:eastAsiaTheme="minorHAnsi" w:cs="Calibri"/>
          <w:sz w:val="22"/>
        </w:rPr>
        <w:t xml:space="preserve"> </w:t>
      </w:r>
      <w:r w:rsidRPr="002B23D3">
        <w:rPr>
          <w:rFonts w:eastAsiaTheme="minorHAnsi" w:cs="Calibri"/>
          <w:sz w:val="22"/>
        </w:rPr>
        <w:t>.</w:t>
      </w:r>
    </w:p>
    <w:p w14:paraId="3FE060C6" w14:textId="1DDDE1A6"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Ngata, W.M., Bashir, N., </w:t>
      </w:r>
      <w:proofErr w:type="spellStart"/>
      <w:r w:rsidRPr="002B23D3">
        <w:rPr>
          <w:rFonts w:eastAsiaTheme="minorHAnsi" w:cs="Calibri"/>
          <w:sz w:val="22"/>
        </w:rPr>
        <w:t>Westerlaken</w:t>
      </w:r>
      <w:proofErr w:type="spellEnd"/>
      <w:r w:rsidRPr="002B23D3">
        <w:rPr>
          <w:rFonts w:eastAsiaTheme="minorHAnsi" w:cs="Calibri"/>
          <w:sz w:val="22"/>
        </w:rPr>
        <w:t xml:space="preserve">, M., </w:t>
      </w:r>
      <w:proofErr w:type="spellStart"/>
      <w:r w:rsidRPr="002B23D3">
        <w:rPr>
          <w:rFonts w:eastAsiaTheme="minorHAnsi" w:cs="Calibri"/>
          <w:sz w:val="22"/>
        </w:rPr>
        <w:t>Liote</w:t>
      </w:r>
      <w:proofErr w:type="spellEnd"/>
      <w:r w:rsidRPr="002B23D3">
        <w:rPr>
          <w:rFonts w:eastAsiaTheme="minorHAnsi" w:cs="Calibri"/>
          <w:sz w:val="22"/>
        </w:rPr>
        <w:t xml:space="preserve">, L., Chandio, Y. and Olivetti, E. (2025). The Cloud Next Door: investigating the environmental and socioeconomic strain of </w:t>
      </w:r>
      <w:proofErr w:type="spellStart"/>
      <w:r w:rsidRPr="002B23D3">
        <w:rPr>
          <w:rFonts w:eastAsiaTheme="minorHAnsi" w:cs="Calibri"/>
          <w:sz w:val="22"/>
        </w:rPr>
        <w:t>datacenters</w:t>
      </w:r>
      <w:proofErr w:type="spellEnd"/>
      <w:r w:rsidRPr="002B23D3">
        <w:rPr>
          <w:rFonts w:eastAsiaTheme="minorHAnsi" w:cs="Calibri"/>
          <w:sz w:val="22"/>
        </w:rPr>
        <w:t xml:space="preserve"> on local communities. COMPASS </w:t>
      </w:r>
      <w:r w:rsidR="00907946" w:rsidRPr="002B23D3">
        <w:rPr>
          <w:rFonts w:eastAsiaTheme="minorHAnsi" w:cs="Calibri"/>
          <w:sz w:val="22"/>
        </w:rPr>
        <w:t>‘</w:t>
      </w:r>
      <w:r w:rsidRPr="002B23D3">
        <w:rPr>
          <w:rFonts w:eastAsiaTheme="minorHAnsi" w:cs="Calibri"/>
          <w:sz w:val="22"/>
        </w:rPr>
        <w:t xml:space="preserve">25: Proceedings of the 2025 ACM SIGCAS/SIGCHI Conference on Computing and Sustainable Societies, 769-774. </w:t>
      </w:r>
      <w:hyperlink r:id="rId29" w:history="1">
        <w:r w:rsidR="009D7FDE" w:rsidRPr="002B23D3">
          <w:rPr>
            <w:rStyle w:val="Hyperlink"/>
            <w:rFonts w:eastAsiaTheme="minorHAnsi" w:cs="Calibri"/>
            <w:color w:val="auto"/>
            <w:sz w:val="22"/>
          </w:rPr>
          <w:t>https://doi.org/10.1145/3715335.3736324</w:t>
        </w:r>
      </w:hyperlink>
      <w:r w:rsidR="002B23D3">
        <w:t xml:space="preserve"> </w:t>
      </w:r>
      <w:r w:rsidR="009D7FDE" w:rsidRPr="002B23D3">
        <w:rPr>
          <w:rFonts w:eastAsiaTheme="minorHAnsi" w:cs="Calibri"/>
          <w:sz w:val="22"/>
        </w:rPr>
        <w:t xml:space="preserve"> </w:t>
      </w:r>
      <w:r w:rsidRPr="002B23D3">
        <w:rPr>
          <w:rFonts w:eastAsiaTheme="minorHAnsi" w:cs="Calibri"/>
          <w:sz w:val="22"/>
        </w:rPr>
        <w:t>.</w:t>
      </w:r>
    </w:p>
    <w:p w14:paraId="752FA0AE" w14:textId="77777777" w:rsidR="002425AD" w:rsidRPr="002425AD" w:rsidRDefault="002425AD" w:rsidP="00E418CF">
      <w:pPr>
        <w:spacing w:line="230" w:lineRule="auto"/>
        <w:ind w:left="851" w:hanging="851"/>
        <w:jc w:val="both"/>
        <w:rPr>
          <w:rFonts w:eastAsiaTheme="minorHAnsi" w:cs="Calibri"/>
          <w:sz w:val="22"/>
        </w:rPr>
      </w:pPr>
      <w:r w:rsidRPr="002425AD">
        <w:rPr>
          <w:rFonts w:eastAsiaTheme="minorHAnsi" w:cs="Calibri"/>
          <w:sz w:val="22"/>
        </w:rPr>
        <w:t>NSW Government (2026). NSW Data Centre Policy Framework and Guidelines. Announced 17 August. Available at: https://www.nsw.gov.au/ministerial-releases/nation-leading-framework-to-harness-nsw-data-centre-investment (accessed 25 August 2026).</w:t>
      </w:r>
    </w:p>
    <w:p w14:paraId="1DED52E4" w14:textId="6BD1DB95" w:rsidR="00367938" w:rsidRDefault="00F2479D" w:rsidP="00E418CF">
      <w:pPr>
        <w:spacing w:line="230" w:lineRule="auto"/>
        <w:ind w:left="851" w:hanging="851"/>
        <w:jc w:val="both"/>
        <w:rPr>
          <w:rFonts w:eastAsiaTheme="minorHAnsi" w:cs="Calibri"/>
          <w:sz w:val="22"/>
        </w:rPr>
      </w:pPr>
      <w:r w:rsidRPr="002B23D3">
        <w:rPr>
          <w:rFonts w:eastAsiaTheme="minorHAnsi" w:cs="Calibri"/>
          <w:sz w:val="22"/>
        </w:rPr>
        <w:t>Prime Minister of Australia (2026</w:t>
      </w:r>
      <w:r w:rsidR="0016575C">
        <w:rPr>
          <w:rFonts w:eastAsiaTheme="minorHAnsi" w:cs="Calibri"/>
          <w:sz w:val="22"/>
        </w:rPr>
        <w:t>a</w:t>
      </w:r>
      <w:r w:rsidRPr="002B23D3">
        <w:rPr>
          <w:rFonts w:eastAsiaTheme="minorHAnsi" w:cs="Calibri"/>
          <w:sz w:val="22"/>
        </w:rPr>
        <w:t>). AI in Australia</w:t>
      </w:r>
      <w:r w:rsidR="00907946" w:rsidRPr="002B23D3">
        <w:rPr>
          <w:rFonts w:eastAsiaTheme="minorHAnsi" w:cs="Calibri"/>
          <w:sz w:val="22"/>
        </w:rPr>
        <w:t>’</w:t>
      </w:r>
      <w:r w:rsidRPr="002B23D3">
        <w:rPr>
          <w:rFonts w:eastAsiaTheme="minorHAnsi" w:cs="Calibri"/>
          <w:sz w:val="22"/>
        </w:rPr>
        <w:t xml:space="preserve">s interests. Media release, 15 July. Available at: </w:t>
      </w:r>
      <w:hyperlink r:id="rId30" w:history="1">
        <w:r w:rsidR="009D7FDE" w:rsidRPr="002B23D3">
          <w:rPr>
            <w:rStyle w:val="Hyperlink"/>
            <w:rFonts w:eastAsiaTheme="minorHAnsi" w:cs="Calibri"/>
            <w:color w:val="auto"/>
            <w:sz w:val="22"/>
          </w:rPr>
          <w:t>https://www.pm.gov.au/media/ai-australias-interests</w:t>
        </w:r>
      </w:hyperlink>
      <w:r w:rsidR="009D7FDE" w:rsidRPr="002B23D3">
        <w:rPr>
          <w:rFonts w:eastAsiaTheme="minorHAnsi" w:cs="Calibri"/>
          <w:sz w:val="22"/>
        </w:rPr>
        <w:t xml:space="preserve"> </w:t>
      </w:r>
      <w:r w:rsidRPr="002B23D3">
        <w:rPr>
          <w:rFonts w:eastAsiaTheme="minorHAnsi" w:cs="Calibri"/>
          <w:sz w:val="22"/>
        </w:rPr>
        <w:t xml:space="preserve"> (accessed 19 July 2026).</w:t>
      </w:r>
    </w:p>
    <w:p w14:paraId="079382CB" w14:textId="77777777" w:rsidR="0059395B" w:rsidRPr="0059395B" w:rsidRDefault="0059395B" w:rsidP="00E418CF">
      <w:pPr>
        <w:spacing w:line="230" w:lineRule="auto"/>
        <w:ind w:left="851" w:hanging="851"/>
        <w:jc w:val="both"/>
        <w:rPr>
          <w:rFonts w:eastAsiaTheme="minorHAnsi" w:cs="Calibri"/>
          <w:sz w:val="22"/>
        </w:rPr>
      </w:pPr>
      <w:r w:rsidRPr="0059395B">
        <w:rPr>
          <w:rFonts w:eastAsiaTheme="minorHAnsi" w:cs="Calibri"/>
          <w:sz w:val="22"/>
        </w:rPr>
        <w:t>Prime Minister of Australia (2026b). Meeting of National Cabinet, 26 August. Canberra: Commonwealth of Australia. Available at: https://www.pm.gov.au/media/meeting-national-cabinet-26-august-26 (accessed 29 August 2026).</w:t>
      </w:r>
    </w:p>
    <w:p w14:paraId="3491A8D4" w14:textId="00290BFA"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Rone, J. (2024). The shape of the cloud: Contesting </w:t>
      </w:r>
      <w:r w:rsidR="00585C96" w:rsidRPr="002B23D3">
        <w:rPr>
          <w:rFonts w:eastAsiaTheme="minorHAnsi" w:cs="Calibri"/>
          <w:sz w:val="22"/>
        </w:rPr>
        <w:t>data</w:t>
      </w:r>
      <w:r w:rsidRPr="002B23D3">
        <w:rPr>
          <w:rFonts w:eastAsiaTheme="minorHAnsi" w:cs="Calibri"/>
          <w:sz w:val="22"/>
        </w:rPr>
        <w:t xml:space="preserve"> centre construction in North Holland. New Media &amp; Society, 26(10), 5999-6018. </w:t>
      </w:r>
      <w:hyperlink r:id="rId31" w:history="1">
        <w:r w:rsidR="009D7FDE" w:rsidRPr="002B23D3">
          <w:rPr>
            <w:rStyle w:val="Hyperlink"/>
            <w:rFonts w:eastAsiaTheme="minorHAnsi" w:cs="Calibri"/>
            <w:color w:val="auto"/>
            <w:sz w:val="22"/>
          </w:rPr>
          <w:t>https://doi.org/10.1177/14614448221145928</w:t>
        </w:r>
      </w:hyperlink>
      <w:r w:rsidR="009D7FDE" w:rsidRPr="002B23D3">
        <w:rPr>
          <w:rFonts w:eastAsiaTheme="minorHAnsi" w:cs="Calibri"/>
          <w:sz w:val="22"/>
        </w:rPr>
        <w:t xml:space="preserve"> </w:t>
      </w:r>
      <w:r w:rsidRPr="002B23D3">
        <w:rPr>
          <w:rFonts w:eastAsiaTheme="minorHAnsi" w:cs="Calibri"/>
          <w:sz w:val="22"/>
        </w:rPr>
        <w:t>.</w:t>
      </w:r>
    </w:p>
    <w:p w14:paraId="5306A91A" w14:textId="37420E2C" w:rsidR="00367938" w:rsidRPr="002B23D3" w:rsidRDefault="00F2479D" w:rsidP="00E418CF">
      <w:pPr>
        <w:spacing w:line="230" w:lineRule="auto"/>
        <w:ind w:left="851" w:hanging="851"/>
        <w:jc w:val="both"/>
        <w:rPr>
          <w:rFonts w:eastAsiaTheme="minorHAnsi" w:cs="Calibri"/>
          <w:sz w:val="22"/>
        </w:rPr>
      </w:pPr>
      <w:r w:rsidRPr="002B23D3">
        <w:rPr>
          <w:rFonts w:eastAsiaTheme="minorHAnsi" w:cs="Calibri"/>
          <w:sz w:val="22"/>
        </w:rPr>
        <w:t xml:space="preserve">Terrestrial Ecosystem Research Network (TERN) (2026). Landscape monitoring. Available at: </w:t>
      </w:r>
      <w:hyperlink r:id="rId32" w:history="1">
        <w:r w:rsidR="009D7FDE" w:rsidRPr="002B23D3">
          <w:rPr>
            <w:rStyle w:val="Hyperlink"/>
            <w:rFonts w:eastAsiaTheme="minorHAnsi" w:cs="Calibri"/>
            <w:color w:val="auto"/>
            <w:sz w:val="22"/>
          </w:rPr>
          <w:t>https://www.tern.org.au/tern-observatory/landscape-monitoring-and-observation/</w:t>
        </w:r>
      </w:hyperlink>
      <w:r w:rsidR="00D63E24">
        <w:t xml:space="preserve"> </w:t>
      </w:r>
      <w:r w:rsidR="009D7FDE" w:rsidRPr="002B23D3">
        <w:rPr>
          <w:rFonts w:eastAsiaTheme="minorHAnsi" w:cs="Calibri"/>
          <w:sz w:val="22"/>
        </w:rPr>
        <w:t xml:space="preserve"> </w:t>
      </w:r>
      <w:r w:rsidRPr="002B23D3">
        <w:rPr>
          <w:rFonts w:eastAsiaTheme="minorHAnsi" w:cs="Calibri"/>
          <w:sz w:val="22"/>
        </w:rPr>
        <w:t xml:space="preserve"> (accessed 19 July 2026).</w:t>
      </w:r>
    </w:p>
    <w:p w14:paraId="71DF0F6F" w14:textId="7ABB9EB0" w:rsidR="0019267B" w:rsidRPr="002B23D3" w:rsidRDefault="0019267B" w:rsidP="00E418CF">
      <w:pPr>
        <w:spacing w:line="230" w:lineRule="auto"/>
        <w:ind w:left="851" w:hanging="851"/>
        <w:jc w:val="both"/>
        <w:rPr>
          <w:rFonts w:eastAsiaTheme="minorHAnsi" w:cs="Calibri"/>
          <w:sz w:val="22"/>
        </w:rPr>
      </w:pPr>
      <w:r w:rsidRPr="002B23D3">
        <w:rPr>
          <w:rFonts w:eastAsiaTheme="minorHAnsi" w:cs="Calibri"/>
          <w:sz w:val="22"/>
        </w:rPr>
        <w:t xml:space="preserve">Tiwari, A. (2026). </w:t>
      </w:r>
      <w:proofErr w:type="spellStart"/>
      <w:r w:rsidRPr="002B23D3">
        <w:rPr>
          <w:rFonts w:eastAsiaTheme="minorHAnsi" w:cs="Calibri"/>
          <w:sz w:val="22"/>
        </w:rPr>
        <w:t>Datacenters</w:t>
      </w:r>
      <w:proofErr w:type="spellEnd"/>
      <w:r w:rsidRPr="002B23D3">
        <w:rPr>
          <w:rFonts w:eastAsiaTheme="minorHAnsi" w:cs="Calibri"/>
          <w:sz w:val="22"/>
        </w:rPr>
        <w:t xml:space="preserve"> as core infrastructure of urban AI. Nature Cities, 3, 311-317. https://doi.org/10.1038/s44284-026-00421-3.</w:t>
      </w:r>
    </w:p>
    <w:p w14:paraId="15600F03" w14:textId="77777777" w:rsidR="0019267B" w:rsidRPr="002B23D3" w:rsidRDefault="0019267B" w:rsidP="00E418CF">
      <w:pPr>
        <w:spacing w:line="230" w:lineRule="auto"/>
        <w:ind w:left="851" w:hanging="851"/>
        <w:jc w:val="both"/>
        <w:rPr>
          <w:rFonts w:eastAsiaTheme="minorHAnsi" w:cs="Calibri"/>
          <w:sz w:val="22"/>
        </w:rPr>
      </w:pPr>
      <w:r w:rsidRPr="002B23D3">
        <w:rPr>
          <w:rFonts w:eastAsiaTheme="minorHAnsi" w:cs="Calibri"/>
          <w:sz w:val="22"/>
        </w:rPr>
        <w:t>Tiwari, A., Hardi, A.Z., Almalki, A., et al. (2026). Spatial strategies for urban data centres. City and Environment Interactions, article 100425. https://doi.org/10.1016/j.cacint.2026.100425.</w:t>
      </w:r>
    </w:p>
    <w:p w14:paraId="478B9339" w14:textId="03DACEC5" w:rsidR="00315D65" w:rsidRPr="002B23D3" w:rsidRDefault="00315D65" w:rsidP="00E418CF">
      <w:pPr>
        <w:spacing w:line="230" w:lineRule="auto"/>
        <w:ind w:left="851" w:hanging="851"/>
        <w:jc w:val="both"/>
        <w:rPr>
          <w:rFonts w:eastAsiaTheme="minorHAnsi" w:cs="Calibri"/>
          <w:sz w:val="22"/>
        </w:rPr>
      </w:pPr>
      <w:proofErr w:type="spellStart"/>
      <w:r w:rsidRPr="002B23D3">
        <w:rPr>
          <w:rFonts w:eastAsiaTheme="minorHAnsi" w:cs="Calibri"/>
          <w:sz w:val="22"/>
        </w:rPr>
        <w:t>Velkova</w:t>
      </w:r>
      <w:proofErr w:type="spellEnd"/>
      <w:r w:rsidRPr="002B23D3">
        <w:rPr>
          <w:rFonts w:eastAsiaTheme="minorHAnsi" w:cs="Calibri"/>
          <w:sz w:val="22"/>
        </w:rPr>
        <w:t xml:space="preserve">, J. and Plantin, J.-C. (2023). Data </w:t>
      </w:r>
      <w:proofErr w:type="spellStart"/>
      <w:r w:rsidRPr="002B23D3">
        <w:rPr>
          <w:rFonts w:eastAsiaTheme="minorHAnsi" w:cs="Calibri"/>
          <w:sz w:val="22"/>
        </w:rPr>
        <w:t>centers</w:t>
      </w:r>
      <w:proofErr w:type="spellEnd"/>
      <w:r w:rsidRPr="002B23D3">
        <w:rPr>
          <w:rFonts w:eastAsiaTheme="minorHAnsi" w:cs="Calibri"/>
          <w:sz w:val="22"/>
        </w:rPr>
        <w:t xml:space="preserve"> and the infrastructural temporalities of digital media: An introduction. New Media &amp; Society, 25(2), 273-286. https://doi.org/10.1177/14614448221149945.</w:t>
      </w:r>
    </w:p>
    <w:p w14:paraId="509BC793" w14:textId="77777777" w:rsidR="00315D65" w:rsidRPr="002B23D3" w:rsidRDefault="00315D65" w:rsidP="00E418CF">
      <w:pPr>
        <w:spacing w:line="230" w:lineRule="auto"/>
        <w:ind w:left="851" w:hanging="851"/>
        <w:jc w:val="both"/>
        <w:rPr>
          <w:rFonts w:eastAsiaTheme="minorHAnsi" w:cs="Calibri"/>
          <w:sz w:val="22"/>
        </w:rPr>
      </w:pPr>
      <w:r w:rsidRPr="002B23D3">
        <w:rPr>
          <w:rFonts w:eastAsiaTheme="minorHAnsi" w:cs="Calibri"/>
          <w:sz w:val="22"/>
        </w:rPr>
        <w:t xml:space="preserve">Wang, F., </w:t>
      </w:r>
      <w:proofErr w:type="spellStart"/>
      <w:r w:rsidRPr="002B23D3">
        <w:rPr>
          <w:rFonts w:eastAsiaTheme="minorHAnsi" w:cs="Calibri"/>
          <w:sz w:val="22"/>
        </w:rPr>
        <w:t>Lv</w:t>
      </w:r>
      <w:proofErr w:type="spellEnd"/>
      <w:r w:rsidRPr="002B23D3">
        <w:rPr>
          <w:rFonts w:eastAsiaTheme="minorHAnsi" w:cs="Calibri"/>
          <w:sz w:val="22"/>
        </w:rPr>
        <w:t xml:space="preserve">, C. and Xu, J. (2023). Carbon awareness oriented data </w:t>
      </w:r>
      <w:proofErr w:type="spellStart"/>
      <w:r w:rsidRPr="002B23D3">
        <w:rPr>
          <w:rFonts w:eastAsiaTheme="minorHAnsi" w:cs="Calibri"/>
          <w:sz w:val="22"/>
        </w:rPr>
        <w:t>center</w:t>
      </w:r>
      <w:proofErr w:type="spellEnd"/>
      <w:r w:rsidRPr="002B23D3">
        <w:rPr>
          <w:rFonts w:eastAsiaTheme="minorHAnsi" w:cs="Calibri"/>
          <w:sz w:val="22"/>
        </w:rPr>
        <w:t xml:space="preserve"> location and configuration: An integrated optimization method. Energy, 278, 127744. https://doi.org/10.1016/j.energy.2023.127744.</w:t>
      </w:r>
    </w:p>
    <w:p w14:paraId="5B23FF0E" w14:textId="09843F2D" w:rsidR="00315D65" w:rsidRPr="003F0B8F" w:rsidRDefault="00315D65" w:rsidP="00E418CF">
      <w:pPr>
        <w:spacing w:line="230" w:lineRule="auto"/>
        <w:ind w:left="851" w:hanging="851"/>
        <w:jc w:val="both"/>
        <w:rPr>
          <w:rFonts w:eastAsiaTheme="minorHAnsi" w:cs="Calibri"/>
          <w:sz w:val="22"/>
        </w:rPr>
      </w:pPr>
      <w:r w:rsidRPr="002B23D3">
        <w:rPr>
          <w:rFonts w:eastAsiaTheme="minorHAnsi" w:cs="Calibri"/>
          <w:sz w:val="22"/>
        </w:rPr>
        <w:t xml:space="preserve">Young, C. (2026). Clouds on the horizon: an integrative review of data </w:t>
      </w:r>
      <w:proofErr w:type="spellStart"/>
      <w:r w:rsidRPr="002B23D3">
        <w:rPr>
          <w:rFonts w:eastAsiaTheme="minorHAnsi" w:cs="Calibri"/>
          <w:sz w:val="22"/>
        </w:rPr>
        <w:t>centers</w:t>
      </w:r>
      <w:proofErr w:type="spellEnd"/>
      <w:r w:rsidRPr="002B23D3">
        <w:rPr>
          <w:rFonts w:eastAsiaTheme="minorHAnsi" w:cs="Calibri"/>
          <w:sz w:val="22"/>
        </w:rPr>
        <w:t xml:space="preserve"> and local governance in the United States. Oxford Open Energy, 5, oiag006. https://doi.org/10.1093/ooenergy/oiag006.</w:t>
      </w:r>
    </w:p>
    <w:p w14:paraId="551BFBF6" w14:textId="4DDA2056" w:rsidR="00367938" w:rsidRPr="003F0B8F" w:rsidRDefault="00367938" w:rsidP="00AA6255">
      <w:pPr>
        <w:ind w:left="851" w:hanging="851"/>
        <w:jc w:val="both"/>
        <w:rPr>
          <w:rFonts w:eastAsiaTheme="minorHAnsi" w:cs="Calibri"/>
          <w:sz w:val="22"/>
        </w:rPr>
      </w:pPr>
    </w:p>
    <w:sectPr w:rsidR="00367938" w:rsidRPr="003F0B8F">
      <w:headerReference w:type="default" r:id="rId33"/>
      <w:footerReference w:type="default" r:id="rId34"/>
      <w:pgSz w:w="11906" w:h="16838"/>
      <w:pgMar w:top="1210" w:right="1181" w:bottom="1037" w:left="118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E6F42" w14:textId="77777777" w:rsidR="00C41C24" w:rsidRDefault="00C41C24" w:rsidP="005076E1">
      <w:r>
        <w:separator/>
      </w:r>
    </w:p>
  </w:endnote>
  <w:endnote w:type="continuationSeparator" w:id="0">
    <w:p w14:paraId="6F655F6C" w14:textId="77777777" w:rsidR="00C41C24" w:rsidRDefault="00C41C24" w:rsidP="00507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B0BD"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descr="Image: numbering.x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171F390D"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3A27C" w14:textId="77777777" w:rsidR="00C41C24" w:rsidRDefault="00C41C24" w:rsidP="005076E1">
      <w:r>
        <w:separator/>
      </w:r>
    </w:p>
  </w:footnote>
  <w:footnote w:type="continuationSeparator" w:id="0">
    <w:p w14:paraId="5FD332F5" w14:textId="77777777" w:rsidR="00C41C24" w:rsidRDefault="00C41C24" w:rsidP="00507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3952D"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3A6E98AB" w14:textId="77777777" w:rsidR="005076E1" w:rsidRDefault="005076E1" w:rsidP="005076E1">
    <w:pPr>
      <w:pStyle w:val="Header"/>
      <w:jc w:val="center"/>
      <w:rPr>
        <w:sz w:val="28"/>
        <w:szCs w:val="28"/>
      </w:rPr>
    </w:pPr>
    <w:r w:rsidRPr="00A93F99">
      <w:rPr>
        <w:sz w:val="28"/>
        <w:szCs w:val="28"/>
      </w:rPr>
      <w:t>IT in Construction</w:t>
    </w:r>
  </w:p>
  <w:p w14:paraId="3FE3B03D" w14:textId="77777777" w:rsidR="005076E1" w:rsidRPr="00F3628B" w:rsidRDefault="005076E1" w:rsidP="005076E1">
    <w:pPr>
      <w:pStyle w:val="Header"/>
      <w:jc w:val="center"/>
      <w:rPr>
        <w:sz w:val="28"/>
        <w:szCs w:val="28"/>
      </w:rPr>
    </w:pPr>
    <w:r>
      <w:rPr>
        <w:sz w:val="28"/>
        <w:szCs w:val="28"/>
      </w:rPr>
      <w:t>New Delhi, India</w:t>
    </w:r>
  </w:p>
  <w:p w14:paraId="1CECDF04"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76746"/>
    <w:multiLevelType w:val="multilevel"/>
    <w:tmpl w:val="7BB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D5702A4"/>
    <w:multiLevelType w:val="multilevel"/>
    <w:tmpl w:val="DC94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
  </w:num>
  <w:num w:numId="2" w16cid:durableId="971980657">
    <w:abstractNumId w:val="3"/>
  </w:num>
  <w:num w:numId="3" w16cid:durableId="1825465262">
    <w:abstractNumId w:val="2"/>
  </w:num>
  <w:num w:numId="4" w16cid:durableId="1620456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19E2"/>
    <w:rsid w:val="00010106"/>
    <w:rsid w:val="00033C76"/>
    <w:rsid w:val="00044270"/>
    <w:rsid w:val="00052187"/>
    <w:rsid w:val="00052727"/>
    <w:rsid w:val="00062653"/>
    <w:rsid w:val="0007198B"/>
    <w:rsid w:val="000A11CF"/>
    <w:rsid w:val="000A13F4"/>
    <w:rsid w:val="000C5219"/>
    <w:rsid w:val="000D27A2"/>
    <w:rsid w:val="000E00C8"/>
    <w:rsid w:val="00121DC9"/>
    <w:rsid w:val="001475ED"/>
    <w:rsid w:val="001635DD"/>
    <w:rsid w:val="0016575C"/>
    <w:rsid w:val="00170FD8"/>
    <w:rsid w:val="00171BF8"/>
    <w:rsid w:val="00173A5D"/>
    <w:rsid w:val="0019267B"/>
    <w:rsid w:val="001953D5"/>
    <w:rsid w:val="001A3575"/>
    <w:rsid w:val="001A75D0"/>
    <w:rsid w:val="001D672E"/>
    <w:rsid w:val="001D7671"/>
    <w:rsid w:val="001E17B1"/>
    <w:rsid w:val="001E7C8A"/>
    <w:rsid w:val="001F7B37"/>
    <w:rsid w:val="00225A51"/>
    <w:rsid w:val="00227772"/>
    <w:rsid w:val="002338BD"/>
    <w:rsid w:val="00233ABA"/>
    <w:rsid w:val="002425AD"/>
    <w:rsid w:val="00246DB1"/>
    <w:rsid w:val="00252256"/>
    <w:rsid w:val="00255478"/>
    <w:rsid w:val="00260834"/>
    <w:rsid w:val="002639D6"/>
    <w:rsid w:val="00266680"/>
    <w:rsid w:val="0026694B"/>
    <w:rsid w:val="00271DFA"/>
    <w:rsid w:val="00272127"/>
    <w:rsid w:val="00274DFD"/>
    <w:rsid w:val="00281B8A"/>
    <w:rsid w:val="00283F89"/>
    <w:rsid w:val="002900EF"/>
    <w:rsid w:val="00295BA1"/>
    <w:rsid w:val="002A1363"/>
    <w:rsid w:val="002A535B"/>
    <w:rsid w:val="002B1EA2"/>
    <w:rsid w:val="002B23D3"/>
    <w:rsid w:val="002B76EB"/>
    <w:rsid w:val="002F03C6"/>
    <w:rsid w:val="002F4514"/>
    <w:rsid w:val="003070EA"/>
    <w:rsid w:val="00310329"/>
    <w:rsid w:val="00315D65"/>
    <w:rsid w:val="00316E7C"/>
    <w:rsid w:val="00335095"/>
    <w:rsid w:val="00336040"/>
    <w:rsid w:val="00337DC4"/>
    <w:rsid w:val="00342AA0"/>
    <w:rsid w:val="00342EE6"/>
    <w:rsid w:val="003469AD"/>
    <w:rsid w:val="00361D26"/>
    <w:rsid w:val="00364A1C"/>
    <w:rsid w:val="00364B5E"/>
    <w:rsid w:val="00366FDF"/>
    <w:rsid w:val="00367938"/>
    <w:rsid w:val="003845E1"/>
    <w:rsid w:val="00391B6E"/>
    <w:rsid w:val="003B16DD"/>
    <w:rsid w:val="003C6F3B"/>
    <w:rsid w:val="003F0B8F"/>
    <w:rsid w:val="003F1222"/>
    <w:rsid w:val="003F27D6"/>
    <w:rsid w:val="003F7A1E"/>
    <w:rsid w:val="00401826"/>
    <w:rsid w:val="004033AB"/>
    <w:rsid w:val="00404BAD"/>
    <w:rsid w:val="00413F08"/>
    <w:rsid w:val="004202B9"/>
    <w:rsid w:val="00423D75"/>
    <w:rsid w:val="00423E71"/>
    <w:rsid w:val="004358EA"/>
    <w:rsid w:val="0044264B"/>
    <w:rsid w:val="00446D78"/>
    <w:rsid w:val="0044799F"/>
    <w:rsid w:val="00452180"/>
    <w:rsid w:val="00455BDA"/>
    <w:rsid w:val="00461AFB"/>
    <w:rsid w:val="00475147"/>
    <w:rsid w:val="00480146"/>
    <w:rsid w:val="00484713"/>
    <w:rsid w:val="00486709"/>
    <w:rsid w:val="00493899"/>
    <w:rsid w:val="004A1C53"/>
    <w:rsid w:val="004C79EF"/>
    <w:rsid w:val="004E0218"/>
    <w:rsid w:val="004E0D90"/>
    <w:rsid w:val="004E2EC6"/>
    <w:rsid w:val="004E7984"/>
    <w:rsid w:val="004F00F6"/>
    <w:rsid w:val="005076E1"/>
    <w:rsid w:val="00521E5E"/>
    <w:rsid w:val="00535C79"/>
    <w:rsid w:val="00556F56"/>
    <w:rsid w:val="0055767F"/>
    <w:rsid w:val="00561065"/>
    <w:rsid w:val="00562B4A"/>
    <w:rsid w:val="00583E11"/>
    <w:rsid w:val="00585C96"/>
    <w:rsid w:val="0059395B"/>
    <w:rsid w:val="005B52C9"/>
    <w:rsid w:val="005C1C95"/>
    <w:rsid w:val="005E0E21"/>
    <w:rsid w:val="00610860"/>
    <w:rsid w:val="006178FF"/>
    <w:rsid w:val="00617E71"/>
    <w:rsid w:val="00647A45"/>
    <w:rsid w:val="006714B0"/>
    <w:rsid w:val="00676AFB"/>
    <w:rsid w:val="00677C33"/>
    <w:rsid w:val="006A11D0"/>
    <w:rsid w:val="006A3392"/>
    <w:rsid w:val="006A7A55"/>
    <w:rsid w:val="006C4F79"/>
    <w:rsid w:val="006E490B"/>
    <w:rsid w:val="006E77D5"/>
    <w:rsid w:val="006F4BFC"/>
    <w:rsid w:val="006F5E69"/>
    <w:rsid w:val="006F6E91"/>
    <w:rsid w:val="006F6F14"/>
    <w:rsid w:val="007015AA"/>
    <w:rsid w:val="0070649F"/>
    <w:rsid w:val="007238B1"/>
    <w:rsid w:val="0073187D"/>
    <w:rsid w:val="00731DC9"/>
    <w:rsid w:val="00746931"/>
    <w:rsid w:val="007544E7"/>
    <w:rsid w:val="007603F2"/>
    <w:rsid w:val="007643E7"/>
    <w:rsid w:val="00766565"/>
    <w:rsid w:val="00772E65"/>
    <w:rsid w:val="007801BB"/>
    <w:rsid w:val="00780572"/>
    <w:rsid w:val="007A5F52"/>
    <w:rsid w:val="007B3E5F"/>
    <w:rsid w:val="007C1DF6"/>
    <w:rsid w:val="00800AD5"/>
    <w:rsid w:val="008054DF"/>
    <w:rsid w:val="008177D7"/>
    <w:rsid w:val="00835714"/>
    <w:rsid w:val="00835B2A"/>
    <w:rsid w:val="008403A9"/>
    <w:rsid w:val="00894D44"/>
    <w:rsid w:val="008C0E9F"/>
    <w:rsid w:val="008C39BC"/>
    <w:rsid w:val="008D2711"/>
    <w:rsid w:val="008D6BAA"/>
    <w:rsid w:val="008D7CA5"/>
    <w:rsid w:val="008E28A9"/>
    <w:rsid w:val="008E40CA"/>
    <w:rsid w:val="008F277F"/>
    <w:rsid w:val="008F4E18"/>
    <w:rsid w:val="00907946"/>
    <w:rsid w:val="00916DD1"/>
    <w:rsid w:val="009330E3"/>
    <w:rsid w:val="00936BA9"/>
    <w:rsid w:val="009373E9"/>
    <w:rsid w:val="00941A26"/>
    <w:rsid w:val="00942764"/>
    <w:rsid w:val="00944B8E"/>
    <w:rsid w:val="00947AC7"/>
    <w:rsid w:val="00953D9B"/>
    <w:rsid w:val="00965E8E"/>
    <w:rsid w:val="0096661D"/>
    <w:rsid w:val="00970580"/>
    <w:rsid w:val="00974284"/>
    <w:rsid w:val="00975428"/>
    <w:rsid w:val="00975916"/>
    <w:rsid w:val="00982A34"/>
    <w:rsid w:val="0098424E"/>
    <w:rsid w:val="00984D43"/>
    <w:rsid w:val="009901F4"/>
    <w:rsid w:val="009927F7"/>
    <w:rsid w:val="00994408"/>
    <w:rsid w:val="009A1D76"/>
    <w:rsid w:val="009A64F5"/>
    <w:rsid w:val="009B4DFF"/>
    <w:rsid w:val="009C7840"/>
    <w:rsid w:val="009D203A"/>
    <w:rsid w:val="009D3AF7"/>
    <w:rsid w:val="009D7F33"/>
    <w:rsid w:val="009D7FDE"/>
    <w:rsid w:val="009E30B7"/>
    <w:rsid w:val="009E6FF5"/>
    <w:rsid w:val="009F0490"/>
    <w:rsid w:val="009F14FB"/>
    <w:rsid w:val="00A0007A"/>
    <w:rsid w:val="00A0260F"/>
    <w:rsid w:val="00A1441D"/>
    <w:rsid w:val="00A1734B"/>
    <w:rsid w:val="00A23ADE"/>
    <w:rsid w:val="00A41763"/>
    <w:rsid w:val="00A45DD0"/>
    <w:rsid w:val="00A47E8D"/>
    <w:rsid w:val="00A73E04"/>
    <w:rsid w:val="00A7470F"/>
    <w:rsid w:val="00A768BE"/>
    <w:rsid w:val="00A817C0"/>
    <w:rsid w:val="00AA6255"/>
    <w:rsid w:val="00AB3607"/>
    <w:rsid w:val="00AB4EE2"/>
    <w:rsid w:val="00AC52B3"/>
    <w:rsid w:val="00AC601E"/>
    <w:rsid w:val="00AD0596"/>
    <w:rsid w:val="00AD10FE"/>
    <w:rsid w:val="00AD7D70"/>
    <w:rsid w:val="00B00F14"/>
    <w:rsid w:val="00B16F74"/>
    <w:rsid w:val="00B2745B"/>
    <w:rsid w:val="00B40D68"/>
    <w:rsid w:val="00B42868"/>
    <w:rsid w:val="00B66D15"/>
    <w:rsid w:val="00B739D4"/>
    <w:rsid w:val="00B7606A"/>
    <w:rsid w:val="00B76FF6"/>
    <w:rsid w:val="00B85EA7"/>
    <w:rsid w:val="00B914D1"/>
    <w:rsid w:val="00B915E2"/>
    <w:rsid w:val="00BB5B4F"/>
    <w:rsid w:val="00BC2597"/>
    <w:rsid w:val="00BC675A"/>
    <w:rsid w:val="00BD14B8"/>
    <w:rsid w:val="00BD4412"/>
    <w:rsid w:val="00BD4CBE"/>
    <w:rsid w:val="00BE0E14"/>
    <w:rsid w:val="00BF6995"/>
    <w:rsid w:val="00C046C0"/>
    <w:rsid w:val="00C04901"/>
    <w:rsid w:val="00C06471"/>
    <w:rsid w:val="00C11969"/>
    <w:rsid w:val="00C34E86"/>
    <w:rsid w:val="00C41C24"/>
    <w:rsid w:val="00C547BB"/>
    <w:rsid w:val="00C71119"/>
    <w:rsid w:val="00C724C6"/>
    <w:rsid w:val="00C85394"/>
    <w:rsid w:val="00C97EDC"/>
    <w:rsid w:val="00CA4524"/>
    <w:rsid w:val="00CB79CC"/>
    <w:rsid w:val="00CC3648"/>
    <w:rsid w:val="00CD4412"/>
    <w:rsid w:val="00D04335"/>
    <w:rsid w:val="00D0777B"/>
    <w:rsid w:val="00D07E75"/>
    <w:rsid w:val="00D1481D"/>
    <w:rsid w:val="00D2717D"/>
    <w:rsid w:val="00D34556"/>
    <w:rsid w:val="00D6057A"/>
    <w:rsid w:val="00D62C74"/>
    <w:rsid w:val="00D63E24"/>
    <w:rsid w:val="00D77795"/>
    <w:rsid w:val="00DB319C"/>
    <w:rsid w:val="00DC78B1"/>
    <w:rsid w:val="00DE6FB9"/>
    <w:rsid w:val="00DF0A60"/>
    <w:rsid w:val="00DF5E2D"/>
    <w:rsid w:val="00DF6D43"/>
    <w:rsid w:val="00E026B3"/>
    <w:rsid w:val="00E10757"/>
    <w:rsid w:val="00E311B8"/>
    <w:rsid w:val="00E35BF2"/>
    <w:rsid w:val="00E418CF"/>
    <w:rsid w:val="00E42CCA"/>
    <w:rsid w:val="00E44574"/>
    <w:rsid w:val="00E46174"/>
    <w:rsid w:val="00E53F88"/>
    <w:rsid w:val="00E67247"/>
    <w:rsid w:val="00E676ED"/>
    <w:rsid w:val="00E848F4"/>
    <w:rsid w:val="00E862C9"/>
    <w:rsid w:val="00EA100A"/>
    <w:rsid w:val="00EA687F"/>
    <w:rsid w:val="00EB0C0A"/>
    <w:rsid w:val="00EB7371"/>
    <w:rsid w:val="00EC4272"/>
    <w:rsid w:val="00EC7DFA"/>
    <w:rsid w:val="00ED2C1E"/>
    <w:rsid w:val="00EE112F"/>
    <w:rsid w:val="00EE1B45"/>
    <w:rsid w:val="00EF1806"/>
    <w:rsid w:val="00EF440C"/>
    <w:rsid w:val="00F0174B"/>
    <w:rsid w:val="00F1306C"/>
    <w:rsid w:val="00F2479D"/>
    <w:rsid w:val="00F3061B"/>
    <w:rsid w:val="00F30EC6"/>
    <w:rsid w:val="00F41289"/>
    <w:rsid w:val="00F41492"/>
    <w:rsid w:val="00F44518"/>
    <w:rsid w:val="00F470B7"/>
    <w:rsid w:val="00F549A1"/>
    <w:rsid w:val="00F649E7"/>
    <w:rsid w:val="00F713B3"/>
    <w:rsid w:val="00FA543D"/>
    <w:rsid w:val="00FB45E2"/>
    <w:rsid w:val="00FD28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29AC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after="0" w:line="240" w:lineRule="auto"/>
    </w:pPr>
    <w:rPr>
      <w:rFonts w:ascii="Calibri" w:eastAsia="Calibri" w:hAnsi="Calibri"/>
      <w:sz w:val="20"/>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jc w:val="center"/>
    </w:pPr>
    <w:rPr>
      <w:rFonts w:cs="Times New Roman"/>
      <w:kern w:val="0"/>
      <w:sz w:val="24"/>
      <w:szCs w:val="24"/>
      <w:lang w:eastAsia="fi-FI"/>
      <w14:ligatures w14:val="none"/>
    </w:rPr>
  </w:style>
  <w:style w:type="paragraph" w:styleId="PlainText">
    <w:name w:val="Plain Text"/>
    <w:aliases w:val="Subsection text"/>
    <w:basedOn w:val="Normal"/>
    <w:link w:val="PlainTextChar"/>
    <w:rsid w:val="00D6057A"/>
    <w:pPr>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CIBReference">
    <w:name w:val="CIB Reference"/>
    <w:pPr>
      <w:spacing w:after="0" w:line="240" w:lineRule="auto"/>
      <w:ind w:left="259" w:hanging="259"/>
      <w:jc w:val="both"/>
    </w:pPr>
    <w:rPr>
      <w:rFonts w:ascii="Calibri" w:eastAsia="Calibri" w:hAnsi="Calibri"/>
      <w:sz w:val="15"/>
    </w:rPr>
  </w:style>
  <w:style w:type="character" w:styleId="FollowedHyperlink">
    <w:name w:val="FollowedHyperlink"/>
    <w:basedOn w:val="DefaultParagraphFont"/>
    <w:uiPriority w:val="99"/>
    <w:semiHidden/>
    <w:unhideWhenUsed/>
    <w:rsid w:val="001A3575"/>
    <w:rPr>
      <w:color w:val="96607D" w:themeColor="followedHyperlink"/>
      <w:u w:val="single"/>
    </w:rPr>
  </w:style>
  <w:style w:type="character" w:styleId="PlaceholderText">
    <w:name w:val="Placeholder Text"/>
    <w:basedOn w:val="DefaultParagraphFont"/>
    <w:uiPriority w:val="99"/>
    <w:semiHidden/>
    <w:rsid w:val="005C1C95"/>
    <w:rPr>
      <w:color w:val="666666"/>
    </w:rPr>
  </w:style>
  <w:style w:type="table" w:styleId="TableGrid">
    <w:name w:val="Table Grid"/>
    <w:basedOn w:val="TableNormal"/>
    <w:uiPriority w:val="39"/>
    <w:rsid w:val="006E4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scs.2025.106687" TargetMode="External"/><Relationship Id="rId18" Type="http://schemas.openxmlformats.org/officeDocument/2006/relationships/hyperlink" Target="https://doi.org/10.1111/j.1475-3995.2012.00874.x" TargetMode="External"/><Relationship Id="rId26" Type="http://schemas.openxmlformats.org/officeDocument/2006/relationships/hyperlink" Target="https://doi.org/10.1016/j.resconrec.2025.108310" TargetMode="External"/><Relationship Id="rId3" Type="http://schemas.openxmlformats.org/officeDocument/2006/relationships/settings" Target="settings.xml"/><Relationship Id="rId21" Type="http://schemas.openxmlformats.org/officeDocument/2006/relationships/hyperlink" Target="https://doi.org/10.1016/j.enpol.2006.12.013" TargetMode="External"/><Relationship Id="rId34" Type="http://schemas.openxmlformats.org/officeDocument/2006/relationships/footer" Target="footer1.xml"/><Relationship Id="rId7" Type="http://schemas.openxmlformats.org/officeDocument/2006/relationships/hyperlink" Target="mailto:sherif.mostafa@griffith.edu.au" TargetMode="External"/><Relationship Id="rId12" Type="http://schemas.openxmlformats.org/officeDocument/2006/relationships/hyperlink" Target="https://www.aemo.com.au/newsroom/news-updates/digital-demand-surge" TargetMode="External"/><Relationship Id="rId17" Type="http://schemas.openxmlformats.org/officeDocument/2006/relationships/hyperlink" Target="https://doi.org/10.1016/j.techsoc.2022.102104" TargetMode="External"/><Relationship Id="rId25" Type="http://schemas.openxmlformats.org/officeDocument/2006/relationships/hyperlink" Target="https://doi.org/10.1787/8602a322-en"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38/s44432-026-00013-5" TargetMode="External"/><Relationship Id="rId20" Type="http://schemas.openxmlformats.org/officeDocument/2006/relationships/hyperlink" Target="https://doi.org/10.17705/1jais.00129" TargetMode="External"/><Relationship Id="rId29" Type="http://schemas.openxmlformats.org/officeDocument/2006/relationships/hyperlink" Target="https://doi.org/10.1145/3715335.37363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emc.gov.au/rule-changes/improving-nem-access-standards-package-2" TargetMode="External"/><Relationship Id="rId24" Type="http://schemas.openxmlformats.org/officeDocument/2006/relationships/hyperlink" Target="https://doi.org/10.1038/s41467-026-72324-9" TargetMode="External"/><Relationship Id="rId32" Type="http://schemas.openxmlformats.org/officeDocument/2006/relationships/hyperlink" Target="https://www.tern.org.au/tern-observatory/landscape-monitoring-and-observation/" TargetMode="External"/><Relationship Id="rId5" Type="http://schemas.openxmlformats.org/officeDocument/2006/relationships/footnotes" Target="footnotes.xml"/><Relationship Id="rId15" Type="http://schemas.openxmlformats.org/officeDocument/2006/relationships/hyperlink" Target="https://doi.org/10.1061/(ASCE)ME.1943-5479.0000483" TargetMode="External"/><Relationship Id="rId23" Type="http://schemas.openxmlformats.org/officeDocument/2006/relationships/hyperlink" Target="https://doi.org/10.1007/s13162-020-00161-0" TargetMode="External"/><Relationship Id="rId28" Type="http://schemas.openxmlformats.org/officeDocument/2006/relationships/hyperlink" Target="https://doi.org/10.1111/1468-2427.13316" TargetMode="External"/><Relationship Id="rId36" Type="http://schemas.openxmlformats.org/officeDocument/2006/relationships/theme" Target="theme/theme1.xml"/><Relationship Id="rId10" Type="http://schemas.openxmlformats.org/officeDocument/2006/relationships/hyperlink" Target="https://doi.org/10.1038/s41586-025-08832-3" TargetMode="External"/><Relationship Id="rId19" Type="http://schemas.openxmlformats.org/officeDocument/2006/relationships/hyperlink" Target="https://doi.org/10.1080/19397038.2012.719554" TargetMode="External"/><Relationship Id="rId31" Type="http://schemas.openxmlformats.org/officeDocument/2006/relationships/hyperlink" Target="https://doi.org/10.1177/14614448221145928"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industry.gov.au/publications/expectations-data-centres-and-ai-infrastructure-developers" TargetMode="External"/><Relationship Id="rId22" Type="http://schemas.openxmlformats.org/officeDocument/2006/relationships/hyperlink" Target="https://www.iea.org/reports/energy-and-ai" TargetMode="External"/><Relationship Id="rId27" Type="http://schemas.openxmlformats.org/officeDocument/2006/relationships/hyperlink" Target="https://doi.org/10.1016/j.resourpol.2013.11.003" TargetMode="External"/><Relationship Id="rId30" Type="http://schemas.openxmlformats.org/officeDocument/2006/relationships/hyperlink" Target="https://www.pm.gov.au/media/ai-australias-interests" TargetMode="External"/><Relationship Id="rId35" Type="http://schemas.openxmlformats.org/officeDocument/2006/relationships/fontTable" Target="fontTable.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1874</TotalTime>
  <Pages>10</Pages>
  <Words>5639</Words>
  <Characters>38684</Characters>
  <Application>Microsoft Office Word</Application>
  <DocSecurity>0</DocSecurity>
  <Lines>552</Lines>
  <Paragraphs>175</Paragraphs>
  <ScaleCrop>false</ScaleCrop>
  <HeadingPairs>
    <vt:vector size="2" baseType="variant">
      <vt:variant>
        <vt:lpstr>Title</vt:lpstr>
      </vt:variant>
      <vt:variant>
        <vt:i4>1</vt:i4>
      </vt:variant>
    </vt:vector>
  </HeadingPairs>
  <TitlesOfParts>
    <vt:vector size="1" baseType="lpstr">
      <vt:lpstr>From Site Suitability to Data-Centre Delivery Readiness</vt:lpstr>
    </vt:vector>
  </TitlesOfParts>
  <Company/>
  <LinksUpToDate>false</LinksUpToDate>
  <CharactersWithSpaces>44148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Site Suitability to Data-Centre Delivery Readiness</dc:title>
  <dc:subject>CIB W78 2026 conference paper</dc:subject>
  <dc:creator>sherif.mostafa@griffith.edu.au</dc:creator>
  <cp:keywords>data centres; construction informatics; delivery readiness; site suitability; evidence-grounded decision support</cp:keywords>
  <dc:description>Final deep-sweep rebuilt manuscript.</dc:description>
  <cp:lastModifiedBy>Sherif Mostafa</cp:lastModifiedBy>
  <cp:revision>65</cp:revision>
  <cp:lastPrinted>2026-08-26T03:26:00Z</cp:lastPrinted>
  <dcterms:created xsi:type="dcterms:W3CDTF">2026-08-25T01:18:00Z</dcterms:created>
  <dcterms:modified xsi:type="dcterms:W3CDTF">2026-08-30T08:15:00Z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