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F856A" w14:textId="77777777" w:rsidR="009F19D8" w:rsidRPr="00AD2662" w:rsidRDefault="00353E40" w:rsidP="00AD2662">
      <w:pPr>
        <w:ind w:firstLine="0"/>
        <w:jc w:val="center"/>
        <w:rPr>
          <w:rFonts w:eastAsia="Aptos"/>
          <w:b/>
          <w:bCs/>
          <w:kern w:val="2"/>
          <w:sz w:val="28"/>
          <w:szCs w:val="28"/>
          <w:lang w:eastAsia="en-US"/>
          <w14:ligatures w14:val="standardContextual"/>
        </w:rPr>
      </w:pPr>
      <w:r>
        <w:rPr>
          <w:rFonts w:eastAsia="Aptos"/>
          <w:b/>
          <w:bCs/>
          <w:kern w:val="2"/>
          <w:sz w:val="28"/>
          <w:szCs w:val="28"/>
          <w:lang w:eastAsia="en-US"/>
          <w14:ligatures w14:val="standardContextual"/>
        </w:rPr>
        <w:t>Evaluating LLM Effectiveness for BAS Point Classification</w:t>
      </w:r>
    </w:p>
    <w:p w14:paraId="04AE033C" w14:textId="77777777" w:rsidR="009F19D8" w:rsidRPr="005F412B" w:rsidRDefault="00000000" w:rsidP="00C061C3">
      <w:pPr>
        <w:ind w:firstLine="0"/>
        <w:jc w:val="center"/>
      </w:pPr>
      <w:r w:rsidRPr="00AD2662">
        <w:rPr>
          <w:sz w:val="24"/>
          <w:szCs w:val="24"/>
        </w:rPr>
        <w:t>Mohamed S. Kandil</w:t>
      </w:r>
      <w:r w:rsidRPr="00AD2662">
        <w:rPr>
          <w:sz w:val="24"/>
          <w:szCs w:val="24"/>
          <w:vertAlign w:val="superscript"/>
        </w:rPr>
        <w:t>1</w:t>
      </w:r>
      <w:r w:rsidRPr="00AD2662">
        <w:rPr>
          <w:sz w:val="24"/>
          <w:szCs w:val="24"/>
        </w:rPr>
        <w:t xml:space="preserve">, J.J. McArthur </w:t>
      </w:r>
      <w:r w:rsidRPr="00AD2662">
        <w:rPr>
          <w:sz w:val="24"/>
          <w:szCs w:val="24"/>
          <w:vertAlign w:val="superscript"/>
        </w:rPr>
        <w:t>1, *</w:t>
      </w:r>
    </w:p>
    <w:p w14:paraId="22BED277" w14:textId="77777777" w:rsidR="009F19D8" w:rsidRPr="005F412B" w:rsidRDefault="009F19D8" w:rsidP="001800AC"/>
    <w:p w14:paraId="0D9CE584" w14:textId="77777777" w:rsidR="009F19D8" w:rsidRPr="005F412B" w:rsidRDefault="00000000" w:rsidP="001800AC">
      <w:r w:rsidRPr="005F412B">
        <w:rPr>
          <w:vertAlign w:val="superscript"/>
        </w:rPr>
        <w:t xml:space="preserve">1 </w:t>
      </w:r>
      <w:r w:rsidRPr="005F412B">
        <w:t>Toronto Metropolitan University, Toronto, Canada</w:t>
      </w:r>
    </w:p>
    <w:p w14:paraId="571DBAF7" w14:textId="77777777" w:rsidR="009F19D8" w:rsidRPr="001800AC" w:rsidRDefault="00000000" w:rsidP="001800AC">
      <w:pPr>
        <w:rPr>
          <w:color w:val="000000"/>
        </w:rPr>
      </w:pPr>
      <w:r w:rsidRPr="001800AC">
        <w:rPr>
          <w:i/>
          <w:iCs/>
          <w:color w:val="000000"/>
          <w:vertAlign w:val="superscript"/>
        </w:rPr>
        <w:t>*</w:t>
      </w:r>
      <w:r w:rsidRPr="001800AC">
        <w:rPr>
          <w:i/>
          <w:iCs/>
          <w:color w:val="000000"/>
        </w:rPr>
        <w:t xml:space="preserve">Corresponding email: </w:t>
      </w:r>
      <w:hyperlink r:id="rId9">
        <w:r w:rsidR="009F19D8" w:rsidRPr="001800AC">
          <w:rPr>
            <w:rFonts w:ascii="Times New Roman" w:eastAsia="Times New Roman" w:hAnsi="Times New Roman" w:cs="Times New Roman"/>
            <w:color w:val="0000FF"/>
            <w:sz w:val="24"/>
            <w:szCs w:val="24"/>
            <w:u w:val="single"/>
          </w:rPr>
          <w:t>jennifer.mcarthur@torontomu.ca</w:t>
        </w:r>
      </w:hyperlink>
    </w:p>
    <w:p w14:paraId="2A9A708C" w14:textId="77777777" w:rsidR="009F19D8" w:rsidRPr="001800AC" w:rsidRDefault="009F19D8" w:rsidP="001800AC"/>
    <w:p w14:paraId="01DC6409" w14:textId="77777777" w:rsidR="009F19D8" w:rsidRPr="005F412B" w:rsidRDefault="00000000" w:rsidP="001800AC">
      <w:r w:rsidRPr="00AD2662">
        <w:rPr>
          <w:b/>
          <w:kern w:val="2"/>
          <w:sz w:val="28"/>
          <w14:ligatures w14:val="standardContextual"/>
        </w:rPr>
        <w:t>ABSTRACT</w:t>
      </w:r>
      <w:r w:rsidRPr="005F412B">
        <w:t xml:space="preserve"> </w:t>
      </w:r>
    </w:p>
    <w:p w14:paraId="7EF65115" w14:textId="77777777" w:rsidR="009F19D8" w:rsidRPr="001800AC" w:rsidRDefault="00000000" w:rsidP="00AD2662">
      <w:pPr>
        <w:ind w:left="1134" w:right="1088" w:firstLine="0"/>
      </w:pPr>
      <w:r w:rsidRPr="001800AC">
        <w:t xml:space="preserve">Data mapping is a critical step in Digital Twin development but is challenging in unstandardized contexts. Building automation system (BAS) naming is one such example. While these are generally consistent within a building, significant variation exists across building owners, vendors, and even programmers on the same project. BAS point mapping is further complicated by inconsistent formatting, </w:t>
      </w:r>
      <w:r w:rsidRPr="00AD2662">
        <w:rPr>
          <w:kern w:val="2"/>
          <w14:ligatures w14:val="standardContextual"/>
        </w:rPr>
        <w:t>rendering</w:t>
      </w:r>
      <w:r w:rsidRPr="001800AC">
        <w:t xml:space="preserve"> them non-machine-readable. As a result, mapping is traditionally manual, which requires a high level of effort, or rules-based, which has limited transferability between buildings.</w:t>
      </w:r>
    </w:p>
    <w:p w14:paraId="4A918C17" w14:textId="77777777" w:rsidR="009F19D8" w:rsidRPr="00430466" w:rsidRDefault="00000000" w:rsidP="00AD2662">
      <w:pPr>
        <w:ind w:left="1134" w:right="1088" w:firstLine="0"/>
      </w:pPr>
      <w:r w:rsidRPr="001800AC">
        <w:t xml:space="preserve">To address this challenge, this paper evaluates </w:t>
      </w:r>
      <w:r w:rsidR="00353E40">
        <w:t xml:space="preserve">both </w:t>
      </w:r>
      <w:r w:rsidRPr="001800AC">
        <w:t>the potential for a single-turn large language model (LLM) to undertake this mapping and its accuracy. A manual labelling benchmark, rule-based mapper, and 13 LLMs — 12 of them on the name-based corpus — are compared against a fixed vocabulary for central chilled-water plants, using a multi-vendor corpus of 271 point names, 28% of which are out-of-scope signals included to test against over-claiming.</w:t>
      </w:r>
      <w:sdt>
        <w:sdtPr>
          <w:tag w:val="goog_rdk_0"/>
          <w:id w:val="791647743"/>
        </w:sdtPr>
        <w:sdtContent/>
      </w:sdt>
      <w:r w:rsidRPr="001800AC">
        <w:t xml:space="preserve"> Accuracy was measured by exact match: the rule mapper achieved 41%, while open- and closed-weight LLMs ranged from 87-94%, with no systematic relationship to cost, which varied by a factor of up to 43x. </w:t>
      </w:r>
      <w:r w:rsidR="002C78FB" w:rsidRPr="001800AC">
        <w:t>To test robustness,</w:t>
      </w:r>
      <w:r w:rsidR="00C51776" w:rsidRPr="001800AC">
        <w:t xml:space="preserve"> a second test omitted </w:t>
      </w:r>
      <w:r w:rsidR="002C78FB" w:rsidRPr="001800AC">
        <w:t xml:space="preserve">descriptive information </w:t>
      </w:r>
      <w:r w:rsidR="00C51776" w:rsidRPr="001800AC">
        <w:t xml:space="preserve">from point names </w:t>
      </w:r>
      <w:r w:rsidR="002C78FB" w:rsidRPr="001800AC">
        <w:t xml:space="preserve">to reflect </w:t>
      </w:r>
      <w:r w:rsidR="00C51776" w:rsidRPr="00AD2662">
        <w:rPr>
          <w:kern w:val="2"/>
          <w14:ligatures w14:val="standardContextual"/>
        </w:rPr>
        <w:t>the</w:t>
      </w:r>
      <w:r w:rsidR="00C51776" w:rsidRPr="001800AC">
        <w:t xml:space="preserve"> most </w:t>
      </w:r>
      <w:r w:rsidR="002C78FB" w:rsidRPr="001800AC">
        <w:t xml:space="preserve">challenging case. While name-based prompts had near-zero accuracy, </w:t>
      </w:r>
      <w:r w:rsidR="005A6257">
        <w:t>augmenting with time-series statistics improved LLM performance to up to 81%</w:t>
      </w:r>
      <w:r w:rsidR="002C78FB" w:rsidRPr="001800AC">
        <w:t xml:space="preserve">, vs 8% for </w:t>
      </w:r>
      <w:r w:rsidR="005A6257">
        <w:t>rule-based</w:t>
      </w:r>
      <w:r w:rsidR="005A6257" w:rsidRPr="001800AC">
        <w:t xml:space="preserve"> </w:t>
      </w:r>
      <w:r w:rsidR="002C78FB" w:rsidRPr="001800AC">
        <w:t>approaches. This approach is not system-specific and has potential across HVAC twinning applications.</w:t>
      </w:r>
    </w:p>
    <w:p w14:paraId="4CB829B1" w14:textId="77777777" w:rsidR="009F19D8" w:rsidRPr="005F412B" w:rsidRDefault="009F19D8" w:rsidP="001800AC"/>
    <w:p w14:paraId="50245540" w14:textId="77777777" w:rsidR="009F19D8" w:rsidRPr="005F412B" w:rsidRDefault="00000000" w:rsidP="00AD2662">
      <w:pPr>
        <w:pStyle w:val="Heading1"/>
      </w:pPr>
      <w:r w:rsidRPr="00AD2662">
        <w:t>INTRODUCTION</w:t>
      </w:r>
      <w:r w:rsidRPr="005F412B">
        <w:t xml:space="preserve"> </w:t>
      </w:r>
    </w:p>
    <w:p w14:paraId="1CE74BF3" w14:textId="77777777" w:rsidR="009F19D8" w:rsidRPr="001800AC" w:rsidRDefault="00000000" w:rsidP="001800AC">
      <w:pPr>
        <w:rPr>
          <w:highlight w:val="cyan"/>
        </w:rPr>
      </w:pPr>
      <w:r w:rsidRPr="001800AC">
        <w:t>HVAC system analytics, fault detection, and digital twins all rely heavily on Building Automation System (BAS) data</w:t>
      </w:r>
      <w:r w:rsidR="00C51776" w:rsidRPr="001800AC">
        <w:t xml:space="preserve">, which can be either batch exported into tables with each point in its own column or streamed as {timestamp, point name, value} tuples. Translating these into schema or semantic models </w:t>
      </w:r>
      <w:r w:rsidR="000C47C1" w:rsidRPr="001800AC">
        <w:t xml:space="preserve">such as Brick (Balaji et al., 2018) and Project Haystack (Project Haystack Organization, 2026) </w:t>
      </w:r>
      <w:r w:rsidR="00C51776" w:rsidRPr="001800AC">
        <w:t xml:space="preserve">is complicated by the lack of industry standardization with names and lack of </w:t>
      </w:r>
      <w:r w:rsidRPr="001800AC">
        <w:t xml:space="preserve">machine-readable </w:t>
      </w:r>
      <w:r w:rsidR="00C51776" w:rsidRPr="001800AC">
        <w:t xml:space="preserve">nomenclature </w:t>
      </w:r>
      <w:r w:rsidRPr="001800AC">
        <w:t xml:space="preserve">(Balaji et al., 2018; </w:t>
      </w:r>
      <w:proofErr w:type="spellStart"/>
      <w:r w:rsidRPr="001800AC">
        <w:t>Pritoni</w:t>
      </w:r>
      <w:proofErr w:type="spellEnd"/>
      <w:r w:rsidRPr="001800AC">
        <w:t xml:space="preserve"> et al., 2021)</w:t>
      </w:r>
      <w:r w:rsidR="00C51776" w:rsidRPr="001800AC">
        <w:t xml:space="preserve">. To ingest this data, manual mapping is commonly used and is </w:t>
      </w:r>
      <w:r w:rsidRPr="001800AC">
        <w:t>an accurate - but high-effort, low-</w:t>
      </w:r>
      <w:r w:rsidR="00C51776" w:rsidRPr="001800AC">
        <w:t>transferability</w:t>
      </w:r>
      <w:r w:rsidRPr="001800AC">
        <w:t xml:space="preserve"> </w:t>
      </w:r>
      <w:r w:rsidR="00C51776" w:rsidRPr="001800AC">
        <w:t>–</w:t>
      </w:r>
      <w:r w:rsidRPr="001800AC">
        <w:t xml:space="preserve"> solution. </w:t>
      </w:r>
      <w:r w:rsidR="00C51776" w:rsidRPr="001800AC">
        <w:t xml:space="preserve">A common alternative to manual mapping is the use of </w:t>
      </w:r>
      <w:r w:rsidRPr="005F412B">
        <w:t xml:space="preserve">a rule- or dictionary-based mapper that matches keywords and tokens in the </w:t>
      </w:r>
      <w:r w:rsidR="00C51776" w:rsidRPr="005F412B">
        <w:t xml:space="preserve">point </w:t>
      </w:r>
      <w:r w:rsidRPr="005F412B">
        <w:t>name.</w:t>
      </w:r>
      <w:r w:rsidR="00C51776" w:rsidRPr="005F412B">
        <w:t xml:space="preserve"> While fast and low-cost, </w:t>
      </w:r>
      <w:r w:rsidRPr="005F412B">
        <w:t>they are also brittle</w:t>
      </w:r>
      <w:r w:rsidR="00C51776" w:rsidRPr="005F412B">
        <w:t xml:space="preserve">; a new naming </w:t>
      </w:r>
      <w:r w:rsidRPr="005F412B">
        <w:t xml:space="preserve">convention or </w:t>
      </w:r>
      <w:r w:rsidR="00C51776" w:rsidRPr="005F412B">
        <w:t xml:space="preserve">unknown </w:t>
      </w:r>
      <w:r w:rsidRPr="005F412B">
        <w:t xml:space="preserve">abbreviation </w:t>
      </w:r>
      <w:r w:rsidR="00C51776" w:rsidRPr="005F412B">
        <w:t>either</w:t>
      </w:r>
      <w:r w:rsidRPr="005F412B">
        <w:t xml:space="preserve"> returns the wrong type or </w:t>
      </w:r>
      <w:r w:rsidR="00C51776" w:rsidRPr="005F412B">
        <w:t>a null value</w:t>
      </w:r>
      <w:r w:rsidR="000C47C1">
        <w:t xml:space="preserve"> (Wang et al.</w:t>
      </w:r>
      <w:r w:rsidR="000C47C1" w:rsidRPr="004B5307">
        <w:t>, 2018)</w:t>
      </w:r>
      <w:r w:rsidRPr="005F412B">
        <w:t>.</w:t>
      </w:r>
    </w:p>
    <w:p w14:paraId="705958A1" w14:textId="77777777" w:rsidR="000C47C1" w:rsidRPr="001800AC" w:rsidRDefault="00000000" w:rsidP="001800AC">
      <w:r w:rsidRPr="001800AC">
        <w:t>This paper</w:t>
      </w:r>
      <w:r w:rsidR="000C47C1" w:rsidRPr="001800AC">
        <w:t xml:space="preserve"> explores the extent to which LLMs can resolve this challenge. Two distinct investigations were undertaken. First, a multi-vendor corpus was used to compare the performance </w:t>
      </w:r>
      <w:r w:rsidR="000C47C1" w:rsidRPr="001800AC">
        <w:lastRenderedPageBreak/>
        <w:t>of 13 open- and closed-weight LLMs (12 of which were run on this corpus) against expert manual labelling (ground truth) and a rule mapper.</w:t>
      </w:r>
      <w:r w:rsidRPr="001800AC">
        <w:t xml:space="preserve"> The second </w:t>
      </w:r>
      <w:r w:rsidR="000C47C1" w:rsidRPr="001800AC">
        <w:t xml:space="preserve">explored the </w:t>
      </w:r>
      <w:r w:rsidRPr="001800AC">
        <w:t xml:space="preserve">extreme and deliberately challenging case where the point names </w:t>
      </w:r>
      <w:r w:rsidR="000C47C1" w:rsidRPr="001800AC">
        <w:t xml:space="preserve">are </w:t>
      </w:r>
      <w:r w:rsidRPr="001800AC">
        <w:t>deliberately uninformative</w:t>
      </w:r>
      <w:r w:rsidR="000C47C1" w:rsidRPr="001800AC">
        <w:t xml:space="preserve"> (e.g. “BLDG.</w:t>
      </w:r>
      <w:r w:rsidR="005A6257" w:rsidRPr="001800AC">
        <w:t>A</w:t>
      </w:r>
      <w:r w:rsidR="005A6257">
        <w:t>I0</w:t>
      </w:r>
      <w:r w:rsidR="005A6257" w:rsidRPr="001800AC">
        <w:t>1</w:t>
      </w:r>
      <w:r w:rsidR="000C47C1" w:rsidRPr="001800AC">
        <w:t>”) forcing the LLMs to analyse the time-series data itself. The case of chiller plant data was used but the underlying approach is applicable across applications.</w:t>
      </w:r>
    </w:p>
    <w:p w14:paraId="2EAA10E6" w14:textId="77777777" w:rsidR="009F19D8" w:rsidRPr="001800AC" w:rsidRDefault="000C47C1" w:rsidP="001800AC">
      <w:r w:rsidRPr="001800AC">
        <w:t xml:space="preserve"> </w:t>
      </w:r>
    </w:p>
    <w:p w14:paraId="4D571D7F" w14:textId="77777777" w:rsidR="009F19D8" w:rsidRPr="005F412B" w:rsidRDefault="00000000" w:rsidP="00AD2662">
      <w:pPr>
        <w:pStyle w:val="Heading1"/>
      </w:pPr>
      <w:r w:rsidRPr="005F412B">
        <w:t>STATE OF THE ART</w:t>
      </w:r>
    </w:p>
    <w:p w14:paraId="22137817" w14:textId="77777777" w:rsidR="009F19D8" w:rsidRPr="001800AC" w:rsidRDefault="000C47C1" w:rsidP="005F412B">
      <w:r>
        <w:t>S</w:t>
      </w:r>
      <w:r w:rsidRPr="001800AC">
        <w:t xml:space="preserve">everal ontologies and schemas </w:t>
      </w:r>
      <w:r>
        <w:t xml:space="preserve">exist </w:t>
      </w:r>
      <w:r w:rsidRPr="001800AC">
        <w:t>for structuring BAS data (</w:t>
      </w:r>
      <w:proofErr w:type="spellStart"/>
      <w:r w:rsidRPr="001800AC">
        <w:t>Pritoni</w:t>
      </w:r>
      <w:proofErr w:type="spellEnd"/>
      <w:r w:rsidRPr="001800AC">
        <w:t xml:space="preserve"> et al., 2021</w:t>
      </w:r>
      <w:r w:rsidR="00F54911" w:rsidRPr="001800AC">
        <w:t>; Quinn &amp; McArthur, 2021</w:t>
      </w:r>
      <w:r w:rsidRPr="001800AC">
        <w:t xml:space="preserve">), most notably Brick and Haystack. Brick </w:t>
      </w:r>
      <w:r w:rsidR="00F54911" w:rsidRPr="001800AC">
        <w:t xml:space="preserve">(Balaji et al., 2018) </w:t>
      </w:r>
      <w:r w:rsidRPr="001800AC">
        <w:t xml:space="preserve">defines an RDF ontology of equipment, points, and relationships while Haystack </w:t>
      </w:r>
      <w:r w:rsidR="00F54911" w:rsidRPr="001800AC">
        <w:t xml:space="preserve">(Project Haystack Organization, 2026) </w:t>
      </w:r>
      <w:r w:rsidRPr="001800AC">
        <w:t>provides a tag dictionary; both can be used to structure the BAS data</w:t>
      </w:r>
      <w:r w:rsidR="00F54911" w:rsidRPr="001800AC">
        <w:t xml:space="preserve"> but only after each point is identified.</w:t>
      </w:r>
      <w:r>
        <w:t xml:space="preserve"> To support this, points must first be mapped. Doing so manually is recognized </w:t>
      </w:r>
      <w:r w:rsidRPr="001800AC">
        <w:t>as a key bottleneck in building analytics (Wang et al., 2018)</w:t>
      </w:r>
      <w:r>
        <w:t xml:space="preserve"> with </w:t>
      </w:r>
      <w:r w:rsidRPr="001800AC">
        <w:t xml:space="preserve">recent work </w:t>
      </w:r>
      <w:r>
        <w:t xml:space="preserve">highlighting </w:t>
      </w:r>
      <w:r w:rsidRPr="001800AC">
        <w:t xml:space="preserve">the need for semi-automatic schema generation from BAS identifiers (Chamari et al., 2023). </w:t>
      </w:r>
    </w:p>
    <w:p w14:paraId="5FF2D3DC" w14:textId="77777777" w:rsidR="009F19D8" w:rsidRPr="001800AC" w:rsidRDefault="001800AC" w:rsidP="005F412B">
      <w:r>
        <w:t xml:space="preserve">Several </w:t>
      </w:r>
      <w:r w:rsidRPr="001800AC">
        <w:t>alternative</w:t>
      </w:r>
      <w:r>
        <w:t>s to manual BAS point mappi</w:t>
      </w:r>
      <w:r w:rsidRPr="001800AC">
        <w:t>ng have been proposed, including statistical and distributional single-point (</w:t>
      </w:r>
      <w:proofErr w:type="spellStart"/>
      <w:r w:rsidRPr="001800AC">
        <w:t>Hulsebos</w:t>
      </w:r>
      <w:proofErr w:type="spellEnd"/>
      <w:r w:rsidRPr="001800AC">
        <w:t xml:space="preserve"> et al., 2019) and </w:t>
      </w:r>
      <w:r w:rsidRPr="005F412B">
        <w:t>joint (Zhang et al., 2020)</w:t>
      </w:r>
      <w:r w:rsidRPr="001800AC">
        <w:t xml:space="preserve"> </w:t>
      </w:r>
      <w:r w:rsidRPr="005F412B">
        <w:t>point name prediction</w:t>
      </w:r>
      <w:r w:rsidRPr="001800AC">
        <w:t>, and deep learning approaches including CNN &amp; LSTM (El Mokhtari &amp; McArthur, 2021) and autoencoders (</w:t>
      </w:r>
      <w:proofErr w:type="spellStart"/>
      <w:r w:rsidRPr="001800AC">
        <w:t>Almashor</w:t>
      </w:r>
      <w:proofErr w:type="spellEnd"/>
      <w:r w:rsidRPr="001800AC">
        <w:t xml:space="preserve"> e</w:t>
      </w:r>
      <w:r w:rsidRPr="002D772E">
        <w:t xml:space="preserve">t al., 2023). Each handled uninformative names well but all required training on a fixed-type vocabulary. </w:t>
      </w:r>
      <w:r w:rsidRPr="00C061C3">
        <w:t xml:space="preserve">Language models have also been explored to a degree. </w:t>
      </w:r>
      <w:proofErr w:type="spellStart"/>
      <w:r w:rsidRPr="00C061C3">
        <w:t>Doduo</w:t>
      </w:r>
      <w:proofErr w:type="spellEnd"/>
      <w:r w:rsidRPr="00C061C3">
        <w:t xml:space="preserve"> (</w:t>
      </w:r>
      <w:proofErr w:type="spellStart"/>
      <w:r w:rsidRPr="00C061C3">
        <w:t>Suhara</w:t>
      </w:r>
      <w:proofErr w:type="spellEnd"/>
      <w:r w:rsidRPr="00C061C3">
        <w:t xml:space="preserve"> et al., 2022) annotates </w:t>
      </w:r>
      <w:r w:rsidR="00A538F3">
        <w:t>point names</w:t>
      </w:r>
      <w:r w:rsidR="00A538F3" w:rsidRPr="00C061C3">
        <w:t xml:space="preserve"> </w:t>
      </w:r>
      <w:r w:rsidRPr="00C061C3">
        <w:t>from a few tokens using a pre-trained LM</w:t>
      </w:r>
      <w:r w:rsidRPr="002D772E">
        <w:t>,</w:t>
      </w:r>
      <w:r>
        <w:t xml:space="preserve"> while</w:t>
      </w:r>
      <w:r w:rsidRPr="001800AC">
        <w:t xml:space="preserve"> LLMs </w:t>
      </w:r>
      <w:r w:rsidR="00353E40">
        <w:t xml:space="preserve">such as </w:t>
      </w:r>
      <w:r w:rsidRPr="001800AC">
        <w:t xml:space="preserve">ChatGPT reached competitive </w:t>
      </w:r>
      <w:r w:rsidR="00A538F3">
        <w:t>point-</w:t>
      </w:r>
      <w:r w:rsidR="00AE7AD3">
        <w:t>t</w:t>
      </w:r>
      <w:r w:rsidRPr="001800AC">
        <w:t>ype accuracy with no task-specific training (</w:t>
      </w:r>
      <w:proofErr w:type="spellStart"/>
      <w:r w:rsidRPr="001800AC">
        <w:t>Korini</w:t>
      </w:r>
      <w:proofErr w:type="spellEnd"/>
      <w:r w:rsidRPr="001800AC">
        <w:t xml:space="preserve"> &amp; Bizer, 2023), drawing on in-context learning (Brown et al., 2020). However, LLM </w:t>
      </w:r>
      <w:r w:rsidR="00353E40">
        <w:t xml:space="preserve">point classification </w:t>
      </w:r>
      <w:r w:rsidRPr="001800AC">
        <w:t xml:space="preserve">is sensitive to prompt wording and </w:t>
      </w:r>
      <w:r w:rsidR="00353E40">
        <w:t>accuracy remains low</w:t>
      </w:r>
      <w:r w:rsidRPr="004B5307">
        <w:t xml:space="preserve"> (Meng et al.</w:t>
      </w:r>
      <w:r>
        <w:t xml:space="preserve">, </w:t>
      </w:r>
      <w:r w:rsidRPr="004B5307">
        <w:t>2025)</w:t>
      </w:r>
      <w:r>
        <w:t>. LLMs</w:t>
      </w:r>
      <w:r w:rsidRPr="001800AC">
        <w:t xml:space="preserve"> have been tried on entity matching (Peeters et al., 2023), schema matching (Liu et al., 2025), and general data preparation (Narayan et al., 2022), trading training for prompting in each case. In construction IT specifically, LLMs have been used to link cost-domain descriptions to IFC objects (Gatto et al., 2024) and to extract structured data for building energy modelling (Jia et al., 2026).</w:t>
      </w:r>
    </w:p>
    <w:p w14:paraId="01B68008" w14:textId="77777777" w:rsidR="009F19D8" w:rsidRPr="001800AC" w:rsidRDefault="00000000" w:rsidP="005F412B">
      <w:r w:rsidRPr="001800AC">
        <w:t>There exists a paucity of work exploring the challenge of automated schematic mapping using LLMs; Gatto et al. (2024) is the notable exception but tests a single small model on a description-to-IFC task and does not include cross-model cost, strict</w:t>
      </w:r>
      <w:r w:rsidR="00AE7AD3">
        <w:t xml:space="preserve"> </w:t>
      </w:r>
      <w:r w:rsidRPr="001800AC">
        <w:t xml:space="preserve">accuracy, or value-augmented results. </w:t>
      </w:r>
      <w:r w:rsidR="00353E40">
        <w:t>T</w:t>
      </w:r>
      <w:r w:rsidRPr="001800AC">
        <w:t xml:space="preserve">his paper </w:t>
      </w:r>
      <w:r w:rsidR="00353E40">
        <w:t xml:space="preserve">therefore </w:t>
      </w:r>
      <w:r w:rsidRPr="001800AC">
        <w:t xml:space="preserve">addresses a </w:t>
      </w:r>
      <w:r w:rsidR="00353E40">
        <w:t xml:space="preserve">significant </w:t>
      </w:r>
      <w:r w:rsidRPr="001800AC">
        <w:t xml:space="preserve">gap in the academic literature, testing </w:t>
      </w:r>
      <w:r w:rsidR="00353E40">
        <w:t xml:space="preserve">both </w:t>
      </w:r>
      <w:r w:rsidRPr="001800AC">
        <w:t xml:space="preserve">the accuracy </w:t>
      </w:r>
      <w:r w:rsidR="00353E40">
        <w:t xml:space="preserve">and </w:t>
      </w:r>
      <w:r w:rsidRPr="001800AC">
        <w:t>the robustness of LLM approaches.</w:t>
      </w:r>
      <w:sdt>
        <w:sdtPr>
          <w:tag w:val="goog_rdk_8"/>
          <w:id w:val="1092608205"/>
          <w:showingPlcHdr/>
        </w:sdtPr>
        <w:sdtContent>
          <w:r w:rsidR="005F412B">
            <w:t xml:space="preserve">     </w:t>
          </w:r>
        </w:sdtContent>
      </w:sdt>
    </w:p>
    <w:p w14:paraId="515A75F7" w14:textId="77777777" w:rsidR="009F19D8" w:rsidRPr="001800AC" w:rsidRDefault="009F19D8" w:rsidP="001800AC"/>
    <w:p w14:paraId="166C7461" w14:textId="77777777" w:rsidR="009F19D8" w:rsidRPr="00AD2662" w:rsidRDefault="00000000" w:rsidP="005F412B">
      <w:pPr>
        <w:pStyle w:val="Heading1"/>
      </w:pPr>
      <w:r w:rsidRPr="005F412B">
        <w:t>METHODOLOGY</w:t>
      </w:r>
    </w:p>
    <w:p w14:paraId="59B96A14" w14:textId="77777777" w:rsidR="00430466" w:rsidRDefault="00FB707D" w:rsidP="00430466">
      <w:r>
        <w:t>This study investigate</w:t>
      </w:r>
      <w:r w:rsidR="00430466">
        <w:t>s</w:t>
      </w:r>
      <w:r>
        <w:t xml:space="preserve"> the effectiveness of LLMs for accurately labelling BAS points, using a rules-based approach and an expert-labelled ground truth for comparison. </w:t>
      </w:r>
      <w:r w:rsidR="00430466">
        <w:t>LLMs used are</w:t>
      </w:r>
      <w:r w:rsidR="00430466" w:rsidRPr="004B5307">
        <w:t xml:space="preserve"> single-turn, non-agentic classifier</w:t>
      </w:r>
      <w:r w:rsidR="00430466">
        <w:t xml:space="preserve">s using </w:t>
      </w:r>
      <w:r w:rsidR="00AE7AD3">
        <w:t>a single</w:t>
      </w:r>
      <w:r w:rsidR="00AE7AD3" w:rsidRPr="004B5307">
        <w:t xml:space="preserve"> </w:t>
      </w:r>
      <w:r w:rsidR="00430466" w:rsidRPr="004B5307">
        <w:t>prompt and response, no tool use</w:t>
      </w:r>
      <w:r w:rsidR="00AE7AD3">
        <w:t>,</w:t>
      </w:r>
      <w:r w:rsidR="00430466" w:rsidRPr="004B5307">
        <w:t xml:space="preserve"> and no iterative loop.</w:t>
      </w:r>
      <w:r w:rsidR="0065325F">
        <w:t xml:space="preserve"> </w:t>
      </w:r>
      <w:r w:rsidR="0065325F" w:rsidRPr="0065325F">
        <w:t>No retrieval, web search or external tool invocation of any kind was used in any reported result; each measurement is a single completion call per batch.</w:t>
      </w:r>
      <w:r w:rsidR="00430466" w:rsidRPr="004B5307">
        <w:t xml:space="preserve"> </w:t>
      </w:r>
    </w:p>
    <w:p w14:paraId="39276DFD" w14:textId="77777777" w:rsidR="009F19D8" w:rsidRPr="001800AC" w:rsidRDefault="00FB707D" w:rsidP="001800AC">
      <w:r>
        <w:t xml:space="preserve">Two cases are considered, each with its own corpus. </w:t>
      </w:r>
      <w:r w:rsidRPr="004B5307">
        <w:t>Corpus A</w:t>
      </w:r>
      <w:r>
        <w:t xml:space="preserve"> is used for name-based labelling </w:t>
      </w:r>
      <w:r w:rsidR="00430466">
        <w:t xml:space="preserve">tests and consists of </w:t>
      </w:r>
      <w:r w:rsidRPr="004B5307">
        <w:t xml:space="preserve">271 </w:t>
      </w:r>
      <w:r w:rsidR="00430466">
        <w:t xml:space="preserve">human-readable point names </w:t>
      </w:r>
      <w:r w:rsidRPr="004B5307">
        <w:t xml:space="preserve">(275 authored, minus four consistency-check duplicates) spanning 11 vendor naming conventions (BACnet, Project Haystack, Trane, Siemens, JCI Metasys, ALC/Schneider, Carrier, owner/custom, MQTT/IoT, OPC-UA, Honeywell Niagara) across 20 style sub-groups. </w:t>
      </w:r>
      <w:r>
        <w:t>The g</w:t>
      </w:r>
      <w:r w:rsidRPr="004B5307">
        <w:t>round truth is a single-expert labelling against the vocabulary</w:t>
      </w:r>
      <w:r>
        <w:t xml:space="preserve">; in this, 28% of point names </w:t>
      </w:r>
      <w:r w:rsidRPr="004B5307">
        <w:t>are out-of-scope signals whose correct label is </w:t>
      </w:r>
      <w:r>
        <w:t>“</w:t>
      </w:r>
      <w:r w:rsidRPr="004B5307">
        <w:t>UNMAPPED</w:t>
      </w:r>
      <w:r>
        <w:t xml:space="preserve">” to ensure that the mapper can identify and </w:t>
      </w:r>
      <w:r w:rsidRPr="004B5307">
        <w:t>decline</w:t>
      </w:r>
      <w:r>
        <w:t xml:space="preserve"> to label</w:t>
      </w:r>
      <w:r w:rsidRPr="004B5307">
        <w:t xml:space="preserve"> points outside the plant scope.</w:t>
      </w:r>
      <w:r w:rsidR="00430466">
        <w:t xml:space="preserve"> </w:t>
      </w:r>
      <w:r w:rsidRPr="004B5307">
        <w:t>Corpus B</w:t>
      </w:r>
      <w:r>
        <w:t xml:space="preserve"> consists of non-descriptive point </w:t>
      </w:r>
      <w:r w:rsidRPr="004B5307">
        <w:t>names</w:t>
      </w:r>
      <w:r>
        <w:t xml:space="preserve"> and is used to test the potential for time-series analysis using </w:t>
      </w:r>
      <w:r>
        <w:lastRenderedPageBreak/>
        <w:t>LLMs</w:t>
      </w:r>
      <w:r w:rsidRPr="004B5307">
        <w:t>. </w:t>
      </w:r>
      <w:r>
        <w:t xml:space="preserve">It consists of </w:t>
      </w:r>
      <w:r w:rsidRPr="004B5307">
        <w:t>54 columns from a single synthetic plant</w:t>
      </w:r>
      <w:r>
        <w:t xml:space="preserve">, each representing </w:t>
      </w:r>
      <w:r w:rsidRPr="004B5307">
        <w:t xml:space="preserve">a full year </w:t>
      </w:r>
      <w:r>
        <w:t xml:space="preserve">of hourly data </w:t>
      </w:r>
      <w:r w:rsidRPr="004B5307">
        <w:t>(</w:t>
      </w:r>
      <w:r>
        <w:t xml:space="preserve">8760 </w:t>
      </w:r>
      <w:r w:rsidRPr="004B5307">
        <w:t>rows)</w:t>
      </w:r>
      <w:r>
        <w:t xml:space="preserve"> from a single BAS point. These signals are given </w:t>
      </w:r>
      <w:r w:rsidRPr="004B5307">
        <w:t>semantics-free register labels (AI_07, BI_03, AO_12)</w:t>
      </w:r>
      <w:r>
        <w:t>, of which</w:t>
      </w:r>
      <w:r w:rsidRPr="004B5307">
        <w:t xml:space="preserve"> 36</w:t>
      </w:r>
      <w:r w:rsidR="00430466">
        <w:t xml:space="preserve"> are </w:t>
      </w:r>
      <w:r w:rsidRPr="004B5307">
        <w:t xml:space="preserve">mappable and 18 </w:t>
      </w:r>
      <w:r>
        <w:t xml:space="preserve">are </w:t>
      </w:r>
      <w:r w:rsidRPr="004B5307">
        <w:t>out-of-scope</w:t>
      </w:r>
      <w:r>
        <w:t xml:space="preserve">. </w:t>
      </w:r>
      <w:r w:rsidRPr="004B5307">
        <w:t>Each renamed column's value vector is compared against the known canonical columns after normalizing to the coarsest stored precision, with nulls mapped to a single placeholder. An exact value match identifies the signal; a column that matches nothing is labelled UNMAPPED.</w:t>
      </w:r>
      <w:r w:rsidR="009A3201" w:rsidRPr="009A3201">
        <w:t xml:space="preserve"> </w:t>
      </w:r>
      <w:r w:rsidR="009A3201">
        <w:t xml:space="preserve">Two deterministic rule baselines are used, one for each corpus. On Corpus A the baseline is a production column mapper for chilled-water plant data. It lowercases and strips punctuation from each point name, matches the resulting tokens against a hand-maintained alias table of 1,157 patterns across 170 signal groups, resolves an equipment index when the name provides one, and returns UNMAPPED when no pattern matches. The mapper was developed for production data ingestion rather than for this comparison, and is maintained independently of it. It remains a small hand-written rule base with known coverage gaps: it carries no alias for un-indexed, tower-centric naming such as </w:t>
      </w:r>
      <w:proofErr w:type="spellStart"/>
      <w:r w:rsidR="009A3201">
        <w:t>CW_Supply_Temp</w:t>
      </w:r>
      <w:proofErr w:type="spellEnd"/>
      <w:r w:rsidR="009A3201">
        <w:t>. It should therefore be read as a representative rule-based mapper, not as an upper bound on what further rule engineering could achieve. On Corpus B, where the names carry no semantic information, a separate deterministic baseline classifies columns from their trend statistics using fixed physical rules.</w:t>
      </w:r>
      <w:r w:rsidR="00430466">
        <w:t xml:space="preserve"> </w:t>
      </w:r>
      <w:r w:rsidRPr="001800AC">
        <w:t>Figure 1 summarises th</w:t>
      </w:r>
      <w:r w:rsidR="00271FE1">
        <w:t>e comparison process</w:t>
      </w:r>
      <w:r w:rsidRPr="001800AC">
        <w:t>.</w:t>
      </w:r>
    </w:p>
    <w:p w14:paraId="38B34BE4" w14:textId="77777777" w:rsidR="009F19D8" w:rsidRPr="001800AC" w:rsidRDefault="009F19D8" w:rsidP="001800AC"/>
    <w:p w14:paraId="51734085" w14:textId="77777777" w:rsidR="009F19D8" w:rsidRPr="001800AC" w:rsidRDefault="00000000" w:rsidP="005F412B">
      <w:pPr>
        <w:jc w:val="center"/>
      </w:pPr>
      <w:r w:rsidRPr="005F412B">
        <w:rPr>
          <w:noProof/>
        </w:rPr>
        <w:drawing>
          <wp:inline distT="0" distB="0" distL="0" distR="0" wp14:anchorId="57D7AF5D" wp14:editId="564D41E3">
            <wp:extent cx="2309447" cy="1260231"/>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2327544" cy="1270106"/>
                    </a:xfrm>
                    <a:prstGeom prst="rect">
                      <a:avLst/>
                    </a:prstGeom>
                    <a:ln/>
                  </pic:spPr>
                </pic:pic>
              </a:graphicData>
            </a:graphic>
          </wp:inline>
        </w:drawing>
      </w:r>
    </w:p>
    <w:p w14:paraId="4D7F0E39" w14:textId="77777777" w:rsidR="009F19D8" w:rsidRDefault="00000000" w:rsidP="005F412B">
      <w:pPr>
        <w:pStyle w:val="Caption"/>
      </w:pPr>
      <w:bookmarkStart w:id="0" w:name="bookmark=id.w2p60vvpelzr" w:colFirst="0" w:colLast="0"/>
      <w:bookmarkEnd w:id="0"/>
      <w:r w:rsidRPr="005F412B">
        <w:t>Figure 1: Schematic of the semantic point typing workflow comparing manual labelling, a rule-based mapper, and an LLM classifier.</w:t>
      </w:r>
      <w:r w:rsidR="00AE7AD3">
        <w:t xml:space="preserve"> Note that stats are used for the Corpus B investigation only.</w:t>
      </w:r>
    </w:p>
    <w:p w14:paraId="1E518DBB" w14:textId="77777777" w:rsidR="009F19D8" w:rsidRPr="001800AC" w:rsidRDefault="00000000" w:rsidP="001800AC">
      <w:r w:rsidRPr="001800AC">
        <w:t>The target vocabulary</w:t>
      </w:r>
      <w:r w:rsidR="00432F32">
        <w:t xml:space="preserve"> (Table 1)</w:t>
      </w:r>
      <w:r w:rsidRPr="001800AC">
        <w:t xml:space="preserve"> is a controlled point grammar for chilled-water plants</w:t>
      </w:r>
      <w:r w:rsidR="00416381">
        <w:t>. In addition to e</w:t>
      </w:r>
      <w:r w:rsidRPr="001800AC">
        <w:t>quipment clas</w:t>
      </w:r>
      <w:r w:rsidR="00416381">
        <w:t xml:space="preserve">s, the signal name incorporates an ID tag </w:t>
      </w:r>
      <w:r w:rsidRPr="001800AC">
        <w:t>(</w:t>
      </w:r>
      <w:r w:rsidR="00416381">
        <w:t xml:space="preserve">e.g. </w:t>
      </w:r>
      <w:r w:rsidRPr="001800AC">
        <w:t>CH</w:t>
      </w:r>
      <w:r w:rsidRPr="00AD2662">
        <w:rPr>
          <w:b/>
        </w:rPr>
        <w:t>01</w:t>
      </w:r>
      <w:r w:rsidRPr="001800AC">
        <w:t>, CT02)</w:t>
      </w:r>
      <w:r w:rsidR="00416381">
        <w:t xml:space="preserve"> while the signal suffixes serve as token names (e.g. ECWT, CHWS)</w:t>
      </w:r>
      <w:r w:rsidRPr="001800AC">
        <w:t xml:space="preserve"> </w:t>
      </w:r>
      <w:r w:rsidR="00416381">
        <w:t xml:space="preserve">representing </w:t>
      </w:r>
      <w:r w:rsidRPr="001800AC">
        <w:t>the measured quantity</w:t>
      </w:r>
      <w:r w:rsidR="00416381">
        <w:t>,</w:t>
      </w:r>
      <w:r w:rsidRPr="001800AC">
        <w:t xml:space="preserve"> and the unit suffix fixes the representation (</w:t>
      </w:r>
      <w:r w:rsidR="00416381">
        <w:t xml:space="preserve">e.g. </w:t>
      </w:r>
      <w:r w:rsidRPr="001800AC">
        <w:t xml:space="preserve">_C, _kW). </w:t>
      </w:r>
    </w:p>
    <w:p w14:paraId="39B6FD6D" w14:textId="77777777" w:rsidR="009F19D8" w:rsidRPr="00AD2662" w:rsidRDefault="00000000" w:rsidP="00A44316">
      <w:pPr>
        <w:pStyle w:val="Caption"/>
        <w:spacing w:before="240"/>
      </w:pPr>
      <w:r w:rsidRPr="005F412B">
        <w:t>Table 1: Canonical target vocabulary.</w:t>
      </w:r>
    </w:p>
    <w:tbl>
      <w:tblPr>
        <w:tblStyle w:val="PlainTable2"/>
        <w:tblW w:w="9016" w:type="dxa"/>
        <w:jc w:val="center"/>
        <w:tblLayout w:type="fixed"/>
        <w:tblLook w:val="0400" w:firstRow="0" w:lastRow="0" w:firstColumn="0" w:lastColumn="0" w:noHBand="0" w:noVBand="1"/>
      </w:tblPr>
      <w:tblGrid>
        <w:gridCol w:w="2830"/>
        <w:gridCol w:w="6186"/>
      </w:tblGrid>
      <w:tr w:rsidR="009F19D8" w:rsidRPr="001800AC" w14:paraId="017F0D76" w14:textId="77777777" w:rsidTr="005F412B">
        <w:trPr>
          <w:cnfStyle w:val="000000100000" w:firstRow="0" w:lastRow="0" w:firstColumn="0" w:lastColumn="0" w:oddVBand="0" w:evenVBand="0" w:oddHBand="1" w:evenHBand="0" w:firstRowFirstColumn="0" w:firstRowLastColumn="0" w:lastRowFirstColumn="0" w:lastRowLastColumn="0"/>
          <w:jc w:val="center"/>
        </w:trPr>
        <w:tc>
          <w:tcPr>
            <w:tcW w:w="2830" w:type="dxa"/>
          </w:tcPr>
          <w:p w14:paraId="3C2504CE"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Equipment class</w:t>
            </w:r>
          </w:p>
        </w:tc>
        <w:tc>
          <w:tcPr>
            <w:tcW w:w="6186" w:type="dxa"/>
          </w:tcPr>
          <w:p w14:paraId="7336343D" w14:textId="77777777" w:rsidR="009F19D8" w:rsidRPr="00AE7AD3" w:rsidRDefault="00000000" w:rsidP="00853D15">
            <w:pPr>
              <w:ind w:firstLine="0"/>
              <w:jc w:val="left"/>
            </w:pPr>
            <w:r w:rsidRPr="00AE7AD3">
              <w:t xml:space="preserve">Signal </w:t>
            </w:r>
            <w:r w:rsidR="00AE7AD3" w:rsidRPr="00AE7AD3">
              <w:t xml:space="preserve">+ unit </w:t>
            </w:r>
            <w:r w:rsidRPr="00AE7AD3">
              <w:t>suffixes</w:t>
            </w:r>
          </w:p>
        </w:tc>
      </w:tr>
      <w:tr w:rsidR="009F19D8" w:rsidRPr="001800AC" w14:paraId="33E1A208" w14:textId="77777777" w:rsidTr="005F412B">
        <w:trPr>
          <w:jc w:val="center"/>
        </w:trPr>
        <w:tc>
          <w:tcPr>
            <w:tcW w:w="2830" w:type="dxa"/>
          </w:tcPr>
          <w:p w14:paraId="023420BE"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Chiller (CH)</w:t>
            </w:r>
          </w:p>
        </w:tc>
        <w:tc>
          <w:tcPr>
            <w:tcW w:w="6186" w:type="dxa"/>
          </w:tcPr>
          <w:p w14:paraId="24D8C755"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ECWT_C, LCWT_C, CHWS_C, CHWR_C, CHWS_SP_C, </w:t>
            </w:r>
            <w:proofErr w:type="spellStart"/>
            <w:r w:rsidRPr="00AE7AD3">
              <w:rPr>
                <w:rFonts w:ascii="Calibri" w:hAnsi="Calibri" w:cs="Calibri"/>
                <w:sz w:val="22"/>
                <w:szCs w:val="22"/>
              </w:rPr>
              <w:t>PWR_kW</w:t>
            </w:r>
            <w:proofErr w:type="spellEnd"/>
            <w:r w:rsidRPr="00AE7AD3">
              <w:rPr>
                <w:rFonts w:ascii="Calibri" w:hAnsi="Calibri" w:cs="Calibri"/>
                <w:sz w:val="22"/>
                <w:szCs w:val="22"/>
              </w:rPr>
              <w:t>,</w:t>
            </w:r>
          </w:p>
          <w:p w14:paraId="2B63D099" w14:textId="77777777" w:rsidR="009F19D8" w:rsidRPr="00AE7AD3" w:rsidRDefault="00000000" w:rsidP="00853D15">
            <w:pPr>
              <w:pStyle w:val="PlainText"/>
              <w:spacing w:after="40"/>
              <w:jc w:val="left"/>
              <w:rPr>
                <w:rFonts w:ascii="Calibri" w:hAnsi="Calibri"/>
                <w:sz w:val="22"/>
                <w:szCs w:val="22"/>
              </w:rPr>
            </w:pPr>
            <w:proofErr w:type="spellStart"/>
            <w:r w:rsidRPr="00AE7AD3">
              <w:rPr>
                <w:rFonts w:ascii="Calibri" w:hAnsi="Calibri" w:cs="Calibri"/>
                <w:sz w:val="22"/>
                <w:szCs w:val="22"/>
              </w:rPr>
              <w:t>LOAD_kW</w:t>
            </w:r>
            <w:proofErr w:type="spellEnd"/>
            <w:r w:rsidRPr="00AE7AD3">
              <w:rPr>
                <w:rFonts w:ascii="Calibri" w:hAnsi="Calibri" w:cs="Calibri"/>
                <w:sz w:val="22"/>
                <w:szCs w:val="22"/>
              </w:rPr>
              <w:t>, LOAD_TON, COP, PLR, PLR_PCT, FLOW_LPS,</w:t>
            </w:r>
          </w:p>
          <w:p w14:paraId="2F463811"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DT_CHW_K, DT_CW_K, </w:t>
            </w:r>
            <w:proofErr w:type="spellStart"/>
            <w:r w:rsidRPr="00AE7AD3">
              <w:rPr>
                <w:rFonts w:ascii="Calibri" w:hAnsi="Calibri" w:cs="Calibri"/>
                <w:sz w:val="22"/>
                <w:szCs w:val="22"/>
              </w:rPr>
              <w:t>DP_EVAP_kPa</w:t>
            </w:r>
            <w:proofErr w:type="spellEnd"/>
            <w:r w:rsidRPr="00AE7AD3">
              <w:rPr>
                <w:rFonts w:ascii="Calibri" w:hAnsi="Calibri" w:cs="Calibri"/>
                <w:sz w:val="22"/>
                <w:szCs w:val="22"/>
              </w:rPr>
              <w:t>, </w:t>
            </w:r>
            <w:proofErr w:type="spellStart"/>
            <w:r w:rsidRPr="00AE7AD3">
              <w:rPr>
                <w:rFonts w:ascii="Calibri" w:hAnsi="Calibri" w:cs="Calibri"/>
                <w:sz w:val="22"/>
                <w:szCs w:val="22"/>
              </w:rPr>
              <w:t>DP_COND_kPa</w:t>
            </w:r>
            <w:proofErr w:type="spellEnd"/>
            <w:r w:rsidRPr="00AE7AD3">
              <w:rPr>
                <w:rFonts w:ascii="Calibri" w:hAnsi="Calibri" w:cs="Calibri"/>
                <w:sz w:val="22"/>
                <w:szCs w:val="22"/>
              </w:rPr>
              <w:t>, RUN_STS, </w:t>
            </w:r>
            <w:r w:rsidR="00AE7AD3" w:rsidRPr="00AE7AD3">
              <w:rPr>
                <w:rFonts w:ascii="Calibri" w:hAnsi="Calibri" w:cs="Calibri"/>
                <w:sz w:val="22"/>
                <w:szCs w:val="22"/>
              </w:rPr>
              <w:t xml:space="preserve"> </w:t>
            </w:r>
            <w:r w:rsidRPr="00AE7AD3">
              <w:rPr>
                <w:rFonts w:ascii="Calibri" w:hAnsi="Calibri" w:cs="Calibri"/>
                <w:sz w:val="22"/>
                <w:szCs w:val="22"/>
              </w:rPr>
              <w:t>START_CMD, STAGE</w:t>
            </w:r>
          </w:p>
        </w:tc>
      </w:tr>
      <w:tr w:rsidR="009F19D8" w:rsidRPr="001800AC" w14:paraId="6D8C6618" w14:textId="77777777" w:rsidTr="005F412B">
        <w:trPr>
          <w:cnfStyle w:val="000000100000" w:firstRow="0" w:lastRow="0" w:firstColumn="0" w:lastColumn="0" w:oddVBand="0" w:evenVBand="0" w:oddHBand="1" w:evenHBand="0" w:firstRowFirstColumn="0" w:firstRowLastColumn="0" w:lastRowFirstColumn="0" w:lastRowLastColumn="0"/>
          <w:jc w:val="center"/>
        </w:trPr>
        <w:tc>
          <w:tcPr>
            <w:tcW w:w="2830" w:type="dxa"/>
          </w:tcPr>
          <w:p w14:paraId="7211D16D"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Cooling tower (CT)</w:t>
            </w:r>
          </w:p>
        </w:tc>
        <w:tc>
          <w:tcPr>
            <w:tcW w:w="6186" w:type="dxa"/>
          </w:tcPr>
          <w:p w14:paraId="309C33DA"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CWT_IN_C, CWT_OUT_C, APPROACH_C, RANGE_C, CWT_SP_C,</w:t>
            </w:r>
          </w:p>
          <w:p w14:paraId="737E0DFB"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FAN_SPD_PCT, FAN_SPD_FRAC, FAN_CMD_PCT, </w:t>
            </w:r>
            <w:proofErr w:type="spellStart"/>
            <w:r w:rsidRPr="00AE7AD3">
              <w:rPr>
                <w:rFonts w:ascii="Calibri" w:hAnsi="Calibri" w:cs="Calibri"/>
                <w:sz w:val="22"/>
                <w:szCs w:val="22"/>
              </w:rPr>
              <w:t>FAN_PWR_kW</w:t>
            </w:r>
            <w:proofErr w:type="spellEnd"/>
            <w:r w:rsidRPr="00AE7AD3">
              <w:rPr>
                <w:rFonts w:ascii="Calibri" w:hAnsi="Calibri" w:cs="Calibri"/>
                <w:sz w:val="22"/>
                <w:szCs w:val="22"/>
              </w:rPr>
              <w:t>,</w:t>
            </w:r>
          </w:p>
          <w:p w14:paraId="45EB4394" w14:textId="77777777" w:rsidR="009F19D8" w:rsidRPr="00AE7AD3" w:rsidRDefault="00000000" w:rsidP="00853D15">
            <w:pPr>
              <w:pStyle w:val="PlainText"/>
              <w:spacing w:after="40"/>
              <w:jc w:val="left"/>
              <w:rPr>
                <w:rFonts w:ascii="Calibri" w:hAnsi="Calibri"/>
                <w:sz w:val="22"/>
                <w:szCs w:val="22"/>
              </w:rPr>
            </w:pPr>
            <w:proofErr w:type="spellStart"/>
            <w:r w:rsidRPr="00AE7AD3">
              <w:rPr>
                <w:rFonts w:ascii="Calibri" w:hAnsi="Calibri" w:cs="Calibri"/>
                <w:sz w:val="22"/>
                <w:szCs w:val="22"/>
              </w:rPr>
              <w:t>QREJ_kW</w:t>
            </w:r>
            <w:proofErr w:type="spellEnd"/>
            <w:r w:rsidRPr="00AE7AD3">
              <w:rPr>
                <w:rFonts w:ascii="Calibri" w:hAnsi="Calibri" w:cs="Calibri"/>
                <w:sz w:val="22"/>
                <w:szCs w:val="22"/>
              </w:rPr>
              <w:t>, RUN_STS, CELL_CNT</w:t>
            </w:r>
          </w:p>
        </w:tc>
      </w:tr>
      <w:tr w:rsidR="009F19D8" w:rsidRPr="001800AC" w14:paraId="2B6A40A6" w14:textId="77777777" w:rsidTr="005F412B">
        <w:trPr>
          <w:jc w:val="center"/>
        </w:trPr>
        <w:tc>
          <w:tcPr>
            <w:tcW w:w="2830" w:type="dxa"/>
          </w:tcPr>
          <w:p w14:paraId="3E35A50C"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Primary pump (PP)</w:t>
            </w:r>
          </w:p>
        </w:tc>
        <w:tc>
          <w:tcPr>
            <w:tcW w:w="6186" w:type="dxa"/>
          </w:tcPr>
          <w:p w14:paraId="2B09A0CA"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SPD_PCT, </w:t>
            </w:r>
            <w:proofErr w:type="spellStart"/>
            <w:r w:rsidRPr="00AE7AD3">
              <w:rPr>
                <w:rFonts w:ascii="Calibri" w:hAnsi="Calibri" w:cs="Calibri"/>
                <w:sz w:val="22"/>
                <w:szCs w:val="22"/>
              </w:rPr>
              <w:t>PWR_kW</w:t>
            </w:r>
            <w:proofErr w:type="spellEnd"/>
            <w:r w:rsidRPr="00AE7AD3">
              <w:rPr>
                <w:rFonts w:ascii="Calibri" w:hAnsi="Calibri" w:cs="Calibri"/>
                <w:sz w:val="22"/>
                <w:szCs w:val="22"/>
              </w:rPr>
              <w:t>, FLOW_LPS, FLOW_GPM, </w:t>
            </w:r>
            <w:proofErr w:type="spellStart"/>
            <w:r w:rsidRPr="00AE7AD3">
              <w:rPr>
                <w:rFonts w:ascii="Calibri" w:hAnsi="Calibri" w:cs="Calibri"/>
                <w:sz w:val="22"/>
                <w:szCs w:val="22"/>
              </w:rPr>
              <w:t>HEAD_kPa</w:t>
            </w:r>
            <w:proofErr w:type="spellEnd"/>
            <w:r w:rsidRPr="00AE7AD3">
              <w:rPr>
                <w:rFonts w:ascii="Calibri" w:hAnsi="Calibri" w:cs="Calibri"/>
                <w:sz w:val="22"/>
                <w:szCs w:val="22"/>
              </w:rPr>
              <w:t>, RUN_STS</w:t>
            </w:r>
          </w:p>
        </w:tc>
      </w:tr>
      <w:tr w:rsidR="009F19D8" w:rsidRPr="001800AC" w14:paraId="3749F391" w14:textId="77777777" w:rsidTr="005F412B">
        <w:trPr>
          <w:cnfStyle w:val="000000100000" w:firstRow="0" w:lastRow="0" w:firstColumn="0" w:lastColumn="0" w:oddVBand="0" w:evenVBand="0" w:oddHBand="1" w:evenHBand="0" w:firstRowFirstColumn="0" w:firstRowLastColumn="0" w:lastRowFirstColumn="0" w:lastRowLastColumn="0"/>
          <w:jc w:val="center"/>
        </w:trPr>
        <w:tc>
          <w:tcPr>
            <w:tcW w:w="2830" w:type="dxa"/>
          </w:tcPr>
          <w:p w14:paraId="263EDCEC"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Secondary pump (SP)</w:t>
            </w:r>
          </w:p>
        </w:tc>
        <w:tc>
          <w:tcPr>
            <w:tcW w:w="6186" w:type="dxa"/>
          </w:tcPr>
          <w:p w14:paraId="54AE218D"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SPD_PCT, </w:t>
            </w:r>
            <w:proofErr w:type="spellStart"/>
            <w:r w:rsidRPr="00AE7AD3">
              <w:rPr>
                <w:rFonts w:ascii="Calibri" w:hAnsi="Calibri" w:cs="Calibri"/>
                <w:sz w:val="22"/>
                <w:szCs w:val="22"/>
              </w:rPr>
              <w:t>PWR_kW</w:t>
            </w:r>
            <w:proofErr w:type="spellEnd"/>
            <w:r w:rsidRPr="00AE7AD3">
              <w:rPr>
                <w:rFonts w:ascii="Calibri" w:hAnsi="Calibri" w:cs="Calibri"/>
                <w:sz w:val="22"/>
                <w:szCs w:val="22"/>
              </w:rPr>
              <w:t>, FLOW_LPS, </w:t>
            </w:r>
            <w:proofErr w:type="spellStart"/>
            <w:r w:rsidRPr="00AE7AD3">
              <w:rPr>
                <w:rFonts w:ascii="Calibri" w:hAnsi="Calibri" w:cs="Calibri"/>
                <w:sz w:val="22"/>
                <w:szCs w:val="22"/>
              </w:rPr>
              <w:t>HEAD_kPa</w:t>
            </w:r>
            <w:proofErr w:type="spellEnd"/>
            <w:r w:rsidRPr="00AE7AD3">
              <w:rPr>
                <w:rFonts w:ascii="Calibri" w:hAnsi="Calibri" w:cs="Calibri"/>
                <w:sz w:val="22"/>
                <w:szCs w:val="22"/>
              </w:rPr>
              <w:t>, RUN_STS</w:t>
            </w:r>
          </w:p>
        </w:tc>
      </w:tr>
      <w:tr w:rsidR="009F19D8" w:rsidRPr="001800AC" w14:paraId="23B8C7C0" w14:textId="77777777" w:rsidTr="005F412B">
        <w:trPr>
          <w:jc w:val="center"/>
        </w:trPr>
        <w:tc>
          <w:tcPr>
            <w:tcW w:w="2830" w:type="dxa"/>
          </w:tcPr>
          <w:p w14:paraId="2B11D73F"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Condenser pump (CP)</w:t>
            </w:r>
          </w:p>
        </w:tc>
        <w:tc>
          <w:tcPr>
            <w:tcW w:w="6186" w:type="dxa"/>
          </w:tcPr>
          <w:p w14:paraId="667B4FFF"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SPD_PCT, </w:t>
            </w:r>
            <w:proofErr w:type="spellStart"/>
            <w:r w:rsidRPr="00AE7AD3">
              <w:rPr>
                <w:rFonts w:ascii="Calibri" w:hAnsi="Calibri" w:cs="Calibri"/>
                <w:sz w:val="22"/>
                <w:szCs w:val="22"/>
              </w:rPr>
              <w:t>PWR_kW</w:t>
            </w:r>
            <w:proofErr w:type="spellEnd"/>
            <w:r w:rsidRPr="00AE7AD3">
              <w:rPr>
                <w:rFonts w:ascii="Calibri" w:hAnsi="Calibri" w:cs="Calibri"/>
                <w:sz w:val="22"/>
                <w:szCs w:val="22"/>
              </w:rPr>
              <w:t>, FLOW_LPS, </w:t>
            </w:r>
            <w:proofErr w:type="spellStart"/>
            <w:r w:rsidRPr="00AE7AD3">
              <w:rPr>
                <w:rFonts w:ascii="Calibri" w:hAnsi="Calibri" w:cs="Calibri"/>
                <w:sz w:val="22"/>
                <w:szCs w:val="22"/>
              </w:rPr>
              <w:t>HEAD_kPa</w:t>
            </w:r>
            <w:proofErr w:type="spellEnd"/>
            <w:r w:rsidRPr="00AE7AD3">
              <w:rPr>
                <w:rFonts w:ascii="Calibri" w:hAnsi="Calibri" w:cs="Calibri"/>
                <w:sz w:val="22"/>
                <w:szCs w:val="22"/>
              </w:rPr>
              <w:t>, RUN_STS</w:t>
            </w:r>
          </w:p>
        </w:tc>
      </w:tr>
      <w:tr w:rsidR="009F19D8" w:rsidRPr="001800AC" w14:paraId="730C388A" w14:textId="77777777" w:rsidTr="005F412B">
        <w:trPr>
          <w:cnfStyle w:val="000000100000" w:firstRow="0" w:lastRow="0" w:firstColumn="0" w:lastColumn="0" w:oddVBand="0" w:evenVBand="0" w:oddHBand="1" w:evenHBand="0" w:firstRowFirstColumn="0" w:firstRowLastColumn="0" w:lastRowFirstColumn="0" w:lastRowLastColumn="0"/>
          <w:jc w:val="center"/>
        </w:trPr>
        <w:tc>
          <w:tcPr>
            <w:tcW w:w="2830" w:type="dxa"/>
          </w:tcPr>
          <w:p w14:paraId="02D3C9A0"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Weather (WX, no index)</w:t>
            </w:r>
          </w:p>
        </w:tc>
        <w:tc>
          <w:tcPr>
            <w:tcW w:w="6186" w:type="dxa"/>
          </w:tcPr>
          <w:p w14:paraId="11EAAD6F"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TDB_C, TWB_C, TDP_C, RH_PCT, RH_FRAC, </w:t>
            </w:r>
            <w:proofErr w:type="spellStart"/>
            <w:r w:rsidRPr="00AE7AD3">
              <w:rPr>
                <w:rFonts w:ascii="Calibri" w:hAnsi="Calibri" w:cs="Calibri"/>
                <w:sz w:val="22"/>
                <w:szCs w:val="22"/>
              </w:rPr>
              <w:t>PRESSURE_kPa</w:t>
            </w:r>
            <w:proofErr w:type="spellEnd"/>
          </w:p>
        </w:tc>
      </w:tr>
      <w:tr w:rsidR="009F19D8" w:rsidRPr="001800AC" w14:paraId="3425E445" w14:textId="77777777" w:rsidTr="00A44316">
        <w:trPr>
          <w:trHeight w:val="464"/>
          <w:jc w:val="center"/>
        </w:trPr>
        <w:tc>
          <w:tcPr>
            <w:tcW w:w="2830" w:type="dxa"/>
          </w:tcPr>
          <w:p w14:paraId="36E20656" w14:textId="77777777" w:rsidR="009F19D8" w:rsidRPr="00AE7AD3" w:rsidRDefault="00000000" w:rsidP="00853D15">
            <w:pPr>
              <w:pStyle w:val="PlainText"/>
              <w:jc w:val="left"/>
              <w:rPr>
                <w:rFonts w:ascii="Calibri" w:hAnsi="Calibri"/>
                <w:sz w:val="22"/>
                <w:szCs w:val="22"/>
              </w:rPr>
            </w:pPr>
            <w:r w:rsidRPr="00AE7AD3">
              <w:rPr>
                <w:rFonts w:ascii="Calibri" w:hAnsi="Calibri" w:cs="Calibri"/>
                <w:sz w:val="22"/>
                <w:szCs w:val="22"/>
              </w:rPr>
              <w:lastRenderedPageBreak/>
              <w:t>Plant aggregate (PLANT, no index)</w:t>
            </w:r>
          </w:p>
        </w:tc>
        <w:tc>
          <w:tcPr>
            <w:tcW w:w="6186" w:type="dxa"/>
          </w:tcPr>
          <w:p w14:paraId="1819E2FE" w14:textId="77777777" w:rsidR="009F19D8" w:rsidRPr="00A44316" w:rsidRDefault="00000000" w:rsidP="00E416AD">
            <w:pPr>
              <w:pStyle w:val="Caption"/>
              <w:spacing w:after="0"/>
              <w:ind w:firstLine="0"/>
              <w:jc w:val="left"/>
              <w:rPr>
                <w:i w:val="0"/>
                <w:sz w:val="22"/>
                <w:szCs w:val="22"/>
              </w:rPr>
            </w:pPr>
            <w:proofErr w:type="spellStart"/>
            <w:r w:rsidRPr="00A44316">
              <w:rPr>
                <w:i w:val="0"/>
                <w:sz w:val="22"/>
                <w:szCs w:val="22"/>
              </w:rPr>
              <w:t>LOAD_kW</w:t>
            </w:r>
            <w:proofErr w:type="spellEnd"/>
            <w:r w:rsidRPr="00A44316">
              <w:rPr>
                <w:i w:val="0"/>
                <w:sz w:val="22"/>
                <w:szCs w:val="22"/>
              </w:rPr>
              <w:t>, </w:t>
            </w:r>
            <w:proofErr w:type="spellStart"/>
            <w:r w:rsidRPr="00A44316">
              <w:rPr>
                <w:i w:val="0"/>
                <w:sz w:val="22"/>
                <w:szCs w:val="22"/>
              </w:rPr>
              <w:t>PWR_kW</w:t>
            </w:r>
            <w:proofErr w:type="spellEnd"/>
            <w:r w:rsidRPr="00A44316">
              <w:rPr>
                <w:i w:val="0"/>
                <w:sz w:val="22"/>
                <w:szCs w:val="22"/>
              </w:rPr>
              <w:t>, COP, CHWS_C, CHWS_SP_C, ECWT_SP_C</w:t>
            </w:r>
          </w:p>
        </w:tc>
      </w:tr>
      <w:tr w:rsidR="009F19D8" w:rsidRPr="001800AC" w14:paraId="5457D1FD" w14:textId="77777777" w:rsidTr="005F412B">
        <w:trPr>
          <w:cnfStyle w:val="000000100000" w:firstRow="0" w:lastRow="0" w:firstColumn="0" w:lastColumn="0" w:oddVBand="0" w:evenVBand="0" w:oddHBand="1" w:evenHBand="0" w:firstRowFirstColumn="0" w:firstRowLastColumn="0" w:lastRowFirstColumn="0" w:lastRowLastColumn="0"/>
          <w:jc w:val="center"/>
        </w:trPr>
        <w:tc>
          <w:tcPr>
            <w:tcW w:w="2830" w:type="dxa"/>
          </w:tcPr>
          <w:p w14:paraId="2CB2F52C"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Non-equipment</w:t>
            </w:r>
          </w:p>
        </w:tc>
        <w:tc>
          <w:tcPr>
            <w:tcW w:w="6186" w:type="dxa"/>
          </w:tcPr>
          <w:p w14:paraId="6874651C" w14:textId="77777777" w:rsidR="009F19D8" w:rsidRPr="00AE7AD3" w:rsidRDefault="00000000" w:rsidP="00853D15">
            <w:pPr>
              <w:pStyle w:val="PlainText"/>
              <w:spacing w:after="40"/>
              <w:jc w:val="left"/>
              <w:rPr>
                <w:rFonts w:ascii="Calibri" w:hAnsi="Calibri"/>
                <w:sz w:val="22"/>
                <w:szCs w:val="22"/>
              </w:rPr>
            </w:pPr>
            <w:r w:rsidRPr="00AE7AD3">
              <w:rPr>
                <w:rFonts w:ascii="Calibri" w:hAnsi="Calibri" w:cs="Calibri"/>
                <w:sz w:val="22"/>
                <w:szCs w:val="22"/>
              </w:rPr>
              <w:t>TIMESTAMP, UNMAPPED</w:t>
            </w:r>
          </w:p>
        </w:tc>
      </w:tr>
    </w:tbl>
    <w:p w14:paraId="481FC98D" w14:textId="77777777" w:rsidR="009F19D8" w:rsidRPr="005F412B" w:rsidRDefault="009F19D8" w:rsidP="001800AC"/>
    <w:p w14:paraId="0683FC9E" w14:textId="77777777" w:rsidR="009F19D8" w:rsidRPr="001800AC" w:rsidRDefault="00432F32" w:rsidP="005F412B">
      <w:r>
        <w:t>I</w:t>
      </w:r>
      <w:r w:rsidRPr="001800AC">
        <w:t xml:space="preserve">nterchangeable unit variants </w:t>
      </w:r>
      <w:r>
        <w:t xml:space="preserve">are included to represent real-world datasets (e.g. </w:t>
      </w:r>
      <w:r w:rsidRPr="001800AC">
        <w:t xml:space="preserve">(PLR/PLR_PCT, </w:t>
      </w:r>
      <w:proofErr w:type="spellStart"/>
      <w:r w:rsidRPr="001800AC">
        <w:t>LOAD_kW</w:t>
      </w:r>
      <w:proofErr w:type="spellEnd"/>
      <w:r w:rsidRPr="001800AC">
        <w:t>/LOAD_TON, FLOW_LPS/FLOW_GPM)</w:t>
      </w:r>
      <w:r>
        <w:t>. “</w:t>
      </w:r>
      <w:r w:rsidRPr="001800AC">
        <w:t>Strict accuracy</w:t>
      </w:r>
      <w:r>
        <w:t>”</w:t>
      </w:r>
      <w:r w:rsidRPr="001800AC">
        <w:t xml:space="preserve"> is </w:t>
      </w:r>
      <w:r>
        <w:t xml:space="preserve">scored based on an </w:t>
      </w:r>
      <w:r w:rsidRPr="001800AC">
        <w:t xml:space="preserve">exact string match </w:t>
      </w:r>
      <w:r>
        <w:t xml:space="preserve">to </w:t>
      </w:r>
      <w:r w:rsidRPr="001800AC">
        <w:t>the ground truth</w:t>
      </w:r>
      <w:r>
        <w:t xml:space="preserve"> while “l</w:t>
      </w:r>
      <w:r w:rsidRPr="001800AC">
        <w:t>enient accuracy</w:t>
      </w:r>
      <w:r>
        <w:t>”</w:t>
      </w:r>
      <w:r w:rsidRPr="001800AC">
        <w:t xml:space="preserve"> forgives formatting differences</w:t>
      </w:r>
      <w:r w:rsidR="001800AC">
        <w:t xml:space="preserve">, </w:t>
      </w:r>
      <w:r>
        <w:t>unit variances, or the inclusion of setpoint flags</w:t>
      </w:r>
      <w:r w:rsidRPr="001800AC">
        <w:t xml:space="preserve"> (</w:t>
      </w:r>
      <w:r>
        <w:t xml:space="preserve">e.g. </w:t>
      </w:r>
      <w:r w:rsidRPr="001800AC">
        <w:t>CHWS</w:t>
      </w:r>
      <w:r w:rsidRPr="00AD2662">
        <w:rPr>
          <w:b/>
        </w:rPr>
        <w:t>_SP</w:t>
      </w:r>
      <w:r w:rsidRPr="001800AC">
        <w:t>_C vs CHWS_C)</w:t>
      </w:r>
      <w:r w:rsidR="001800AC">
        <w:t xml:space="preserve"> but requires correct </w:t>
      </w:r>
      <w:r w:rsidRPr="001800AC">
        <w:t xml:space="preserve">equipment and signal </w:t>
      </w:r>
      <w:r w:rsidR="001800AC">
        <w:t xml:space="preserve">type identification. </w:t>
      </w:r>
    </w:p>
    <w:p w14:paraId="107EFD70" w14:textId="77777777" w:rsidR="009F19D8" w:rsidRPr="005F412B" w:rsidRDefault="009A3201" w:rsidP="001800AC">
      <w:r w:rsidRPr="004B5307">
        <w:t xml:space="preserve">Prompting </w:t>
      </w:r>
      <w:r>
        <w:t xml:space="preserve">(Figure 2) </w:t>
      </w:r>
      <w:r w:rsidRPr="004B5307">
        <w:t xml:space="preserve">is few-shot chain-of-thought </w:t>
      </w:r>
      <w:r>
        <w:t>where</w:t>
      </w:r>
      <w:r w:rsidRPr="004B5307">
        <w:t xml:space="preserve"> the system prompt supplies the vocabulary, the UNMAPPED policy, an abbreviation legend, a small set of worked contrastive examples, and a step-by-step reasoning instruction.</w:t>
      </w:r>
      <w:r>
        <w:t xml:space="preserve"> </w:t>
      </w:r>
      <w:r w:rsidRPr="005F412B">
        <w:t>Two prompt settings</w:t>
      </w:r>
      <w:r w:rsidR="00432F32">
        <w:t xml:space="preserve"> were used</w:t>
      </w:r>
      <w:r w:rsidRPr="005F412B">
        <w:t xml:space="preserve">, one per corpus. The name-only setting (Corpus A) sends the </w:t>
      </w:r>
      <w:r w:rsidR="00432F32">
        <w:t>point</w:t>
      </w:r>
      <w:r w:rsidR="00432F32" w:rsidRPr="005F412B">
        <w:t xml:space="preserve"> </w:t>
      </w:r>
      <w:r w:rsidRPr="005F412B">
        <w:t xml:space="preserve">names alone. The value-augmented setting (Corpus B) appends </w:t>
      </w:r>
      <w:r w:rsidR="00432F32">
        <w:t xml:space="preserve">point data </w:t>
      </w:r>
      <w:r w:rsidRPr="005F412B">
        <w:t>statistics</w:t>
      </w:r>
      <w:r w:rsidR="00432F32">
        <w:t xml:space="preserve">, namely </w:t>
      </w:r>
      <w:r w:rsidRPr="005F412B">
        <w:t xml:space="preserve">data type, percentiles, inter-quartile range, </w:t>
      </w:r>
      <w:r w:rsidR="00432F32">
        <w:t xml:space="preserve">and </w:t>
      </w:r>
      <w:r w:rsidRPr="005F412B">
        <w:t>null fraction</w:t>
      </w:r>
      <w:r w:rsidR="00432F32">
        <w:t xml:space="preserve">, for </w:t>
      </w:r>
      <w:r w:rsidRPr="005F412B">
        <w:t xml:space="preserve">each </w:t>
      </w:r>
      <w:r w:rsidR="00432F32">
        <w:t xml:space="preserve">point </w:t>
      </w:r>
      <w:r w:rsidRPr="005F412B">
        <w:t xml:space="preserve">name, so the model can </w:t>
      </w:r>
      <w:r>
        <w:t>map based on time-series data alone</w:t>
      </w:r>
      <w:r w:rsidRPr="005F412B">
        <w:t xml:space="preserve">. </w:t>
      </w:r>
    </w:p>
    <w:p w14:paraId="72CD6277" w14:textId="77777777" w:rsidR="00432F32" w:rsidRPr="001800AC" w:rsidRDefault="00432F32" w:rsidP="00CA26E6">
      <w:pPr>
        <w:jc w:val="center"/>
      </w:pPr>
      <w:r w:rsidRPr="005F412B">
        <w:rPr>
          <w:noProof/>
        </w:rPr>
        <w:drawing>
          <wp:inline distT="0" distB="0" distL="0" distR="0" wp14:anchorId="17075CF8" wp14:editId="6839170B">
            <wp:extent cx="5126182" cy="3061855"/>
            <wp:effectExtent l="0" t="0" r="0" b="5715"/>
            <wp:docPr id="1275947292" name="image6.png" descr="The image appears to be a snippet from a structured document or data schema, likely related to a software application for managing a building's HVAC (Heating, Ventilation, and Air Conditioning) system, with sections for roles, vocabulary, rules, and examples.&#10;&#10;AI-generated content may be incorrect."/>
            <wp:cNvGraphicFramePr/>
            <a:graphic xmlns:a="http://schemas.openxmlformats.org/drawingml/2006/main">
              <a:graphicData uri="http://schemas.openxmlformats.org/drawingml/2006/picture">
                <pic:pic xmlns:pic="http://schemas.openxmlformats.org/drawingml/2006/picture">
                  <pic:nvPicPr>
                    <pic:cNvPr id="1275947292" name="image6.png" descr="The image appears to be a snippet from a structured document or data schema, likely related to a software application for managing a building's HVAC (Heating, Ventilation, and Air Conditioning) system, with sections for roles, vocabulary, rules, and examples.&#10;&#10;AI-generated content may be incorrect."/>
                    <pic:cNvPicPr preferRelativeResize="0"/>
                  </pic:nvPicPr>
                  <pic:blipFill>
                    <a:blip r:embed="rId11"/>
                    <a:srcRect/>
                    <a:stretch>
                      <a:fillRect/>
                    </a:stretch>
                  </pic:blipFill>
                  <pic:spPr>
                    <a:xfrm>
                      <a:off x="0" y="0"/>
                      <a:ext cx="5130211" cy="3064261"/>
                    </a:xfrm>
                    <a:prstGeom prst="rect">
                      <a:avLst/>
                    </a:prstGeom>
                    <a:ln/>
                  </pic:spPr>
                </pic:pic>
              </a:graphicData>
            </a:graphic>
          </wp:inline>
        </w:drawing>
      </w:r>
    </w:p>
    <w:p w14:paraId="4C475296" w14:textId="77777777" w:rsidR="00432F32" w:rsidRPr="005F412B" w:rsidRDefault="00432F32" w:rsidP="00432F32">
      <w:pPr>
        <w:pStyle w:val="Caption"/>
      </w:pPr>
      <w:r w:rsidRPr="005F412B">
        <w:t xml:space="preserve">Figure 2: </w:t>
      </w:r>
      <w:r w:rsidR="009A3201">
        <w:t>Prompt Structure</w:t>
      </w:r>
      <w:r w:rsidR="00AE7AD3">
        <w:t xml:space="preserve"> for Corpus B (Corpus A prompts are similar but omit step 5)</w:t>
      </w:r>
    </w:p>
    <w:p w14:paraId="673818EF" w14:textId="77777777" w:rsidR="002D772E" w:rsidRDefault="00432F32" w:rsidP="002D772E">
      <w:r>
        <w:t xml:space="preserve">Twelve </w:t>
      </w:r>
      <w:r w:rsidRPr="005F412B">
        <w:t xml:space="preserve">models </w:t>
      </w:r>
      <w:r>
        <w:t xml:space="preserve">were tested </w:t>
      </w:r>
      <w:r w:rsidRPr="005F412B">
        <w:t xml:space="preserve">on </w:t>
      </w:r>
      <w:r>
        <w:t xml:space="preserve">both corpora </w:t>
      </w:r>
      <w:r w:rsidRPr="005F412B">
        <w:t>with Kimi-K2.7 added for Corpus B</w:t>
      </w:r>
      <w:r>
        <w:t xml:space="preserve"> </w:t>
      </w:r>
      <w:r w:rsidRPr="005F412B">
        <w:t>(Table 2)</w:t>
      </w:r>
      <w:r>
        <w:t>, representing both open- and closed-weight models, multiple labs, and a broad range of costs</w:t>
      </w:r>
      <w:r w:rsidRPr="005F412B">
        <w:t xml:space="preserve">. </w:t>
      </w:r>
      <w:r>
        <w:t>Model s</w:t>
      </w:r>
      <w:r w:rsidRPr="005F412B">
        <w:t xml:space="preserve">election protocol </w:t>
      </w:r>
      <w:r>
        <w:t xml:space="preserve">required that models </w:t>
      </w:r>
      <w:r w:rsidRPr="005F412B">
        <w:t xml:space="preserve">be current, not deprecated, expose a publicly </w:t>
      </w:r>
      <w:proofErr w:type="spellStart"/>
      <w:r w:rsidRPr="005F412B">
        <w:t>pinnable</w:t>
      </w:r>
      <w:proofErr w:type="spellEnd"/>
      <w:r w:rsidRPr="005F412B">
        <w:t xml:space="preserve"> identifier, and emit valid JSON for batch classification. Prompt, vocabulary, temperature (set to 0) and output format were held constant across models. Each provider's reasoning control remained at its default setting for the reported runs. Two models were additionally checked at their highest available reasoning setting, to test whether the refusal behaviour observed on Corpus B reflected insufficient reasoning effort.</w:t>
      </w:r>
      <w:r w:rsidR="009A3201">
        <w:t xml:space="preserve"> For the Corpus A investigation, point names were classified in batches of 40 while for Corpus B, all values were provided simultaneously to maximize available context. </w:t>
      </w:r>
      <w:r w:rsidR="00CA76AB" w:rsidRPr="00CA76AB">
        <w:t>The system prompt included a confidence guide: the model was instructed to return UNMAPPED whenever its confidence in a mapping fell below 0.50, biasing the classifier toward declining an uncertain point rather than committing a possibly-incorrect label</w:t>
      </w:r>
      <w:r w:rsidR="00DD0E1E">
        <w:t>.</w:t>
      </w:r>
    </w:p>
    <w:p w14:paraId="6E217DDC" w14:textId="77777777" w:rsidR="002D772E" w:rsidRPr="005F412B" w:rsidRDefault="002D772E" w:rsidP="002D772E">
      <w:r>
        <w:lastRenderedPageBreak/>
        <w:t>Prior to scoring,</w:t>
      </w:r>
      <w:r w:rsidRPr="005F412B">
        <w:t xml:space="preserve"> null, empty, or UNMAPPED response</w:t>
      </w:r>
      <w:r>
        <w:t>s</w:t>
      </w:r>
      <w:r w:rsidRPr="005F412B">
        <w:t xml:space="preserve"> </w:t>
      </w:r>
      <w:r>
        <w:t>were changed to “</w:t>
      </w:r>
      <w:r w:rsidRPr="005F412B">
        <w:t>UNMAPPED</w:t>
      </w:r>
      <w:r>
        <w:t>” to map the ground truth</w:t>
      </w:r>
      <w:r w:rsidRPr="005F412B">
        <w:t xml:space="preserve">; </w:t>
      </w:r>
      <w:r>
        <w:t>everything</w:t>
      </w:r>
      <w:r w:rsidRPr="005F412B">
        <w:t xml:space="preserve"> else </w:t>
      </w:r>
      <w:r>
        <w:t>wa</w:t>
      </w:r>
      <w:r w:rsidRPr="005F412B">
        <w:t>s kept verbatim.</w:t>
      </w:r>
      <w:r>
        <w:t xml:space="preserve"> </w:t>
      </w:r>
      <w:r w:rsidRPr="005F412B">
        <w:t>Accuracies are reported with Wilson 95% confidence intervals (n = 271 on Corpus A; n = 36 mappable columns on Corpus B)</w:t>
      </w:r>
      <w:r>
        <w:t xml:space="preserve"> based on three Corpus A and 3-8 Corpus B runs, with the latter </w:t>
      </w:r>
      <w:r w:rsidRPr="005F412B">
        <w:t>to separate within-model variance from the ceiling</w:t>
      </w:r>
      <w:r>
        <w:t>.</w:t>
      </w:r>
      <w:r w:rsidRPr="005F412B">
        <w:t xml:space="preserve"> The rule-versus-LLM difference is treated as established only where the intervals don't overlap. On Corpus B the intervals are wide, so per-model results are reported as behaviour tiers rather than exact ranks.</w:t>
      </w:r>
      <w:r>
        <w:t xml:space="preserve"> </w:t>
      </w:r>
      <w:r w:rsidRPr="005F412B">
        <w:t xml:space="preserve">Corpus B </w:t>
      </w:r>
      <w:r>
        <w:t>is further tracked with respect to “engagement” – the degree to which the model commits mappings (</w:t>
      </w:r>
      <w:r w:rsidRPr="005F412B">
        <w:t xml:space="preserve">at least 15 of the 54 </w:t>
      </w:r>
      <w:r>
        <w:t>points are not null/</w:t>
      </w:r>
      <w:r w:rsidRPr="005F412B">
        <w:t>UNMAPPED</w:t>
      </w:r>
      <w:r>
        <w:t xml:space="preserve">) – and strict accuracy. </w:t>
      </w:r>
      <w:r w:rsidRPr="005F412B">
        <w:t xml:space="preserve">A model that both engages and refuses across repeated runs is called bimodal; for those we report the best-engaged and mean-over-engaged results separately. </w:t>
      </w:r>
    </w:p>
    <w:p w14:paraId="15E6567D" w14:textId="77777777" w:rsidR="009A3201" w:rsidRDefault="002D772E" w:rsidP="002D772E">
      <w:r w:rsidRPr="005F412B">
        <w:t xml:space="preserve">Token usage, including reasoning tokens where </w:t>
      </w:r>
      <w:r>
        <w:t xml:space="preserve">reported by the provider, was </w:t>
      </w:r>
      <w:r w:rsidRPr="005F412B">
        <w:t>recorded per call</w:t>
      </w:r>
      <w:r>
        <w:t xml:space="preserve"> and cost wa</w:t>
      </w:r>
      <w:r w:rsidRPr="005F412B">
        <w:t>s computed on a single uniform basis</w:t>
      </w:r>
      <w:r>
        <w:t xml:space="preserve"> using the current </w:t>
      </w:r>
      <w:proofErr w:type="spellStart"/>
      <w:r w:rsidRPr="005F412B">
        <w:t>OpenRouter</w:t>
      </w:r>
      <w:proofErr w:type="spellEnd"/>
      <w:r w:rsidRPr="005F412B">
        <w:t xml:space="preserve"> (</w:t>
      </w:r>
      <w:r>
        <w:t>2026</w:t>
      </w:r>
      <w:r w:rsidRPr="005F412B">
        <w:t>) list price multiplied by the recorded prompt and completion tokens</w:t>
      </w:r>
      <w:r w:rsidR="00353E40">
        <w:t xml:space="preserve"> for the 271 point type corpus</w:t>
      </w:r>
      <w:r>
        <w:t>. Note that this</w:t>
      </w:r>
      <w:r w:rsidR="00353E40">
        <w:t xml:space="preserve"> cost</w:t>
      </w:r>
      <w:r>
        <w:t xml:space="preserve"> differs from the final</w:t>
      </w:r>
      <w:r w:rsidRPr="005F412B">
        <w:t xml:space="preserve"> billed</w:t>
      </w:r>
      <w:r>
        <w:t xml:space="preserve"> amount</w:t>
      </w:r>
      <w:r w:rsidRPr="005F412B">
        <w:t>, which varies with caching, routing, and account terms.</w:t>
      </w:r>
    </w:p>
    <w:p w14:paraId="4090ACBD" w14:textId="77777777" w:rsidR="00353E40" w:rsidRPr="009A3201" w:rsidRDefault="00353E40" w:rsidP="002D772E"/>
    <w:p w14:paraId="093F9266" w14:textId="77777777" w:rsidR="009A3201" w:rsidRPr="005F412B" w:rsidRDefault="009A3201" w:rsidP="00AD2662">
      <w:pPr>
        <w:pStyle w:val="Caption"/>
      </w:pPr>
      <w:r w:rsidRPr="005F412B">
        <w:t>Table 2: Benchmarked models</w:t>
      </w:r>
    </w:p>
    <w:tbl>
      <w:tblPr>
        <w:tblStyle w:val="PlainTable2"/>
        <w:tblW w:w="9016" w:type="dxa"/>
        <w:tblLayout w:type="fixed"/>
        <w:tblLook w:val="0400" w:firstRow="0" w:lastRow="0" w:firstColumn="0" w:lastColumn="0" w:noHBand="0" w:noVBand="1"/>
      </w:tblPr>
      <w:tblGrid>
        <w:gridCol w:w="2695"/>
        <w:gridCol w:w="1813"/>
        <w:gridCol w:w="2254"/>
        <w:gridCol w:w="2254"/>
      </w:tblGrid>
      <w:tr w:rsidR="009A3201" w:rsidRPr="001800AC" w14:paraId="4631DA1B" w14:textId="77777777" w:rsidTr="00AD2662">
        <w:trPr>
          <w:cnfStyle w:val="000000100000" w:firstRow="0" w:lastRow="0" w:firstColumn="0" w:lastColumn="0" w:oddVBand="0" w:evenVBand="0" w:oddHBand="1" w:evenHBand="0" w:firstRowFirstColumn="0" w:firstRowLastColumn="0" w:lastRowFirstColumn="0" w:lastRowLastColumn="0"/>
        </w:trPr>
        <w:tc>
          <w:tcPr>
            <w:tcW w:w="2695" w:type="dxa"/>
          </w:tcPr>
          <w:p w14:paraId="66E00E52"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Model</w:t>
            </w:r>
          </w:p>
        </w:tc>
        <w:tc>
          <w:tcPr>
            <w:tcW w:w="1813" w:type="dxa"/>
          </w:tcPr>
          <w:p w14:paraId="3C9253A1"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Lab</w:t>
            </w:r>
          </w:p>
        </w:tc>
        <w:tc>
          <w:tcPr>
            <w:tcW w:w="2254" w:type="dxa"/>
          </w:tcPr>
          <w:p w14:paraId="549F1A48"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Access</w:t>
            </w:r>
          </w:p>
        </w:tc>
        <w:tc>
          <w:tcPr>
            <w:tcW w:w="2254" w:type="dxa"/>
          </w:tcPr>
          <w:p w14:paraId="76C03157"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On-prem deployable</w:t>
            </w:r>
          </w:p>
        </w:tc>
      </w:tr>
      <w:tr w:rsidR="009A3201" w:rsidRPr="001800AC" w14:paraId="7CDF5313" w14:textId="77777777" w:rsidTr="00AD2662">
        <w:tc>
          <w:tcPr>
            <w:tcW w:w="2695" w:type="dxa"/>
          </w:tcPr>
          <w:p w14:paraId="01890F43"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Gemini-3.5-Flash</w:t>
            </w:r>
          </w:p>
        </w:tc>
        <w:tc>
          <w:tcPr>
            <w:tcW w:w="1813" w:type="dxa"/>
          </w:tcPr>
          <w:p w14:paraId="021B1B77"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Google</w:t>
            </w:r>
          </w:p>
        </w:tc>
        <w:tc>
          <w:tcPr>
            <w:tcW w:w="2254" w:type="dxa"/>
          </w:tcPr>
          <w:p w14:paraId="64F95874"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w:t>
            </w:r>
          </w:p>
        </w:tc>
        <w:tc>
          <w:tcPr>
            <w:tcW w:w="2254" w:type="dxa"/>
          </w:tcPr>
          <w:p w14:paraId="4CC356A2"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No</w:t>
            </w:r>
          </w:p>
        </w:tc>
      </w:tr>
      <w:tr w:rsidR="009A3201" w:rsidRPr="001800AC" w14:paraId="7C606892" w14:textId="77777777" w:rsidTr="00AD2662">
        <w:trPr>
          <w:cnfStyle w:val="000000100000" w:firstRow="0" w:lastRow="0" w:firstColumn="0" w:lastColumn="0" w:oddVBand="0" w:evenVBand="0" w:oddHBand="1" w:evenHBand="0" w:firstRowFirstColumn="0" w:firstRowLastColumn="0" w:lastRowFirstColumn="0" w:lastRowLastColumn="0"/>
        </w:trPr>
        <w:tc>
          <w:tcPr>
            <w:tcW w:w="2695" w:type="dxa"/>
          </w:tcPr>
          <w:p w14:paraId="1E82F205"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GPT-5.5</w:t>
            </w:r>
          </w:p>
        </w:tc>
        <w:tc>
          <w:tcPr>
            <w:tcW w:w="1813" w:type="dxa"/>
          </w:tcPr>
          <w:p w14:paraId="208B75DF"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OpenAI</w:t>
            </w:r>
          </w:p>
        </w:tc>
        <w:tc>
          <w:tcPr>
            <w:tcW w:w="2254" w:type="dxa"/>
          </w:tcPr>
          <w:p w14:paraId="2135AD80"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w:t>
            </w:r>
          </w:p>
        </w:tc>
        <w:tc>
          <w:tcPr>
            <w:tcW w:w="2254" w:type="dxa"/>
          </w:tcPr>
          <w:p w14:paraId="234DD7E6"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No</w:t>
            </w:r>
          </w:p>
        </w:tc>
      </w:tr>
      <w:tr w:rsidR="009A3201" w:rsidRPr="001800AC" w14:paraId="3ACD767C" w14:textId="77777777" w:rsidTr="00AD2662">
        <w:tc>
          <w:tcPr>
            <w:tcW w:w="2695" w:type="dxa"/>
          </w:tcPr>
          <w:p w14:paraId="199896F6"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GPT-5.4-mini</w:t>
            </w:r>
          </w:p>
        </w:tc>
        <w:tc>
          <w:tcPr>
            <w:tcW w:w="1813" w:type="dxa"/>
          </w:tcPr>
          <w:p w14:paraId="0DE420D4"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OpenAI</w:t>
            </w:r>
          </w:p>
        </w:tc>
        <w:tc>
          <w:tcPr>
            <w:tcW w:w="2254" w:type="dxa"/>
          </w:tcPr>
          <w:p w14:paraId="03CC271B"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w:t>
            </w:r>
          </w:p>
        </w:tc>
        <w:tc>
          <w:tcPr>
            <w:tcW w:w="2254" w:type="dxa"/>
          </w:tcPr>
          <w:p w14:paraId="4A04F23A"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No</w:t>
            </w:r>
          </w:p>
        </w:tc>
      </w:tr>
      <w:tr w:rsidR="009A3201" w:rsidRPr="001800AC" w14:paraId="1BBAB486" w14:textId="77777777" w:rsidTr="00AD2662">
        <w:trPr>
          <w:cnfStyle w:val="000000100000" w:firstRow="0" w:lastRow="0" w:firstColumn="0" w:lastColumn="0" w:oddVBand="0" w:evenVBand="0" w:oddHBand="1" w:evenHBand="0" w:firstRowFirstColumn="0" w:firstRowLastColumn="0" w:lastRowFirstColumn="0" w:lastRowLastColumn="0"/>
        </w:trPr>
        <w:tc>
          <w:tcPr>
            <w:tcW w:w="2695" w:type="dxa"/>
          </w:tcPr>
          <w:p w14:paraId="77473D99"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Claude-Opus-4.8</w:t>
            </w:r>
          </w:p>
        </w:tc>
        <w:tc>
          <w:tcPr>
            <w:tcW w:w="1813" w:type="dxa"/>
          </w:tcPr>
          <w:p w14:paraId="03130C86"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Anthropic</w:t>
            </w:r>
          </w:p>
        </w:tc>
        <w:tc>
          <w:tcPr>
            <w:tcW w:w="2254" w:type="dxa"/>
          </w:tcPr>
          <w:p w14:paraId="0CD42090"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w:t>
            </w:r>
          </w:p>
        </w:tc>
        <w:tc>
          <w:tcPr>
            <w:tcW w:w="2254" w:type="dxa"/>
          </w:tcPr>
          <w:p w14:paraId="40F1EA6A"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No</w:t>
            </w:r>
          </w:p>
        </w:tc>
      </w:tr>
      <w:tr w:rsidR="009A3201" w:rsidRPr="001800AC" w14:paraId="4EA83387" w14:textId="77777777" w:rsidTr="00AD2662">
        <w:tc>
          <w:tcPr>
            <w:tcW w:w="2695" w:type="dxa"/>
          </w:tcPr>
          <w:p w14:paraId="64AC42EF"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Claude-Haiku-4.5</w:t>
            </w:r>
          </w:p>
        </w:tc>
        <w:tc>
          <w:tcPr>
            <w:tcW w:w="1813" w:type="dxa"/>
          </w:tcPr>
          <w:p w14:paraId="3F90A4E3"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Anthropic</w:t>
            </w:r>
          </w:p>
        </w:tc>
        <w:tc>
          <w:tcPr>
            <w:tcW w:w="2254" w:type="dxa"/>
          </w:tcPr>
          <w:p w14:paraId="2B127F0B"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w:t>
            </w:r>
          </w:p>
        </w:tc>
        <w:tc>
          <w:tcPr>
            <w:tcW w:w="2254" w:type="dxa"/>
          </w:tcPr>
          <w:p w14:paraId="7FA09605"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No</w:t>
            </w:r>
          </w:p>
        </w:tc>
      </w:tr>
      <w:tr w:rsidR="009A3201" w:rsidRPr="001800AC" w14:paraId="17C34C1B" w14:textId="77777777" w:rsidTr="00AD2662">
        <w:trPr>
          <w:cnfStyle w:val="000000100000" w:firstRow="0" w:lastRow="0" w:firstColumn="0" w:lastColumn="0" w:oddVBand="0" w:evenVBand="0" w:oddHBand="1" w:evenHBand="0" w:firstRowFirstColumn="0" w:firstRowLastColumn="0" w:lastRowFirstColumn="0" w:lastRowLastColumn="0"/>
        </w:trPr>
        <w:tc>
          <w:tcPr>
            <w:tcW w:w="2695" w:type="dxa"/>
          </w:tcPr>
          <w:p w14:paraId="25CDA9AC"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Grok-4.3</w:t>
            </w:r>
          </w:p>
        </w:tc>
        <w:tc>
          <w:tcPr>
            <w:tcW w:w="1813" w:type="dxa"/>
          </w:tcPr>
          <w:p w14:paraId="5DF2E6FA" w14:textId="77777777" w:rsidR="009A3201" w:rsidRPr="00AD2662" w:rsidRDefault="009A3201" w:rsidP="00AD2662">
            <w:pPr>
              <w:pStyle w:val="PlainText"/>
              <w:spacing w:after="40"/>
              <w:jc w:val="center"/>
              <w:rPr>
                <w:rFonts w:ascii="Calibri" w:hAnsi="Calibri"/>
                <w:sz w:val="22"/>
              </w:rPr>
            </w:pPr>
            <w:proofErr w:type="spellStart"/>
            <w:r w:rsidRPr="00AD2662">
              <w:rPr>
                <w:rFonts w:ascii="Calibri" w:hAnsi="Calibri"/>
                <w:sz w:val="22"/>
              </w:rPr>
              <w:t>xAI</w:t>
            </w:r>
            <w:proofErr w:type="spellEnd"/>
          </w:p>
        </w:tc>
        <w:tc>
          <w:tcPr>
            <w:tcW w:w="2254" w:type="dxa"/>
          </w:tcPr>
          <w:p w14:paraId="4A93E733"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w:t>
            </w:r>
          </w:p>
        </w:tc>
        <w:tc>
          <w:tcPr>
            <w:tcW w:w="2254" w:type="dxa"/>
          </w:tcPr>
          <w:p w14:paraId="27197C53"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No</w:t>
            </w:r>
          </w:p>
        </w:tc>
      </w:tr>
      <w:tr w:rsidR="009A3201" w:rsidRPr="001800AC" w14:paraId="6C429993" w14:textId="77777777" w:rsidTr="00AD2662">
        <w:tc>
          <w:tcPr>
            <w:tcW w:w="2695" w:type="dxa"/>
          </w:tcPr>
          <w:p w14:paraId="3A4B5404"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DeepSeek-V4-Pro</w:t>
            </w:r>
          </w:p>
        </w:tc>
        <w:tc>
          <w:tcPr>
            <w:tcW w:w="1813" w:type="dxa"/>
          </w:tcPr>
          <w:p w14:paraId="76E2FDBC"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DeepSeek</w:t>
            </w:r>
          </w:p>
        </w:tc>
        <w:tc>
          <w:tcPr>
            <w:tcW w:w="2254" w:type="dxa"/>
          </w:tcPr>
          <w:p w14:paraId="7D2CFECB"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 / open weights</w:t>
            </w:r>
          </w:p>
        </w:tc>
        <w:tc>
          <w:tcPr>
            <w:tcW w:w="2254" w:type="dxa"/>
          </w:tcPr>
          <w:p w14:paraId="4237A85C"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Yes</w:t>
            </w:r>
          </w:p>
        </w:tc>
      </w:tr>
      <w:tr w:rsidR="009A3201" w:rsidRPr="001800AC" w14:paraId="3FBC6842" w14:textId="77777777" w:rsidTr="00AD2662">
        <w:trPr>
          <w:cnfStyle w:val="000000100000" w:firstRow="0" w:lastRow="0" w:firstColumn="0" w:lastColumn="0" w:oddVBand="0" w:evenVBand="0" w:oddHBand="1" w:evenHBand="0" w:firstRowFirstColumn="0" w:firstRowLastColumn="0" w:lastRowFirstColumn="0" w:lastRowLastColumn="0"/>
        </w:trPr>
        <w:tc>
          <w:tcPr>
            <w:tcW w:w="2695" w:type="dxa"/>
          </w:tcPr>
          <w:p w14:paraId="520A9988"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DeepSeek-V4-Flash</w:t>
            </w:r>
          </w:p>
        </w:tc>
        <w:tc>
          <w:tcPr>
            <w:tcW w:w="1813" w:type="dxa"/>
          </w:tcPr>
          <w:p w14:paraId="7BB0DD6E"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DeepSeek</w:t>
            </w:r>
          </w:p>
        </w:tc>
        <w:tc>
          <w:tcPr>
            <w:tcW w:w="2254" w:type="dxa"/>
          </w:tcPr>
          <w:p w14:paraId="4B2BBBCC"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 / open weights</w:t>
            </w:r>
          </w:p>
        </w:tc>
        <w:tc>
          <w:tcPr>
            <w:tcW w:w="2254" w:type="dxa"/>
          </w:tcPr>
          <w:p w14:paraId="67D05E3E"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Yes</w:t>
            </w:r>
          </w:p>
        </w:tc>
      </w:tr>
      <w:tr w:rsidR="009A3201" w:rsidRPr="001800AC" w14:paraId="24E160ED" w14:textId="77777777" w:rsidTr="00AD2662">
        <w:tc>
          <w:tcPr>
            <w:tcW w:w="2695" w:type="dxa"/>
          </w:tcPr>
          <w:p w14:paraId="39F88FDB"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Qwen3.7-Plus</w:t>
            </w:r>
          </w:p>
        </w:tc>
        <w:tc>
          <w:tcPr>
            <w:tcW w:w="1813" w:type="dxa"/>
          </w:tcPr>
          <w:p w14:paraId="0FB3A345"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Alibaba</w:t>
            </w:r>
          </w:p>
        </w:tc>
        <w:tc>
          <w:tcPr>
            <w:tcW w:w="2254" w:type="dxa"/>
          </w:tcPr>
          <w:p w14:paraId="798B5851"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 / open weights</w:t>
            </w:r>
          </w:p>
        </w:tc>
        <w:tc>
          <w:tcPr>
            <w:tcW w:w="2254" w:type="dxa"/>
          </w:tcPr>
          <w:p w14:paraId="71C81BDA"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Yes</w:t>
            </w:r>
          </w:p>
        </w:tc>
      </w:tr>
      <w:tr w:rsidR="009A3201" w:rsidRPr="001800AC" w14:paraId="6AADFC8B" w14:textId="77777777" w:rsidTr="00AD2662">
        <w:trPr>
          <w:cnfStyle w:val="000000100000" w:firstRow="0" w:lastRow="0" w:firstColumn="0" w:lastColumn="0" w:oddVBand="0" w:evenVBand="0" w:oddHBand="1" w:evenHBand="0" w:firstRowFirstColumn="0" w:firstRowLastColumn="0" w:lastRowFirstColumn="0" w:lastRowLastColumn="0"/>
        </w:trPr>
        <w:tc>
          <w:tcPr>
            <w:tcW w:w="2695" w:type="dxa"/>
          </w:tcPr>
          <w:p w14:paraId="755018C5"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GLM-5.2</w:t>
            </w:r>
          </w:p>
        </w:tc>
        <w:tc>
          <w:tcPr>
            <w:tcW w:w="1813" w:type="dxa"/>
          </w:tcPr>
          <w:p w14:paraId="1CD33202" w14:textId="77777777" w:rsidR="009A3201" w:rsidRPr="00AD2662" w:rsidRDefault="009A3201" w:rsidP="00AD2662">
            <w:pPr>
              <w:pStyle w:val="PlainText"/>
              <w:spacing w:after="40"/>
              <w:jc w:val="center"/>
              <w:rPr>
                <w:rFonts w:ascii="Calibri" w:hAnsi="Calibri"/>
                <w:sz w:val="22"/>
              </w:rPr>
            </w:pPr>
            <w:proofErr w:type="spellStart"/>
            <w:r w:rsidRPr="00AD2662">
              <w:rPr>
                <w:rFonts w:ascii="Calibri" w:hAnsi="Calibri"/>
                <w:sz w:val="22"/>
              </w:rPr>
              <w:t>Zhipu</w:t>
            </w:r>
            <w:proofErr w:type="spellEnd"/>
          </w:p>
        </w:tc>
        <w:tc>
          <w:tcPr>
            <w:tcW w:w="2254" w:type="dxa"/>
          </w:tcPr>
          <w:p w14:paraId="6D3234B1"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 / open weights</w:t>
            </w:r>
          </w:p>
        </w:tc>
        <w:tc>
          <w:tcPr>
            <w:tcW w:w="2254" w:type="dxa"/>
          </w:tcPr>
          <w:p w14:paraId="3A1C4C75"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Yes</w:t>
            </w:r>
          </w:p>
        </w:tc>
      </w:tr>
      <w:tr w:rsidR="009A3201" w:rsidRPr="001800AC" w14:paraId="5572C6B8" w14:textId="77777777" w:rsidTr="00AD2662">
        <w:tc>
          <w:tcPr>
            <w:tcW w:w="2695" w:type="dxa"/>
          </w:tcPr>
          <w:p w14:paraId="2FBE4ABF"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MiMo-v2.5-Pro</w:t>
            </w:r>
          </w:p>
        </w:tc>
        <w:tc>
          <w:tcPr>
            <w:tcW w:w="1813" w:type="dxa"/>
          </w:tcPr>
          <w:p w14:paraId="32464A98"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Xiaomi</w:t>
            </w:r>
          </w:p>
        </w:tc>
        <w:tc>
          <w:tcPr>
            <w:tcW w:w="2254" w:type="dxa"/>
          </w:tcPr>
          <w:p w14:paraId="4DA86E74"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 / open weights</w:t>
            </w:r>
          </w:p>
        </w:tc>
        <w:tc>
          <w:tcPr>
            <w:tcW w:w="2254" w:type="dxa"/>
          </w:tcPr>
          <w:p w14:paraId="51A22BAF"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Yes</w:t>
            </w:r>
          </w:p>
        </w:tc>
      </w:tr>
      <w:tr w:rsidR="009A3201" w:rsidRPr="001800AC" w14:paraId="05DDCCC9" w14:textId="77777777" w:rsidTr="00AD2662">
        <w:trPr>
          <w:cnfStyle w:val="000000100000" w:firstRow="0" w:lastRow="0" w:firstColumn="0" w:lastColumn="0" w:oddVBand="0" w:evenVBand="0" w:oddHBand="1" w:evenHBand="0" w:firstRowFirstColumn="0" w:firstRowLastColumn="0" w:lastRowFirstColumn="0" w:lastRowLastColumn="0"/>
        </w:trPr>
        <w:tc>
          <w:tcPr>
            <w:tcW w:w="2695" w:type="dxa"/>
          </w:tcPr>
          <w:p w14:paraId="2F3E5B22"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MiniMax-M3</w:t>
            </w:r>
          </w:p>
        </w:tc>
        <w:tc>
          <w:tcPr>
            <w:tcW w:w="1813" w:type="dxa"/>
          </w:tcPr>
          <w:p w14:paraId="063AFC79" w14:textId="77777777" w:rsidR="009A3201" w:rsidRPr="00AD2662" w:rsidRDefault="009A3201" w:rsidP="00AD2662">
            <w:pPr>
              <w:pStyle w:val="PlainText"/>
              <w:spacing w:after="40"/>
              <w:jc w:val="center"/>
              <w:rPr>
                <w:rFonts w:ascii="Calibri" w:hAnsi="Calibri"/>
                <w:sz w:val="22"/>
              </w:rPr>
            </w:pPr>
            <w:proofErr w:type="spellStart"/>
            <w:r w:rsidRPr="00AD2662">
              <w:rPr>
                <w:rFonts w:ascii="Calibri" w:hAnsi="Calibri"/>
                <w:sz w:val="22"/>
              </w:rPr>
              <w:t>MiniMax</w:t>
            </w:r>
            <w:proofErr w:type="spellEnd"/>
          </w:p>
        </w:tc>
        <w:tc>
          <w:tcPr>
            <w:tcW w:w="2254" w:type="dxa"/>
          </w:tcPr>
          <w:p w14:paraId="1FF46E9F"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 / open weights</w:t>
            </w:r>
          </w:p>
        </w:tc>
        <w:tc>
          <w:tcPr>
            <w:tcW w:w="2254" w:type="dxa"/>
          </w:tcPr>
          <w:p w14:paraId="7F449A3B"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Yes</w:t>
            </w:r>
          </w:p>
        </w:tc>
      </w:tr>
      <w:tr w:rsidR="009A3201" w:rsidRPr="001800AC" w14:paraId="02F5265A" w14:textId="77777777" w:rsidTr="00AD2662">
        <w:tc>
          <w:tcPr>
            <w:tcW w:w="2695" w:type="dxa"/>
          </w:tcPr>
          <w:p w14:paraId="2905FE88"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Kimi-K2.7 (Corpus B only)</w:t>
            </w:r>
          </w:p>
        </w:tc>
        <w:tc>
          <w:tcPr>
            <w:tcW w:w="1813" w:type="dxa"/>
          </w:tcPr>
          <w:p w14:paraId="66027421"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Moonshot</w:t>
            </w:r>
          </w:p>
        </w:tc>
        <w:tc>
          <w:tcPr>
            <w:tcW w:w="2254" w:type="dxa"/>
          </w:tcPr>
          <w:p w14:paraId="072E1632"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API / open weights</w:t>
            </w:r>
          </w:p>
        </w:tc>
        <w:tc>
          <w:tcPr>
            <w:tcW w:w="2254" w:type="dxa"/>
          </w:tcPr>
          <w:p w14:paraId="0E16277A" w14:textId="77777777" w:rsidR="009A3201" w:rsidRPr="00AD2662" w:rsidRDefault="009A3201" w:rsidP="00AD2662">
            <w:pPr>
              <w:pStyle w:val="PlainText"/>
              <w:spacing w:after="40"/>
              <w:jc w:val="center"/>
              <w:rPr>
                <w:rFonts w:ascii="Calibri" w:hAnsi="Calibri"/>
                <w:sz w:val="22"/>
              </w:rPr>
            </w:pPr>
            <w:r w:rsidRPr="00AD2662">
              <w:rPr>
                <w:rFonts w:ascii="Calibri" w:hAnsi="Calibri"/>
                <w:sz w:val="22"/>
              </w:rPr>
              <w:t>Yes</w:t>
            </w:r>
          </w:p>
        </w:tc>
      </w:tr>
    </w:tbl>
    <w:p w14:paraId="11CCF28F" w14:textId="77777777" w:rsidR="009F19D8" w:rsidRPr="005F412B" w:rsidRDefault="009F19D8" w:rsidP="001800AC"/>
    <w:p w14:paraId="7E8223B3" w14:textId="77777777" w:rsidR="009F19D8" w:rsidRPr="005F412B" w:rsidRDefault="00000000" w:rsidP="00C061C3">
      <w:pPr>
        <w:pStyle w:val="Heading1"/>
      </w:pPr>
      <w:r w:rsidRPr="005F412B">
        <w:t>RESULTS</w:t>
      </w:r>
    </w:p>
    <w:p w14:paraId="61A0935F" w14:textId="77777777" w:rsidR="009F19D8" w:rsidRDefault="002D772E" w:rsidP="001800AC">
      <w:r>
        <w:t>For the human-readable corpus, the rule baseline achieved 41.0% strict accuracy</w:t>
      </w:r>
      <w:r w:rsidR="00AD2662">
        <w:t xml:space="preserve"> while </w:t>
      </w:r>
      <w:r w:rsidRPr="005F412B">
        <w:t>LLM</w:t>
      </w:r>
      <w:r w:rsidR="00AD2662">
        <w:t>s performed much better</w:t>
      </w:r>
      <w:r w:rsidRPr="005F412B">
        <w:t xml:space="preserve">, from 87.1% (GPT-5.4-mini) to 94.3% (Gemini-3.5-Flash), (Table 3, Figure 3). The separation is unambiguous: the rule-based Wilson 95% interval is [35.3, 46.9], the best </w:t>
      </w:r>
      <w:r w:rsidR="00353E40">
        <w:t xml:space="preserve">LLM’s </w:t>
      </w:r>
      <w:r w:rsidRPr="005F412B">
        <w:t xml:space="preserve">is [91.0, 96.4], and even the weakest LLM's lower bound clears the baseline's upper bound. </w:t>
      </w:r>
    </w:p>
    <w:p w14:paraId="7D5F3869" w14:textId="490417DE" w:rsidR="00402216" w:rsidRDefault="00402216" w:rsidP="001800AC">
      <w:r w:rsidRPr="001800AC">
        <w:t xml:space="preserve">The strongest open-weight model (DeepSeek-V4-Pro, 91.3%) is within three points of the </w:t>
      </w:r>
      <w:r>
        <w:t xml:space="preserve">accuracy of the </w:t>
      </w:r>
      <w:r w:rsidRPr="001800AC">
        <w:t xml:space="preserve">strongest closed model, and a cheap open-weight model (DeepSeek-V4-Flash, 90.9%) is within four. Accuracy plateaus well below the frontier. An on-premises open-weight deployment, the relevant option for data-sensitive buildings, gives up little. </w:t>
      </w:r>
      <w:r>
        <w:t>Surprisingly, accuracy did not vary with cost; for example,</w:t>
      </w:r>
      <w:r w:rsidRPr="001800AC">
        <w:t xml:space="preserve"> DeepSeek-V4-Flash costs $0.012 </w:t>
      </w:r>
      <w:r>
        <w:t xml:space="preserve">vs </w:t>
      </w:r>
      <w:r w:rsidRPr="001800AC">
        <w:t xml:space="preserve">$0.40–$0.52 </w:t>
      </w:r>
      <w:r>
        <w:t xml:space="preserve">for </w:t>
      </w:r>
      <w:r w:rsidRPr="001800AC">
        <w:t>GPT-5.5 and Claude-Opus-4.8, a spread of 33 to 43 times (Table 3).</w:t>
      </w:r>
    </w:p>
    <w:p w14:paraId="6E285A27" w14:textId="77777777" w:rsidR="00402216" w:rsidRPr="005F412B" w:rsidRDefault="00402216" w:rsidP="001800AC"/>
    <w:p w14:paraId="68427B67" w14:textId="77777777" w:rsidR="009F19D8" w:rsidRPr="005F412B" w:rsidRDefault="00000000" w:rsidP="00C061C3">
      <w:pPr>
        <w:pStyle w:val="Caption"/>
      </w:pPr>
      <w:r w:rsidRPr="005F412B">
        <w:lastRenderedPageBreak/>
        <w:t xml:space="preserve">Table 3: Corpus A, name-only, strict accuracy (all models n=3). Cost is the price of typing </w:t>
      </w:r>
      <w:r w:rsidR="00AE7AD3">
        <w:t>the sample</w:t>
      </w:r>
      <w:r w:rsidR="00AE7AD3" w:rsidRPr="005F412B">
        <w:t xml:space="preserve"> </w:t>
      </w:r>
      <w:r w:rsidRPr="005F412B">
        <w:t>building of about 271 columns at June-2026 list prices.</w:t>
      </w:r>
    </w:p>
    <w:tbl>
      <w:tblPr>
        <w:tblStyle w:val="PlainTable2"/>
        <w:tblW w:w="5954" w:type="dxa"/>
        <w:jc w:val="center"/>
        <w:tblLayout w:type="fixed"/>
        <w:tblLook w:val="0400" w:firstRow="0" w:lastRow="0" w:firstColumn="0" w:lastColumn="0" w:noHBand="0" w:noVBand="1"/>
      </w:tblPr>
      <w:tblGrid>
        <w:gridCol w:w="2254"/>
        <w:gridCol w:w="1715"/>
        <w:gridCol w:w="1985"/>
      </w:tblGrid>
      <w:tr w:rsidR="00AE7AD3" w:rsidRPr="001800AC" w14:paraId="1AF5FB95" w14:textId="77777777" w:rsidTr="00A44316">
        <w:trPr>
          <w:cnfStyle w:val="000000100000" w:firstRow="0" w:lastRow="0" w:firstColumn="0" w:lastColumn="0" w:oddVBand="0" w:evenVBand="0" w:oddHBand="1" w:evenHBand="0" w:firstRowFirstColumn="0" w:firstRowLastColumn="0" w:lastRowFirstColumn="0" w:lastRowLastColumn="0"/>
          <w:jc w:val="center"/>
        </w:trPr>
        <w:tc>
          <w:tcPr>
            <w:tcW w:w="2254" w:type="dxa"/>
          </w:tcPr>
          <w:p w14:paraId="5984FABA"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Model</w:t>
            </w:r>
          </w:p>
        </w:tc>
        <w:tc>
          <w:tcPr>
            <w:tcW w:w="1715" w:type="dxa"/>
          </w:tcPr>
          <w:p w14:paraId="5D93A961"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Strict acc</w:t>
            </w:r>
            <w:r>
              <w:rPr>
                <w:rFonts w:ascii="Calibri" w:hAnsi="Calibri"/>
                <w:sz w:val="22"/>
              </w:rPr>
              <w:t>uracy</w:t>
            </w:r>
          </w:p>
        </w:tc>
        <w:tc>
          <w:tcPr>
            <w:tcW w:w="1985" w:type="dxa"/>
          </w:tcPr>
          <w:p w14:paraId="04D5D917"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$/building</w:t>
            </w:r>
          </w:p>
        </w:tc>
      </w:tr>
      <w:tr w:rsidR="00AE7AD3" w:rsidRPr="001800AC" w14:paraId="1A7A3349" w14:textId="77777777" w:rsidTr="00A44316">
        <w:trPr>
          <w:jc w:val="center"/>
        </w:trPr>
        <w:tc>
          <w:tcPr>
            <w:tcW w:w="2254" w:type="dxa"/>
          </w:tcPr>
          <w:p w14:paraId="69C14DC1"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Rule baseline</w:t>
            </w:r>
          </w:p>
        </w:tc>
        <w:tc>
          <w:tcPr>
            <w:tcW w:w="1715" w:type="dxa"/>
          </w:tcPr>
          <w:p w14:paraId="37D0E205"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41.0%</w:t>
            </w:r>
          </w:p>
        </w:tc>
        <w:tc>
          <w:tcPr>
            <w:tcW w:w="1985" w:type="dxa"/>
          </w:tcPr>
          <w:p w14:paraId="637BABC9"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$0.00</w:t>
            </w:r>
          </w:p>
        </w:tc>
      </w:tr>
      <w:tr w:rsidR="00AE7AD3" w:rsidRPr="001800AC" w14:paraId="610F365C" w14:textId="77777777" w:rsidTr="00A44316">
        <w:trPr>
          <w:cnfStyle w:val="000000100000" w:firstRow="0" w:lastRow="0" w:firstColumn="0" w:lastColumn="0" w:oddVBand="0" w:evenVBand="0" w:oddHBand="1" w:evenHBand="0" w:firstRowFirstColumn="0" w:firstRowLastColumn="0" w:lastRowFirstColumn="0" w:lastRowLastColumn="0"/>
          <w:jc w:val="center"/>
        </w:trPr>
        <w:tc>
          <w:tcPr>
            <w:tcW w:w="2254" w:type="dxa"/>
          </w:tcPr>
          <w:p w14:paraId="5D0E3542"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Gemini-3.5-Flash</w:t>
            </w:r>
          </w:p>
        </w:tc>
        <w:tc>
          <w:tcPr>
            <w:tcW w:w="1715" w:type="dxa"/>
          </w:tcPr>
          <w:p w14:paraId="051E1898"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94.3%</w:t>
            </w:r>
          </w:p>
        </w:tc>
        <w:tc>
          <w:tcPr>
            <w:tcW w:w="1985" w:type="dxa"/>
          </w:tcPr>
          <w:p w14:paraId="6EA23D1B"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$0.11</w:t>
            </w:r>
          </w:p>
        </w:tc>
      </w:tr>
      <w:tr w:rsidR="00AE7AD3" w:rsidRPr="001800AC" w14:paraId="608E3FFD" w14:textId="77777777" w:rsidTr="00A44316">
        <w:trPr>
          <w:jc w:val="center"/>
        </w:trPr>
        <w:tc>
          <w:tcPr>
            <w:tcW w:w="2254" w:type="dxa"/>
          </w:tcPr>
          <w:p w14:paraId="1FA54383"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Grok-4.3</w:t>
            </w:r>
          </w:p>
        </w:tc>
        <w:tc>
          <w:tcPr>
            <w:tcW w:w="1715" w:type="dxa"/>
          </w:tcPr>
          <w:p w14:paraId="221BB522"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91.8%</w:t>
            </w:r>
          </w:p>
        </w:tc>
        <w:tc>
          <w:tcPr>
            <w:tcW w:w="1985" w:type="dxa"/>
          </w:tcPr>
          <w:p w14:paraId="1C00AA34"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$0.07</w:t>
            </w:r>
          </w:p>
        </w:tc>
      </w:tr>
      <w:tr w:rsidR="00AE7AD3" w:rsidRPr="001800AC" w14:paraId="19F87899" w14:textId="77777777" w:rsidTr="00A44316">
        <w:trPr>
          <w:cnfStyle w:val="000000100000" w:firstRow="0" w:lastRow="0" w:firstColumn="0" w:lastColumn="0" w:oddVBand="0" w:evenVBand="0" w:oddHBand="1" w:evenHBand="0" w:firstRowFirstColumn="0" w:firstRowLastColumn="0" w:lastRowFirstColumn="0" w:lastRowLastColumn="0"/>
          <w:jc w:val="center"/>
        </w:trPr>
        <w:tc>
          <w:tcPr>
            <w:tcW w:w="2254" w:type="dxa"/>
          </w:tcPr>
          <w:p w14:paraId="4C39C877"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DeepSeek-V4-Pro</w:t>
            </w:r>
          </w:p>
        </w:tc>
        <w:tc>
          <w:tcPr>
            <w:tcW w:w="1715" w:type="dxa"/>
          </w:tcPr>
          <w:p w14:paraId="5FCC6B39"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91.3%</w:t>
            </w:r>
          </w:p>
        </w:tc>
        <w:tc>
          <w:tcPr>
            <w:tcW w:w="1985" w:type="dxa"/>
          </w:tcPr>
          <w:p w14:paraId="403A5C6C"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$0.05</w:t>
            </w:r>
          </w:p>
        </w:tc>
      </w:tr>
      <w:tr w:rsidR="00AE7AD3" w:rsidRPr="001800AC" w14:paraId="76AE128D" w14:textId="77777777" w:rsidTr="00A44316">
        <w:trPr>
          <w:jc w:val="center"/>
        </w:trPr>
        <w:tc>
          <w:tcPr>
            <w:tcW w:w="2254" w:type="dxa"/>
          </w:tcPr>
          <w:p w14:paraId="6C37457E"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GPT-5.5</w:t>
            </w:r>
          </w:p>
        </w:tc>
        <w:tc>
          <w:tcPr>
            <w:tcW w:w="1715" w:type="dxa"/>
          </w:tcPr>
          <w:p w14:paraId="1F71F0A8"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91.1%</w:t>
            </w:r>
          </w:p>
        </w:tc>
        <w:tc>
          <w:tcPr>
            <w:tcW w:w="1985" w:type="dxa"/>
          </w:tcPr>
          <w:p w14:paraId="712A1680"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$0.40</w:t>
            </w:r>
          </w:p>
        </w:tc>
      </w:tr>
      <w:tr w:rsidR="00AE7AD3" w:rsidRPr="001800AC" w14:paraId="549CA82B" w14:textId="77777777" w:rsidTr="00A44316">
        <w:trPr>
          <w:cnfStyle w:val="000000100000" w:firstRow="0" w:lastRow="0" w:firstColumn="0" w:lastColumn="0" w:oddVBand="0" w:evenVBand="0" w:oddHBand="1" w:evenHBand="0" w:firstRowFirstColumn="0" w:firstRowLastColumn="0" w:lastRowFirstColumn="0" w:lastRowLastColumn="0"/>
          <w:jc w:val="center"/>
        </w:trPr>
        <w:tc>
          <w:tcPr>
            <w:tcW w:w="2254" w:type="dxa"/>
          </w:tcPr>
          <w:p w14:paraId="0F0A945A"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DeepSeek-V4-Flash</w:t>
            </w:r>
          </w:p>
        </w:tc>
        <w:tc>
          <w:tcPr>
            <w:tcW w:w="1715" w:type="dxa"/>
          </w:tcPr>
          <w:p w14:paraId="23E9EE2E"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90.9%</w:t>
            </w:r>
          </w:p>
        </w:tc>
        <w:tc>
          <w:tcPr>
            <w:tcW w:w="1985" w:type="dxa"/>
          </w:tcPr>
          <w:p w14:paraId="60631800"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$0.01</w:t>
            </w:r>
          </w:p>
        </w:tc>
      </w:tr>
      <w:tr w:rsidR="00AE7AD3" w:rsidRPr="001800AC" w14:paraId="386F9430" w14:textId="77777777" w:rsidTr="00A44316">
        <w:trPr>
          <w:jc w:val="center"/>
        </w:trPr>
        <w:tc>
          <w:tcPr>
            <w:tcW w:w="2254" w:type="dxa"/>
          </w:tcPr>
          <w:p w14:paraId="18EC503E"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Qwen3.7-Plus</w:t>
            </w:r>
          </w:p>
        </w:tc>
        <w:tc>
          <w:tcPr>
            <w:tcW w:w="1715" w:type="dxa"/>
          </w:tcPr>
          <w:p w14:paraId="3CCF0D1A"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90.9%</w:t>
            </w:r>
          </w:p>
        </w:tc>
        <w:tc>
          <w:tcPr>
            <w:tcW w:w="1985" w:type="dxa"/>
          </w:tcPr>
          <w:p w14:paraId="6E366939"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$0.05</w:t>
            </w:r>
          </w:p>
        </w:tc>
      </w:tr>
      <w:tr w:rsidR="00AE7AD3" w:rsidRPr="001800AC" w14:paraId="5BBEB498" w14:textId="77777777" w:rsidTr="00A44316">
        <w:trPr>
          <w:cnfStyle w:val="000000100000" w:firstRow="0" w:lastRow="0" w:firstColumn="0" w:lastColumn="0" w:oddVBand="0" w:evenVBand="0" w:oddHBand="1" w:evenHBand="0" w:firstRowFirstColumn="0" w:firstRowLastColumn="0" w:lastRowFirstColumn="0" w:lastRowLastColumn="0"/>
          <w:jc w:val="center"/>
        </w:trPr>
        <w:tc>
          <w:tcPr>
            <w:tcW w:w="2254" w:type="dxa"/>
          </w:tcPr>
          <w:p w14:paraId="2B94BF3E"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Claude-Opus-4.8</w:t>
            </w:r>
          </w:p>
        </w:tc>
        <w:tc>
          <w:tcPr>
            <w:tcW w:w="1715" w:type="dxa"/>
          </w:tcPr>
          <w:p w14:paraId="04798425"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90.8%</w:t>
            </w:r>
          </w:p>
        </w:tc>
        <w:tc>
          <w:tcPr>
            <w:tcW w:w="1985" w:type="dxa"/>
          </w:tcPr>
          <w:p w14:paraId="44CF3205"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$0.52</w:t>
            </w:r>
          </w:p>
        </w:tc>
      </w:tr>
      <w:tr w:rsidR="00AE7AD3" w:rsidRPr="001800AC" w14:paraId="1C8189B0" w14:textId="77777777" w:rsidTr="00A44316">
        <w:trPr>
          <w:jc w:val="center"/>
        </w:trPr>
        <w:tc>
          <w:tcPr>
            <w:tcW w:w="2254" w:type="dxa"/>
          </w:tcPr>
          <w:p w14:paraId="3E230FB3"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MiMo-v2.5-Pro</w:t>
            </w:r>
          </w:p>
        </w:tc>
        <w:tc>
          <w:tcPr>
            <w:tcW w:w="1715" w:type="dxa"/>
          </w:tcPr>
          <w:p w14:paraId="621E0FC1"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89.4%</w:t>
            </w:r>
          </w:p>
        </w:tc>
        <w:tc>
          <w:tcPr>
            <w:tcW w:w="1985" w:type="dxa"/>
          </w:tcPr>
          <w:p w14:paraId="364F5520"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$0.02</w:t>
            </w:r>
          </w:p>
        </w:tc>
      </w:tr>
      <w:tr w:rsidR="00AE7AD3" w:rsidRPr="001800AC" w14:paraId="529123B7" w14:textId="77777777" w:rsidTr="00A44316">
        <w:trPr>
          <w:cnfStyle w:val="000000100000" w:firstRow="0" w:lastRow="0" w:firstColumn="0" w:lastColumn="0" w:oddVBand="0" w:evenVBand="0" w:oddHBand="1" w:evenHBand="0" w:firstRowFirstColumn="0" w:firstRowLastColumn="0" w:lastRowFirstColumn="0" w:lastRowLastColumn="0"/>
          <w:jc w:val="center"/>
        </w:trPr>
        <w:tc>
          <w:tcPr>
            <w:tcW w:w="2254" w:type="dxa"/>
          </w:tcPr>
          <w:p w14:paraId="308BEF58"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MiniMax-M3</w:t>
            </w:r>
          </w:p>
        </w:tc>
        <w:tc>
          <w:tcPr>
            <w:tcW w:w="1715" w:type="dxa"/>
          </w:tcPr>
          <w:p w14:paraId="0369C49C"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89.3%</w:t>
            </w:r>
          </w:p>
        </w:tc>
        <w:tc>
          <w:tcPr>
            <w:tcW w:w="1985" w:type="dxa"/>
          </w:tcPr>
          <w:p w14:paraId="0BA84CA6"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$0.03</w:t>
            </w:r>
          </w:p>
        </w:tc>
      </w:tr>
      <w:tr w:rsidR="00AE7AD3" w:rsidRPr="001800AC" w14:paraId="64EE5692" w14:textId="77777777" w:rsidTr="00A44316">
        <w:trPr>
          <w:jc w:val="center"/>
        </w:trPr>
        <w:tc>
          <w:tcPr>
            <w:tcW w:w="2254" w:type="dxa"/>
          </w:tcPr>
          <w:p w14:paraId="25141227"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GLM-5.2</w:t>
            </w:r>
          </w:p>
        </w:tc>
        <w:tc>
          <w:tcPr>
            <w:tcW w:w="1715" w:type="dxa"/>
          </w:tcPr>
          <w:p w14:paraId="0E092083"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88.9%</w:t>
            </w:r>
          </w:p>
        </w:tc>
        <w:tc>
          <w:tcPr>
            <w:tcW w:w="1985" w:type="dxa"/>
          </w:tcPr>
          <w:p w14:paraId="0F30F9DD"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$0.09</w:t>
            </w:r>
          </w:p>
        </w:tc>
      </w:tr>
      <w:tr w:rsidR="00AE7AD3" w:rsidRPr="001800AC" w14:paraId="5DC60BD4" w14:textId="77777777" w:rsidTr="00A44316">
        <w:trPr>
          <w:cnfStyle w:val="000000100000" w:firstRow="0" w:lastRow="0" w:firstColumn="0" w:lastColumn="0" w:oddVBand="0" w:evenVBand="0" w:oddHBand="1" w:evenHBand="0" w:firstRowFirstColumn="0" w:firstRowLastColumn="0" w:lastRowFirstColumn="0" w:lastRowLastColumn="0"/>
          <w:jc w:val="center"/>
        </w:trPr>
        <w:tc>
          <w:tcPr>
            <w:tcW w:w="2254" w:type="dxa"/>
          </w:tcPr>
          <w:p w14:paraId="267BFD3A"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Claude-Haiku-4.5</w:t>
            </w:r>
          </w:p>
        </w:tc>
        <w:tc>
          <w:tcPr>
            <w:tcW w:w="1715" w:type="dxa"/>
          </w:tcPr>
          <w:p w14:paraId="7DAE59E8"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88.6%</w:t>
            </w:r>
          </w:p>
        </w:tc>
        <w:tc>
          <w:tcPr>
            <w:tcW w:w="1985" w:type="dxa"/>
          </w:tcPr>
          <w:p w14:paraId="24BC1032"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$0.07</w:t>
            </w:r>
          </w:p>
        </w:tc>
      </w:tr>
      <w:tr w:rsidR="00AE7AD3" w:rsidRPr="001800AC" w14:paraId="45970BC6" w14:textId="77777777" w:rsidTr="00A44316">
        <w:trPr>
          <w:jc w:val="center"/>
        </w:trPr>
        <w:tc>
          <w:tcPr>
            <w:tcW w:w="2254" w:type="dxa"/>
          </w:tcPr>
          <w:p w14:paraId="11C0B0AA"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GPT-5.4-mini</w:t>
            </w:r>
          </w:p>
        </w:tc>
        <w:tc>
          <w:tcPr>
            <w:tcW w:w="1715" w:type="dxa"/>
          </w:tcPr>
          <w:p w14:paraId="28462BC5"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87.1%</w:t>
            </w:r>
          </w:p>
        </w:tc>
        <w:tc>
          <w:tcPr>
            <w:tcW w:w="1985" w:type="dxa"/>
          </w:tcPr>
          <w:p w14:paraId="2709FF62" w14:textId="77777777" w:rsidR="00AE7AD3" w:rsidRPr="00C061C3" w:rsidRDefault="00AE7AD3" w:rsidP="00C061C3">
            <w:pPr>
              <w:pStyle w:val="PlainText"/>
              <w:spacing w:after="40"/>
              <w:jc w:val="center"/>
              <w:rPr>
                <w:rFonts w:ascii="Calibri" w:hAnsi="Calibri"/>
                <w:sz w:val="22"/>
              </w:rPr>
            </w:pPr>
            <w:r w:rsidRPr="00C061C3">
              <w:rPr>
                <w:rFonts w:ascii="Calibri" w:hAnsi="Calibri"/>
                <w:sz w:val="22"/>
              </w:rPr>
              <w:t>$0.08</w:t>
            </w:r>
          </w:p>
        </w:tc>
      </w:tr>
    </w:tbl>
    <w:p w14:paraId="4EAB751C" w14:textId="4731B153" w:rsidR="00853D15" w:rsidRPr="001800AC" w:rsidRDefault="00853D15" w:rsidP="00853D15"/>
    <w:p w14:paraId="22B88645" w14:textId="77777777" w:rsidR="009F19D8" w:rsidRPr="001800AC" w:rsidRDefault="00853D15" w:rsidP="00A44316">
      <w:pPr>
        <w:ind w:firstLine="0"/>
        <w:jc w:val="center"/>
      </w:pPr>
      <w:r>
        <w:rPr>
          <w:noProof/>
        </w:rPr>
        <w:drawing>
          <wp:inline distT="0" distB="0" distL="0" distR="0" wp14:anchorId="4F7B9DFB" wp14:editId="1D178DE5">
            <wp:extent cx="4626429" cy="3049827"/>
            <wp:effectExtent l="0" t="0" r="3175" b="0"/>
            <wp:docPr id="459420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50553" cy="3065730"/>
                    </a:xfrm>
                    <a:prstGeom prst="rect">
                      <a:avLst/>
                    </a:prstGeom>
                    <a:noFill/>
                    <a:ln>
                      <a:noFill/>
                    </a:ln>
                  </pic:spPr>
                </pic:pic>
              </a:graphicData>
            </a:graphic>
          </wp:inline>
        </w:drawing>
      </w:r>
    </w:p>
    <w:p w14:paraId="1C03C967" w14:textId="77777777" w:rsidR="009F19D8" w:rsidRDefault="00000000" w:rsidP="00C061C3">
      <w:pPr>
        <w:pStyle w:val="Caption"/>
      </w:pPr>
      <w:r w:rsidRPr="005F412B">
        <w:t>Figure 3: Strict exact-match accuracy of benchmarked models on Corpus A (n=271) showing Wilson 95% confidence intervals, relative to the 41.0% rule baseline.</w:t>
      </w:r>
    </w:p>
    <w:p w14:paraId="58524112" w14:textId="77777777" w:rsidR="00853D15" w:rsidRPr="00853D15" w:rsidRDefault="00853D15" w:rsidP="00853D15"/>
    <w:p w14:paraId="66972268" w14:textId="77777777" w:rsidR="00353E40" w:rsidRDefault="002D772E" w:rsidP="00DC44B7">
      <w:r>
        <w:t>For Corpus B</w:t>
      </w:r>
      <w:r w:rsidRPr="001800AC">
        <w:t xml:space="preserve">, </w:t>
      </w:r>
      <w:r>
        <w:t>n</w:t>
      </w:r>
      <w:r w:rsidRPr="001800AC">
        <w:t xml:space="preserve">ame-only accuracy </w:t>
      </w:r>
      <w:r>
        <w:t>wa</w:t>
      </w:r>
      <w:r w:rsidRPr="001800AC">
        <w:t xml:space="preserve">s effectively zero for </w:t>
      </w:r>
      <w:r>
        <w:t xml:space="preserve">both </w:t>
      </w:r>
      <w:r w:rsidRPr="001800AC">
        <w:t>the rule baseline</w:t>
      </w:r>
      <w:r>
        <w:t xml:space="preserve"> and all LLMs, which was expected. However, the inclusion of point data </w:t>
      </w:r>
      <w:r w:rsidRPr="001800AC">
        <w:t xml:space="preserve">statistics </w:t>
      </w:r>
      <w:r>
        <w:t xml:space="preserve">increased the accuracy significantly, from </w:t>
      </w:r>
      <w:r w:rsidRPr="001800AC">
        <w:t>0% to 8%</w:t>
      </w:r>
      <w:r>
        <w:t xml:space="preserve"> for rule-based and as high as 81% strict accuracy and 92% lenient accuracy for LLMs</w:t>
      </w:r>
      <w:r w:rsidR="00DC44B7">
        <w:t>,</w:t>
      </w:r>
      <w:r>
        <w:t xml:space="preserve"> though this differed significantly </w:t>
      </w:r>
      <w:r w:rsidR="00DC44B7">
        <w:t>across models (Table 4; Figure 4)</w:t>
      </w:r>
      <w:r w:rsidR="00353E40">
        <w:t>.</w:t>
      </w:r>
    </w:p>
    <w:p w14:paraId="3BA1BEF7" w14:textId="77777777" w:rsidR="00BD6C38" w:rsidRDefault="00BD6C38" w:rsidP="00DC44B7"/>
    <w:p w14:paraId="5F833305" w14:textId="77777777" w:rsidR="00BD6C38" w:rsidRDefault="00BD6C38" w:rsidP="00DC44B7"/>
    <w:p w14:paraId="4F0FEBF0" w14:textId="77777777" w:rsidR="00641CD0" w:rsidRPr="005F412B" w:rsidRDefault="00641CD0" w:rsidP="00641CD0">
      <w:pPr>
        <w:pStyle w:val="Caption"/>
        <w:rPr>
          <w:i w:val="0"/>
          <w:iCs w:val="0"/>
        </w:rPr>
      </w:pPr>
      <w:r w:rsidRPr="005F412B">
        <w:lastRenderedPageBreak/>
        <w:t xml:space="preserve">Table </w:t>
      </w:r>
      <w:r>
        <w:t>4</w:t>
      </w:r>
      <w:r w:rsidRPr="005F412B">
        <w:t xml:space="preserve">: Corpus B, </w:t>
      </w:r>
      <w:r w:rsidRPr="00C061C3">
        <w:rPr>
          <w:rFonts w:eastAsiaTheme="minorHAnsi"/>
          <w:kern w:val="2"/>
          <w:lang w:eastAsia="en-US"/>
          <w14:ligatures w14:val="standardContextual"/>
        </w:rPr>
        <w:t>name</w:t>
      </w:r>
      <w:r w:rsidRPr="005F412B">
        <w:t xml:space="preserve"> + statistics, per model. </w:t>
      </w:r>
    </w:p>
    <w:tbl>
      <w:tblPr>
        <w:tblStyle w:val="PlainTable2"/>
        <w:tblW w:w="9016" w:type="dxa"/>
        <w:tblLayout w:type="fixed"/>
        <w:tblLook w:val="0400" w:firstRow="0" w:lastRow="0" w:firstColumn="0" w:lastColumn="0" w:noHBand="0" w:noVBand="1"/>
      </w:tblPr>
      <w:tblGrid>
        <w:gridCol w:w="2086"/>
        <w:gridCol w:w="1050"/>
        <w:gridCol w:w="1072"/>
        <w:gridCol w:w="827"/>
        <w:gridCol w:w="900"/>
        <w:gridCol w:w="900"/>
        <w:gridCol w:w="2181"/>
      </w:tblGrid>
      <w:tr w:rsidR="00641CD0" w:rsidRPr="001800AC" w14:paraId="6890D8D3"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30DB2F34"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Model</w:t>
            </w:r>
          </w:p>
        </w:tc>
        <w:tc>
          <w:tcPr>
            <w:tcW w:w="1050" w:type="dxa"/>
          </w:tcPr>
          <w:p w14:paraId="63AEAFA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Access</w:t>
            </w:r>
          </w:p>
        </w:tc>
        <w:tc>
          <w:tcPr>
            <w:tcW w:w="1072" w:type="dxa"/>
          </w:tcPr>
          <w:p w14:paraId="3F94E09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Engaged</w:t>
            </w:r>
          </w:p>
        </w:tc>
        <w:tc>
          <w:tcPr>
            <w:tcW w:w="827" w:type="dxa"/>
          </w:tcPr>
          <w:p w14:paraId="4D783182"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Best strict</w:t>
            </w:r>
          </w:p>
        </w:tc>
        <w:tc>
          <w:tcPr>
            <w:tcW w:w="900" w:type="dxa"/>
          </w:tcPr>
          <w:p w14:paraId="1710145B"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Best lenient</w:t>
            </w:r>
          </w:p>
        </w:tc>
        <w:tc>
          <w:tcPr>
            <w:tcW w:w="900" w:type="dxa"/>
          </w:tcPr>
          <w:p w14:paraId="5EE9AF8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Mean strict</w:t>
            </w:r>
          </w:p>
        </w:tc>
        <w:tc>
          <w:tcPr>
            <w:tcW w:w="2181" w:type="dxa"/>
          </w:tcPr>
          <w:p w14:paraId="45FF273B"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Behaviour</w:t>
            </w:r>
          </w:p>
        </w:tc>
      </w:tr>
      <w:tr w:rsidR="00641CD0" w:rsidRPr="001800AC" w14:paraId="18A511C0" w14:textId="77777777" w:rsidTr="004B5307">
        <w:tc>
          <w:tcPr>
            <w:tcW w:w="2086" w:type="dxa"/>
          </w:tcPr>
          <w:p w14:paraId="17DB010E" w14:textId="77777777" w:rsidR="00641CD0" w:rsidRPr="00DC44B7" w:rsidRDefault="00641CD0" w:rsidP="004B5307">
            <w:pPr>
              <w:pStyle w:val="PlainText"/>
              <w:spacing w:after="40"/>
              <w:jc w:val="center"/>
              <w:rPr>
                <w:rFonts w:ascii="Calibri" w:hAnsi="Calibri"/>
                <w:sz w:val="22"/>
              </w:rPr>
            </w:pPr>
            <w:r>
              <w:rPr>
                <w:rFonts w:ascii="Calibri" w:hAnsi="Calibri"/>
                <w:sz w:val="22"/>
              </w:rPr>
              <w:t>Rule-Based</w:t>
            </w:r>
          </w:p>
        </w:tc>
        <w:tc>
          <w:tcPr>
            <w:tcW w:w="1050" w:type="dxa"/>
          </w:tcPr>
          <w:p w14:paraId="47C426DD" w14:textId="77777777" w:rsidR="00641CD0" w:rsidRPr="00DC44B7" w:rsidRDefault="00AE7AD3" w:rsidP="004B5307">
            <w:pPr>
              <w:pStyle w:val="PlainText"/>
              <w:spacing w:after="40"/>
              <w:jc w:val="center"/>
              <w:rPr>
                <w:rFonts w:ascii="Calibri" w:hAnsi="Calibri"/>
                <w:sz w:val="22"/>
              </w:rPr>
            </w:pPr>
            <w:r>
              <w:rPr>
                <w:rFonts w:ascii="Calibri" w:hAnsi="Calibri"/>
                <w:sz w:val="22"/>
              </w:rPr>
              <w:t>o</w:t>
            </w:r>
            <w:r w:rsidR="00641CD0">
              <w:rPr>
                <w:rFonts w:ascii="Calibri" w:hAnsi="Calibri"/>
                <w:sz w:val="22"/>
              </w:rPr>
              <w:t>pen</w:t>
            </w:r>
          </w:p>
        </w:tc>
        <w:tc>
          <w:tcPr>
            <w:tcW w:w="1072" w:type="dxa"/>
          </w:tcPr>
          <w:p w14:paraId="4B13CFA4" w14:textId="77777777" w:rsidR="00641CD0" w:rsidRPr="00DC44B7" w:rsidRDefault="00DD0E1E" w:rsidP="004B5307">
            <w:pPr>
              <w:pStyle w:val="PlainText"/>
              <w:spacing w:after="40"/>
              <w:jc w:val="center"/>
              <w:rPr>
                <w:rFonts w:ascii="Calibri" w:hAnsi="Calibri"/>
                <w:sz w:val="22"/>
              </w:rPr>
            </w:pPr>
            <w:r>
              <w:rPr>
                <w:rFonts w:ascii="Calibri" w:hAnsi="Calibri"/>
                <w:sz w:val="22"/>
              </w:rPr>
              <w:t>4/4</w:t>
            </w:r>
          </w:p>
        </w:tc>
        <w:tc>
          <w:tcPr>
            <w:tcW w:w="827" w:type="dxa"/>
          </w:tcPr>
          <w:p w14:paraId="52119ADF" w14:textId="77777777" w:rsidR="00641CD0" w:rsidRPr="00DC44B7" w:rsidRDefault="00641CD0" w:rsidP="004B5307">
            <w:pPr>
              <w:pStyle w:val="PlainText"/>
              <w:spacing w:after="40"/>
              <w:jc w:val="center"/>
              <w:rPr>
                <w:rFonts w:ascii="Calibri" w:hAnsi="Calibri"/>
                <w:sz w:val="22"/>
              </w:rPr>
            </w:pPr>
            <w:r>
              <w:rPr>
                <w:rFonts w:ascii="Calibri" w:hAnsi="Calibri"/>
                <w:sz w:val="22"/>
              </w:rPr>
              <w:t>8%</w:t>
            </w:r>
          </w:p>
        </w:tc>
        <w:tc>
          <w:tcPr>
            <w:tcW w:w="900" w:type="dxa"/>
          </w:tcPr>
          <w:p w14:paraId="086F441E" w14:textId="77777777" w:rsidR="00641CD0" w:rsidRPr="00DC44B7" w:rsidRDefault="00610741" w:rsidP="004B5307">
            <w:pPr>
              <w:pStyle w:val="PlainText"/>
              <w:spacing w:after="40"/>
              <w:jc w:val="center"/>
              <w:rPr>
                <w:rFonts w:ascii="Calibri" w:hAnsi="Calibri"/>
                <w:sz w:val="22"/>
              </w:rPr>
            </w:pPr>
            <w:r>
              <w:rPr>
                <w:rFonts w:ascii="Calibri" w:hAnsi="Calibri"/>
                <w:sz w:val="22"/>
              </w:rPr>
              <w:t>8%</w:t>
            </w:r>
          </w:p>
        </w:tc>
        <w:tc>
          <w:tcPr>
            <w:tcW w:w="900" w:type="dxa"/>
          </w:tcPr>
          <w:p w14:paraId="2F94E3FA" w14:textId="77777777" w:rsidR="00641CD0" w:rsidRPr="00DC44B7" w:rsidRDefault="00641CD0" w:rsidP="004B5307">
            <w:pPr>
              <w:pStyle w:val="PlainText"/>
              <w:spacing w:after="40"/>
              <w:jc w:val="center"/>
              <w:rPr>
                <w:rFonts w:ascii="Calibri" w:hAnsi="Calibri"/>
                <w:sz w:val="22"/>
              </w:rPr>
            </w:pPr>
            <w:r>
              <w:rPr>
                <w:rFonts w:ascii="Calibri" w:hAnsi="Calibri"/>
                <w:sz w:val="22"/>
              </w:rPr>
              <w:t>8%</w:t>
            </w:r>
          </w:p>
        </w:tc>
        <w:tc>
          <w:tcPr>
            <w:tcW w:w="2181" w:type="dxa"/>
          </w:tcPr>
          <w:p w14:paraId="7DFAC6AF" w14:textId="77777777" w:rsidR="00641CD0" w:rsidRPr="00DC44B7" w:rsidRDefault="00DD0E1E" w:rsidP="004B5307">
            <w:pPr>
              <w:pStyle w:val="PlainText"/>
              <w:spacing w:after="40"/>
              <w:jc w:val="center"/>
              <w:rPr>
                <w:rFonts w:ascii="Calibri" w:hAnsi="Calibri"/>
                <w:sz w:val="22"/>
              </w:rPr>
            </w:pPr>
            <w:r>
              <w:rPr>
                <w:rFonts w:ascii="Calibri" w:hAnsi="Calibri"/>
                <w:sz w:val="22"/>
              </w:rPr>
              <w:t>stable engage</w:t>
            </w:r>
          </w:p>
        </w:tc>
      </w:tr>
      <w:tr w:rsidR="00641CD0" w:rsidRPr="001800AC" w14:paraId="05077504"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0FA6B511"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GPT-5.5</w:t>
            </w:r>
          </w:p>
        </w:tc>
        <w:tc>
          <w:tcPr>
            <w:tcW w:w="1050" w:type="dxa"/>
          </w:tcPr>
          <w:p w14:paraId="097CF724"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closed</w:t>
            </w:r>
          </w:p>
        </w:tc>
        <w:tc>
          <w:tcPr>
            <w:tcW w:w="1072" w:type="dxa"/>
          </w:tcPr>
          <w:p w14:paraId="1A21C8C4"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4/4</w:t>
            </w:r>
          </w:p>
        </w:tc>
        <w:tc>
          <w:tcPr>
            <w:tcW w:w="827" w:type="dxa"/>
          </w:tcPr>
          <w:p w14:paraId="1D1FD2E2"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81%</w:t>
            </w:r>
          </w:p>
        </w:tc>
        <w:tc>
          <w:tcPr>
            <w:tcW w:w="900" w:type="dxa"/>
          </w:tcPr>
          <w:p w14:paraId="68E9ED1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92%</w:t>
            </w:r>
          </w:p>
        </w:tc>
        <w:tc>
          <w:tcPr>
            <w:tcW w:w="900" w:type="dxa"/>
          </w:tcPr>
          <w:p w14:paraId="713A302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67%</w:t>
            </w:r>
          </w:p>
        </w:tc>
        <w:tc>
          <w:tcPr>
            <w:tcW w:w="2181" w:type="dxa"/>
          </w:tcPr>
          <w:p w14:paraId="6057027E"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engage</w:t>
            </w:r>
          </w:p>
        </w:tc>
      </w:tr>
      <w:tr w:rsidR="00641CD0" w:rsidRPr="001800AC" w14:paraId="09F255FD" w14:textId="77777777" w:rsidTr="004B5307">
        <w:tc>
          <w:tcPr>
            <w:tcW w:w="2086" w:type="dxa"/>
          </w:tcPr>
          <w:p w14:paraId="0A20DABF"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Gemini-3.5-Flash</w:t>
            </w:r>
          </w:p>
        </w:tc>
        <w:tc>
          <w:tcPr>
            <w:tcW w:w="1050" w:type="dxa"/>
          </w:tcPr>
          <w:p w14:paraId="29747F05"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closed</w:t>
            </w:r>
          </w:p>
        </w:tc>
        <w:tc>
          <w:tcPr>
            <w:tcW w:w="1072" w:type="dxa"/>
          </w:tcPr>
          <w:p w14:paraId="7539AE0B"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5/5</w:t>
            </w:r>
          </w:p>
        </w:tc>
        <w:tc>
          <w:tcPr>
            <w:tcW w:w="827" w:type="dxa"/>
          </w:tcPr>
          <w:p w14:paraId="40D6C3E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75%</w:t>
            </w:r>
          </w:p>
        </w:tc>
        <w:tc>
          <w:tcPr>
            <w:tcW w:w="900" w:type="dxa"/>
          </w:tcPr>
          <w:p w14:paraId="0A270C2E"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86%</w:t>
            </w:r>
          </w:p>
        </w:tc>
        <w:tc>
          <w:tcPr>
            <w:tcW w:w="900" w:type="dxa"/>
          </w:tcPr>
          <w:p w14:paraId="170AF33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72%</w:t>
            </w:r>
          </w:p>
        </w:tc>
        <w:tc>
          <w:tcPr>
            <w:tcW w:w="2181" w:type="dxa"/>
          </w:tcPr>
          <w:p w14:paraId="1A2148CB"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engage</w:t>
            </w:r>
          </w:p>
        </w:tc>
      </w:tr>
      <w:tr w:rsidR="00641CD0" w:rsidRPr="001800AC" w14:paraId="04CF7D73"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30D96DE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DeepSeek-V4-Pro</w:t>
            </w:r>
          </w:p>
        </w:tc>
        <w:tc>
          <w:tcPr>
            <w:tcW w:w="1050" w:type="dxa"/>
          </w:tcPr>
          <w:p w14:paraId="205A0A1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open</w:t>
            </w:r>
          </w:p>
        </w:tc>
        <w:tc>
          <w:tcPr>
            <w:tcW w:w="1072" w:type="dxa"/>
          </w:tcPr>
          <w:p w14:paraId="3941DFA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8/8</w:t>
            </w:r>
          </w:p>
        </w:tc>
        <w:tc>
          <w:tcPr>
            <w:tcW w:w="827" w:type="dxa"/>
          </w:tcPr>
          <w:p w14:paraId="2F2E1EE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64%</w:t>
            </w:r>
          </w:p>
        </w:tc>
        <w:tc>
          <w:tcPr>
            <w:tcW w:w="900" w:type="dxa"/>
          </w:tcPr>
          <w:p w14:paraId="17653D5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75%</w:t>
            </w:r>
          </w:p>
        </w:tc>
        <w:tc>
          <w:tcPr>
            <w:tcW w:w="900" w:type="dxa"/>
          </w:tcPr>
          <w:p w14:paraId="21EF2B3E"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35%</w:t>
            </w:r>
          </w:p>
        </w:tc>
        <w:tc>
          <w:tcPr>
            <w:tcW w:w="2181" w:type="dxa"/>
          </w:tcPr>
          <w:p w14:paraId="6F5AADEE"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engage</w:t>
            </w:r>
          </w:p>
        </w:tc>
      </w:tr>
      <w:tr w:rsidR="00641CD0" w:rsidRPr="001800AC" w14:paraId="019F811F" w14:textId="77777777" w:rsidTr="004B5307">
        <w:tc>
          <w:tcPr>
            <w:tcW w:w="2086" w:type="dxa"/>
          </w:tcPr>
          <w:p w14:paraId="270C4D2A"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Claude-Opus-4.8</w:t>
            </w:r>
          </w:p>
        </w:tc>
        <w:tc>
          <w:tcPr>
            <w:tcW w:w="1050" w:type="dxa"/>
          </w:tcPr>
          <w:p w14:paraId="1DF91A6E"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closed</w:t>
            </w:r>
          </w:p>
        </w:tc>
        <w:tc>
          <w:tcPr>
            <w:tcW w:w="1072" w:type="dxa"/>
          </w:tcPr>
          <w:p w14:paraId="78779D16"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4/4</w:t>
            </w:r>
          </w:p>
        </w:tc>
        <w:tc>
          <w:tcPr>
            <w:tcW w:w="827" w:type="dxa"/>
          </w:tcPr>
          <w:p w14:paraId="1FD25ED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47%</w:t>
            </w:r>
          </w:p>
        </w:tc>
        <w:tc>
          <w:tcPr>
            <w:tcW w:w="900" w:type="dxa"/>
          </w:tcPr>
          <w:p w14:paraId="648E002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58%</w:t>
            </w:r>
          </w:p>
        </w:tc>
        <w:tc>
          <w:tcPr>
            <w:tcW w:w="900" w:type="dxa"/>
          </w:tcPr>
          <w:p w14:paraId="36A8B70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35%</w:t>
            </w:r>
          </w:p>
        </w:tc>
        <w:tc>
          <w:tcPr>
            <w:tcW w:w="2181" w:type="dxa"/>
          </w:tcPr>
          <w:p w14:paraId="01825FB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engage</w:t>
            </w:r>
          </w:p>
        </w:tc>
      </w:tr>
      <w:tr w:rsidR="00641CD0" w:rsidRPr="001800AC" w14:paraId="68EE9C1A"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5F29433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DeepSeek-V4-Flash</w:t>
            </w:r>
          </w:p>
        </w:tc>
        <w:tc>
          <w:tcPr>
            <w:tcW w:w="1050" w:type="dxa"/>
          </w:tcPr>
          <w:p w14:paraId="4D04D98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open</w:t>
            </w:r>
          </w:p>
        </w:tc>
        <w:tc>
          <w:tcPr>
            <w:tcW w:w="1072" w:type="dxa"/>
          </w:tcPr>
          <w:p w14:paraId="4E1AE0C5"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5/5</w:t>
            </w:r>
          </w:p>
        </w:tc>
        <w:tc>
          <w:tcPr>
            <w:tcW w:w="827" w:type="dxa"/>
          </w:tcPr>
          <w:p w14:paraId="782DCAA4"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47%</w:t>
            </w:r>
          </w:p>
        </w:tc>
        <w:tc>
          <w:tcPr>
            <w:tcW w:w="900" w:type="dxa"/>
          </w:tcPr>
          <w:p w14:paraId="0FC3F70F"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58%</w:t>
            </w:r>
          </w:p>
        </w:tc>
        <w:tc>
          <w:tcPr>
            <w:tcW w:w="900" w:type="dxa"/>
          </w:tcPr>
          <w:p w14:paraId="6BE9A921"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29%</w:t>
            </w:r>
          </w:p>
        </w:tc>
        <w:tc>
          <w:tcPr>
            <w:tcW w:w="2181" w:type="dxa"/>
          </w:tcPr>
          <w:p w14:paraId="7E0A370B"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engage</w:t>
            </w:r>
          </w:p>
        </w:tc>
      </w:tr>
      <w:tr w:rsidR="00641CD0" w:rsidRPr="001800AC" w14:paraId="4E3ED02B" w14:textId="77777777" w:rsidTr="004B5307">
        <w:tc>
          <w:tcPr>
            <w:tcW w:w="2086" w:type="dxa"/>
          </w:tcPr>
          <w:p w14:paraId="24E77C12"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GPT-5.4-mini</w:t>
            </w:r>
          </w:p>
        </w:tc>
        <w:tc>
          <w:tcPr>
            <w:tcW w:w="1050" w:type="dxa"/>
          </w:tcPr>
          <w:p w14:paraId="5F8F843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closed</w:t>
            </w:r>
          </w:p>
        </w:tc>
        <w:tc>
          <w:tcPr>
            <w:tcW w:w="1072" w:type="dxa"/>
          </w:tcPr>
          <w:p w14:paraId="1FD055B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3/3</w:t>
            </w:r>
          </w:p>
        </w:tc>
        <w:tc>
          <w:tcPr>
            <w:tcW w:w="827" w:type="dxa"/>
          </w:tcPr>
          <w:p w14:paraId="1674897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31%</w:t>
            </w:r>
          </w:p>
        </w:tc>
        <w:tc>
          <w:tcPr>
            <w:tcW w:w="900" w:type="dxa"/>
          </w:tcPr>
          <w:p w14:paraId="0FC9B6F4"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42%</w:t>
            </w:r>
          </w:p>
        </w:tc>
        <w:tc>
          <w:tcPr>
            <w:tcW w:w="900" w:type="dxa"/>
          </w:tcPr>
          <w:p w14:paraId="487C6EA1"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22%</w:t>
            </w:r>
          </w:p>
        </w:tc>
        <w:tc>
          <w:tcPr>
            <w:tcW w:w="2181" w:type="dxa"/>
          </w:tcPr>
          <w:p w14:paraId="68ACF4F8"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engage</w:t>
            </w:r>
          </w:p>
        </w:tc>
      </w:tr>
      <w:tr w:rsidR="00641CD0" w:rsidRPr="001800AC" w14:paraId="5D5F940F"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5AC4E80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Claude-Haiku-4.5</w:t>
            </w:r>
          </w:p>
        </w:tc>
        <w:tc>
          <w:tcPr>
            <w:tcW w:w="1050" w:type="dxa"/>
          </w:tcPr>
          <w:p w14:paraId="4F06F9D0"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closed</w:t>
            </w:r>
          </w:p>
        </w:tc>
        <w:tc>
          <w:tcPr>
            <w:tcW w:w="1072" w:type="dxa"/>
          </w:tcPr>
          <w:p w14:paraId="59AA782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4/4</w:t>
            </w:r>
          </w:p>
        </w:tc>
        <w:tc>
          <w:tcPr>
            <w:tcW w:w="827" w:type="dxa"/>
          </w:tcPr>
          <w:p w14:paraId="7BD056F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17%</w:t>
            </w:r>
          </w:p>
        </w:tc>
        <w:tc>
          <w:tcPr>
            <w:tcW w:w="900" w:type="dxa"/>
          </w:tcPr>
          <w:p w14:paraId="02A54A0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28%</w:t>
            </w:r>
          </w:p>
        </w:tc>
        <w:tc>
          <w:tcPr>
            <w:tcW w:w="900" w:type="dxa"/>
          </w:tcPr>
          <w:p w14:paraId="1A15B19B"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15%</w:t>
            </w:r>
          </w:p>
        </w:tc>
        <w:tc>
          <w:tcPr>
            <w:tcW w:w="2181" w:type="dxa"/>
          </w:tcPr>
          <w:p w14:paraId="4D4B509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engage</w:t>
            </w:r>
          </w:p>
        </w:tc>
      </w:tr>
      <w:tr w:rsidR="00641CD0" w:rsidRPr="001800AC" w14:paraId="76063A77" w14:textId="77777777" w:rsidTr="004B5307">
        <w:tc>
          <w:tcPr>
            <w:tcW w:w="2086" w:type="dxa"/>
          </w:tcPr>
          <w:p w14:paraId="36BFF02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GLM-5.2</w:t>
            </w:r>
          </w:p>
        </w:tc>
        <w:tc>
          <w:tcPr>
            <w:tcW w:w="1050" w:type="dxa"/>
          </w:tcPr>
          <w:p w14:paraId="7C6D90F6"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open</w:t>
            </w:r>
          </w:p>
        </w:tc>
        <w:tc>
          <w:tcPr>
            <w:tcW w:w="1072" w:type="dxa"/>
          </w:tcPr>
          <w:p w14:paraId="125F2A6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3/4</w:t>
            </w:r>
          </w:p>
        </w:tc>
        <w:tc>
          <w:tcPr>
            <w:tcW w:w="827" w:type="dxa"/>
          </w:tcPr>
          <w:p w14:paraId="67EB513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64%</w:t>
            </w:r>
          </w:p>
        </w:tc>
        <w:tc>
          <w:tcPr>
            <w:tcW w:w="900" w:type="dxa"/>
          </w:tcPr>
          <w:p w14:paraId="49979EF8"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75%</w:t>
            </w:r>
          </w:p>
        </w:tc>
        <w:tc>
          <w:tcPr>
            <w:tcW w:w="900" w:type="dxa"/>
          </w:tcPr>
          <w:p w14:paraId="58BA70D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56%</w:t>
            </w:r>
          </w:p>
        </w:tc>
        <w:tc>
          <w:tcPr>
            <w:tcW w:w="2181" w:type="dxa"/>
          </w:tcPr>
          <w:p w14:paraId="03873B9A"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bimodal</w:t>
            </w:r>
          </w:p>
        </w:tc>
      </w:tr>
      <w:tr w:rsidR="00641CD0" w:rsidRPr="001800AC" w14:paraId="0902976F"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67FDD7E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Kimi-K2.7</w:t>
            </w:r>
          </w:p>
        </w:tc>
        <w:tc>
          <w:tcPr>
            <w:tcW w:w="1050" w:type="dxa"/>
          </w:tcPr>
          <w:p w14:paraId="105159C5"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open</w:t>
            </w:r>
          </w:p>
        </w:tc>
        <w:tc>
          <w:tcPr>
            <w:tcW w:w="1072" w:type="dxa"/>
          </w:tcPr>
          <w:p w14:paraId="1BED96A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1/7</w:t>
            </w:r>
          </w:p>
        </w:tc>
        <w:tc>
          <w:tcPr>
            <w:tcW w:w="827" w:type="dxa"/>
          </w:tcPr>
          <w:p w14:paraId="04B99EC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56%</w:t>
            </w:r>
          </w:p>
        </w:tc>
        <w:tc>
          <w:tcPr>
            <w:tcW w:w="900" w:type="dxa"/>
          </w:tcPr>
          <w:p w14:paraId="600DC3EF"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67%</w:t>
            </w:r>
          </w:p>
        </w:tc>
        <w:tc>
          <w:tcPr>
            <w:tcW w:w="900" w:type="dxa"/>
          </w:tcPr>
          <w:p w14:paraId="0B22A12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56%</w:t>
            </w:r>
          </w:p>
        </w:tc>
        <w:tc>
          <w:tcPr>
            <w:tcW w:w="2181" w:type="dxa"/>
          </w:tcPr>
          <w:p w14:paraId="4A8C721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bimodal</w:t>
            </w:r>
          </w:p>
        </w:tc>
      </w:tr>
      <w:tr w:rsidR="00641CD0" w:rsidRPr="001800AC" w14:paraId="0F4E8CE2" w14:textId="77777777" w:rsidTr="004B5307">
        <w:tc>
          <w:tcPr>
            <w:tcW w:w="2086" w:type="dxa"/>
          </w:tcPr>
          <w:p w14:paraId="43782915"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MiniMax-M3</w:t>
            </w:r>
          </w:p>
        </w:tc>
        <w:tc>
          <w:tcPr>
            <w:tcW w:w="1050" w:type="dxa"/>
          </w:tcPr>
          <w:p w14:paraId="73CCE776"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open</w:t>
            </w:r>
          </w:p>
        </w:tc>
        <w:tc>
          <w:tcPr>
            <w:tcW w:w="1072" w:type="dxa"/>
          </w:tcPr>
          <w:p w14:paraId="16D89C18"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1/4</w:t>
            </w:r>
          </w:p>
        </w:tc>
        <w:tc>
          <w:tcPr>
            <w:tcW w:w="827" w:type="dxa"/>
          </w:tcPr>
          <w:p w14:paraId="0EE912DF"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53%</w:t>
            </w:r>
          </w:p>
        </w:tc>
        <w:tc>
          <w:tcPr>
            <w:tcW w:w="900" w:type="dxa"/>
          </w:tcPr>
          <w:p w14:paraId="1E85B9C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64%</w:t>
            </w:r>
          </w:p>
        </w:tc>
        <w:tc>
          <w:tcPr>
            <w:tcW w:w="900" w:type="dxa"/>
          </w:tcPr>
          <w:p w14:paraId="0B359736"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53%</w:t>
            </w:r>
          </w:p>
        </w:tc>
        <w:tc>
          <w:tcPr>
            <w:tcW w:w="2181" w:type="dxa"/>
          </w:tcPr>
          <w:p w14:paraId="21F6ACC4"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 xml:space="preserve">bimodal </w:t>
            </w:r>
          </w:p>
        </w:tc>
      </w:tr>
      <w:tr w:rsidR="00641CD0" w:rsidRPr="001800AC" w14:paraId="3DEA14E9"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537F7DF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Qwen3.7-Plus</w:t>
            </w:r>
          </w:p>
        </w:tc>
        <w:tc>
          <w:tcPr>
            <w:tcW w:w="1050" w:type="dxa"/>
          </w:tcPr>
          <w:p w14:paraId="5D111C1D"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open</w:t>
            </w:r>
          </w:p>
        </w:tc>
        <w:tc>
          <w:tcPr>
            <w:tcW w:w="1072" w:type="dxa"/>
          </w:tcPr>
          <w:p w14:paraId="74707021"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1/4</w:t>
            </w:r>
          </w:p>
        </w:tc>
        <w:tc>
          <w:tcPr>
            <w:tcW w:w="827" w:type="dxa"/>
          </w:tcPr>
          <w:p w14:paraId="188A9BE6"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25%</w:t>
            </w:r>
          </w:p>
        </w:tc>
        <w:tc>
          <w:tcPr>
            <w:tcW w:w="900" w:type="dxa"/>
          </w:tcPr>
          <w:p w14:paraId="188B8E6A"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36%</w:t>
            </w:r>
          </w:p>
        </w:tc>
        <w:tc>
          <w:tcPr>
            <w:tcW w:w="900" w:type="dxa"/>
          </w:tcPr>
          <w:p w14:paraId="3CE3336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25%</w:t>
            </w:r>
          </w:p>
        </w:tc>
        <w:tc>
          <w:tcPr>
            <w:tcW w:w="2181" w:type="dxa"/>
          </w:tcPr>
          <w:p w14:paraId="7337C76A"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bimodal</w:t>
            </w:r>
          </w:p>
        </w:tc>
      </w:tr>
      <w:tr w:rsidR="00641CD0" w:rsidRPr="001800AC" w14:paraId="51525EB2" w14:textId="77777777" w:rsidTr="004B5307">
        <w:tc>
          <w:tcPr>
            <w:tcW w:w="2086" w:type="dxa"/>
          </w:tcPr>
          <w:p w14:paraId="5830FB98"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MiMo-v2.5-Pro</w:t>
            </w:r>
          </w:p>
        </w:tc>
        <w:tc>
          <w:tcPr>
            <w:tcW w:w="1050" w:type="dxa"/>
          </w:tcPr>
          <w:p w14:paraId="6A30E4F6"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open</w:t>
            </w:r>
          </w:p>
        </w:tc>
        <w:tc>
          <w:tcPr>
            <w:tcW w:w="1072" w:type="dxa"/>
          </w:tcPr>
          <w:p w14:paraId="70CC9D0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2/4</w:t>
            </w:r>
          </w:p>
        </w:tc>
        <w:tc>
          <w:tcPr>
            <w:tcW w:w="827" w:type="dxa"/>
          </w:tcPr>
          <w:p w14:paraId="74B16325"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22%</w:t>
            </w:r>
          </w:p>
        </w:tc>
        <w:tc>
          <w:tcPr>
            <w:tcW w:w="900" w:type="dxa"/>
          </w:tcPr>
          <w:p w14:paraId="54356C7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33%</w:t>
            </w:r>
          </w:p>
        </w:tc>
        <w:tc>
          <w:tcPr>
            <w:tcW w:w="900" w:type="dxa"/>
          </w:tcPr>
          <w:p w14:paraId="208EEBF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22%</w:t>
            </w:r>
          </w:p>
        </w:tc>
        <w:tc>
          <w:tcPr>
            <w:tcW w:w="2181" w:type="dxa"/>
          </w:tcPr>
          <w:p w14:paraId="25FF61A9"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bimodal</w:t>
            </w:r>
          </w:p>
        </w:tc>
      </w:tr>
      <w:tr w:rsidR="00641CD0" w:rsidRPr="001800AC" w14:paraId="277BF74B" w14:textId="77777777" w:rsidTr="004B5307">
        <w:trPr>
          <w:cnfStyle w:val="000000100000" w:firstRow="0" w:lastRow="0" w:firstColumn="0" w:lastColumn="0" w:oddVBand="0" w:evenVBand="0" w:oddHBand="1" w:evenHBand="0" w:firstRowFirstColumn="0" w:firstRowLastColumn="0" w:lastRowFirstColumn="0" w:lastRowLastColumn="0"/>
        </w:trPr>
        <w:tc>
          <w:tcPr>
            <w:tcW w:w="2086" w:type="dxa"/>
          </w:tcPr>
          <w:p w14:paraId="6007A562"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Grok-4.3</w:t>
            </w:r>
          </w:p>
        </w:tc>
        <w:tc>
          <w:tcPr>
            <w:tcW w:w="1050" w:type="dxa"/>
          </w:tcPr>
          <w:p w14:paraId="20608ED3"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closed</w:t>
            </w:r>
          </w:p>
        </w:tc>
        <w:tc>
          <w:tcPr>
            <w:tcW w:w="1072" w:type="dxa"/>
          </w:tcPr>
          <w:p w14:paraId="3353EF8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0/6</w:t>
            </w:r>
          </w:p>
        </w:tc>
        <w:tc>
          <w:tcPr>
            <w:tcW w:w="827" w:type="dxa"/>
          </w:tcPr>
          <w:p w14:paraId="36199ED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w:t>
            </w:r>
          </w:p>
        </w:tc>
        <w:tc>
          <w:tcPr>
            <w:tcW w:w="900" w:type="dxa"/>
          </w:tcPr>
          <w:p w14:paraId="0FF01EF7"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w:t>
            </w:r>
          </w:p>
        </w:tc>
        <w:tc>
          <w:tcPr>
            <w:tcW w:w="900" w:type="dxa"/>
          </w:tcPr>
          <w:p w14:paraId="09E09052"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w:t>
            </w:r>
          </w:p>
        </w:tc>
        <w:tc>
          <w:tcPr>
            <w:tcW w:w="2181" w:type="dxa"/>
          </w:tcPr>
          <w:p w14:paraId="070D622C" w14:textId="77777777" w:rsidR="00641CD0" w:rsidRPr="004B5307" w:rsidRDefault="00641CD0" w:rsidP="004B5307">
            <w:pPr>
              <w:pStyle w:val="PlainText"/>
              <w:spacing w:after="40"/>
              <w:jc w:val="center"/>
              <w:rPr>
                <w:rFonts w:ascii="Calibri" w:hAnsi="Calibri"/>
                <w:sz w:val="22"/>
              </w:rPr>
            </w:pPr>
            <w:r w:rsidRPr="004B5307">
              <w:rPr>
                <w:rFonts w:ascii="Calibri" w:hAnsi="Calibri"/>
                <w:sz w:val="22"/>
              </w:rPr>
              <w:t>stable refuse</w:t>
            </w:r>
          </w:p>
        </w:tc>
      </w:tr>
    </w:tbl>
    <w:p w14:paraId="59CAD2C2" w14:textId="77777777" w:rsidR="00641CD0" w:rsidRDefault="00641CD0" w:rsidP="00641CD0">
      <w:pPr>
        <w:jc w:val="center"/>
      </w:pPr>
    </w:p>
    <w:p w14:paraId="55044680" w14:textId="77777777" w:rsidR="00641CD0" w:rsidRPr="001800AC" w:rsidRDefault="00641CD0" w:rsidP="00641CD0">
      <w:pPr>
        <w:jc w:val="center"/>
      </w:pPr>
      <w:r w:rsidRPr="005F412B">
        <w:rPr>
          <w:noProof/>
        </w:rPr>
        <w:drawing>
          <wp:inline distT="0" distB="0" distL="0" distR="0" wp14:anchorId="7B5B0D73" wp14:editId="6753BB11">
            <wp:extent cx="4267427" cy="2823045"/>
            <wp:effectExtent l="0" t="0" r="0" b="0"/>
            <wp:docPr id="1264074976" name="image1.png" descr="The diagram is a bar chart showing the accuracy percentages of various AI models, with Claude-Opus-4.8 and DeepSeek-V4-Pro having the highest at 100%, followed by others ranging from 22% to 0%.&#10;&#10;AI-generated content may be incorrect."/>
            <wp:cNvGraphicFramePr/>
            <a:graphic xmlns:a="http://schemas.openxmlformats.org/drawingml/2006/main">
              <a:graphicData uri="http://schemas.openxmlformats.org/drawingml/2006/picture">
                <pic:pic xmlns:pic="http://schemas.openxmlformats.org/drawingml/2006/picture">
                  <pic:nvPicPr>
                    <pic:cNvPr id="1264074976" name="image1.png" descr="The diagram is a bar chart showing the accuracy percentages of various AI models, with Claude-Opus-4.8 and DeepSeek-V4-Pro having the highest at 100%, followed by others ranging from 22% to 0%.&#10;&#10;AI-generated content may be incorrect."/>
                    <pic:cNvPicPr preferRelativeResize="0"/>
                  </pic:nvPicPr>
                  <pic:blipFill>
                    <a:blip r:embed="rId13"/>
                    <a:srcRect/>
                    <a:stretch>
                      <a:fillRect/>
                    </a:stretch>
                  </pic:blipFill>
                  <pic:spPr>
                    <a:xfrm>
                      <a:off x="0" y="0"/>
                      <a:ext cx="4267427" cy="2823045"/>
                    </a:xfrm>
                    <a:prstGeom prst="rect">
                      <a:avLst/>
                    </a:prstGeom>
                    <a:ln/>
                  </pic:spPr>
                </pic:pic>
              </a:graphicData>
            </a:graphic>
          </wp:inline>
        </w:drawing>
      </w:r>
    </w:p>
    <w:p w14:paraId="2011772A" w14:textId="77777777" w:rsidR="00641CD0" w:rsidRPr="005F412B" w:rsidRDefault="00641CD0" w:rsidP="00641CD0">
      <w:pPr>
        <w:pStyle w:val="Caption"/>
      </w:pPr>
      <w:r w:rsidRPr="005F412B">
        <w:t xml:space="preserve">Figure 4: </w:t>
      </w:r>
      <w:r>
        <w:t>B</w:t>
      </w:r>
      <w:r w:rsidRPr="005F412B">
        <w:t xml:space="preserve">est and mean strict exact-match accuracies (n=36 mappable columns) alongside engagement rates on Corpus B </w:t>
      </w:r>
    </w:p>
    <w:p w14:paraId="591557DB" w14:textId="77777777" w:rsidR="009F19D8" w:rsidRPr="001800AC" w:rsidRDefault="00000000" w:rsidP="001800AC">
      <w:r w:rsidRPr="001800AC">
        <w:t xml:space="preserve">Among the models that engage, best-run strict accuracy ranges from 17% (Haiku) to 81% (GPT-5.5), with lenient scoring adding an average of 11% across models. Within-model variance is large: DeepSeek-V4-Pro reaches 64% on its best run but averages 35% over its engaged runs, we report both. </w:t>
      </w:r>
      <w:r w:rsidR="00DD0E1E">
        <w:t xml:space="preserve">The higher reasoning setting produced no evidence of improvement. In single-run spot checks, DeepSeek-V4-Flash correctly mapped one of the 36 mappable columns at its highest setting, within the range it already spans at its default setting, and Grok-4.3 returned UNMAPPED for every column at both settings. These checks were not a systematic sweep and cannot separate a reasoning effect from the within-model variance reported above; they provide only limited evidence, but none </w:t>
      </w:r>
      <w:r w:rsidR="00DD0E1E">
        <w:lastRenderedPageBreak/>
        <w:t>of it supports the claim that additional reasoning improves performance here.</w:t>
      </w:r>
      <w:r w:rsidRPr="001800AC">
        <w:t xml:space="preserve"> For </w:t>
      </w:r>
      <w:r w:rsidR="00DD0E1E">
        <w:t>non-descriptive</w:t>
      </w:r>
      <w:r w:rsidR="00DD0E1E" w:rsidRPr="001800AC">
        <w:t xml:space="preserve"> </w:t>
      </w:r>
      <w:r w:rsidRPr="001800AC">
        <w:t xml:space="preserve">names as for </w:t>
      </w:r>
      <w:r w:rsidR="00DD0E1E">
        <w:t>human-</w:t>
      </w:r>
      <w:r w:rsidRPr="001800AC">
        <w:t>readable ones</w:t>
      </w:r>
      <w:r w:rsidR="00DD0E1E">
        <w:t>, the evidence base remains the best investment, rather than increased reasoning or computational cost</w:t>
      </w:r>
      <w:r w:rsidRPr="001800AC">
        <w:t>.</w:t>
      </w:r>
    </w:p>
    <w:p w14:paraId="22D83EFB" w14:textId="77777777" w:rsidR="009F19D8" w:rsidRDefault="00000000" w:rsidP="001800AC">
      <w:r w:rsidRPr="001800AC">
        <w:t>Precision on the 18 out-of-scope columns is preserved by the strong engagers. GPT-5.5 keeps all 18 out-of-scope columns as UNMAPPED while still mapping well. Kimi-K2.7 does the same, though in only one engaged run of seven, so that result should be read cautiously. Gemini, DeepSeek-V4-Flash, and GLM mis-map two or three. Grok-4.3 is the limiting case: in every retained run, at both the default and the highest reasoning setting, it returned UNMAPPED for all 54 columns and declined the task outright. For on-premises use, the DeepSeek family are the reliable open-weight engagers</w:t>
      </w:r>
      <w:r w:rsidR="00353E40">
        <w:t xml:space="preserve"> while the</w:t>
      </w:r>
      <w:r w:rsidRPr="001800AC">
        <w:t xml:space="preserve"> other open models are bimodal. </w:t>
      </w:r>
    </w:p>
    <w:p w14:paraId="5CF4F587" w14:textId="77777777" w:rsidR="00641CD0" w:rsidRPr="001800AC" w:rsidRDefault="00641CD0" w:rsidP="001800AC"/>
    <w:p w14:paraId="3C7C2DC9" w14:textId="77777777" w:rsidR="009F19D8" w:rsidRPr="005F412B" w:rsidRDefault="00000000" w:rsidP="00C061C3">
      <w:pPr>
        <w:pStyle w:val="Heading1"/>
      </w:pPr>
      <w:r w:rsidRPr="005F412B">
        <w:t>DISCUSSION</w:t>
      </w:r>
    </w:p>
    <w:p w14:paraId="02F54786" w14:textId="77777777" w:rsidR="009F19D8" w:rsidRPr="005F412B" w:rsidRDefault="00CA76AB" w:rsidP="001800AC">
      <w:r w:rsidRPr="00CA76AB">
        <w:t xml:space="preserve">Although no LLM was perfectly accurate, the strongest models greatly reduced the amount of manual mapping required. At about 90% strict accuracy, roughly 25 to 35 of the 271 columns per building still carry an incorrect label. That is an error count, not the size of the review set: these errors are not limited to points the model declined as UNMAPPED. </w:t>
      </w:r>
      <w:r w:rsidR="00863082" w:rsidRPr="00863082">
        <w:t>Across the models sampled for per-column error analysis, false negatives, meaning mappable points incorrectly declined as UNMAPPED, were the smallest error category at just under one third of all errors. Most errors were silent misclassifications</w:t>
      </w:r>
      <w:r w:rsidRPr="00CA76AB">
        <w:t>, where either an out-of-scope point was assigned a confident label or an in-scope point was mapped to the wrong canonical.</w:t>
      </w:r>
      <w:r>
        <w:t xml:space="preserve"> </w:t>
      </w:r>
      <w:r w:rsidRPr="00CA76AB">
        <w:t>As a result, review cannot focus only on declined points.</w:t>
      </w:r>
      <w:r w:rsidR="00325379">
        <w:t xml:space="preserve"> </w:t>
      </w:r>
      <w:r w:rsidR="00325379" w:rsidRPr="00325379">
        <w:t>This breakdown is measured on the three models for which per-column predictions were retained; the remaining Corpus A runs recorded aggregate accuracy only.</w:t>
      </w:r>
      <w:r w:rsidR="00325379" w:rsidRPr="009C566C">
        <w:t xml:space="preserve"> </w:t>
      </w:r>
      <w:r w:rsidRPr="00CA76AB">
        <w:t>A domain expert must therefore still review the committed mappings, but confirming a proposed label is generally less work than deriving one from scratch.</w:t>
      </w:r>
    </w:p>
    <w:p w14:paraId="16C58872" w14:textId="4F03EDC6" w:rsidR="0088428B" w:rsidRPr="005F412B" w:rsidRDefault="00DD0E1E" w:rsidP="0088428B">
      <w:r>
        <w:t>Regarding cost, o</w:t>
      </w:r>
      <w:r w:rsidRPr="005F412B">
        <w:t xml:space="preserve">pen-weight models match closed ones to within a few points </w:t>
      </w:r>
      <w:r w:rsidR="00353E40">
        <w:t>at a fraction of the cost, with the least expensive costing about a penny</w:t>
      </w:r>
      <w:r>
        <w:t xml:space="preserve"> (as of June 2026). These further</w:t>
      </w:r>
      <w:r w:rsidR="00353E40">
        <w:t xml:space="preserve"> allow the mapping to occur </w:t>
      </w:r>
      <w:r w:rsidR="00E416AD" w:rsidRPr="005F412B">
        <w:t>on</w:t>
      </w:r>
      <w:r w:rsidR="00E416AD">
        <w:t xml:space="preserve"> premises</w:t>
      </w:r>
      <w:r w:rsidR="00353E40">
        <w:t xml:space="preserve">, which is a significant advantage as it ensures data privacy. </w:t>
      </w:r>
      <w:r w:rsidR="0088428B">
        <w:t>Further, o</w:t>
      </w:r>
      <w:r w:rsidR="0088428B" w:rsidRPr="005F412B">
        <w:t xml:space="preserve">n </w:t>
      </w:r>
      <w:r w:rsidR="0088428B">
        <w:t>Corpus A</w:t>
      </w:r>
      <w:r w:rsidR="0088428B" w:rsidRPr="005F412B">
        <w:t xml:space="preserve"> the </w:t>
      </w:r>
      <w:r w:rsidR="0088428B">
        <w:t xml:space="preserve">performance of the </w:t>
      </w:r>
      <w:r w:rsidR="0088428B" w:rsidRPr="005F412B">
        <w:t xml:space="preserve">cheapest </w:t>
      </w:r>
      <w:r w:rsidR="0088428B">
        <w:t xml:space="preserve">LLMs </w:t>
      </w:r>
      <w:r w:rsidR="0088428B" w:rsidRPr="005F412B">
        <w:t xml:space="preserve">models match </w:t>
      </w:r>
      <w:r w:rsidR="0088428B">
        <w:t xml:space="preserve">that of </w:t>
      </w:r>
      <w:r w:rsidR="0088428B" w:rsidRPr="005F412B">
        <w:t>the most expensive</w:t>
      </w:r>
      <w:r w:rsidR="0088428B">
        <w:t>; for such models the additional investment is better redirected to enhancing the evidence provided to the model. On Corpus B, s</w:t>
      </w:r>
      <w:r w:rsidR="0088428B" w:rsidRPr="005F412B">
        <w:t xml:space="preserve">ome otherwise capable models refuse to map from statistics, even when the prompt explicitly asks them to try. In these runs, that behaviour held across prompt variants and reasoning settings, </w:t>
      </w:r>
      <w:r w:rsidR="0088428B">
        <w:t>for both</w:t>
      </w:r>
      <w:r w:rsidR="0088428B" w:rsidRPr="005F412B">
        <w:t xml:space="preserve"> open-or-closed </w:t>
      </w:r>
      <w:r w:rsidR="0088428B">
        <w:t>approaches</w:t>
      </w:r>
      <w:r w:rsidR="0088428B" w:rsidRPr="005F412B">
        <w:t xml:space="preserve">. </w:t>
      </w:r>
      <w:r w:rsidR="0088428B">
        <w:t xml:space="preserve">Where point names are not human-readable, additional care and testing is required for model selection. </w:t>
      </w:r>
    </w:p>
    <w:p w14:paraId="331029B3" w14:textId="77777777" w:rsidR="009F19D8" w:rsidRPr="005F412B" w:rsidRDefault="0088428B" w:rsidP="001800AC">
      <w:r>
        <w:t>Lenient accuracy was substantially higher than strict accuracy for the LLMs, increasing by about eleven points when unit variants and setpoint flags are treated as equivalent. The rule baseline gains nothing from the same relaxation: its strict and lenient scores coincide, because the mapper resolves equipment indices and returns either the exact canonical label or none, rather than the near-misses that lenient scoring rescues. The scoring rule therefore changes the apparent size of the gap, and comparisons reporting parity between LLMs and rule-based mappers (Meng et al., 2025) should state explicitly whether they use exact canonical matching or broader signal-level equivalence. Under exact-match scoring on this corpus, LLMs outperform the rule baseline significantly.</w:t>
      </w:r>
    </w:p>
    <w:p w14:paraId="0E1C8FEC" w14:textId="77777777" w:rsidR="009F19D8" w:rsidRPr="005F412B" w:rsidRDefault="009F19D8" w:rsidP="001800AC"/>
    <w:p w14:paraId="78CA06AE" w14:textId="77777777" w:rsidR="009F19D8" w:rsidRPr="005F412B" w:rsidRDefault="00000000" w:rsidP="00C061C3">
      <w:pPr>
        <w:pStyle w:val="Heading1"/>
      </w:pPr>
      <w:r w:rsidRPr="005F412B">
        <w:t>CONCLUSION AND FUTURE WORK</w:t>
      </w:r>
    </w:p>
    <w:p w14:paraId="796F3905" w14:textId="77777777" w:rsidR="009F19D8" w:rsidRPr="001800AC" w:rsidRDefault="00000000" w:rsidP="004327D1">
      <w:r w:rsidRPr="001800AC">
        <w:t>Th</w:t>
      </w:r>
      <w:r w:rsidR="009103D4">
        <w:t xml:space="preserve">is study suggests that LLMs can be a helpful enabler of </w:t>
      </w:r>
      <w:r w:rsidRPr="001800AC">
        <w:t>BAS data preparation</w:t>
      </w:r>
      <w:r w:rsidR="009103D4">
        <w:t xml:space="preserve"> for digital twin </w:t>
      </w:r>
      <w:r w:rsidR="004327D1">
        <w:t>mapping but</w:t>
      </w:r>
      <w:r w:rsidR="009103D4">
        <w:t xml:space="preserve"> are not a perfect solution</w:t>
      </w:r>
      <w:r w:rsidR="004327D1">
        <w:t xml:space="preserve"> – they cannot replace </w:t>
      </w:r>
      <w:r w:rsidRPr="001800AC">
        <w:t xml:space="preserve">engineering review and the remaining errors are too frequent for unattended use. They are, however, much better than a small </w:t>
      </w:r>
      <w:r w:rsidRPr="001800AC">
        <w:lastRenderedPageBreak/>
        <w:t xml:space="preserve">rule base at turning raw vendor names into a controlled label set. On </w:t>
      </w:r>
      <w:r w:rsidR="009103D4">
        <w:t>a</w:t>
      </w:r>
      <w:r w:rsidR="009103D4" w:rsidRPr="001800AC">
        <w:t xml:space="preserve"> </w:t>
      </w:r>
      <w:r w:rsidR="009103D4">
        <w:t>human-</w:t>
      </w:r>
      <w:r w:rsidRPr="001800AC">
        <w:t>readable corpus, that difference is large enough to change the manual task from labelling almost everything to checking a much smaller candidate set.</w:t>
      </w:r>
      <w:r w:rsidR="009103D4">
        <w:t xml:space="preserve"> On a non-descriptive name corpus, the results indicate the need for caution. With limited context available from names, time-series data analysis becomes increasingly important for </w:t>
      </w:r>
      <w:r w:rsidR="004327D1">
        <w:t>classification but</w:t>
      </w:r>
      <w:r w:rsidR="009103D4">
        <w:t xml:space="preserve"> is more computationally intensive and several LLMs declined to perform the task. </w:t>
      </w:r>
      <w:r w:rsidRPr="001800AC">
        <w:t xml:space="preserve">Model choice for this use case therefore </w:t>
      </w:r>
      <w:r w:rsidR="004327D1" w:rsidRPr="001800AC">
        <w:t>must</w:t>
      </w:r>
      <w:r w:rsidRPr="001800AC">
        <w:t xml:space="preserve"> be empirical and local, especially if </w:t>
      </w:r>
      <w:r w:rsidR="004327D1">
        <w:t xml:space="preserve">data sensitivity requires on premises </w:t>
      </w:r>
      <w:r w:rsidRPr="001800AC">
        <w:t>deployment.</w:t>
      </w:r>
    </w:p>
    <w:p w14:paraId="3AEB5FBD" w14:textId="237FE8CD" w:rsidR="00682ACE" w:rsidRDefault="004327D1" w:rsidP="00682ACE">
      <w:r>
        <w:t>C</w:t>
      </w:r>
      <w:r w:rsidRPr="005F412B">
        <w:t xml:space="preserve">orpus A is a stress corpus, not a sample of buildings in the field. It is useful for comparing methods under known ground truth, but the per-vendor slices are small and should not be read as vendor rankings. Its labels also come from one expert, so there is no inter-annotator agreement estimate. Corpus B is narrower still: one synthetic plant, clean statistics, and only 36 mappable opaque columns. Real sensors drift, fail, clip, and report at awkward precisions; those effects are not in this test. The wide intervals mean the model-level numbers are directional. The runs are also single-turn, English-language, and tied to a June-2026 model and price snapshot. </w:t>
      </w:r>
      <w:r w:rsidR="00E00E34" w:rsidRPr="00457E25">
        <w:t>Inference was routed through hosted gateways without pinning a specific upstream endpoint, and the endpoint serving each request was not recorded. The numeric precision at which each model was served is therefore unknown and uncontrolled, and no observed variance is attributed to it.</w:t>
      </w:r>
    </w:p>
    <w:p w14:paraId="72C4B74A" w14:textId="77777777" w:rsidR="00353E40" w:rsidRDefault="004327D1" w:rsidP="004327D1">
      <w:r>
        <w:t xml:space="preserve">Future work is needed to test this approach on </w:t>
      </w:r>
      <w:r w:rsidRPr="001800AC">
        <w:t xml:space="preserve">real building </w:t>
      </w:r>
      <w:r>
        <w:t xml:space="preserve">BAS </w:t>
      </w:r>
      <w:r w:rsidRPr="001800AC">
        <w:t>exports</w:t>
      </w:r>
      <w:r>
        <w:t xml:space="preserve">, which can include </w:t>
      </w:r>
      <w:r w:rsidRPr="001800AC">
        <w:t>noisy sensor</w:t>
      </w:r>
      <w:r>
        <w:t xml:space="preserve"> data, a mix of both human-readable and non-human readable </w:t>
      </w:r>
      <w:r w:rsidRPr="001800AC">
        <w:t>labels, non-English naming conventions, and, for open-weight deployment, whether combining several weaker local models can make the statistics-based case less erratic.</w:t>
      </w:r>
      <w:r w:rsidR="00682ACE">
        <w:t xml:space="preserve"> Future extensions could also use the name-based classification as a starting step and incorporate time-series analysis where name alone is insufficient to map BAS points. </w:t>
      </w:r>
    </w:p>
    <w:p w14:paraId="7FB885B8" w14:textId="77777777" w:rsidR="004327D1" w:rsidRPr="001800AC" w:rsidRDefault="004327D1" w:rsidP="004327D1"/>
    <w:p w14:paraId="64EEDD27" w14:textId="77777777" w:rsidR="0046001A" w:rsidRDefault="00000000">
      <w:pPr>
        <w:pStyle w:val="Heading1"/>
      </w:pPr>
      <w:r>
        <w:t>DATA AVAILABILITY</w:t>
      </w:r>
    </w:p>
    <w:p w14:paraId="3AA6FE01" w14:textId="5A34D821" w:rsidR="009F19D8" w:rsidRDefault="00F54911" w:rsidP="001800AC">
      <w:r w:rsidRPr="001800AC">
        <w:t xml:space="preserve">The benchmark corpus, the full prompt set, the reference scorer, the rule-baseline implementation, and the retained per-column model predictions are </w:t>
      </w:r>
      <w:r w:rsidR="007C23C6">
        <w:t>currently being protected as part of a patent submission; t</w:t>
      </w:r>
      <w:r w:rsidRPr="001800AC">
        <w:t xml:space="preserve">hey will be released at https://github.com/mokandil/bas-point-mapping-benchmark upon </w:t>
      </w:r>
      <w:r w:rsidR="007C23C6">
        <w:t xml:space="preserve">completion of this </w:t>
      </w:r>
      <w:proofErr w:type="spellStart"/>
      <w:r w:rsidR="007C23C6">
        <w:t>procuess</w:t>
      </w:r>
      <w:proofErr w:type="spellEnd"/>
      <w:r w:rsidR="007C23C6">
        <w:t>.</w:t>
      </w:r>
    </w:p>
    <w:p w14:paraId="0237EFDB" w14:textId="77777777" w:rsidR="007C23C6" w:rsidRDefault="007C23C6" w:rsidP="001800AC"/>
    <w:p w14:paraId="336B483A" w14:textId="77777777" w:rsidR="009F19D8" w:rsidRPr="005F412B" w:rsidRDefault="00000000" w:rsidP="00C061C3">
      <w:pPr>
        <w:pStyle w:val="Heading1"/>
        <w:ind w:firstLine="0"/>
      </w:pPr>
      <w:r w:rsidRPr="00C061C3">
        <w:t>ACKNOWLEDGEMENTS</w:t>
      </w:r>
    </w:p>
    <w:p w14:paraId="35BEA712" w14:textId="77777777" w:rsidR="009F19D8" w:rsidRDefault="00F54911" w:rsidP="001800AC">
      <w:r w:rsidRPr="001800AC">
        <w:t>This research was funded by the Natural Sciences and Engineering Research Council of Canada (</w:t>
      </w:r>
      <w:r w:rsidRPr="005F412B">
        <w:t>ALLRP-580958-22) and H. H. Angus and Associates.</w:t>
      </w:r>
    </w:p>
    <w:p w14:paraId="6E1C3ABF" w14:textId="77777777" w:rsidR="004327D1" w:rsidRPr="001800AC" w:rsidRDefault="004327D1" w:rsidP="001800AC"/>
    <w:p w14:paraId="4C06B017" w14:textId="77777777" w:rsidR="009F19D8" w:rsidRPr="005F412B" w:rsidRDefault="00000000" w:rsidP="001800AC">
      <w:pPr>
        <w:pStyle w:val="Heading1"/>
      </w:pPr>
      <w:r w:rsidRPr="005F412B">
        <w:t>REFERENCES</w:t>
      </w:r>
    </w:p>
    <w:p w14:paraId="379E4231" w14:textId="77777777" w:rsidR="004327D1" w:rsidRDefault="002D772E" w:rsidP="004327D1">
      <w:pPr>
        <w:ind w:left="851" w:hanging="851"/>
        <w:jc w:val="left"/>
      </w:pPr>
      <w:proofErr w:type="spellStart"/>
      <w:r>
        <w:rPr>
          <w:highlight w:val="white"/>
        </w:rPr>
        <w:t>Almashor</w:t>
      </w:r>
      <w:proofErr w:type="spellEnd"/>
      <w:r>
        <w:rPr>
          <w:highlight w:val="white"/>
        </w:rPr>
        <w:t xml:space="preserve">, M., Rana, M., McCulloch, J., Rahman, A. and </w:t>
      </w:r>
      <w:proofErr w:type="spellStart"/>
      <w:r>
        <w:rPr>
          <w:highlight w:val="white"/>
        </w:rPr>
        <w:t>Sethuvenkatraman</w:t>
      </w:r>
      <w:proofErr w:type="spellEnd"/>
      <w:r>
        <w:rPr>
          <w:highlight w:val="white"/>
        </w:rPr>
        <w:t xml:space="preserve">, S., 2023, November. What's The Point: </w:t>
      </w:r>
      <w:proofErr w:type="spellStart"/>
      <w:r>
        <w:rPr>
          <w:highlight w:val="white"/>
        </w:rPr>
        <w:t>AutoEncoding</w:t>
      </w:r>
      <w:proofErr w:type="spellEnd"/>
      <w:r>
        <w:rPr>
          <w:highlight w:val="white"/>
        </w:rPr>
        <w:t xml:space="preserve"> Building Point Names. In</w:t>
      </w:r>
      <w:r w:rsidRPr="004327D1">
        <w:rPr>
          <w:highlight w:val="white"/>
        </w:rPr>
        <w:t> </w:t>
      </w:r>
      <w:r w:rsidRPr="00C061C3">
        <w:rPr>
          <w:highlight w:val="white"/>
        </w:rPr>
        <w:t>Proceedings of the 10th ACM International Conference on Systems for Energy-Efficient Buildings, Cities, and Transportation</w:t>
      </w:r>
      <w:r>
        <w:rPr>
          <w:highlight w:val="white"/>
        </w:rPr>
        <w:t xml:space="preserve">. </w:t>
      </w:r>
      <w:r w:rsidR="00C061C3">
        <w:rPr>
          <w:highlight w:val="white"/>
        </w:rPr>
        <w:t xml:space="preserve">Istanbul, Turkey, November, </w:t>
      </w:r>
      <w:r>
        <w:rPr>
          <w:highlight w:val="white"/>
        </w:rPr>
        <w:t>256-260.</w:t>
      </w:r>
      <w:r>
        <w:t xml:space="preserve"> </w:t>
      </w:r>
    </w:p>
    <w:p w14:paraId="4D5E117D" w14:textId="77777777" w:rsidR="009F19D8" w:rsidRPr="005F412B" w:rsidRDefault="00000000" w:rsidP="002D772E">
      <w:pPr>
        <w:ind w:left="851" w:hanging="851"/>
        <w:jc w:val="left"/>
        <w:rPr>
          <w:sz w:val="24"/>
          <w:szCs w:val="24"/>
        </w:rPr>
      </w:pPr>
      <w:r w:rsidRPr="002D772E">
        <w:rPr>
          <w:rFonts w:eastAsiaTheme="minorHAnsi"/>
          <w:kern w:val="2"/>
          <w:lang w:eastAsia="en-US"/>
          <w14:ligatures w14:val="standardContextual"/>
        </w:rPr>
        <w:t>Balaji</w:t>
      </w:r>
      <w:r w:rsidRPr="005F412B">
        <w:t xml:space="preserve">, B. et al., 2018. Brick: Metadata schema for portable smart building applications. </w:t>
      </w:r>
      <w:r w:rsidRPr="005F412B">
        <w:rPr>
          <w:i/>
          <w:iCs/>
        </w:rPr>
        <w:t xml:space="preserve">Applied Energy, </w:t>
      </w:r>
      <w:r w:rsidRPr="005F412B">
        <w:t>p. 1273–1292.</w:t>
      </w:r>
      <w:r w:rsidR="004327D1">
        <w:t xml:space="preserve"> DOI: 10.1016/j.apenergy.2018.02.091</w:t>
      </w:r>
    </w:p>
    <w:p w14:paraId="2CD1D163" w14:textId="77777777" w:rsidR="009F19D8" w:rsidRPr="00610741" w:rsidRDefault="00000000" w:rsidP="002D772E">
      <w:pPr>
        <w:ind w:left="851" w:hanging="851"/>
        <w:jc w:val="left"/>
        <w:rPr>
          <w:lang w:val="fr-CA"/>
        </w:rPr>
      </w:pPr>
      <w:r w:rsidRPr="005F412B">
        <w:t xml:space="preserve">Brown, T. et al., 2020. </w:t>
      </w:r>
      <w:r w:rsidRPr="005F412B">
        <w:rPr>
          <w:i/>
          <w:iCs/>
        </w:rPr>
        <w:t xml:space="preserve">Language models are few-shot learners. </w:t>
      </w:r>
      <w:r w:rsidRPr="00610741">
        <w:rPr>
          <w:lang w:val="fr-CA"/>
        </w:rPr>
        <w:t>Vancouver, Canada, Curran Associates, Inc., pp. 1877-1901.</w:t>
      </w:r>
    </w:p>
    <w:p w14:paraId="085A88CD" w14:textId="77777777" w:rsidR="009F19D8" w:rsidRPr="005F412B" w:rsidRDefault="00000000" w:rsidP="002D772E">
      <w:pPr>
        <w:ind w:left="851" w:hanging="851"/>
        <w:jc w:val="left"/>
      </w:pPr>
      <w:r w:rsidRPr="005F412B">
        <w:t xml:space="preserve">Chamari, L. et al., 2023. </w:t>
      </w:r>
      <w:r w:rsidRPr="005F412B">
        <w:rPr>
          <w:i/>
          <w:iCs/>
        </w:rPr>
        <w:t xml:space="preserve">Metadata schema generation for data-driven smart buildings. </w:t>
      </w:r>
      <w:r w:rsidR="004327D1">
        <w:t>In</w:t>
      </w:r>
      <w:r w:rsidRPr="005F412B">
        <w:t xml:space="preserve"> 11th Linked Data in Architecture and Construction Workshop, LDAC 2023</w:t>
      </w:r>
      <w:r w:rsidR="00C061C3">
        <w:t xml:space="preserve">, Matera, Italy, June, </w:t>
      </w:r>
      <w:r w:rsidRPr="005F412B">
        <w:t>139-150.</w:t>
      </w:r>
    </w:p>
    <w:p w14:paraId="143EDF0A" w14:textId="77777777" w:rsidR="002D772E" w:rsidRDefault="002D772E" w:rsidP="00AD2662">
      <w:pPr>
        <w:ind w:left="851" w:hanging="851"/>
        <w:jc w:val="left"/>
      </w:pPr>
      <w:r>
        <w:lastRenderedPageBreak/>
        <w:t>El Mokhtari, K. &amp; McArthur, J.J., 2021</w:t>
      </w:r>
      <w:r w:rsidRPr="002D772E">
        <w:t>. A data-driven approach to automatically label BAS points. In</w:t>
      </w:r>
      <w:r w:rsidRPr="004327D1">
        <w:t> </w:t>
      </w:r>
      <w:r w:rsidRPr="00C061C3">
        <w:t>Proc. of the Conference CIB W78</w:t>
      </w:r>
      <w:r w:rsidR="00C061C3">
        <w:t xml:space="preserve">, </w:t>
      </w:r>
      <w:r w:rsidRPr="002D772E">
        <w:t xml:space="preserve">Vol. 2021, </w:t>
      </w:r>
      <w:r w:rsidR="00C061C3">
        <w:t>Luxembourg, October, 11-15.</w:t>
      </w:r>
    </w:p>
    <w:p w14:paraId="4AFF4FCF" w14:textId="77777777" w:rsidR="009F19D8" w:rsidRPr="005F412B" w:rsidRDefault="00000000" w:rsidP="002D772E">
      <w:pPr>
        <w:ind w:left="851" w:hanging="851"/>
        <w:jc w:val="left"/>
      </w:pPr>
      <w:r w:rsidRPr="00610741">
        <w:rPr>
          <w:lang w:val="fr-CA"/>
        </w:rPr>
        <w:t xml:space="preserve">Gatto, C., Cassandro, J., Mirarchi, C. &amp; Pavan, A., 2024. </w:t>
      </w:r>
      <w:r w:rsidRPr="00C061C3">
        <w:t>LLM based automatic relation between cost domain descriptions and IFC objects.</w:t>
      </w:r>
      <w:r w:rsidRPr="005F412B">
        <w:rPr>
          <w:i/>
          <w:iCs/>
        </w:rPr>
        <w:t xml:space="preserve"> </w:t>
      </w:r>
      <w:r w:rsidRPr="005F412B">
        <w:t>Marrakesh, Morocco, CIB W78, pp. 1-10.</w:t>
      </w:r>
    </w:p>
    <w:p w14:paraId="3FA5957C" w14:textId="77777777" w:rsidR="009F19D8" w:rsidRPr="005F412B" w:rsidRDefault="00000000" w:rsidP="002D772E">
      <w:pPr>
        <w:ind w:left="851" w:hanging="851"/>
        <w:jc w:val="left"/>
      </w:pPr>
      <w:proofErr w:type="spellStart"/>
      <w:r w:rsidRPr="005F412B">
        <w:t>Hulsebos</w:t>
      </w:r>
      <w:proofErr w:type="spellEnd"/>
      <w:r w:rsidRPr="005F412B">
        <w:t xml:space="preserve">, M. et al., 2019. </w:t>
      </w:r>
      <w:r w:rsidRPr="005F412B">
        <w:rPr>
          <w:i/>
          <w:iCs/>
        </w:rPr>
        <w:t xml:space="preserve">Sherlock: a deep learning approach to semantic data type detection. </w:t>
      </w:r>
      <w:r w:rsidR="004327D1">
        <w:t xml:space="preserve">In </w:t>
      </w:r>
      <w:r w:rsidRPr="005F412B">
        <w:t>Proceedings of the 25th ACM SIGKDD International Conference on knowledge discovery &amp; data mining.</w:t>
      </w:r>
      <w:r w:rsidR="00C061C3" w:rsidRPr="00C061C3">
        <w:rPr>
          <w:rFonts w:ascii="Arial" w:hAnsi="Arial" w:cs="Arial"/>
          <w:color w:val="474747"/>
          <w:sz w:val="21"/>
          <w:szCs w:val="21"/>
          <w:shd w:val="clear" w:color="auto" w:fill="FFFFFF"/>
        </w:rPr>
        <w:t xml:space="preserve"> </w:t>
      </w:r>
      <w:r w:rsidR="00C061C3" w:rsidRPr="00C061C3">
        <w:t>Anchorage, AK, USA, August</w:t>
      </w:r>
      <w:r w:rsidR="00C061C3">
        <w:t>.</w:t>
      </w:r>
    </w:p>
    <w:p w14:paraId="4E64955B" w14:textId="77777777" w:rsidR="009F19D8" w:rsidRPr="005F412B" w:rsidRDefault="00000000" w:rsidP="002D772E">
      <w:pPr>
        <w:ind w:left="851" w:hanging="851"/>
        <w:jc w:val="left"/>
      </w:pPr>
      <w:r w:rsidRPr="005F412B">
        <w:t xml:space="preserve">Jia, Y., Fu, X. &amp; Zhang, L., 2026. BEMEval-Doc2Schema: benchmarking large language models for structured data extraction in building energy </w:t>
      </w:r>
      <w:proofErr w:type="spellStart"/>
      <w:r w:rsidRPr="005F412B">
        <w:t>modeling</w:t>
      </w:r>
      <w:proofErr w:type="spellEnd"/>
      <w:r w:rsidRPr="005F412B">
        <w:t xml:space="preserve">. </w:t>
      </w:r>
      <w:proofErr w:type="spellStart"/>
      <w:r w:rsidRPr="005F412B">
        <w:rPr>
          <w:i/>
          <w:iCs/>
        </w:rPr>
        <w:t>arXiv</w:t>
      </w:r>
      <w:proofErr w:type="spellEnd"/>
      <w:r w:rsidRPr="005F412B">
        <w:rPr>
          <w:i/>
          <w:iCs/>
        </w:rPr>
        <w:t xml:space="preserve"> preprint arXiv:2602.16926.</w:t>
      </w:r>
    </w:p>
    <w:p w14:paraId="03C29FB3" w14:textId="77777777" w:rsidR="009F19D8" w:rsidRPr="005F412B" w:rsidRDefault="00000000" w:rsidP="002D772E">
      <w:pPr>
        <w:ind w:left="851" w:hanging="851"/>
        <w:jc w:val="left"/>
      </w:pPr>
      <w:proofErr w:type="spellStart"/>
      <w:r w:rsidRPr="005F412B">
        <w:t>Korini</w:t>
      </w:r>
      <w:proofErr w:type="spellEnd"/>
      <w:r w:rsidRPr="005F412B">
        <w:t xml:space="preserve">, K. &amp; Bizer, C., 2023. Column type annotation using ChatGPT. </w:t>
      </w:r>
      <w:proofErr w:type="spellStart"/>
      <w:r w:rsidRPr="005F412B">
        <w:rPr>
          <w:i/>
          <w:iCs/>
        </w:rPr>
        <w:t>arXiv</w:t>
      </w:r>
      <w:proofErr w:type="spellEnd"/>
      <w:r w:rsidRPr="005F412B">
        <w:rPr>
          <w:i/>
          <w:iCs/>
        </w:rPr>
        <w:t xml:space="preserve"> preprint arXiv:2306.00745.</w:t>
      </w:r>
    </w:p>
    <w:p w14:paraId="5C754F1F" w14:textId="77777777" w:rsidR="009F19D8" w:rsidRPr="005F412B" w:rsidRDefault="00000000" w:rsidP="002D772E">
      <w:pPr>
        <w:ind w:left="851" w:hanging="851"/>
        <w:jc w:val="left"/>
      </w:pPr>
      <w:r w:rsidRPr="005F412B">
        <w:t xml:space="preserve">Liu, Y. et al., 2025. Magneto: combining small and large language models for schema matching. </w:t>
      </w:r>
      <w:r w:rsidRPr="00C061C3">
        <w:t>Proceedings of the VLDB Endowment</w:t>
      </w:r>
      <w:r w:rsidRPr="005F412B">
        <w:rPr>
          <w:i/>
          <w:iCs/>
        </w:rPr>
        <w:t xml:space="preserve">, </w:t>
      </w:r>
      <w:r w:rsidRPr="005F412B">
        <w:t>18(18), pp. 2681 - 2694.</w:t>
      </w:r>
    </w:p>
    <w:p w14:paraId="1B6941D7" w14:textId="77777777" w:rsidR="009F19D8" w:rsidRPr="005F412B" w:rsidRDefault="00000000" w:rsidP="002D772E">
      <w:pPr>
        <w:ind w:left="851" w:hanging="851"/>
        <w:jc w:val="left"/>
      </w:pPr>
      <w:r w:rsidRPr="005F412B">
        <w:t xml:space="preserve">Meng, H., Cao, J. &amp; Pottinger, R., 2025. Robust LLM-based column type annotation via prompt augmentation with </w:t>
      </w:r>
      <w:proofErr w:type="spellStart"/>
      <w:r w:rsidRPr="005F412B">
        <w:t>LoRA</w:t>
      </w:r>
      <w:proofErr w:type="spellEnd"/>
      <w:r w:rsidRPr="005F412B">
        <w:t xml:space="preserve"> tuning. </w:t>
      </w:r>
      <w:proofErr w:type="spellStart"/>
      <w:r w:rsidRPr="005F412B">
        <w:rPr>
          <w:i/>
          <w:iCs/>
        </w:rPr>
        <w:t>arXiv</w:t>
      </w:r>
      <w:proofErr w:type="spellEnd"/>
      <w:r w:rsidRPr="005F412B">
        <w:rPr>
          <w:i/>
          <w:iCs/>
        </w:rPr>
        <w:t xml:space="preserve"> preprint arXiv:2512.22742.</w:t>
      </w:r>
    </w:p>
    <w:p w14:paraId="300F85F6" w14:textId="77777777" w:rsidR="009F19D8" w:rsidRPr="005F412B" w:rsidRDefault="00000000" w:rsidP="002D772E">
      <w:pPr>
        <w:ind w:left="851" w:hanging="851"/>
        <w:jc w:val="left"/>
      </w:pPr>
      <w:r w:rsidRPr="005F412B">
        <w:t xml:space="preserve">Narayan, A. et al., 2022. Can foundation models wrangle your data?. </w:t>
      </w:r>
      <w:proofErr w:type="spellStart"/>
      <w:r w:rsidRPr="005F412B">
        <w:rPr>
          <w:i/>
          <w:iCs/>
        </w:rPr>
        <w:t>arXiv</w:t>
      </w:r>
      <w:proofErr w:type="spellEnd"/>
      <w:r w:rsidRPr="005F412B">
        <w:rPr>
          <w:i/>
          <w:iCs/>
        </w:rPr>
        <w:t xml:space="preserve"> preprint arXiv:2205.09911.</w:t>
      </w:r>
    </w:p>
    <w:p w14:paraId="5E92F253" w14:textId="77777777" w:rsidR="009F19D8" w:rsidRPr="005F412B" w:rsidRDefault="00000000" w:rsidP="002D772E">
      <w:pPr>
        <w:ind w:left="851" w:hanging="851"/>
        <w:jc w:val="left"/>
      </w:pPr>
      <w:proofErr w:type="spellStart"/>
      <w:r w:rsidRPr="005F412B">
        <w:t>OpenRouter</w:t>
      </w:r>
      <w:proofErr w:type="spellEnd"/>
      <w:r w:rsidRPr="005F412B">
        <w:t xml:space="preserve">, </w:t>
      </w:r>
      <w:r w:rsidR="00F54911" w:rsidRPr="005F412B">
        <w:t xml:space="preserve">2026 </w:t>
      </w:r>
      <w:r w:rsidRPr="005F412B">
        <w:rPr>
          <w:i/>
          <w:iCs/>
        </w:rPr>
        <w:t xml:space="preserve">Models. </w:t>
      </w:r>
      <w:r w:rsidRPr="005F412B">
        <w:t xml:space="preserve">[Online] Available at: </w:t>
      </w:r>
      <w:hyperlink r:id="rId14" w:history="1">
        <w:r w:rsidR="00F54911" w:rsidRPr="001800AC">
          <w:rPr>
            <w:rStyle w:val="Hyperlink"/>
          </w:rPr>
          <w:t>https://openrouter.ai/models</w:t>
        </w:r>
      </w:hyperlink>
      <w:r w:rsidRPr="005F412B">
        <w:t>[Accessed 25 June 2026].</w:t>
      </w:r>
    </w:p>
    <w:p w14:paraId="466750B0" w14:textId="77777777" w:rsidR="009F19D8" w:rsidRPr="005F412B" w:rsidRDefault="00000000" w:rsidP="002D772E">
      <w:pPr>
        <w:ind w:left="851" w:hanging="851"/>
        <w:jc w:val="left"/>
      </w:pPr>
      <w:r w:rsidRPr="005F412B">
        <w:t xml:space="preserve">Peeters, R., Steiner, A. &amp; Bizer, C., 2023. Entity matching using large language models. </w:t>
      </w:r>
      <w:proofErr w:type="spellStart"/>
      <w:r w:rsidRPr="005F412B">
        <w:rPr>
          <w:i/>
          <w:iCs/>
        </w:rPr>
        <w:t>arXiv</w:t>
      </w:r>
      <w:proofErr w:type="spellEnd"/>
      <w:r w:rsidRPr="005F412B">
        <w:rPr>
          <w:i/>
          <w:iCs/>
        </w:rPr>
        <w:t xml:space="preserve"> preprint arXiv:2310.11244.</w:t>
      </w:r>
    </w:p>
    <w:p w14:paraId="048F576B" w14:textId="77777777" w:rsidR="002D772E" w:rsidRPr="005F412B" w:rsidRDefault="00000000" w:rsidP="002D772E">
      <w:pPr>
        <w:ind w:left="851" w:hanging="851"/>
        <w:jc w:val="left"/>
      </w:pPr>
      <w:proofErr w:type="spellStart"/>
      <w:r w:rsidRPr="005F412B">
        <w:t>Pritoni</w:t>
      </w:r>
      <w:proofErr w:type="spellEnd"/>
      <w:r w:rsidRPr="005F412B">
        <w:t xml:space="preserve">, M. et al., 2021. Metadata schemas and ontologies for building energy applications: A critical review and use case analysis. </w:t>
      </w:r>
      <w:r w:rsidRPr="005F412B">
        <w:rPr>
          <w:i/>
          <w:iCs/>
        </w:rPr>
        <w:t xml:space="preserve">Energies, </w:t>
      </w:r>
      <w:r w:rsidRPr="005F412B">
        <w:t>14(7), p. 2024.</w:t>
      </w:r>
    </w:p>
    <w:p w14:paraId="0A19516E" w14:textId="77777777" w:rsidR="009F19D8" w:rsidRPr="005F412B" w:rsidRDefault="00000000" w:rsidP="002D772E">
      <w:pPr>
        <w:ind w:left="851" w:hanging="851"/>
        <w:jc w:val="left"/>
      </w:pPr>
      <w:r w:rsidRPr="005F412B">
        <w:t>Project Haystack Organization, 2026. Project Haystack</w:t>
      </w:r>
      <w:r w:rsidRPr="005F412B">
        <w:rPr>
          <w:i/>
          <w:iCs/>
        </w:rPr>
        <w:t xml:space="preserve">: an open-source data model for building equipment systems. </w:t>
      </w:r>
      <w:r w:rsidRPr="005F412B">
        <w:t xml:space="preserve">[Online] Available at: </w:t>
      </w:r>
      <w:hyperlink r:id="rId15" w:history="1">
        <w:r w:rsidR="002D772E" w:rsidRPr="00415F30">
          <w:rPr>
            <w:rStyle w:val="Hyperlink"/>
          </w:rPr>
          <w:t>https://project-haystack.org</w:t>
        </w:r>
      </w:hyperlink>
      <w:r w:rsidRPr="005F412B">
        <w:t>[Accessed 24 June 2026].</w:t>
      </w:r>
    </w:p>
    <w:p w14:paraId="0855AD39" w14:textId="77777777" w:rsidR="00F54911" w:rsidRPr="005F412B" w:rsidRDefault="00F54911" w:rsidP="002D772E">
      <w:pPr>
        <w:ind w:left="851" w:hanging="851"/>
        <w:jc w:val="left"/>
      </w:pPr>
      <w:r w:rsidRPr="005F412B">
        <w:t>Quinn, C. and McArthur, J.J., 2021. A case study comparing the completeness and expressiveness of two industry recognized ontologies. Advanced Engineering Informatics, 47, p.101233.</w:t>
      </w:r>
      <w:r w:rsidR="00C061C3">
        <w:t xml:space="preserve"> DOI: </w:t>
      </w:r>
      <w:hyperlink r:id="rId16" w:tgtFrame="_blank" w:history="1">
        <w:r w:rsidR="00C061C3" w:rsidRPr="00C061C3">
          <w:rPr>
            <w:rStyle w:val="Hyperlink"/>
          </w:rPr>
          <w:t>10.1016/j.aei.2020.101233</w:t>
        </w:r>
      </w:hyperlink>
    </w:p>
    <w:p w14:paraId="59E32964" w14:textId="77777777" w:rsidR="009F19D8" w:rsidRPr="005F412B" w:rsidRDefault="00000000" w:rsidP="002D772E">
      <w:pPr>
        <w:ind w:left="851" w:hanging="851"/>
        <w:jc w:val="left"/>
      </w:pPr>
      <w:proofErr w:type="spellStart"/>
      <w:r w:rsidRPr="005F412B">
        <w:t>Suhara</w:t>
      </w:r>
      <w:proofErr w:type="spellEnd"/>
      <w:r w:rsidRPr="005F412B">
        <w:t xml:space="preserve">, Y. et al., 2022. </w:t>
      </w:r>
      <w:r w:rsidRPr="005F412B">
        <w:rPr>
          <w:i/>
          <w:iCs/>
        </w:rPr>
        <w:t xml:space="preserve">Annotating columns with pre-trained language models. </w:t>
      </w:r>
      <w:r w:rsidRPr="005F412B">
        <w:t>Proceedings of the 2022 International Conference on Management of Data.</w:t>
      </w:r>
    </w:p>
    <w:p w14:paraId="7AB7B851" w14:textId="77777777" w:rsidR="009F19D8" w:rsidRPr="00610741" w:rsidRDefault="00000000" w:rsidP="002D772E">
      <w:pPr>
        <w:ind w:left="851" w:hanging="851"/>
        <w:jc w:val="left"/>
        <w:rPr>
          <w:lang w:val="fr-CA"/>
        </w:rPr>
      </w:pPr>
      <w:r w:rsidRPr="005F412B">
        <w:t xml:space="preserve">Wang, W. et al., 2018. Automated point mapping for building control systems: recent advances and future research needs. </w:t>
      </w:r>
      <w:r w:rsidRPr="00610741">
        <w:rPr>
          <w:i/>
          <w:iCs/>
          <w:lang w:val="fr-CA"/>
        </w:rPr>
        <w:t xml:space="preserve">Automation in Construction, </w:t>
      </w:r>
      <w:r w:rsidRPr="00610741">
        <w:rPr>
          <w:lang w:val="fr-CA"/>
        </w:rPr>
        <w:t>Volume 85, pp. 107-123.</w:t>
      </w:r>
      <w:r w:rsidR="00C061C3" w:rsidRPr="00610741">
        <w:rPr>
          <w:lang w:val="fr-CA"/>
        </w:rPr>
        <w:t xml:space="preserve"> DOI: </w:t>
      </w:r>
      <w:hyperlink r:id="rId17" w:tgtFrame="_blank" w:history="1">
        <w:r w:rsidR="00C061C3" w:rsidRPr="00610741">
          <w:rPr>
            <w:rStyle w:val="Hyperlink"/>
            <w:lang w:val="fr-CA"/>
          </w:rPr>
          <w:t>10.1016/j.autcon.2017.09.013</w:t>
        </w:r>
      </w:hyperlink>
    </w:p>
    <w:p w14:paraId="7526F734" w14:textId="77777777" w:rsidR="009F19D8" w:rsidRPr="005F412B" w:rsidRDefault="00000000" w:rsidP="002D772E">
      <w:pPr>
        <w:ind w:left="851" w:hanging="851"/>
        <w:jc w:val="left"/>
      </w:pPr>
      <w:r w:rsidRPr="00610741">
        <w:rPr>
          <w:lang w:val="fr-CA"/>
        </w:rPr>
        <w:t xml:space="preserve">Zhang, D. et al., 2020. </w:t>
      </w:r>
      <w:r w:rsidRPr="005F412B">
        <w:t xml:space="preserve">Sato: contextual semantic type detection in tables. </w:t>
      </w:r>
      <w:r w:rsidRPr="00C061C3">
        <w:t>Proceedings of the VLDB Endowmen</w:t>
      </w:r>
      <w:r w:rsidRPr="005F412B">
        <w:rPr>
          <w:i/>
          <w:iCs/>
        </w:rPr>
        <w:t xml:space="preserve">t, </w:t>
      </w:r>
      <w:r w:rsidRPr="005F412B">
        <w:t>13(11), pp. 1835-1848.</w:t>
      </w:r>
    </w:p>
    <w:p w14:paraId="72E688CA" w14:textId="77777777" w:rsidR="009F19D8" w:rsidRPr="001800AC" w:rsidRDefault="009F19D8" w:rsidP="001800AC"/>
    <w:sectPr w:rsidR="009F19D8" w:rsidRPr="001800AC" w:rsidSect="005F412B">
      <w:headerReference w:type="default" r:id="rId18"/>
      <w:footerReference w:type="default" r:id="rId19"/>
      <w:pgSz w:w="11906" w:h="16838"/>
      <w:pgMar w:top="1440" w:right="1558"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E1872" w14:textId="77777777" w:rsidR="004A35E5" w:rsidRDefault="004A35E5" w:rsidP="001800AC">
      <w:r>
        <w:separator/>
      </w:r>
    </w:p>
  </w:endnote>
  <w:endnote w:type="continuationSeparator" w:id="0">
    <w:p w14:paraId="62D93608" w14:textId="77777777" w:rsidR="004A35E5" w:rsidRDefault="004A35E5" w:rsidP="00180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A2337950-F778-4930-BC3E-3C3C3FA64DEA}"/>
    <w:embedBold r:id="rId2" w:fontKey="{EA1D5441-B6F5-4BE5-B37C-2D46AE18A549}"/>
  </w:font>
  <w:font w:name="Calibri">
    <w:panose1 w:val="020F0502020204030204"/>
    <w:charset w:val="00"/>
    <w:family w:val="swiss"/>
    <w:pitch w:val="variable"/>
    <w:sig w:usb0="E4002EFF" w:usb1="C200247B" w:usb2="00000009" w:usb3="00000000" w:csb0="000001FF" w:csb1="00000000"/>
    <w:embedRegular r:id="rId3" w:fontKey="{85086B99-8EEA-42B0-A1D0-D46ED0754779}"/>
    <w:embedBold r:id="rId4" w:fontKey="{EF37348F-85D1-42D7-AE29-2BBFC2797565}"/>
    <w:embedItalic r:id="rId5" w:fontKey="{18F22A61-E299-4475-908B-646166BB4BF7}"/>
  </w:font>
  <w:font w:name="Cambria">
    <w:panose1 w:val="02040503050406030204"/>
    <w:charset w:val="00"/>
    <w:family w:val="roman"/>
    <w:pitch w:val="variable"/>
    <w:sig w:usb0="E00006FF" w:usb1="420024FF" w:usb2="02000000" w:usb3="00000000" w:csb0="0000019F" w:csb1="00000000"/>
    <w:embedRegular r:id="rId6" w:fontKey="{EFA50C54-47CF-4AAA-B719-F2CBD8A2F273}"/>
    <w:embedBold r:id="rId7" w:fontKey="{D8C0403C-4260-4510-AB41-402F6ECFACD1}"/>
    <w:embedItalic r:id="rId8" w:fontKey="{83C24547-C40B-4C4F-85B5-CA4741C8B99C}"/>
  </w:font>
  <w:font w:name="Play">
    <w:charset w:val="00"/>
    <w:family w:val="auto"/>
    <w:pitch w:val="default"/>
    <w:embedRegular r:id="rId9" w:fontKey="{9D6F88A9-9727-4746-A878-A6F0422D4C71}"/>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4E2D" w14:textId="77777777" w:rsidR="009F19D8" w:rsidRDefault="00000000" w:rsidP="001800AC">
    <w:pPr>
      <w:rPr>
        <w:color w:val="000000"/>
      </w:rPr>
    </w:pPr>
    <w:r>
      <w:rPr>
        <w:noProof/>
      </w:rPr>
      <w:drawing>
        <wp:anchor distT="0" distB="0" distL="114300" distR="114300" simplePos="0" relativeHeight="251658240" behindDoc="0" locked="0" layoutInCell="1" hidden="0" allowOverlap="1" wp14:anchorId="3BBB08D8" wp14:editId="114F1BF7">
          <wp:simplePos x="0" y="0"/>
          <wp:positionH relativeFrom="column">
            <wp:posOffset>4337684</wp:posOffset>
          </wp:positionH>
          <wp:positionV relativeFrom="paragraph">
            <wp:posOffset>4445</wp:posOffset>
          </wp:positionV>
          <wp:extent cx="1393825" cy="447675"/>
          <wp:effectExtent l="0" t="0" r="0" b="0"/>
          <wp:wrapSquare wrapText="bothSides" distT="0" distB="0" distL="114300" distR="114300"/>
          <wp:docPr id="8069004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0520" b="31244"/>
                  <a:stretch>
                    <a:fillRect/>
                  </a:stretch>
                </pic:blipFill>
                <pic:spPr>
                  <a:xfrm>
                    <a:off x="0" y="0"/>
                    <a:ext cx="1393825" cy="447675"/>
                  </a:xfrm>
                  <a:prstGeom prst="rect">
                    <a:avLst/>
                  </a:prstGeom>
                  <a:ln/>
                </pic:spPr>
              </pic:pic>
            </a:graphicData>
          </a:graphic>
        </wp:anchor>
      </w:drawing>
    </w:r>
  </w:p>
  <w:p w14:paraId="5078DA54" w14:textId="77777777" w:rsidR="009F19D8" w:rsidRDefault="00000000" w:rsidP="001800AC">
    <w:r>
      <w:t>6</w:t>
    </w:r>
    <w:r>
      <w:rPr>
        <w:vertAlign w:val="superscript"/>
      </w:rPr>
      <w:t>th</w:t>
    </w:r>
    <w:r>
      <w:t xml:space="preserve"> to the 8</w:t>
    </w:r>
    <w:r>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5C122" w14:textId="77777777" w:rsidR="004A35E5" w:rsidRDefault="004A35E5" w:rsidP="001800AC">
      <w:r>
        <w:separator/>
      </w:r>
    </w:p>
  </w:footnote>
  <w:footnote w:type="continuationSeparator" w:id="0">
    <w:p w14:paraId="2B1EEB38" w14:textId="77777777" w:rsidR="004A35E5" w:rsidRDefault="004A35E5" w:rsidP="00180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9974" w14:textId="77777777" w:rsidR="00CA26E6" w:rsidRDefault="00CA26E6" w:rsidP="00CA26E6">
    <w:pPr>
      <w:pStyle w:val="Header"/>
      <w:jc w:val="center"/>
      <w:rPr>
        <w:sz w:val="40"/>
        <w:szCs w:val="40"/>
      </w:rPr>
    </w:pPr>
    <w:r w:rsidRPr="00A93F99">
      <w:rPr>
        <w:sz w:val="40"/>
        <w:szCs w:val="40"/>
      </w:rPr>
      <w:t xml:space="preserve">43rd International CIB W78 Conference </w:t>
    </w:r>
  </w:p>
  <w:p w14:paraId="7BE9C8F6" w14:textId="77777777" w:rsidR="00CA26E6" w:rsidRDefault="00CA26E6" w:rsidP="00CA26E6">
    <w:pPr>
      <w:pStyle w:val="Header"/>
      <w:jc w:val="center"/>
      <w:rPr>
        <w:sz w:val="28"/>
        <w:szCs w:val="28"/>
      </w:rPr>
    </w:pPr>
    <w:r w:rsidRPr="00A93F99">
      <w:rPr>
        <w:sz w:val="28"/>
        <w:szCs w:val="28"/>
      </w:rPr>
      <w:t>IT in Construction</w:t>
    </w:r>
  </w:p>
  <w:p w14:paraId="52CF6CB1" w14:textId="77777777" w:rsidR="00CA26E6" w:rsidRPr="00F3628B" w:rsidRDefault="00CA26E6" w:rsidP="00CA26E6">
    <w:pPr>
      <w:pStyle w:val="Header"/>
      <w:jc w:val="center"/>
      <w:rPr>
        <w:sz w:val="28"/>
        <w:szCs w:val="28"/>
      </w:rPr>
    </w:pPr>
    <w:r>
      <w:rPr>
        <w:sz w:val="28"/>
        <w:szCs w:val="28"/>
      </w:rPr>
      <w:t>New Delhi, India</w:t>
    </w:r>
  </w:p>
  <w:p w14:paraId="7A89AEB8" w14:textId="77777777" w:rsidR="009F19D8" w:rsidRDefault="009F19D8" w:rsidP="001800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6551"/>
    <w:multiLevelType w:val="multilevel"/>
    <w:tmpl w:val="DAAA6032"/>
    <w:lvl w:ilvl="0">
      <w:start w:val="1"/>
      <w:numFmt w:val="decimal"/>
      <w:pStyle w:val="Heading1"/>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05473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9D8"/>
    <w:rsid w:val="00013876"/>
    <w:rsid w:val="00035A48"/>
    <w:rsid w:val="000B7737"/>
    <w:rsid w:val="000C47C1"/>
    <w:rsid w:val="001800AC"/>
    <w:rsid w:val="001B742D"/>
    <w:rsid w:val="00221FE9"/>
    <w:rsid w:val="00254DFA"/>
    <w:rsid w:val="00271FE1"/>
    <w:rsid w:val="002C78FB"/>
    <w:rsid w:val="002D10F5"/>
    <w:rsid w:val="002D772E"/>
    <w:rsid w:val="002E1D8F"/>
    <w:rsid w:val="003010FB"/>
    <w:rsid w:val="00325379"/>
    <w:rsid w:val="00353E40"/>
    <w:rsid w:val="00402216"/>
    <w:rsid w:val="00416381"/>
    <w:rsid w:val="00430466"/>
    <w:rsid w:val="004327D1"/>
    <w:rsid w:val="00432F32"/>
    <w:rsid w:val="00457E25"/>
    <w:rsid w:val="0046001A"/>
    <w:rsid w:val="0049219B"/>
    <w:rsid w:val="004A35E5"/>
    <w:rsid w:val="004E1662"/>
    <w:rsid w:val="004F4DB5"/>
    <w:rsid w:val="005A6257"/>
    <w:rsid w:val="005C27FF"/>
    <w:rsid w:val="005E430E"/>
    <w:rsid w:val="005F412B"/>
    <w:rsid w:val="00610741"/>
    <w:rsid w:val="00622F11"/>
    <w:rsid w:val="006278FE"/>
    <w:rsid w:val="00641CD0"/>
    <w:rsid w:val="0065325F"/>
    <w:rsid w:val="006756F3"/>
    <w:rsid w:val="00682ACE"/>
    <w:rsid w:val="006C456A"/>
    <w:rsid w:val="006F6CE2"/>
    <w:rsid w:val="00766DC3"/>
    <w:rsid w:val="00792AF2"/>
    <w:rsid w:val="007C23C6"/>
    <w:rsid w:val="00831344"/>
    <w:rsid w:val="00853D15"/>
    <w:rsid w:val="00863082"/>
    <w:rsid w:val="0088428B"/>
    <w:rsid w:val="008B2642"/>
    <w:rsid w:val="009103D4"/>
    <w:rsid w:val="009646F4"/>
    <w:rsid w:val="00985FAD"/>
    <w:rsid w:val="009A3201"/>
    <w:rsid w:val="009C566C"/>
    <w:rsid w:val="009F19D8"/>
    <w:rsid w:val="00A050ED"/>
    <w:rsid w:val="00A31090"/>
    <w:rsid w:val="00A44316"/>
    <w:rsid w:val="00A538F3"/>
    <w:rsid w:val="00AD2662"/>
    <w:rsid w:val="00AE7AD3"/>
    <w:rsid w:val="00B443BD"/>
    <w:rsid w:val="00BD6C38"/>
    <w:rsid w:val="00C061C3"/>
    <w:rsid w:val="00C51776"/>
    <w:rsid w:val="00C602C1"/>
    <w:rsid w:val="00C73E7B"/>
    <w:rsid w:val="00CA26E6"/>
    <w:rsid w:val="00CA76AB"/>
    <w:rsid w:val="00D44D74"/>
    <w:rsid w:val="00DB3D1D"/>
    <w:rsid w:val="00DC44B7"/>
    <w:rsid w:val="00DD0E1E"/>
    <w:rsid w:val="00E00E34"/>
    <w:rsid w:val="00E249CA"/>
    <w:rsid w:val="00E416AD"/>
    <w:rsid w:val="00E747EF"/>
    <w:rsid w:val="00F54911"/>
    <w:rsid w:val="00FB707D"/>
    <w:rsid w:val="00FD68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6213"/>
  <w15:docId w15:val="{9A3CFA15-69A0-401B-930D-4E0DF0DBD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AC"/>
    <w:pPr>
      <w:spacing w:after="40" w:line="240" w:lineRule="auto"/>
      <w:ind w:firstLine="851"/>
      <w:jc w:val="both"/>
    </w:pPr>
    <w:rPr>
      <w:rFonts w:ascii="Calibri" w:eastAsia="Calibri" w:hAnsi="Calibri" w:cs="Calibri"/>
      <w:lang w:val="en-GB"/>
    </w:rPr>
  </w:style>
  <w:style w:type="paragraph" w:styleId="Heading1">
    <w:name w:val="heading 1"/>
    <w:basedOn w:val="ListParagraph"/>
    <w:next w:val="Normal"/>
    <w:uiPriority w:val="9"/>
    <w:qFormat/>
    <w:rsid w:val="00CA26E6"/>
    <w:pPr>
      <w:numPr>
        <w:numId w:val="1"/>
      </w:numPr>
      <w:jc w:val="left"/>
      <w:outlineLvl w:val="0"/>
    </w:pPr>
    <w:rPr>
      <w:rFonts w:eastAsiaTheme="minorHAnsi"/>
      <w:b/>
      <w:bCs/>
      <w:kern w:val="2"/>
      <w:sz w:val="28"/>
      <w:szCs w:val="28"/>
      <w:lang w:eastAsia="en-US"/>
      <w14:ligatures w14:val="standardContextual"/>
    </w:rPr>
  </w:style>
  <w:style w:type="paragraph" w:styleId="Heading2">
    <w:name w:val="heading 2"/>
    <w:basedOn w:val="Normal"/>
    <w:next w:val="Normal"/>
    <w:uiPriority w:val="9"/>
    <w:unhideWhenUsed/>
    <w:qFormat/>
    <w:rsid w:val="001800AC"/>
    <w:pPr>
      <w:ind w:firstLine="0"/>
      <w:outlineLvl w:val="1"/>
    </w:pPr>
    <w:rPr>
      <w:b/>
      <w:bCs/>
    </w:rPr>
  </w:style>
  <w:style w:type="paragraph" w:styleId="Heading3">
    <w:name w:val="heading 3"/>
    <w:basedOn w:val="Normal"/>
    <w:next w:val="Normal"/>
    <w:uiPriority w:val="9"/>
    <w:semiHidden/>
    <w:unhideWhenUsed/>
    <w:qFormat/>
    <w:rsid w:val="00CA26E6"/>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rsid w:val="00CA26E6"/>
    <w:pPr>
      <w:keepNext/>
      <w:keepLines/>
      <w:spacing w:before="80"/>
      <w:outlineLvl w:val="3"/>
    </w:pPr>
    <w:rPr>
      <w:i/>
      <w:iCs/>
      <w:color w:val="0F4761"/>
    </w:rPr>
  </w:style>
  <w:style w:type="paragraph" w:styleId="Heading5">
    <w:name w:val="heading 5"/>
    <w:basedOn w:val="Normal"/>
    <w:next w:val="Normal"/>
    <w:uiPriority w:val="9"/>
    <w:semiHidden/>
    <w:unhideWhenUsed/>
    <w:qFormat/>
    <w:rsid w:val="00CA26E6"/>
    <w:pPr>
      <w:keepNext/>
      <w:keepLines/>
      <w:spacing w:before="80"/>
      <w:outlineLvl w:val="4"/>
    </w:pPr>
    <w:rPr>
      <w:color w:val="0F4761"/>
    </w:rPr>
  </w:style>
  <w:style w:type="paragraph" w:styleId="Heading6">
    <w:name w:val="heading 6"/>
    <w:basedOn w:val="Normal"/>
    <w:next w:val="Normal"/>
    <w:uiPriority w:val="9"/>
    <w:semiHidden/>
    <w:unhideWhenUsed/>
    <w:qFormat/>
    <w:rsid w:val="00CA26E6"/>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CA26E6"/>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CA26E6"/>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C78FB"/>
    <w:pPr>
      <w:spacing w:after="0" w:line="240" w:lineRule="auto"/>
    </w:pPr>
  </w:style>
  <w:style w:type="paragraph" w:styleId="CommentSubject">
    <w:name w:val="annotation subject"/>
    <w:basedOn w:val="CommentText"/>
    <w:next w:val="CommentText"/>
    <w:link w:val="CommentSubjectChar"/>
    <w:uiPriority w:val="99"/>
    <w:semiHidden/>
    <w:unhideWhenUsed/>
    <w:rsid w:val="002C78FB"/>
    <w:rPr>
      <w:b/>
      <w:bCs/>
    </w:rPr>
  </w:style>
  <w:style w:type="character" w:customStyle="1" w:styleId="CommentSubjectChar">
    <w:name w:val="Comment Subject Char"/>
    <w:basedOn w:val="CommentTextChar"/>
    <w:link w:val="CommentSubject"/>
    <w:uiPriority w:val="99"/>
    <w:semiHidden/>
    <w:rsid w:val="002C78FB"/>
    <w:rPr>
      <w:rFonts w:ascii="Calibri" w:eastAsia="Calibri" w:hAnsi="Calibri" w:cs="Calibri"/>
      <w:b/>
      <w:bCs/>
      <w:sz w:val="20"/>
      <w:szCs w:val="20"/>
      <w:lang w:val="en-GB"/>
    </w:rPr>
  </w:style>
  <w:style w:type="character" w:styleId="Hyperlink">
    <w:name w:val="Hyperlink"/>
    <w:basedOn w:val="DefaultParagraphFont"/>
    <w:uiPriority w:val="99"/>
    <w:unhideWhenUsed/>
    <w:rsid w:val="00F54911"/>
    <w:rPr>
      <w:color w:val="0000FF" w:themeColor="hyperlink"/>
      <w:u w:val="single"/>
    </w:rPr>
  </w:style>
  <w:style w:type="character" w:styleId="UnresolvedMention">
    <w:name w:val="Unresolved Mention"/>
    <w:basedOn w:val="DefaultParagraphFont"/>
    <w:uiPriority w:val="99"/>
    <w:semiHidden/>
    <w:unhideWhenUsed/>
    <w:rsid w:val="00F54911"/>
    <w:rPr>
      <w:color w:val="605E5C"/>
      <w:shd w:val="clear" w:color="auto" w:fill="E1DFDD"/>
    </w:rPr>
  </w:style>
  <w:style w:type="paragraph" w:styleId="ListParagraph">
    <w:name w:val="List Paragraph"/>
    <w:basedOn w:val="Normal"/>
    <w:uiPriority w:val="34"/>
    <w:qFormat/>
    <w:rsid w:val="001800AC"/>
    <w:pPr>
      <w:ind w:left="720"/>
      <w:contextualSpacing/>
    </w:pPr>
  </w:style>
  <w:style w:type="paragraph" w:styleId="PlainText">
    <w:name w:val="Plain Text"/>
    <w:aliases w:val="Subsection text"/>
    <w:basedOn w:val="Normal"/>
    <w:link w:val="PlainTextChar"/>
    <w:rsid w:val="001800AC"/>
    <w:pPr>
      <w:spacing w:after="0"/>
      <w:ind w:firstLine="0"/>
    </w:pPr>
    <w:rPr>
      <w:rFonts w:ascii="Arial" w:eastAsia="MS Mincho" w:hAnsi="Arial" w:cs="Arial"/>
      <w:sz w:val="18"/>
      <w:szCs w:val="20"/>
      <w:lang w:eastAsia="en-US"/>
    </w:rPr>
  </w:style>
  <w:style w:type="character" w:customStyle="1" w:styleId="PlainTextChar">
    <w:name w:val="Plain Text Char"/>
    <w:aliases w:val="Subsection text Char"/>
    <w:basedOn w:val="DefaultParagraphFont"/>
    <w:link w:val="PlainText"/>
    <w:rsid w:val="001800AC"/>
    <w:rPr>
      <w:rFonts w:ascii="Arial" w:eastAsia="MS Mincho" w:hAnsi="Arial" w:cs="Arial"/>
      <w:sz w:val="18"/>
      <w:szCs w:val="20"/>
      <w:lang w:val="en-GB" w:eastAsia="en-US"/>
    </w:rPr>
  </w:style>
  <w:style w:type="table" w:styleId="PlainTable2">
    <w:name w:val="Plain Table 2"/>
    <w:basedOn w:val="TableNormal"/>
    <w:uiPriority w:val="42"/>
    <w:rsid w:val="00FB707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FB707D"/>
    <w:pPr>
      <w:spacing w:after="200"/>
      <w:jc w:val="center"/>
    </w:pPr>
    <w:rPr>
      <w:i/>
      <w:iCs/>
      <w:sz w:val="20"/>
      <w:szCs w:val="20"/>
    </w:rPr>
  </w:style>
  <w:style w:type="paragraph" w:styleId="Header">
    <w:name w:val="header"/>
    <w:basedOn w:val="Normal"/>
    <w:link w:val="HeaderChar"/>
    <w:uiPriority w:val="99"/>
    <w:unhideWhenUsed/>
    <w:rsid w:val="00CA26E6"/>
    <w:pPr>
      <w:tabs>
        <w:tab w:val="center" w:pos="4680"/>
        <w:tab w:val="right" w:pos="9360"/>
      </w:tabs>
      <w:spacing w:after="0"/>
    </w:pPr>
  </w:style>
  <w:style w:type="character" w:customStyle="1" w:styleId="HeaderChar">
    <w:name w:val="Header Char"/>
    <w:basedOn w:val="DefaultParagraphFont"/>
    <w:link w:val="Header"/>
    <w:uiPriority w:val="99"/>
    <w:rsid w:val="00CA26E6"/>
    <w:rPr>
      <w:rFonts w:ascii="Calibri" w:eastAsia="Calibri" w:hAnsi="Calibri" w:cs="Calibri"/>
      <w:lang w:val="en-GB"/>
    </w:rPr>
  </w:style>
  <w:style w:type="paragraph" w:styleId="Footer">
    <w:name w:val="footer"/>
    <w:basedOn w:val="Normal"/>
    <w:link w:val="FooterChar"/>
    <w:uiPriority w:val="99"/>
    <w:unhideWhenUsed/>
    <w:rsid w:val="00CA26E6"/>
    <w:pPr>
      <w:tabs>
        <w:tab w:val="center" w:pos="4680"/>
        <w:tab w:val="right" w:pos="9360"/>
      </w:tabs>
      <w:spacing w:after="0"/>
    </w:pPr>
  </w:style>
  <w:style w:type="character" w:customStyle="1" w:styleId="FooterChar">
    <w:name w:val="Footer Char"/>
    <w:basedOn w:val="DefaultParagraphFont"/>
    <w:link w:val="Footer"/>
    <w:uiPriority w:val="99"/>
    <w:rsid w:val="00CA26E6"/>
    <w:rPr>
      <w:rFonts w:ascii="Calibri" w:eastAsia="Calibri" w:hAnsi="Calibri" w:cs="Calibri"/>
      <w:lang w:val="en-GB"/>
    </w:rPr>
  </w:style>
  <w:style w:type="character" w:styleId="SubtleReference">
    <w:name w:val="Subtle Reference"/>
    <w:uiPriority w:val="31"/>
    <w:qFormat/>
    <w:rsid w:val="00AD2662"/>
  </w:style>
  <w:style w:type="paragraph" w:styleId="FootnoteText">
    <w:name w:val="footnote text"/>
    <w:basedOn w:val="Normal"/>
    <w:link w:val="FootnoteTextChar"/>
    <w:uiPriority w:val="99"/>
    <w:semiHidden/>
    <w:unhideWhenUsed/>
    <w:rsid w:val="00766DC3"/>
    <w:pPr>
      <w:spacing w:after="0"/>
    </w:pPr>
    <w:rPr>
      <w:sz w:val="20"/>
      <w:szCs w:val="20"/>
    </w:rPr>
  </w:style>
  <w:style w:type="character" w:customStyle="1" w:styleId="FootnoteTextChar">
    <w:name w:val="Footnote Text Char"/>
    <w:basedOn w:val="DefaultParagraphFont"/>
    <w:link w:val="FootnoteText"/>
    <w:uiPriority w:val="99"/>
    <w:semiHidden/>
    <w:rsid w:val="00766DC3"/>
    <w:rPr>
      <w:rFonts w:ascii="Calibri" w:eastAsia="Calibri" w:hAnsi="Calibri" w:cs="Calibri"/>
      <w:sz w:val="20"/>
      <w:szCs w:val="20"/>
      <w:lang w:val="en-GB"/>
    </w:rPr>
  </w:style>
  <w:style w:type="character" w:styleId="FootnoteReference">
    <w:name w:val="footnote reference"/>
    <w:basedOn w:val="DefaultParagraphFont"/>
    <w:uiPriority w:val="99"/>
    <w:semiHidden/>
    <w:unhideWhenUsed/>
    <w:rsid w:val="00766D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doi.org/10.1016/j.autcon.2017.09.013" TargetMode="External"/><Relationship Id="rId2" Type="http://schemas.openxmlformats.org/officeDocument/2006/relationships/customXml" Target="../customXml/item2.xml"/><Relationship Id="rId16" Type="http://schemas.openxmlformats.org/officeDocument/2006/relationships/hyperlink" Target="https://doi.org/10.1016/j.aei.2020.10123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project-haystack.org"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jennifer.mcarthur@torontomu.ca" TargetMode="External"/><Relationship Id="rId14" Type="http://schemas.openxmlformats.org/officeDocument/2006/relationships/hyperlink" Target="https://openrouter.ai/model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H84qkDi+2Zoet5W0mTNw/WBGZw==">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</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93D2E9-696B-49CB-9EF0-29EB442B5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4151</Words>
  <Characters>23664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 McArthur</dc:creator>
  <cp:lastModifiedBy>Jenn McArthur</cp:lastModifiedBy>
  <cp:revision>4</cp:revision>
  <dcterms:created xsi:type="dcterms:W3CDTF">2026-09-14T09:23:00Z</dcterms:created>
  <dcterms:modified xsi:type="dcterms:W3CDTF">2026-09-14T09:24:00Z</dcterms:modified>
</cp:coreProperties>
</file>