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4DD2C4EE" w:rsidR="005076E1" w:rsidRPr="00D6057A" w:rsidRDefault="00F54BEA" w:rsidP="0059023F">
      <w:pPr>
        <w:spacing w:after="40"/>
        <w:jc w:val="center"/>
        <w:rPr>
          <w:b/>
          <w:bCs/>
          <w:sz w:val="28"/>
          <w:szCs w:val="28"/>
        </w:rPr>
      </w:pPr>
      <w:r w:rsidRPr="00CF4050">
        <w:rPr>
          <w:b/>
          <w:bCs/>
          <w:sz w:val="28"/>
          <w:szCs w:val="28"/>
        </w:rPr>
        <w:t>Memetic Knowledge Representation for Project Post-Mortems</w:t>
      </w:r>
    </w:p>
    <w:p w14:paraId="134952A8" w14:textId="16B963B9" w:rsidR="005076E1" w:rsidRPr="00D6057A" w:rsidRDefault="00CF4050" w:rsidP="0059023F">
      <w:pPr>
        <w:spacing w:after="40"/>
        <w:jc w:val="center"/>
        <w:rPr>
          <w:color w:val="EE0000"/>
          <w:sz w:val="24"/>
          <w:szCs w:val="24"/>
        </w:rPr>
      </w:pPr>
      <w:r>
        <w:rPr>
          <w:sz w:val="24"/>
          <w:szCs w:val="24"/>
        </w:rPr>
        <w:t>Design and Instantiation in an SME Engineering Consultancy</w:t>
      </w:r>
    </w:p>
    <w:p w14:paraId="7EF4B119" w14:textId="61337C42" w:rsidR="005076E1" w:rsidRPr="00D52677" w:rsidRDefault="00627DC9" w:rsidP="000865F9">
      <w:pPr>
        <w:pStyle w:val="Author"/>
        <w:spacing w:after="40"/>
        <w:jc w:val="center"/>
        <w:rPr>
          <w:rFonts w:ascii="Calibri" w:hAnsi="Calibri" w:cs="Calibri"/>
          <w:szCs w:val="22"/>
          <w:lang w:val="da-DK"/>
        </w:rPr>
      </w:pPr>
      <w:r w:rsidRPr="00D52677">
        <w:rPr>
          <w:rFonts w:ascii="Calibri" w:hAnsi="Calibri" w:cs="Calibri"/>
          <w:sz w:val="22"/>
          <w:szCs w:val="22"/>
          <w:lang w:val="da-DK"/>
        </w:rPr>
        <w:t>Peter Nørkjær Gade</w:t>
      </w:r>
      <w:proofErr w:type="gramStart"/>
      <w:r w:rsidRPr="00D52677">
        <w:rPr>
          <w:rFonts w:ascii="Calibri" w:hAnsi="Calibri" w:cs="Calibri"/>
          <w:sz w:val="22"/>
          <w:szCs w:val="22"/>
          <w:vertAlign w:val="superscript"/>
          <w:lang w:val="da-DK"/>
        </w:rPr>
        <w:t>1,*</w:t>
      </w:r>
      <w:proofErr w:type="gramEnd"/>
      <w:r w:rsidRPr="00D52677">
        <w:rPr>
          <w:rFonts w:ascii="Calibri" w:hAnsi="Calibri" w:cs="Calibri"/>
          <w:sz w:val="22"/>
          <w:szCs w:val="22"/>
          <w:lang w:val="da-DK"/>
        </w:rPr>
        <w:t>, Ronni Hansen</w:t>
      </w:r>
      <w:r w:rsidRPr="00D52677">
        <w:rPr>
          <w:rFonts w:ascii="Calibri" w:hAnsi="Calibri" w:cs="Calibri"/>
          <w:sz w:val="22"/>
          <w:szCs w:val="22"/>
          <w:vertAlign w:val="superscript"/>
          <w:lang w:val="da-DK"/>
        </w:rPr>
        <w:t>2</w:t>
      </w:r>
      <w:r w:rsidRPr="00D52677">
        <w:rPr>
          <w:rFonts w:ascii="Calibri" w:hAnsi="Calibri" w:cs="Calibri"/>
          <w:sz w:val="22"/>
          <w:szCs w:val="22"/>
          <w:lang w:val="da-DK"/>
        </w:rPr>
        <w:t>, Ulrich Schmitt</w:t>
      </w:r>
      <w:r w:rsidRPr="00D52677">
        <w:rPr>
          <w:rFonts w:ascii="Calibri" w:hAnsi="Calibri" w:cs="Calibri"/>
          <w:sz w:val="22"/>
          <w:szCs w:val="22"/>
          <w:vertAlign w:val="superscript"/>
          <w:lang w:val="da-DK"/>
        </w:rPr>
        <w:t>3</w:t>
      </w:r>
    </w:p>
    <w:p w14:paraId="0C3B0385" w14:textId="77777777" w:rsidR="005076E1" w:rsidRPr="00D52677" w:rsidRDefault="005076E1" w:rsidP="000865F9">
      <w:pPr>
        <w:pStyle w:val="Author"/>
        <w:jc w:val="center"/>
        <w:rPr>
          <w:rFonts w:ascii="Calibri" w:hAnsi="Calibri" w:cs="Calibri"/>
          <w:sz w:val="14"/>
          <w:szCs w:val="14"/>
          <w:lang w:val="da-DK"/>
        </w:rPr>
      </w:pPr>
    </w:p>
    <w:p w14:paraId="19913373" w14:textId="0F32D7D5" w:rsidR="00CF4050" w:rsidRPr="000865F9" w:rsidRDefault="008E41CD" w:rsidP="000865F9">
      <w:pPr>
        <w:pStyle w:val="Author"/>
        <w:spacing w:after="40"/>
        <w:rPr>
          <w:rFonts w:ascii="Calibri" w:hAnsi="Calibri" w:cs="Calibri"/>
          <w:szCs w:val="22"/>
        </w:rPr>
      </w:pPr>
      <w:r>
        <w:rPr>
          <w:rFonts w:ascii="Calibri" w:hAnsi="Calibri" w:cs="Calibri"/>
          <w:sz w:val="22"/>
          <w:szCs w:val="22"/>
          <w:vertAlign w:val="superscript"/>
        </w:rPr>
        <w:t>1</w:t>
      </w:r>
      <w:r>
        <w:rPr>
          <w:rFonts w:ascii="Calibri" w:hAnsi="Calibri" w:cs="Calibri"/>
          <w:sz w:val="22"/>
          <w:szCs w:val="22"/>
        </w:rPr>
        <w:t xml:space="preserve"> UCN – University College of Northern Denmark, Aalborg, Denmark</w:t>
      </w:r>
    </w:p>
    <w:p w14:paraId="69EE40D1" w14:textId="77777777" w:rsidR="00CF4050" w:rsidRPr="00D52677" w:rsidRDefault="008E41CD" w:rsidP="000865F9">
      <w:pPr>
        <w:pStyle w:val="Author"/>
        <w:spacing w:after="40"/>
        <w:rPr>
          <w:rFonts w:ascii="Calibri" w:hAnsi="Calibri" w:cs="Calibri"/>
          <w:szCs w:val="22"/>
          <w:lang w:val="da-DK"/>
        </w:rPr>
      </w:pPr>
      <w:r w:rsidRPr="00D52677">
        <w:rPr>
          <w:rFonts w:ascii="Calibri" w:hAnsi="Calibri" w:cs="Calibri"/>
          <w:sz w:val="22"/>
          <w:szCs w:val="22"/>
          <w:vertAlign w:val="superscript"/>
          <w:lang w:val="da-DK"/>
        </w:rPr>
        <w:t>2</w:t>
      </w:r>
      <w:r w:rsidRPr="00D52677">
        <w:rPr>
          <w:rFonts w:ascii="Calibri" w:hAnsi="Calibri" w:cs="Calibri"/>
          <w:sz w:val="22"/>
          <w:szCs w:val="22"/>
          <w:lang w:val="da-DK"/>
        </w:rPr>
        <w:t xml:space="preserve"> Viborg Ingeniørerne A/S, Viborg, Denmark</w:t>
      </w:r>
    </w:p>
    <w:p w14:paraId="7439785A" w14:textId="77777777" w:rsidR="00CF4050" w:rsidRPr="000865F9" w:rsidRDefault="008E41CD" w:rsidP="000865F9">
      <w:pPr>
        <w:pStyle w:val="Author"/>
        <w:spacing w:after="40"/>
        <w:rPr>
          <w:rFonts w:ascii="Calibri" w:hAnsi="Calibri" w:cs="Calibri"/>
          <w:szCs w:val="22"/>
        </w:rPr>
      </w:pPr>
      <w:r>
        <w:rPr>
          <w:rFonts w:ascii="Calibri" w:hAnsi="Calibri" w:cs="Calibri"/>
          <w:sz w:val="22"/>
          <w:szCs w:val="22"/>
          <w:vertAlign w:val="superscript"/>
        </w:rPr>
        <w:t>3</w:t>
      </w:r>
      <w:r>
        <w:rPr>
          <w:rFonts w:ascii="Calibri" w:hAnsi="Calibri" w:cs="Calibri"/>
          <w:sz w:val="22"/>
          <w:szCs w:val="22"/>
        </w:rPr>
        <w:t xml:space="preserve"> Stellenbosch Business School, Stellenbosch, South Africa</w:t>
      </w:r>
    </w:p>
    <w:p w14:paraId="1BC4AD16" w14:textId="7212BF31" w:rsidR="005076E1" w:rsidRPr="000865F9" w:rsidRDefault="005076E1" w:rsidP="000865F9">
      <w:pPr>
        <w:pStyle w:val="Author"/>
        <w:spacing w:after="40"/>
        <w:rPr>
          <w:rFonts w:ascii="Calibri" w:hAnsi="Calibri" w:cs="Calibri"/>
          <w:szCs w:val="22"/>
        </w:rPr>
      </w:pPr>
      <w:r>
        <w:rPr>
          <w:rFonts w:ascii="Calibri" w:hAnsi="Calibri" w:cs="Calibri"/>
          <w:sz w:val="22"/>
          <w:szCs w:val="22"/>
          <w:vertAlign w:val="superscript"/>
        </w:rPr>
        <w:t>*</w:t>
      </w:r>
      <w:r>
        <w:rPr>
          <w:rFonts w:ascii="Calibri" w:hAnsi="Calibri" w:cs="Calibri"/>
          <w:i/>
          <w:sz w:val="22"/>
          <w:szCs w:val="22"/>
        </w:rPr>
        <w:t>Corresponding email: pega@ucn.dk</w:t>
      </w:r>
    </w:p>
    <w:p w14:paraId="2423D83D" w14:textId="77777777" w:rsidR="00CA14EB" w:rsidRDefault="00CA14EB">
      <w:pPr>
        <w:spacing w:after="0"/>
        <w:rPr>
          <w:sz w:val="14"/>
          <w:szCs w:val="14"/>
        </w:rPr>
      </w:pPr>
    </w:p>
    <w:p w14:paraId="662F0B45" w14:textId="6A714864" w:rsidR="005076E1" w:rsidRPr="00D6057A" w:rsidRDefault="005076E1" w:rsidP="000865F9">
      <w:pPr>
        <w:spacing w:after="40"/>
        <w:ind w:left="1134" w:right="1088"/>
        <w:rPr>
          <w:b/>
          <w:bCs/>
          <w:sz w:val="28"/>
          <w:szCs w:val="28"/>
        </w:rPr>
      </w:pPr>
      <w:r w:rsidRPr="00D6057A">
        <w:rPr>
          <w:b/>
          <w:bCs/>
          <w:sz w:val="28"/>
          <w:szCs w:val="28"/>
        </w:rPr>
        <w:t>ABSTRACT</w:t>
      </w:r>
    </w:p>
    <w:p w14:paraId="3E17C4E7" w14:textId="0991746F" w:rsidR="003E68D8" w:rsidRPr="003E68D8" w:rsidRDefault="002F4AF9" w:rsidP="000865F9">
      <w:pPr>
        <w:spacing w:after="40"/>
        <w:ind w:left="1134" w:right="1088"/>
        <w:jc w:val="both"/>
      </w:pPr>
      <w:r>
        <w:t>Small and medium-sized engineering (SME) consultancies in construction accumulate project knowledge that stays tacit and is lost when teams disband. Post-mortem reports are written, filed, and rarely read again. This paper presents a design for representing and evolving that knowledge and reports its instantiation in the production project platform of a Danish SME engineering consultancy. The main contribution is a three-layer architecture that turns each lesson learned into an inspectable conditional rule, which the system fires when a new project matches the context the lesson came from. Adapting the Personal Knowledge Management System (PKMS) framework from individual to organisational use, a lesson is held as a meme: a short prose statement in practitioner language paired with predicates over six typed context attributes such as construction class, team size, and project phase. The three layers are a context derivation engine that computes those attributes from records the firm already maintains, so no additional entry of context data is required; a repository where practitioners author memes through a guided form rather than a rule language; and a debriefing mechanism where teams rate active memes keep, amend, or discard. Memetics is used as a bounded design heuristic for variation, selection, and retention, not as a claim about cultural replicators: the artefact is technically a context-triggered, practitioner-governed rule repository. The instantiation establishes technical feasibility: context is computed from existing records, every activation is traceable to the predicates that produced it, and every amendment is versioned. No evaluation of learning, behaviour, or project outcomes has been carried out. The paper states for each design objective what evidence exists and what does not, and specifies a staged evaluation prospectively, including the result that would count against the design.</w:t>
      </w:r>
    </w:p>
    <w:p w14:paraId="26080D97" w14:textId="600D60E1" w:rsidR="005076E1" w:rsidRPr="008C2435" w:rsidRDefault="003E68D8" w:rsidP="000865F9">
      <w:pPr>
        <w:spacing w:after="40"/>
        <w:ind w:left="1134" w:right="1088"/>
        <w:jc w:val="both"/>
        <w:rPr>
          <w:color w:val="000000"/>
        </w:rPr>
      </w:pPr>
      <w:r>
        <w:rPr>
          <w:color w:val="000000"/>
        </w:rPr>
        <w:t>Keywords: Knowledge Management; Memetics; Human-Data Interaction; Post-Mortem Evaluation; Construction SME; Context-Aware Retrieval; Design Science Research</w:t>
      </w:r>
    </w:p>
    <w:p w14:paraId="0E2B4F7D" w14:textId="77777777" w:rsidR="00CA14EB" w:rsidRDefault="00CA14EB">
      <w:pPr>
        <w:spacing w:after="0"/>
        <w:rPr>
          <w:sz w:val="14"/>
          <w:szCs w:val="14"/>
        </w:rPr>
      </w:pPr>
    </w:p>
    <w:p w14:paraId="19E47564" w14:textId="5C3893A6" w:rsidR="005076E1" w:rsidRPr="0081147B" w:rsidRDefault="0081147B" w:rsidP="0059023F">
      <w:pPr>
        <w:spacing w:after="40"/>
        <w:rPr>
          <w:b/>
          <w:bCs/>
          <w:color w:val="000000"/>
          <w:sz w:val="28"/>
          <w:szCs w:val="28"/>
        </w:rPr>
      </w:pPr>
      <w:r w:rsidRPr="0081147B">
        <w:rPr>
          <w:b/>
          <w:bCs/>
          <w:color w:val="000000"/>
          <w:sz w:val="28"/>
          <w:szCs w:val="28"/>
        </w:rPr>
        <w:t>1. INTRODUCTION</w:t>
      </w:r>
    </w:p>
    <w:p w14:paraId="029B67D1" w14:textId="4CDD4CF2" w:rsidR="005076E1" w:rsidRPr="00D6057A" w:rsidRDefault="00F61495" w:rsidP="008A29FB">
      <w:pPr>
        <w:spacing w:after="40"/>
        <w:ind w:firstLine="851"/>
        <w:jc w:val="both"/>
      </w:pPr>
      <w:r>
        <w:rPr>
          <w:color w:val="000000"/>
        </w:rPr>
        <w:t xml:space="preserve">Construction is project-based: each project is unique, temporary, and assembled from a different combination of clients, sites, and teams, so when it ends the team disbands and execution knowledge is at risk (Scarbrough et al., 2004). Post-mortems are a common formal mechanism for converting that experience into organisational memory (Williams, 2008), yet their outputs are routinely scattered and not effectively reutilised (Debs and Hubbard, 2023), ending in databases that later teams do not consult (Carrillo et al., 2004; </w:t>
      </w:r>
      <w:proofErr w:type="spellStart"/>
      <w:r>
        <w:rPr>
          <w:color w:val="000000"/>
        </w:rPr>
        <w:t>Dülgerler</w:t>
      </w:r>
      <w:proofErr w:type="spellEnd"/>
      <w:r>
        <w:rPr>
          <w:color w:val="000000"/>
        </w:rPr>
        <w:t xml:space="preserve"> and Negri, 2016). Codification is itself an </w:t>
      </w:r>
      <w:r>
        <w:rPr>
          <w:color w:val="000000"/>
        </w:rPr>
        <w:lastRenderedPageBreak/>
        <w:t xml:space="preserve">obstacle: Ferres and </w:t>
      </w:r>
      <w:proofErr w:type="spellStart"/>
      <w:r>
        <w:rPr>
          <w:color w:val="000000"/>
        </w:rPr>
        <w:t>Moehler</w:t>
      </w:r>
      <w:proofErr w:type="spellEnd"/>
      <w:r>
        <w:rPr>
          <w:color w:val="000000"/>
        </w:rPr>
        <w:t xml:space="preserve"> (2024) describe ability-to-codify challenges that the intention to codify does not overcome. The problem is sharpest in small and medium-sized enterprises (SMEs), which lag larger firms in knowledge-management (KM) adoption (Hari et al., 2004; López and Yepes, 2024). Studies of AEC SMEs in Turkey and South Africa report tacit-to-explicit conversion as the leading barrier, compounded by unorganised storage, no dedicated KM roles, and little time for reflection (Balaban-Ökten and Gundes, 2018; </w:t>
      </w:r>
      <w:proofErr w:type="spellStart"/>
      <w:r>
        <w:rPr>
          <w:color w:val="000000"/>
        </w:rPr>
        <w:t>Aghimien</w:t>
      </w:r>
      <w:proofErr w:type="spellEnd"/>
      <w:r>
        <w:rPr>
          <w:color w:val="000000"/>
        </w:rPr>
        <w:t xml:space="preserve"> et al., 2019). The firms that depend most on practitioner judgement are least equipped to retain it.</w:t>
      </w:r>
    </w:p>
    <w:p w14:paraId="13326868" w14:textId="7695863C" w:rsidR="006E77D5" w:rsidRPr="00D6057A" w:rsidRDefault="00F61495" w:rsidP="008A29FB">
      <w:pPr>
        <w:spacing w:after="40"/>
        <w:ind w:firstLine="851"/>
        <w:jc w:val="both"/>
      </w:pPr>
      <w:r>
        <w:t xml:space="preserve">Three questions follow. RQ1: how can a project lesson be represented so that SME practitioners can author it and audit the logic that makes it appear? RQ2: how far can routinely recorded project data drive context-triggered delivery without additional data entry? RQ3: what does an instantiation demonstrate, and what remains untested? The main contribution is a three-layer architecture, built and instantiated inside an SME, that turns each lesson learned into an inspectable conditional rule over automatically derived project context, so that </w:t>
      </w:r>
      <w:proofErr w:type="gramStart"/>
      <w:r>
        <w:t>past experience</w:t>
      </w:r>
      <w:proofErr w:type="gramEnd"/>
      <w:r>
        <w:t xml:space="preserve"> surfaces without being searched for. Adapting the PKMS framework (Schmitt, 2013, 2016) from individual to organisational use, memes are used as a bounded design heuristic rather than an ontological claim about cultural transmission (§2.2): technically the artefact is a context-triggered, practitioner-governed rule repository, and memetics supplies the variation-selection-retention pattern that governs its lifecycle. Two contributions follow: an operationalisation of that pattern as running system logic rather than descriptive metaphor, and three candidate design principles (§6) testable in firms that never adopt this artefact. Human-Data Interaction (Mortier et al., 2014) frames the practitioner-facing layer, treating legibility, agency, and negotiability as design commitments whose contribution to adoption is untested here. The paper reports design and instantiation, not effects; §5.4 states the evidence available for each design objective and specifies the evaluation that would supply the rest.</w:t>
      </w:r>
    </w:p>
    <w:p w14:paraId="2E953226" w14:textId="77777777" w:rsidR="00CA14EB" w:rsidRDefault="00CA14EB">
      <w:pPr>
        <w:spacing w:after="0"/>
        <w:rPr>
          <w:sz w:val="14"/>
          <w:szCs w:val="14"/>
        </w:rPr>
      </w:pPr>
    </w:p>
    <w:p w14:paraId="64EA7039" w14:textId="1646A989" w:rsidR="00D6057A" w:rsidRPr="00943FF0" w:rsidRDefault="00943FF0" w:rsidP="0059023F">
      <w:pPr>
        <w:spacing w:after="40"/>
        <w:rPr>
          <w:b/>
          <w:bCs/>
          <w:color w:val="000000"/>
          <w:sz w:val="28"/>
          <w:szCs w:val="28"/>
        </w:rPr>
      </w:pPr>
      <w:r w:rsidRPr="00943FF0">
        <w:rPr>
          <w:b/>
          <w:bCs/>
          <w:color w:val="000000"/>
          <w:sz w:val="28"/>
          <w:szCs w:val="28"/>
        </w:rPr>
        <w:t>2. BACKGROUND AND RELATED WORK</w:t>
      </w:r>
    </w:p>
    <w:p w14:paraId="7BCF568F" w14:textId="1339799C" w:rsidR="00B60C75" w:rsidRPr="002131E2" w:rsidRDefault="00F61495" w:rsidP="008A29FB">
      <w:pPr>
        <w:spacing w:after="40"/>
        <w:ind w:firstLine="851"/>
        <w:jc w:val="both"/>
      </w:pPr>
      <w:r w:rsidRPr="00F61495">
        <w:t>The framework draws on three literatures: knowledge management in project-based construction SMEs, memetics as a theoretical foundation for organisational knowledge, and rule-based context-aware delivery as the implementation paradigm.</w:t>
      </w:r>
      <w:r w:rsidR="008526EA">
        <w:t xml:space="preserve"> </w:t>
      </w:r>
    </w:p>
    <w:p w14:paraId="2CB19713" w14:textId="77777777" w:rsidR="00CA14EB" w:rsidRDefault="00CA14EB">
      <w:pPr>
        <w:spacing w:after="0"/>
        <w:rPr>
          <w:sz w:val="14"/>
          <w:szCs w:val="14"/>
        </w:rPr>
      </w:pPr>
    </w:p>
    <w:p w14:paraId="3573CEA7" w14:textId="27AEE68C" w:rsidR="008D265C" w:rsidRPr="008D265C" w:rsidRDefault="008D265C" w:rsidP="0059023F">
      <w:pPr>
        <w:spacing w:after="40"/>
        <w:rPr>
          <w:b/>
          <w:sz w:val="24"/>
        </w:rPr>
      </w:pPr>
      <w:r w:rsidRPr="008D265C">
        <w:rPr>
          <w:b/>
          <w:sz w:val="24"/>
        </w:rPr>
        <w:t>2.1 Knowledge management in construction SMEs</w:t>
      </w:r>
    </w:p>
    <w:p w14:paraId="0E7488C0" w14:textId="78D98C14" w:rsidR="00B60C75" w:rsidRPr="002131E2" w:rsidRDefault="00F61495" w:rsidP="008A29FB">
      <w:pPr>
        <w:spacing w:after="40"/>
        <w:ind w:firstLine="851"/>
        <w:jc w:val="both"/>
      </w:pPr>
      <w:r>
        <w:t xml:space="preserve">The tacit-explicit distinction has anchored KM theory since Polanyi (1958), and Nonaka and Takeuchi (1995) framed organisational learning as the SECI spiral. The approach here engages Externalisation, but carefully: what a meme holds </w:t>
      </w:r>
      <w:proofErr w:type="gramStart"/>
      <w:r>
        <w:t>is</w:t>
      </w:r>
      <w:proofErr w:type="gramEnd"/>
      <w:r>
        <w:t xml:space="preserve"> not tacit competence but a selected practitioner judgement, codified as an explicit, revisable rule. Codification drops contingency, embodied skill, and relational judgement, and Ferres and </w:t>
      </w:r>
      <w:proofErr w:type="spellStart"/>
      <w:r>
        <w:t>Moehler</w:t>
      </w:r>
      <w:proofErr w:type="spellEnd"/>
      <w:r>
        <w:t xml:space="preserve"> (2024) show that intent to codify is not sufficient to achieve it. Externalisation is nonetheless the binding step here, because tacit-to-explicit conversion is the barrier these firms report first (Balaban-Ökten and Gundes, 2018). The recurring problem with post-mortems is then not capture but context-sensitive retrieval (Debs and Hubbard, 2023; Carrillo et al., 2004). Eken et al. (2020) developed and evaluated a lessons-learned tool retrieving by project similarity, the principle behind the activation logic used here. The setting demands KM artefacts that are </w:t>
      </w:r>
      <w:proofErr w:type="gramStart"/>
      <w:r>
        <w:t>low-overhead</w:t>
      </w:r>
      <w:proofErr w:type="gramEnd"/>
      <w:r>
        <w:t>, integrate with existing infrastructure, and reward use rather than impose curation (López and Yepes, 2024).</w:t>
      </w:r>
    </w:p>
    <w:p w14:paraId="33FD8161" w14:textId="77777777" w:rsidR="00CA14EB" w:rsidRDefault="00CA14EB">
      <w:pPr>
        <w:spacing w:after="0"/>
        <w:rPr>
          <w:sz w:val="14"/>
          <w:szCs w:val="14"/>
        </w:rPr>
      </w:pPr>
    </w:p>
    <w:p w14:paraId="32C07837" w14:textId="1F9E1411" w:rsidR="0043119B" w:rsidRPr="0043119B" w:rsidRDefault="0043119B" w:rsidP="0059023F">
      <w:pPr>
        <w:spacing w:after="40"/>
        <w:rPr>
          <w:b/>
          <w:sz w:val="24"/>
        </w:rPr>
      </w:pPr>
      <w:r w:rsidRPr="0043119B">
        <w:rPr>
          <w:b/>
          <w:sz w:val="24"/>
        </w:rPr>
        <w:t>2.2 Memetics as a foundation for organisational knowledge</w:t>
      </w:r>
    </w:p>
    <w:p w14:paraId="03080E17" w14:textId="2AD3D618" w:rsidR="00E801CA" w:rsidRDefault="00CA2ECF" w:rsidP="008A29FB">
      <w:pPr>
        <w:spacing w:after="40"/>
        <w:ind w:firstLine="851"/>
        <w:jc w:val="both"/>
      </w:pPr>
      <w:r>
        <w:t xml:space="preserve">Dawkins (1976) introduced the meme as a unit of cultural transmission subject to variation, selection, and retention, and Blackmore (1999) developed it as a basis for collective knowledge. Organisational applications treat memes as an intra-organisational ecology (Weeks and </w:t>
      </w:r>
      <w:proofErr w:type="spellStart"/>
      <w:r>
        <w:t>Galunic</w:t>
      </w:r>
      <w:proofErr w:type="spellEnd"/>
      <w:r>
        <w:t xml:space="preserve">, 2003), as generalised Darwinism (Hodgson and Knudsen, 2004), and as selection among co-adapted mental </w:t>
      </w:r>
      <w:r>
        <w:lastRenderedPageBreak/>
        <w:t>replicators (Price, 1995). Those are descriptive theories of how firms change; what is borrowed here is narrower. Memetics is used as a design heuristic: it requires that a repository support variation, selection, and retention as first-class operations, and it makes the absence of any of the three a design fault rather than an omission. The most direct precursor is the PKMS (Schmitt, 2013, 2016), which departs from document-centric KM by making the discrete idea the atomic unit of knowledge. PKMS anticipated Organisational Heritage of Memes Repositories as spin-offs, and to the authors' knowledge this is the first instantiation.</w:t>
      </w:r>
    </w:p>
    <w:p w14:paraId="25426B61" w14:textId="03C897D2" w:rsidR="00D6057A" w:rsidRPr="00D6057A" w:rsidRDefault="00E801CA" w:rsidP="008A29FB">
      <w:pPr>
        <w:spacing w:after="40"/>
        <w:ind w:firstLine="851"/>
        <w:jc w:val="both"/>
      </w:pPr>
      <w:r>
        <w:t xml:space="preserve">Memetics is contested, and instrumental use does not exempt the design from its principal objections (Aunger, 2000). Three </w:t>
      </w:r>
      <w:proofErr w:type="gramStart"/>
      <w:r>
        <w:t>bear</w:t>
      </w:r>
      <w:proofErr w:type="gramEnd"/>
      <w:r>
        <w:t xml:space="preserve"> on it directly: ideas lack the bounded identity of genes, so the unit is unclear; recipients reconstruct rather than copy, so replication is lossy (Sperber, 1996); and cultural selection is not blind, because practitioners retain knowledge deliberately. Fixing the unit as an authored, versioned rule answers the </w:t>
      </w:r>
      <w:proofErr w:type="gramStart"/>
      <w:r>
        <w:t>first, and</w:t>
      </w:r>
      <w:proofErr w:type="gramEnd"/>
      <w:r>
        <w:t xml:space="preserve"> recording amendment as versioned variation answers the second. The third is conceded rather than answered: selection here is deliberate governance by domain experts, not environmental competition. That concession is why memetics is claimed as a design heuristic and not as an account of how the repository behaves.</w:t>
      </w:r>
    </w:p>
    <w:p w14:paraId="1F593909" w14:textId="77777777" w:rsidR="00CA14EB" w:rsidRDefault="00CA14EB">
      <w:pPr>
        <w:spacing w:after="0"/>
        <w:rPr>
          <w:sz w:val="14"/>
          <w:szCs w:val="14"/>
        </w:rPr>
      </w:pPr>
    </w:p>
    <w:p w14:paraId="0FD1F961" w14:textId="4098750E" w:rsidR="00D6057A" w:rsidRPr="0088431F" w:rsidRDefault="00184858" w:rsidP="0059023F">
      <w:pPr>
        <w:spacing w:after="40"/>
        <w:rPr>
          <w:b/>
          <w:bCs/>
          <w:iCs/>
          <w:sz w:val="24"/>
          <w:szCs w:val="28"/>
        </w:rPr>
      </w:pPr>
      <w:r w:rsidRPr="0088431F">
        <w:rPr>
          <w:b/>
          <w:bCs/>
          <w:iCs/>
          <w:sz w:val="24"/>
          <w:szCs w:val="28"/>
        </w:rPr>
        <w:t>2.3 Rule-based systems, context-aware delivery, and HDI</w:t>
      </w:r>
    </w:p>
    <w:p w14:paraId="251025A8" w14:textId="44D43CB8" w:rsidR="0068767D" w:rsidRDefault="006E76DB" w:rsidP="008A29FB">
      <w:pPr>
        <w:spacing w:after="40"/>
        <w:ind w:firstLine="851"/>
        <w:jc w:val="both"/>
      </w:pPr>
      <w:r>
        <w:t>The architecture follows the rule-based expert-systems tradition (Hayes-Roth, 1985): condition-action rules push knowledge to users instead of waiting for them to search, addressing a recurring failure of construction lessons-learned systems (Carrillo et al., 2004). The nearest neighbour is case-based reasoning (CBR), which retrieves and adapts whole past cases by similarity (Aamodt and Plaza, 1994; Watson and Perera, 1997); richer matching again is available from semantic search, ontology-based KM, and information demand patterns (Deng et al., 2022; Lundqvist et al., 2011), at the cost of authoring skill the host firm does not have. Table 1 positions the artefact against these alternatives on the dimensions that decide whether an SME can operate it. Human-Data Interaction (Mortier et al., 2014) frames the practitioner-facing layer through legibility, agency, and negotiability; it is used as a design lens, not as established evidence about adoption.</w:t>
      </w:r>
    </w:p>
    <w:p w14:paraId="6F04A0EA" w14:textId="4116A7B5" w:rsidR="00B60C75" w:rsidRPr="002131E2" w:rsidRDefault="00DF6D6B" w:rsidP="00D82D02">
      <w:pPr>
        <w:pStyle w:val="Billedtekst"/>
        <w:keepNext/>
        <w:spacing w:after="40"/>
        <w:jc w:val="center"/>
        <w:rPr>
          <w:color w:val="000000"/>
        </w:rPr>
      </w:pPr>
      <w:r>
        <w:t>Table 1: The artefact positioned against alternative approaches to reusing project knowledge, on the dimensions that decide whether an SME can operate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0"/>
        <w:gridCol w:w="1800"/>
        <w:gridCol w:w="2000"/>
        <w:gridCol w:w="3050"/>
      </w:tblGrid>
      <w:tr w:rsidR="00916E77" w:rsidRPr="00916E77" w14:paraId="6EC88688" w14:textId="77777777" w:rsidTr="00D52677">
        <w:tc>
          <w:tcPr>
            <w:tcW w:w="1750" w:type="dxa"/>
          </w:tcPr>
          <w:p w14:paraId="4599FE8D" w14:textId="51AADE3A" w:rsidR="00916E77" w:rsidRPr="006C2757" w:rsidRDefault="00916E77" w:rsidP="000865F9">
            <w:pPr>
              <w:spacing w:after="0"/>
              <w:rPr>
                <w:b/>
                <w:bCs/>
              </w:rPr>
            </w:pPr>
            <w:r>
              <w:rPr>
                <w:b/>
                <w:bCs/>
              </w:rPr>
              <w:t>Approach</w:t>
            </w:r>
          </w:p>
        </w:tc>
        <w:tc>
          <w:tcPr>
            <w:tcW w:w="1800" w:type="dxa"/>
          </w:tcPr>
          <w:p w14:paraId="3FC73167" w14:textId="231C44C5" w:rsidR="00916E77" w:rsidRPr="006C2757" w:rsidRDefault="00916E77" w:rsidP="000865F9">
            <w:pPr>
              <w:spacing w:after="0"/>
              <w:rPr>
                <w:b/>
                <w:bCs/>
              </w:rPr>
            </w:pPr>
            <w:r>
              <w:rPr>
                <w:b/>
                <w:bCs/>
              </w:rPr>
              <w:t>Unit of reuse</w:t>
            </w:r>
          </w:p>
        </w:tc>
        <w:tc>
          <w:tcPr>
            <w:tcW w:w="2000" w:type="dxa"/>
          </w:tcPr>
          <w:p w14:paraId="57BF0F83" w14:textId="0E87010D" w:rsidR="00916E77" w:rsidRPr="006C2757" w:rsidRDefault="00916E77" w:rsidP="000865F9">
            <w:pPr>
              <w:spacing w:after="0"/>
              <w:rPr>
                <w:b/>
                <w:bCs/>
              </w:rPr>
            </w:pPr>
            <w:r>
              <w:rPr>
                <w:b/>
                <w:bCs/>
              </w:rPr>
              <w:t>Activation</w:t>
            </w:r>
          </w:p>
        </w:tc>
        <w:tc>
          <w:tcPr>
            <w:tcW w:w="3050" w:type="dxa"/>
          </w:tcPr>
          <w:p w14:paraId="57C2FF49" w14:textId="6C400E23" w:rsidR="00916E77" w:rsidRPr="006C2757" w:rsidRDefault="00916E77" w:rsidP="000865F9">
            <w:pPr>
              <w:spacing w:after="0"/>
              <w:rPr>
                <w:b/>
                <w:bCs/>
              </w:rPr>
            </w:pPr>
            <w:r>
              <w:rPr>
                <w:b/>
                <w:bCs/>
              </w:rPr>
              <w:t>Authoring, explanation, retirement</w:t>
            </w:r>
          </w:p>
        </w:tc>
      </w:tr>
      <w:tr w:rsidR="00916E77" w:rsidRPr="00916E77" w14:paraId="5A913425" w14:textId="77777777" w:rsidTr="00D52677">
        <w:tc>
          <w:tcPr>
            <w:tcW w:w="1750" w:type="dxa"/>
          </w:tcPr>
          <w:p w14:paraId="1DDE08A5" w14:textId="706B3A51" w:rsidR="00916E77" w:rsidRPr="006C2757" w:rsidRDefault="00916E77" w:rsidP="000865F9">
            <w:pPr>
              <w:spacing w:after="0"/>
            </w:pPr>
            <w:r>
              <w:t>Post-mortem report repository</w:t>
            </w:r>
          </w:p>
        </w:tc>
        <w:tc>
          <w:tcPr>
            <w:tcW w:w="1800" w:type="dxa"/>
          </w:tcPr>
          <w:p w14:paraId="69FE5185" w14:textId="5CA91AF4" w:rsidR="00916E77" w:rsidRPr="006C2757" w:rsidRDefault="00916E77" w:rsidP="000865F9">
            <w:pPr>
              <w:spacing w:after="0"/>
            </w:pPr>
            <w:r>
              <w:t>Whole report</w:t>
            </w:r>
          </w:p>
        </w:tc>
        <w:tc>
          <w:tcPr>
            <w:tcW w:w="2000" w:type="dxa"/>
          </w:tcPr>
          <w:p w14:paraId="5C8A4244" w14:textId="5E7BE146" w:rsidR="00916E77" w:rsidRPr="006C2757" w:rsidRDefault="00916E77" w:rsidP="000865F9">
            <w:pPr>
              <w:spacing w:after="0"/>
            </w:pPr>
            <w:r>
              <w:t>Manual search by the reader</w:t>
            </w:r>
          </w:p>
        </w:tc>
        <w:tc>
          <w:tcPr>
            <w:tcW w:w="3050" w:type="dxa"/>
          </w:tcPr>
          <w:p w14:paraId="3F1D1A92" w14:textId="517E2414" w:rsidR="00916E77" w:rsidRPr="006C2757" w:rsidRDefault="00916E77" w:rsidP="000865F9">
            <w:pPr>
              <w:spacing w:after="0"/>
            </w:pPr>
            <w:r>
              <w:t>Team authors at closure; no firing logic to explain; no retirement</w:t>
            </w:r>
          </w:p>
        </w:tc>
      </w:tr>
      <w:tr w:rsidR="00916E77" w:rsidRPr="00916E77" w14:paraId="7A166650" w14:textId="77777777" w:rsidTr="00D52677">
        <w:tc>
          <w:tcPr>
            <w:tcW w:w="1750" w:type="dxa"/>
          </w:tcPr>
          <w:p w14:paraId="3CEDDD18" w14:textId="77777777" w:rsidR="00916E77" w:rsidRPr="006C2757" w:rsidRDefault="00916E77" w:rsidP="000865F9">
            <w:pPr>
              <w:spacing w:after="0"/>
            </w:pPr>
            <w:r>
              <w:t>Case-based reasoning</w:t>
            </w:r>
          </w:p>
        </w:tc>
        <w:tc>
          <w:tcPr>
            <w:tcW w:w="1800" w:type="dxa"/>
          </w:tcPr>
          <w:p w14:paraId="0C47BEDC" w14:textId="77777777" w:rsidR="00916E77" w:rsidRPr="006C2757" w:rsidRDefault="00916E77" w:rsidP="000865F9">
            <w:pPr>
              <w:spacing w:after="0"/>
            </w:pPr>
            <w:r>
              <w:t>Whole prior case</w:t>
            </w:r>
          </w:p>
        </w:tc>
        <w:tc>
          <w:tcPr>
            <w:tcW w:w="2000" w:type="dxa"/>
          </w:tcPr>
          <w:p w14:paraId="3771A8EE" w14:textId="77777777" w:rsidR="00916E77" w:rsidRPr="006C2757" w:rsidRDefault="00916E77" w:rsidP="000865F9">
            <w:pPr>
              <w:spacing w:after="0"/>
            </w:pPr>
            <w:r>
              <w:t>Graded similarity, user-initiated</w:t>
            </w:r>
          </w:p>
        </w:tc>
        <w:tc>
          <w:tcPr>
            <w:tcW w:w="3050" w:type="dxa"/>
          </w:tcPr>
          <w:p w14:paraId="1E6A9658" w14:textId="77777777" w:rsidR="00916E77" w:rsidRPr="006C2757" w:rsidRDefault="00916E77" w:rsidP="000865F9">
            <w:pPr>
              <w:spacing w:after="0"/>
            </w:pPr>
            <w:r>
              <w:t>Cases captured from records; similarity opaque to non-specialists; adaptation left to the user</w:t>
            </w:r>
          </w:p>
        </w:tc>
      </w:tr>
      <w:tr w:rsidR="00916E77" w:rsidRPr="00916E77" w14:paraId="666330AA" w14:textId="77777777" w:rsidTr="00D52677">
        <w:tc>
          <w:tcPr>
            <w:tcW w:w="1750" w:type="dxa"/>
          </w:tcPr>
          <w:p w14:paraId="485FFBAE" w14:textId="77777777" w:rsidR="00916E77" w:rsidRPr="006C2757" w:rsidRDefault="00916E77" w:rsidP="000865F9">
            <w:pPr>
              <w:spacing w:after="0"/>
            </w:pPr>
            <w:r>
              <w:t>Ontology-based KM, semantic search, information demand patterns</w:t>
            </w:r>
          </w:p>
        </w:tc>
        <w:tc>
          <w:tcPr>
            <w:tcW w:w="1800" w:type="dxa"/>
          </w:tcPr>
          <w:p w14:paraId="25471C5A" w14:textId="77777777" w:rsidR="00916E77" w:rsidRPr="006C2757" w:rsidRDefault="00916E77" w:rsidP="000865F9">
            <w:pPr>
              <w:spacing w:after="0"/>
            </w:pPr>
            <w:r>
              <w:t>Concept-linked content or role-based need</w:t>
            </w:r>
          </w:p>
        </w:tc>
        <w:tc>
          <w:tcPr>
            <w:tcW w:w="2000" w:type="dxa"/>
          </w:tcPr>
          <w:p w14:paraId="34176FE1" w14:textId="77777777" w:rsidR="00916E77" w:rsidRPr="006C2757" w:rsidRDefault="00916E77" w:rsidP="000865F9">
            <w:pPr>
              <w:spacing w:after="0"/>
            </w:pPr>
            <w:r>
              <w:t>Semantic query, role and work situation</w:t>
            </w:r>
          </w:p>
        </w:tc>
        <w:tc>
          <w:tcPr>
            <w:tcW w:w="3050" w:type="dxa"/>
          </w:tcPr>
          <w:p w14:paraId="022BD3A6" w14:textId="77777777" w:rsidR="00916E77" w:rsidRPr="006C2757" w:rsidRDefault="00916E77" w:rsidP="000865F9">
            <w:pPr>
              <w:spacing w:after="0"/>
            </w:pPr>
            <w:r>
              <w:t>Knowledge engineer or method expert authors; high recall; revision is a modelling task</w:t>
            </w:r>
          </w:p>
        </w:tc>
      </w:tr>
      <w:tr w:rsidR="00916E77" w:rsidRPr="00916E77" w14:paraId="08EB261F" w14:textId="77777777" w:rsidTr="00D52677">
        <w:tc>
          <w:tcPr>
            <w:tcW w:w="1750" w:type="dxa"/>
          </w:tcPr>
          <w:p w14:paraId="064ECDCB" w14:textId="77777777" w:rsidR="00916E77" w:rsidRPr="006C2757" w:rsidRDefault="00916E77" w:rsidP="000865F9">
            <w:pPr>
              <w:spacing w:after="0"/>
            </w:pPr>
            <w:r>
              <w:t>This artefact</w:t>
            </w:r>
          </w:p>
        </w:tc>
        <w:tc>
          <w:tcPr>
            <w:tcW w:w="1800" w:type="dxa"/>
          </w:tcPr>
          <w:p w14:paraId="18399BAC" w14:textId="77777777" w:rsidR="00916E77" w:rsidRPr="006C2757" w:rsidRDefault="00916E77" w:rsidP="000865F9">
            <w:pPr>
              <w:spacing w:after="0"/>
            </w:pPr>
            <w:r>
              <w:t>One lesson plus its predicates</w:t>
            </w:r>
          </w:p>
        </w:tc>
        <w:tc>
          <w:tcPr>
            <w:tcW w:w="2000" w:type="dxa"/>
          </w:tcPr>
          <w:p w14:paraId="7515CE6D" w14:textId="77777777" w:rsidR="00916E77" w:rsidRPr="006C2757" w:rsidRDefault="00916E77" w:rsidP="000865F9">
            <w:pPr>
              <w:spacing w:after="0"/>
            </w:pPr>
            <w:r>
              <w:t>Exact match on derived context, system-initiated</w:t>
            </w:r>
          </w:p>
        </w:tc>
        <w:tc>
          <w:tcPr>
            <w:tcW w:w="3050" w:type="dxa"/>
          </w:tcPr>
          <w:p w14:paraId="609D2D99" w14:textId="77777777" w:rsidR="00916E77" w:rsidRPr="006C2757" w:rsidRDefault="00916E77" w:rsidP="000865F9">
            <w:pPr>
              <w:spacing w:after="0"/>
            </w:pPr>
            <w:r>
              <w:t>Practitioner authors through a guided form; firing predicates and source values displayed; versioned amendment; discard threshold archives</w:t>
            </w:r>
          </w:p>
        </w:tc>
      </w:tr>
    </w:tbl>
    <w:p w14:paraId="40221714" w14:textId="77777777" w:rsidR="005076E1" w:rsidRPr="000865F9" w:rsidRDefault="005076E1" w:rsidP="000865F9">
      <w:pPr>
        <w:pStyle w:val="Author"/>
        <w:jc w:val="center"/>
        <w:rPr>
          <w:rFonts w:ascii="Calibri" w:hAnsi="Calibri" w:cs="Calibri"/>
          <w:sz w:val="14"/>
          <w:szCs w:val="14"/>
          <w:lang w:val="en-US"/>
        </w:rPr>
      </w:pPr>
    </w:p>
    <w:p w14:paraId="76DC2D5C" w14:textId="77777777" w:rsidR="00CA14EB" w:rsidRDefault="00CA14EB">
      <w:pPr>
        <w:spacing w:after="0"/>
        <w:rPr>
          <w:sz w:val="14"/>
          <w:szCs w:val="14"/>
        </w:rPr>
      </w:pPr>
    </w:p>
    <w:p w14:paraId="6D88D78E" w14:textId="77777777" w:rsidR="0068767D" w:rsidRDefault="0068767D" w:rsidP="0059023F">
      <w:pPr>
        <w:spacing w:after="40"/>
        <w:rPr>
          <w:b/>
          <w:sz w:val="24"/>
        </w:rPr>
      </w:pPr>
      <w:r>
        <w:rPr>
          <w:b/>
          <w:sz w:val="24"/>
        </w:rPr>
        <w:t>2.4 Research approach and evidence base</w:t>
      </w:r>
    </w:p>
    <w:p w14:paraId="2E6380E4" w14:textId="3A551378" w:rsidR="00D6057A" w:rsidRPr="00D6057A" w:rsidRDefault="0068767D" w:rsidP="008A29FB">
      <w:pPr>
        <w:spacing w:after="40"/>
        <w:ind w:firstLine="851"/>
        <w:jc w:val="both"/>
      </w:pPr>
      <w:r>
        <w:t xml:space="preserve">The study follows design science research (DSR). Hevner et al. (2004) set out the principles; the staged sequence of problem identification, objective definition, design and development, demonstration, evaluation, and communication </w:t>
      </w:r>
      <w:proofErr w:type="gramStart"/>
      <w:r>
        <w:t>follows</w:t>
      </w:r>
      <w:proofErr w:type="gramEnd"/>
      <w:r>
        <w:t xml:space="preserve"> Peffers et al. (2007). This paper reports design, development, and demonstration, and specifies the evaluation. Three terms are kept apart. Instantiation means the software exists and runs in an organisational setting; demonstration means it can be shown to address the stated problem on real project data; evaluation means evidence gathered against explicit criteria, and no evaluation in that sense has been carried out.</w:t>
      </w:r>
    </w:p>
    <w:p w14:paraId="77C50D1E" w14:textId="77777777" w:rsidR="00CA14EB" w:rsidRDefault="00000000">
      <w:pPr>
        <w:spacing w:after="40"/>
        <w:ind w:firstLine="851"/>
        <w:jc w:val="both"/>
      </w:pPr>
      <w:r>
        <w:t xml:space="preserve">Four design objectives, implicit in the SME constraints of §2.1, structure the design and the evidence </w:t>
      </w:r>
      <w:proofErr w:type="gramStart"/>
      <w:r>
        <w:t>claims</w:t>
      </w:r>
      <w:proofErr w:type="gramEnd"/>
      <w:r>
        <w:t>. DO1, context-aware delivery: lessons should surface at the point of need without the practitioner searching. DO2, low overhead: context should be computed from existing records, and authoring should not require a rule language. DO3, transparency: a practitioner should see why a meme fired and be able to reshape it. DO4, infrastructure integration: the artefact should operate over the project, finance, and workflow fields SME platforms already expose. Table 4 states, for each objective, what evidence exists and what does not. The artefact was developed in a collaboration between the authors and implemented by the host firm inside its production platform. No interviews, observations, or human-subject data collection were carried out, and no personal data were extracted; what is reported is the system as built.</w:t>
      </w:r>
    </w:p>
    <w:p w14:paraId="5D952AE9" w14:textId="77777777" w:rsidR="00CA14EB" w:rsidRDefault="00CA14EB">
      <w:pPr>
        <w:spacing w:after="0"/>
        <w:rPr>
          <w:sz w:val="14"/>
          <w:szCs w:val="14"/>
        </w:rPr>
      </w:pPr>
    </w:p>
    <w:p w14:paraId="3A54857E" w14:textId="4DEF5658" w:rsidR="00D6057A" w:rsidRPr="00D6057A" w:rsidRDefault="00D6057A" w:rsidP="0059023F">
      <w:pPr>
        <w:spacing w:after="40"/>
        <w:rPr>
          <w:b/>
          <w:bCs/>
          <w:sz w:val="28"/>
          <w:szCs w:val="28"/>
        </w:rPr>
      </w:pPr>
      <w:r w:rsidRPr="00D6057A">
        <w:rPr>
          <w:b/>
          <w:bCs/>
          <w:sz w:val="28"/>
          <w:szCs w:val="28"/>
        </w:rPr>
        <w:t xml:space="preserve">3. </w:t>
      </w:r>
      <w:r w:rsidR="00CD36D5" w:rsidRPr="00CD36D5">
        <w:rPr>
          <w:b/>
          <w:bCs/>
          <w:sz w:val="28"/>
          <w:szCs w:val="28"/>
        </w:rPr>
        <w:t>MEMETIC KNOWLEDGE FRAMEWORK</w:t>
      </w:r>
    </w:p>
    <w:p w14:paraId="297EB5E4" w14:textId="7547F6BD" w:rsidR="00DF6D6B" w:rsidRDefault="00CD36D5" w:rsidP="008A29FB">
      <w:pPr>
        <w:spacing w:after="40"/>
        <w:ind w:firstLine="851"/>
        <w:jc w:val="both"/>
      </w:pPr>
      <w:r>
        <w:t>The framework defines three constructs: the meme as the unit of organisational knowledge, the project context attributes as the activation context, and the fitness cycle as the mechanism of variation, selection, and retention. Figure 1 shows how they are realised across the system's three layers.</w:t>
      </w:r>
    </w:p>
    <w:p w14:paraId="113AD244" w14:textId="77777777" w:rsidR="00DF6D6B" w:rsidRPr="00D6057A" w:rsidRDefault="00DF6D6B" w:rsidP="00D82D02">
      <w:pPr>
        <w:keepNext/>
        <w:spacing w:after="40"/>
        <w:jc w:val="center"/>
      </w:pPr>
      <w:r w:rsidRPr="009F558B">
        <w:rPr>
          <w:b/>
          <w:bCs/>
          <w:noProof/>
          <w:lang w:val="en-US"/>
        </w:rPr>
        <w:drawing>
          <wp:inline distT="0" distB="0" distL="0" distR="0" wp14:anchorId="18A12F88" wp14:editId="46D113A3">
            <wp:extent cx="2196076" cy="1773133"/>
            <wp:effectExtent l="0" t="0" r="6350" b="0"/>
            <wp:docPr id="4762442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4425" name="Billede 1"/>
                    <pic:cNvPicPr/>
                  </pic:nvPicPr>
                  <pic:blipFill rotWithShape="1">
                    <a:blip r:embed="rId7" cstate="print">
                      <a:extLst>
                        <a:ext uri="{28A0092B-C50C-407E-A947-70E740481C1C}">
                          <a14:useLocalDpi xmlns:a14="http://schemas.microsoft.com/office/drawing/2010/main" val="0"/>
                        </a:ext>
                      </a:extLst>
                    </a:blip>
                    <a:srcRect/>
                    <a:stretch>
                      <a:fillRect/>
                    </a:stretch>
                  </pic:blipFill>
                  <pic:spPr bwMode="auto">
                    <a:xfrm>
                      <a:off x="0" y="0"/>
                      <a:ext cx="2196076" cy="1773133"/>
                    </a:xfrm>
                    <a:prstGeom prst="rect">
                      <a:avLst/>
                    </a:prstGeom>
                    <a:ln>
                      <a:noFill/>
                    </a:ln>
                    <a:extLst>
                      <a:ext uri="{53640926-AAD7-44D8-BBD7-CCE9431645EC}">
                        <a14:shadowObscured xmlns:a14="http://schemas.microsoft.com/office/drawing/2010/main"/>
                      </a:ext>
                    </a:extLst>
                  </pic:spPr>
                </pic:pic>
              </a:graphicData>
            </a:graphic>
          </wp:inline>
        </w:drawing>
      </w:r>
    </w:p>
    <w:p w14:paraId="3E9C25F4" w14:textId="77777777" w:rsidR="00B60C75" w:rsidRPr="002131E2" w:rsidRDefault="00DF6D6B" w:rsidP="00D82D02">
      <w:pPr>
        <w:pStyle w:val="Billedtekst"/>
        <w:spacing w:after="40"/>
        <w:jc w:val="center"/>
        <w:rPr>
          <w:color w:val="000000"/>
        </w:rPr>
      </w:pPr>
      <w:r w:rsidRPr="00870489">
        <w:t>Figure 1: Conceptual overview of the three-layer memetic knowledge system: fact engine, meme repository, and feedback / fitness evaluation, with the practitioner-facing project platform as the point of interaction.</w:t>
      </w:r>
    </w:p>
    <w:p w14:paraId="0768DE68" w14:textId="77777777" w:rsidR="00CA14EB" w:rsidRDefault="00CA14EB">
      <w:pPr>
        <w:spacing w:after="0"/>
        <w:rPr>
          <w:sz w:val="14"/>
          <w:szCs w:val="14"/>
        </w:rPr>
      </w:pPr>
    </w:p>
    <w:p w14:paraId="2A6FD6F8" w14:textId="41B244C2" w:rsidR="00CD36D5" w:rsidRPr="0026208E" w:rsidRDefault="00CD36D5" w:rsidP="0059023F">
      <w:pPr>
        <w:spacing w:after="40"/>
        <w:rPr>
          <w:b/>
          <w:sz w:val="24"/>
        </w:rPr>
      </w:pPr>
      <w:r>
        <w:rPr>
          <w:b/>
          <w:sz w:val="24"/>
        </w:rPr>
        <w:t>3.1 Memes as units of organisational knowledge</w:t>
      </w:r>
    </w:p>
    <w:p w14:paraId="3CE29927" w14:textId="1FF40B23" w:rsidR="00442AAB" w:rsidRDefault="00184858" w:rsidP="008A29FB">
      <w:pPr>
        <w:spacing w:after="40"/>
        <w:ind w:firstLine="851"/>
        <w:jc w:val="both"/>
      </w:pPr>
      <w:r>
        <w:t>A meme is a prose statement paired with an explicit activation condition, carrying a short title, a body in practitioner language, author and provenance metadata, predicates over the context attributes, and a fitness score. The pairing keeps the narrative texture that pure rule formalisms strip away while attaching the structure automated retrieval needs. What is codified is a selected judgement, not the underlying competence, so every meme keeps a pointer to its author and originating project for the contingencies the rule cannot carry. Amendment creates a new version and earlier versions remain traceable.</w:t>
      </w:r>
    </w:p>
    <w:p w14:paraId="5D28EA4F" w14:textId="77777777" w:rsidR="00CA14EB" w:rsidRDefault="00CA14EB">
      <w:pPr>
        <w:spacing w:after="0"/>
        <w:rPr>
          <w:sz w:val="14"/>
          <w:szCs w:val="14"/>
        </w:rPr>
      </w:pPr>
    </w:p>
    <w:p w14:paraId="5D363E4D" w14:textId="1FE4EBB6" w:rsidR="00442AAB" w:rsidRPr="0026208E" w:rsidRDefault="00442AAB" w:rsidP="0059023F">
      <w:pPr>
        <w:spacing w:after="40"/>
        <w:rPr>
          <w:b/>
          <w:sz w:val="24"/>
        </w:rPr>
      </w:pPr>
      <w:r>
        <w:rPr>
          <w:b/>
          <w:sz w:val="24"/>
        </w:rPr>
        <w:t>3.2 The activation context and the rule language</w:t>
      </w:r>
    </w:p>
    <w:p w14:paraId="0B9A458F" w14:textId="0D99DF87" w:rsidR="00916E77" w:rsidRDefault="00916E77" w:rsidP="008A29FB">
      <w:pPr>
        <w:spacing w:after="40"/>
        <w:ind w:firstLine="851"/>
        <w:jc w:val="both"/>
      </w:pPr>
      <w:r>
        <w:lastRenderedPageBreak/>
        <w:t>The activation context is the set of structured project attributes against which activation is evaluated. Attribute choice is the principal design lever: too few and memes fire indiscriminately, too many and authoring becomes infeasible. Six attributes were selected with the host firm's project managers (Table 2). Each is reliably present in existing records, interpretable without specialist training, and discriminating across the portfolio. Procurement model and contract type were considered and left out because the firm does not hold them in structured form.</w:t>
      </w:r>
    </w:p>
    <w:p w14:paraId="05B1D130" w14:textId="77777777" w:rsidR="00CA14EB" w:rsidRDefault="00000000">
      <w:pPr>
        <w:spacing w:after="40"/>
        <w:ind w:firstLine="851"/>
        <w:jc w:val="both"/>
      </w:pPr>
      <w:r>
        <w:t>The rule language is deliberately restricted. Conditions are typed predicates over these attributes combined by conjunction only; disjunction and negation are unsupported, and a lesson needing either is authored as two memes. Predicates are type-checked against the attribute's domain, so a categorical attribute admits only its declared vocabulary. An attribute the engine cannot compute evaluates to FALSE, which prevents speculative firing but conflates a condition that is not met with data that is absent; the two are therefore logged separately, so memes suppressed by missing data can be recovered during evaluation. Memes whose predicate sets are identical or subsumed are flagged for the repository owner rather than resolved automatically, and each activation record carries the meme version in force at that moment. A meme reads:</w:t>
      </w:r>
    </w:p>
    <w:p w14:paraId="11B2D4EA" w14:textId="77777777" w:rsidR="00CA14EB" w:rsidRDefault="00000000">
      <w:pPr>
        <w:spacing w:after="40"/>
        <w:ind w:left="1134"/>
      </w:pPr>
      <w:r>
        <w:rPr>
          <w:rFonts w:ascii="Consolas" w:hAnsi="Consolas" w:cs="Consolas"/>
          <w:sz w:val="20"/>
          <w:szCs w:val="20"/>
        </w:rPr>
        <w:t xml:space="preserve">IF phase = design AND </w:t>
      </w:r>
      <w:proofErr w:type="spellStart"/>
      <w:r>
        <w:rPr>
          <w:rFonts w:ascii="Consolas" w:hAnsi="Consolas" w:cs="Consolas"/>
          <w:sz w:val="20"/>
          <w:szCs w:val="20"/>
        </w:rPr>
        <w:t>team_size</w:t>
      </w:r>
      <w:proofErr w:type="spellEnd"/>
      <w:r>
        <w:rPr>
          <w:rFonts w:ascii="Consolas" w:hAnsi="Consolas" w:cs="Consolas"/>
          <w:sz w:val="20"/>
          <w:szCs w:val="20"/>
        </w:rPr>
        <w:t xml:space="preserve"> &gt; 4 THEN show meme L17 WITH provenance = senior structural engineer, project P42, version 3</w:t>
      </w:r>
    </w:p>
    <w:p w14:paraId="016F28D0" w14:textId="77777777" w:rsidR="00916E77" w:rsidRPr="00870489" w:rsidRDefault="00916E77" w:rsidP="000865F9">
      <w:pPr>
        <w:pStyle w:val="Billedtekst"/>
        <w:keepNext/>
        <w:spacing w:after="40"/>
        <w:jc w:val="center"/>
        <w:rPr>
          <w:color w:val="000000"/>
        </w:rPr>
      </w:pPr>
      <w:r>
        <w:t>Table 2: Project context attributes from which meme activation predicates are built in the prototype.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1212"/>
        <w:gridCol w:w="1640"/>
        <w:gridCol w:w="3921"/>
      </w:tblGrid>
      <w:tr w:rsidR="00916E77" w:rsidRPr="00916E77" w14:paraId="791696E4" w14:textId="77777777" w:rsidTr="00D52677">
        <w:tc>
          <w:tcPr>
            <w:tcW w:w="0" w:type="auto"/>
          </w:tcPr>
          <w:p w14:paraId="149ECA82" w14:textId="77777777" w:rsidR="00916E77" w:rsidRPr="006C2757" w:rsidRDefault="00916E77" w:rsidP="000865F9">
            <w:pPr>
              <w:spacing w:after="0"/>
              <w:rPr>
                <w:b/>
                <w:bCs/>
              </w:rPr>
            </w:pPr>
            <w:r w:rsidRPr="006C2757">
              <w:rPr>
                <w:b/>
                <w:bCs/>
              </w:rPr>
              <w:t>Parameter</w:t>
            </w:r>
          </w:p>
        </w:tc>
        <w:tc>
          <w:tcPr>
            <w:tcW w:w="0" w:type="auto"/>
          </w:tcPr>
          <w:p w14:paraId="2ACBAB3B" w14:textId="77777777" w:rsidR="00916E77" w:rsidRPr="006C2757" w:rsidRDefault="00916E77" w:rsidP="000865F9">
            <w:pPr>
              <w:spacing w:after="0"/>
              <w:rPr>
                <w:b/>
                <w:bCs/>
              </w:rPr>
            </w:pPr>
            <w:r w:rsidRPr="006C2757">
              <w:rPr>
                <w:b/>
                <w:bCs/>
              </w:rPr>
              <w:t>Type</w:t>
            </w:r>
          </w:p>
        </w:tc>
        <w:tc>
          <w:tcPr>
            <w:tcW w:w="0" w:type="auto"/>
          </w:tcPr>
          <w:p w14:paraId="6274AD48" w14:textId="77777777" w:rsidR="00916E77" w:rsidRPr="006C2757" w:rsidRDefault="00916E77" w:rsidP="000865F9">
            <w:pPr>
              <w:spacing w:after="0"/>
              <w:rPr>
                <w:b/>
                <w:bCs/>
              </w:rPr>
            </w:pPr>
            <w:r w:rsidRPr="006C2757">
              <w:rPr>
                <w:b/>
                <w:bCs/>
              </w:rPr>
              <w:t>Source</w:t>
            </w:r>
          </w:p>
        </w:tc>
        <w:tc>
          <w:tcPr>
            <w:tcW w:w="0" w:type="auto"/>
          </w:tcPr>
          <w:p w14:paraId="31287B7F" w14:textId="77777777" w:rsidR="00916E77" w:rsidRPr="006C2757" w:rsidRDefault="00916E77" w:rsidP="000865F9">
            <w:pPr>
              <w:spacing w:after="0"/>
              <w:rPr>
                <w:b/>
                <w:bCs/>
              </w:rPr>
            </w:pPr>
            <w:r w:rsidRPr="006C2757">
              <w:rPr>
                <w:b/>
                <w:bCs/>
              </w:rPr>
              <w:t>Example values</w:t>
            </w:r>
          </w:p>
        </w:tc>
      </w:tr>
      <w:tr w:rsidR="00916E77" w:rsidRPr="00916E77" w14:paraId="56C52427" w14:textId="77777777" w:rsidTr="00D52677">
        <w:tc>
          <w:tcPr>
            <w:tcW w:w="0" w:type="auto"/>
          </w:tcPr>
          <w:p w14:paraId="72A7AE46" w14:textId="77777777" w:rsidR="00916E77" w:rsidRPr="006C2757" w:rsidRDefault="00916E77" w:rsidP="000865F9">
            <w:pPr>
              <w:spacing w:after="0"/>
            </w:pPr>
            <w:r w:rsidRPr="006C2757">
              <w:t>Construction class</w:t>
            </w:r>
          </w:p>
        </w:tc>
        <w:tc>
          <w:tcPr>
            <w:tcW w:w="0" w:type="auto"/>
          </w:tcPr>
          <w:p w14:paraId="25D5A09A" w14:textId="77777777" w:rsidR="00916E77" w:rsidRPr="006C2757" w:rsidRDefault="00916E77" w:rsidP="000865F9">
            <w:pPr>
              <w:spacing w:after="0"/>
            </w:pPr>
            <w:r w:rsidRPr="006C2757">
              <w:t>Categorical</w:t>
            </w:r>
          </w:p>
        </w:tc>
        <w:tc>
          <w:tcPr>
            <w:tcW w:w="0" w:type="auto"/>
          </w:tcPr>
          <w:p w14:paraId="0F7F0073" w14:textId="77777777" w:rsidR="00916E77" w:rsidRPr="006C2757" w:rsidRDefault="00916E77" w:rsidP="000865F9">
            <w:pPr>
              <w:spacing w:after="0"/>
            </w:pPr>
            <w:r w:rsidRPr="006C2757">
              <w:t>Project register</w:t>
            </w:r>
          </w:p>
        </w:tc>
        <w:tc>
          <w:tcPr>
            <w:tcW w:w="0" w:type="auto"/>
          </w:tcPr>
          <w:p w14:paraId="164100B7" w14:textId="77777777" w:rsidR="00916E77" w:rsidRPr="006C2757" w:rsidRDefault="00916E77" w:rsidP="000865F9">
            <w:pPr>
              <w:spacing w:after="0"/>
            </w:pPr>
            <w:r w:rsidRPr="006C2757">
              <w:t xml:space="preserve">KK1–KK4 (BR18 </w:t>
            </w:r>
            <w:proofErr w:type="spellStart"/>
            <w:r w:rsidRPr="006C2757">
              <w:t>konstruktionsklasse</w:t>
            </w:r>
            <w:proofErr w:type="spellEnd"/>
            <w:r w:rsidRPr="006C2757">
              <w:t>)</w:t>
            </w:r>
          </w:p>
        </w:tc>
      </w:tr>
      <w:tr w:rsidR="00916E77" w:rsidRPr="00916E77" w14:paraId="6365173A" w14:textId="77777777" w:rsidTr="00D52677">
        <w:tc>
          <w:tcPr>
            <w:tcW w:w="0" w:type="auto"/>
          </w:tcPr>
          <w:p w14:paraId="0F8A58DE" w14:textId="6F3AF173" w:rsidR="00916E77" w:rsidRPr="006C2757" w:rsidRDefault="00916E77" w:rsidP="000865F9">
            <w:pPr>
              <w:spacing w:after="0"/>
            </w:pPr>
            <w:r w:rsidRPr="006C2757">
              <w:t>Team size</w:t>
            </w:r>
          </w:p>
        </w:tc>
        <w:tc>
          <w:tcPr>
            <w:tcW w:w="0" w:type="auto"/>
          </w:tcPr>
          <w:p w14:paraId="498005EE" w14:textId="434DAEFB" w:rsidR="00916E77" w:rsidRPr="006C2757" w:rsidRDefault="00916E77" w:rsidP="000865F9">
            <w:pPr>
              <w:spacing w:after="0"/>
            </w:pPr>
            <w:r w:rsidRPr="006C2757">
              <w:t>Integer</w:t>
            </w:r>
          </w:p>
        </w:tc>
        <w:tc>
          <w:tcPr>
            <w:tcW w:w="0" w:type="auto"/>
          </w:tcPr>
          <w:p w14:paraId="4F7047AA" w14:textId="163EA3BC" w:rsidR="00916E77" w:rsidRPr="006C2757" w:rsidRDefault="00916E77" w:rsidP="000865F9">
            <w:pPr>
              <w:spacing w:after="0"/>
            </w:pPr>
            <w:r w:rsidRPr="006C2757">
              <w:t>PM system</w:t>
            </w:r>
          </w:p>
        </w:tc>
        <w:tc>
          <w:tcPr>
            <w:tcW w:w="0" w:type="auto"/>
          </w:tcPr>
          <w:p w14:paraId="217A142F" w14:textId="7C1C20E2" w:rsidR="00916E77" w:rsidRPr="006C2757" w:rsidRDefault="00916E77" w:rsidP="000865F9">
            <w:pPr>
              <w:spacing w:after="0"/>
            </w:pPr>
            <w:r w:rsidRPr="006C2757">
              <w:t>1, 2, 3, …</w:t>
            </w:r>
          </w:p>
        </w:tc>
      </w:tr>
      <w:tr w:rsidR="00916E77" w:rsidRPr="00916E77" w14:paraId="26D4FFCB" w14:textId="77777777" w:rsidTr="00D52677">
        <w:tc>
          <w:tcPr>
            <w:tcW w:w="0" w:type="auto"/>
          </w:tcPr>
          <w:p w14:paraId="38390934" w14:textId="5E268A24" w:rsidR="00916E77" w:rsidRPr="006C2757" w:rsidRDefault="00916E77" w:rsidP="000865F9">
            <w:pPr>
              <w:spacing w:after="0"/>
            </w:pPr>
            <w:r w:rsidRPr="006C2757">
              <w:t>Budget utilisation</w:t>
            </w:r>
          </w:p>
        </w:tc>
        <w:tc>
          <w:tcPr>
            <w:tcW w:w="0" w:type="auto"/>
          </w:tcPr>
          <w:p w14:paraId="7F22D066" w14:textId="078E73A7" w:rsidR="00916E77" w:rsidRPr="006C2757" w:rsidRDefault="00916E77" w:rsidP="000865F9">
            <w:pPr>
              <w:spacing w:after="0"/>
            </w:pPr>
            <w:r w:rsidRPr="006C2757">
              <w:t>Percentage</w:t>
            </w:r>
          </w:p>
        </w:tc>
        <w:tc>
          <w:tcPr>
            <w:tcW w:w="0" w:type="auto"/>
          </w:tcPr>
          <w:p w14:paraId="75A1E851" w14:textId="7EF788B5" w:rsidR="00916E77" w:rsidRPr="006C2757" w:rsidRDefault="00916E77" w:rsidP="000865F9">
            <w:pPr>
              <w:spacing w:after="0"/>
            </w:pPr>
            <w:r w:rsidRPr="006C2757">
              <w:t>Finance module</w:t>
            </w:r>
          </w:p>
        </w:tc>
        <w:tc>
          <w:tcPr>
            <w:tcW w:w="0" w:type="auto"/>
          </w:tcPr>
          <w:p w14:paraId="5F5A50A7" w14:textId="79448D0C" w:rsidR="00916E77" w:rsidRPr="006C2757" w:rsidRDefault="00916E77" w:rsidP="000865F9">
            <w:pPr>
              <w:spacing w:after="0"/>
            </w:pPr>
            <w:r w:rsidRPr="006C2757">
              <w:t>0–100% (banded)</w:t>
            </w:r>
          </w:p>
        </w:tc>
      </w:tr>
      <w:tr w:rsidR="00916E77" w:rsidRPr="00916E77" w14:paraId="5CF76645" w14:textId="77777777" w:rsidTr="00D52677">
        <w:tc>
          <w:tcPr>
            <w:tcW w:w="0" w:type="auto"/>
          </w:tcPr>
          <w:p w14:paraId="5465E284" w14:textId="55E40AF5" w:rsidR="00916E77" w:rsidRPr="006C2757" w:rsidRDefault="00916E77" w:rsidP="000865F9">
            <w:pPr>
              <w:spacing w:after="0"/>
            </w:pPr>
            <w:r w:rsidRPr="006C2757">
              <w:t>Project phase</w:t>
            </w:r>
          </w:p>
        </w:tc>
        <w:tc>
          <w:tcPr>
            <w:tcW w:w="0" w:type="auto"/>
          </w:tcPr>
          <w:p w14:paraId="63AFBEA3" w14:textId="28852DC0" w:rsidR="00916E77" w:rsidRPr="006C2757" w:rsidRDefault="00916E77" w:rsidP="000865F9">
            <w:pPr>
              <w:spacing w:after="0"/>
            </w:pPr>
            <w:r w:rsidRPr="006C2757">
              <w:t>Categorical</w:t>
            </w:r>
          </w:p>
        </w:tc>
        <w:tc>
          <w:tcPr>
            <w:tcW w:w="0" w:type="auto"/>
          </w:tcPr>
          <w:p w14:paraId="68316780" w14:textId="1838E2F0" w:rsidR="00916E77" w:rsidRPr="006C2757" w:rsidRDefault="00916E77" w:rsidP="000865F9">
            <w:pPr>
              <w:spacing w:after="0"/>
            </w:pPr>
            <w:r w:rsidRPr="006C2757">
              <w:t>PM workflow</w:t>
            </w:r>
          </w:p>
        </w:tc>
        <w:tc>
          <w:tcPr>
            <w:tcW w:w="0" w:type="auto"/>
          </w:tcPr>
          <w:p w14:paraId="4A5C961B" w14:textId="5966CFE7" w:rsidR="00916E77" w:rsidRPr="006C2757" w:rsidRDefault="00916E77" w:rsidP="000865F9">
            <w:pPr>
              <w:spacing w:after="0"/>
            </w:pPr>
            <w:r w:rsidRPr="006C2757">
              <w:t>Brief, design, tender, execution, handover</w:t>
            </w:r>
          </w:p>
        </w:tc>
      </w:tr>
      <w:tr w:rsidR="00916E77" w:rsidRPr="00916E77" w14:paraId="62604368" w14:textId="77777777" w:rsidTr="00D52677">
        <w:tc>
          <w:tcPr>
            <w:tcW w:w="0" w:type="auto"/>
          </w:tcPr>
          <w:p w14:paraId="1A1B4474" w14:textId="5842AC08" w:rsidR="00916E77" w:rsidRPr="006C2757" w:rsidRDefault="00916E77" w:rsidP="000865F9">
            <w:pPr>
              <w:spacing w:after="0"/>
            </w:pPr>
            <w:r w:rsidRPr="006C2757">
              <w:t>Client type</w:t>
            </w:r>
          </w:p>
        </w:tc>
        <w:tc>
          <w:tcPr>
            <w:tcW w:w="0" w:type="auto"/>
          </w:tcPr>
          <w:p w14:paraId="231DD263" w14:textId="10CE83F4" w:rsidR="00916E77" w:rsidRPr="006C2757" w:rsidRDefault="00916E77" w:rsidP="000865F9">
            <w:pPr>
              <w:spacing w:after="0"/>
            </w:pPr>
            <w:r w:rsidRPr="006C2757">
              <w:t>Categorical</w:t>
            </w:r>
          </w:p>
        </w:tc>
        <w:tc>
          <w:tcPr>
            <w:tcW w:w="0" w:type="auto"/>
          </w:tcPr>
          <w:p w14:paraId="4A1CD4F0" w14:textId="5DA8E155" w:rsidR="00916E77" w:rsidRPr="006C2757" w:rsidRDefault="00916E77" w:rsidP="000865F9">
            <w:pPr>
              <w:spacing w:after="0"/>
            </w:pPr>
            <w:r w:rsidRPr="006C2757">
              <w:t>Project register</w:t>
            </w:r>
          </w:p>
        </w:tc>
        <w:tc>
          <w:tcPr>
            <w:tcW w:w="0" w:type="auto"/>
          </w:tcPr>
          <w:p w14:paraId="4F21E523" w14:textId="32D974D6" w:rsidR="00916E77" w:rsidRPr="006C2757" w:rsidRDefault="00916E77" w:rsidP="000865F9">
            <w:pPr>
              <w:spacing w:after="0"/>
            </w:pPr>
            <w:r w:rsidRPr="006C2757">
              <w:t>Public, private, repeat, one-off</w:t>
            </w:r>
          </w:p>
        </w:tc>
      </w:tr>
      <w:tr w:rsidR="00916E77" w:rsidRPr="00916E77" w14:paraId="024CA6E2" w14:textId="77777777" w:rsidTr="00D52677">
        <w:tc>
          <w:tcPr>
            <w:tcW w:w="0" w:type="auto"/>
          </w:tcPr>
          <w:p w14:paraId="2206E8DD" w14:textId="5B64125A" w:rsidR="00916E77" w:rsidRPr="006C2757" w:rsidRDefault="00916E77" w:rsidP="000865F9">
            <w:pPr>
              <w:spacing w:after="0"/>
            </w:pPr>
            <w:r w:rsidRPr="006C2757">
              <w:t>Duration band</w:t>
            </w:r>
          </w:p>
        </w:tc>
        <w:tc>
          <w:tcPr>
            <w:tcW w:w="0" w:type="auto"/>
          </w:tcPr>
          <w:p w14:paraId="7E203854" w14:textId="2920F404" w:rsidR="00916E77" w:rsidRPr="006C2757" w:rsidRDefault="00916E77" w:rsidP="000865F9">
            <w:pPr>
              <w:spacing w:after="0"/>
            </w:pPr>
            <w:r w:rsidRPr="006C2757">
              <w:t>Categorical</w:t>
            </w:r>
          </w:p>
        </w:tc>
        <w:tc>
          <w:tcPr>
            <w:tcW w:w="0" w:type="auto"/>
          </w:tcPr>
          <w:p w14:paraId="351DEABF" w14:textId="703E17D0" w:rsidR="00916E77" w:rsidRPr="006C2757" w:rsidRDefault="00916E77" w:rsidP="000865F9">
            <w:pPr>
              <w:spacing w:after="0"/>
            </w:pPr>
            <w:r w:rsidRPr="006C2757">
              <w:t>PM system</w:t>
            </w:r>
          </w:p>
        </w:tc>
        <w:tc>
          <w:tcPr>
            <w:tcW w:w="0" w:type="auto"/>
          </w:tcPr>
          <w:p w14:paraId="57C38185" w14:textId="19248904" w:rsidR="00916E77" w:rsidRPr="006C2757" w:rsidRDefault="00916E77" w:rsidP="000865F9">
            <w:pPr>
              <w:spacing w:after="0"/>
            </w:pPr>
            <w:r w:rsidRPr="006C2757">
              <w:t xml:space="preserve">&lt;3 </w:t>
            </w:r>
            <w:proofErr w:type="spellStart"/>
            <w:r w:rsidRPr="006C2757">
              <w:t>mo</w:t>
            </w:r>
            <w:proofErr w:type="spellEnd"/>
            <w:r w:rsidRPr="006C2757">
              <w:t xml:space="preserve">, 3–6 </w:t>
            </w:r>
            <w:proofErr w:type="spellStart"/>
            <w:r w:rsidRPr="006C2757">
              <w:t>mo</w:t>
            </w:r>
            <w:proofErr w:type="spellEnd"/>
            <w:r w:rsidRPr="006C2757">
              <w:t xml:space="preserve">, 6–12 </w:t>
            </w:r>
            <w:proofErr w:type="spellStart"/>
            <w:r w:rsidRPr="006C2757">
              <w:t>mo</w:t>
            </w:r>
            <w:proofErr w:type="spellEnd"/>
            <w:r w:rsidRPr="006C2757">
              <w:t xml:space="preserve">, &gt;12 </w:t>
            </w:r>
            <w:proofErr w:type="spellStart"/>
            <w:r w:rsidRPr="006C2757">
              <w:t>mo</w:t>
            </w:r>
            <w:proofErr w:type="spellEnd"/>
          </w:p>
        </w:tc>
      </w:tr>
    </w:tbl>
    <w:p w14:paraId="05524F20" w14:textId="77777777" w:rsidR="00B60C75" w:rsidRPr="00B60C75" w:rsidRDefault="00B60C75" w:rsidP="0059023F">
      <w:pPr>
        <w:spacing w:after="0"/>
        <w:jc w:val="both"/>
        <w:rPr>
          <w:color w:val="000000"/>
          <w:sz w:val="14"/>
          <w:szCs w:val="14"/>
        </w:rPr>
      </w:pPr>
    </w:p>
    <w:p w14:paraId="0112AE7B" w14:textId="43A7541A" w:rsidR="00442AAB" w:rsidRPr="0026208E" w:rsidRDefault="00943FF0" w:rsidP="0059023F">
      <w:pPr>
        <w:spacing w:after="40"/>
        <w:rPr>
          <w:b/>
          <w:sz w:val="24"/>
        </w:rPr>
      </w:pPr>
      <w:r>
        <w:rPr>
          <w:b/>
          <w:sz w:val="24"/>
        </w:rPr>
        <w:t>3.3 Fitness cycle</w:t>
      </w:r>
    </w:p>
    <w:p w14:paraId="1204225F" w14:textId="4CAFE524" w:rsidR="00B60C75" w:rsidRPr="002131E2" w:rsidRDefault="00916E77" w:rsidP="008A29FB">
      <w:pPr>
        <w:spacing w:after="40"/>
        <w:ind w:firstLine="851"/>
        <w:jc w:val="both"/>
      </w:pPr>
      <w:r>
        <w:t xml:space="preserve">Each meme carries a fitness score updated through structured feedback. At debriefing the team rates each activated meme keep (relevant and accurate), amend (relevant but needs revision), or discard (did not apply or was misleading). Fitness starts neutral; keep increments it, discard decrements it, and amend carries the score to the new version. A meme falling below a configurable threshold is archived rather than deleted, so its lineage survives. Fitness orders the memes shown for a project, and each activation record stores the fitness held at that moment, so later ratings cannot flow backwards into earlier records. Teams may also author new memes at debriefing, so every project both </w:t>
      </w:r>
      <w:proofErr w:type="spellStart"/>
      <w:r>
        <w:t>consumes</w:t>
      </w:r>
      <w:proofErr w:type="spellEnd"/>
      <w:r>
        <w:t xml:space="preserve"> and contributes.</w:t>
      </w:r>
    </w:p>
    <w:p w14:paraId="6408C46E" w14:textId="77777777" w:rsidR="00CA14EB" w:rsidRDefault="00CA14EB">
      <w:pPr>
        <w:spacing w:after="0"/>
        <w:rPr>
          <w:sz w:val="14"/>
          <w:szCs w:val="14"/>
        </w:rPr>
      </w:pPr>
    </w:p>
    <w:p w14:paraId="1954CCD6" w14:textId="5BE597F9" w:rsidR="00442AAB" w:rsidRPr="0026208E" w:rsidRDefault="00442AAB" w:rsidP="0059023F">
      <w:pPr>
        <w:spacing w:after="40"/>
        <w:rPr>
          <w:b/>
          <w:sz w:val="28"/>
        </w:rPr>
      </w:pPr>
      <w:r w:rsidRPr="0026208E">
        <w:rPr>
          <w:b/>
          <w:sz w:val="28"/>
        </w:rPr>
        <w:t>4. PROTOTYPE SYSTEM DESIGN</w:t>
      </w:r>
    </w:p>
    <w:p w14:paraId="11E0107F" w14:textId="342BC1B0" w:rsidR="00B60C75" w:rsidRPr="002131E2" w:rsidRDefault="00916E77" w:rsidP="008A29FB">
      <w:pPr>
        <w:spacing w:after="40"/>
        <w:ind w:firstLine="851"/>
        <w:jc w:val="both"/>
      </w:pPr>
      <w:r>
        <w:t>The prototype is a thin enterprise layer over the consultancy's existing project-management infrastructure (Figure 1): an ASP.NET Web API backend, a PostgreSQL repository, and a ReactJS panel embedded in the firm's project platform, so practitioners meet memes where they already plan and report. The schema admits a later semantic layer (</w:t>
      </w:r>
      <w:proofErr w:type="spellStart"/>
      <w:r>
        <w:t>pgvector</w:t>
      </w:r>
      <w:proofErr w:type="spellEnd"/>
      <w:r>
        <w:t xml:space="preserve"> embeddings, LLM-assisted drafting), out of scope here.</w:t>
      </w:r>
    </w:p>
    <w:p w14:paraId="3F64AF1D" w14:textId="77777777" w:rsidR="00CA14EB" w:rsidRDefault="00CA14EB">
      <w:pPr>
        <w:spacing w:after="0"/>
        <w:rPr>
          <w:sz w:val="14"/>
          <w:szCs w:val="14"/>
        </w:rPr>
      </w:pPr>
    </w:p>
    <w:p w14:paraId="066EC477" w14:textId="5EFC589B" w:rsidR="00442AAB" w:rsidRPr="0026208E" w:rsidRDefault="00442AAB" w:rsidP="0059023F">
      <w:pPr>
        <w:spacing w:after="40"/>
        <w:rPr>
          <w:b/>
          <w:sz w:val="24"/>
        </w:rPr>
      </w:pPr>
      <w:r>
        <w:rPr>
          <w:b/>
          <w:sz w:val="24"/>
        </w:rPr>
        <w:t>4.1 Context derivation engine</w:t>
      </w:r>
    </w:p>
    <w:p w14:paraId="0C40C742" w14:textId="5216BD24" w:rsidR="00442AAB" w:rsidRDefault="00916E77" w:rsidP="008A29FB">
      <w:pPr>
        <w:spacing w:after="40"/>
        <w:ind w:firstLine="851"/>
        <w:jc w:val="both"/>
      </w:pPr>
      <w:r>
        <w:t xml:space="preserve">The context derivation engine, labelled the fact engine in Figure 1, computes the context attributes for each active project. It derives rather than infers: no forward chaining, only feature computation from structured fields in the project register, finance module, and PM workflow: team size from active resource allocation, budget utilisation from the banded ratio of booked to planned </w:t>
      </w:r>
      <w:r>
        <w:lastRenderedPageBreak/>
        <w:t>hours, phase from the workflow state machine. Values are recomputed on an event-driven basis, so activation tracks the project's evolving state rather than a snapshot at initiation. Practitioners enter no attribute values.</w:t>
      </w:r>
    </w:p>
    <w:p w14:paraId="149ECEBE" w14:textId="77777777" w:rsidR="00CA14EB" w:rsidRDefault="00CA14EB">
      <w:pPr>
        <w:spacing w:after="0"/>
        <w:rPr>
          <w:sz w:val="14"/>
          <w:szCs w:val="14"/>
        </w:rPr>
      </w:pPr>
    </w:p>
    <w:p w14:paraId="59F941DB" w14:textId="5C7262C3" w:rsidR="00442AAB" w:rsidRPr="0026208E" w:rsidRDefault="00442AAB" w:rsidP="0059023F">
      <w:pPr>
        <w:spacing w:after="40"/>
        <w:rPr>
          <w:b/>
          <w:sz w:val="24"/>
        </w:rPr>
      </w:pPr>
      <w:r w:rsidRPr="0026208E">
        <w:rPr>
          <w:b/>
          <w:sz w:val="24"/>
        </w:rPr>
        <w:t>4.2 Meme repository and authoring interface</w:t>
      </w:r>
    </w:p>
    <w:p w14:paraId="5C23975B" w14:textId="72221D9D" w:rsidR="00B60C75" w:rsidRPr="002131E2" w:rsidRDefault="007C5B15" w:rsidP="008A29FB">
      <w:pPr>
        <w:spacing w:after="40"/>
        <w:ind w:firstLine="851"/>
        <w:jc w:val="both"/>
      </w:pPr>
      <w:r>
        <w:t>The repository stores memes as PostgreSQL records holding the prose body, the predicate set, author and provenance metadata, version history, and fitness. Practitioners draft a meme by entering a title and body, then attach conditions through a guided form rather than a free-text rule language: the form offers only the declared attributes, operators, and category vocabularies, so every meme is evaluable by construction. The interface was designed to avoid a specialist rule language; whether it succeeds is a usability question this paper does not answer.</w:t>
      </w:r>
    </w:p>
    <w:p w14:paraId="2B6E1562" w14:textId="77777777" w:rsidR="00CA14EB" w:rsidRDefault="00000000">
      <w:pPr>
        <w:spacing w:after="40"/>
        <w:ind w:firstLine="851"/>
        <w:jc w:val="both"/>
      </w:pPr>
      <w:r>
        <w:t xml:space="preserve">Activated memes appear in the project workspace ordered by fitness, each shown with the predicates that fired it and the source values they were evaluated against, so a practitioner can question the data as well as the logic (HDI legibility). Two feedback events are kept distinct: in the workspace a practitioner may accept or dismiss a meme, logged as uptake and not affecting fitness, while at closure the team rates it </w:t>
      </w:r>
      <w:proofErr w:type="gramStart"/>
      <w:r>
        <w:t>keep</w:t>
      </w:r>
      <w:proofErr w:type="gramEnd"/>
      <w:r>
        <w:t>, amend, or discard, and only that rating changes fitness. Separating them keeps exposure, uptake, and considered judgement as three records, which the evaluation in §5.4 requires.</w:t>
      </w:r>
    </w:p>
    <w:p w14:paraId="39371995" w14:textId="77777777" w:rsidR="00CA14EB" w:rsidRDefault="00CA14EB">
      <w:pPr>
        <w:spacing w:after="0"/>
        <w:rPr>
          <w:sz w:val="14"/>
          <w:szCs w:val="14"/>
        </w:rPr>
      </w:pPr>
    </w:p>
    <w:p w14:paraId="0551EA7C" w14:textId="2CFF6071" w:rsidR="00442AAB" w:rsidRPr="0026208E" w:rsidRDefault="00442AAB" w:rsidP="0059023F">
      <w:pPr>
        <w:spacing w:after="40"/>
        <w:rPr>
          <w:b/>
          <w:sz w:val="24"/>
        </w:rPr>
      </w:pPr>
      <w:r w:rsidRPr="0026208E">
        <w:rPr>
          <w:b/>
          <w:sz w:val="24"/>
        </w:rPr>
        <w:t>4.3 Feedback and fitness evaluation</w:t>
      </w:r>
    </w:p>
    <w:p w14:paraId="1B2D1EB2" w14:textId="44635708" w:rsidR="00B60C75" w:rsidRPr="002131E2" w:rsidRDefault="007C5B15" w:rsidP="008A29FB">
      <w:pPr>
        <w:spacing w:after="40"/>
        <w:ind w:firstLine="851"/>
        <w:jc w:val="both"/>
      </w:pPr>
      <w:r>
        <w:t xml:space="preserve">At project closure the system generates a debriefing pack listing the memes active during the project alongside three process indicators tracked during execution: confusion, decision drag, and scope creep, defined in §5.4. The team rates each activated meme with an optional rationale; ratings update fitness and rationales are stored against the meme version. Debriefing closes with an optional authoring step for new memes. The cadence echoes the </w:t>
      </w:r>
      <w:proofErr w:type="gramStart"/>
      <w:r>
        <w:t>After Action</w:t>
      </w:r>
      <w:proofErr w:type="gramEnd"/>
      <w:r>
        <w:t xml:space="preserve"> Review tradition (Morrison and Meliza, 1999), but the output is a persistent change to the rule base rather than a report.</w:t>
      </w:r>
    </w:p>
    <w:p w14:paraId="11DD3FD3" w14:textId="77777777" w:rsidR="00CA14EB" w:rsidRDefault="00CA14EB">
      <w:pPr>
        <w:spacing w:after="0"/>
        <w:rPr>
          <w:sz w:val="14"/>
          <w:szCs w:val="14"/>
        </w:rPr>
      </w:pPr>
    </w:p>
    <w:p w14:paraId="4DDF314D" w14:textId="5B49040C" w:rsidR="000318CB" w:rsidRDefault="00B85791" w:rsidP="0059023F">
      <w:pPr>
        <w:spacing w:after="40"/>
        <w:rPr>
          <w:b/>
          <w:sz w:val="24"/>
        </w:rPr>
      </w:pPr>
      <w:r>
        <w:rPr>
          <w:b/>
          <w:sz w:val="24"/>
        </w:rPr>
        <w:t>4.4 Worked example</w:t>
      </w:r>
    </w:p>
    <w:p w14:paraId="06732A26" w14:textId="5DB6ADEF" w:rsidR="000318CB" w:rsidRDefault="00B85791" w:rsidP="008A29FB">
      <w:pPr>
        <w:spacing w:after="40"/>
        <w:ind w:firstLine="851"/>
        <w:jc w:val="both"/>
      </w:pPr>
      <w:r>
        <w:t xml:space="preserve">Take the first meme in Table 3, with the predicates shown in §3.2. On a new project the derivation engine sets phase to design and </w:t>
      </w:r>
      <w:proofErr w:type="spellStart"/>
      <w:r>
        <w:t>team_size</w:t>
      </w:r>
      <w:proofErr w:type="spellEnd"/>
      <w:r>
        <w:t xml:space="preserve"> to five, both predicates hold, and the meme appears in the workspace with its firing conditions and source values beside it. If the team splits the package, </w:t>
      </w:r>
      <w:proofErr w:type="spellStart"/>
      <w:r>
        <w:t>team_size</w:t>
      </w:r>
      <w:proofErr w:type="spellEnd"/>
      <w:r>
        <w:t xml:space="preserve"> falls to four at the next </w:t>
      </w:r>
      <w:proofErr w:type="spellStart"/>
      <w:r>
        <w:t>recomputation</w:t>
      </w:r>
      <w:proofErr w:type="spellEnd"/>
      <w:r>
        <w:t xml:space="preserve"> and the meme stops activating; at hand-over it enters the debriefing pack and is rated. Nothing in the loop asks the practitioner to enter context data or to search the repository, which is what the SME constraints of §2.1 require.</w:t>
      </w:r>
    </w:p>
    <w:p w14:paraId="6FE63B32" w14:textId="77777777" w:rsidR="00CA14EB" w:rsidRDefault="00CA14EB">
      <w:pPr>
        <w:spacing w:after="0"/>
        <w:rPr>
          <w:sz w:val="14"/>
          <w:szCs w:val="14"/>
        </w:rPr>
      </w:pPr>
    </w:p>
    <w:p w14:paraId="7029EA8C" w14:textId="3BFCB219" w:rsidR="00442AAB" w:rsidRPr="0026208E" w:rsidRDefault="00442AAB" w:rsidP="0059023F">
      <w:pPr>
        <w:spacing w:after="40"/>
        <w:rPr>
          <w:b/>
          <w:sz w:val="28"/>
        </w:rPr>
      </w:pPr>
      <w:r>
        <w:rPr>
          <w:b/>
          <w:sz w:val="28"/>
        </w:rPr>
        <w:t>5. INSTANTIATION IN A DANISH SME ENGINEERING CONSULTANCY</w:t>
      </w:r>
    </w:p>
    <w:p w14:paraId="6E79DA2F" w14:textId="77777777" w:rsidR="00CA14EB" w:rsidRDefault="00CA14EB">
      <w:pPr>
        <w:spacing w:after="0"/>
        <w:rPr>
          <w:sz w:val="14"/>
          <w:szCs w:val="14"/>
        </w:rPr>
      </w:pPr>
    </w:p>
    <w:p w14:paraId="1A35241C" w14:textId="063EF564" w:rsidR="00DB086E" w:rsidRPr="00DB086E" w:rsidRDefault="00DB086E" w:rsidP="0059023F">
      <w:pPr>
        <w:spacing w:after="40"/>
        <w:rPr>
          <w:b/>
          <w:sz w:val="24"/>
        </w:rPr>
      </w:pPr>
      <w:r w:rsidRPr="00DB086E">
        <w:rPr>
          <w:b/>
          <w:sz w:val="24"/>
        </w:rPr>
        <w:t>5.1 The case organisation</w:t>
      </w:r>
    </w:p>
    <w:p w14:paraId="332E2AC0" w14:textId="24055C79" w:rsidR="00C26224" w:rsidRPr="00453AB2" w:rsidRDefault="00334F3E" w:rsidP="008A29FB">
      <w:pPr>
        <w:spacing w:after="40"/>
        <w:ind w:firstLine="851"/>
        <w:jc w:val="both"/>
      </w:pPr>
      <w:r>
        <w:t>The host organisation is a Danish SME engineering consultancy providing structural, mechanical, and project-management services across residential, commercial, and industrial construction. It operates a single web-based project platform covering project register, planning, finance, and team allocation, and runs structured debriefings at hand-over. Like many SMEs it has relied on informal transfer through senior engineers, with the characteristic risks of that model at staff turnover. The prototype was instantiated inside that platform; backend services and the repository run on the firm's internal infrastructure and read live data from it, and the meme panel sits alongside the standard planning and reporting views. The single-site design supports analytical, not statistical, generalisation (Yin, 2014). Because the derivation engine reads the standard fields comparable SME platforms expose, the artefact was designed for portability, which is not the same as having been shown to transfer: field semantics, data quality, workflow, and regulation differ between firms.</w:t>
      </w:r>
    </w:p>
    <w:p w14:paraId="53B42200" w14:textId="77777777" w:rsidR="00CA14EB" w:rsidRDefault="00CA14EB">
      <w:pPr>
        <w:spacing w:after="0"/>
        <w:rPr>
          <w:sz w:val="14"/>
          <w:szCs w:val="14"/>
        </w:rPr>
      </w:pPr>
    </w:p>
    <w:p w14:paraId="5D5CCA66" w14:textId="0B8E8EC6" w:rsidR="00DB086E" w:rsidRPr="00DB086E" w:rsidRDefault="00DB086E" w:rsidP="0059023F">
      <w:pPr>
        <w:spacing w:after="40"/>
        <w:rPr>
          <w:b/>
          <w:sz w:val="24"/>
        </w:rPr>
      </w:pPr>
      <w:r>
        <w:rPr>
          <w:b/>
          <w:sz w:val="24"/>
        </w:rPr>
        <w:t>5.2 Implementation status</w:t>
      </w:r>
    </w:p>
    <w:p w14:paraId="12A24132" w14:textId="5AB4436E" w:rsidR="00442AAB" w:rsidRDefault="00A840EC" w:rsidP="008A29FB">
      <w:pPr>
        <w:spacing w:after="40"/>
        <w:ind w:firstLine="851"/>
        <w:jc w:val="both"/>
      </w:pPr>
      <w:r>
        <w:t xml:space="preserve">Implementation proceeded in three steps. The data-integration interfaces were built and checked against the firm's historical project records, establishing that the attribute set of Table 2 can be computed across the portfolio without manual entry. A seed corpus of memes was then drafted with senior engineers and project managers at the firm, each lesson translated into prose-plus-predicate form and confirmed with the practitioner it came from. </w:t>
      </w:r>
      <w:proofErr w:type="gramStart"/>
      <w:r>
        <w:t>Finally</w:t>
      </w:r>
      <w:proofErr w:type="gramEnd"/>
      <w:r>
        <w:t xml:space="preserve"> the meme panel was enabled in the project workspace, with activations, accept and dismiss events, and ratings logged for the evaluation of §5.4. The system is a running instantiation, not a completed field trial.</w:t>
      </w:r>
    </w:p>
    <w:p w14:paraId="03403BAF" w14:textId="27671F33" w:rsidR="00D01A4F" w:rsidRDefault="000865F9" w:rsidP="008A29FB">
      <w:pPr>
        <w:spacing w:after="40"/>
        <w:ind w:firstLine="851"/>
        <w:jc w:val="both"/>
      </w:pPr>
      <w:r>
        <w:t>Three memes from the seed corpus are summarised in Table 3, spanning coordination, technical-detailing, and client-management knowledge. They are anonymised paraphrases, and their content is organisational heuristic rather than established fact: coordination overhead rising above four engineers is what one senior practitioner concluded from their own projects. That is why provenance travels with every meme and why the rating cycle exists.</w:t>
      </w:r>
    </w:p>
    <w:p w14:paraId="3F31BF81" w14:textId="04FE3327" w:rsidR="00D01A4F" w:rsidRPr="00870489" w:rsidRDefault="00D01A4F" w:rsidP="000865F9">
      <w:pPr>
        <w:pStyle w:val="Billedtekst"/>
        <w:keepNext/>
        <w:spacing w:after="40"/>
        <w:jc w:val="center"/>
        <w:rPr>
          <w:color w:val="000000"/>
        </w:rPr>
      </w:pPr>
      <w:r>
        <w:t>Table 3: Illustrative memes from the seed corpus, as anonymised paraphrases. Each links a prose body to predicates over the context attributes, with provenance to the originating engineer and project.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2977"/>
        <w:gridCol w:w="2527"/>
        <w:gridCol w:w="1928"/>
      </w:tblGrid>
      <w:tr w:rsidR="00D01A4F" w:rsidRPr="00F4517A" w14:paraId="55C0050B" w14:textId="77777777" w:rsidTr="000865F9">
        <w:trPr>
          <w:cantSplit/>
        </w:trPr>
        <w:tc>
          <w:tcPr>
            <w:tcW w:w="0" w:type="auto"/>
          </w:tcPr>
          <w:p w14:paraId="728C9CCA" w14:textId="77777777" w:rsidR="00D01A4F" w:rsidRPr="003C5889" w:rsidRDefault="00D01A4F" w:rsidP="000865F9">
            <w:pPr>
              <w:spacing w:after="0"/>
              <w:rPr>
                <w:b/>
                <w:bCs/>
              </w:rPr>
            </w:pPr>
            <w:r w:rsidRPr="003C5889">
              <w:rPr>
                <w:b/>
                <w:bCs/>
              </w:rPr>
              <w:t>Meme title</w:t>
            </w:r>
          </w:p>
        </w:tc>
        <w:tc>
          <w:tcPr>
            <w:tcW w:w="0" w:type="auto"/>
          </w:tcPr>
          <w:p w14:paraId="1767E4ED" w14:textId="77777777" w:rsidR="00D01A4F" w:rsidRPr="003C5889" w:rsidRDefault="00D01A4F" w:rsidP="000865F9">
            <w:pPr>
              <w:spacing w:after="0"/>
              <w:rPr>
                <w:b/>
                <w:bCs/>
              </w:rPr>
            </w:pPr>
            <w:r w:rsidRPr="003C5889">
              <w:rPr>
                <w:b/>
                <w:bCs/>
              </w:rPr>
              <w:t>Prose body</w:t>
            </w:r>
          </w:p>
        </w:tc>
        <w:tc>
          <w:tcPr>
            <w:tcW w:w="0" w:type="auto"/>
          </w:tcPr>
          <w:p w14:paraId="07C60F2C" w14:textId="77777777" w:rsidR="00D01A4F" w:rsidRPr="003C5889" w:rsidRDefault="00D01A4F" w:rsidP="000865F9">
            <w:pPr>
              <w:spacing w:after="0"/>
              <w:rPr>
                <w:b/>
                <w:bCs/>
              </w:rPr>
            </w:pPr>
            <w:r w:rsidRPr="003C5889">
              <w:rPr>
                <w:b/>
                <w:bCs/>
              </w:rPr>
              <w:t>Activation conditions</w:t>
            </w:r>
          </w:p>
        </w:tc>
        <w:tc>
          <w:tcPr>
            <w:tcW w:w="0" w:type="auto"/>
          </w:tcPr>
          <w:p w14:paraId="5440D1DE" w14:textId="77777777" w:rsidR="00D01A4F" w:rsidRPr="003C5889" w:rsidRDefault="00D01A4F" w:rsidP="000865F9">
            <w:pPr>
              <w:spacing w:after="0"/>
              <w:rPr>
                <w:b/>
                <w:bCs/>
              </w:rPr>
            </w:pPr>
            <w:r w:rsidRPr="003C5889">
              <w:rPr>
                <w:b/>
                <w:bCs/>
              </w:rPr>
              <w:t>Source</w:t>
            </w:r>
          </w:p>
        </w:tc>
      </w:tr>
      <w:tr w:rsidR="00D01A4F" w:rsidRPr="00F4517A" w14:paraId="0231E9C7" w14:textId="77777777" w:rsidTr="000865F9">
        <w:trPr>
          <w:cantSplit/>
        </w:trPr>
        <w:tc>
          <w:tcPr>
            <w:tcW w:w="0" w:type="auto"/>
          </w:tcPr>
          <w:p w14:paraId="428E5734" w14:textId="77777777" w:rsidR="00D01A4F" w:rsidRPr="00F4517A" w:rsidRDefault="00D01A4F" w:rsidP="000865F9">
            <w:pPr>
              <w:spacing w:after="0"/>
            </w:pPr>
            <w:r>
              <w:t>Keep design teams small early</w:t>
            </w:r>
          </w:p>
        </w:tc>
        <w:tc>
          <w:tcPr>
            <w:tcW w:w="0" w:type="auto"/>
          </w:tcPr>
          <w:p w14:paraId="69B4486B" w14:textId="77777777" w:rsidR="00D01A4F" w:rsidRPr="00F4517A" w:rsidRDefault="00D01A4F" w:rsidP="000865F9">
            <w:pPr>
              <w:spacing w:after="0"/>
            </w:pPr>
            <w:r>
              <w:t>Coordination overhead rises sharply above four engineers detailing one package; split or sequence the work.</w:t>
            </w:r>
          </w:p>
        </w:tc>
        <w:tc>
          <w:tcPr>
            <w:tcW w:w="0" w:type="auto"/>
          </w:tcPr>
          <w:p w14:paraId="444B2B9B" w14:textId="77777777" w:rsidR="00D01A4F" w:rsidRPr="00F4517A" w:rsidRDefault="00D01A4F" w:rsidP="000865F9">
            <w:pPr>
              <w:spacing w:after="0"/>
            </w:pPr>
            <w:r>
              <w:t xml:space="preserve">phase = design AND </w:t>
            </w:r>
            <w:proofErr w:type="spellStart"/>
            <w:r>
              <w:t>team_size</w:t>
            </w:r>
            <w:proofErr w:type="spellEnd"/>
            <w:r>
              <w:t xml:space="preserve"> &gt; 4</w:t>
            </w:r>
          </w:p>
        </w:tc>
        <w:tc>
          <w:tcPr>
            <w:tcW w:w="0" w:type="auto"/>
          </w:tcPr>
          <w:p w14:paraId="12D4A105" w14:textId="77777777" w:rsidR="00D01A4F" w:rsidRPr="00F4517A" w:rsidRDefault="00D01A4F" w:rsidP="000865F9">
            <w:pPr>
              <w:spacing w:after="0"/>
            </w:pPr>
            <w:r>
              <w:t>Senior structural engineer, prior residential project</w:t>
            </w:r>
          </w:p>
        </w:tc>
      </w:tr>
      <w:tr w:rsidR="00D01A4F" w:rsidRPr="00F4517A" w14:paraId="13B8BE04" w14:textId="77777777" w:rsidTr="000865F9">
        <w:trPr>
          <w:cantSplit/>
        </w:trPr>
        <w:tc>
          <w:tcPr>
            <w:tcW w:w="0" w:type="auto"/>
          </w:tcPr>
          <w:p w14:paraId="4FE22A2B" w14:textId="77777777" w:rsidR="00D01A4F" w:rsidRPr="00F4517A" w:rsidRDefault="00D01A4F" w:rsidP="000865F9">
            <w:pPr>
              <w:spacing w:after="0"/>
            </w:pPr>
            <w:r>
              <w:t>Detailing reserve for KK3 and above</w:t>
            </w:r>
          </w:p>
        </w:tc>
        <w:tc>
          <w:tcPr>
            <w:tcW w:w="0" w:type="auto"/>
          </w:tcPr>
          <w:p w14:paraId="32789A47" w14:textId="71C5E1DF" w:rsidR="00D01A4F" w:rsidRPr="00F4517A" w:rsidRDefault="00D01A4F" w:rsidP="000865F9">
            <w:pPr>
              <w:spacing w:after="0"/>
            </w:pPr>
            <w:r>
              <w:t>In KK3 and above, reserve detailing capacity before tender; late-stage detailing tends to exceed budget.</w:t>
            </w:r>
          </w:p>
        </w:tc>
        <w:tc>
          <w:tcPr>
            <w:tcW w:w="0" w:type="auto"/>
          </w:tcPr>
          <w:p w14:paraId="57C35A6D" w14:textId="77777777" w:rsidR="00D01A4F" w:rsidRPr="00F4517A" w:rsidRDefault="00D01A4F" w:rsidP="000865F9">
            <w:pPr>
              <w:spacing w:after="0"/>
            </w:pPr>
            <w:proofErr w:type="spellStart"/>
            <w:r>
              <w:t>construction_class</w:t>
            </w:r>
            <w:proofErr w:type="spellEnd"/>
            <w:r>
              <w:t xml:space="preserve"> ≥ KK3 AND phase ∈ {tender, execution}</w:t>
            </w:r>
          </w:p>
        </w:tc>
        <w:tc>
          <w:tcPr>
            <w:tcW w:w="0" w:type="auto"/>
          </w:tcPr>
          <w:p w14:paraId="7C70F01F" w14:textId="77777777" w:rsidR="00D01A4F" w:rsidRPr="00F4517A" w:rsidRDefault="00D01A4F" w:rsidP="000865F9">
            <w:pPr>
              <w:spacing w:after="0"/>
            </w:pPr>
            <w:r>
              <w:t>Project manager, prior public-sector project</w:t>
            </w:r>
          </w:p>
        </w:tc>
      </w:tr>
      <w:tr w:rsidR="00D01A4F" w:rsidRPr="00F4517A" w14:paraId="3258D932" w14:textId="77777777" w:rsidTr="000865F9">
        <w:trPr>
          <w:cantSplit/>
        </w:trPr>
        <w:tc>
          <w:tcPr>
            <w:tcW w:w="0" w:type="auto"/>
          </w:tcPr>
          <w:p w14:paraId="315E5088" w14:textId="77777777" w:rsidR="00D01A4F" w:rsidRPr="00F4517A" w:rsidRDefault="00D01A4F" w:rsidP="000865F9">
            <w:pPr>
              <w:spacing w:after="0"/>
            </w:pPr>
            <w:r>
              <w:t>Plan for longer public-client approval cycles</w:t>
            </w:r>
          </w:p>
        </w:tc>
        <w:tc>
          <w:tcPr>
            <w:tcW w:w="0" w:type="auto"/>
          </w:tcPr>
          <w:p w14:paraId="0A444A46" w14:textId="77777777" w:rsidR="00D01A4F" w:rsidRPr="00F4517A" w:rsidRDefault="00D01A4F" w:rsidP="000865F9">
            <w:pPr>
              <w:spacing w:after="0"/>
            </w:pPr>
            <w:r>
              <w:t>Public clients in tender review tend to need two to three weeks beyond stated decision deadlines.</w:t>
            </w:r>
          </w:p>
        </w:tc>
        <w:tc>
          <w:tcPr>
            <w:tcW w:w="0" w:type="auto"/>
          </w:tcPr>
          <w:p w14:paraId="78E2233D" w14:textId="77777777" w:rsidR="00D01A4F" w:rsidRPr="00F4517A" w:rsidRDefault="00D01A4F" w:rsidP="000865F9">
            <w:pPr>
              <w:spacing w:after="0"/>
            </w:pPr>
            <w:proofErr w:type="spellStart"/>
            <w:r>
              <w:t>client_type</w:t>
            </w:r>
            <w:proofErr w:type="spellEnd"/>
            <w:r>
              <w:t xml:space="preserve"> = public AND phase = tender</w:t>
            </w:r>
          </w:p>
        </w:tc>
        <w:tc>
          <w:tcPr>
            <w:tcW w:w="0" w:type="auto"/>
          </w:tcPr>
          <w:p w14:paraId="166EC3C3" w14:textId="77777777" w:rsidR="00D01A4F" w:rsidRPr="00F4517A" w:rsidRDefault="00D01A4F" w:rsidP="000865F9">
            <w:pPr>
              <w:spacing w:after="0"/>
            </w:pPr>
            <w:r>
              <w:t>Project lead, prior municipal commission</w:t>
            </w:r>
          </w:p>
        </w:tc>
      </w:tr>
    </w:tbl>
    <w:p w14:paraId="40894D9D" w14:textId="77777777" w:rsidR="00CA14EB" w:rsidRDefault="00CA14EB">
      <w:pPr>
        <w:spacing w:after="0"/>
        <w:rPr>
          <w:sz w:val="14"/>
          <w:szCs w:val="14"/>
        </w:rPr>
      </w:pPr>
    </w:p>
    <w:p w14:paraId="0D0F3595" w14:textId="4D4D026C" w:rsidR="00DB086E" w:rsidRPr="00DB086E" w:rsidRDefault="00DB086E" w:rsidP="0059023F">
      <w:pPr>
        <w:spacing w:after="40"/>
        <w:rPr>
          <w:b/>
          <w:sz w:val="24"/>
        </w:rPr>
      </w:pPr>
      <w:r>
        <w:rPr>
          <w:b/>
          <w:sz w:val="24"/>
        </w:rPr>
        <w:t>5.4 Evidence, and the planned evaluation</w:t>
      </w:r>
    </w:p>
    <w:p w14:paraId="3FABA2E5" w14:textId="6ADFD6E8" w:rsidR="000318CB" w:rsidRDefault="00334F3E" w:rsidP="008A29FB">
      <w:pPr>
        <w:spacing w:after="40"/>
        <w:ind w:firstLine="851"/>
        <w:jc w:val="both"/>
      </w:pPr>
      <w:r>
        <w:t>Table 4 states what the instantiation establishes for each design objective and what it does not. The pattern is consistent: the mechanisms can be shown to run on the firm's live project data, and nothing yet shows that they change what practitioners know or what projects achieve. Two measurement concerns attach to the rating signal. Reliability: produced collectively at debriefing, the same meme may be scored differently by different teams and may drift toward group consensus, a known risk in After Action Review settings (Morrison and Meliza, 1999). Validity: a keep rating records that a team found a meme plausible, not that it improved the project.</w:t>
      </w:r>
    </w:p>
    <w:p w14:paraId="6E736449" w14:textId="77777777" w:rsidR="00CA14EB" w:rsidRDefault="00000000">
      <w:pPr>
        <w:spacing w:after="40"/>
        <w:ind w:firstLine="851"/>
        <w:jc w:val="both"/>
      </w:pPr>
      <w:r>
        <w:t>The evaluation is therefore staged rather than a single test. First, technical validity: derivation accuracy against manually verified records, predicate evaluation accuracy, missingness per attribute, and audit-log completeness. Second, usability: task-based tests of authoring, explanation, and amendment, where the claims about the guided form are settled. Third, process evaluation: reach, uptake, and fidelity from the logs of §4.2, with qualitative accounts of use and non-use. Fourth, comparative evaluation: a stepped-wedge rollout, or matched historical controls, so that adoption is not confounded with time.</w:t>
      </w:r>
    </w:p>
    <w:p w14:paraId="5BDB4612" w14:textId="77777777" w:rsidR="00CA14EB" w:rsidRDefault="00000000">
      <w:pPr>
        <w:spacing w:after="40"/>
        <w:ind w:firstLine="851"/>
        <w:jc w:val="both"/>
      </w:pPr>
      <w:r>
        <w:t>Only then is an outcome model meaningful. Its unit is the project; its predictor is activation weighted by the fitness each meme held at activation time, which keeps ratings produced after a project out of that project's own predictor; its outcomes are the three process indicators as exposure-</w:t>
      </w:r>
      <w:r>
        <w:lastRenderedPageBreak/>
        <w:t>adjusted rates rather than raw counts: clarification requests per work package, median days from a decision being raised to resolved, and approved scope additions per work package. Projects share staff, clients, and memes, so estimates require a multilevel model with projects crossed by project manager and client, controlling for duration, phase mix, contract type, team experience, and calendar period. Results will be reported as effect sizes with intervals. A result consistent with the design is a negative association between fitness-weighted activation and the composite indicator. A null result would not on its own refute the mechanism, since it may reflect low power, weak uptake, or measurement error, which is why the earlier stages must come first.</w:t>
      </w:r>
    </w:p>
    <w:p w14:paraId="061BFCA1" w14:textId="77777777" w:rsidR="00B60C75" w:rsidRPr="002131E2" w:rsidRDefault="00DF6D6B" w:rsidP="00D82D02">
      <w:pPr>
        <w:pStyle w:val="Billedtekst"/>
        <w:keepNext/>
        <w:spacing w:after="40"/>
        <w:jc w:val="center"/>
        <w:rPr>
          <w:color w:val="000000"/>
        </w:rPr>
      </w:pPr>
      <w:r>
        <w:t>Table 4: Evidence level for each design objective. The mechanisms are demonstrated on live data; none of the effect claims are evaluated.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2350"/>
        <w:gridCol w:w="2250"/>
        <w:gridCol w:w="2350"/>
      </w:tblGrid>
      <w:tr w:rsidR="00916E77" w:rsidRPr="00916E77" w14:paraId="4A523DE4" w14:textId="77777777" w:rsidTr="00D52677">
        <w:tc>
          <w:tcPr>
            <w:tcW w:w="1650" w:type="dxa"/>
          </w:tcPr>
          <w:p w14:paraId="7AB76907" w14:textId="77777777" w:rsidR="00916E77" w:rsidRPr="006C2757" w:rsidRDefault="00916E77" w:rsidP="000865F9">
            <w:pPr>
              <w:spacing w:after="0"/>
              <w:rPr>
                <w:b/>
                <w:bCs/>
              </w:rPr>
            </w:pPr>
            <w:r>
              <w:rPr>
                <w:b/>
                <w:bCs/>
              </w:rPr>
              <w:t>Objective</w:t>
            </w:r>
          </w:p>
        </w:tc>
        <w:tc>
          <w:tcPr>
            <w:tcW w:w="2350" w:type="dxa"/>
          </w:tcPr>
          <w:p w14:paraId="694528C0" w14:textId="77777777" w:rsidR="00916E77" w:rsidRPr="006C2757" w:rsidRDefault="00916E77" w:rsidP="000865F9">
            <w:pPr>
              <w:spacing w:after="0"/>
              <w:rPr>
                <w:b/>
                <w:bCs/>
              </w:rPr>
            </w:pPr>
            <w:r>
              <w:rPr>
                <w:b/>
                <w:bCs/>
              </w:rPr>
              <w:t>Mechanism as built</w:t>
            </w:r>
          </w:p>
        </w:tc>
        <w:tc>
          <w:tcPr>
            <w:tcW w:w="2250" w:type="dxa"/>
          </w:tcPr>
          <w:p w14:paraId="1D394DA8" w14:textId="77777777" w:rsidR="00916E77" w:rsidRPr="006C2757" w:rsidRDefault="00916E77" w:rsidP="000865F9">
            <w:pPr>
              <w:spacing w:after="0"/>
              <w:rPr>
                <w:b/>
                <w:bCs/>
              </w:rPr>
            </w:pPr>
            <w:r>
              <w:rPr>
                <w:b/>
                <w:bCs/>
              </w:rPr>
              <w:t>Evidence available</w:t>
            </w:r>
          </w:p>
        </w:tc>
        <w:tc>
          <w:tcPr>
            <w:tcW w:w="2350" w:type="dxa"/>
          </w:tcPr>
          <w:p w14:paraId="3A64DBD5" w14:textId="77777777" w:rsidR="00916E77" w:rsidRPr="006C2757" w:rsidRDefault="00916E77" w:rsidP="000865F9">
            <w:pPr>
              <w:spacing w:after="0"/>
              <w:rPr>
                <w:b/>
                <w:bCs/>
              </w:rPr>
            </w:pPr>
            <w:r>
              <w:rPr>
                <w:b/>
                <w:bCs/>
              </w:rPr>
              <w:t>Evidence not yet available</w:t>
            </w:r>
          </w:p>
        </w:tc>
      </w:tr>
      <w:tr w:rsidR="00916E77" w:rsidRPr="00916E77" w14:paraId="50732ABA" w14:textId="77777777" w:rsidTr="00D52677">
        <w:tc>
          <w:tcPr>
            <w:tcW w:w="1650" w:type="dxa"/>
          </w:tcPr>
          <w:p w14:paraId="501D208E" w14:textId="77777777" w:rsidR="00916E77" w:rsidRPr="006C2757" w:rsidRDefault="00916E77" w:rsidP="000865F9">
            <w:pPr>
              <w:spacing w:after="0"/>
            </w:pPr>
            <w:r>
              <w:t>DO1 Context-aware delivery</w:t>
            </w:r>
          </w:p>
        </w:tc>
        <w:tc>
          <w:tcPr>
            <w:tcW w:w="2350" w:type="dxa"/>
          </w:tcPr>
          <w:p w14:paraId="0876C16E" w14:textId="77777777" w:rsidR="00916E77" w:rsidRPr="006C2757" w:rsidRDefault="00916E77" w:rsidP="000865F9">
            <w:pPr>
              <w:spacing w:after="0"/>
            </w:pPr>
            <w:r>
              <w:t>Memes activate in the workspace with no search step</w:t>
            </w:r>
          </w:p>
        </w:tc>
        <w:tc>
          <w:tcPr>
            <w:tcW w:w="2250" w:type="dxa"/>
          </w:tcPr>
          <w:p w14:paraId="4EE74445" w14:textId="77777777" w:rsidR="00916E77" w:rsidRPr="006C2757" w:rsidRDefault="00916E77" w:rsidP="000865F9">
            <w:pPr>
              <w:spacing w:after="0"/>
            </w:pPr>
            <w:r>
              <w:t>The mechanism runs on live project data</w:t>
            </w:r>
          </w:p>
        </w:tc>
        <w:tc>
          <w:tcPr>
            <w:tcW w:w="2350" w:type="dxa"/>
          </w:tcPr>
          <w:p w14:paraId="1932E475" w14:textId="77777777" w:rsidR="00916E77" w:rsidRPr="006C2757" w:rsidRDefault="00916E77" w:rsidP="000865F9">
            <w:pPr>
              <w:spacing w:after="0"/>
            </w:pPr>
            <w:r>
              <w:t>Whether practitioners notice, read, or act on an activated meme</w:t>
            </w:r>
          </w:p>
        </w:tc>
      </w:tr>
      <w:tr w:rsidR="00916E77" w:rsidRPr="00916E77" w14:paraId="426035C2" w14:textId="77777777" w:rsidTr="00D52677">
        <w:tc>
          <w:tcPr>
            <w:tcW w:w="1650" w:type="dxa"/>
          </w:tcPr>
          <w:p w14:paraId="6D3B13AF" w14:textId="77777777" w:rsidR="00916E77" w:rsidRPr="006C2757" w:rsidRDefault="00916E77" w:rsidP="000865F9">
            <w:pPr>
              <w:spacing w:after="0"/>
            </w:pPr>
            <w:r>
              <w:t>DO2 Low overhead</w:t>
            </w:r>
          </w:p>
        </w:tc>
        <w:tc>
          <w:tcPr>
            <w:tcW w:w="2350" w:type="dxa"/>
          </w:tcPr>
          <w:p w14:paraId="0E6F12EB" w14:textId="77777777" w:rsidR="00916E77" w:rsidRPr="006C2757" w:rsidRDefault="00916E77" w:rsidP="000865F9">
            <w:pPr>
              <w:spacing w:after="0"/>
            </w:pPr>
            <w:r>
              <w:t>Six attributes computed from existing records; guided authoring form</w:t>
            </w:r>
          </w:p>
        </w:tc>
        <w:tc>
          <w:tcPr>
            <w:tcW w:w="2250" w:type="dxa"/>
          </w:tcPr>
          <w:p w14:paraId="56357C0A" w14:textId="77777777" w:rsidR="00916E77" w:rsidRPr="006C2757" w:rsidRDefault="00916E77" w:rsidP="000865F9">
            <w:pPr>
              <w:spacing w:after="0"/>
            </w:pPr>
            <w:r>
              <w:t>All six attributes are computed without additional data entry</w:t>
            </w:r>
          </w:p>
        </w:tc>
        <w:tc>
          <w:tcPr>
            <w:tcW w:w="2350" w:type="dxa"/>
          </w:tcPr>
          <w:p w14:paraId="5CE46E16" w14:textId="77777777" w:rsidR="00916E77" w:rsidRPr="006C2757" w:rsidRDefault="00916E77" w:rsidP="000865F9">
            <w:pPr>
              <w:spacing w:after="0"/>
            </w:pPr>
            <w:r>
              <w:t>Authoring effort and error rate; whether the form is usable without support</w:t>
            </w:r>
          </w:p>
        </w:tc>
      </w:tr>
      <w:tr w:rsidR="00916E77" w:rsidRPr="00916E77" w14:paraId="2D08FCB7" w14:textId="77777777" w:rsidTr="00D52677">
        <w:tc>
          <w:tcPr>
            <w:tcW w:w="1650" w:type="dxa"/>
          </w:tcPr>
          <w:p w14:paraId="7FFB1F4D" w14:textId="77777777" w:rsidR="00916E77" w:rsidRPr="006C2757" w:rsidRDefault="00916E77" w:rsidP="000865F9">
            <w:pPr>
              <w:spacing w:after="0"/>
            </w:pPr>
            <w:r>
              <w:t>DO3 Transparency</w:t>
            </w:r>
          </w:p>
        </w:tc>
        <w:tc>
          <w:tcPr>
            <w:tcW w:w="2350" w:type="dxa"/>
          </w:tcPr>
          <w:p w14:paraId="5FECC648" w14:textId="77777777" w:rsidR="00916E77" w:rsidRPr="006C2757" w:rsidRDefault="00916E77" w:rsidP="000865F9">
            <w:pPr>
              <w:spacing w:after="0"/>
            </w:pPr>
            <w:r>
              <w:t>Firing predicates and source values displayed; amendments versioned</w:t>
            </w:r>
          </w:p>
        </w:tc>
        <w:tc>
          <w:tcPr>
            <w:tcW w:w="2250" w:type="dxa"/>
          </w:tcPr>
          <w:p w14:paraId="197F94FF" w14:textId="77777777" w:rsidR="00916E77" w:rsidRPr="006C2757" w:rsidRDefault="00916E77" w:rsidP="000865F9">
            <w:pPr>
              <w:spacing w:after="0"/>
            </w:pPr>
            <w:r>
              <w:t>Every activation is logged with the predicates that produced it</w:t>
            </w:r>
          </w:p>
        </w:tc>
        <w:tc>
          <w:tcPr>
            <w:tcW w:w="2350" w:type="dxa"/>
          </w:tcPr>
          <w:p w14:paraId="4E83B023" w14:textId="77777777" w:rsidR="00916E77" w:rsidRPr="006C2757" w:rsidRDefault="00916E77" w:rsidP="000865F9">
            <w:pPr>
              <w:spacing w:after="0"/>
            </w:pPr>
            <w:r>
              <w:t>Whether practitioners understand the explanation or act on it</w:t>
            </w:r>
          </w:p>
        </w:tc>
      </w:tr>
      <w:tr w:rsidR="00916E77" w:rsidRPr="00916E77" w14:paraId="606D9D10" w14:textId="77777777" w:rsidTr="00D52677">
        <w:tc>
          <w:tcPr>
            <w:tcW w:w="1650" w:type="dxa"/>
          </w:tcPr>
          <w:p w14:paraId="4CD3D5B1" w14:textId="77777777" w:rsidR="00916E77" w:rsidRPr="006C2757" w:rsidRDefault="00916E77" w:rsidP="000865F9">
            <w:pPr>
              <w:spacing w:after="0"/>
            </w:pPr>
            <w:r>
              <w:t>DO4 Infrastructure integration</w:t>
            </w:r>
          </w:p>
        </w:tc>
        <w:tc>
          <w:tcPr>
            <w:tcW w:w="2350" w:type="dxa"/>
          </w:tcPr>
          <w:p w14:paraId="75B9BFA3" w14:textId="77777777" w:rsidR="00916E77" w:rsidRPr="006C2757" w:rsidRDefault="00916E77" w:rsidP="000865F9">
            <w:pPr>
              <w:spacing w:after="0"/>
            </w:pPr>
            <w:r>
              <w:t>Reads project register, finance module, and PM workflow</w:t>
            </w:r>
          </w:p>
        </w:tc>
        <w:tc>
          <w:tcPr>
            <w:tcW w:w="2250" w:type="dxa"/>
          </w:tcPr>
          <w:p w14:paraId="71F9D655" w14:textId="77777777" w:rsidR="00916E77" w:rsidRPr="006C2757" w:rsidRDefault="00916E77" w:rsidP="000865F9">
            <w:pPr>
              <w:spacing w:after="0"/>
            </w:pPr>
            <w:r>
              <w:t>The integration runs against the host platform</w:t>
            </w:r>
          </w:p>
        </w:tc>
        <w:tc>
          <w:tcPr>
            <w:tcW w:w="2350" w:type="dxa"/>
          </w:tcPr>
          <w:p w14:paraId="18A0807B" w14:textId="77777777" w:rsidR="00916E77" w:rsidRPr="006C2757" w:rsidRDefault="00916E77" w:rsidP="000865F9">
            <w:pPr>
              <w:spacing w:after="0"/>
            </w:pPr>
            <w:r>
              <w:t>Whether the same fields carry the same meaning in another firm</w:t>
            </w:r>
          </w:p>
        </w:tc>
      </w:tr>
    </w:tbl>
    <w:p w14:paraId="7579660D" w14:textId="77777777" w:rsidR="00B60C75" w:rsidRPr="00B60C75" w:rsidRDefault="00B60C75" w:rsidP="0059023F">
      <w:pPr>
        <w:spacing w:after="0"/>
        <w:jc w:val="both"/>
        <w:rPr>
          <w:color w:val="000000"/>
          <w:sz w:val="14"/>
          <w:szCs w:val="14"/>
        </w:rPr>
      </w:pPr>
    </w:p>
    <w:p w14:paraId="427A347A" w14:textId="08671410" w:rsidR="00442AAB" w:rsidRPr="0026208E" w:rsidRDefault="003B2F95" w:rsidP="0059023F">
      <w:pPr>
        <w:spacing w:after="40"/>
        <w:rPr>
          <w:b/>
          <w:sz w:val="28"/>
        </w:rPr>
      </w:pPr>
      <w:r>
        <w:rPr>
          <w:b/>
          <w:sz w:val="28"/>
        </w:rPr>
        <w:t>6. DISCUSSION AND CONCLUSIONS</w:t>
      </w:r>
    </w:p>
    <w:p w14:paraId="65D2C5DF" w14:textId="43BC4ECC" w:rsidR="008A29FB" w:rsidRDefault="00727FA7" w:rsidP="008A29FB">
      <w:pPr>
        <w:spacing w:after="40"/>
        <w:ind w:firstLine="851"/>
        <w:jc w:val="both"/>
      </w:pPr>
      <w:r>
        <w:t xml:space="preserve">Operationalising memetics at SME scale required strong restrictions: fitness is a discrete score updated at project closure, and activation runs over a closed attribute set. Each preserves the variation-selection-retention pattern that Weeks and </w:t>
      </w:r>
      <w:proofErr w:type="spellStart"/>
      <w:r>
        <w:t>Galunic</w:t>
      </w:r>
      <w:proofErr w:type="spellEnd"/>
      <w:r>
        <w:t xml:space="preserve"> (2003) and Hodgson and Knudsen (2004) identify as the analytical core of organisational memetics, while giving up the claim that the repository evolves without deliberate governance. The contribution is not theoretical refinement but a demonstration that the pattern can be instantiated as running software inside an active firm rather than reconstructed retrospectively. The artefact occupies a deliberate middle ground: it departs from document-centric repositories, whose failure mode of capture without activation is well documented (Carrillo et al., 2004; </w:t>
      </w:r>
      <w:proofErr w:type="spellStart"/>
      <w:r>
        <w:t>Dülgerler</w:t>
      </w:r>
      <w:proofErr w:type="spellEnd"/>
      <w:r>
        <w:t xml:space="preserve"> and Negri, 2016; Debs and Hubbard, 2023), without adopting ontology-based formalisms (Deng et al., 2022; Lundqvist et al., 2011) that exceed SME authoring capacity.</w:t>
      </w:r>
    </w:p>
    <w:p w14:paraId="682F595C" w14:textId="77777777" w:rsidR="00CA14EB" w:rsidRDefault="00000000">
      <w:pPr>
        <w:spacing w:after="40"/>
        <w:ind w:firstLine="851"/>
        <w:jc w:val="both"/>
      </w:pPr>
      <w:r>
        <w:t>Three candidate design principles state the knowledge that may transfer beyond the host firm. Each is derived from a single instantiation and not yet validated. First, in an organisation without specialist modelling capacity, fix the knowledge unit at the level the practitioner can author and audit, so authoring stays inside the organisation that holds the knowledge. Second, where the organisation already maintains structured project records, compute the activation context from them, so relevance is calculated rather than declared. Third, where a repository must change as practice changes, make selection an explicit act of expert judgement at an event the organisation already runs, because change needs a scheduled occasion. Each names a context, a mechanism, and an expected outcome, and each is testable in firms that never adopt this artefact.</w:t>
      </w:r>
    </w:p>
    <w:p w14:paraId="5792045F" w14:textId="6827D260" w:rsidR="00D6057A" w:rsidRPr="003B2F95" w:rsidRDefault="008A29FB" w:rsidP="008A29FB">
      <w:pPr>
        <w:spacing w:after="40"/>
        <w:ind w:firstLine="851"/>
        <w:jc w:val="both"/>
      </w:pPr>
      <w:r>
        <w:lastRenderedPageBreak/>
        <w:t xml:space="preserve">Four limitations qualify the contribution. The evidence covers design and instantiation only, as Table 4 records. The work covers a single firm, and designing for portability is not demonstrating transfer. The fitness metric is </w:t>
      </w:r>
      <w:proofErr w:type="gramStart"/>
      <w:r>
        <w:t>coarse,</w:t>
      </w:r>
      <w:proofErr w:type="gramEnd"/>
      <w:r>
        <w:t xml:space="preserve"> three levels recorded once per project. And the attribute set assumes the right dimensions of variation have been identified, with procurement model and contract type the most likely omissions. A positionality note is warranted. The third author originated the PKMS framework that this study instantiates, and the second author is employed by the host firm; both carry a risk of confirmation bias in the framing of the artefact and in any evaluation of it. Three features limit that risk: the claims are confined to what the artefact is and whether it runs; the evaluation criteria come from the running system and the firm's practitioners, not from the framework's originator; and the staged evaluation will place data extraction and analysis with an author who has no stake in the framework, with coding audited independently. By moving from passive retrieval to context-triggered delivery, the artefact addresses a failure mode dominant in construction and under-served by academic KM. What it does not yet have is evidence. Future work runs the evaluation of §5.4, broadens the base to a second firm, and tests whether the three principles hold where the artefact does not.</w:t>
      </w:r>
    </w:p>
    <w:p w14:paraId="7B84037F" w14:textId="77777777" w:rsidR="00CA14EB" w:rsidRDefault="00CA14EB">
      <w:pPr>
        <w:spacing w:after="0"/>
        <w:rPr>
          <w:sz w:val="14"/>
          <w:szCs w:val="14"/>
        </w:rPr>
      </w:pPr>
    </w:p>
    <w:p w14:paraId="30C5CBC2" w14:textId="296D86D8" w:rsidR="00CB5700" w:rsidRDefault="00D6057A" w:rsidP="0059023F">
      <w:pPr>
        <w:spacing w:after="40"/>
        <w:rPr>
          <w:b/>
          <w:bCs/>
          <w:sz w:val="28"/>
          <w:szCs w:val="28"/>
        </w:rPr>
      </w:pPr>
      <w:r w:rsidRPr="00D6057A">
        <w:rPr>
          <w:b/>
          <w:bCs/>
          <w:sz w:val="28"/>
          <w:szCs w:val="28"/>
        </w:rPr>
        <w:t xml:space="preserve">REFERENCES </w:t>
      </w:r>
    </w:p>
    <w:p w14:paraId="4E10B6E2" w14:textId="77777777" w:rsidR="00EE383F" w:rsidRPr="00EE383F" w:rsidRDefault="00EE383F" w:rsidP="008A29FB">
      <w:pPr>
        <w:spacing w:after="40"/>
        <w:ind w:left="851"/>
        <w:jc w:val="both"/>
      </w:pPr>
      <w:r w:rsidRPr="00EE383F">
        <w:t>Aamodt, A. and Plaza, E. (1994). Case-based reasoning: Foundational issues, methodological variations, and system approaches. AI Communications, 7(1), pp. 39–59.</w:t>
      </w:r>
    </w:p>
    <w:p w14:paraId="7B12847F" w14:textId="7244EC7E" w:rsidR="00CB5700" w:rsidRDefault="00EE383F" w:rsidP="008A29FB">
      <w:pPr>
        <w:spacing w:after="40"/>
        <w:ind w:left="851"/>
        <w:jc w:val="both"/>
      </w:pPr>
      <w:proofErr w:type="spellStart"/>
      <w:r w:rsidRPr="00EE383F">
        <w:t>Aghimien</w:t>
      </w:r>
      <w:proofErr w:type="spellEnd"/>
      <w:r w:rsidR="00A75257">
        <w:t xml:space="preserve">, D., </w:t>
      </w:r>
      <w:proofErr w:type="spellStart"/>
      <w:r w:rsidR="00A75257">
        <w:t>Aigbavboa</w:t>
      </w:r>
      <w:proofErr w:type="spellEnd"/>
      <w:r w:rsidR="00A75257">
        <w:t>, C.O., Gomes, F. and Thwala, W.D. (2019). Barriers to knowledge management in small and medium construction companies in South Africa. In: Proceedings of the Creative Construction Conference, 29 June – 2 July, Budapest, Hungary, pp. 213–219.</w:t>
      </w:r>
    </w:p>
    <w:p w14:paraId="155B9DA4" w14:textId="77777777" w:rsidR="00EE383F" w:rsidRPr="00EE383F" w:rsidRDefault="00EE383F" w:rsidP="008A29FB">
      <w:pPr>
        <w:spacing w:after="40"/>
        <w:ind w:left="851"/>
        <w:jc w:val="both"/>
      </w:pPr>
      <w:r w:rsidRPr="00EE383F">
        <w:t>Aunger, R. (ed.) (2000). Darwinizing Culture: The Status of Memetics as a Science. Oxford: Oxford University Press.</w:t>
      </w:r>
    </w:p>
    <w:p w14:paraId="4B2643CF" w14:textId="76BB5A3E" w:rsidR="00CB5700" w:rsidRDefault="00EE383F" w:rsidP="008A29FB">
      <w:pPr>
        <w:spacing w:after="40"/>
        <w:ind w:left="851"/>
        <w:jc w:val="both"/>
      </w:pPr>
      <w:r w:rsidRPr="00EE383F">
        <w:t>Balaban-Ökten, B. and Gundes, S. (2018).</w:t>
      </w:r>
      <w:r w:rsidR="00A75257">
        <w:t xml:space="preserve"> Knowledge management in small and medium architecture, engineering and construction firms in Turkey. Electronic Journal of Knowledge Management, 16(2), pp. 155–169.</w:t>
      </w:r>
    </w:p>
    <w:p w14:paraId="562AD93D" w14:textId="026B793E" w:rsidR="00CB5700" w:rsidRDefault="00A75257" w:rsidP="0059023F">
      <w:pPr>
        <w:spacing w:after="40"/>
        <w:ind w:left="851"/>
        <w:jc w:val="both"/>
      </w:pPr>
      <w:r>
        <w:t>Blackmore, S. (1999). The Meme Machine. Oxford: Oxford University Press.</w:t>
      </w:r>
    </w:p>
    <w:p w14:paraId="1A8D516B" w14:textId="3AD9DFA9" w:rsidR="00CB5700" w:rsidRDefault="00A75257" w:rsidP="008A29FB">
      <w:pPr>
        <w:spacing w:after="40"/>
        <w:ind w:left="851"/>
        <w:jc w:val="both"/>
      </w:pPr>
      <w:r>
        <w:t>Carrillo, P., Robinson, H., Al-</w:t>
      </w:r>
      <w:proofErr w:type="spellStart"/>
      <w:r>
        <w:t>Ghassani</w:t>
      </w:r>
      <w:proofErr w:type="spellEnd"/>
      <w:r>
        <w:t xml:space="preserve">, A. and </w:t>
      </w:r>
      <w:proofErr w:type="spellStart"/>
      <w:r>
        <w:t>Anumba</w:t>
      </w:r>
      <w:proofErr w:type="spellEnd"/>
      <w:r>
        <w:t>, C. (2004). Knowledge management in UK construction: Strategies, resources and barriers. Project Management Journal, 35(1), pp. 46–56.</w:t>
      </w:r>
    </w:p>
    <w:p w14:paraId="236A8B5E" w14:textId="0ED467D2" w:rsidR="00CB5700" w:rsidRDefault="00A75257" w:rsidP="0059023F">
      <w:pPr>
        <w:spacing w:after="40"/>
        <w:ind w:left="851"/>
        <w:jc w:val="both"/>
      </w:pPr>
      <w:r>
        <w:t>Dawkins, R. (1976). The Selfish Gene. Oxford: Oxford University Press.</w:t>
      </w:r>
    </w:p>
    <w:p w14:paraId="0951B122" w14:textId="594D4D82" w:rsidR="00CB5700" w:rsidRDefault="00A75257" w:rsidP="008A29FB">
      <w:pPr>
        <w:spacing w:after="40"/>
        <w:ind w:left="851"/>
        <w:jc w:val="both"/>
      </w:pPr>
      <w:r>
        <w:t>Debs, L. and Hubbard, B. (2023). Gathering and disseminating lessons learned in construction companies to support knowledge management. Australasian Journal of Construction Economics and Building, 23(1/2), pp. 1–18.</w:t>
      </w:r>
    </w:p>
    <w:p w14:paraId="5330710C" w14:textId="668921BD" w:rsidR="00CB5700" w:rsidRDefault="00A75257" w:rsidP="008A29FB">
      <w:pPr>
        <w:spacing w:after="40"/>
        <w:ind w:left="851"/>
        <w:jc w:val="both"/>
      </w:pPr>
      <w:r>
        <w:t>Deng, H., Xu, Y.W., Deng, Y.C. and Lin, J.R. (2022). Transforming knowledge management in the construction industry through information and communications technology: A 15-year review. Automation in Construction, 142, 104530.</w:t>
      </w:r>
    </w:p>
    <w:p w14:paraId="1287209E" w14:textId="77777777" w:rsidR="00CA14EB" w:rsidRDefault="00000000">
      <w:pPr>
        <w:spacing w:after="40"/>
        <w:ind w:left="851"/>
        <w:jc w:val="both"/>
      </w:pPr>
      <w:proofErr w:type="spellStart"/>
      <w:r>
        <w:t>Dülgerler</w:t>
      </w:r>
      <w:proofErr w:type="spellEnd"/>
      <w:r>
        <w:t>, M. and Negri, M. (2016). Lessons (really) learned? How to retain project knowledge and avoid recurring nightmares. In: PMI Global Congress 2016 – EMEA, Barcelona, Spain. Newtown Square, PA: Project Management Institute.</w:t>
      </w:r>
    </w:p>
    <w:p w14:paraId="2FF4327A" w14:textId="7919E651" w:rsidR="00CB5700" w:rsidRPr="009846FB" w:rsidRDefault="00A75257" w:rsidP="008A29FB">
      <w:pPr>
        <w:spacing w:after="40"/>
        <w:ind w:left="851"/>
        <w:jc w:val="both"/>
      </w:pPr>
      <w:r>
        <w:t xml:space="preserve">Eken, G., Bilgin, G., Dikmen, I. and </w:t>
      </w:r>
      <w:proofErr w:type="spellStart"/>
      <w:r>
        <w:t>Birgonul</w:t>
      </w:r>
      <w:proofErr w:type="spellEnd"/>
      <w:r>
        <w:t>, M.T. (2020). A lessons-learned tool for organizational learning in construction. Automation in Construction, 110, 102977.</w:t>
      </w:r>
    </w:p>
    <w:p w14:paraId="64FAFC14" w14:textId="77777777" w:rsidR="00CA14EB" w:rsidRDefault="00000000">
      <w:pPr>
        <w:spacing w:after="40"/>
        <w:ind w:left="851"/>
        <w:jc w:val="both"/>
      </w:pPr>
      <w:r>
        <w:t>Ferres, G.M. and Moehler, R.C. (2024). Running the codification gauntlet: Why intent alone cannot afford the codification of project learnings. Project Management Journal, 55(4), pp. 406–422.</w:t>
      </w:r>
    </w:p>
    <w:p w14:paraId="5F751B0B" w14:textId="7B5A4DB7" w:rsidR="00CB5700" w:rsidRDefault="00A75257" w:rsidP="008A29FB">
      <w:pPr>
        <w:spacing w:after="40"/>
        <w:ind w:left="851"/>
        <w:jc w:val="both"/>
      </w:pPr>
      <w:r>
        <w:lastRenderedPageBreak/>
        <w:t xml:space="preserve">Hari, S., </w:t>
      </w:r>
      <w:proofErr w:type="spellStart"/>
      <w:r>
        <w:t>Egbu</w:t>
      </w:r>
      <w:proofErr w:type="spellEnd"/>
      <w:r>
        <w:t>, C. and Kumar, B. (2004). Knowledge capture in small and medium enterprises in the construction industry: Challenges and opportunities. In: Proceedings of the 20th ARCOM Conference, Heriot-Watt University, Edinburgh, pp. 847–855.</w:t>
      </w:r>
    </w:p>
    <w:p w14:paraId="2D278819" w14:textId="71C8AEDE" w:rsidR="00CB5700" w:rsidRDefault="00A75257" w:rsidP="008A29FB">
      <w:pPr>
        <w:spacing w:after="40"/>
        <w:ind w:left="851"/>
        <w:jc w:val="both"/>
      </w:pPr>
      <w:r>
        <w:t>Hayes-Roth, F. (1985). Rule-based systems. Communications of the ACM, 28(9), pp. 921–932.</w:t>
      </w:r>
    </w:p>
    <w:p w14:paraId="2053810E" w14:textId="2A17EF26" w:rsidR="00CB5700" w:rsidRDefault="00A75257" w:rsidP="008A29FB">
      <w:pPr>
        <w:spacing w:after="40"/>
        <w:ind w:left="851"/>
        <w:jc w:val="both"/>
      </w:pPr>
      <w:r>
        <w:t>Hevner, A.R., March, S.T., Park, J. and Ram, S. (2004). Design science in information systems research. MIS Quarterly, 28(1), pp. 75–105.</w:t>
      </w:r>
    </w:p>
    <w:p w14:paraId="258A5CD3" w14:textId="6BC6284D" w:rsidR="00CB5700" w:rsidRDefault="00A75257" w:rsidP="008A29FB">
      <w:pPr>
        <w:spacing w:after="40"/>
        <w:ind w:left="851"/>
        <w:jc w:val="both"/>
      </w:pPr>
      <w:r>
        <w:t xml:space="preserve">Hodgson, G.M. and Knudsen, T. (2004). The </w:t>
      </w:r>
      <w:r w:rsidR="00E801CA" w:rsidRPr="00E801CA">
        <w:t>firm as an interactor: Firms as vehicles for habits and routines. Journal of Evolutionary Economics, 14(3), pp. 281–30</w:t>
      </w:r>
      <w:r>
        <w:t>7.</w:t>
      </w:r>
    </w:p>
    <w:p w14:paraId="06EB8C83" w14:textId="7CC51486" w:rsidR="00CB5700" w:rsidRDefault="00A75257" w:rsidP="008A29FB">
      <w:pPr>
        <w:spacing w:after="40"/>
        <w:ind w:left="851"/>
        <w:jc w:val="both"/>
      </w:pPr>
      <w:r>
        <w:t xml:space="preserve">Lundqvist, M., Sandkuhl, K. and </w:t>
      </w:r>
      <w:proofErr w:type="spellStart"/>
      <w:r>
        <w:t>Seigerroth</w:t>
      </w:r>
      <w:proofErr w:type="spellEnd"/>
      <w:r>
        <w:t xml:space="preserve">, U. (2011). Modelling information demand in an enterprise context: Method, notation and lessons learned. International Journal of Information System </w:t>
      </w:r>
      <w:proofErr w:type="spellStart"/>
      <w:r>
        <w:t>Modeling</w:t>
      </w:r>
      <w:proofErr w:type="spellEnd"/>
      <w:r>
        <w:t xml:space="preserve"> and Design, 2(3), pp. 75–95.</w:t>
      </w:r>
    </w:p>
    <w:p w14:paraId="0BA56B54" w14:textId="77777777" w:rsidR="00CA14EB" w:rsidRDefault="00000000">
      <w:pPr>
        <w:spacing w:after="40"/>
        <w:ind w:left="851"/>
        <w:jc w:val="both"/>
      </w:pPr>
      <w:r>
        <w:t xml:space="preserve">López, S. and Yepes, V. (2024). Visualizing the future of knowledge sharing in SMEs in the construction industry: A </w:t>
      </w:r>
      <w:proofErr w:type="spellStart"/>
      <w:r>
        <w:t>VOSviewer</w:t>
      </w:r>
      <w:proofErr w:type="spellEnd"/>
      <w:r>
        <w:t xml:space="preserve"> analysis of emerging trends and best practices. Advances in Civil Engineering, 2024, 6657677.</w:t>
      </w:r>
    </w:p>
    <w:p w14:paraId="558280C6" w14:textId="4166AAF4" w:rsidR="00CB5700" w:rsidRDefault="00A75257" w:rsidP="008A29FB">
      <w:pPr>
        <w:spacing w:after="40"/>
        <w:ind w:left="851"/>
        <w:jc w:val="both"/>
      </w:pPr>
      <w:r>
        <w:t xml:space="preserve">Morrison, J.E. and Meliza, L.L. (1999). Foundations of the </w:t>
      </w:r>
      <w:proofErr w:type="gramStart"/>
      <w:r>
        <w:t>After Action</w:t>
      </w:r>
      <w:proofErr w:type="gramEnd"/>
      <w:r>
        <w:t xml:space="preserve"> Review Process. IDA Special Report SR-42. Alexandria, VA: Institute for </w:t>
      </w:r>
      <w:proofErr w:type="spellStart"/>
      <w:r>
        <w:t>Defense</w:t>
      </w:r>
      <w:proofErr w:type="spellEnd"/>
      <w:r>
        <w:t xml:space="preserve"> Analyses.</w:t>
      </w:r>
    </w:p>
    <w:p w14:paraId="5BD5613F" w14:textId="4B796D0A" w:rsidR="00CB5700" w:rsidRDefault="00A75257" w:rsidP="008A29FB">
      <w:pPr>
        <w:spacing w:after="40"/>
        <w:ind w:left="851"/>
        <w:jc w:val="both"/>
      </w:pPr>
      <w:r>
        <w:t xml:space="preserve">Mortier, R., Haddadi, H., Henderson, T., McAuley, D. and Crowcroft, J. (2014). Human-Data Interaction: The human face of the data-driven society. </w:t>
      </w:r>
      <w:proofErr w:type="spellStart"/>
      <w:r>
        <w:t>arXiv</w:t>
      </w:r>
      <w:proofErr w:type="spellEnd"/>
      <w:r>
        <w:t xml:space="preserve"> preprint arXiv:1412.6159.</w:t>
      </w:r>
    </w:p>
    <w:p w14:paraId="63C47353" w14:textId="77777777" w:rsidR="00CB5700" w:rsidRDefault="00CB5700" w:rsidP="008A29FB">
      <w:pPr>
        <w:spacing w:after="40"/>
        <w:ind w:left="851"/>
        <w:jc w:val="both"/>
      </w:pPr>
      <w:r w:rsidRPr="00CB5700">
        <w:t>Nonaka, I. and Takeuchi, H. (1995). The Knowledge-Creating Company: How Japanese Companies Create the Dynamics of Innovation. New York: Oxford University Press.</w:t>
      </w:r>
    </w:p>
    <w:p w14:paraId="224F49B0" w14:textId="77777777" w:rsidR="00CB5700" w:rsidRDefault="00CB5700" w:rsidP="008A29FB">
      <w:pPr>
        <w:spacing w:after="40"/>
        <w:ind w:left="851"/>
        <w:jc w:val="both"/>
      </w:pPr>
      <w:r w:rsidRPr="00CB5700">
        <w:t>Polanyi, M. (1958). Personal Knowledge: Towards a Post-Critical Philosophy. London: Routledge &amp; Kegan Paul.</w:t>
      </w:r>
    </w:p>
    <w:p w14:paraId="2487EE5E" w14:textId="4A77C7D8" w:rsidR="00CB5700" w:rsidRDefault="00A75257" w:rsidP="008A29FB">
      <w:pPr>
        <w:spacing w:after="40"/>
        <w:ind w:left="851"/>
        <w:jc w:val="both"/>
      </w:pPr>
      <w:r>
        <w:t>Price, I. (1995). Organisational memetics? Organisational learning as a selection process. Management Learning, 26(3), pp. 299–318.</w:t>
      </w:r>
    </w:p>
    <w:p w14:paraId="20AD71B7" w14:textId="1286BFF3" w:rsidR="00CB5700" w:rsidRDefault="00A75257" w:rsidP="008A29FB">
      <w:pPr>
        <w:spacing w:after="40"/>
        <w:ind w:left="851"/>
        <w:jc w:val="both"/>
      </w:pPr>
      <w:r>
        <w:t xml:space="preserve">Peffers, K., </w:t>
      </w:r>
      <w:proofErr w:type="spellStart"/>
      <w:r>
        <w:t>Tuunanen</w:t>
      </w:r>
      <w:proofErr w:type="spellEnd"/>
      <w:r>
        <w:t>, T., Rothenberger, M.A. and Chatterjee, S. (2007). A design science research methodology for information systems research. Journal of Management Information Systems, 24(3), pp. 45–77.</w:t>
      </w:r>
    </w:p>
    <w:p w14:paraId="57072EAC" w14:textId="4D778549" w:rsidR="00CB5700" w:rsidRDefault="00A75257" w:rsidP="008A29FB">
      <w:pPr>
        <w:spacing w:after="40"/>
        <w:ind w:left="851"/>
        <w:jc w:val="both"/>
      </w:pPr>
      <w:r>
        <w:t>Scarbrough, H., Swan, J., Laurent, S., Bresnen, M., Edelman, L. and Newell, S. (2004). Project-based learning and the role of learning boundaries. Organization Studies, 25(9), pp. 1579–1600.</w:t>
      </w:r>
    </w:p>
    <w:p w14:paraId="720E84E7" w14:textId="47055B9C" w:rsidR="00CB5700" w:rsidRDefault="00A75257" w:rsidP="008A29FB">
      <w:pPr>
        <w:spacing w:after="40"/>
        <w:ind w:left="851"/>
        <w:jc w:val="both"/>
      </w:pPr>
      <w:r>
        <w:t xml:space="preserve">Schmitt, U. (2013). </w:t>
      </w:r>
      <w:proofErr w:type="spellStart"/>
      <w:r>
        <w:t>Knowcations</w:t>
      </w:r>
      <w:proofErr w:type="spellEnd"/>
      <w:r>
        <w:t xml:space="preserve"> – Conceptualizing a meme- and cloud-based personal second-generation knowledge management system. In: Proceedings of ICCCI 2013, LNAI 8083, pp. 405–414.</w:t>
      </w:r>
    </w:p>
    <w:p w14:paraId="3530918D" w14:textId="3A8E1423" w:rsidR="00CB5700" w:rsidRDefault="00A75257" w:rsidP="008A29FB">
      <w:pPr>
        <w:spacing w:after="40"/>
        <w:ind w:left="851"/>
        <w:jc w:val="both"/>
      </w:pPr>
      <w:r>
        <w:t xml:space="preserve">Schmitt, U. (2016). Design science research for personal knowledge management system development – revisited. Informing Science: The International Journal of an Emerging </w:t>
      </w:r>
      <w:proofErr w:type="spellStart"/>
      <w:r>
        <w:t>Transdiscipline</w:t>
      </w:r>
      <w:proofErr w:type="spellEnd"/>
      <w:r>
        <w:t>, 19, pp. 345–379.</w:t>
      </w:r>
    </w:p>
    <w:p w14:paraId="06A3845C" w14:textId="77777777" w:rsidR="00EE383F" w:rsidRPr="00EE383F" w:rsidRDefault="00EE383F" w:rsidP="008A29FB">
      <w:pPr>
        <w:spacing w:after="40"/>
        <w:ind w:left="851"/>
        <w:jc w:val="both"/>
      </w:pPr>
      <w:r w:rsidRPr="00EE383F">
        <w:t>Sperber, D. (1996). Explaining Culture: A Naturalistic Approach. Oxford: Blackwell.</w:t>
      </w:r>
    </w:p>
    <w:p w14:paraId="6BF064AA" w14:textId="77777777" w:rsidR="00EE383F" w:rsidRPr="00EE383F" w:rsidRDefault="00EE383F" w:rsidP="008A29FB">
      <w:pPr>
        <w:spacing w:after="40"/>
        <w:ind w:left="851"/>
        <w:jc w:val="both"/>
      </w:pPr>
      <w:r w:rsidRPr="00EE383F">
        <w:t>Watson, I. and Perera, S. (1997). Case-based design: A review and analysis of building design applications. Artificial Intelligence for Engineering Design, Analysis and Manufacturing, 11(1), pp. 59–87.</w:t>
      </w:r>
    </w:p>
    <w:p w14:paraId="5E93598B" w14:textId="0052C7D2" w:rsidR="009846FB" w:rsidRDefault="00EE383F" w:rsidP="008A29FB">
      <w:pPr>
        <w:spacing w:after="40"/>
        <w:ind w:left="851"/>
        <w:jc w:val="both"/>
      </w:pPr>
      <w:r w:rsidRPr="00EE383F">
        <w:t xml:space="preserve">Weeks, J. and </w:t>
      </w:r>
      <w:proofErr w:type="spellStart"/>
      <w:r w:rsidRPr="00EE383F">
        <w:t>Galunic</w:t>
      </w:r>
      <w:proofErr w:type="spellEnd"/>
      <w:r w:rsidRPr="00EE383F">
        <w:t>, C. (2003).</w:t>
      </w:r>
      <w:r w:rsidR="00A75257">
        <w:t xml:space="preserve"> A theory of the cultural evolution of the firm: The intra-organizational ecology of memes. Organization Studies, 24(8), pp. 1309–1352.</w:t>
      </w:r>
    </w:p>
    <w:p w14:paraId="5DF9144D" w14:textId="0E976D8A" w:rsidR="00CB5700" w:rsidRPr="009846FB" w:rsidRDefault="00A75257" w:rsidP="008A29FB">
      <w:pPr>
        <w:spacing w:after="40"/>
        <w:ind w:left="851"/>
        <w:jc w:val="both"/>
      </w:pPr>
      <w:r>
        <w:t>Williams, T. (2008). How do organizations learn lessons from projects—and do they? IEEE Transactions on Engineering Management, 55(2), pp. 248–266.</w:t>
      </w:r>
    </w:p>
    <w:p w14:paraId="411D3E1B" w14:textId="7C86D5AC" w:rsidR="005076E1" w:rsidRPr="00D6057A" w:rsidRDefault="00A75257" w:rsidP="008A29FB">
      <w:pPr>
        <w:spacing w:after="40"/>
        <w:ind w:left="851"/>
        <w:jc w:val="both"/>
      </w:pPr>
      <w:r>
        <w:t>Yin, R.K. (2014). Case Study Research: Design and Methods. 5th ed. Thousand Oaks, CA: Sage.</w:t>
      </w:r>
    </w:p>
    <w:sectPr w:rsidR="005076E1" w:rsidRPr="00D6057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05548" w14:textId="77777777" w:rsidR="00377B29" w:rsidRDefault="00377B29" w:rsidP="005076E1">
      <w:pPr>
        <w:spacing w:after="0"/>
      </w:pPr>
      <w:r>
        <w:separator/>
      </w:r>
    </w:p>
  </w:endnote>
  <w:endnote w:type="continuationSeparator" w:id="0">
    <w:p w14:paraId="3B215FCD" w14:textId="77777777" w:rsidR="00377B29" w:rsidRDefault="00377B29" w:rsidP="005076E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F35EE" w14:textId="77777777" w:rsidR="00696000" w:rsidRDefault="00696000">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Sidefod"/>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Sidefod"/>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68AFD" w14:textId="77777777" w:rsidR="00696000" w:rsidRDefault="00696000">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34CB1" w14:textId="77777777" w:rsidR="00377B29" w:rsidRDefault="00377B29" w:rsidP="005076E1">
      <w:pPr>
        <w:spacing w:after="0"/>
      </w:pPr>
      <w:r>
        <w:separator/>
      </w:r>
    </w:p>
  </w:footnote>
  <w:footnote w:type="continuationSeparator" w:id="0">
    <w:p w14:paraId="6E0E6356" w14:textId="77777777" w:rsidR="00377B29" w:rsidRDefault="00377B29" w:rsidP="005076E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940EA" w14:textId="77777777" w:rsidR="00696000" w:rsidRDefault="0069600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Sidehoved"/>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Sidehoved"/>
      <w:jc w:val="center"/>
      <w:rPr>
        <w:sz w:val="28"/>
        <w:szCs w:val="28"/>
      </w:rPr>
    </w:pPr>
    <w:r w:rsidRPr="00A93F99">
      <w:rPr>
        <w:sz w:val="28"/>
        <w:szCs w:val="28"/>
      </w:rPr>
      <w:t>IT in Construction</w:t>
    </w:r>
  </w:p>
  <w:p w14:paraId="076529DD" w14:textId="77777777" w:rsidR="005076E1" w:rsidRPr="00F3628B" w:rsidRDefault="005076E1" w:rsidP="005076E1">
    <w:pPr>
      <w:pStyle w:val="Sidehoved"/>
      <w:jc w:val="center"/>
      <w:rPr>
        <w:sz w:val="28"/>
        <w:szCs w:val="28"/>
      </w:rPr>
    </w:pPr>
    <w:r>
      <w:rPr>
        <w:sz w:val="28"/>
        <w:szCs w:val="28"/>
      </w:rPr>
      <w:t>New Delhi, India</w:t>
    </w:r>
  </w:p>
  <w:p w14:paraId="47C5E8E2" w14:textId="77777777" w:rsidR="005076E1" w:rsidRPr="005076E1" w:rsidRDefault="005076E1" w:rsidP="005076E1">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C9AD" w14:textId="77777777" w:rsidR="00696000" w:rsidRDefault="00696000">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5ECF"/>
    <w:rsid w:val="000274E9"/>
    <w:rsid w:val="000318CB"/>
    <w:rsid w:val="000607D7"/>
    <w:rsid w:val="00061E63"/>
    <w:rsid w:val="0007216A"/>
    <w:rsid w:val="00080075"/>
    <w:rsid w:val="000841B1"/>
    <w:rsid w:val="00084AB5"/>
    <w:rsid w:val="000865F9"/>
    <w:rsid w:val="00091529"/>
    <w:rsid w:val="000C3D1E"/>
    <w:rsid w:val="00113EFD"/>
    <w:rsid w:val="001245C0"/>
    <w:rsid w:val="00135B74"/>
    <w:rsid w:val="00150D49"/>
    <w:rsid w:val="0017057A"/>
    <w:rsid w:val="00184858"/>
    <w:rsid w:val="00197F23"/>
    <w:rsid w:val="001A0953"/>
    <w:rsid w:val="001A2D68"/>
    <w:rsid w:val="001F405E"/>
    <w:rsid w:val="00204CC7"/>
    <w:rsid w:val="0020649A"/>
    <w:rsid w:val="002131E2"/>
    <w:rsid w:val="00221168"/>
    <w:rsid w:val="0024045B"/>
    <w:rsid w:val="002543AA"/>
    <w:rsid w:val="0026208E"/>
    <w:rsid w:val="00271036"/>
    <w:rsid w:val="00291E18"/>
    <w:rsid w:val="00296E14"/>
    <w:rsid w:val="002A24A5"/>
    <w:rsid w:val="002A4458"/>
    <w:rsid w:val="002C2F9F"/>
    <w:rsid w:val="002F22DE"/>
    <w:rsid w:val="002F4AF9"/>
    <w:rsid w:val="00334F3E"/>
    <w:rsid w:val="00336A14"/>
    <w:rsid w:val="00346B52"/>
    <w:rsid w:val="003674EB"/>
    <w:rsid w:val="00371D67"/>
    <w:rsid w:val="00374211"/>
    <w:rsid w:val="00377B29"/>
    <w:rsid w:val="00387DE1"/>
    <w:rsid w:val="00391A8D"/>
    <w:rsid w:val="00393E33"/>
    <w:rsid w:val="00394938"/>
    <w:rsid w:val="00396A6F"/>
    <w:rsid w:val="003B0CD2"/>
    <w:rsid w:val="003B2F95"/>
    <w:rsid w:val="003B69B5"/>
    <w:rsid w:val="003C5889"/>
    <w:rsid w:val="003D2BA7"/>
    <w:rsid w:val="003E4D6A"/>
    <w:rsid w:val="003E68D8"/>
    <w:rsid w:val="003F7B41"/>
    <w:rsid w:val="004117E8"/>
    <w:rsid w:val="00416715"/>
    <w:rsid w:val="0043119B"/>
    <w:rsid w:val="00442AAB"/>
    <w:rsid w:val="00453AB2"/>
    <w:rsid w:val="00453E6B"/>
    <w:rsid w:val="00473C53"/>
    <w:rsid w:val="00481A39"/>
    <w:rsid w:val="004B7EB0"/>
    <w:rsid w:val="004D3636"/>
    <w:rsid w:val="004E11C4"/>
    <w:rsid w:val="004E181B"/>
    <w:rsid w:val="004E47C5"/>
    <w:rsid w:val="00501DDD"/>
    <w:rsid w:val="005076E1"/>
    <w:rsid w:val="00507797"/>
    <w:rsid w:val="00522A94"/>
    <w:rsid w:val="0052616F"/>
    <w:rsid w:val="00531C33"/>
    <w:rsid w:val="0053456C"/>
    <w:rsid w:val="0055362A"/>
    <w:rsid w:val="0059023F"/>
    <w:rsid w:val="00595870"/>
    <w:rsid w:val="005A5D72"/>
    <w:rsid w:val="005B0717"/>
    <w:rsid w:val="005C23C4"/>
    <w:rsid w:val="005C5095"/>
    <w:rsid w:val="005C739F"/>
    <w:rsid w:val="005E6302"/>
    <w:rsid w:val="005E6763"/>
    <w:rsid w:val="005F76EB"/>
    <w:rsid w:val="00624955"/>
    <w:rsid w:val="00627DC9"/>
    <w:rsid w:val="0063410F"/>
    <w:rsid w:val="00643906"/>
    <w:rsid w:val="00657E86"/>
    <w:rsid w:val="0068767D"/>
    <w:rsid w:val="00692AFD"/>
    <w:rsid w:val="00694AD7"/>
    <w:rsid w:val="006950AA"/>
    <w:rsid w:val="00696000"/>
    <w:rsid w:val="006B141F"/>
    <w:rsid w:val="006C0344"/>
    <w:rsid w:val="006C2757"/>
    <w:rsid w:val="006C65AD"/>
    <w:rsid w:val="006C76C2"/>
    <w:rsid w:val="006D0922"/>
    <w:rsid w:val="006D4F1C"/>
    <w:rsid w:val="006E76DB"/>
    <w:rsid w:val="006E77D5"/>
    <w:rsid w:val="006F053D"/>
    <w:rsid w:val="006F69CD"/>
    <w:rsid w:val="00700482"/>
    <w:rsid w:val="007015C2"/>
    <w:rsid w:val="00701955"/>
    <w:rsid w:val="00723E40"/>
    <w:rsid w:val="00727FA7"/>
    <w:rsid w:val="00756283"/>
    <w:rsid w:val="007648C7"/>
    <w:rsid w:val="00783393"/>
    <w:rsid w:val="00785EC3"/>
    <w:rsid w:val="007A5F3D"/>
    <w:rsid w:val="007A7E71"/>
    <w:rsid w:val="007C1B3D"/>
    <w:rsid w:val="007C5B15"/>
    <w:rsid w:val="007E4B26"/>
    <w:rsid w:val="007E5E7D"/>
    <w:rsid w:val="0081147B"/>
    <w:rsid w:val="008132FE"/>
    <w:rsid w:val="00836415"/>
    <w:rsid w:val="00847BEB"/>
    <w:rsid w:val="008526EA"/>
    <w:rsid w:val="00870489"/>
    <w:rsid w:val="0088431F"/>
    <w:rsid w:val="00891157"/>
    <w:rsid w:val="008A29FB"/>
    <w:rsid w:val="008A5B2C"/>
    <w:rsid w:val="008C2435"/>
    <w:rsid w:val="008C4548"/>
    <w:rsid w:val="008C7C3C"/>
    <w:rsid w:val="008D265C"/>
    <w:rsid w:val="008E41CD"/>
    <w:rsid w:val="008F5174"/>
    <w:rsid w:val="00916E77"/>
    <w:rsid w:val="00935F60"/>
    <w:rsid w:val="00943FF0"/>
    <w:rsid w:val="00981AC7"/>
    <w:rsid w:val="00981F6E"/>
    <w:rsid w:val="009846FB"/>
    <w:rsid w:val="009876AD"/>
    <w:rsid w:val="00990997"/>
    <w:rsid w:val="009926CE"/>
    <w:rsid w:val="009A020B"/>
    <w:rsid w:val="009B2826"/>
    <w:rsid w:val="009C3D58"/>
    <w:rsid w:val="009D46D4"/>
    <w:rsid w:val="009E105A"/>
    <w:rsid w:val="009E15D8"/>
    <w:rsid w:val="009E534F"/>
    <w:rsid w:val="00A02693"/>
    <w:rsid w:val="00A1441D"/>
    <w:rsid w:val="00A22E40"/>
    <w:rsid w:val="00A401DE"/>
    <w:rsid w:val="00A448AB"/>
    <w:rsid w:val="00A600A3"/>
    <w:rsid w:val="00A633BA"/>
    <w:rsid w:val="00A75257"/>
    <w:rsid w:val="00A75C67"/>
    <w:rsid w:val="00A840EC"/>
    <w:rsid w:val="00AD31C0"/>
    <w:rsid w:val="00B02241"/>
    <w:rsid w:val="00B1575F"/>
    <w:rsid w:val="00B32F67"/>
    <w:rsid w:val="00B42868"/>
    <w:rsid w:val="00B60C75"/>
    <w:rsid w:val="00B66BB3"/>
    <w:rsid w:val="00B737A5"/>
    <w:rsid w:val="00B75359"/>
    <w:rsid w:val="00B80879"/>
    <w:rsid w:val="00B85791"/>
    <w:rsid w:val="00B97019"/>
    <w:rsid w:val="00BC7751"/>
    <w:rsid w:val="00BD021E"/>
    <w:rsid w:val="00C245D4"/>
    <w:rsid w:val="00C26224"/>
    <w:rsid w:val="00C767EA"/>
    <w:rsid w:val="00CA14EB"/>
    <w:rsid w:val="00CA2ECF"/>
    <w:rsid w:val="00CA45B9"/>
    <w:rsid w:val="00CB5700"/>
    <w:rsid w:val="00CD049B"/>
    <w:rsid w:val="00CD36D5"/>
    <w:rsid w:val="00CF4050"/>
    <w:rsid w:val="00CF44E3"/>
    <w:rsid w:val="00D01A4F"/>
    <w:rsid w:val="00D11AED"/>
    <w:rsid w:val="00D14962"/>
    <w:rsid w:val="00D51428"/>
    <w:rsid w:val="00D52677"/>
    <w:rsid w:val="00D6057A"/>
    <w:rsid w:val="00D82378"/>
    <w:rsid w:val="00D82D02"/>
    <w:rsid w:val="00DA42B9"/>
    <w:rsid w:val="00DA6BC3"/>
    <w:rsid w:val="00DB086E"/>
    <w:rsid w:val="00DB3B49"/>
    <w:rsid w:val="00DC177B"/>
    <w:rsid w:val="00DF1C9A"/>
    <w:rsid w:val="00DF6D6B"/>
    <w:rsid w:val="00E22512"/>
    <w:rsid w:val="00E3475B"/>
    <w:rsid w:val="00E44F6B"/>
    <w:rsid w:val="00E51396"/>
    <w:rsid w:val="00E801CA"/>
    <w:rsid w:val="00E81618"/>
    <w:rsid w:val="00E86B3F"/>
    <w:rsid w:val="00ED010A"/>
    <w:rsid w:val="00EE2AFB"/>
    <w:rsid w:val="00EE2DF1"/>
    <w:rsid w:val="00EE383F"/>
    <w:rsid w:val="00EF3715"/>
    <w:rsid w:val="00F22C7B"/>
    <w:rsid w:val="00F44343"/>
    <w:rsid w:val="00F4517A"/>
    <w:rsid w:val="00F54BEA"/>
    <w:rsid w:val="00F61495"/>
    <w:rsid w:val="00F670C7"/>
    <w:rsid w:val="00F77BB7"/>
    <w:rsid w:val="00FC6F20"/>
    <w:rsid w:val="00FD1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A2CA768-4803-4846-9E56-499C8E72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40" w:lineRule="auto"/>
    </w:pPr>
    <w:rPr>
      <w:rFonts w:ascii="Calibri" w:hAnsi="Calibri" w:cs="Calibri"/>
      <w:sz w:val="22"/>
      <w:szCs w:val="22"/>
    </w:rPr>
  </w:style>
  <w:style w:type="paragraph" w:styleId="Overskrift1">
    <w:name w:val="heading 1"/>
    <w:basedOn w:val="Normal"/>
    <w:next w:val="Normal"/>
    <w:link w:val="Overskrift1Teg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5076E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5076E1"/>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5076E1"/>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5076E1"/>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5076E1"/>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076E1"/>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076E1"/>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076E1"/>
    <w:rPr>
      <w:rFonts w:eastAsiaTheme="majorEastAsia" w:cstheme="majorBidi"/>
      <w:color w:val="272727" w:themeColor="text1" w:themeTint="D8"/>
    </w:rPr>
  </w:style>
  <w:style w:type="paragraph" w:styleId="Titel">
    <w:name w:val="Title"/>
    <w:basedOn w:val="Normal"/>
    <w:next w:val="Normal"/>
    <w:link w:val="TitelTegn"/>
    <w:uiPriority w:val="10"/>
    <w:qFormat/>
    <w:rsid w:val="005076E1"/>
    <w:pPr>
      <w:spacing w:after="80"/>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5076E1"/>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5076E1"/>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076E1"/>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5076E1"/>
    <w:rPr>
      <w:i/>
      <w:iCs/>
      <w:color w:val="404040" w:themeColor="text1" w:themeTint="BF"/>
    </w:rPr>
  </w:style>
  <w:style w:type="paragraph" w:styleId="Listeafsnit">
    <w:name w:val="List Paragraph"/>
    <w:basedOn w:val="Normal"/>
    <w:uiPriority w:val="34"/>
    <w:qFormat/>
    <w:rsid w:val="005076E1"/>
    <w:pPr>
      <w:ind w:left="720"/>
      <w:contextualSpacing/>
    </w:pPr>
  </w:style>
  <w:style w:type="character" w:styleId="Kraftigfremhvning">
    <w:name w:val="Intense Emphasis"/>
    <w:basedOn w:val="Standardskrifttypeiafsnit"/>
    <w:uiPriority w:val="21"/>
    <w:qFormat/>
    <w:rsid w:val="005076E1"/>
    <w:rPr>
      <w:i/>
      <w:iCs/>
      <w:color w:val="0F4761" w:themeColor="accent1" w:themeShade="BF"/>
    </w:rPr>
  </w:style>
  <w:style w:type="paragraph" w:styleId="Strktcitat">
    <w:name w:val="Intense Quote"/>
    <w:basedOn w:val="Normal"/>
    <w:next w:val="Normal"/>
    <w:link w:val="StrktcitatTeg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5076E1"/>
    <w:rPr>
      <w:i/>
      <w:iCs/>
      <w:color w:val="0F4761" w:themeColor="accent1" w:themeShade="BF"/>
    </w:rPr>
  </w:style>
  <w:style w:type="character" w:styleId="Kraftighenvisning">
    <w:name w:val="Intense Reference"/>
    <w:basedOn w:val="Standardskrifttypeiafsnit"/>
    <w:uiPriority w:val="32"/>
    <w:qFormat/>
    <w:rsid w:val="005076E1"/>
    <w:rPr>
      <w:b/>
      <w:bCs/>
      <w:smallCaps/>
      <w:color w:val="0F4761" w:themeColor="accent1" w:themeShade="BF"/>
      <w:spacing w:val="5"/>
    </w:rPr>
  </w:style>
  <w:style w:type="paragraph" w:styleId="Sidehoved">
    <w:name w:val="header"/>
    <w:basedOn w:val="Normal"/>
    <w:link w:val="SidehovedTegn"/>
    <w:uiPriority w:val="99"/>
    <w:unhideWhenUsed/>
    <w:rsid w:val="005076E1"/>
    <w:pPr>
      <w:tabs>
        <w:tab w:val="center" w:pos="4513"/>
        <w:tab w:val="right" w:pos="9026"/>
      </w:tabs>
      <w:spacing w:after="0"/>
    </w:pPr>
  </w:style>
  <w:style w:type="character" w:customStyle="1" w:styleId="SidehovedTegn">
    <w:name w:val="Sidehoved Tegn"/>
    <w:basedOn w:val="Standardskrifttypeiafsnit"/>
    <w:link w:val="Sidehoved"/>
    <w:uiPriority w:val="99"/>
    <w:rsid w:val="005076E1"/>
  </w:style>
  <w:style w:type="paragraph" w:styleId="Sidefod">
    <w:name w:val="footer"/>
    <w:basedOn w:val="Normal"/>
    <w:link w:val="SidefodTegn"/>
    <w:uiPriority w:val="99"/>
    <w:unhideWhenUsed/>
    <w:rsid w:val="005076E1"/>
    <w:pPr>
      <w:tabs>
        <w:tab w:val="center" w:pos="4513"/>
        <w:tab w:val="right" w:pos="9026"/>
      </w:tabs>
      <w:spacing w:after="0"/>
    </w:pPr>
  </w:style>
  <w:style w:type="character" w:customStyle="1" w:styleId="SidefodTegn">
    <w:name w:val="Sidefod Tegn"/>
    <w:basedOn w:val="Standardskrifttypeiafsnit"/>
    <w:link w:val="Sidefod"/>
    <w:uiPriority w:val="99"/>
    <w:rsid w:val="005076E1"/>
  </w:style>
  <w:style w:type="character" w:styleId="Hyperlink">
    <w:name w:val="Hyperlink"/>
    <w:basedOn w:val="Standardskrifttypeiafsnit"/>
    <w:uiPriority w:val="99"/>
    <w:unhideWhenUsed/>
    <w:rsid w:val="005076E1"/>
    <w:rPr>
      <w:color w:val="0000FF"/>
      <w:u w:val="single"/>
    </w:rPr>
  </w:style>
  <w:style w:type="paragraph" w:customStyle="1" w:styleId="Author">
    <w:name w:val="Author"/>
    <w:basedOn w:val="Normal"/>
    <w:rsid w:val="005076E1"/>
    <w:pPr>
      <w:spacing w:after="0"/>
      <w:jc w:val="both"/>
    </w:pPr>
    <w:rPr>
      <w:rFonts w:ascii="Times New Roman" w:hAnsi="Times New Roman" w:cs="Times New Roman"/>
      <w:kern w:val="0"/>
      <w:sz w:val="24"/>
      <w:szCs w:val="24"/>
      <w:lang w:eastAsia="fi-FI"/>
      <w14:ligatures w14:val="none"/>
    </w:rPr>
  </w:style>
  <w:style w:type="paragraph" w:styleId="Almindeligtekst">
    <w:name w:val="Plain Text"/>
    <w:aliases w:val="Subsection text"/>
    <w:basedOn w:val="Normal"/>
    <w:link w:val="AlmindeligtekstTegn"/>
    <w:rsid w:val="00D6057A"/>
    <w:pPr>
      <w:spacing w:after="0"/>
      <w:jc w:val="both"/>
    </w:pPr>
    <w:rPr>
      <w:rFonts w:ascii="Arial" w:eastAsia="MS Mincho" w:hAnsi="Arial" w:cs="Arial"/>
      <w:kern w:val="0"/>
      <w:sz w:val="18"/>
      <w:szCs w:val="20"/>
      <w14:ligatures w14:val="none"/>
    </w:rPr>
  </w:style>
  <w:style w:type="character" w:customStyle="1" w:styleId="AlmindeligtekstTegn">
    <w:name w:val="Almindelig tekst Tegn"/>
    <w:aliases w:val="Subsection text Tegn"/>
    <w:basedOn w:val="Standardskrifttypeiafsnit"/>
    <w:link w:val="Almindeligtekst"/>
    <w:rsid w:val="00D6057A"/>
    <w:rPr>
      <w:rFonts w:ascii="Arial" w:eastAsia="MS Mincho" w:hAnsi="Arial" w:cs="Arial"/>
      <w:kern w:val="0"/>
      <w:sz w:val="18"/>
      <w:szCs w:val="20"/>
      <w14:ligatures w14:val="none"/>
    </w:rPr>
  </w:style>
  <w:style w:type="character" w:styleId="Ulstomtale">
    <w:name w:val="Unresolved Mention"/>
    <w:basedOn w:val="Standardskrifttypeiafsnit"/>
    <w:uiPriority w:val="99"/>
    <w:semiHidden/>
    <w:unhideWhenUsed/>
    <w:rsid w:val="00D6057A"/>
    <w:rPr>
      <w:color w:val="605E5C"/>
      <w:shd w:val="clear" w:color="auto" w:fill="E1DFDD"/>
    </w:rPr>
  </w:style>
  <w:style w:type="table" w:styleId="Tabel-Gitter">
    <w:name w:val="Table Grid"/>
    <w:basedOn w:val="Tabel-Normal"/>
    <w:uiPriority w:val="39"/>
    <w:rsid w:val="00F451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ledtekst">
    <w:name w:val="caption"/>
    <w:basedOn w:val="Normal"/>
    <w:next w:val="Normal"/>
    <w:uiPriority w:val="35"/>
    <w:unhideWhenUsed/>
    <w:qFormat/>
    <w:rsid w:val="009E105A"/>
    <w:pPr>
      <w:spacing w:after="200"/>
    </w:pPr>
    <w:rPr>
      <w:i/>
      <w:iCs/>
      <w:sz w:val="20"/>
      <w:szCs w:val="20"/>
    </w:rPr>
  </w:style>
  <w:style w:type="paragraph" w:styleId="Kommentartekst">
    <w:name w:val="annotation text"/>
    <w:basedOn w:val="Normal"/>
    <w:link w:val="KommentartekstTegn"/>
    <w:uiPriority w:val="99"/>
    <w:semiHidden/>
    <w:unhideWhenUsed/>
    <w:rPr>
      <w:sz w:val="20"/>
      <w:szCs w:val="20"/>
    </w:rPr>
  </w:style>
  <w:style w:type="character" w:customStyle="1" w:styleId="KommentartekstTegn">
    <w:name w:val="Kommentartekst Tegn"/>
    <w:basedOn w:val="Standardskrifttypeiafsnit"/>
    <w:link w:val="Kommentartekst"/>
    <w:uiPriority w:val="99"/>
    <w:semiHidden/>
    <w:rPr>
      <w:sz w:val="20"/>
      <w:szCs w:val="20"/>
    </w:rPr>
  </w:style>
  <w:style w:type="character" w:styleId="Kommentarhenvisning">
    <w:name w:val="annotation reference"/>
    <w:basedOn w:val="Standardskrifttypeiafsn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E5AFDA3-5532-45C3-8FA9-095AD9F33DCB}">
  <we:reference id="wa200010453" version="1.0.0.1" store="da-DK" storeType="OMEX"/>
  <we:alternateReferences>
    <we:reference id="wa200010453" version="1.0.0.1" store="WA200010453" storeType="OMEX"/>
  </we:alternateReferences>
  <we:properties>
    <we:property name="claude.fileId" value="&quot;03957318-df6a-4666-b151-1ff907abe4c8&quot;"/>
  </we:properties>
  <we:bindings/>
  <we:snapshot xmlns:r="http://schemas.openxmlformats.org/officeDocument/2006/relationships"/>
</we:webextension>
</file>

<file path=docMetadata/LabelInfo.xml><?xml version="1.0" encoding="utf-8"?>
<clbl:labelList xmlns:clbl="http://schemas.microsoft.com/office/2020/mipLabelMetadata">
  <clbl:label id="{d6338997-214a-4f92-ba75-0397f10a84cc}" enabled="0" method="" siteId="{d6338997-214a-4f92-ba75-0397f10a84cc}"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5126</Words>
  <Characters>30091</Characters>
  <Application>Microsoft Office Word</Application>
  <DocSecurity>0</DocSecurity>
  <Lines>590</Lines>
  <Paragraphs>212</Paragraphs>
  <ScaleCrop>false</ScaleCrop>
  <Company/>
  <LinksUpToDate>false</LinksUpToDate>
  <CharactersWithSpaces>35005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Nørkjær Gade</cp:lastModifiedBy>
  <cp:revision>3</cp:revision>
  <dcterms:created xsi:type="dcterms:W3CDTF">2026-09-07T13:23:00Z</dcterms:created>
  <dcterms:modified xsi:type="dcterms:W3CDTF">2026-09-11T22:00:00Z</dcterms:modified>
</cp:coreProperties>
</file>