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A00A4" w14:textId="5C1DB8FA" w:rsidR="00BA7B01" w:rsidRDefault="00000000">
      <w:pPr>
        <w:pStyle w:val="SWCTitle"/>
        <w:spacing w:after="160"/>
      </w:pPr>
      <w:r>
        <w:rPr>
          <w:b/>
          <w:sz w:val="28"/>
        </w:rPr>
        <w:t xml:space="preserve">COMPARATIVE DESIGN, TECHNO-ECONOMIC AND ENVIRONMENTAL ANALYSIS OF A DC-COUPLED SOLAR PHOTOVOLTAIC KILN </w:t>
      </w:r>
      <w:r w:rsidR="00E556F1">
        <w:rPr>
          <w:b/>
          <w:sz w:val="28"/>
        </w:rPr>
        <w:t>WITH</w:t>
      </w:r>
      <w:r>
        <w:rPr>
          <w:b/>
          <w:sz w:val="28"/>
        </w:rPr>
        <w:t xml:space="preserve"> THERMAL ENERGY STORAGE FOR </w:t>
      </w:r>
      <w:r w:rsidR="00E05770" w:rsidRPr="00E05770">
        <w:rPr>
          <w:b/>
          <w:sz w:val="28"/>
          <w:lang w:val="de-DE"/>
        </w:rPr>
        <w:t>POTTERY</w:t>
      </w:r>
      <w:r w:rsidR="00E05770">
        <w:rPr>
          <w:b/>
          <w:sz w:val="28"/>
          <w:lang w:val="de-DE"/>
        </w:rPr>
        <w:t xml:space="preserve"> </w:t>
      </w:r>
      <w:r w:rsidR="00017089" w:rsidRPr="00017089">
        <w:rPr>
          <w:b/>
          <w:sz w:val="28"/>
          <w:lang w:val="de-DE"/>
        </w:rPr>
        <w:t>SMEs</w:t>
      </w:r>
      <w:r w:rsidR="00017089">
        <w:rPr>
          <w:b/>
          <w:sz w:val="28"/>
          <w:lang w:val="de-DE"/>
        </w:rPr>
        <w:t xml:space="preserve"> </w:t>
      </w:r>
      <w:r>
        <w:rPr>
          <w:b/>
          <w:sz w:val="28"/>
        </w:rPr>
        <w:t>IN GHANA</w:t>
      </w:r>
    </w:p>
    <w:p w14:paraId="7B7790C8" w14:textId="3C6D4CEE" w:rsidR="00BA7B01" w:rsidRPr="00AB5639" w:rsidRDefault="00000000" w:rsidP="00535023">
      <w:pPr>
        <w:pStyle w:val="SWCTitle"/>
        <w:spacing w:after="80"/>
        <w:rPr>
          <w:bCs/>
        </w:rPr>
      </w:pPr>
      <w:r w:rsidRPr="00AB5639">
        <w:rPr>
          <w:bCs/>
        </w:rPr>
        <w:t>Emmanuel Kobina Payne</w:t>
      </w:r>
      <w:r w:rsidRPr="00AB5639">
        <w:rPr>
          <w:bCs/>
          <w:vertAlign w:val="superscript"/>
        </w:rPr>
        <w:t>1,4</w:t>
      </w:r>
      <w:r w:rsidRPr="00AB5639">
        <w:rPr>
          <w:bCs/>
        </w:rPr>
        <w:t xml:space="preserve"> (corresponding author), Mercy Abaka-Atta</w:t>
      </w:r>
      <w:r w:rsidR="00AA2AB9">
        <w:rPr>
          <w:bCs/>
        </w:rPr>
        <w:t>h</w:t>
      </w:r>
      <w:r w:rsidRPr="00AB5639">
        <w:rPr>
          <w:bCs/>
          <w:vertAlign w:val="superscript"/>
        </w:rPr>
        <w:t>2</w:t>
      </w:r>
      <w:r w:rsidRPr="00AB5639">
        <w:rPr>
          <w:bCs/>
        </w:rPr>
        <w:t>, Laud Christian Aninoo</w:t>
      </w:r>
      <w:r w:rsidRPr="00AB5639">
        <w:rPr>
          <w:bCs/>
          <w:vertAlign w:val="superscript"/>
        </w:rPr>
        <w:t>3</w:t>
      </w:r>
    </w:p>
    <w:p w14:paraId="34FA4D81" w14:textId="7CFB36F3" w:rsidR="00BA7B01" w:rsidRDefault="00000000" w:rsidP="00535023">
      <w:pPr>
        <w:pStyle w:val="SWCTitle"/>
        <w:spacing w:after="0"/>
      </w:pPr>
      <w:r>
        <w:rPr>
          <w:vertAlign w:val="superscript"/>
        </w:rPr>
        <w:t>1</w:t>
      </w:r>
      <w:r>
        <w:t xml:space="preserve"> Dept</w:t>
      </w:r>
      <w:r w:rsidR="00E556F1">
        <w:t>.</w:t>
      </w:r>
      <w:r>
        <w:t xml:space="preserve"> of Electrical and Electronic Engineering, Takoradi Technical University, Takoradi (Ghana)</w:t>
      </w:r>
    </w:p>
    <w:p w14:paraId="017C29A8" w14:textId="168EAED1" w:rsidR="00BA7B01" w:rsidRDefault="00000000" w:rsidP="00535023">
      <w:pPr>
        <w:pStyle w:val="SWCTitle"/>
        <w:spacing w:after="0"/>
      </w:pPr>
      <w:r>
        <w:rPr>
          <w:vertAlign w:val="superscript"/>
        </w:rPr>
        <w:t>2</w:t>
      </w:r>
      <w:r>
        <w:t xml:space="preserve"> Dept</w:t>
      </w:r>
      <w:r w:rsidR="00E556F1">
        <w:t>.</w:t>
      </w:r>
      <w:r>
        <w:t xml:space="preserve"> of Ceramics, Takoradi Technical University, Takoradi (Ghana)</w:t>
      </w:r>
    </w:p>
    <w:p w14:paraId="1356B2B4" w14:textId="77777777" w:rsidR="00BA7B01" w:rsidRDefault="00000000" w:rsidP="00535023">
      <w:pPr>
        <w:pStyle w:val="SWCTitle"/>
        <w:spacing w:after="0"/>
      </w:pPr>
      <w:r>
        <w:rPr>
          <w:vertAlign w:val="superscript"/>
        </w:rPr>
        <w:t>3</w:t>
      </w:r>
      <w:r>
        <w:t xml:space="preserve"> Minerals Commission, Accra (Ghana)</w:t>
      </w:r>
    </w:p>
    <w:p w14:paraId="00125E5D" w14:textId="2A66ECD1" w:rsidR="00BA7B01" w:rsidRDefault="00000000" w:rsidP="00535023">
      <w:pPr>
        <w:pStyle w:val="SWCTitle"/>
        <w:spacing w:after="0"/>
      </w:pPr>
      <w:r>
        <w:rPr>
          <w:vertAlign w:val="superscript"/>
        </w:rPr>
        <w:t>4</w:t>
      </w:r>
      <w:r>
        <w:t xml:space="preserve"> </w:t>
      </w:r>
      <w:proofErr w:type="spellStart"/>
      <w:r>
        <w:t>PelkTec</w:t>
      </w:r>
      <w:proofErr w:type="spellEnd"/>
      <w:r>
        <w:t xml:space="preserve"> Ltd, </w:t>
      </w:r>
      <w:r w:rsidR="00AF723E">
        <w:t>Takoradi</w:t>
      </w:r>
      <w:r>
        <w:t xml:space="preserve"> (Ghana)</w:t>
      </w:r>
    </w:p>
    <w:p w14:paraId="5BBAD2E3" w14:textId="7DB9A945" w:rsidR="00BA7B01" w:rsidRDefault="00000000" w:rsidP="00535023">
      <w:pPr>
        <w:pStyle w:val="SWCTitle"/>
        <w:spacing w:after="160"/>
      </w:pPr>
      <w:r w:rsidRPr="00CB0E86">
        <w:t>Corresponding author:</w:t>
      </w:r>
      <w:r>
        <w:t xml:space="preserve"> </w:t>
      </w:r>
      <w:hyperlink r:id="rId8" w:history="1">
        <w:r w:rsidR="00535023" w:rsidRPr="007B77C0">
          <w:rPr>
            <w:rStyle w:val="Hyperlink"/>
          </w:rPr>
          <w:t>mypaynegm@gmail.com</w:t>
        </w:r>
      </w:hyperlink>
      <w:r>
        <w:t>;</w:t>
      </w:r>
      <w:r w:rsidR="00535023">
        <w:t xml:space="preserve"> </w:t>
      </w:r>
      <w:hyperlink r:id="rId9" w:history="1">
        <w:r w:rsidR="00535023" w:rsidRPr="007B77C0">
          <w:rPr>
            <w:rStyle w:val="Hyperlink"/>
          </w:rPr>
          <w:t>emmanuel.payne@ttu.edu.gh</w:t>
        </w:r>
      </w:hyperlink>
    </w:p>
    <w:p w14:paraId="29394065" w14:textId="77777777" w:rsidR="00BA7B01" w:rsidRDefault="00000000">
      <w:pPr>
        <w:pStyle w:val="SWCSummary"/>
      </w:pPr>
      <w:r>
        <w:t>Summary</w:t>
      </w:r>
    </w:p>
    <w:p w14:paraId="14683E1B" w14:textId="5BAB5A08" w:rsidR="00BA7B01" w:rsidRDefault="00752CC5">
      <w:pPr>
        <w:pStyle w:val="SWCText"/>
      </w:pPr>
      <w:r>
        <w:t xml:space="preserve">Ghanaian pottery fires earthenware in wood-burning kilns, consuming about 28 MJ per kilogram and causing deforestation and health risks. The study explores a </w:t>
      </w:r>
      <w:r w:rsidR="008D2B02">
        <w:t>S</w:t>
      </w:r>
      <w:r>
        <w:t xml:space="preserve">olar PV kiln with Basalt TES as </w:t>
      </w:r>
      <w:r w:rsidR="008D2B02">
        <w:t>an</w:t>
      </w:r>
      <w:r>
        <w:t xml:space="preserve"> alternative</w:t>
      </w:r>
      <w:r w:rsidR="008D2B02">
        <w:t xml:space="preserve"> and </w:t>
      </w:r>
      <w:r w:rsidR="008D2B02" w:rsidRPr="008D2B02">
        <w:rPr>
          <w:lang w:val="de-DE"/>
        </w:rPr>
        <w:t>cost-effective</w:t>
      </w:r>
      <w:r w:rsidR="008D2B02">
        <w:t>.</w:t>
      </w:r>
      <w:r>
        <w:t xml:space="preserve"> It models a 30 kWₚ PV array, a 2.1-ton Basalt TES bed, and a 2.0 m³ firing chamber, simulating thermophysical and economic factors based on Ghana data. Basalt's TES max temperature is set at 800 °C, with the Chamber operational temperature ceiling at 1200 °C, dividing the process into preheat and PV array DC resistance heating phases. An insulated enclosure cuts standby losses from 8.2 kW to 2.2 kW, reducing energy waste by 73%. The system can perform 80 firings annually, with a 99% solar fraction and 82% PV array </w:t>
      </w:r>
      <w:proofErr w:type="spellStart"/>
      <w:r>
        <w:t>utilisation</w:t>
      </w:r>
      <w:proofErr w:type="spellEnd"/>
      <w:r>
        <w:t xml:space="preserve">. Costing around USD 35,575, it yields a net present value of USD </w:t>
      </w:r>
      <w:r w:rsidRPr="00752CC5">
        <w:t>22,445</w:t>
      </w:r>
      <w:r>
        <w:t>, an IRR of 23.8%, and</w:t>
      </w:r>
      <w:r w:rsidR="008D2B02">
        <w:t xml:space="preserve"> </w:t>
      </w:r>
      <w:r>
        <w:t>a 3.94-year payback</w:t>
      </w:r>
      <w:r w:rsidR="008D2B02">
        <w:t xml:space="preserve"> period</w:t>
      </w:r>
      <w:r>
        <w:t>. Key benefits include higher product yield, fuel savings, and lower CO₂ emissions. Carbon revenue is minimal for a pilot kiln, but results-based financing is recommended for scaling.</w:t>
      </w:r>
    </w:p>
    <w:p w14:paraId="688C856D" w14:textId="77777777" w:rsidR="00AB5639" w:rsidRDefault="00AB5639">
      <w:pPr>
        <w:pStyle w:val="SWCText"/>
        <w:rPr>
          <w:b/>
        </w:rPr>
      </w:pPr>
    </w:p>
    <w:p w14:paraId="1FCA1765" w14:textId="6BCCAA69" w:rsidR="00AB5639" w:rsidRPr="00915391" w:rsidRDefault="00000000">
      <w:pPr>
        <w:pStyle w:val="SWCText"/>
        <w:rPr>
          <w:i/>
        </w:rPr>
      </w:pPr>
      <w:r>
        <w:rPr>
          <w:b/>
        </w:rPr>
        <w:t xml:space="preserve">Keywords: </w:t>
      </w:r>
      <w:r w:rsidR="00017089" w:rsidRPr="00017089">
        <w:rPr>
          <w:i/>
        </w:rPr>
        <w:t xml:space="preserve">DC-coupled Solar PV, Industrial </w:t>
      </w:r>
      <w:r w:rsidR="00E05770">
        <w:rPr>
          <w:i/>
        </w:rPr>
        <w:t>d</w:t>
      </w:r>
      <w:r w:rsidR="00017089" w:rsidRPr="00017089">
        <w:rPr>
          <w:i/>
        </w:rPr>
        <w:t xml:space="preserve">ecarbonization, </w:t>
      </w:r>
      <w:r w:rsidR="00017089" w:rsidRPr="00017089">
        <w:rPr>
          <w:i/>
          <w:lang w:val="de-DE"/>
        </w:rPr>
        <w:t xml:space="preserve">SMEs </w:t>
      </w:r>
      <w:r w:rsidR="00E05770">
        <w:rPr>
          <w:i/>
        </w:rPr>
        <w:t>p</w:t>
      </w:r>
      <w:r w:rsidR="00017089" w:rsidRPr="00017089">
        <w:rPr>
          <w:i/>
        </w:rPr>
        <w:t>ottery</w:t>
      </w:r>
      <w:r w:rsidR="00017089" w:rsidRPr="00017089">
        <w:rPr>
          <w:i/>
          <w:color w:val="auto"/>
          <w:szCs w:val="24"/>
          <w:lang w:val="de-DE"/>
        </w:rPr>
        <w:t xml:space="preserve"> </w:t>
      </w:r>
      <w:r w:rsidR="00017089" w:rsidRPr="00017089">
        <w:rPr>
          <w:i/>
          <w:lang w:val="de-DE"/>
        </w:rPr>
        <w:t>kilns</w:t>
      </w:r>
      <w:r w:rsidR="00017089" w:rsidRPr="00017089">
        <w:rPr>
          <w:i/>
        </w:rPr>
        <w:t>,</w:t>
      </w:r>
      <w:r w:rsidR="00017089">
        <w:rPr>
          <w:i/>
        </w:rPr>
        <w:t xml:space="preserve"> T</w:t>
      </w:r>
      <w:r>
        <w:rPr>
          <w:i/>
        </w:rPr>
        <w:t>echno-</w:t>
      </w:r>
      <w:r w:rsidR="00017089">
        <w:rPr>
          <w:i/>
        </w:rPr>
        <w:t>E</w:t>
      </w:r>
      <w:r>
        <w:rPr>
          <w:i/>
        </w:rPr>
        <w:t>conomic analysis</w:t>
      </w:r>
      <w:r w:rsidR="00017089">
        <w:rPr>
          <w:i/>
        </w:rPr>
        <w:t>;</w:t>
      </w:r>
      <w:r w:rsidR="00017089" w:rsidRPr="00017089">
        <w:rPr>
          <w:i/>
          <w:color w:val="auto"/>
          <w:szCs w:val="24"/>
          <w:lang w:val="de-DE"/>
        </w:rPr>
        <w:t xml:space="preserve"> </w:t>
      </w:r>
      <w:r w:rsidR="00017089" w:rsidRPr="00017089">
        <w:rPr>
          <w:i/>
          <w:lang w:val="de-DE"/>
        </w:rPr>
        <w:t>Thermal energy storage</w:t>
      </w:r>
      <w:r w:rsidR="00992AFB">
        <w:rPr>
          <w:i/>
          <w:lang w:val="de-DE"/>
        </w:rPr>
        <w:t xml:space="preserve"> (TES)</w:t>
      </w:r>
    </w:p>
    <w:p w14:paraId="602FD77D" w14:textId="5DFE6A99" w:rsidR="00E556F1" w:rsidRDefault="00000000">
      <w:pPr>
        <w:pStyle w:val="SWCText"/>
      </w:pPr>
      <w:r w:rsidRPr="00082CEB">
        <w:rPr>
          <w:b/>
          <w:bCs/>
        </w:rPr>
        <w:t>Field of application for the findings:</w:t>
      </w:r>
      <w:r>
        <w:t xml:space="preserve"> </w:t>
      </w:r>
      <w:r w:rsidR="00003816" w:rsidRPr="00003816">
        <w:t>Industrial process heat in Sub-Saharan Africa</w:t>
      </w:r>
      <w:r w:rsidR="00003816">
        <w:t>;</w:t>
      </w:r>
      <w:r w:rsidR="00003816" w:rsidRPr="00003816">
        <w:t xml:space="preserve"> </w:t>
      </w:r>
      <w:r w:rsidR="00CA6FA8" w:rsidRPr="00CA6FA8">
        <w:rPr>
          <w:lang w:val="de-DE"/>
        </w:rPr>
        <w:t xml:space="preserve">Solar energy </w:t>
      </w:r>
      <w:r w:rsidR="00CA6FA8">
        <w:rPr>
          <w:lang w:val="de-DE"/>
        </w:rPr>
        <w:t xml:space="preserve">and </w:t>
      </w:r>
      <w:r w:rsidR="00003816" w:rsidRPr="00003816">
        <w:t xml:space="preserve">low-medium-high-temperature </w:t>
      </w:r>
      <w:r w:rsidR="00CA6FA8">
        <w:t>TES</w:t>
      </w:r>
      <w:r w:rsidR="00003816" w:rsidRPr="00003816">
        <w:t xml:space="preserve"> design, sizing</w:t>
      </w:r>
      <w:r w:rsidR="00E736C8">
        <w:t xml:space="preserve"> and </w:t>
      </w:r>
      <w:r w:rsidR="00003816" w:rsidRPr="00003816">
        <w:t>financing</w:t>
      </w:r>
      <w:r w:rsidR="00E736C8">
        <w:t>; B</w:t>
      </w:r>
      <w:r w:rsidR="00003816" w:rsidRPr="00003816">
        <w:t>atch ceramic firing</w:t>
      </w:r>
      <w:r w:rsidR="00E736C8">
        <w:t xml:space="preserve"> in </w:t>
      </w:r>
      <w:r w:rsidR="00003816" w:rsidRPr="00003816">
        <w:t>SMEs pottery</w:t>
      </w:r>
    </w:p>
    <w:p w14:paraId="34DB3EAA" w14:textId="7B36D7B3" w:rsidR="00BA7B01" w:rsidRPr="00E5338E" w:rsidRDefault="00E5338E">
      <w:pPr>
        <w:pStyle w:val="SWCText"/>
      </w:pPr>
      <w:r>
        <w:rPr>
          <w:b/>
          <w:bCs/>
        </w:rPr>
        <w:t xml:space="preserve">Addressed audience: </w:t>
      </w:r>
      <w:r w:rsidR="00E736C8">
        <w:t>D</w:t>
      </w:r>
      <w:r w:rsidRPr="00E5338E">
        <w:t>e</w:t>
      </w:r>
      <w:r w:rsidR="00E736C8">
        <w:t>velopers</w:t>
      </w:r>
      <w:r w:rsidRPr="00E5338E">
        <w:t xml:space="preserve"> of </w:t>
      </w:r>
      <w:r w:rsidR="00E736C8">
        <w:t>S</w:t>
      </w:r>
      <w:r w:rsidRPr="00E5338E">
        <w:t xml:space="preserve">olar </w:t>
      </w:r>
      <w:r w:rsidR="00E736C8">
        <w:t>process heat and TES</w:t>
      </w:r>
      <w:r w:rsidRPr="00E5338E">
        <w:t xml:space="preserve">, SME </w:t>
      </w:r>
      <w:r w:rsidR="00E736C8">
        <w:t xml:space="preserve">pottery </w:t>
      </w:r>
      <w:r w:rsidRPr="00E5338E">
        <w:t xml:space="preserve">practitioners, development financiers, and </w:t>
      </w:r>
      <w:r w:rsidR="00E736C8">
        <w:t>E</w:t>
      </w:r>
      <w:r w:rsidRPr="00E5338E">
        <w:t>nergy policymakers.</w:t>
      </w:r>
    </w:p>
    <w:p w14:paraId="59FFDC38" w14:textId="77777777" w:rsidR="00BA7B01" w:rsidRDefault="00000000">
      <w:pPr>
        <w:pStyle w:val="SWCHeading1"/>
        <w:keepNext/>
      </w:pPr>
      <w:r>
        <w:t>1. Introduction</w:t>
      </w:r>
    </w:p>
    <w:p w14:paraId="47B02FBA" w14:textId="6B192ED4" w:rsidR="00BA7B01" w:rsidRDefault="00E5338E">
      <w:pPr>
        <w:pStyle w:val="SWCText"/>
      </w:pPr>
      <w:r>
        <w:t xml:space="preserve">Pottery in Ghana, especially </w:t>
      </w:r>
      <w:r w:rsidR="00003816">
        <w:t xml:space="preserve">in </w:t>
      </w:r>
      <w:proofErr w:type="spellStart"/>
      <w:r w:rsidR="00003816">
        <w:t>Vume</w:t>
      </w:r>
      <w:proofErr w:type="spellEnd"/>
      <w:r w:rsidR="00003816">
        <w:t xml:space="preserve">, </w:t>
      </w:r>
      <w:proofErr w:type="spellStart"/>
      <w:r w:rsidR="00003816">
        <w:t>Mfensi</w:t>
      </w:r>
      <w:proofErr w:type="spellEnd"/>
      <w:r w:rsidR="00003816">
        <w:t xml:space="preserve">, </w:t>
      </w:r>
      <w:proofErr w:type="spellStart"/>
      <w:r w:rsidR="00003816">
        <w:t>Ahwiaa</w:t>
      </w:r>
      <w:proofErr w:type="spellEnd"/>
      <w:r w:rsidR="00003816">
        <w:t xml:space="preserve">, and </w:t>
      </w:r>
      <w:proofErr w:type="spellStart"/>
      <w:r w:rsidR="00003816">
        <w:t>Mpraeso</w:t>
      </w:r>
      <w:proofErr w:type="spellEnd"/>
      <w:r w:rsidR="00003816">
        <w:t>, is a key rural activity that provides</w:t>
      </w:r>
      <w:r>
        <w:t xml:space="preserve"> income for women. Most pots are fired in open pits or simple kilns with fuelwood and residues. Ghana uses about 14.9 Mt of wood annually, with 2.4 Mt for small industry, and 15% of wood demand exceeds forest growth (World Bank, 2022; Bailis et al., 2015; Energy Commission of Ghana, 2024). Traditional firing relies on non-renewable wood, with kilns consuming 20-40 MJ per kg of ware, much more than the 1.5 MJ thermodynamic need. Firing is hazardous</w:t>
      </w:r>
      <w:r w:rsidR="00E736C8">
        <w:t>, and</w:t>
      </w:r>
      <w:r>
        <w:t xml:space="preserve"> wood-burning kitchens in peri-urban Ghana have particulate levels of 271 µg/m³, with personal exposure of 89.4 µg/m³, well above WHO’s 5 µg/m³ guideline </w:t>
      </w:r>
      <w:r w:rsidR="00992AFB">
        <w:t>(</w:t>
      </w:r>
      <w:r>
        <w:t xml:space="preserve">Williams et al., </w:t>
      </w:r>
      <w:r w:rsidR="00992AFB">
        <w:t xml:space="preserve">2025; WHO, 2021; Jetter et al., </w:t>
      </w:r>
      <w:r>
        <w:t>2012). Breakages of 20-35% occur due to uncontrollable heating (Carty &amp; Senapati, 1998).</w:t>
      </w:r>
    </w:p>
    <w:p w14:paraId="4D23D52D" w14:textId="6C88A00E" w:rsidR="00BA7B01" w:rsidRDefault="00E736C8">
      <w:pPr>
        <w:pStyle w:val="SWCText"/>
      </w:pPr>
      <w:r>
        <w:t>DC-</w:t>
      </w:r>
      <w:r w:rsidR="00131631">
        <w:t xml:space="preserve">coupled </w:t>
      </w:r>
      <w:r>
        <w:t xml:space="preserve">Solar </w:t>
      </w:r>
      <w:r w:rsidR="00131631">
        <w:t xml:space="preserve">PV heating offers an attractive route to industrial process heat due to falling module prices, with the global average utility-scale PV cost dropping to USD 691/kW in 2024 IRENA, </w:t>
      </w:r>
      <w:r w:rsidR="00992AFB">
        <w:t>(</w:t>
      </w:r>
      <w:r w:rsidR="00131631">
        <w:t xml:space="preserve">2025). For resistance heater loads, </w:t>
      </w:r>
      <w:r>
        <w:t>DC-coupled solutions omit inverters</w:t>
      </w:r>
      <w:r w:rsidR="00131631">
        <w:t xml:space="preserve">. Instead, </w:t>
      </w:r>
      <w:r>
        <w:t>an</w:t>
      </w:r>
      <w:r w:rsidR="00131631">
        <w:t xml:space="preserve"> MPPT DC–DC stage and solid-state switches drive the elements</w:t>
      </w:r>
      <w:r w:rsidR="00992AFB">
        <w:t xml:space="preserve">. </w:t>
      </w:r>
      <w:r w:rsidR="00131631">
        <w:t>PV-driven resistance heating surpasses solar thermal collectors above 150–250 °C because resistive heating is temperature-insensitive while collector efficiency declines</w:t>
      </w:r>
      <w:r w:rsidR="00992AFB">
        <w:t xml:space="preserve"> (</w:t>
      </w:r>
      <w:r w:rsidR="00131631">
        <w:t xml:space="preserve">Meyers et al., </w:t>
      </w:r>
      <w:r w:rsidR="00992AFB">
        <w:t xml:space="preserve">2018; Schoeneberger et al., </w:t>
      </w:r>
      <w:r w:rsidR="00131631">
        <w:t xml:space="preserve">2020). Since solar supply is intermittent while firing schedules are fixed, </w:t>
      </w:r>
      <w:r w:rsidR="00992AFB">
        <w:t>TES</w:t>
      </w:r>
      <w:r w:rsidR="00131631">
        <w:t xml:space="preserve"> is essential. Packed rock beds are the most cost-effective in </w:t>
      </w:r>
      <w:r w:rsidR="00FA2247">
        <w:t xml:space="preserve">temperatures above </w:t>
      </w:r>
      <w:r w:rsidR="00131631">
        <w:t xml:space="preserve">200 °C </w:t>
      </w:r>
      <w:proofErr w:type="spellStart"/>
      <w:r w:rsidR="00131631">
        <w:t>Kuravi</w:t>
      </w:r>
      <w:proofErr w:type="spellEnd"/>
      <w:r w:rsidR="00131631">
        <w:t xml:space="preserve"> </w:t>
      </w:r>
      <w:r w:rsidR="000E3EA6">
        <w:t>et al., (</w:t>
      </w:r>
      <w:r w:rsidR="00131631">
        <w:t>2013</w:t>
      </w:r>
      <w:r w:rsidR="000E3EA6">
        <w:t>)</w:t>
      </w:r>
      <w:r w:rsidR="00131631">
        <w:t>, and electrically charged firebrick storage is now commercial above 100 MWh at over 1000 °C (Stack et al., 2019; Rondo Energy, 2025). Its viability at a single-kiln scale, however, unproven.</w:t>
      </w:r>
    </w:p>
    <w:p w14:paraId="72B5FAAF" w14:textId="4DADA827" w:rsidR="00BA7B01" w:rsidRDefault="00131631">
      <w:pPr>
        <w:pStyle w:val="SWCText"/>
      </w:pPr>
      <w:r>
        <w:t xml:space="preserve">The concept proposes a 30-kW DC-coupled PV kiln with a Basalt TES operating </w:t>
      </w:r>
      <w:r w:rsidR="00FA2247">
        <w:t xml:space="preserve">at a </w:t>
      </w:r>
      <w:r>
        <w:t xml:space="preserve">maximum temperature of 1200 °C, with 72 hours of autonomy and carbon-credit support. Evidence shows Basalt rock is safe up to 800 °C as TES </w:t>
      </w:r>
      <w:r w:rsidR="001A7CB1">
        <w:t>(</w:t>
      </w:r>
      <w:proofErr w:type="spellStart"/>
      <w:r>
        <w:t>Tiskatine</w:t>
      </w:r>
      <w:proofErr w:type="spellEnd"/>
      <w:r>
        <w:t xml:space="preserve"> et al., </w:t>
      </w:r>
      <w:r w:rsidR="001A7CB1">
        <w:t xml:space="preserve">2017; </w:t>
      </w:r>
      <w:proofErr w:type="spellStart"/>
      <w:r w:rsidR="001A7CB1">
        <w:t>Becattini</w:t>
      </w:r>
      <w:proofErr w:type="spellEnd"/>
      <w:r w:rsidR="001A7CB1">
        <w:t xml:space="preserve"> et al., 2017; and </w:t>
      </w:r>
      <w:proofErr w:type="spellStart"/>
      <w:r w:rsidR="001A7CB1">
        <w:t>Jemmal</w:t>
      </w:r>
      <w:proofErr w:type="spellEnd"/>
      <w:r w:rsidR="001A7CB1">
        <w:t xml:space="preserve"> et al., 2017),</w:t>
      </w:r>
      <w:r>
        <w:t xml:space="preserve"> as the stored energy can sustain multi-day high-temperature operations. Reducing non-renewable biomass use per kiln by an order of magnitude makes carbon monitoring viable (UNFCCC, 2020; </w:t>
      </w:r>
      <w:proofErr w:type="spellStart"/>
      <w:r>
        <w:t>BeZero</w:t>
      </w:r>
      <w:proofErr w:type="spellEnd"/>
      <w:r>
        <w:t xml:space="preserve"> Carbon, 2023). This paper</w:t>
      </w:r>
      <w:r w:rsidR="001A7CB1">
        <w:t xml:space="preserve"> models</w:t>
      </w:r>
      <w:r>
        <w:t xml:space="preserve"> and pilots the design by analyzing Basalt TES, defining a safe operating window, sizing the system with a bed-fed preheat to 700 °C and resistance heating to 1150 °C in an insulated enclosure, quantifying standby-loss, and </w:t>
      </w:r>
      <w:r>
        <w:lastRenderedPageBreak/>
        <w:t>presenting thermocline, energy, exergy,</w:t>
      </w:r>
      <w:r w:rsidR="001A7CB1">
        <w:t xml:space="preserve"> </w:t>
      </w:r>
      <w:r>
        <w:t>and techno-economic results with a pilot pathway and analysis based on Ghanaia</w:t>
      </w:r>
      <w:r w:rsidR="001A7CB1">
        <w:t>n data</w:t>
      </w:r>
      <w:r>
        <w:t xml:space="preserve"> (Ghana Government, 2011, 2020; EPA, 2022). Figure 1 shows the concept development </w:t>
      </w:r>
      <w:r w:rsidR="001A7CB1">
        <w:t xml:space="preserve">contrary to </w:t>
      </w:r>
      <w:r>
        <w:t>existing practice.</w:t>
      </w:r>
    </w:p>
    <w:p w14:paraId="0427A5AB" w14:textId="0E5B7407" w:rsidR="00176FA4" w:rsidRDefault="008D559E">
      <w:pPr>
        <w:pStyle w:val="SWCText"/>
      </w:pPr>
      <w:r w:rsidRPr="008D559E">
        <w:rPr>
          <w:rFonts w:ascii="Calibri" w:eastAsia="Calibri" w:hAnsi="Calibri"/>
          <w:noProof/>
          <w:color w:val="auto"/>
          <w:kern w:val="2"/>
          <w:sz w:val="24"/>
          <w:szCs w:val="24"/>
          <w:lang w:eastAsia="en-US"/>
          <w14:ligatures w14:val="standardContextual"/>
        </w:rPr>
        <w:drawing>
          <wp:inline distT="0" distB="0" distL="0" distR="0" wp14:anchorId="09F49136" wp14:editId="7648504A">
            <wp:extent cx="1263650" cy="1368490"/>
            <wp:effectExtent l="0" t="0" r="0" b="3175"/>
            <wp:docPr id="1643259866" name="Picture 3">
              <a:extLst xmlns:a="http://schemas.openxmlformats.org/drawingml/2006/main">
                <a:ext uri="{FF2B5EF4-FFF2-40B4-BE49-F238E27FC236}">
                  <a16:creationId xmlns:a16="http://schemas.microsoft.com/office/drawing/2014/main" id="{98913472-47CC-9B30-7963-17AD5A007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8913472-47CC-9B30-7963-17AD5A0073E6}"/>
                        </a:ext>
                      </a:extLst>
                    </pic:cNvPr>
                    <pic:cNvPicPr>
                      <a:picLocks noChangeAspect="1"/>
                    </pic:cNvPicPr>
                  </pic:nvPicPr>
                  <pic:blipFill rotWithShape="1">
                    <a:blip r:embed="rId10"/>
                    <a:srcRect b="2438"/>
                    <a:stretch>
                      <a:fillRect/>
                    </a:stretch>
                  </pic:blipFill>
                  <pic:spPr bwMode="auto">
                    <a:xfrm>
                      <a:off x="0" y="0"/>
                      <a:ext cx="1359590" cy="147239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8D559E">
        <w:rPr>
          <w:rFonts w:ascii="Calibri" w:eastAsia="Calibri" w:hAnsi="Calibri"/>
          <w:noProof/>
          <w:color w:val="auto"/>
          <w:kern w:val="2"/>
          <w:sz w:val="24"/>
          <w:szCs w:val="24"/>
          <w:lang w:eastAsia="en-US"/>
          <w14:ligatures w14:val="standardContextual"/>
        </w:rPr>
        <w:drawing>
          <wp:inline distT="0" distB="0" distL="0" distR="0" wp14:anchorId="2F48643E" wp14:editId="41CF99BE">
            <wp:extent cx="1310640" cy="1368490"/>
            <wp:effectExtent l="0" t="0" r="3810" b="3175"/>
            <wp:docPr id="1736005674" name="Picture 2">
              <a:extLst xmlns:a="http://schemas.openxmlformats.org/drawingml/2006/main">
                <a:ext uri="{FF2B5EF4-FFF2-40B4-BE49-F238E27FC236}">
                  <a16:creationId xmlns:a16="http://schemas.microsoft.com/office/drawing/2014/main" id="{D059361D-4A04-7F9A-0011-4D9D5E417A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059361D-4A04-7F9A-0011-4D9D5E417AED}"/>
                        </a:ext>
                      </a:extLst>
                    </pic:cNvPr>
                    <pic:cNvPicPr>
                      <a:picLocks noChangeAspect="1"/>
                    </pic:cNvPicPr>
                  </pic:nvPicPr>
                  <pic:blipFill rotWithShape="1">
                    <a:blip r:embed="rId11"/>
                    <a:srcRect b="1757"/>
                    <a:stretch>
                      <a:fillRect/>
                    </a:stretch>
                  </pic:blipFill>
                  <pic:spPr bwMode="auto">
                    <a:xfrm>
                      <a:off x="0" y="0"/>
                      <a:ext cx="1369480" cy="142992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176FA4">
        <w:rPr>
          <w:noProof/>
        </w:rPr>
        <w:drawing>
          <wp:inline distT="0" distB="0" distL="0" distR="0" wp14:anchorId="64E51270" wp14:editId="0661046A">
            <wp:extent cx="2856865" cy="1362269"/>
            <wp:effectExtent l="0" t="0" r="635" b="9525"/>
            <wp:docPr id="1726964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4081" cy="1389552"/>
                    </a:xfrm>
                    <a:prstGeom prst="rect">
                      <a:avLst/>
                    </a:prstGeom>
                    <a:noFill/>
                  </pic:spPr>
                </pic:pic>
              </a:graphicData>
            </a:graphic>
          </wp:inline>
        </w:drawing>
      </w:r>
    </w:p>
    <w:p w14:paraId="490C2765" w14:textId="1B133664" w:rsidR="00596D82" w:rsidRPr="00596D82" w:rsidRDefault="00596D82" w:rsidP="00596D82">
      <w:pPr>
        <w:pStyle w:val="SWCText"/>
        <w:rPr>
          <w:sz w:val="16"/>
          <w:szCs w:val="16"/>
        </w:rPr>
      </w:pPr>
      <w:r>
        <w:rPr>
          <w:sz w:val="16"/>
          <w:szCs w:val="16"/>
          <w:lang w:val="de-DE"/>
        </w:rPr>
        <w:t xml:space="preserve">                       </w:t>
      </w:r>
      <w:r w:rsidRPr="00596D82">
        <w:rPr>
          <w:sz w:val="16"/>
          <w:szCs w:val="16"/>
          <w:lang w:val="de-DE"/>
        </w:rPr>
        <w:t xml:space="preserve">(a)  </w:t>
      </w:r>
      <w:r>
        <w:rPr>
          <w:sz w:val="16"/>
          <w:szCs w:val="16"/>
          <w:lang w:val="de-DE"/>
        </w:rPr>
        <w:t xml:space="preserve">                                              </w:t>
      </w:r>
      <w:r w:rsidRPr="00596D82">
        <w:rPr>
          <w:sz w:val="16"/>
          <w:szCs w:val="16"/>
          <w:lang w:val="de-DE"/>
        </w:rPr>
        <w:t xml:space="preserve">(b) </w:t>
      </w:r>
      <w:r>
        <w:rPr>
          <w:sz w:val="16"/>
          <w:szCs w:val="16"/>
          <w:lang w:val="de-DE"/>
        </w:rPr>
        <w:t xml:space="preserve">                                                                                 </w:t>
      </w:r>
      <w:r w:rsidRPr="00596D82">
        <w:rPr>
          <w:sz w:val="16"/>
          <w:szCs w:val="16"/>
          <w:lang w:val="de-DE"/>
        </w:rPr>
        <w:t>(c)</w:t>
      </w:r>
    </w:p>
    <w:p w14:paraId="2D232636" w14:textId="0C641E59" w:rsidR="00C43022" w:rsidRPr="00082CEB" w:rsidRDefault="00C43022">
      <w:pPr>
        <w:pStyle w:val="SWCText"/>
        <w:rPr>
          <w:b/>
          <w:bCs/>
          <w:sz w:val="16"/>
          <w:szCs w:val="16"/>
        </w:rPr>
      </w:pPr>
      <w:r w:rsidRPr="00082CEB">
        <w:rPr>
          <w:b/>
          <w:bCs/>
          <w:sz w:val="16"/>
          <w:szCs w:val="16"/>
          <w:lang w:val="de-DE"/>
        </w:rPr>
        <w:t xml:space="preserve">Fig. 1: SMEs pottery firing system architecture development (a) </w:t>
      </w:r>
      <w:r w:rsidR="00596D82" w:rsidRPr="00082CEB">
        <w:rPr>
          <w:b/>
          <w:bCs/>
          <w:sz w:val="16"/>
          <w:szCs w:val="16"/>
          <w:lang w:val="de-DE"/>
        </w:rPr>
        <w:t>existing process of pottery firing, (b) stacked accumulated firewood for firing, (c) innovative DC-Coupled Solar PV and Basalt TES concept</w:t>
      </w:r>
    </w:p>
    <w:p w14:paraId="4A5EF586" w14:textId="6760EFE6" w:rsidR="00BA7B01" w:rsidRDefault="00000000">
      <w:pPr>
        <w:pStyle w:val="SWCHeading1"/>
        <w:keepNext/>
      </w:pPr>
      <w:r>
        <w:t xml:space="preserve">2. </w:t>
      </w:r>
      <w:r w:rsidR="00915391" w:rsidRPr="00915391">
        <w:rPr>
          <w:lang w:val="de-DE"/>
        </w:rPr>
        <w:t xml:space="preserve">Methods </w:t>
      </w:r>
      <w:r w:rsidR="00915391">
        <w:rPr>
          <w:lang w:val="de-DE"/>
        </w:rPr>
        <w:t xml:space="preserve">and </w:t>
      </w:r>
      <w:r>
        <w:t xml:space="preserve">Materials </w:t>
      </w:r>
    </w:p>
    <w:p w14:paraId="37FDE986" w14:textId="77777777" w:rsidR="00BA7B01" w:rsidRDefault="00000000">
      <w:pPr>
        <w:pStyle w:val="SWCHeading11"/>
        <w:keepNext/>
      </w:pPr>
      <w:r>
        <w:t>2.1 Design basis and system architecture</w:t>
      </w:r>
    </w:p>
    <w:p w14:paraId="0B9229F2" w14:textId="4EF6BB0A" w:rsidR="009C4D1B" w:rsidRDefault="00CE11CA" w:rsidP="00E63E40">
      <w:pPr>
        <w:pStyle w:val="SWCText"/>
      </w:pPr>
      <w:r>
        <w:t xml:space="preserve">The design basis encompasses a </w:t>
      </w:r>
      <w:r w:rsidR="00E63E40">
        <w:t>single pottery enterprise that fires 300 kg of green ware per batch within a 2.0 m³ setting space, reaching a peak temperature of 1150 °C (with a design ceiling of 1200 °C), located at an SME pottery site in Ghana</w:t>
      </w:r>
      <w:r>
        <w:t xml:space="preserve">. </w:t>
      </w:r>
      <w:r w:rsidR="00E63E40">
        <w:t>Ghana</w:t>
      </w:r>
      <w:r>
        <w:t xml:space="preserve"> experiences a global horizontal irradiation of 1885 kWh m⁻² per year and a specific Solar PV yield ranging from 4.3 to 4.6 kWh kWp⁻¹ per day (World Bank Group and </w:t>
      </w:r>
      <w:proofErr w:type="spellStart"/>
      <w:r>
        <w:t>Solargis</w:t>
      </w:r>
      <w:proofErr w:type="spellEnd"/>
      <w:r>
        <w:t xml:space="preserve">, 2019). Table 1 outlines the principal parameters. As illustrated in Fig. 2, a 30 </w:t>
      </w:r>
      <w:proofErr w:type="spellStart"/>
      <w:r>
        <w:t>kWp</w:t>
      </w:r>
      <w:proofErr w:type="spellEnd"/>
      <w:r>
        <w:t xml:space="preserve"> crystalline silicon photovoltaic array supplies an MPPT DC–DC stage (efficiency </w:t>
      </w:r>
      <w:proofErr w:type="spellStart"/>
      <w:r>
        <w:t>ηdc</w:t>
      </w:r>
      <w:proofErr w:type="spellEnd"/>
      <w:r>
        <w:t xml:space="preserve"> = 0.975) and two solid-state switching zones. The first zone </w:t>
      </w:r>
      <w:proofErr w:type="spellStart"/>
      <w:r>
        <w:t>energises</w:t>
      </w:r>
      <w:proofErr w:type="spellEnd"/>
      <w:r>
        <w:t xml:space="preserve"> </w:t>
      </w:r>
      <w:proofErr w:type="spellStart"/>
      <w:r>
        <w:t>FeCrAl</w:t>
      </w:r>
      <w:proofErr w:type="spellEnd"/>
      <w:r>
        <w:t xml:space="preserve"> elements embedded in a</w:t>
      </w:r>
      <w:r w:rsidR="00E63E40">
        <w:t xml:space="preserve"> </w:t>
      </w:r>
      <w:r>
        <w:t xml:space="preserve">packed bed, while the second operates molybdenum </w:t>
      </w:r>
      <w:proofErr w:type="spellStart"/>
      <w:r>
        <w:t>disilicide</w:t>
      </w:r>
      <w:proofErr w:type="spellEnd"/>
      <w:r>
        <w:t xml:space="preserve"> elements within the firing chamber; both are housed in a single insulated enclosure. During preheating, a blower circulates air through the bed into the chamber, and during controlled cooling, part of the stored heat in the chamber is returned to the bed </w:t>
      </w:r>
      <w:proofErr w:type="spellStart"/>
      <w:r>
        <w:t>Jouhara</w:t>
      </w:r>
      <w:proofErr w:type="spellEnd"/>
      <w:r>
        <w:t xml:space="preserve"> et al., </w:t>
      </w:r>
      <w:r w:rsidR="00AD5B36">
        <w:t>(</w:t>
      </w:r>
      <w:r>
        <w:t>2018). The system does not incorporate an inverter or electrochemical battery.</w:t>
      </w:r>
    </w:p>
    <w:p w14:paraId="6973AEE3" w14:textId="718B6442" w:rsidR="009C4D1B" w:rsidRDefault="009C4D1B" w:rsidP="009C4D1B">
      <w:pPr>
        <w:pStyle w:val="SWCTableFigureCaption"/>
        <w:keepNext/>
      </w:pPr>
      <w:r>
        <w:t>Tab. 1: Principal design-basis parameters.</w:t>
      </w:r>
    </w:p>
    <w:tbl>
      <w:tblPr>
        <w:tblStyle w:val="TableGrid"/>
        <w:tblW w:w="8765" w:type="dxa"/>
        <w:jc w:val="center"/>
        <w:tblLayout w:type="fixed"/>
        <w:tblCellMar>
          <w:top w:w="5" w:type="dxa"/>
          <w:left w:w="45" w:type="dxa"/>
          <w:bottom w:w="5" w:type="dxa"/>
          <w:right w:w="45" w:type="dxa"/>
        </w:tblCellMar>
        <w:tblLook w:val="04A0" w:firstRow="1" w:lastRow="0" w:firstColumn="1" w:lastColumn="0" w:noHBand="0" w:noVBand="1"/>
      </w:tblPr>
      <w:tblGrid>
        <w:gridCol w:w="3325"/>
        <w:gridCol w:w="1440"/>
        <w:gridCol w:w="2685"/>
        <w:gridCol w:w="1315"/>
      </w:tblGrid>
      <w:tr w:rsidR="009C4D1B" w14:paraId="04DCF1A8" w14:textId="77777777" w:rsidTr="00172622">
        <w:trPr>
          <w:cantSplit/>
          <w:tblHeader/>
          <w:jc w:val="center"/>
        </w:trPr>
        <w:tc>
          <w:tcPr>
            <w:tcW w:w="3325" w:type="dxa"/>
          </w:tcPr>
          <w:p w14:paraId="160937BF" w14:textId="77777777" w:rsidR="009C4D1B" w:rsidRDefault="009C4D1B" w:rsidP="005B2D11">
            <w:pPr>
              <w:pStyle w:val="SWCTableHeader"/>
              <w:jc w:val="left"/>
            </w:pPr>
            <w:r>
              <w:t>Parameter</w:t>
            </w:r>
          </w:p>
        </w:tc>
        <w:tc>
          <w:tcPr>
            <w:tcW w:w="1440" w:type="dxa"/>
          </w:tcPr>
          <w:p w14:paraId="7AAC68D5" w14:textId="7C199EA4" w:rsidR="009C4D1B" w:rsidRDefault="009C4D1B" w:rsidP="005B2D11">
            <w:pPr>
              <w:pStyle w:val="SWCTableHeader"/>
            </w:pPr>
            <w:proofErr w:type="spellStart"/>
            <w:r>
              <w:t>Symbol</w:t>
            </w:r>
            <w:r w:rsidR="00D83123">
              <w:t>Unit</w:t>
            </w:r>
            <w:proofErr w:type="spellEnd"/>
          </w:p>
        </w:tc>
        <w:tc>
          <w:tcPr>
            <w:tcW w:w="2685" w:type="dxa"/>
          </w:tcPr>
          <w:p w14:paraId="433EBA66" w14:textId="77777777" w:rsidR="009C4D1B" w:rsidRDefault="009C4D1B" w:rsidP="005B2D11">
            <w:pPr>
              <w:pStyle w:val="SWCTableHeader"/>
            </w:pPr>
            <w:r>
              <w:t>Value</w:t>
            </w:r>
          </w:p>
        </w:tc>
        <w:tc>
          <w:tcPr>
            <w:tcW w:w="1315" w:type="dxa"/>
          </w:tcPr>
          <w:p w14:paraId="5881C12E" w14:textId="77777777" w:rsidR="009C4D1B" w:rsidRDefault="009C4D1B" w:rsidP="005B2D11">
            <w:pPr>
              <w:pStyle w:val="SWCTableHeader"/>
            </w:pPr>
            <w:r>
              <w:t>Unit</w:t>
            </w:r>
          </w:p>
        </w:tc>
      </w:tr>
      <w:tr w:rsidR="009C4D1B" w14:paraId="03BBDBF2" w14:textId="77777777" w:rsidTr="00172622">
        <w:trPr>
          <w:cantSplit/>
          <w:jc w:val="center"/>
        </w:trPr>
        <w:tc>
          <w:tcPr>
            <w:tcW w:w="3325" w:type="dxa"/>
          </w:tcPr>
          <w:p w14:paraId="2B2F7BBF" w14:textId="77777777" w:rsidR="009C4D1B" w:rsidRDefault="009C4D1B" w:rsidP="005B2D11">
            <w:pPr>
              <w:pStyle w:val="SWCTableText"/>
              <w:jc w:val="left"/>
            </w:pPr>
            <w:r>
              <w:t>Green ware charge per firing</w:t>
            </w:r>
          </w:p>
        </w:tc>
        <w:tc>
          <w:tcPr>
            <w:tcW w:w="1440" w:type="dxa"/>
          </w:tcPr>
          <w:p w14:paraId="57AB0D53" w14:textId="77777777" w:rsidR="009C4D1B" w:rsidRDefault="009C4D1B" w:rsidP="005B2D11">
            <w:pPr>
              <w:pStyle w:val="SWCTableText"/>
            </w:pPr>
            <w:r>
              <w:t>m</w:t>
            </w:r>
            <w:r>
              <w:rPr>
                <w:vertAlign w:val="subscript"/>
              </w:rPr>
              <w:t>w</w:t>
            </w:r>
          </w:p>
        </w:tc>
        <w:tc>
          <w:tcPr>
            <w:tcW w:w="2685" w:type="dxa"/>
          </w:tcPr>
          <w:p w14:paraId="582B192B" w14:textId="77777777" w:rsidR="009C4D1B" w:rsidRDefault="009C4D1B" w:rsidP="005B2D11">
            <w:pPr>
              <w:pStyle w:val="SWCTableText"/>
            </w:pPr>
            <w:r>
              <w:t>300</w:t>
            </w:r>
          </w:p>
        </w:tc>
        <w:tc>
          <w:tcPr>
            <w:tcW w:w="1315" w:type="dxa"/>
          </w:tcPr>
          <w:p w14:paraId="087175AB" w14:textId="77777777" w:rsidR="009C4D1B" w:rsidRDefault="009C4D1B" w:rsidP="005B2D11">
            <w:pPr>
              <w:pStyle w:val="SWCTableText"/>
            </w:pPr>
            <w:r>
              <w:t>kg</w:t>
            </w:r>
          </w:p>
        </w:tc>
      </w:tr>
      <w:tr w:rsidR="009C4D1B" w14:paraId="5283BF7B" w14:textId="77777777" w:rsidTr="00172622">
        <w:trPr>
          <w:cantSplit/>
          <w:jc w:val="center"/>
        </w:trPr>
        <w:tc>
          <w:tcPr>
            <w:tcW w:w="3325" w:type="dxa"/>
          </w:tcPr>
          <w:p w14:paraId="58F17694" w14:textId="0B791AC5" w:rsidR="009C4D1B" w:rsidRDefault="009C4D1B" w:rsidP="005B2D11">
            <w:pPr>
              <w:pStyle w:val="SWCTableText"/>
              <w:jc w:val="left"/>
            </w:pPr>
            <w:r>
              <w:t>Setting space/kiln mass</w:t>
            </w:r>
          </w:p>
        </w:tc>
        <w:tc>
          <w:tcPr>
            <w:tcW w:w="1440" w:type="dxa"/>
          </w:tcPr>
          <w:p w14:paraId="425EF74A" w14:textId="77777777" w:rsidR="009C4D1B" w:rsidRDefault="009C4D1B" w:rsidP="005B2D11">
            <w:pPr>
              <w:pStyle w:val="SWCTableText"/>
            </w:pPr>
            <w:proofErr w:type="spellStart"/>
            <w:r>
              <w:t>V</w:t>
            </w:r>
            <w:r>
              <w:rPr>
                <w:vertAlign w:val="subscript"/>
              </w:rPr>
              <w:t>ch</w:t>
            </w:r>
            <w:proofErr w:type="spellEnd"/>
            <w:r>
              <w:t xml:space="preserve"> / m</w:t>
            </w:r>
            <w:r>
              <w:rPr>
                <w:vertAlign w:val="subscript"/>
              </w:rPr>
              <w:t>f</w:t>
            </w:r>
          </w:p>
        </w:tc>
        <w:tc>
          <w:tcPr>
            <w:tcW w:w="2685" w:type="dxa"/>
          </w:tcPr>
          <w:p w14:paraId="50419E75" w14:textId="77777777" w:rsidR="009C4D1B" w:rsidRDefault="009C4D1B" w:rsidP="005B2D11">
            <w:pPr>
              <w:pStyle w:val="SWCTableText"/>
            </w:pPr>
            <w:r>
              <w:t>1.00 / 85</w:t>
            </w:r>
          </w:p>
        </w:tc>
        <w:tc>
          <w:tcPr>
            <w:tcW w:w="1315" w:type="dxa"/>
          </w:tcPr>
          <w:p w14:paraId="0068E0C6" w14:textId="77777777" w:rsidR="009C4D1B" w:rsidRDefault="009C4D1B" w:rsidP="005B2D11">
            <w:pPr>
              <w:pStyle w:val="SWCTableText"/>
            </w:pPr>
            <w:r>
              <w:t>m³ / kg</w:t>
            </w:r>
          </w:p>
        </w:tc>
      </w:tr>
      <w:tr w:rsidR="009C4D1B" w14:paraId="4436F220" w14:textId="77777777" w:rsidTr="00172622">
        <w:trPr>
          <w:cantSplit/>
          <w:jc w:val="center"/>
        </w:trPr>
        <w:tc>
          <w:tcPr>
            <w:tcW w:w="3325" w:type="dxa"/>
          </w:tcPr>
          <w:p w14:paraId="2355AA54" w14:textId="77777777" w:rsidR="009C4D1B" w:rsidRDefault="009C4D1B" w:rsidP="005B2D11">
            <w:pPr>
              <w:pStyle w:val="SWCTableText"/>
              <w:jc w:val="left"/>
            </w:pPr>
            <w:r>
              <w:t>Peak firing temperature (design ceiling)</w:t>
            </w:r>
          </w:p>
        </w:tc>
        <w:tc>
          <w:tcPr>
            <w:tcW w:w="1440" w:type="dxa"/>
          </w:tcPr>
          <w:p w14:paraId="287415CF" w14:textId="77777777" w:rsidR="009C4D1B" w:rsidRDefault="009C4D1B" w:rsidP="005B2D11">
            <w:pPr>
              <w:pStyle w:val="SWCTableText"/>
            </w:pPr>
            <w:proofErr w:type="spellStart"/>
            <w:r>
              <w:t>T</w:t>
            </w:r>
            <w:r>
              <w:rPr>
                <w:vertAlign w:val="subscript"/>
              </w:rPr>
              <w:t>p</w:t>
            </w:r>
            <w:proofErr w:type="spellEnd"/>
          </w:p>
        </w:tc>
        <w:tc>
          <w:tcPr>
            <w:tcW w:w="2685" w:type="dxa"/>
          </w:tcPr>
          <w:p w14:paraId="08757002" w14:textId="77777777" w:rsidR="009C4D1B" w:rsidRDefault="009C4D1B" w:rsidP="005B2D11">
            <w:pPr>
              <w:pStyle w:val="SWCTableText"/>
            </w:pPr>
            <w:r>
              <w:t>1150 (1200)</w:t>
            </w:r>
          </w:p>
        </w:tc>
        <w:tc>
          <w:tcPr>
            <w:tcW w:w="1315" w:type="dxa"/>
          </w:tcPr>
          <w:p w14:paraId="1C56ACFC" w14:textId="77777777" w:rsidR="009C4D1B" w:rsidRDefault="009C4D1B" w:rsidP="005B2D11">
            <w:pPr>
              <w:pStyle w:val="SWCTableText"/>
            </w:pPr>
            <w:r>
              <w:t>°C</w:t>
            </w:r>
          </w:p>
        </w:tc>
      </w:tr>
      <w:tr w:rsidR="009C4D1B" w14:paraId="2DFC36AF" w14:textId="77777777" w:rsidTr="00172622">
        <w:trPr>
          <w:cantSplit/>
          <w:jc w:val="center"/>
        </w:trPr>
        <w:tc>
          <w:tcPr>
            <w:tcW w:w="3325" w:type="dxa"/>
          </w:tcPr>
          <w:p w14:paraId="0AF38068" w14:textId="77777777" w:rsidR="009C4D1B" w:rsidRDefault="009C4D1B" w:rsidP="005B2D11">
            <w:pPr>
              <w:pStyle w:val="SWCTableText"/>
              <w:jc w:val="left"/>
            </w:pPr>
            <w:r>
              <w:t>Reference ambient temperature</w:t>
            </w:r>
          </w:p>
        </w:tc>
        <w:tc>
          <w:tcPr>
            <w:tcW w:w="1440" w:type="dxa"/>
          </w:tcPr>
          <w:p w14:paraId="3A91D3E6" w14:textId="77777777" w:rsidR="009C4D1B" w:rsidRDefault="009C4D1B" w:rsidP="005B2D11">
            <w:pPr>
              <w:pStyle w:val="SWCTableText"/>
            </w:pPr>
            <w:r>
              <w:t>T₀</w:t>
            </w:r>
          </w:p>
        </w:tc>
        <w:tc>
          <w:tcPr>
            <w:tcW w:w="2685" w:type="dxa"/>
          </w:tcPr>
          <w:p w14:paraId="077AE84A" w14:textId="77777777" w:rsidR="009C4D1B" w:rsidRDefault="009C4D1B" w:rsidP="005B2D11">
            <w:pPr>
              <w:pStyle w:val="SWCTableText"/>
            </w:pPr>
            <w:r>
              <w:t>28</w:t>
            </w:r>
          </w:p>
        </w:tc>
        <w:tc>
          <w:tcPr>
            <w:tcW w:w="1315" w:type="dxa"/>
          </w:tcPr>
          <w:p w14:paraId="112E082C" w14:textId="77777777" w:rsidR="009C4D1B" w:rsidRDefault="009C4D1B" w:rsidP="005B2D11">
            <w:pPr>
              <w:pStyle w:val="SWCTableText"/>
            </w:pPr>
            <w:r>
              <w:t>°C</w:t>
            </w:r>
          </w:p>
        </w:tc>
      </w:tr>
      <w:tr w:rsidR="009C4D1B" w14:paraId="3F037E39" w14:textId="77777777" w:rsidTr="00172622">
        <w:trPr>
          <w:cantSplit/>
          <w:jc w:val="center"/>
        </w:trPr>
        <w:tc>
          <w:tcPr>
            <w:tcW w:w="3325" w:type="dxa"/>
          </w:tcPr>
          <w:p w14:paraId="3FCAA1FA" w14:textId="6603B564" w:rsidR="009C4D1B" w:rsidRDefault="009C4D1B" w:rsidP="005B2D11">
            <w:pPr>
              <w:pStyle w:val="SWCTableText"/>
              <w:jc w:val="left"/>
            </w:pPr>
            <w:r>
              <w:t>Phase I/Phase II/soak/cooling duration</w:t>
            </w:r>
          </w:p>
        </w:tc>
        <w:tc>
          <w:tcPr>
            <w:tcW w:w="1440" w:type="dxa"/>
          </w:tcPr>
          <w:p w14:paraId="5BB4DBD2" w14:textId="77777777" w:rsidR="009C4D1B" w:rsidRDefault="009C4D1B" w:rsidP="005B2D11">
            <w:pPr>
              <w:pStyle w:val="SWCTableText"/>
            </w:pPr>
            <w:r>
              <w:t xml:space="preserve">t₁ / t₂ / </w:t>
            </w:r>
            <w:proofErr w:type="spellStart"/>
            <w:r>
              <w:t>t</w:t>
            </w:r>
            <w:r>
              <w:rPr>
                <w:vertAlign w:val="subscript"/>
              </w:rPr>
              <w:t>s</w:t>
            </w:r>
            <w:proofErr w:type="spellEnd"/>
            <w:r>
              <w:t xml:space="preserve"> / </w:t>
            </w:r>
            <w:proofErr w:type="spellStart"/>
            <w:r>
              <w:t>t</w:t>
            </w:r>
            <w:r>
              <w:rPr>
                <w:vertAlign w:val="subscript"/>
              </w:rPr>
              <w:t>c</w:t>
            </w:r>
            <w:proofErr w:type="spellEnd"/>
          </w:p>
        </w:tc>
        <w:tc>
          <w:tcPr>
            <w:tcW w:w="2685" w:type="dxa"/>
          </w:tcPr>
          <w:p w14:paraId="4461E5A0" w14:textId="77777777" w:rsidR="009C4D1B" w:rsidRDefault="009C4D1B" w:rsidP="005B2D11">
            <w:pPr>
              <w:pStyle w:val="SWCTableText"/>
            </w:pPr>
            <w:r>
              <w:t>8 / 9 / 1 / 31</w:t>
            </w:r>
          </w:p>
        </w:tc>
        <w:tc>
          <w:tcPr>
            <w:tcW w:w="1315" w:type="dxa"/>
          </w:tcPr>
          <w:p w14:paraId="7AB2F8E6" w14:textId="77777777" w:rsidR="009C4D1B" w:rsidRDefault="009C4D1B" w:rsidP="005B2D11">
            <w:pPr>
              <w:pStyle w:val="SWCTableText"/>
            </w:pPr>
            <w:r>
              <w:t>h</w:t>
            </w:r>
          </w:p>
        </w:tc>
      </w:tr>
      <w:tr w:rsidR="009C4D1B" w14:paraId="223E32DF" w14:textId="77777777" w:rsidTr="00172622">
        <w:trPr>
          <w:cantSplit/>
          <w:jc w:val="center"/>
        </w:trPr>
        <w:tc>
          <w:tcPr>
            <w:tcW w:w="3325" w:type="dxa"/>
          </w:tcPr>
          <w:p w14:paraId="040E357D" w14:textId="77777777" w:rsidR="009C4D1B" w:rsidRDefault="009C4D1B" w:rsidP="005B2D11">
            <w:pPr>
              <w:pStyle w:val="SWCTableText"/>
              <w:jc w:val="left"/>
            </w:pPr>
            <w:r>
              <w:t>Array capacity</w:t>
            </w:r>
          </w:p>
        </w:tc>
        <w:tc>
          <w:tcPr>
            <w:tcW w:w="1440" w:type="dxa"/>
          </w:tcPr>
          <w:p w14:paraId="3026BBA7" w14:textId="77777777" w:rsidR="009C4D1B" w:rsidRDefault="009C4D1B" w:rsidP="005B2D11">
            <w:pPr>
              <w:pStyle w:val="SWCTableText"/>
            </w:pPr>
            <w:r>
              <w:t>P</w:t>
            </w:r>
            <w:r>
              <w:rPr>
                <w:vertAlign w:val="subscript"/>
              </w:rPr>
              <w:t>STC</w:t>
            </w:r>
          </w:p>
        </w:tc>
        <w:tc>
          <w:tcPr>
            <w:tcW w:w="2685" w:type="dxa"/>
          </w:tcPr>
          <w:p w14:paraId="58F9B4D5" w14:textId="77777777" w:rsidR="009C4D1B" w:rsidRDefault="009C4D1B" w:rsidP="005B2D11">
            <w:pPr>
              <w:pStyle w:val="SWCTableText"/>
            </w:pPr>
            <w:r>
              <w:t>30</w:t>
            </w:r>
          </w:p>
        </w:tc>
        <w:tc>
          <w:tcPr>
            <w:tcW w:w="1315" w:type="dxa"/>
          </w:tcPr>
          <w:p w14:paraId="7E9B2DEF" w14:textId="77777777" w:rsidR="009C4D1B" w:rsidRDefault="009C4D1B" w:rsidP="005B2D11">
            <w:pPr>
              <w:pStyle w:val="SWCTableText"/>
            </w:pPr>
            <w:r>
              <w:t>kWₚ</w:t>
            </w:r>
          </w:p>
        </w:tc>
      </w:tr>
      <w:tr w:rsidR="009C4D1B" w14:paraId="754E8FC2" w14:textId="77777777" w:rsidTr="00172622">
        <w:trPr>
          <w:cantSplit/>
          <w:jc w:val="center"/>
        </w:trPr>
        <w:tc>
          <w:tcPr>
            <w:tcW w:w="3325" w:type="dxa"/>
          </w:tcPr>
          <w:p w14:paraId="47325107" w14:textId="77777777" w:rsidR="009C4D1B" w:rsidRDefault="009C4D1B" w:rsidP="005B2D11">
            <w:pPr>
              <w:pStyle w:val="SWCTableText"/>
              <w:jc w:val="left"/>
            </w:pPr>
            <w:r>
              <w:t>Annual global horizontal irradiation</w:t>
            </w:r>
          </w:p>
        </w:tc>
        <w:tc>
          <w:tcPr>
            <w:tcW w:w="1440" w:type="dxa"/>
          </w:tcPr>
          <w:p w14:paraId="705B6656" w14:textId="77777777" w:rsidR="009C4D1B" w:rsidRDefault="009C4D1B" w:rsidP="005B2D11">
            <w:pPr>
              <w:pStyle w:val="SWCTableText"/>
            </w:pPr>
            <w:r>
              <w:t>H</w:t>
            </w:r>
          </w:p>
        </w:tc>
        <w:tc>
          <w:tcPr>
            <w:tcW w:w="2685" w:type="dxa"/>
          </w:tcPr>
          <w:p w14:paraId="7D71E78D" w14:textId="77777777" w:rsidR="009C4D1B" w:rsidRDefault="009C4D1B" w:rsidP="005B2D11">
            <w:pPr>
              <w:pStyle w:val="SWCTableText"/>
            </w:pPr>
            <w:r>
              <w:t>1885</w:t>
            </w:r>
          </w:p>
        </w:tc>
        <w:tc>
          <w:tcPr>
            <w:tcW w:w="1315" w:type="dxa"/>
          </w:tcPr>
          <w:p w14:paraId="15CD053C" w14:textId="77777777" w:rsidR="009C4D1B" w:rsidRDefault="009C4D1B" w:rsidP="005B2D11">
            <w:pPr>
              <w:pStyle w:val="SWCTableText"/>
            </w:pPr>
            <w:r>
              <w:t>kWh m⁻² yr⁻¹</w:t>
            </w:r>
          </w:p>
        </w:tc>
      </w:tr>
      <w:tr w:rsidR="009C4D1B" w14:paraId="5EC9B1D5" w14:textId="77777777" w:rsidTr="00172622">
        <w:trPr>
          <w:cantSplit/>
          <w:jc w:val="center"/>
        </w:trPr>
        <w:tc>
          <w:tcPr>
            <w:tcW w:w="3325" w:type="dxa"/>
          </w:tcPr>
          <w:p w14:paraId="61EDF1D2" w14:textId="779AB17D" w:rsidR="009C4D1B" w:rsidRDefault="009C4D1B" w:rsidP="005B2D11">
            <w:pPr>
              <w:pStyle w:val="SWCTableText"/>
              <w:jc w:val="left"/>
            </w:pPr>
            <w:r>
              <w:t>DC efficiency/soiling and mismatch derate</w:t>
            </w:r>
          </w:p>
        </w:tc>
        <w:tc>
          <w:tcPr>
            <w:tcW w:w="1440" w:type="dxa"/>
          </w:tcPr>
          <w:p w14:paraId="0062F84F" w14:textId="77777777" w:rsidR="009C4D1B" w:rsidRDefault="009C4D1B" w:rsidP="005B2D11">
            <w:pPr>
              <w:pStyle w:val="SWCTableText"/>
            </w:pPr>
            <w:proofErr w:type="spellStart"/>
            <w:r>
              <w:t>η</w:t>
            </w:r>
            <w:r>
              <w:rPr>
                <w:vertAlign w:val="subscript"/>
              </w:rPr>
              <w:t>dc</w:t>
            </w:r>
            <w:proofErr w:type="spellEnd"/>
            <w:r>
              <w:t xml:space="preserve"> / f</w:t>
            </w:r>
            <w:r>
              <w:rPr>
                <w:vertAlign w:val="subscript"/>
              </w:rPr>
              <w:t>s</w:t>
            </w:r>
          </w:p>
        </w:tc>
        <w:tc>
          <w:tcPr>
            <w:tcW w:w="2685" w:type="dxa"/>
          </w:tcPr>
          <w:p w14:paraId="6FDC9B34" w14:textId="77777777" w:rsidR="009C4D1B" w:rsidRDefault="009C4D1B" w:rsidP="005B2D11">
            <w:pPr>
              <w:pStyle w:val="SWCTableText"/>
            </w:pPr>
            <w:r>
              <w:t>0.975 / 0.035</w:t>
            </w:r>
          </w:p>
        </w:tc>
        <w:tc>
          <w:tcPr>
            <w:tcW w:w="1315" w:type="dxa"/>
          </w:tcPr>
          <w:p w14:paraId="7D3B160B" w14:textId="77777777" w:rsidR="009C4D1B" w:rsidRDefault="009C4D1B" w:rsidP="005B2D11">
            <w:pPr>
              <w:pStyle w:val="SWCTableText"/>
            </w:pPr>
            <w:r>
              <w:t>–</w:t>
            </w:r>
          </w:p>
        </w:tc>
      </w:tr>
      <w:tr w:rsidR="009C4D1B" w14:paraId="3F9CD490" w14:textId="77777777" w:rsidTr="00172622">
        <w:trPr>
          <w:cantSplit/>
          <w:jc w:val="center"/>
        </w:trPr>
        <w:tc>
          <w:tcPr>
            <w:tcW w:w="3325" w:type="dxa"/>
          </w:tcPr>
          <w:p w14:paraId="7AB832BC" w14:textId="077600A3" w:rsidR="009C4D1B" w:rsidRDefault="009C4D1B" w:rsidP="005B2D11">
            <w:pPr>
              <w:pStyle w:val="SWCTableText"/>
              <w:jc w:val="left"/>
            </w:pPr>
            <w:r>
              <w:t>Bed maximum/cut-off temperature</w:t>
            </w:r>
          </w:p>
        </w:tc>
        <w:tc>
          <w:tcPr>
            <w:tcW w:w="1440" w:type="dxa"/>
          </w:tcPr>
          <w:p w14:paraId="077F47E4" w14:textId="77777777" w:rsidR="009C4D1B" w:rsidRDefault="009C4D1B" w:rsidP="005B2D11">
            <w:pPr>
              <w:pStyle w:val="SWCTableText"/>
            </w:pPr>
            <w:proofErr w:type="spellStart"/>
            <w:r>
              <w:t>T</w:t>
            </w:r>
            <w:r>
              <w:rPr>
                <w:vertAlign w:val="subscript"/>
              </w:rPr>
              <w:t>max</w:t>
            </w:r>
            <w:proofErr w:type="spellEnd"/>
            <w:r>
              <w:t xml:space="preserve"> / </w:t>
            </w:r>
            <w:proofErr w:type="spellStart"/>
            <w:r>
              <w:t>T</w:t>
            </w:r>
            <w:r>
              <w:rPr>
                <w:vertAlign w:val="subscript"/>
              </w:rPr>
              <w:t>min</w:t>
            </w:r>
            <w:proofErr w:type="spellEnd"/>
          </w:p>
        </w:tc>
        <w:tc>
          <w:tcPr>
            <w:tcW w:w="2685" w:type="dxa"/>
          </w:tcPr>
          <w:p w14:paraId="38F5B764" w14:textId="001B0226" w:rsidR="009C4D1B" w:rsidRDefault="009C4D1B" w:rsidP="005B2D11">
            <w:pPr>
              <w:pStyle w:val="SWCTableText"/>
            </w:pPr>
            <w:r>
              <w:t xml:space="preserve">780 / </w:t>
            </w:r>
            <w:r w:rsidR="00E4225B">
              <w:t xml:space="preserve">700 / </w:t>
            </w:r>
            <w:r>
              <w:t>180</w:t>
            </w:r>
          </w:p>
        </w:tc>
        <w:tc>
          <w:tcPr>
            <w:tcW w:w="1315" w:type="dxa"/>
          </w:tcPr>
          <w:p w14:paraId="45894EB2" w14:textId="77777777" w:rsidR="009C4D1B" w:rsidRDefault="009C4D1B" w:rsidP="005B2D11">
            <w:pPr>
              <w:pStyle w:val="SWCTableText"/>
            </w:pPr>
            <w:r>
              <w:t>°C</w:t>
            </w:r>
          </w:p>
        </w:tc>
      </w:tr>
      <w:tr w:rsidR="009C4D1B" w14:paraId="08226A1D" w14:textId="77777777" w:rsidTr="00172622">
        <w:trPr>
          <w:cantSplit/>
          <w:jc w:val="center"/>
        </w:trPr>
        <w:tc>
          <w:tcPr>
            <w:tcW w:w="3325" w:type="dxa"/>
          </w:tcPr>
          <w:p w14:paraId="7E93603D" w14:textId="41E58D27" w:rsidR="009C4D1B" w:rsidRDefault="009C4D1B" w:rsidP="005B2D11">
            <w:pPr>
              <w:pStyle w:val="SWCTableText"/>
              <w:jc w:val="left"/>
            </w:pPr>
            <w:r>
              <w:t>Bed void fraction/equivalent particle diameter</w:t>
            </w:r>
          </w:p>
        </w:tc>
        <w:tc>
          <w:tcPr>
            <w:tcW w:w="1440" w:type="dxa"/>
          </w:tcPr>
          <w:p w14:paraId="76E012BF" w14:textId="77777777" w:rsidR="009C4D1B" w:rsidRDefault="009C4D1B" w:rsidP="005B2D11">
            <w:pPr>
              <w:pStyle w:val="SWCTableText"/>
            </w:pPr>
            <w:r>
              <w:t xml:space="preserve">ε / </w:t>
            </w:r>
            <w:proofErr w:type="spellStart"/>
            <w:r>
              <w:t>d</w:t>
            </w:r>
            <w:r>
              <w:rPr>
                <w:vertAlign w:val="subscript"/>
              </w:rPr>
              <w:t>p</w:t>
            </w:r>
            <w:proofErr w:type="spellEnd"/>
          </w:p>
        </w:tc>
        <w:tc>
          <w:tcPr>
            <w:tcW w:w="2685" w:type="dxa"/>
          </w:tcPr>
          <w:p w14:paraId="0D3C1CB4" w14:textId="77777777" w:rsidR="009C4D1B" w:rsidRDefault="009C4D1B" w:rsidP="005B2D11">
            <w:pPr>
              <w:pStyle w:val="SWCTableText"/>
            </w:pPr>
            <w:r>
              <w:t>0.39 / 30</w:t>
            </w:r>
          </w:p>
        </w:tc>
        <w:tc>
          <w:tcPr>
            <w:tcW w:w="1315" w:type="dxa"/>
          </w:tcPr>
          <w:p w14:paraId="5625EDD8" w14:textId="77777777" w:rsidR="009C4D1B" w:rsidRDefault="009C4D1B" w:rsidP="005B2D11">
            <w:pPr>
              <w:pStyle w:val="SWCTableText"/>
            </w:pPr>
            <w:r>
              <w:t>– / mm</w:t>
            </w:r>
          </w:p>
        </w:tc>
      </w:tr>
      <w:tr w:rsidR="009C4D1B" w14:paraId="07C1C12D" w14:textId="77777777" w:rsidTr="00172622">
        <w:trPr>
          <w:cantSplit/>
          <w:jc w:val="center"/>
        </w:trPr>
        <w:tc>
          <w:tcPr>
            <w:tcW w:w="3325" w:type="dxa"/>
          </w:tcPr>
          <w:p w14:paraId="2B4D8A91" w14:textId="0F7007AB" w:rsidR="009C4D1B" w:rsidRDefault="009C4D1B" w:rsidP="005B2D11">
            <w:pPr>
              <w:pStyle w:val="SWCTableText"/>
              <w:jc w:val="left"/>
            </w:pPr>
            <w:r>
              <w:t>Installed/deliverable store capacity</w:t>
            </w:r>
          </w:p>
        </w:tc>
        <w:tc>
          <w:tcPr>
            <w:tcW w:w="1440" w:type="dxa"/>
          </w:tcPr>
          <w:p w14:paraId="58C9A0B6" w14:textId="77777777" w:rsidR="009C4D1B" w:rsidRDefault="009C4D1B" w:rsidP="005B2D11">
            <w:pPr>
              <w:pStyle w:val="SWCTableText"/>
            </w:pPr>
            <w:proofErr w:type="spellStart"/>
            <w:r>
              <w:t>E</w:t>
            </w:r>
            <w:r>
              <w:rPr>
                <w:vertAlign w:val="subscript"/>
              </w:rPr>
              <w:t>inst</w:t>
            </w:r>
            <w:proofErr w:type="spellEnd"/>
            <w:r>
              <w:t xml:space="preserve"> / E</w:t>
            </w:r>
            <w:r>
              <w:rPr>
                <w:vertAlign w:val="subscript"/>
              </w:rPr>
              <w:t>del</w:t>
            </w:r>
          </w:p>
        </w:tc>
        <w:tc>
          <w:tcPr>
            <w:tcW w:w="2685" w:type="dxa"/>
          </w:tcPr>
          <w:p w14:paraId="4A273D42" w14:textId="77777777" w:rsidR="009C4D1B" w:rsidRDefault="009C4D1B" w:rsidP="005B2D11">
            <w:pPr>
              <w:pStyle w:val="SWCTableText"/>
            </w:pPr>
            <w:r>
              <w:t>389 / 280</w:t>
            </w:r>
          </w:p>
        </w:tc>
        <w:tc>
          <w:tcPr>
            <w:tcW w:w="1315" w:type="dxa"/>
          </w:tcPr>
          <w:p w14:paraId="5E65F054" w14:textId="77777777" w:rsidR="009C4D1B" w:rsidRDefault="009C4D1B" w:rsidP="005B2D11">
            <w:pPr>
              <w:pStyle w:val="SWCTableText"/>
            </w:pPr>
            <w:r>
              <w:t>kWhₜₕ</w:t>
            </w:r>
          </w:p>
        </w:tc>
      </w:tr>
      <w:tr w:rsidR="009C4D1B" w14:paraId="35367604" w14:textId="77777777" w:rsidTr="00172622">
        <w:trPr>
          <w:cantSplit/>
          <w:jc w:val="center"/>
        </w:trPr>
        <w:tc>
          <w:tcPr>
            <w:tcW w:w="3325" w:type="dxa"/>
          </w:tcPr>
          <w:p w14:paraId="2F1C9C16" w14:textId="063375E7" w:rsidR="009C4D1B" w:rsidRDefault="009C4D1B" w:rsidP="005B2D11">
            <w:pPr>
              <w:pStyle w:val="SWCTableText"/>
              <w:jc w:val="left"/>
            </w:pPr>
            <w:r>
              <w:t xml:space="preserve">Planned firings per </w:t>
            </w:r>
            <w:r w:rsidR="004B3E81">
              <w:t>year/project</w:t>
            </w:r>
            <w:r>
              <w:t xml:space="preserve"> </w:t>
            </w:r>
            <w:r w:rsidR="004B3E81">
              <w:t>life/discount</w:t>
            </w:r>
            <w:r>
              <w:t xml:space="preserve"> rate</w:t>
            </w:r>
          </w:p>
        </w:tc>
        <w:tc>
          <w:tcPr>
            <w:tcW w:w="1440" w:type="dxa"/>
          </w:tcPr>
          <w:p w14:paraId="779CCF6E" w14:textId="77777777" w:rsidR="009C4D1B" w:rsidRDefault="009C4D1B" w:rsidP="005B2D11">
            <w:pPr>
              <w:pStyle w:val="SWCTableText"/>
            </w:pPr>
            <w:r>
              <w:t xml:space="preserve">N / n / </w:t>
            </w:r>
            <w:proofErr w:type="spellStart"/>
            <w:r>
              <w:t>i</w:t>
            </w:r>
            <w:proofErr w:type="spellEnd"/>
          </w:p>
        </w:tc>
        <w:tc>
          <w:tcPr>
            <w:tcW w:w="2685" w:type="dxa"/>
          </w:tcPr>
          <w:p w14:paraId="55CEAE30" w14:textId="77777777" w:rsidR="009C4D1B" w:rsidRDefault="009C4D1B" w:rsidP="005B2D11">
            <w:pPr>
              <w:pStyle w:val="SWCTableText"/>
            </w:pPr>
            <w:r>
              <w:t>80 / 15 / 12</w:t>
            </w:r>
          </w:p>
        </w:tc>
        <w:tc>
          <w:tcPr>
            <w:tcW w:w="1315" w:type="dxa"/>
          </w:tcPr>
          <w:p w14:paraId="74FD51C2" w14:textId="77777777" w:rsidR="009C4D1B" w:rsidRDefault="009C4D1B" w:rsidP="005B2D11">
            <w:pPr>
              <w:pStyle w:val="SWCTableText"/>
            </w:pPr>
            <w:r>
              <w:t>yr⁻¹ / yr / %</w:t>
            </w:r>
          </w:p>
        </w:tc>
      </w:tr>
    </w:tbl>
    <w:p w14:paraId="1D44B60D" w14:textId="5E504B87" w:rsidR="00BA7B01" w:rsidRDefault="00000000" w:rsidP="00E63E40">
      <w:pPr>
        <w:pStyle w:val="SWCText"/>
        <w:keepNext/>
        <w:spacing w:before="60" w:after="20"/>
        <w:jc w:val="center"/>
      </w:pPr>
      <w:r>
        <w:rPr>
          <w:noProof/>
        </w:rPr>
        <w:drawing>
          <wp:inline distT="0" distB="0" distL="0" distR="0" wp14:anchorId="4FBB0767" wp14:editId="4791116E">
            <wp:extent cx="4467860" cy="210312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rotWithShape="1">
                    <a:blip r:embed="rId13"/>
                    <a:srcRect b="4488"/>
                    <a:stretch>
                      <a:fillRect/>
                    </a:stretch>
                  </pic:blipFill>
                  <pic:spPr bwMode="auto">
                    <a:xfrm>
                      <a:off x="0" y="0"/>
                      <a:ext cx="4602014" cy="2166269"/>
                    </a:xfrm>
                    <a:prstGeom prst="rect">
                      <a:avLst/>
                    </a:prstGeom>
                    <a:ln>
                      <a:noFill/>
                    </a:ln>
                    <a:extLst>
                      <a:ext uri="{53640926-AAD7-44D8-BBD7-CCE9431645EC}">
                        <a14:shadowObscured xmlns:a14="http://schemas.microsoft.com/office/drawing/2010/main"/>
                      </a:ext>
                    </a:extLst>
                  </pic:spPr>
                </pic:pic>
              </a:graphicData>
            </a:graphic>
          </wp:inline>
        </w:drawing>
      </w:r>
    </w:p>
    <w:p w14:paraId="0F084B5E" w14:textId="6BA47128" w:rsidR="00E63E40" w:rsidRDefault="00000000" w:rsidP="00E63E40">
      <w:pPr>
        <w:pStyle w:val="SWCTableFigureCaption"/>
      </w:pPr>
      <w:r>
        <w:t xml:space="preserve">Fig. </w:t>
      </w:r>
      <w:r w:rsidR="00904312">
        <w:t>2</w:t>
      </w:r>
      <w:r>
        <w:t xml:space="preserve">: System </w:t>
      </w:r>
      <w:r w:rsidR="0093610B">
        <w:t xml:space="preserve">block </w:t>
      </w:r>
      <w:r>
        <w:t>architecture of the DC-coupled</w:t>
      </w:r>
      <w:r w:rsidR="00082CEB">
        <w:t xml:space="preserve"> </w:t>
      </w:r>
      <w:r w:rsidR="00715C46">
        <w:t xml:space="preserve">Solar </w:t>
      </w:r>
      <w:r w:rsidR="00082CEB">
        <w:t>PV</w:t>
      </w:r>
      <w:r>
        <w:t xml:space="preserve"> kiln with an integrated </w:t>
      </w:r>
      <w:r w:rsidR="00082CEB">
        <w:t>B</w:t>
      </w:r>
      <w:r>
        <w:t>asalt packed-bed</w:t>
      </w:r>
      <w:r w:rsidR="0093610B">
        <w:t xml:space="preserve"> and firing chamber</w:t>
      </w:r>
      <w:r>
        <w:t>. The dashed boundary marks the single insulated enclosure</w:t>
      </w:r>
      <w:r w:rsidR="00715C46">
        <w:t xml:space="preserve"> </w:t>
      </w:r>
      <w:r>
        <w:t>contain</w:t>
      </w:r>
      <w:r w:rsidR="00715C46">
        <w:t>ing</w:t>
      </w:r>
      <w:r>
        <w:t xml:space="preserve"> both the </w:t>
      </w:r>
      <w:r w:rsidR="00CB0E86">
        <w:t>storage and firing chambers</w:t>
      </w:r>
      <w:r>
        <w:t>.</w:t>
      </w:r>
    </w:p>
    <w:p w14:paraId="632E7EA7" w14:textId="07FF9FB2" w:rsidR="00BA7B01" w:rsidRDefault="00000000">
      <w:pPr>
        <w:pStyle w:val="SWCHeading11"/>
        <w:keepNext/>
      </w:pPr>
      <w:r>
        <w:lastRenderedPageBreak/>
        <w:t xml:space="preserve">2.2 </w:t>
      </w:r>
      <w:r w:rsidR="00C6011F">
        <w:t xml:space="preserve">Basalt </w:t>
      </w:r>
      <w:r w:rsidR="00D00AFB">
        <w:t>storage</w:t>
      </w:r>
      <w:r>
        <w:t xml:space="preserve"> medium, refractory set and enclosure</w:t>
      </w:r>
    </w:p>
    <w:p w14:paraId="09BDB186" w14:textId="5176B0DC" w:rsidR="00BA7B01" w:rsidRDefault="00CB0E86">
      <w:pPr>
        <w:pStyle w:val="SWCText"/>
      </w:pPr>
      <w:r>
        <w:t xml:space="preserve">Basalt </w:t>
      </w:r>
      <w:r w:rsidR="00E4225B">
        <w:t xml:space="preserve">rock </w:t>
      </w:r>
      <w:r>
        <w:t xml:space="preserve">was </w:t>
      </w:r>
      <w:proofErr w:type="spellStart"/>
      <w:r w:rsidR="00BB30F3">
        <w:t>characterised</w:t>
      </w:r>
      <w:proofErr w:type="spellEnd"/>
      <w:r>
        <w:t xml:space="preserve"> in accordance with the established measurement procedures. The specific heat capacity was described using a Maier–Kelley model, which was fitted via least squares to the differential-scanning calorimetry data provided by </w:t>
      </w:r>
      <w:proofErr w:type="spellStart"/>
      <w:r w:rsidR="00E4225B">
        <w:t>Tiskatine</w:t>
      </w:r>
      <w:proofErr w:type="spellEnd"/>
      <w:r w:rsidR="00E4225B">
        <w:t xml:space="preserve"> et al. (2017) and</w:t>
      </w:r>
      <w:r>
        <w:t xml:space="preserve"> </w:t>
      </w:r>
      <w:proofErr w:type="spellStart"/>
      <w:r>
        <w:t>Jemmal</w:t>
      </w:r>
      <w:proofErr w:type="spellEnd"/>
      <w:r>
        <w:t xml:space="preserve"> et al. (2017)</w:t>
      </w:r>
      <w:r w:rsidR="009355C0">
        <w:t>:</w:t>
      </w:r>
    </w:p>
    <w:p w14:paraId="5FEB4B16" w14:textId="77777777" w:rsidR="009C3DC3" w:rsidRDefault="009C3DC3">
      <w:pPr>
        <w:pStyle w:val="SWCText"/>
      </w:pPr>
    </w:p>
    <w:p w14:paraId="59B88661" w14:textId="5F7EB410" w:rsidR="00CB0E86" w:rsidRDefault="009C3DC3">
      <w:pPr>
        <w:pStyle w:val="SWCText"/>
      </w:pPr>
      <w:r>
        <w:rPr>
          <w:i/>
        </w:rPr>
        <w:t xml:space="preserve">    </w:t>
      </w:r>
      <w:r w:rsidRPr="008C72BF">
        <w:rPr>
          <w:i/>
        </w:rPr>
        <w:t xml:space="preserve"> </w:t>
      </w:r>
      <w:proofErr w:type="spellStart"/>
      <w:proofErr w:type="gramStart"/>
      <w:r w:rsidRPr="008C72BF">
        <w:rPr>
          <w:i/>
        </w:rPr>
        <w:t>c</w:t>
      </w:r>
      <w:r w:rsidRPr="008C72BF">
        <w:rPr>
          <w:i/>
          <w:vertAlign w:val="subscript"/>
        </w:rPr>
        <w:t>p,b</w:t>
      </w:r>
      <w:proofErr w:type="spellEnd"/>
      <w:proofErr w:type="gramEnd"/>
      <w:r w:rsidRPr="008C72BF">
        <w:rPr>
          <w:i/>
        </w:rPr>
        <w:t xml:space="preserve">(T) = a + </w:t>
      </w:r>
      <w:proofErr w:type="spellStart"/>
      <w:r w:rsidRPr="008C72BF">
        <w:rPr>
          <w:i/>
        </w:rPr>
        <w:t>bT</w:t>
      </w:r>
      <w:proofErr w:type="spellEnd"/>
      <w:r w:rsidRPr="008C72BF">
        <w:rPr>
          <w:i/>
        </w:rPr>
        <w:t xml:space="preserve"> − c/T</w:t>
      </w:r>
      <w:proofErr w:type="gramStart"/>
      <w:r w:rsidRPr="008C72BF">
        <w:rPr>
          <w:i/>
        </w:rPr>
        <w:t xml:space="preserve">²,   </w:t>
      </w:r>
      <w:proofErr w:type="gramEnd"/>
      <w:r w:rsidRPr="008C72BF">
        <w:rPr>
          <w:i/>
        </w:rPr>
        <w:t>a = 1079.6 J kg⁻¹ K⁻</w:t>
      </w:r>
      <w:proofErr w:type="gramStart"/>
      <w:r w:rsidRPr="008C72BF">
        <w:rPr>
          <w:i/>
        </w:rPr>
        <w:t>¹,  b</w:t>
      </w:r>
      <w:proofErr w:type="gramEnd"/>
      <w:r w:rsidRPr="008C72BF">
        <w:rPr>
          <w:i/>
        </w:rPr>
        <w:t xml:space="preserve"> = 0.0978 J kg⁻¹ K⁻</w:t>
      </w:r>
      <w:proofErr w:type="gramStart"/>
      <w:r w:rsidRPr="008C72BF">
        <w:rPr>
          <w:i/>
        </w:rPr>
        <w:t>²,  c</w:t>
      </w:r>
      <w:proofErr w:type="gramEnd"/>
      <w:r w:rsidRPr="008C72BF">
        <w:rPr>
          <w:i/>
        </w:rPr>
        <w:t xml:space="preserve"> = 2.508 × 10⁷ J K kg⁻¹</w:t>
      </w:r>
      <w:r w:rsidRPr="008C72BF">
        <w:rPr>
          <w:i/>
        </w:rPr>
        <w:tab/>
        <w:t xml:space="preserve"> </w:t>
      </w:r>
      <w:r>
        <w:t xml:space="preserve">   </w:t>
      </w:r>
      <w:proofErr w:type="gramStart"/>
      <w:r>
        <w:t xml:space="preserve"> </w:t>
      </w:r>
      <w:r w:rsidR="008C72BF">
        <w:t xml:space="preserve">  (</w:t>
      </w:r>
      <w:proofErr w:type="gramEnd"/>
      <w:r w:rsidRPr="009C3DC3">
        <w:t>1)</w:t>
      </w:r>
    </w:p>
    <w:p w14:paraId="0723DA2D" w14:textId="77777777" w:rsidR="009C3DC3" w:rsidRDefault="009C3DC3" w:rsidP="009C3DC3">
      <w:pPr>
        <w:pStyle w:val="SWCText"/>
      </w:pPr>
    </w:p>
    <w:p w14:paraId="171710E0" w14:textId="1A9A47FE" w:rsidR="00BA7B01" w:rsidRDefault="009C3DC3">
      <w:pPr>
        <w:pStyle w:val="SWCText"/>
      </w:pPr>
      <w:r w:rsidRPr="009C3DC3">
        <w:t>The fit</w:t>
      </w:r>
      <w:r>
        <w:t xml:space="preserve">ting process </w:t>
      </w:r>
      <w:r w:rsidRPr="009C3DC3">
        <w:t xml:space="preserve">produces </w:t>
      </w:r>
      <w:r>
        <w:t xml:space="preserve">operating schemes of </w:t>
      </w:r>
      <w:r w:rsidRPr="009C3DC3">
        <w:t>827 J kg⁻¹ K⁻¹ at 25 °C, 1113 J kg⁻¹ K⁻¹ at 500 °C and 1176 J kg⁻¹ K⁻¹ at 900 °C with</w:t>
      </w:r>
      <w:r w:rsidRPr="009C3DC3">
        <w:rPr>
          <w:color w:val="auto"/>
          <w:szCs w:val="24"/>
          <w:lang w:val="de-DE"/>
        </w:rPr>
        <w:t xml:space="preserve"> </w:t>
      </w:r>
      <w:r w:rsidRPr="009C3DC3">
        <w:rPr>
          <w:lang w:val="de-DE"/>
        </w:rPr>
        <w:t>an accuracy</w:t>
      </w:r>
      <w:r>
        <w:rPr>
          <w:lang w:val="de-DE"/>
        </w:rPr>
        <w:t xml:space="preserve"> of</w:t>
      </w:r>
      <w:r w:rsidRPr="009C3DC3">
        <w:t xml:space="preserve"> 4 J kg⁻¹ K⁻¹.</w:t>
      </w:r>
      <w:r>
        <w:t xml:space="preserve"> </w:t>
      </w:r>
      <w:r w:rsidR="00CB0E86">
        <w:t xml:space="preserve">Thermal conductivity was </w:t>
      </w:r>
      <w:proofErr w:type="spellStart"/>
      <w:r w:rsidR="00072ED9">
        <w:t>characterised</w:t>
      </w:r>
      <w:proofErr w:type="spellEnd"/>
      <w:r w:rsidR="00CB0E86">
        <w:t xml:space="preserve"> as kb(T) = 1.95 − 8.2 × 10⁻⁴</w:t>
      </w:r>
      <w:r w:rsidR="00A87488">
        <w:t xml:space="preserve"> </w:t>
      </w:r>
      <w:r w:rsidR="00CB0E86">
        <w:t>T + 2.6 × 10⁻⁷</w:t>
      </w:r>
      <w:r w:rsidR="00A87488">
        <w:t xml:space="preserve"> </w:t>
      </w:r>
      <w:r w:rsidR="00CB0E86">
        <w:t>T² W m⁻¹ K⁻¹, where</w:t>
      </w:r>
      <w:r w:rsidR="00072ED9">
        <w:t>as</w:t>
      </w:r>
      <w:r w:rsidR="00CB0E86">
        <w:t xml:space="preserve"> T is expressed in °C</w:t>
      </w:r>
      <w:r w:rsidR="00E4225B">
        <w:t xml:space="preserve"> or K</w:t>
      </w:r>
      <w:r w:rsidR="00CB0E86">
        <w:t xml:space="preserve">, and the bulk density was taken as 2870 kg m⁻³ </w:t>
      </w:r>
      <w:r w:rsidR="00E4225B">
        <w:t>(</w:t>
      </w:r>
      <w:proofErr w:type="spellStart"/>
      <w:r w:rsidR="00CB0E86">
        <w:t>Tiskatine</w:t>
      </w:r>
      <w:proofErr w:type="spellEnd"/>
      <w:r w:rsidR="00CB0E86">
        <w:t xml:space="preserve"> et al.,</w:t>
      </w:r>
      <w:r w:rsidR="00AD5B36">
        <w:t xml:space="preserve"> </w:t>
      </w:r>
      <w:r w:rsidR="00CB0E86">
        <w:t xml:space="preserve">2017; </w:t>
      </w:r>
      <w:proofErr w:type="spellStart"/>
      <w:r w:rsidR="00CB0E86">
        <w:t>Grirate</w:t>
      </w:r>
      <w:proofErr w:type="spellEnd"/>
      <w:r w:rsidR="00CB0E86">
        <w:t xml:space="preserve"> et al., 2014). The</w:t>
      </w:r>
      <w:r w:rsidR="00072ED9">
        <w:t xml:space="preserve"> design</w:t>
      </w:r>
      <w:r w:rsidR="00CB0E86">
        <w:t xml:space="preserve"> ceiling </w:t>
      </w:r>
      <w:r w:rsidR="00072ED9">
        <w:t xml:space="preserve">is based on thermomechanical considerations rather than calorimetric measurements. Basalt has undergone 150 thermal cycles up to 650 °C without </w:t>
      </w:r>
      <w:r w:rsidR="00CB0E86">
        <w:t xml:space="preserve">detectable deterioration </w:t>
      </w:r>
      <w:proofErr w:type="spellStart"/>
      <w:r w:rsidR="00CB0E86">
        <w:t>Tiskatine</w:t>
      </w:r>
      <w:proofErr w:type="spellEnd"/>
      <w:r w:rsidR="00CB0E86">
        <w:t xml:space="preserve"> et al., </w:t>
      </w:r>
      <w:r w:rsidR="00E4225B">
        <w:t>(</w:t>
      </w:r>
      <w:r w:rsidR="00CB0E86">
        <w:t xml:space="preserve">2017). In contrast, microcracking and strength reduction in mafic rocks typically commence well below 1000 °C </w:t>
      </w:r>
      <w:proofErr w:type="spellStart"/>
      <w:r w:rsidR="00CB0E86">
        <w:t>Becattini</w:t>
      </w:r>
      <w:proofErr w:type="spellEnd"/>
      <w:r w:rsidR="00CB0E86">
        <w:t xml:space="preserve"> et al., </w:t>
      </w:r>
      <w:r w:rsidR="00AD5B36">
        <w:t>(</w:t>
      </w:r>
      <w:r w:rsidR="00CB0E86">
        <w:t>2017), and basaltic glass exhibits a glass transition near 650</w:t>
      </w:r>
      <w:r w:rsidR="00072ED9">
        <w:t xml:space="preserve">-700 °C, beyond which viscous sintering effectively reduces </w:t>
      </w:r>
      <w:r w:rsidR="00CB0E86">
        <w:t>pore volume within the bed. A conservative continuous</w:t>
      </w:r>
      <w:r w:rsidR="00072ED9">
        <w:t xml:space="preserve"> operating</w:t>
      </w:r>
      <w:r w:rsidR="00CB0E86">
        <w:t xml:space="preserve"> ceiling of 800 °C has been adopted, with the bed engineered to operate effectively within </w:t>
      </w:r>
      <w:r w:rsidR="00072ED9">
        <w:t>180-780 °C,</w:t>
      </w:r>
      <w:r w:rsidR="00CB0E86">
        <w:t xml:space="preserve"> </w:t>
      </w:r>
      <w:r w:rsidR="00072ED9">
        <w:t xml:space="preserve">as depicted in </w:t>
      </w:r>
      <w:r w:rsidR="00CB0E86">
        <w:t>Table 2. The closest significant source</w:t>
      </w:r>
      <w:r w:rsidR="00072ED9">
        <w:t>s</w:t>
      </w:r>
      <w:r w:rsidR="00CB0E86">
        <w:t xml:space="preserve"> </w:t>
      </w:r>
      <w:r w:rsidR="00072ED9">
        <w:t>are</w:t>
      </w:r>
      <w:r w:rsidR="00CB0E86">
        <w:t xml:space="preserve"> </w:t>
      </w:r>
      <w:r w:rsidR="00072ED9">
        <w:t xml:space="preserve">scattered </w:t>
      </w:r>
      <w:r w:rsidR="00CB0E86">
        <w:t xml:space="preserve">volcanic </w:t>
      </w:r>
      <w:r w:rsidR="00072ED9">
        <w:t xml:space="preserve">parts within </w:t>
      </w:r>
      <w:r w:rsidR="00CB0E86">
        <w:t xml:space="preserve">Ghana, consisting of fine-grained </w:t>
      </w:r>
      <w:r w:rsidR="00072ED9">
        <w:t>B</w:t>
      </w:r>
      <w:r w:rsidR="00CB0E86">
        <w:t xml:space="preserve">asalt </w:t>
      </w:r>
      <w:r w:rsidR="00E4225B">
        <w:t xml:space="preserve">rocks </w:t>
      </w:r>
      <w:r w:rsidR="00CB0E86">
        <w:t xml:space="preserve">and </w:t>
      </w:r>
      <w:r w:rsidR="00072ED9">
        <w:t>b</w:t>
      </w:r>
      <w:r w:rsidR="00CB0E86">
        <w:t xml:space="preserve">asaltic andesite of low-grade greenschist facies, obtained from aggregate quarries </w:t>
      </w:r>
      <w:r w:rsidR="00BF3D1C">
        <w:t>including</w:t>
      </w:r>
      <w:r w:rsidR="00CB0E86">
        <w:t xml:space="preserve"> pottery </w:t>
      </w:r>
      <w:r w:rsidR="00313A36">
        <w:t>cluster sites</w:t>
      </w:r>
      <w:r w:rsidR="00CB0E86">
        <w:t xml:space="preserve">. These materials contain secondary carbonate and hydrous phases that necessitate calcination at 800 °C </w:t>
      </w:r>
      <w:r w:rsidR="00313A36">
        <w:t>(</w:t>
      </w:r>
      <w:r w:rsidR="00CB0E86">
        <w:t xml:space="preserve">Jones, </w:t>
      </w:r>
      <w:r w:rsidR="00313A36">
        <w:t xml:space="preserve">1990; Agyei Duodu et al., </w:t>
      </w:r>
      <w:r w:rsidR="00CB0E86">
        <w:t>2009).</w:t>
      </w:r>
    </w:p>
    <w:p w14:paraId="23664086" w14:textId="77777777" w:rsidR="007A2947" w:rsidRDefault="007A2947">
      <w:pPr>
        <w:pStyle w:val="SWCTableFigureCaption"/>
        <w:keepNext/>
      </w:pPr>
    </w:p>
    <w:p w14:paraId="6AEF19F2" w14:textId="23D2E9CE" w:rsidR="00BA7B01" w:rsidRDefault="00000000">
      <w:pPr>
        <w:pStyle w:val="SWCTableFigureCaption"/>
        <w:keepNext/>
      </w:pPr>
      <w:r>
        <w:t>Tab. 2:</w:t>
      </w:r>
      <w:r w:rsidR="00A532A9">
        <w:t xml:space="preserve"> TES</w:t>
      </w:r>
      <w:r>
        <w:t xml:space="preserve"> sensible </w:t>
      </w:r>
      <w:r w:rsidR="00A532A9">
        <w:t xml:space="preserve">heat </w:t>
      </w:r>
      <w:r>
        <w:t>storage media at the kiln duty. Costs are delivered prices in Ghana, 2026.</w:t>
      </w:r>
    </w:p>
    <w:tbl>
      <w:tblPr>
        <w:tblStyle w:val="TableGrid"/>
        <w:tblW w:w="8725" w:type="dxa"/>
        <w:jc w:val="center"/>
        <w:tblLayout w:type="fixed"/>
        <w:tblCellMar>
          <w:top w:w="5" w:type="dxa"/>
          <w:left w:w="45" w:type="dxa"/>
          <w:bottom w:w="5" w:type="dxa"/>
          <w:right w:w="45" w:type="dxa"/>
        </w:tblCellMar>
        <w:tblLook w:val="04A0" w:firstRow="1" w:lastRow="0" w:firstColumn="1" w:lastColumn="0" w:noHBand="0" w:noVBand="1"/>
      </w:tblPr>
      <w:tblGrid>
        <w:gridCol w:w="1975"/>
        <w:gridCol w:w="900"/>
        <w:gridCol w:w="1535"/>
        <w:gridCol w:w="1170"/>
        <w:gridCol w:w="1255"/>
        <w:gridCol w:w="720"/>
        <w:gridCol w:w="1170"/>
      </w:tblGrid>
      <w:tr w:rsidR="00BA7B01" w14:paraId="4B9E3F66" w14:textId="77777777" w:rsidTr="00313A36">
        <w:trPr>
          <w:cantSplit/>
          <w:trHeight w:val="300"/>
          <w:tblHeader/>
          <w:jc w:val="center"/>
        </w:trPr>
        <w:tc>
          <w:tcPr>
            <w:tcW w:w="1975" w:type="dxa"/>
          </w:tcPr>
          <w:p w14:paraId="71C33812" w14:textId="77777777" w:rsidR="00BA7B01" w:rsidRDefault="00000000">
            <w:pPr>
              <w:pStyle w:val="SWCTableHeader"/>
              <w:jc w:val="left"/>
            </w:pPr>
            <w:r>
              <w:t>Medium</w:t>
            </w:r>
          </w:p>
        </w:tc>
        <w:tc>
          <w:tcPr>
            <w:tcW w:w="900" w:type="dxa"/>
          </w:tcPr>
          <w:p w14:paraId="694AFEC0" w14:textId="77777777" w:rsidR="00BA7B01" w:rsidRDefault="00000000">
            <w:pPr>
              <w:pStyle w:val="SWCTableHeader"/>
            </w:pPr>
            <w:r>
              <w:t>ρ (kg m⁻³)</w:t>
            </w:r>
          </w:p>
        </w:tc>
        <w:tc>
          <w:tcPr>
            <w:tcW w:w="1535" w:type="dxa"/>
          </w:tcPr>
          <w:p w14:paraId="7D1C0175" w14:textId="77777777" w:rsidR="00BA7B01" w:rsidRDefault="00000000">
            <w:pPr>
              <w:pStyle w:val="SWCTableHeader"/>
            </w:pPr>
            <w:r>
              <w:t>c</w:t>
            </w:r>
            <w:r>
              <w:rPr>
                <w:vertAlign w:val="subscript"/>
              </w:rPr>
              <w:t>p</w:t>
            </w:r>
            <w:r>
              <w:t xml:space="preserve"> at 500 °C (J kg⁻¹ K⁻¹)</w:t>
            </w:r>
          </w:p>
        </w:tc>
        <w:tc>
          <w:tcPr>
            <w:tcW w:w="1170" w:type="dxa"/>
          </w:tcPr>
          <w:p w14:paraId="3670F36B" w14:textId="77777777" w:rsidR="00BA7B01" w:rsidRDefault="00000000">
            <w:pPr>
              <w:pStyle w:val="SWCTableHeader"/>
            </w:pPr>
            <w:proofErr w:type="spellStart"/>
            <w:r>
              <w:t>ρc</w:t>
            </w:r>
            <w:r>
              <w:rPr>
                <w:vertAlign w:val="subscript"/>
              </w:rPr>
              <w:t>p</w:t>
            </w:r>
            <w:proofErr w:type="spellEnd"/>
            <w:r>
              <w:t xml:space="preserve"> (MJ m⁻³ K⁻¹)</w:t>
            </w:r>
          </w:p>
        </w:tc>
        <w:tc>
          <w:tcPr>
            <w:tcW w:w="1255" w:type="dxa"/>
          </w:tcPr>
          <w:p w14:paraId="26372AE9" w14:textId="77777777" w:rsidR="00BA7B01" w:rsidRDefault="00000000">
            <w:pPr>
              <w:pStyle w:val="SWCTableHeader"/>
            </w:pPr>
            <w:r>
              <w:t>k at 500 °C (W m⁻¹ K⁻¹)</w:t>
            </w:r>
          </w:p>
        </w:tc>
        <w:tc>
          <w:tcPr>
            <w:tcW w:w="720" w:type="dxa"/>
          </w:tcPr>
          <w:p w14:paraId="2D75FAB9" w14:textId="77777777" w:rsidR="00BA7B01" w:rsidRDefault="00000000">
            <w:pPr>
              <w:pStyle w:val="SWCTableHeader"/>
            </w:pPr>
            <w:proofErr w:type="spellStart"/>
            <w:r>
              <w:t>T</w:t>
            </w:r>
            <w:r>
              <w:rPr>
                <w:vertAlign w:val="subscript"/>
              </w:rPr>
              <w:t>max</w:t>
            </w:r>
            <w:proofErr w:type="spellEnd"/>
            <w:r>
              <w:t xml:space="preserve"> (°C)</w:t>
            </w:r>
          </w:p>
        </w:tc>
        <w:tc>
          <w:tcPr>
            <w:tcW w:w="1170" w:type="dxa"/>
          </w:tcPr>
          <w:p w14:paraId="22204906" w14:textId="77777777" w:rsidR="00BA7B01" w:rsidRDefault="00000000">
            <w:pPr>
              <w:pStyle w:val="SWCTableHeader"/>
            </w:pPr>
            <w:r>
              <w:t>Cost (USD t⁻¹)</w:t>
            </w:r>
          </w:p>
        </w:tc>
      </w:tr>
      <w:tr w:rsidR="00BA7B01" w14:paraId="7D5611CE" w14:textId="77777777" w:rsidTr="00313A36">
        <w:trPr>
          <w:cantSplit/>
          <w:jc w:val="center"/>
        </w:trPr>
        <w:tc>
          <w:tcPr>
            <w:tcW w:w="1975" w:type="dxa"/>
          </w:tcPr>
          <w:p w14:paraId="10F30C31" w14:textId="51C50AF5" w:rsidR="00BA7B01" w:rsidRDefault="00000000">
            <w:pPr>
              <w:pStyle w:val="SWCTableText"/>
              <w:jc w:val="left"/>
            </w:pPr>
            <w:r>
              <w:t>Basalt, local quarry</w:t>
            </w:r>
          </w:p>
        </w:tc>
        <w:tc>
          <w:tcPr>
            <w:tcW w:w="900" w:type="dxa"/>
          </w:tcPr>
          <w:p w14:paraId="57276900" w14:textId="77777777" w:rsidR="00BA7B01" w:rsidRDefault="00000000">
            <w:pPr>
              <w:pStyle w:val="SWCTableText"/>
            </w:pPr>
            <w:r>
              <w:t>2870</w:t>
            </w:r>
          </w:p>
        </w:tc>
        <w:tc>
          <w:tcPr>
            <w:tcW w:w="1535" w:type="dxa"/>
          </w:tcPr>
          <w:p w14:paraId="1DF3FD7E" w14:textId="77777777" w:rsidR="00BA7B01" w:rsidRDefault="00000000">
            <w:pPr>
              <w:pStyle w:val="SWCTableText"/>
            </w:pPr>
            <w:r>
              <w:t>1110</w:t>
            </w:r>
          </w:p>
        </w:tc>
        <w:tc>
          <w:tcPr>
            <w:tcW w:w="1170" w:type="dxa"/>
          </w:tcPr>
          <w:p w14:paraId="3450921B" w14:textId="77777777" w:rsidR="00BA7B01" w:rsidRDefault="00000000">
            <w:pPr>
              <w:pStyle w:val="SWCTableText"/>
            </w:pPr>
            <w:r>
              <w:t>3.19</w:t>
            </w:r>
          </w:p>
        </w:tc>
        <w:tc>
          <w:tcPr>
            <w:tcW w:w="1255" w:type="dxa"/>
          </w:tcPr>
          <w:p w14:paraId="1201ECA7" w14:textId="77777777" w:rsidR="00BA7B01" w:rsidRDefault="00000000">
            <w:pPr>
              <w:pStyle w:val="SWCTableText"/>
            </w:pPr>
            <w:r>
              <w:t>1.55</w:t>
            </w:r>
          </w:p>
        </w:tc>
        <w:tc>
          <w:tcPr>
            <w:tcW w:w="720" w:type="dxa"/>
          </w:tcPr>
          <w:p w14:paraId="6EE08A26" w14:textId="77777777" w:rsidR="00BA7B01" w:rsidRDefault="00000000">
            <w:pPr>
              <w:pStyle w:val="SWCTableText"/>
            </w:pPr>
            <w:r>
              <w:t>800</w:t>
            </w:r>
          </w:p>
        </w:tc>
        <w:tc>
          <w:tcPr>
            <w:tcW w:w="1170" w:type="dxa"/>
          </w:tcPr>
          <w:p w14:paraId="3720B896" w14:textId="77777777" w:rsidR="00BA7B01" w:rsidRDefault="00000000">
            <w:pPr>
              <w:pStyle w:val="SWCTableText"/>
            </w:pPr>
            <w:r>
              <w:t>18</w:t>
            </w:r>
          </w:p>
        </w:tc>
      </w:tr>
      <w:tr w:rsidR="00BA7B01" w14:paraId="7ABB9999" w14:textId="77777777" w:rsidTr="00313A36">
        <w:trPr>
          <w:cantSplit/>
          <w:jc w:val="center"/>
        </w:trPr>
        <w:tc>
          <w:tcPr>
            <w:tcW w:w="1975" w:type="dxa"/>
          </w:tcPr>
          <w:p w14:paraId="69F5F854" w14:textId="77777777" w:rsidR="00BA7B01" w:rsidRDefault="00000000">
            <w:pPr>
              <w:pStyle w:val="SWCTableText"/>
              <w:jc w:val="left"/>
            </w:pPr>
            <w:r>
              <w:t>Granite, local</w:t>
            </w:r>
          </w:p>
        </w:tc>
        <w:tc>
          <w:tcPr>
            <w:tcW w:w="900" w:type="dxa"/>
          </w:tcPr>
          <w:p w14:paraId="1C44AF52" w14:textId="77777777" w:rsidR="00BA7B01" w:rsidRDefault="00000000">
            <w:pPr>
              <w:pStyle w:val="SWCTableText"/>
            </w:pPr>
            <w:r>
              <w:t>2640</w:t>
            </w:r>
          </w:p>
        </w:tc>
        <w:tc>
          <w:tcPr>
            <w:tcW w:w="1535" w:type="dxa"/>
          </w:tcPr>
          <w:p w14:paraId="1206997C" w14:textId="77777777" w:rsidR="00BA7B01" w:rsidRDefault="00000000">
            <w:pPr>
              <w:pStyle w:val="SWCTableText"/>
            </w:pPr>
            <w:r>
              <w:t>1015</w:t>
            </w:r>
          </w:p>
        </w:tc>
        <w:tc>
          <w:tcPr>
            <w:tcW w:w="1170" w:type="dxa"/>
          </w:tcPr>
          <w:p w14:paraId="223AE278" w14:textId="77777777" w:rsidR="00BA7B01" w:rsidRDefault="00000000">
            <w:pPr>
              <w:pStyle w:val="SWCTableText"/>
            </w:pPr>
            <w:r>
              <w:t>2.68</w:t>
            </w:r>
          </w:p>
        </w:tc>
        <w:tc>
          <w:tcPr>
            <w:tcW w:w="1255" w:type="dxa"/>
          </w:tcPr>
          <w:p w14:paraId="480EE6D1" w14:textId="77777777" w:rsidR="00BA7B01" w:rsidRDefault="00000000">
            <w:pPr>
              <w:pStyle w:val="SWCTableText"/>
            </w:pPr>
            <w:r>
              <w:t>2.20</w:t>
            </w:r>
          </w:p>
        </w:tc>
        <w:tc>
          <w:tcPr>
            <w:tcW w:w="720" w:type="dxa"/>
          </w:tcPr>
          <w:p w14:paraId="7EB9B5DD" w14:textId="77777777" w:rsidR="00BA7B01" w:rsidRDefault="00000000">
            <w:pPr>
              <w:pStyle w:val="SWCTableText"/>
            </w:pPr>
            <w:r>
              <w:t>600</w:t>
            </w:r>
          </w:p>
        </w:tc>
        <w:tc>
          <w:tcPr>
            <w:tcW w:w="1170" w:type="dxa"/>
          </w:tcPr>
          <w:p w14:paraId="3582EC9A" w14:textId="77777777" w:rsidR="00BA7B01" w:rsidRDefault="00000000">
            <w:pPr>
              <w:pStyle w:val="SWCTableText"/>
            </w:pPr>
            <w:r>
              <w:t>25</w:t>
            </w:r>
          </w:p>
        </w:tc>
      </w:tr>
      <w:tr w:rsidR="00BA7B01" w14:paraId="3E471004" w14:textId="77777777" w:rsidTr="00313A36">
        <w:trPr>
          <w:cantSplit/>
          <w:jc w:val="center"/>
        </w:trPr>
        <w:tc>
          <w:tcPr>
            <w:tcW w:w="1975" w:type="dxa"/>
          </w:tcPr>
          <w:p w14:paraId="0A0071A1" w14:textId="17344B8D" w:rsidR="00BA7B01" w:rsidRDefault="00000000">
            <w:pPr>
              <w:pStyle w:val="SWCTableText"/>
              <w:jc w:val="left"/>
            </w:pPr>
            <w:r>
              <w:t>Quartzite, local</w:t>
            </w:r>
          </w:p>
        </w:tc>
        <w:tc>
          <w:tcPr>
            <w:tcW w:w="900" w:type="dxa"/>
          </w:tcPr>
          <w:p w14:paraId="4E13E875" w14:textId="77777777" w:rsidR="00BA7B01" w:rsidRDefault="00000000">
            <w:pPr>
              <w:pStyle w:val="SWCTableText"/>
            </w:pPr>
            <w:r>
              <w:t>2620</w:t>
            </w:r>
          </w:p>
        </w:tc>
        <w:tc>
          <w:tcPr>
            <w:tcW w:w="1535" w:type="dxa"/>
          </w:tcPr>
          <w:p w14:paraId="6CC9A878" w14:textId="77777777" w:rsidR="00BA7B01" w:rsidRDefault="00000000">
            <w:pPr>
              <w:pStyle w:val="SWCTableText"/>
            </w:pPr>
            <w:r>
              <w:t>1050</w:t>
            </w:r>
          </w:p>
        </w:tc>
        <w:tc>
          <w:tcPr>
            <w:tcW w:w="1170" w:type="dxa"/>
          </w:tcPr>
          <w:p w14:paraId="0F50E6E1" w14:textId="77777777" w:rsidR="00BA7B01" w:rsidRDefault="00000000">
            <w:pPr>
              <w:pStyle w:val="SWCTableText"/>
            </w:pPr>
            <w:r>
              <w:t>2.75</w:t>
            </w:r>
          </w:p>
        </w:tc>
        <w:tc>
          <w:tcPr>
            <w:tcW w:w="1255" w:type="dxa"/>
          </w:tcPr>
          <w:p w14:paraId="2DB5ECC7" w14:textId="77777777" w:rsidR="00BA7B01" w:rsidRDefault="00000000">
            <w:pPr>
              <w:pStyle w:val="SWCTableText"/>
            </w:pPr>
            <w:r>
              <w:t>3.10</w:t>
            </w:r>
          </w:p>
        </w:tc>
        <w:tc>
          <w:tcPr>
            <w:tcW w:w="720" w:type="dxa"/>
          </w:tcPr>
          <w:p w14:paraId="37495A1F" w14:textId="77777777" w:rsidR="00BA7B01" w:rsidRDefault="00000000">
            <w:pPr>
              <w:pStyle w:val="SWCTableText"/>
            </w:pPr>
            <w:r>
              <w:t>573</w:t>
            </w:r>
          </w:p>
        </w:tc>
        <w:tc>
          <w:tcPr>
            <w:tcW w:w="1170" w:type="dxa"/>
          </w:tcPr>
          <w:p w14:paraId="14132A36" w14:textId="77777777" w:rsidR="00BA7B01" w:rsidRDefault="00000000">
            <w:pPr>
              <w:pStyle w:val="SWCTableText"/>
            </w:pPr>
            <w:r>
              <w:t>22</w:t>
            </w:r>
          </w:p>
        </w:tc>
      </w:tr>
      <w:tr w:rsidR="00BA7B01" w14:paraId="4005CA35" w14:textId="77777777" w:rsidTr="00313A36">
        <w:trPr>
          <w:cantSplit/>
          <w:jc w:val="center"/>
        </w:trPr>
        <w:tc>
          <w:tcPr>
            <w:tcW w:w="1975" w:type="dxa"/>
          </w:tcPr>
          <w:p w14:paraId="473E3E59" w14:textId="77777777" w:rsidR="00BA7B01" w:rsidRDefault="00000000">
            <w:pPr>
              <w:pStyle w:val="SWCTableText"/>
              <w:jc w:val="left"/>
            </w:pPr>
            <w:r>
              <w:t>Magnetite ore, regional</w:t>
            </w:r>
          </w:p>
        </w:tc>
        <w:tc>
          <w:tcPr>
            <w:tcW w:w="900" w:type="dxa"/>
          </w:tcPr>
          <w:p w14:paraId="39EAAE74" w14:textId="77777777" w:rsidR="00BA7B01" w:rsidRDefault="00000000">
            <w:pPr>
              <w:pStyle w:val="SWCTableText"/>
            </w:pPr>
            <w:r>
              <w:t>3800</w:t>
            </w:r>
          </w:p>
        </w:tc>
        <w:tc>
          <w:tcPr>
            <w:tcW w:w="1535" w:type="dxa"/>
          </w:tcPr>
          <w:p w14:paraId="7B3374F9" w14:textId="77777777" w:rsidR="00BA7B01" w:rsidRDefault="00000000">
            <w:pPr>
              <w:pStyle w:val="SWCTableText"/>
            </w:pPr>
            <w:r>
              <w:t>880</w:t>
            </w:r>
          </w:p>
        </w:tc>
        <w:tc>
          <w:tcPr>
            <w:tcW w:w="1170" w:type="dxa"/>
          </w:tcPr>
          <w:p w14:paraId="001B76B0" w14:textId="77777777" w:rsidR="00BA7B01" w:rsidRDefault="00000000">
            <w:pPr>
              <w:pStyle w:val="SWCTableText"/>
            </w:pPr>
            <w:r>
              <w:t>3.34</w:t>
            </w:r>
          </w:p>
        </w:tc>
        <w:tc>
          <w:tcPr>
            <w:tcW w:w="1255" w:type="dxa"/>
          </w:tcPr>
          <w:p w14:paraId="38A4E5BA" w14:textId="77777777" w:rsidR="00BA7B01" w:rsidRDefault="00000000">
            <w:pPr>
              <w:pStyle w:val="SWCTableText"/>
            </w:pPr>
            <w:r>
              <w:t>2.60</w:t>
            </w:r>
          </w:p>
        </w:tc>
        <w:tc>
          <w:tcPr>
            <w:tcW w:w="720" w:type="dxa"/>
          </w:tcPr>
          <w:p w14:paraId="290DD55C" w14:textId="77777777" w:rsidR="00BA7B01" w:rsidRDefault="00000000">
            <w:pPr>
              <w:pStyle w:val="SWCTableText"/>
            </w:pPr>
            <w:r>
              <w:t>800</w:t>
            </w:r>
          </w:p>
        </w:tc>
        <w:tc>
          <w:tcPr>
            <w:tcW w:w="1170" w:type="dxa"/>
          </w:tcPr>
          <w:p w14:paraId="12BEE28C" w14:textId="77777777" w:rsidR="00BA7B01" w:rsidRDefault="00000000">
            <w:pPr>
              <w:pStyle w:val="SWCTableText"/>
            </w:pPr>
            <w:r>
              <w:t>45</w:t>
            </w:r>
          </w:p>
        </w:tc>
      </w:tr>
      <w:tr w:rsidR="00BA7B01" w14:paraId="03B48334" w14:textId="77777777" w:rsidTr="00313A36">
        <w:trPr>
          <w:cantSplit/>
          <w:jc w:val="center"/>
        </w:trPr>
        <w:tc>
          <w:tcPr>
            <w:tcW w:w="1975" w:type="dxa"/>
          </w:tcPr>
          <w:p w14:paraId="392B39AE" w14:textId="77777777" w:rsidR="00BA7B01" w:rsidRDefault="00000000">
            <w:pPr>
              <w:pStyle w:val="SWCTableText"/>
              <w:jc w:val="left"/>
            </w:pPr>
            <w:r>
              <w:t>Fireclay grog, regional</w:t>
            </w:r>
          </w:p>
        </w:tc>
        <w:tc>
          <w:tcPr>
            <w:tcW w:w="900" w:type="dxa"/>
          </w:tcPr>
          <w:p w14:paraId="4A50ADAA" w14:textId="77777777" w:rsidR="00BA7B01" w:rsidRDefault="00000000">
            <w:pPr>
              <w:pStyle w:val="SWCTableText"/>
            </w:pPr>
            <w:r>
              <w:t>2100</w:t>
            </w:r>
          </w:p>
        </w:tc>
        <w:tc>
          <w:tcPr>
            <w:tcW w:w="1535" w:type="dxa"/>
          </w:tcPr>
          <w:p w14:paraId="14232A5A" w14:textId="77777777" w:rsidR="00BA7B01" w:rsidRDefault="00000000">
            <w:pPr>
              <w:pStyle w:val="SWCTableText"/>
            </w:pPr>
            <w:r>
              <w:t>1080</w:t>
            </w:r>
          </w:p>
        </w:tc>
        <w:tc>
          <w:tcPr>
            <w:tcW w:w="1170" w:type="dxa"/>
          </w:tcPr>
          <w:p w14:paraId="241C7F23" w14:textId="77777777" w:rsidR="00BA7B01" w:rsidRDefault="00000000">
            <w:pPr>
              <w:pStyle w:val="SWCTableText"/>
            </w:pPr>
            <w:r>
              <w:t>2.27</w:t>
            </w:r>
          </w:p>
        </w:tc>
        <w:tc>
          <w:tcPr>
            <w:tcW w:w="1255" w:type="dxa"/>
          </w:tcPr>
          <w:p w14:paraId="74461D48" w14:textId="77777777" w:rsidR="00BA7B01" w:rsidRDefault="00000000">
            <w:pPr>
              <w:pStyle w:val="SWCTableText"/>
            </w:pPr>
            <w:r>
              <w:t>1.10</w:t>
            </w:r>
          </w:p>
        </w:tc>
        <w:tc>
          <w:tcPr>
            <w:tcW w:w="720" w:type="dxa"/>
          </w:tcPr>
          <w:p w14:paraId="40DE3C81" w14:textId="77777777" w:rsidR="00BA7B01" w:rsidRDefault="00000000">
            <w:pPr>
              <w:pStyle w:val="SWCTableText"/>
            </w:pPr>
            <w:r>
              <w:t>1300</w:t>
            </w:r>
          </w:p>
        </w:tc>
        <w:tc>
          <w:tcPr>
            <w:tcW w:w="1170" w:type="dxa"/>
          </w:tcPr>
          <w:p w14:paraId="28C409B1" w14:textId="77777777" w:rsidR="00BA7B01" w:rsidRDefault="00000000">
            <w:pPr>
              <w:pStyle w:val="SWCTableText"/>
            </w:pPr>
            <w:r>
              <w:t>190</w:t>
            </w:r>
          </w:p>
        </w:tc>
      </w:tr>
      <w:tr w:rsidR="00BA7B01" w14:paraId="0BEDC8BC" w14:textId="77777777" w:rsidTr="00313A36">
        <w:trPr>
          <w:cantSplit/>
          <w:jc w:val="center"/>
        </w:trPr>
        <w:tc>
          <w:tcPr>
            <w:tcW w:w="1975" w:type="dxa"/>
          </w:tcPr>
          <w:p w14:paraId="3F1A0256" w14:textId="77777777" w:rsidR="00BA7B01" w:rsidRDefault="00000000">
            <w:pPr>
              <w:pStyle w:val="SWCTableText"/>
              <w:jc w:val="left"/>
            </w:pPr>
            <w:r>
              <w:t>Mullite–corundum, imported</w:t>
            </w:r>
          </w:p>
        </w:tc>
        <w:tc>
          <w:tcPr>
            <w:tcW w:w="900" w:type="dxa"/>
          </w:tcPr>
          <w:p w14:paraId="63D869AB" w14:textId="77777777" w:rsidR="00BA7B01" w:rsidRDefault="00000000">
            <w:pPr>
              <w:pStyle w:val="SWCTableText"/>
            </w:pPr>
            <w:r>
              <w:t>2450</w:t>
            </w:r>
          </w:p>
        </w:tc>
        <w:tc>
          <w:tcPr>
            <w:tcW w:w="1535" w:type="dxa"/>
          </w:tcPr>
          <w:p w14:paraId="005AA974" w14:textId="77777777" w:rsidR="00BA7B01" w:rsidRDefault="00000000">
            <w:pPr>
              <w:pStyle w:val="SWCTableText"/>
            </w:pPr>
            <w:r>
              <w:t>1140</w:t>
            </w:r>
          </w:p>
        </w:tc>
        <w:tc>
          <w:tcPr>
            <w:tcW w:w="1170" w:type="dxa"/>
          </w:tcPr>
          <w:p w14:paraId="312382EF" w14:textId="77777777" w:rsidR="00BA7B01" w:rsidRDefault="00000000">
            <w:pPr>
              <w:pStyle w:val="SWCTableText"/>
            </w:pPr>
            <w:r>
              <w:t>2.79</w:t>
            </w:r>
          </w:p>
        </w:tc>
        <w:tc>
          <w:tcPr>
            <w:tcW w:w="1255" w:type="dxa"/>
          </w:tcPr>
          <w:p w14:paraId="3A62E2B8" w14:textId="77777777" w:rsidR="00BA7B01" w:rsidRDefault="00000000">
            <w:pPr>
              <w:pStyle w:val="SWCTableText"/>
            </w:pPr>
            <w:r>
              <w:t>1.90</w:t>
            </w:r>
          </w:p>
        </w:tc>
        <w:tc>
          <w:tcPr>
            <w:tcW w:w="720" w:type="dxa"/>
          </w:tcPr>
          <w:p w14:paraId="7EA0712D" w14:textId="77777777" w:rsidR="00BA7B01" w:rsidRDefault="00000000">
            <w:pPr>
              <w:pStyle w:val="SWCTableText"/>
            </w:pPr>
            <w:r>
              <w:t>1500</w:t>
            </w:r>
          </w:p>
        </w:tc>
        <w:tc>
          <w:tcPr>
            <w:tcW w:w="1170" w:type="dxa"/>
          </w:tcPr>
          <w:p w14:paraId="6C22BE5C" w14:textId="77777777" w:rsidR="00BA7B01" w:rsidRDefault="00000000">
            <w:pPr>
              <w:pStyle w:val="SWCTableText"/>
            </w:pPr>
            <w:r>
              <w:t>620</w:t>
            </w:r>
          </w:p>
        </w:tc>
      </w:tr>
      <w:tr w:rsidR="00BA7B01" w14:paraId="1C5CD99D" w14:textId="77777777" w:rsidTr="00313A36">
        <w:trPr>
          <w:cantSplit/>
          <w:jc w:val="center"/>
        </w:trPr>
        <w:tc>
          <w:tcPr>
            <w:tcW w:w="1975" w:type="dxa"/>
          </w:tcPr>
          <w:p w14:paraId="3C3A8AC5" w14:textId="77777777" w:rsidR="00BA7B01" w:rsidRDefault="00000000">
            <w:pPr>
              <w:pStyle w:val="SWCTableText"/>
              <w:jc w:val="left"/>
            </w:pPr>
            <w:r>
              <w:t>Alumina (&gt;90 %), imported</w:t>
            </w:r>
          </w:p>
        </w:tc>
        <w:tc>
          <w:tcPr>
            <w:tcW w:w="900" w:type="dxa"/>
          </w:tcPr>
          <w:p w14:paraId="2CEA836E" w14:textId="77777777" w:rsidR="00BA7B01" w:rsidRDefault="00000000">
            <w:pPr>
              <w:pStyle w:val="SWCTableText"/>
            </w:pPr>
            <w:r>
              <w:t>3200</w:t>
            </w:r>
          </w:p>
        </w:tc>
        <w:tc>
          <w:tcPr>
            <w:tcW w:w="1535" w:type="dxa"/>
          </w:tcPr>
          <w:p w14:paraId="3BC0E0F6" w14:textId="77777777" w:rsidR="00BA7B01" w:rsidRDefault="00000000">
            <w:pPr>
              <w:pStyle w:val="SWCTableText"/>
            </w:pPr>
            <w:r>
              <w:t>1160</w:t>
            </w:r>
          </w:p>
        </w:tc>
        <w:tc>
          <w:tcPr>
            <w:tcW w:w="1170" w:type="dxa"/>
          </w:tcPr>
          <w:p w14:paraId="71831A93" w14:textId="77777777" w:rsidR="00BA7B01" w:rsidRDefault="00000000">
            <w:pPr>
              <w:pStyle w:val="SWCTableText"/>
            </w:pPr>
            <w:r>
              <w:t>3.71</w:t>
            </w:r>
          </w:p>
        </w:tc>
        <w:tc>
          <w:tcPr>
            <w:tcW w:w="1255" w:type="dxa"/>
          </w:tcPr>
          <w:p w14:paraId="4D9F781B" w14:textId="77777777" w:rsidR="00BA7B01" w:rsidRDefault="00000000">
            <w:pPr>
              <w:pStyle w:val="SWCTableText"/>
            </w:pPr>
            <w:r>
              <w:t>4.50</w:t>
            </w:r>
          </w:p>
        </w:tc>
        <w:tc>
          <w:tcPr>
            <w:tcW w:w="720" w:type="dxa"/>
          </w:tcPr>
          <w:p w14:paraId="79CF83A4" w14:textId="77777777" w:rsidR="00BA7B01" w:rsidRDefault="00000000">
            <w:pPr>
              <w:pStyle w:val="SWCTableText"/>
            </w:pPr>
            <w:r>
              <w:t>1750</w:t>
            </w:r>
          </w:p>
        </w:tc>
        <w:tc>
          <w:tcPr>
            <w:tcW w:w="1170" w:type="dxa"/>
          </w:tcPr>
          <w:p w14:paraId="28FA10A2" w14:textId="77777777" w:rsidR="00BA7B01" w:rsidRDefault="00000000">
            <w:pPr>
              <w:pStyle w:val="SWCTableText"/>
            </w:pPr>
            <w:r>
              <w:t>1450</w:t>
            </w:r>
          </w:p>
        </w:tc>
      </w:tr>
      <w:tr w:rsidR="00BA7B01" w14:paraId="7C580202" w14:textId="77777777" w:rsidTr="00313A36">
        <w:trPr>
          <w:cantSplit/>
          <w:jc w:val="center"/>
        </w:trPr>
        <w:tc>
          <w:tcPr>
            <w:tcW w:w="1975" w:type="dxa"/>
          </w:tcPr>
          <w:p w14:paraId="31152FCE" w14:textId="77777777" w:rsidR="00BA7B01" w:rsidRDefault="00000000">
            <w:pPr>
              <w:pStyle w:val="SWCTableText"/>
              <w:jc w:val="left"/>
            </w:pPr>
            <w:r>
              <w:t>Silicon carbide, imported</w:t>
            </w:r>
          </w:p>
        </w:tc>
        <w:tc>
          <w:tcPr>
            <w:tcW w:w="900" w:type="dxa"/>
          </w:tcPr>
          <w:p w14:paraId="14D7CE86" w14:textId="77777777" w:rsidR="00BA7B01" w:rsidRDefault="00000000">
            <w:pPr>
              <w:pStyle w:val="SWCTableText"/>
            </w:pPr>
            <w:r>
              <w:t>2650</w:t>
            </w:r>
          </w:p>
        </w:tc>
        <w:tc>
          <w:tcPr>
            <w:tcW w:w="1535" w:type="dxa"/>
          </w:tcPr>
          <w:p w14:paraId="361AB89B" w14:textId="77777777" w:rsidR="00BA7B01" w:rsidRDefault="00000000">
            <w:pPr>
              <w:pStyle w:val="SWCTableText"/>
            </w:pPr>
            <w:r>
              <w:t>1050</w:t>
            </w:r>
          </w:p>
        </w:tc>
        <w:tc>
          <w:tcPr>
            <w:tcW w:w="1170" w:type="dxa"/>
          </w:tcPr>
          <w:p w14:paraId="3A28E88D" w14:textId="77777777" w:rsidR="00BA7B01" w:rsidRDefault="00000000">
            <w:pPr>
              <w:pStyle w:val="SWCTableText"/>
            </w:pPr>
            <w:r>
              <w:t>2.78</w:t>
            </w:r>
          </w:p>
        </w:tc>
        <w:tc>
          <w:tcPr>
            <w:tcW w:w="1255" w:type="dxa"/>
          </w:tcPr>
          <w:p w14:paraId="4E6E45AF" w14:textId="77777777" w:rsidR="00BA7B01" w:rsidRDefault="00000000">
            <w:pPr>
              <w:pStyle w:val="SWCTableText"/>
            </w:pPr>
            <w:r>
              <w:t>18.0</w:t>
            </w:r>
          </w:p>
        </w:tc>
        <w:tc>
          <w:tcPr>
            <w:tcW w:w="720" w:type="dxa"/>
          </w:tcPr>
          <w:p w14:paraId="777429F4" w14:textId="77777777" w:rsidR="00BA7B01" w:rsidRDefault="00000000">
            <w:pPr>
              <w:pStyle w:val="SWCTableText"/>
            </w:pPr>
            <w:r>
              <w:t>1500</w:t>
            </w:r>
          </w:p>
        </w:tc>
        <w:tc>
          <w:tcPr>
            <w:tcW w:w="1170" w:type="dxa"/>
          </w:tcPr>
          <w:p w14:paraId="3E7A7E9C" w14:textId="77777777" w:rsidR="00BA7B01" w:rsidRDefault="00000000">
            <w:pPr>
              <w:pStyle w:val="SWCTableText"/>
            </w:pPr>
            <w:r>
              <w:t>2900</w:t>
            </w:r>
          </w:p>
        </w:tc>
      </w:tr>
    </w:tbl>
    <w:p w14:paraId="5075EC6D" w14:textId="77777777" w:rsidR="007D7965" w:rsidRDefault="007D7965" w:rsidP="007D7965">
      <w:pPr>
        <w:pStyle w:val="SWCText"/>
      </w:pPr>
    </w:p>
    <w:p w14:paraId="5751F0AD" w14:textId="38C7BDB0" w:rsidR="00BA7B01" w:rsidRDefault="007D7965" w:rsidP="007D7965">
      <w:pPr>
        <w:pStyle w:val="SWCText"/>
      </w:pPr>
      <w:r>
        <w:t xml:space="preserve">The enclosure was specified using an </w:t>
      </w:r>
      <w:r w:rsidR="00267C3F">
        <w:t>ASTM-classified</w:t>
      </w:r>
      <w:r>
        <w:t xml:space="preserve"> set of insulating firebrick, ceramic </w:t>
      </w:r>
      <w:proofErr w:type="spellStart"/>
      <w:r>
        <w:t>fibre</w:t>
      </w:r>
      <w:proofErr w:type="spellEnd"/>
      <w:r>
        <w:t xml:space="preserve">, and calcium silicate products </w:t>
      </w:r>
      <w:proofErr w:type="spellStart"/>
      <w:r>
        <w:t>characterised</w:t>
      </w:r>
      <w:proofErr w:type="spellEnd"/>
      <w:r>
        <w:t xml:space="preserve"> by temperature-dependent conductivities, as constant-k assumptions underestimate heat loss by a factor of two or more across th</w:t>
      </w:r>
      <w:r w:rsidR="009C77A3">
        <w:t>e</w:t>
      </w:r>
      <w:r>
        <w:t xml:space="preserve"> temperature range (ASTM, 2017, 2019). A ceramic-</w:t>
      </w:r>
      <w:proofErr w:type="spellStart"/>
      <w:r>
        <w:t>fibre</w:t>
      </w:r>
      <w:proofErr w:type="spellEnd"/>
      <w:r>
        <w:t xml:space="preserve">-board hot face was preferred over insulating firebrick because the </w:t>
      </w:r>
      <w:r w:rsidR="009C77A3">
        <w:t xml:space="preserve">envelope's thermal mass, rather than </w:t>
      </w:r>
      <w:r>
        <w:t>envelope loss, predominantly influences the batch energy of a storage-fed kiln</w:t>
      </w:r>
      <w:r w:rsidR="009C77A3">
        <w:t>.</w:t>
      </w:r>
      <w:r>
        <w:t xml:space="preserve"> </w:t>
      </w:r>
      <w:r w:rsidR="009C77A3">
        <w:t>Replacing</w:t>
      </w:r>
      <w:r>
        <w:t xml:space="preserve"> 100 mm of Group 26 firebrick with </w:t>
      </w:r>
      <w:proofErr w:type="spellStart"/>
      <w:r>
        <w:t>fibre</w:t>
      </w:r>
      <w:proofErr w:type="spellEnd"/>
      <w:r>
        <w:t xml:space="preserve"> board of equivalent resistance eliminates </w:t>
      </w:r>
      <w:r w:rsidR="00267C3F">
        <w:t xml:space="preserve">about 55% of the stored wall enthalpy, at the expense of durability, which is mitigated by </w:t>
      </w:r>
      <w:r>
        <w:t xml:space="preserve">silicon-carbide supports and a sacrificial hearth. The chosen lining comprises 200 mm of </w:t>
      </w:r>
      <w:proofErr w:type="spellStart"/>
      <w:r>
        <w:t>fibre</w:t>
      </w:r>
      <w:proofErr w:type="spellEnd"/>
      <w:r>
        <w:t xml:space="preserve"> board 1430, 125 mm of blanket 1260, and 50 mm of calcium silicate.</w:t>
      </w:r>
      <w:r w:rsidR="00267C3F">
        <w:t xml:space="preserve"> </w:t>
      </w:r>
      <w:r w:rsidR="009D2000">
        <w:t>Figures 3 and 4 depict</w:t>
      </w:r>
      <w:r w:rsidR="00267C3F">
        <w:t xml:space="preserve"> the characteristics of the storage-medium</w:t>
      </w:r>
      <w:r w:rsidR="00267C3F" w:rsidRPr="00267C3F">
        <w:t xml:space="preserve"> selection map. </w:t>
      </w:r>
    </w:p>
    <w:p w14:paraId="0DC78C02" w14:textId="3FA49D32" w:rsidR="00CC2682" w:rsidRDefault="00CC2682" w:rsidP="00313A36">
      <w:pPr>
        <w:pStyle w:val="SWCText"/>
        <w:jc w:val="center"/>
      </w:pPr>
      <w:r w:rsidRPr="00967657">
        <w:rPr>
          <w:i/>
          <w:noProof/>
          <w:color w:val="auto"/>
          <w:sz w:val="21"/>
          <w:highlight w:val="cyan"/>
          <w:lang w:eastAsia="en-US"/>
        </w:rPr>
        <w:drawing>
          <wp:inline distT="0" distB="0" distL="0" distR="0" wp14:anchorId="72A8F9BA" wp14:editId="429094AE">
            <wp:extent cx="5485169" cy="2125980"/>
            <wp:effectExtent l="0" t="0" r="1270" b="7620"/>
            <wp:docPr id="247655182" name="Picture 247655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3_basalt_properties.png"/>
                    <pic:cNvPicPr/>
                  </pic:nvPicPr>
                  <pic:blipFill>
                    <a:blip r:embed="rId14"/>
                    <a:stretch>
                      <a:fillRect/>
                    </a:stretch>
                  </pic:blipFill>
                  <pic:spPr>
                    <a:xfrm>
                      <a:off x="0" y="0"/>
                      <a:ext cx="5612979" cy="2175517"/>
                    </a:xfrm>
                    <a:prstGeom prst="rect">
                      <a:avLst/>
                    </a:prstGeom>
                  </pic:spPr>
                </pic:pic>
              </a:graphicData>
            </a:graphic>
          </wp:inline>
        </w:drawing>
      </w:r>
    </w:p>
    <w:p w14:paraId="41A1CDAB" w14:textId="45229736" w:rsidR="00E5338E" w:rsidRPr="00313A36" w:rsidRDefault="00E5338E" w:rsidP="00313A36">
      <w:pPr>
        <w:rPr>
          <w:b/>
          <w:bCs/>
          <w:sz w:val="16"/>
          <w:szCs w:val="16"/>
          <w:lang w:val="en-GB"/>
        </w:rPr>
      </w:pPr>
      <w:r w:rsidRPr="00967657">
        <w:rPr>
          <w:b/>
          <w:bCs/>
          <w:sz w:val="16"/>
          <w:szCs w:val="16"/>
          <w:lang w:val="en-GB"/>
        </w:rPr>
        <w:t xml:space="preserve">Fig. </w:t>
      </w:r>
      <w:r>
        <w:rPr>
          <w:b/>
          <w:bCs/>
          <w:sz w:val="16"/>
          <w:szCs w:val="16"/>
          <w:lang w:val="en-GB"/>
        </w:rPr>
        <w:t>3</w:t>
      </w:r>
      <w:r w:rsidRPr="00967657">
        <w:rPr>
          <w:b/>
          <w:bCs/>
          <w:sz w:val="16"/>
          <w:szCs w:val="16"/>
          <w:lang w:val="en-GB"/>
        </w:rPr>
        <w:t>.  Basalt thermophysical behaviour: (a) specific heat capacity</w:t>
      </w:r>
      <w:r>
        <w:rPr>
          <w:b/>
          <w:bCs/>
          <w:sz w:val="16"/>
          <w:szCs w:val="16"/>
          <w:lang w:val="en-GB"/>
        </w:rPr>
        <w:t xml:space="preserve"> - Temp. </w:t>
      </w:r>
      <w:r w:rsidRPr="006B70D3">
        <w:rPr>
          <w:b/>
          <w:bCs/>
          <w:sz w:val="16"/>
          <w:szCs w:val="16"/>
          <w:lang w:val="en-GB"/>
        </w:rPr>
        <w:t>operating window</w:t>
      </w:r>
      <w:r w:rsidRPr="00967657">
        <w:rPr>
          <w:b/>
          <w:bCs/>
          <w:sz w:val="16"/>
          <w:szCs w:val="16"/>
          <w:lang w:val="en-GB"/>
        </w:rPr>
        <w:t xml:space="preserve"> </w:t>
      </w:r>
      <w:r>
        <w:rPr>
          <w:b/>
          <w:bCs/>
          <w:sz w:val="16"/>
          <w:szCs w:val="16"/>
          <w:lang w:val="en-GB"/>
        </w:rPr>
        <w:t>=</w:t>
      </w:r>
      <w:r w:rsidRPr="00967657">
        <w:rPr>
          <w:b/>
          <w:bCs/>
          <w:sz w:val="16"/>
          <w:szCs w:val="16"/>
          <w:lang w:val="en-GB"/>
        </w:rPr>
        <w:t xml:space="preserve"> 180–780 °C; (b) thermal conductivity and diffusivity; (c) energy </w:t>
      </w:r>
      <w:r>
        <w:rPr>
          <w:b/>
          <w:bCs/>
          <w:sz w:val="16"/>
          <w:szCs w:val="16"/>
          <w:lang w:val="en-GB"/>
        </w:rPr>
        <w:t>&amp;</w:t>
      </w:r>
      <w:r w:rsidRPr="00967657">
        <w:rPr>
          <w:b/>
          <w:bCs/>
          <w:sz w:val="16"/>
          <w:szCs w:val="16"/>
          <w:lang w:val="en-GB"/>
        </w:rPr>
        <w:t xml:space="preserve"> exergy density of </w:t>
      </w:r>
      <w:r>
        <w:rPr>
          <w:b/>
          <w:bCs/>
          <w:sz w:val="16"/>
          <w:szCs w:val="16"/>
          <w:lang w:val="en-GB"/>
        </w:rPr>
        <w:t>B</w:t>
      </w:r>
      <w:r w:rsidRPr="00967657">
        <w:rPr>
          <w:b/>
          <w:bCs/>
          <w:sz w:val="16"/>
          <w:szCs w:val="16"/>
          <w:lang w:val="en-GB"/>
        </w:rPr>
        <w:t>asalt</w:t>
      </w:r>
      <w:r>
        <w:rPr>
          <w:b/>
          <w:bCs/>
          <w:sz w:val="16"/>
          <w:szCs w:val="16"/>
          <w:lang w:val="en-GB"/>
        </w:rPr>
        <w:t xml:space="preserve"> </w:t>
      </w:r>
      <w:r w:rsidRPr="00967657">
        <w:rPr>
          <w:b/>
          <w:bCs/>
          <w:sz w:val="16"/>
          <w:szCs w:val="16"/>
          <w:lang w:val="en-GB"/>
        </w:rPr>
        <w:t>of the mullite–corundum alternative, with exergy factor ψ.</w:t>
      </w:r>
    </w:p>
    <w:p w14:paraId="1EEC1E4C" w14:textId="1B3D3151" w:rsidR="00915391" w:rsidRPr="00CC2682" w:rsidRDefault="00CC2682" w:rsidP="00CC2682">
      <w:pPr>
        <w:keepNext/>
        <w:spacing w:before="160" w:after="60" w:line="276" w:lineRule="auto"/>
        <w:jc w:val="center"/>
        <w:rPr>
          <w:sz w:val="21"/>
          <w:szCs w:val="22"/>
          <w:lang w:val="en-US" w:eastAsia="en-US"/>
        </w:rPr>
      </w:pPr>
      <w:r w:rsidRPr="00A532A9">
        <w:rPr>
          <w:noProof/>
          <w:sz w:val="21"/>
          <w:szCs w:val="22"/>
          <w:lang w:val="en-US" w:eastAsia="en-US"/>
        </w:rPr>
        <w:lastRenderedPageBreak/>
        <w:drawing>
          <wp:inline distT="0" distB="0" distL="0" distR="0" wp14:anchorId="14859B6C" wp14:editId="0C8E4A39">
            <wp:extent cx="4572000" cy="3142307"/>
            <wp:effectExtent l="0" t="0" r="0" b="1270"/>
            <wp:docPr id="1010843361" name="Picture 101084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2_material_map.png"/>
                    <pic:cNvPicPr/>
                  </pic:nvPicPr>
                  <pic:blipFill rotWithShape="1">
                    <a:blip r:embed="rId15"/>
                    <a:srcRect t="1283" r="1029" b="1785"/>
                    <a:stretch>
                      <a:fillRect/>
                    </a:stretch>
                  </pic:blipFill>
                  <pic:spPr bwMode="auto">
                    <a:xfrm>
                      <a:off x="0" y="0"/>
                      <a:ext cx="4655143" cy="3199451"/>
                    </a:xfrm>
                    <a:prstGeom prst="rect">
                      <a:avLst/>
                    </a:prstGeom>
                    <a:ln>
                      <a:noFill/>
                    </a:ln>
                    <a:extLst>
                      <a:ext uri="{53640926-AAD7-44D8-BBD7-CCE9431645EC}">
                        <a14:shadowObscured xmlns:a14="http://schemas.microsoft.com/office/drawing/2010/main"/>
                      </a:ext>
                    </a:extLst>
                  </pic:spPr>
                </pic:pic>
              </a:graphicData>
            </a:graphic>
          </wp:inline>
        </w:drawing>
      </w:r>
    </w:p>
    <w:p w14:paraId="2698D741" w14:textId="38F5D6B4" w:rsidR="00E5338E" w:rsidRPr="00CC2682" w:rsidRDefault="00E5338E" w:rsidP="00CC2682">
      <w:pPr>
        <w:spacing w:after="200" w:line="276" w:lineRule="auto"/>
        <w:ind w:right="360"/>
        <w:jc w:val="both"/>
        <w:rPr>
          <w:b/>
          <w:bCs/>
          <w:sz w:val="21"/>
          <w:szCs w:val="22"/>
          <w:lang w:val="en-US" w:eastAsia="en-US"/>
        </w:rPr>
      </w:pPr>
      <w:r w:rsidRPr="006B70D3">
        <w:rPr>
          <w:b/>
          <w:bCs/>
          <w:sz w:val="18"/>
          <w:szCs w:val="22"/>
          <w:lang w:val="en-US" w:eastAsia="en-US"/>
        </w:rPr>
        <w:t xml:space="preserve">Fig. </w:t>
      </w:r>
      <w:r>
        <w:rPr>
          <w:b/>
          <w:bCs/>
          <w:sz w:val="18"/>
          <w:szCs w:val="22"/>
          <w:lang w:val="en-US" w:eastAsia="en-US"/>
        </w:rPr>
        <w:t>4</w:t>
      </w:r>
      <w:r w:rsidRPr="006B70D3">
        <w:rPr>
          <w:b/>
          <w:bCs/>
          <w:sz w:val="18"/>
          <w:szCs w:val="22"/>
          <w:lang w:val="en-US" w:eastAsia="en-US"/>
        </w:rPr>
        <w:t>.</w:t>
      </w:r>
      <w:r w:rsidR="00BA4D5B">
        <w:rPr>
          <w:b/>
          <w:bCs/>
          <w:sz w:val="18"/>
          <w:szCs w:val="22"/>
          <w:lang w:val="en-US" w:eastAsia="en-US"/>
        </w:rPr>
        <w:t xml:space="preserve"> </w:t>
      </w:r>
      <w:r w:rsidRPr="006B70D3">
        <w:rPr>
          <w:b/>
          <w:bCs/>
          <w:sz w:val="18"/>
          <w:szCs w:val="22"/>
          <w:lang w:val="en-US" w:eastAsia="en-US"/>
        </w:rPr>
        <w:t>Storage-medium selection map. Basalt volumetric heat capacity and operating temperature with imported aluminosilicates; 1200 °C temperature ceiling.</w:t>
      </w:r>
    </w:p>
    <w:p w14:paraId="564099F4" w14:textId="372EC94A" w:rsidR="00BA7B01" w:rsidRDefault="00000000">
      <w:pPr>
        <w:pStyle w:val="SWCHeading11"/>
        <w:keepNext/>
      </w:pPr>
      <w:r>
        <w:t>2.3 Thermal-load and envelope models</w:t>
      </w:r>
    </w:p>
    <w:p w14:paraId="075F15F6" w14:textId="5D526678" w:rsidR="00BA7B01" w:rsidRDefault="00000000">
      <w:pPr>
        <w:pStyle w:val="SWCText"/>
      </w:pPr>
      <w:r>
        <w:t xml:space="preserve">The energy reaching the chamber in one firing sums the ware enthalpy and reaction enthalpy, the </w:t>
      </w:r>
      <w:r w:rsidR="008C72BF">
        <w:t>fittings</w:t>
      </w:r>
      <w:r>
        <w:t>, muffle and enclosure sensible terms, the envelope loss over ramp and soak, and an 8 % parasitic allowance</w:t>
      </w:r>
      <w:r w:rsidR="007C79AC">
        <w:t>:</w:t>
      </w:r>
    </w:p>
    <w:p w14:paraId="65DA3C8E" w14:textId="77777777" w:rsidR="00BA7B01" w:rsidRDefault="00000000">
      <w:pPr>
        <w:pStyle w:val="SWCText"/>
        <w:tabs>
          <w:tab w:val="right" w:pos="8425"/>
        </w:tabs>
        <w:spacing w:before="30"/>
        <w:ind w:left="340"/>
        <w:jc w:val="left"/>
      </w:pPr>
      <w:proofErr w:type="spellStart"/>
      <w:r w:rsidRPr="008C72BF">
        <w:rPr>
          <w:i/>
          <w:iCs/>
        </w:rPr>
        <w:t>Q</w:t>
      </w:r>
      <w:r w:rsidRPr="008C72BF">
        <w:rPr>
          <w:i/>
          <w:iCs/>
          <w:vertAlign w:val="subscript"/>
        </w:rPr>
        <w:t>cyc</w:t>
      </w:r>
      <w:proofErr w:type="spellEnd"/>
      <w:r w:rsidRPr="008C72BF">
        <w:rPr>
          <w:i/>
          <w:iCs/>
        </w:rPr>
        <w:t xml:space="preserve"> = </w:t>
      </w:r>
      <w:proofErr w:type="spellStart"/>
      <w:r w:rsidRPr="008C72BF">
        <w:rPr>
          <w:i/>
          <w:iCs/>
        </w:rPr>
        <w:t>Q</w:t>
      </w:r>
      <w:r w:rsidRPr="008C72BF">
        <w:rPr>
          <w:i/>
          <w:iCs/>
          <w:vertAlign w:val="subscript"/>
        </w:rPr>
        <w:t>w</w:t>
      </w:r>
      <w:proofErr w:type="spellEnd"/>
      <w:r w:rsidRPr="008C72BF">
        <w:rPr>
          <w:i/>
          <w:iCs/>
        </w:rPr>
        <w:t xml:space="preserve"> + </w:t>
      </w:r>
      <w:proofErr w:type="spellStart"/>
      <w:r w:rsidRPr="008C72BF">
        <w:rPr>
          <w:i/>
          <w:iCs/>
        </w:rPr>
        <w:t>Q</w:t>
      </w:r>
      <w:r w:rsidRPr="008C72BF">
        <w:rPr>
          <w:i/>
          <w:iCs/>
          <w:vertAlign w:val="subscript"/>
        </w:rPr>
        <w:t>f</w:t>
      </w:r>
      <w:proofErr w:type="spellEnd"/>
      <w:r w:rsidRPr="008C72BF">
        <w:rPr>
          <w:i/>
          <w:iCs/>
        </w:rPr>
        <w:t xml:space="preserve"> + </w:t>
      </w:r>
      <w:proofErr w:type="spellStart"/>
      <w:r w:rsidRPr="008C72BF">
        <w:rPr>
          <w:i/>
          <w:iCs/>
        </w:rPr>
        <w:t>Q</w:t>
      </w:r>
      <w:r w:rsidRPr="008C72BF">
        <w:rPr>
          <w:i/>
          <w:iCs/>
          <w:vertAlign w:val="subscript"/>
        </w:rPr>
        <w:t>m</w:t>
      </w:r>
      <w:proofErr w:type="spellEnd"/>
      <w:r w:rsidRPr="008C72BF">
        <w:rPr>
          <w:i/>
          <w:iCs/>
        </w:rPr>
        <w:t xml:space="preserve"> + </w:t>
      </w:r>
      <w:proofErr w:type="spellStart"/>
      <w:r w:rsidRPr="008C72BF">
        <w:rPr>
          <w:i/>
          <w:iCs/>
        </w:rPr>
        <w:t>Q</w:t>
      </w:r>
      <w:r w:rsidRPr="008C72BF">
        <w:rPr>
          <w:i/>
          <w:iCs/>
          <w:vertAlign w:val="subscript"/>
        </w:rPr>
        <w:t>e</w:t>
      </w:r>
      <w:proofErr w:type="spellEnd"/>
      <w:r w:rsidRPr="008C72BF">
        <w:rPr>
          <w:i/>
          <w:iCs/>
        </w:rPr>
        <w:t xml:space="preserve"> + </w:t>
      </w:r>
      <w:proofErr w:type="spellStart"/>
      <w:proofErr w:type="gramStart"/>
      <w:r w:rsidRPr="008C72BF">
        <w:rPr>
          <w:i/>
          <w:iCs/>
        </w:rPr>
        <w:t>Q</w:t>
      </w:r>
      <w:r w:rsidRPr="008C72BF">
        <w:rPr>
          <w:i/>
          <w:iCs/>
          <w:vertAlign w:val="subscript"/>
        </w:rPr>
        <w:t>loss,f</w:t>
      </w:r>
      <w:proofErr w:type="spellEnd"/>
      <w:proofErr w:type="gramEnd"/>
      <w:r w:rsidRPr="008C72BF">
        <w:rPr>
          <w:i/>
          <w:iCs/>
        </w:rPr>
        <w:t xml:space="preserve"> + </w:t>
      </w:r>
      <w:proofErr w:type="spellStart"/>
      <w:r w:rsidRPr="008C72BF">
        <w:rPr>
          <w:i/>
          <w:iCs/>
        </w:rPr>
        <w:t>Q</w:t>
      </w:r>
      <w:r w:rsidRPr="008C72BF">
        <w:rPr>
          <w:i/>
          <w:iCs/>
          <w:vertAlign w:val="subscript"/>
        </w:rPr>
        <w:t>par</w:t>
      </w:r>
      <w:proofErr w:type="spellEnd"/>
      <w:r w:rsidRPr="008C72BF">
        <w:rPr>
          <w:i/>
          <w:iCs/>
        </w:rPr>
        <w:t xml:space="preserve">, </w:t>
      </w:r>
      <w:proofErr w:type="spellStart"/>
      <w:r w:rsidRPr="008C72BF">
        <w:rPr>
          <w:i/>
          <w:iCs/>
        </w:rPr>
        <w:t>Q</w:t>
      </w:r>
      <w:r w:rsidRPr="008C72BF">
        <w:rPr>
          <w:i/>
          <w:iCs/>
          <w:vertAlign w:val="subscript"/>
        </w:rPr>
        <w:t>w</w:t>
      </w:r>
      <w:proofErr w:type="spellEnd"/>
      <w:r w:rsidRPr="008C72BF">
        <w:rPr>
          <w:i/>
          <w:iCs/>
        </w:rPr>
        <w:t xml:space="preserve"> = m</w:t>
      </w:r>
      <w:r w:rsidRPr="008C72BF">
        <w:rPr>
          <w:i/>
          <w:iCs/>
          <w:vertAlign w:val="subscript"/>
        </w:rPr>
        <w:t>w</w:t>
      </w:r>
      <w:r w:rsidRPr="008C72BF">
        <w:rPr>
          <w:i/>
          <w:iCs/>
        </w:rPr>
        <w:t xml:space="preserve"> ∫ </w:t>
      </w:r>
      <w:proofErr w:type="spellStart"/>
      <w:proofErr w:type="gramStart"/>
      <w:r w:rsidRPr="008C72BF">
        <w:rPr>
          <w:i/>
          <w:iCs/>
        </w:rPr>
        <w:t>c</w:t>
      </w:r>
      <w:r w:rsidRPr="008C72BF">
        <w:rPr>
          <w:i/>
          <w:iCs/>
          <w:vertAlign w:val="subscript"/>
        </w:rPr>
        <w:t>p,w</w:t>
      </w:r>
      <w:proofErr w:type="spellEnd"/>
      <w:proofErr w:type="gramEnd"/>
      <w:r w:rsidRPr="008C72BF">
        <w:rPr>
          <w:i/>
          <w:iCs/>
        </w:rPr>
        <w:t>(T) dT + m</w:t>
      </w:r>
      <w:r w:rsidRPr="008C72BF">
        <w:rPr>
          <w:i/>
          <w:iCs/>
          <w:vertAlign w:val="subscript"/>
        </w:rPr>
        <w:t>w</w:t>
      </w:r>
      <w:r w:rsidRPr="008C72BF">
        <w:rPr>
          <w:i/>
          <w:iCs/>
        </w:rPr>
        <w:t xml:space="preserve"> </w:t>
      </w:r>
      <w:proofErr w:type="spellStart"/>
      <w:r w:rsidRPr="008C72BF">
        <w:rPr>
          <w:i/>
          <w:iCs/>
        </w:rPr>
        <w:t>Δh</w:t>
      </w:r>
      <w:r w:rsidRPr="008C72BF">
        <w:rPr>
          <w:i/>
          <w:iCs/>
          <w:vertAlign w:val="subscript"/>
        </w:rPr>
        <w:t>chem</w:t>
      </w:r>
      <w:proofErr w:type="spellEnd"/>
      <w:r>
        <w:tab/>
        <w:t>(2)</w:t>
      </w:r>
    </w:p>
    <w:p w14:paraId="1F1C0B21" w14:textId="77777777" w:rsidR="008C72BF" w:rsidRDefault="008C72BF">
      <w:pPr>
        <w:pStyle w:val="SWCText"/>
      </w:pPr>
    </w:p>
    <w:p w14:paraId="00520AA7" w14:textId="3EF19F5B" w:rsidR="00BA7B01" w:rsidRDefault="00000000">
      <w:pPr>
        <w:pStyle w:val="SWCText"/>
      </w:pPr>
      <w:proofErr w:type="spellStart"/>
      <w:proofErr w:type="gramStart"/>
      <w:r>
        <w:t>c</w:t>
      </w:r>
      <w:r>
        <w:rPr>
          <w:vertAlign w:val="subscript"/>
        </w:rPr>
        <w:t>p,w</w:t>
      </w:r>
      <w:proofErr w:type="spellEnd"/>
      <w:proofErr w:type="gramEnd"/>
      <w:r>
        <w:t xml:space="preserve">(T) = 800 + 0.42T J kg⁻¹ K⁻¹ for an earthenware body and </w:t>
      </w:r>
      <w:proofErr w:type="spellStart"/>
      <w:r>
        <w:t>Δh</w:t>
      </w:r>
      <w:r>
        <w:rPr>
          <w:vertAlign w:val="subscript"/>
        </w:rPr>
        <w:t>chem</w:t>
      </w:r>
      <w:proofErr w:type="spellEnd"/>
      <w:r>
        <w:t xml:space="preserve"> = 0.30 MJ kg⁻¹ covering </w:t>
      </w:r>
      <w:proofErr w:type="spellStart"/>
      <w:r>
        <w:t>dehydroxylation</w:t>
      </w:r>
      <w:proofErr w:type="spellEnd"/>
      <w:r>
        <w:t xml:space="preserve"> of kaolinite, carbonate decomposition and the quartz inversion (Carty </w:t>
      </w:r>
      <w:r w:rsidR="00017089">
        <w:t>&amp;</w:t>
      </w:r>
      <w:r>
        <w:t xml:space="preserve"> Senapati, 1998). Envelope loss follows a one-dimensional multilayer solution with temperature-dependent conductivity and a combined outside film</w:t>
      </w:r>
      <w:r w:rsidR="007C79AC">
        <w:t>:</w:t>
      </w:r>
    </w:p>
    <w:p w14:paraId="69482B70" w14:textId="77777777" w:rsidR="008C72BF" w:rsidRDefault="008C72BF">
      <w:pPr>
        <w:pStyle w:val="SWCText"/>
        <w:tabs>
          <w:tab w:val="right" w:pos="8425"/>
        </w:tabs>
        <w:spacing w:before="30"/>
        <w:ind w:left="340"/>
        <w:jc w:val="left"/>
      </w:pPr>
    </w:p>
    <w:p w14:paraId="666F4DD5" w14:textId="11E3BFF7" w:rsidR="00BA7B01" w:rsidRDefault="00000000">
      <w:pPr>
        <w:pStyle w:val="SWCText"/>
        <w:tabs>
          <w:tab w:val="right" w:pos="8425"/>
        </w:tabs>
        <w:spacing w:before="30"/>
        <w:ind w:left="340"/>
        <w:jc w:val="left"/>
      </w:pPr>
      <w:r w:rsidRPr="008C72BF">
        <w:rPr>
          <w:i/>
          <w:iCs/>
        </w:rPr>
        <w:t>q″ = (T</w:t>
      </w:r>
      <w:r w:rsidRPr="008C72BF">
        <w:rPr>
          <w:i/>
          <w:iCs/>
          <w:vertAlign w:val="subscript"/>
        </w:rPr>
        <w:t>i</w:t>
      </w:r>
      <w:r w:rsidRPr="008C72BF">
        <w:rPr>
          <w:i/>
          <w:iCs/>
        </w:rPr>
        <w:t xml:space="preserve"> − T₀)</w:t>
      </w:r>
      <w:proofErr w:type="gramStart"/>
      <w:r w:rsidRPr="008C72BF">
        <w:rPr>
          <w:i/>
          <w:iCs/>
        </w:rPr>
        <w:t>/[</w:t>
      </w:r>
      <w:proofErr w:type="gramEnd"/>
      <w:r w:rsidRPr="008C72BF">
        <w:rPr>
          <w:i/>
          <w:iCs/>
        </w:rPr>
        <w:t xml:space="preserve"> </w:t>
      </w:r>
      <w:proofErr w:type="spellStart"/>
      <w:r w:rsidRPr="008C72BF">
        <w:rPr>
          <w:i/>
          <w:iCs/>
        </w:rPr>
        <w:t>Σ</w:t>
      </w:r>
      <w:r w:rsidRPr="008C72BF">
        <w:rPr>
          <w:i/>
          <w:iCs/>
          <w:vertAlign w:val="subscript"/>
        </w:rPr>
        <w:t>j</w:t>
      </w:r>
      <w:proofErr w:type="spellEnd"/>
      <w:r w:rsidRPr="008C72BF">
        <w:rPr>
          <w:i/>
          <w:iCs/>
        </w:rPr>
        <w:t xml:space="preserve"> </w:t>
      </w:r>
      <w:proofErr w:type="spellStart"/>
      <w:r w:rsidRPr="008C72BF">
        <w:rPr>
          <w:i/>
          <w:iCs/>
        </w:rPr>
        <w:t>t</w:t>
      </w:r>
      <w:r w:rsidRPr="008C72BF">
        <w:rPr>
          <w:i/>
          <w:iCs/>
          <w:vertAlign w:val="subscript"/>
        </w:rPr>
        <w:t>j</w:t>
      </w:r>
      <w:proofErr w:type="spellEnd"/>
      <w:r w:rsidRPr="008C72BF">
        <w:rPr>
          <w:i/>
          <w:iCs/>
        </w:rPr>
        <w:t>/</w:t>
      </w:r>
      <w:proofErr w:type="spellStart"/>
      <w:proofErr w:type="gramStart"/>
      <w:r w:rsidRPr="008C72BF">
        <w:rPr>
          <w:i/>
          <w:iCs/>
        </w:rPr>
        <w:t>k</w:t>
      </w:r>
      <w:r w:rsidRPr="008C72BF">
        <w:rPr>
          <w:i/>
          <w:iCs/>
          <w:vertAlign w:val="subscript"/>
        </w:rPr>
        <w:t>j</w:t>
      </w:r>
      <w:proofErr w:type="spellEnd"/>
      <w:r w:rsidRPr="008C72BF">
        <w:rPr>
          <w:i/>
          <w:iCs/>
        </w:rPr>
        <w:t>(</w:t>
      </w:r>
      <w:proofErr w:type="spellStart"/>
      <w:proofErr w:type="gramEnd"/>
      <w:r w:rsidRPr="008C72BF">
        <w:rPr>
          <w:i/>
          <w:iCs/>
        </w:rPr>
        <w:t>T̄</w:t>
      </w:r>
      <w:r w:rsidRPr="008C72BF">
        <w:rPr>
          <w:i/>
          <w:iCs/>
          <w:vertAlign w:val="subscript"/>
        </w:rPr>
        <w:t>j</w:t>
      </w:r>
      <w:proofErr w:type="spellEnd"/>
      <w:r w:rsidRPr="008C72BF">
        <w:rPr>
          <w:i/>
          <w:iCs/>
        </w:rPr>
        <w:t>) + 1</w:t>
      </w:r>
      <w:proofErr w:type="gramStart"/>
      <w:r w:rsidRPr="008C72BF">
        <w:rPr>
          <w:i/>
          <w:iCs/>
        </w:rPr>
        <w:t>/(</w:t>
      </w:r>
      <w:proofErr w:type="spellStart"/>
      <w:proofErr w:type="gramEnd"/>
      <w:r w:rsidRPr="008C72BF">
        <w:rPr>
          <w:i/>
          <w:iCs/>
        </w:rPr>
        <w:t>h</w:t>
      </w:r>
      <w:r w:rsidRPr="008C72BF">
        <w:rPr>
          <w:i/>
          <w:iCs/>
          <w:vertAlign w:val="subscript"/>
        </w:rPr>
        <w:t>c</w:t>
      </w:r>
      <w:proofErr w:type="spellEnd"/>
      <w:r w:rsidRPr="008C72BF">
        <w:rPr>
          <w:i/>
          <w:iCs/>
        </w:rPr>
        <w:t xml:space="preserve"> + </w:t>
      </w:r>
      <w:proofErr w:type="spellStart"/>
      <w:r w:rsidRPr="008C72BF">
        <w:rPr>
          <w:i/>
          <w:iCs/>
        </w:rPr>
        <w:t>h</w:t>
      </w:r>
      <w:r w:rsidRPr="008C72BF">
        <w:rPr>
          <w:i/>
          <w:iCs/>
          <w:vertAlign w:val="subscript"/>
        </w:rPr>
        <w:t>r</w:t>
      </w:r>
      <w:proofErr w:type="spellEnd"/>
      <w:proofErr w:type="gramStart"/>
      <w:r w:rsidRPr="008C72BF">
        <w:rPr>
          <w:i/>
          <w:iCs/>
        </w:rPr>
        <w:t>) ]</w:t>
      </w:r>
      <w:proofErr w:type="gramEnd"/>
      <w:r w:rsidRPr="008C72BF">
        <w:rPr>
          <w:i/>
          <w:iCs/>
        </w:rPr>
        <w:t xml:space="preserve">, </w:t>
      </w:r>
      <w:proofErr w:type="spellStart"/>
      <w:r w:rsidRPr="008C72BF">
        <w:rPr>
          <w:i/>
          <w:iCs/>
        </w:rPr>
        <w:t>h</w:t>
      </w:r>
      <w:r w:rsidRPr="008C72BF">
        <w:rPr>
          <w:i/>
          <w:iCs/>
          <w:vertAlign w:val="subscript"/>
        </w:rPr>
        <w:t>c</w:t>
      </w:r>
      <w:proofErr w:type="spellEnd"/>
      <w:r w:rsidRPr="008C72BF">
        <w:rPr>
          <w:i/>
          <w:iCs/>
        </w:rPr>
        <w:t xml:space="preserve"> = 1.42 |T</w:t>
      </w:r>
      <w:r w:rsidRPr="008C72BF">
        <w:rPr>
          <w:i/>
          <w:iCs/>
          <w:vertAlign w:val="subscript"/>
        </w:rPr>
        <w:t>s</w:t>
      </w:r>
      <w:r w:rsidRPr="008C72BF">
        <w:rPr>
          <w:i/>
          <w:iCs/>
        </w:rPr>
        <w:t xml:space="preserve"> − T₀|</w:t>
      </w:r>
      <w:r w:rsidRPr="008C72BF">
        <w:rPr>
          <w:i/>
          <w:iCs/>
          <w:vertAlign w:val="superscript"/>
        </w:rPr>
        <w:t>0.25</w:t>
      </w:r>
      <w:r w:rsidRPr="008C72BF">
        <w:rPr>
          <w:i/>
          <w:iCs/>
        </w:rPr>
        <w:t xml:space="preserve">, </w:t>
      </w:r>
      <w:proofErr w:type="spellStart"/>
      <w:r w:rsidRPr="008C72BF">
        <w:rPr>
          <w:i/>
          <w:iCs/>
        </w:rPr>
        <w:t>h</w:t>
      </w:r>
      <w:r w:rsidRPr="008C72BF">
        <w:rPr>
          <w:i/>
          <w:iCs/>
          <w:vertAlign w:val="subscript"/>
        </w:rPr>
        <w:t>r</w:t>
      </w:r>
      <w:proofErr w:type="spellEnd"/>
      <w:r w:rsidRPr="008C72BF">
        <w:rPr>
          <w:i/>
          <w:iCs/>
        </w:rPr>
        <w:t xml:space="preserve"> = </w:t>
      </w:r>
      <w:proofErr w:type="spellStart"/>
      <w:r w:rsidRPr="008C72BF">
        <w:rPr>
          <w:i/>
          <w:iCs/>
        </w:rPr>
        <w:t>ε</w:t>
      </w:r>
      <w:r w:rsidRPr="008C72BF">
        <w:rPr>
          <w:i/>
          <w:iCs/>
          <w:vertAlign w:val="subscript"/>
        </w:rPr>
        <w:t>s</w:t>
      </w:r>
      <w:proofErr w:type="spellEnd"/>
      <w:r w:rsidRPr="008C72BF">
        <w:rPr>
          <w:i/>
          <w:iCs/>
        </w:rPr>
        <w:t xml:space="preserve"> σ (T</w:t>
      </w:r>
      <w:r w:rsidRPr="008C72BF">
        <w:rPr>
          <w:i/>
          <w:iCs/>
          <w:vertAlign w:val="subscript"/>
        </w:rPr>
        <w:t>s</w:t>
      </w:r>
      <w:r w:rsidRPr="008C72BF">
        <w:rPr>
          <w:i/>
          <w:iCs/>
        </w:rPr>
        <w:t>⁴ − T₀⁴)</w:t>
      </w:r>
      <w:proofErr w:type="gramStart"/>
      <w:r w:rsidRPr="008C72BF">
        <w:rPr>
          <w:i/>
          <w:iCs/>
        </w:rPr>
        <w:t>/(</w:t>
      </w:r>
      <w:proofErr w:type="gramEnd"/>
      <w:r w:rsidRPr="008C72BF">
        <w:rPr>
          <w:i/>
          <w:iCs/>
        </w:rPr>
        <w:t>T</w:t>
      </w:r>
      <w:r w:rsidRPr="008C72BF">
        <w:rPr>
          <w:i/>
          <w:iCs/>
          <w:vertAlign w:val="subscript"/>
        </w:rPr>
        <w:t>s</w:t>
      </w:r>
      <w:r w:rsidRPr="008C72BF">
        <w:rPr>
          <w:i/>
          <w:iCs/>
        </w:rPr>
        <w:t xml:space="preserve"> − T₀)</w:t>
      </w:r>
      <w:r>
        <w:tab/>
        <w:t>(3)</w:t>
      </w:r>
    </w:p>
    <w:p w14:paraId="0F66CD8A" w14:textId="77777777" w:rsidR="007C79AC" w:rsidRDefault="007C79AC" w:rsidP="00D83123">
      <w:pPr>
        <w:pStyle w:val="SWCText"/>
      </w:pPr>
    </w:p>
    <w:p w14:paraId="0EE3BCBA" w14:textId="1A9CE0BF" w:rsidR="00915391" w:rsidRDefault="00000000" w:rsidP="00D83123">
      <w:pPr>
        <w:pStyle w:val="SWCText"/>
      </w:pPr>
      <w:proofErr w:type="spellStart"/>
      <w:r>
        <w:t>ε</w:t>
      </w:r>
      <w:r>
        <w:rPr>
          <w:vertAlign w:val="subscript"/>
        </w:rPr>
        <w:t>s</w:t>
      </w:r>
      <w:proofErr w:type="spellEnd"/>
      <w:r>
        <w:t xml:space="preserve"> = 0.90 for a painted steel casing, solved by successive substitution on the node temperatures until the flux converges to 10⁻⁴ W m⁻²; the same routine returns the stored enthalpy of the wall.</w:t>
      </w:r>
    </w:p>
    <w:p w14:paraId="095C305A" w14:textId="77777777" w:rsidR="00D83123" w:rsidRDefault="00D83123" w:rsidP="00D83123">
      <w:pPr>
        <w:pStyle w:val="SWCText"/>
      </w:pPr>
    </w:p>
    <w:p w14:paraId="2C5D4432" w14:textId="085B3D98" w:rsidR="00BA7B01" w:rsidRDefault="00000000">
      <w:pPr>
        <w:pStyle w:val="SWCHeading11"/>
        <w:keepNext/>
      </w:pPr>
      <w:r>
        <w:t xml:space="preserve">2.4 </w:t>
      </w:r>
      <w:r w:rsidR="0071270A">
        <w:t xml:space="preserve">Solar </w:t>
      </w:r>
      <w:r>
        <w:t>Photovoltaic, packed-bed and dispatch models</w:t>
      </w:r>
    </w:p>
    <w:p w14:paraId="110E00C4" w14:textId="0CCADF93" w:rsidR="00BA7B01" w:rsidRDefault="007C79AC">
      <w:pPr>
        <w:pStyle w:val="SWCText"/>
      </w:pPr>
      <w:r>
        <w:t xml:space="preserve">Hourly generation was simulated over an entire year at 5.6° N using solar geometry principles and adjusted by a stochastic monthly clearness index calibrated to the seasonal patterns observed in West Africa (notably a monsoon minimum and a Harmattan dust minimum). This index was subsequently rescaled to 1885 kWh m⁻² per year, based on data from the World Bank Group and </w:t>
      </w:r>
      <w:proofErr w:type="spellStart"/>
      <w:r>
        <w:t>Solargis</w:t>
      </w:r>
      <w:proofErr w:type="spellEnd"/>
      <w:r>
        <w:t xml:space="preserve"> (2019), with plane-of-array irradiance for a fixed south-facing tilt of 10° being calculated as 1.02 times the horizontal irradiance</w:t>
      </w:r>
      <w:r w:rsidR="009355C0">
        <w:t>:</w:t>
      </w:r>
    </w:p>
    <w:p w14:paraId="7BBBFDF5" w14:textId="77777777" w:rsidR="007C79AC" w:rsidRDefault="007C79AC">
      <w:pPr>
        <w:pStyle w:val="SWCText"/>
      </w:pPr>
    </w:p>
    <w:p w14:paraId="1869246C" w14:textId="2751B22D" w:rsidR="008C72BF" w:rsidRDefault="00000000" w:rsidP="0071270A">
      <w:pPr>
        <w:pStyle w:val="SWCText"/>
        <w:tabs>
          <w:tab w:val="right" w:pos="8425"/>
        </w:tabs>
        <w:spacing w:before="30"/>
        <w:ind w:left="340"/>
        <w:jc w:val="left"/>
      </w:pPr>
      <w:proofErr w:type="spellStart"/>
      <w:r w:rsidRPr="007C79AC">
        <w:rPr>
          <w:i/>
          <w:iCs/>
        </w:rPr>
        <w:t>P</w:t>
      </w:r>
      <w:r w:rsidRPr="007C79AC">
        <w:rPr>
          <w:i/>
          <w:iCs/>
          <w:vertAlign w:val="subscript"/>
        </w:rPr>
        <w:t>pv</w:t>
      </w:r>
      <w:proofErr w:type="spellEnd"/>
      <w:r w:rsidRPr="007C79AC">
        <w:rPr>
          <w:i/>
          <w:iCs/>
        </w:rPr>
        <w:t>(t) = P</w:t>
      </w:r>
      <w:r w:rsidRPr="007C79AC">
        <w:rPr>
          <w:i/>
          <w:iCs/>
          <w:vertAlign w:val="subscript"/>
        </w:rPr>
        <w:t>STC</w:t>
      </w:r>
      <w:r w:rsidRPr="007C79AC">
        <w:rPr>
          <w:i/>
          <w:iCs/>
        </w:rPr>
        <w:t xml:space="preserve"> · G</w:t>
      </w:r>
      <w:r w:rsidRPr="007C79AC">
        <w:rPr>
          <w:i/>
          <w:iCs/>
          <w:vertAlign w:val="subscript"/>
        </w:rPr>
        <w:t>POA</w:t>
      </w:r>
      <w:r w:rsidRPr="007C79AC">
        <w:rPr>
          <w:i/>
          <w:iCs/>
        </w:rPr>
        <w:t>(t)/1000 · [1 + γ(T</w:t>
      </w:r>
      <w:r w:rsidRPr="007C79AC">
        <w:rPr>
          <w:i/>
          <w:iCs/>
          <w:vertAlign w:val="subscript"/>
        </w:rPr>
        <w:t>c</w:t>
      </w:r>
      <w:r w:rsidRPr="007C79AC">
        <w:rPr>
          <w:i/>
          <w:iCs/>
        </w:rPr>
        <w:t>(t) − 25)] · (1 − f</w:t>
      </w:r>
      <w:r w:rsidRPr="007C79AC">
        <w:rPr>
          <w:i/>
          <w:iCs/>
          <w:vertAlign w:val="subscript"/>
        </w:rPr>
        <w:t>s</w:t>
      </w:r>
      <w:r w:rsidRPr="007C79AC">
        <w:rPr>
          <w:i/>
          <w:iCs/>
        </w:rPr>
        <w:t xml:space="preserve">) · </w:t>
      </w:r>
      <w:proofErr w:type="spellStart"/>
      <w:r w:rsidRPr="007C79AC">
        <w:rPr>
          <w:i/>
          <w:iCs/>
        </w:rPr>
        <w:t>η</w:t>
      </w:r>
      <w:r w:rsidRPr="007C79AC">
        <w:rPr>
          <w:i/>
          <w:iCs/>
          <w:vertAlign w:val="subscript"/>
        </w:rPr>
        <w:t>dc</w:t>
      </w:r>
      <w:proofErr w:type="spellEnd"/>
      <w:r>
        <w:tab/>
        <w:t>(4)</w:t>
      </w:r>
    </w:p>
    <w:p w14:paraId="56FDA0DC" w14:textId="77777777" w:rsidR="0071270A" w:rsidRDefault="0071270A" w:rsidP="0071270A">
      <w:pPr>
        <w:pStyle w:val="SWCText"/>
        <w:tabs>
          <w:tab w:val="right" w:pos="8425"/>
        </w:tabs>
        <w:spacing w:before="30"/>
        <w:ind w:left="340"/>
        <w:jc w:val="left"/>
      </w:pPr>
    </w:p>
    <w:p w14:paraId="23CD2D4E" w14:textId="3BAE7643" w:rsidR="007C79AC" w:rsidRDefault="007C79AC">
      <w:pPr>
        <w:pStyle w:val="SWCText"/>
      </w:pPr>
      <w:r>
        <w:t xml:space="preserve">Where γ = −0.0035 K⁻¹, a nominal-operating-cell-temperature model for Tc, with fs = 0.035 and </w:t>
      </w:r>
      <w:proofErr w:type="spellStart"/>
      <w:r>
        <w:t>ηdc</w:t>
      </w:r>
      <w:proofErr w:type="spellEnd"/>
      <w:r>
        <w:t xml:space="preserve"> = 0.975, yields a simulated specific energy output of 4.56 kWh per </w:t>
      </w:r>
      <w:proofErr w:type="spellStart"/>
      <w:r>
        <w:t>kWp</w:t>
      </w:r>
      <w:proofErr w:type="spellEnd"/>
      <w:r>
        <w:t xml:space="preserve"> per day. The charge and discharge processes of the bed were modelled using the two-phase Schumann model Schumann, </w:t>
      </w:r>
      <w:r w:rsidR="00AD5B36">
        <w:t>(</w:t>
      </w:r>
      <w:r>
        <w:t>1929). Given that the volumetric heat capacity of air is four orders of magnitude lower than that of the packing, the fluid phase is considered quasi-steady below</w:t>
      </w:r>
      <w:r w:rsidR="009355C0">
        <w:t>:</w:t>
      </w:r>
    </w:p>
    <w:p w14:paraId="26F04135" w14:textId="77777777" w:rsidR="00BA7B01" w:rsidRDefault="00000000">
      <w:pPr>
        <w:pStyle w:val="SWCText"/>
        <w:tabs>
          <w:tab w:val="right" w:pos="8425"/>
        </w:tabs>
        <w:spacing w:before="30"/>
        <w:ind w:left="340"/>
        <w:jc w:val="left"/>
      </w:pPr>
      <w:r w:rsidRPr="007C79AC">
        <w:rPr>
          <w:i/>
          <w:iCs/>
        </w:rPr>
        <w:t xml:space="preserve">G </w:t>
      </w:r>
      <w:proofErr w:type="spellStart"/>
      <w:proofErr w:type="gramStart"/>
      <w:r w:rsidRPr="007C79AC">
        <w:rPr>
          <w:i/>
          <w:iCs/>
        </w:rPr>
        <w:t>c</w:t>
      </w:r>
      <w:r w:rsidRPr="007C79AC">
        <w:rPr>
          <w:i/>
          <w:iCs/>
          <w:vertAlign w:val="subscript"/>
        </w:rPr>
        <w:t>p,f</w:t>
      </w:r>
      <w:proofErr w:type="spellEnd"/>
      <w:proofErr w:type="gramEnd"/>
      <w:r w:rsidRPr="007C79AC">
        <w:rPr>
          <w:i/>
          <w:iCs/>
        </w:rPr>
        <w:t xml:space="preserve"> (</w:t>
      </w:r>
      <w:proofErr w:type="spellStart"/>
      <w:r w:rsidRPr="007C79AC">
        <w:rPr>
          <w:i/>
          <w:iCs/>
        </w:rPr>
        <w:t>dT</w:t>
      </w:r>
      <w:r w:rsidRPr="007C79AC">
        <w:rPr>
          <w:i/>
          <w:iCs/>
          <w:vertAlign w:val="subscript"/>
        </w:rPr>
        <w:t>f</w:t>
      </w:r>
      <w:proofErr w:type="spellEnd"/>
      <w:r w:rsidRPr="007C79AC">
        <w:rPr>
          <w:i/>
          <w:iCs/>
        </w:rPr>
        <w:t>/</w:t>
      </w:r>
      <w:proofErr w:type="spellStart"/>
      <w:r w:rsidRPr="007C79AC">
        <w:rPr>
          <w:i/>
          <w:iCs/>
        </w:rPr>
        <w:t>dz</w:t>
      </w:r>
      <w:proofErr w:type="spellEnd"/>
      <w:r w:rsidRPr="007C79AC">
        <w:rPr>
          <w:i/>
          <w:iCs/>
        </w:rPr>
        <w:t>) = − h</w:t>
      </w:r>
      <w:r w:rsidRPr="007C79AC">
        <w:rPr>
          <w:i/>
          <w:iCs/>
          <w:vertAlign w:val="subscript"/>
        </w:rPr>
        <w:t>v</w:t>
      </w:r>
      <w:r w:rsidRPr="007C79AC">
        <w:rPr>
          <w:i/>
          <w:iCs/>
        </w:rPr>
        <w:t xml:space="preserve"> (</w:t>
      </w:r>
      <w:proofErr w:type="spellStart"/>
      <w:r w:rsidRPr="007C79AC">
        <w:rPr>
          <w:i/>
          <w:iCs/>
        </w:rPr>
        <w:t>T</w:t>
      </w:r>
      <w:r w:rsidRPr="007C79AC">
        <w:rPr>
          <w:i/>
          <w:iCs/>
          <w:vertAlign w:val="subscript"/>
        </w:rPr>
        <w:t>f</w:t>
      </w:r>
      <w:proofErr w:type="spellEnd"/>
      <w:r w:rsidRPr="007C79AC">
        <w:rPr>
          <w:i/>
          <w:iCs/>
        </w:rPr>
        <w:t xml:space="preserve"> − T</w:t>
      </w:r>
      <w:r w:rsidRPr="007C79AC">
        <w:rPr>
          <w:i/>
          <w:iCs/>
          <w:vertAlign w:val="subscript"/>
        </w:rPr>
        <w:t>s</w:t>
      </w:r>
      <w:r w:rsidRPr="007C79AC">
        <w:rPr>
          <w:i/>
          <w:iCs/>
        </w:rPr>
        <w:t xml:space="preserve">), (1 − ε) </w:t>
      </w:r>
      <w:proofErr w:type="spellStart"/>
      <w:r w:rsidRPr="007C79AC">
        <w:rPr>
          <w:i/>
          <w:iCs/>
        </w:rPr>
        <w:t>ρ</w:t>
      </w:r>
      <w:r w:rsidRPr="007C79AC">
        <w:rPr>
          <w:i/>
          <w:iCs/>
          <w:vertAlign w:val="subscript"/>
        </w:rPr>
        <w:t>s</w:t>
      </w:r>
      <w:proofErr w:type="spellEnd"/>
      <w:r w:rsidRPr="007C79AC">
        <w:rPr>
          <w:i/>
          <w:iCs/>
        </w:rPr>
        <w:t xml:space="preserve"> </w:t>
      </w:r>
      <w:proofErr w:type="spellStart"/>
      <w:proofErr w:type="gramStart"/>
      <w:r w:rsidRPr="007C79AC">
        <w:rPr>
          <w:i/>
          <w:iCs/>
        </w:rPr>
        <w:t>c</w:t>
      </w:r>
      <w:r w:rsidRPr="007C79AC">
        <w:rPr>
          <w:i/>
          <w:iCs/>
          <w:vertAlign w:val="subscript"/>
        </w:rPr>
        <w:t>p,s</w:t>
      </w:r>
      <w:proofErr w:type="spellEnd"/>
      <w:proofErr w:type="gramEnd"/>
      <w:r w:rsidRPr="007C79AC">
        <w:rPr>
          <w:i/>
          <w:iCs/>
        </w:rPr>
        <w:t>(T</w:t>
      </w:r>
      <w:r w:rsidRPr="007C79AC">
        <w:rPr>
          <w:i/>
          <w:iCs/>
          <w:vertAlign w:val="subscript"/>
        </w:rPr>
        <w:t>s</w:t>
      </w:r>
      <w:r w:rsidRPr="007C79AC">
        <w:rPr>
          <w:i/>
          <w:iCs/>
        </w:rPr>
        <w:t>) (∂T</w:t>
      </w:r>
      <w:r w:rsidRPr="007C79AC">
        <w:rPr>
          <w:i/>
          <w:iCs/>
          <w:vertAlign w:val="subscript"/>
        </w:rPr>
        <w:t>s</w:t>
      </w:r>
      <w:r w:rsidRPr="007C79AC">
        <w:rPr>
          <w:i/>
          <w:iCs/>
        </w:rPr>
        <w:t>/∂t) = h</w:t>
      </w:r>
      <w:r w:rsidRPr="007C79AC">
        <w:rPr>
          <w:i/>
          <w:iCs/>
          <w:vertAlign w:val="subscript"/>
        </w:rPr>
        <w:t>v</w:t>
      </w:r>
      <w:r w:rsidRPr="007C79AC">
        <w:rPr>
          <w:i/>
          <w:iCs/>
        </w:rPr>
        <w:t xml:space="preserve"> (</w:t>
      </w:r>
      <w:proofErr w:type="spellStart"/>
      <w:r w:rsidRPr="007C79AC">
        <w:rPr>
          <w:i/>
          <w:iCs/>
        </w:rPr>
        <w:t>T</w:t>
      </w:r>
      <w:r w:rsidRPr="007C79AC">
        <w:rPr>
          <w:i/>
          <w:iCs/>
          <w:vertAlign w:val="subscript"/>
        </w:rPr>
        <w:t>f</w:t>
      </w:r>
      <w:proofErr w:type="spellEnd"/>
      <w:r w:rsidRPr="007C79AC">
        <w:rPr>
          <w:i/>
          <w:iCs/>
        </w:rPr>
        <w:t xml:space="preserve"> − T</w:t>
      </w:r>
      <w:r w:rsidRPr="007C79AC">
        <w:rPr>
          <w:i/>
          <w:iCs/>
          <w:vertAlign w:val="subscript"/>
        </w:rPr>
        <w:t>s</w:t>
      </w:r>
      <w:r w:rsidRPr="007C79AC">
        <w:rPr>
          <w:i/>
          <w:iCs/>
        </w:rPr>
        <w:t xml:space="preserve">) + </w:t>
      </w:r>
      <w:proofErr w:type="spellStart"/>
      <w:r w:rsidRPr="007C79AC">
        <w:rPr>
          <w:i/>
          <w:iCs/>
        </w:rPr>
        <w:t>k</w:t>
      </w:r>
      <w:r w:rsidRPr="007C79AC">
        <w:rPr>
          <w:i/>
          <w:iCs/>
          <w:vertAlign w:val="subscript"/>
        </w:rPr>
        <w:t>eff</w:t>
      </w:r>
      <w:proofErr w:type="spellEnd"/>
      <w:r w:rsidRPr="007C79AC">
        <w:rPr>
          <w:i/>
          <w:iCs/>
        </w:rPr>
        <w:t xml:space="preserve"> (∂²T</w:t>
      </w:r>
      <w:r w:rsidRPr="007C79AC">
        <w:rPr>
          <w:i/>
          <w:iCs/>
          <w:vertAlign w:val="subscript"/>
        </w:rPr>
        <w:t>s</w:t>
      </w:r>
      <w:r w:rsidRPr="007C79AC">
        <w:rPr>
          <w:i/>
          <w:iCs/>
        </w:rPr>
        <w:t>/∂z²)</w:t>
      </w:r>
      <w:r>
        <w:tab/>
        <w:t>(5)</w:t>
      </w:r>
    </w:p>
    <w:p w14:paraId="3BB7C17A" w14:textId="77777777" w:rsidR="007C79AC" w:rsidRDefault="007C79AC">
      <w:pPr>
        <w:pStyle w:val="SWCText"/>
      </w:pPr>
    </w:p>
    <w:p w14:paraId="5E8477FD" w14:textId="5709106C" w:rsidR="006505D7" w:rsidRDefault="006505D7">
      <w:pPr>
        <w:pStyle w:val="SWCText"/>
      </w:pPr>
      <w:r>
        <w:t xml:space="preserve">The fluid equation is integrated analytically across a cell, </w:t>
      </w:r>
      <w:r w:rsidR="00E15332">
        <w:t xml:space="preserve">yielding the unconditionally stable marching solution </w:t>
      </w:r>
      <w:proofErr w:type="spellStart"/>
      <w:proofErr w:type="gramStart"/>
      <w:r w:rsidR="00E15332">
        <w:t>T</w:t>
      </w:r>
      <w:r w:rsidR="00E15332" w:rsidRPr="00E15332">
        <w:rPr>
          <w:vertAlign w:val="subscript"/>
        </w:rPr>
        <w:t>f</w:t>
      </w:r>
      <w:proofErr w:type="spellEnd"/>
      <w:r w:rsidR="00E15332">
        <w:t>(</w:t>
      </w:r>
      <w:proofErr w:type="gramEnd"/>
      <w:r w:rsidR="00E15332">
        <w:t xml:space="preserve">z + </w:t>
      </w:r>
      <w:proofErr w:type="spellStart"/>
      <w:r w:rsidR="00E15332">
        <w:t>Δz</w:t>
      </w:r>
      <w:proofErr w:type="spellEnd"/>
      <w:r w:rsidR="00E15332">
        <w:t>) = T</w:t>
      </w:r>
      <w:r w:rsidR="00E15332" w:rsidRPr="00E15332">
        <w:rPr>
          <w:vertAlign w:val="subscript"/>
        </w:rPr>
        <w:t>s</w:t>
      </w:r>
      <w:r w:rsidR="00E15332">
        <w:t xml:space="preserve"> + [</w:t>
      </w:r>
      <w:proofErr w:type="spellStart"/>
      <w:r w:rsidR="00E15332">
        <w:t>T</w:t>
      </w:r>
      <w:r w:rsidR="00E15332" w:rsidRPr="00E15332">
        <w:rPr>
          <w:vertAlign w:val="subscript"/>
        </w:rPr>
        <w:t>f</w:t>
      </w:r>
      <w:proofErr w:type="spellEnd"/>
      <w:r w:rsidR="00E15332" w:rsidRPr="00E15332">
        <w:rPr>
          <w:vertAlign w:val="subscript"/>
        </w:rPr>
        <w:t>(z)</w:t>
      </w:r>
      <w:r w:rsidR="00E15332">
        <w:t xml:space="preserve"> − T</w:t>
      </w:r>
      <w:r w:rsidR="00E15332" w:rsidRPr="00E15332">
        <w:rPr>
          <w:vertAlign w:val="subscript"/>
        </w:rPr>
        <w:t>s</w:t>
      </w:r>
      <w:r w:rsidR="00E15332">
        <w:t>]</w:t>
      </w:r>
      <w:r>
        <w:t xml:space="preserve">. Conversely, the solid equation is advanced explicitly with a time step </w:t>
      </w:r>
      <w:proofErr w:type="spellStart"/>
      <w:r>
        <w:t>Δt</w:t>
      </w:r>
      <w:proofErr w:type="spellEnd"/>
      <w:r>
        <w:t xml:space="preserve"> = 15 </w:t>
      </w:r>
      <w:r>
        <w:lastRenderedPageBreak/>
        <w:t xml:space="preserve">seconds over 160 axial nodes. The volumetric heat transfer coefficient employs the </w:t>
      </w:r>
      <w:proofErr w:type="spellStart"/>
      <w:r>
        <w:t>Coutier</w:t>
      </w:r>
      <w:proofErr w:type="spellEnd"/>
      <w:r>
        <w:t>–Farber correlation hv = 700 (G/</w:t>
      </w:r>
      <w:proofErr w:type="spellStart"/>
      <w:proofErr w:type="gramStart"/>
      <w:r>
        <w:t>d</w:t>
      </w:r>
      <w:r w:rsidRPr="00E15332">
        <w:rPr>
          <w:vertAlign w:val="subscript"/>
        </w:rPr>
        <w:t>p</w:t>
      </w:r>
      <w:proofErr w:type="spellEnd"/>
      <w:r>
        <w:t>){</w:t>
      </w:r>
      <w:proofErr w:type="gramEnd"/>
      <w:r>
        <w:t>0.92} W m⁻³ K⁻¹ (</w:t>
      </w:r>
      <w:proofErr w:type="spellStart"/>
      <w:r>
        <w:t>Coutier</w:t>
      </w:r>
      <w:proofErr w:type="spellEnd"/>
      <w:r>
        <w:t xml:space="preserve"> &amp; Farber, 1982). The effective axial thermal conductivity is thrice the solid conductivity to account for contact conduction and radiation across voids </w:t>
      </w:r>
      <w:proofErr w:type="spellStart"/>
      <w:r>
        <w:t>Hänchen</w:t>
      </w:r>
      <w:proofErr w:type="spellEnd"/>
      <w:r>
        <w:t xml:space="preserve"> et al., </w:t>
      </w:r>
      <w:r w:rsidR="00AD5B36">
        <w:t>(</w:t>
      </w:r>
      <w:r>
        <w:t>2011</w:t>
      </w:r>
      <w:r w:rsidR="00AD5B36">
        <w:t>)</w:t>
      </w:r>
      <w:r>
        <w:t xml:space="preserve">; </w:t>
      </w:r>
      <w:proofErr w:type="spellStart"/>
      <w:r>
        <w:t>Esence</w:t>
      </w:r>
      <w:proofErr w:type="spellEnd"/>
      <w:r>
        <w:t xml:space="preserve"> et al., </w:t>
      </w:r>
      <w:r w:rsidR="00AD5B36">
        <w:t>(</w:t>
      </w:r>
      <w:r>
        <w:t>2017). The Number of Transfer Units (NTU) is defined as NTU = hv L Ac</w:t>
      </w:r>
      <w:proofErr w:type="gramStart"/>
      <w:r>
        <w:t>/(</w:t>
      </w:r>
      <w:proofErr w:type="gramEnd"/>
      <w:r>
        <w:t xml:space="preserve">ṁ </w:t>
      </w:r>
      <w:proofErr w:type="spellStart"/>
      <w:proofErr w:type="gramStart"/>
      <w:r>
        <w:t>cp,f</w:t>
      </w:r>
      <w:proofErr w:type="spellEnd"/>
      <w:proofErr w:type="gramEnd"/>
      <w:r>
        <w:t xml:space="preserve">), and the </w:t>
      </w:r>
      <w:proofErr w:type="spellStart"/>
      <w:r w:rsidR="00E15332">
        <w:t>utilisation</w:t>
      </w:r>
      <w:proofErr w:type="spellEnd"/>
      <w:r>
        <w:t xml:space="preserve"> factor is </w:t>
      </w:r>
      <w:proofErr w:type="spellStart"/>
      <w:r>
        <w:t>η</w:t>
      </w:r>
      <w:r w:rsidRPr="00E15332">
        <w:rPr>
          <w:vertAlign w:val="subscript"/>
        </w:rPr>
        <w:t>u</w:t>
      </w:r>
      <w:proofErr w:type="spellEnd"/>
      <w:r>
        <w:t xml:space="preserve"> = E</w:t>
      </w:r>
      <w:r w:rsidRPr="00E15332">
        <w:rPr>
          <w:vertAlign w:val="subscript"/>
        </w:rPr>
        <w:t>del</w:t>
      </w:r>
      <w:r>
        <w:t>/</w:t>
      </w:r>
      <w:proofErr w:type="spellStart"/>
      <w:r>
        <w:t>E</w:t>
      </w:r>
      <w:r w:rsidRPr="00E15332">
        <w:rPr>
          <w:vertAlign w:val="subscript"/>
        </w:rPr>
        <w:t>inst</w:t>
      </w:r>
      <w:proofErr w:type="spellEnd"/>
      <w:r>
        <w:t xml:space="preserve">. The pressure drop is </w:t>
      </w:r>
      <w:r w:rsidR="00E15332">
        <w:t>modelled</w:t>
      </w:r>
      <w:r>
        <w:t xml:space="preserve"> according to the Ergun equation, assuming a sphericity of 0.82 (Ergun, 1952; Allen et al., 2015)</w:t>
      </w:r>
      <w:r w:rsidR="009355C0">
        <w:t>:</w:t>
      </w:r>
    </w:p>
    <w:p w14:paraId="75F659B4" w14:textId="49305445" w:rsidR="00BA7B01" w:rsidRDefault="00000000">
      <w:pPr>
        <w:pStyle w:val="SWCText"/>
        <w:tabs>
          <w:tab w:val="right" w:pos="8425"/>
        </w:tabs>
        <w:spacing w:before="30"/>
        <w:ind w:left="340"/>
        <w:jc w:val="left"/>
      </w:pPr>
      <w:proofErr w:type="spellStart"/>
      <w:r w:rsidRPr="005838EA">
        <w:rPr>
          <w:i/>
          <w:iCs/>
        </w:rPr>
        <w:t>Δp</w:t>
      </w:r>
      <w:proofErr w:type="spellEnd"/>
      <w:r w:rsidRPr="005838EA">
        <w:rPr>
          <w:i/>
          <w:iCs/>
        </w:rPr>
        <w:t xml:space="preserve">/L = 150 μ (1 − </w:t>
      </w:r>
      <w:proofErr w:type="gramStart"/>
      <w:r w:rsidRPr="005838EA">
        <w:rPr>
          <w:i/>
          <w:iCs/>
        </w:rPr>
        <w:t>ε)²</w:t>
      </w:r>
      <w:proofErr w:type="gramEnd"/>
      <w:r w:rsidRPr="005838EA">
        <w:rPr>
          <w:i/>
          <w:iCs/>
        </w:rPr>
        <w:t xml:space="preserve"> u</w:t>
      </w:r>
      <w:proofErr w:type="gramStart"/>
      <w:r w:rsidRPr="005838EA">
        <w:rPr>
          <w:i/>
          <w:iCs/>
        </w:rPr>
        <w:t>/(</w:t>
      </w:r>
      <w:proofErr w:type="gramEnd"/>
      <w:r w:rsidRPr="005838EA">
        <w:rPr>
          <w:i/>
          <w:iCs/>
        </w:rPr>
        <w:t>ε³ d</w:t>
      </w:r>
      <w:r w:rsidRPr="005838EA">
        <w:rPr>
          <w:i/>
          <w:iCs/>
          <w:vertAlign w:val="subscript"/>
        </w:rPr>
        <w:t>e</w:t>
      </w:r>
      <w:r w:rsidRPr="005838EA">
        <w:rPr>
          <w:i/>
          <w:iCs/>
        </w:rPr>
        <w:t xml:space="preserve">²) + 1.75 (1 − ε) </w:t>
      </w:r>
      <w:proofErr w:type="spellStart"/>
      <w:r w:rsidRPr="005838EA">
        <w:rPr>
          <w:i/>
          <w:iCs/>
        </w:rPr>
        <w:t>ρ</w:t>
      </w:r>
      <w:r w:rsidRPr="005838EA">
        <w:rPr>
          <w:i/>
          <w:iCs/>
          <w:vertAlign w:val="subscript"/>
        </w:rPr>
        <w:t>f</w:t>
      </w:r>
      <w:proofErr w:type="spellEnd"/>
      <w:r w:rsidRPr="005838EA">
        <w:rPr>
          <w:i/>
          <w:iCs/>
        </w:rPr>
        <w:t xml:space="preserve"> u²</w:t>
      </w:r>
      <w:r w:rsidR="009355C0" w:rsidRPr="005838EA">
        <w:rPr>
          <w:i/>
          <w:iCs/>
        </w:rPr>
        <w:t>/ (</w:t>
      </w:r>
      <w:r w:rsidRPr="005838EA">
        <w:rPr>
          <w:i/>
          <w:iCs/>
        </w:rPr>
        <w:t>ε³ d</w:t>
      </w:r>
      <w:r w:rsidRPr="005838EA">
        <w:rPr>
          <w:i/>
          <w:iCs/>
          <w:vertAlign w:val="subscript"/>
        </w:rPr>
        <w:t>e</w:t>
      </w:r>
      <w:r w:rsidRPr="005838EA">
        <w:rPr>
          <w:i/>
          <w:iCs/>
        </w:rPr>
        <w:t>)</w:t>
      </w:r>
      <w:r>
        <w:tab/>
        <w:t>(6)</w:t>
      </w:r>
    </w:p>
    <w:p w14:paraId="58D365F3" w14:textId="77777777" w:rsidR="006505D7" w:rsidRDefault="006505D7">
      <w:pPr>
        <w:pStyle w:val="SWCText"/>
      </w:pPr>
    </w:p>
    <w:p w14:paraId="17100BD3" w14:textId="7B37ABC9" w:rsidR="00915391" w:rsidRDefault="005838EA" w:rsidP="0071270A">
      <w:pPr>
        <w:pStyle w:val="SWCText"/>
      </w:pPr>
      <w:r>
        <w:t>Where d</w:t>
      </w:r>
      <w:r w:rsidRPr="005838EA">
        <w:rPr>
          <w:vertAlign w:val="subscript"/>
        </w:rPr>
        <w:t>e</w:t>
      </w:r>
      <w:r>
        <w:t xml:space="preserve"> = </w:t>
      </w:r>
      <w:proofErr w:type="spellStart"/>
      <w:r>
        <w:t>φd</w:t>
      </w:r>
      <w:r w:rsidRPr="005838EA">
        <w:rPr>
          <w:vertAlign w:val="subscript"/>
        </w:rPr>
        <w:t>p</w:t>
      </w:r>
      <w:proofErr w:type="spellEnd"/>
      <w:r>
        <w:t xml:space="preserve"> and blower shaft power </w:t>
      </w:r>
      <w:proofErr w:type="spellStart"/>
      <w:r>
        <w:t>P</w:t>
      </w:r>
      <w:r w:rsidRPr="005838EA">
        <w:rPr>
          <w:vertAlign w:val="subscript"/>
        </w:rPr>
        <w:t>fan</w:t>
      </w:r>
      <w:proofErr w:type="spellEnd"/>
      <w:r>
        <w:t xml:space="preserve"> = </w:t>
      </w:r>
      <w:proofErr w:type="spellStart"/>
      <w:r>
        <w:t>ṁΔ</w:t>
      </w:r>
      <w:r w:rsidRPr="005838EA">
        <w:rPr>
          <w:vertAlign w:val="subscript"/>
        </w:rPr>
        <w:t>p</w:t>
      </w:r>
      <w:proofErr w:type="spellEnd"/>
      <w:r w:rsidR="009355C0">
        <w:t>/ (</w:t>
      </w:r>
      <w:proofErr w:type="spellStart"/>
      <w:r>
        <w:t>ρf</w:t>
      </w:r>
      <w:proofErr w:type="spellEnd"/>
      <w:r>
        <w:t xml:space="preserve"> </w:t>
      </w:r>
      <w:proofErr w:type="spellStart"/>
      <w:r>
        <w:t>η</w:t>
      </w:r>
      <w:r w:rsidRPr="005838EA">
        <w:rPr>
          <w:vertAlign w:val="subscript"/>
        </w:rPr>
        <w:t>fan</w:t>
      </w:r>
      <w:proofErr w:type="spellEnd"/>
      <w:r>
        <w:t xml:space="preserve">), with </w:t>
      </w:r>
      <w:proofErr w:type="spellStart"/>
      <w:r>
        <w:t>η</w:t>
      </w:r>
      <w:r w:rsidRPr="005838EA">
        <w:rPr>
          <w:vertAlign w:val="subscript"/>
        </w:rPr>
        <w:t>fan</w:t>
      </w:r>
      <w:proofErr w:type="spellEnd"/>
      <w:r>
        <w:t xml:space="preserve"> = 0.45. The storage, array, and firing schedule were integrated within an event-driven hourly simulation spanning one year. A firing scheduled for a day commences at 01:00 if the hot system maintains at least 85% of its achievable capacity. Otherwise, it is deferred by 24 hours, up to a maximum of eight days. Phase-II demand is </w:t>
      </w:r>
      <w:proofErr w:type="spellStart"/>
      <w:r>
        <w:t>prioritised</w:t>
      </w:r>
      <w:proofErr w:type="spellEnd"/>
      <w:r>
        <w:t xml:space="preserve"> from direct array output, while Phase-I demand is supplied from the TES storage. Charging is permissible solely within a designated window preceding the subsequent planned firing. Standby losses are derived from the converged envelope solution and scaled according to the bed’s mean temperature as </w:t>
      </w:r>
      <w:proofErr w:type="spellStart"/>
      <w:r>
        <w:t>P</w:t>
      </w:r>
      <w:r w:rsidRPr="005838EA">
        <w:rPr>
          <w:vertAlign w:val="subscript"/>
        </w:rPr>
        <w:t>sb</w:t>
      </w:r>
      <w:proofErr w:type="spellEnd"/>
      <w:r>
        <w:t xml:space="preserve"> = </w:t>
      </w:r>
      <w:proofErr w:type="spellStart"/>
      <w:r>
        <w:t>q</w:t>
      </w:r>
      <w:r w:rsidRPr="005838EA">
        <w:rPr>
          <w:vertAlign w:val="subscript"/>
        </w:rPr>
        <w:t>full</w:t>
      </w:r>
      <w:proofErr w:type="spellEnd"/>
      <w:r>
        <w:rPr>
          <w:vertAlign w:val="subscript"/>
        </w:rPr>
        <w:t xml:space="preserve"> </w:t>
      </w:r>
      <w:r>
        <w:t>[0.20 + 0.80 SOC/</w:t>
      </w:r>
      <w:proofErr w:type="spellStart"/>
      <w:r>
        <w:t>E</w:t>
      </w:r>
      <w:r w:rsidRPr="005838EA">
        <w:rPr>
          <w:vertAlign w:val="subscript"/>
        </w:rPr>
        <w:t>cap</w:t>
      </w:r>
      <w:proofErr w:type="spellEnd"/>
      <w:r>
        <w:t xml:space="preserve">], where </w:t>
      </w:r>
      <w:proofErr w:type="spellStart"/>
      <w:r>
        <w:t>q</w:t>
      </w:r>
      <w:r w:rsidRPr="005838EA">
        <w:rPr>
          <w:vertAlign w:val="subscript"/>
        </w:rPr>
        <w:t>full</w:t>
      </w:r>
      <w:proofErr w:type="spellEnd"/>
      <w:r>
        <w:t xml:space="preserve"> = 2199 W at </w:t>
      </w:r>
      <w:r w:rsidR="0071270A">
        <w:t xml:space="preserve">a steady temperature of </w:t>
      </w:r>
      <w:r>
        <w:t xml:space="preserve">780 °C, with a portion of the chamber enthalpy recovered into the bed six hours into the cooling process </w:t>
      </w:r>
      <w:proofErr w:type="spellStart"/>
      <w:r>
        <w:t>Jouhara</w:t>
      </w:r>
      <w:proofErr w:type="spellEnd"/>
      <w:r>
        <w:t xml:space="preserve"> et al. </w:t>
      </w:r>
      <w:r w:rsidR="00AD5B36">
        <w:t>(</w:t>
      </w:r>
      <w:r>
        <w:t>2018).</w:t>
      </w:r>
    </w:p>
    <w:p w14:paraId="243DF6BC" w14:textId="77777777" w:rsidR="0071270A" w:rsidRDefault="0071270A">
      <w:pPr>
        <w:pStyle w:val="SWCHeading11"/>
        <w:keepNext/>
      </w:pPr>
    </w:p>
    <w:p w14:paraId="4AB4C681" w14:textId="69EC2B17" w:rsidR="00BA7B01" w:rsidRDefault="00000000">
      <w:pPr>
        <w:pStyle w:val="SWCHeading11"/>
        <w:keepNext/>
      </w:pPr>
      <w:r>
        <w:t>2.5 Energy, exergy, techno-economic and environmental models</w:t>
      </w:r>
    </w:p>
    <w:p w14:paraId="143011FE" w14:textId="4B95AD03" w:rsidR="00BA7B01" w:rsidRDefault="00AD5B36">
      <w:pPr>
        <w:pStyle w:val="SWCText"/>
      </w:pPr>
      <w:r>
        <w:t xml:space="preserve">Dincer &amp; Rosen (2021), Rosen (1992), and Bejan (2016) discuss the thermal exergy of sensible storage between </w:t>
      </w:r>
      <w:proofErr w:type="spellStart"/>
      <w:r>
        <w:t>T</w:t>
      </w:r>
      <w:r w:rsidRPr="00AD5B36">
        <w:rPr>
          <w:vertAlign w:val="subscript"/>
        </w:rPr>
        <w:t>lo</w:t>
      </w:r>
      <w:proofErr w:type="spellEnd"/>
      <w:r>
        <w:t xml:space="preserve"> and </w:t>
      </w:r>
      <w:proofErr w:type="spellStart"/>
      <w:r>
        <w:t>T</w:t>
      </w:r>
      <w:r w:rsidRPr="00AD5B36">
        <w:rPr>
          <w:vertAlign w:val="subscript"/>
        </w:rPr>
        <w:t>hi</w:t>
      </w:r>
      <w:proofErr w:type="spellEnd"/>
      <w:r>
        <w:t>, the dead state T₀, the exergy factor of a stream, and the entire-system efficiencies referenced to the DC output array</w:t>
      </w:r>
      <w:r w:rsidR="009355C0">
        <w:t>:</w:t>
      </w:r>
    </w:p>
    <w:p w14:paraId="76CC39CF" w14:textId="77777777" w:rsidR="00E15332" w:rsidRDefault="00E15332">
      <w:pPr>
        <w:pStyle w:val="SWCText"/>
      </w:pPr>
    </w:p>
    <w:p w14:paraId="132EE98F" w14:textId="77777777" w:rsidR="00BA7B01" w:rsidRDefault="00000000">
      <w:pPr>
        <w:pStyle w:val="SWCText"/>
        <w:tabs>
          <w:tab w:val="right" w:pos="8425"/>
        </w:tabs>
        <w:spacing w:before="30"/>
        <w:ind w:left="340"/>
        <w:jc w:val="left"/>
      </w:pPr>
      <w:r w:rsidRPr="005838EA">
        <w:rPr>
          <w:i/>
          <w:iCs/>
        </w:rPr>
        <w:t>B = ΔH − T₀ ΔS = m ∫ c</w:t>
      </w:r>
      <w:r w:rsidRPr="005838EA">
        <w:rPr>
          <w:i/>
          <w:iCs/>
          <w:vertAlign w:val="subscript"/>
        </w:rPr>
        <w:t>p</w:t>
      </w:r>
      <w:r w:rsidRPr="005838EA">
        <w:rPr>
          <w:i/>
          <w:iCs/>
        </w:rPr>
        <w:t>(T) dT − m T₀ ∫ c</w:t>
      </w:r>
      <w:r w:rsidRPr="005838EA">
        <w:rPr>
          <w:i/>
          <w:iCs/>
          <w:vertAlign w:val="subscript"/>
        </w:rPr>
        <w:t>p</w:t>
      </w:r>
      <w:r w:rsidRPr="005838EA">
        <w:rPr>
          <w:i/>
          <w:iCs/>
        </w:rPr>
        <w:t xml:space="preserve">(T)/T dT, ψ = B/ΔH, </w:t>
      </w:r>
      <w:proofErr w:type="spellStart"/>
      <w:r w:rsidRPr="005838EA">
        <w:rPr>
          <w:i/>
          <w:iCs/>
        </w:rPr>
        <w:t>η</w:t>
      </w:r>
      <w:r w:rsidRPr="005838EA">
        <w:rPr>
          <w:i/>
          <w:iCs/>
          <w:vertAlign w:val="subscript"/>
        </w:rPr>
        <w:t>en</w:t>
      </w:r>
      <w:proofErr w:type="spellEnd"/>
      <w:r w:rsidRPr="005838EA">
        <w:rPr>
          <w:i/>
          <w:iCs/>
        </w:rPr>
        <w:t xml:space="preserve"> = </w:t>
      </w:r>
      <w:proofErr w:type="spellStart"/>
      <w:r w:rsidRPr="005838EA">
        <w:rPr>
          <w:i/>
          <w:iCs/>
        </w:rPr>
        <w:t>Q</w:t>
      </w:r>
      <w:r w:rsidRPr="005838EA">
        <w:rPr>
          <w:i/>
          <w:iCs/>
          <w:vertAlign w:val="subscript"/>
        </w:rPr>
        <w:t>ware</w:t>
      </w:r>
      <w:proofErr w:type="spellEnd"/>
      <w:r w:rsidRPr="005838EA">
        <w:rPr>
          <w:i/>
          <w:iCs/>
        </w:rPr>
        <w:t>/E</w:t>
      </w:r>
      <w:r w:rsidRPr="005838EA">
        <w:rPr>
          <w:i/>
          <w:iCs/>
          <w:vertAlign w:val="subscript"/>
        </w:rPr>
        <w:t>PV</w:t>
      </w:r>
      <w:r w:rsidRPr="005838EA">
        <w:rPr>
          <w:i/>
          <w:iCs/>
        </w:rPr>
        <w:t xml:space="preserve">, </w:t>
      </w:r>
      <w:proofErr w:type="spellStart"/>
      <w:r w:rsidRPr="005838EA">
        <w:rPr>
          <w:i/>
          <w:iCs/>
        </w:rPr>
        <w:t>η</w:t>
      </w:r>
      <w:r w:rsidRPr="005838EA">
        <w:rPr>
          <w:i/>
          <w:iCs/>
          <w:vertAlign w:val="subscript"/>
        </w:rPr>
        <w:t>ex</w:t>
      </w:r>
      <w:proofErr w:type="spellEnd"/>
      <w:r w:rsidRPr="005838EA">
        <w:rPr>
          <w:i/>
          <w:iCs/>
        </w:rPr>
        <w:t xml:space="preserve"> = </w:t>
      </w:r>
      <w:proofErr w:type="spellStart"/>
      <w:r w:rsidRPr="005838EA">
        <w:rPr>
          <w:i/>
          <w:iCs/>
        </w:rPr>
        <w:t>B</w:t>
      </w:r>
      <w:r w:rsidRPr="005838EA">
        <w:rPr>
          <w:i/>
          <w:iCs/>
          <w:vertAlign w:val="subscript"/>
        </w:rPr>
        <w:t>ware</w:t>
      </w:r>
      <w:proofErr w:type="spellEnd"/>
      <w:r w:rsidRPr="005838EA">
        <w:rPr>
          <w:i/>
          <w:iCs/>
        </w:rPr>
        <w:t>/E</w:t>
      </w:r>
      <w:r w:rsidRPr="005838EA">
        <w:rPr>
          <w:i/>
          <w:iCs/>
          <w:vertAlign w:val="subscript"/>
        </w:rPr>
        <w:t>PV</w:t>
      </w:r>
      <w:r>
        <w:tab/>
        <w:t>(7)</w:t>
      </w:r>
    </w:p>
    <w:p w14:paraId="7CFCDCAA" w14:textId="77777777" w:rsidR="005838EA" w:rsidRDefault="005838EA">
      <w:pPr>
        <w:pStyle w:val="SWCText"/>
      </w:pPr>
    </w:p>
    <w:p w14:paraId="234FDD88" w14:textId="2C3A7B6E" w:rsidR="005838EA" w:rsidRDefault="005838EA">
      <w:pPr>
        <w:pStyle w:val="SWCText"/>
      </w:pPr>
      <w:r>
        <w:t xml:space="preserve">Reporting both aspects is essential: energy efficiency rewards </w:t>
      </w:r>
      <w:r w:rsidR="00E15332">
        <w:t>heat transfer, whereas exergy efficiency reveals the cost of</w:t>
      </w:r>
      <w:r>
        <w:t xml:space="preserve"> storing high-grade electricity as moderate-grade sensible heat and subsequently up</w:t>
      </w:r>
      <w:r w:rsidR="006B53C2">
        <w:t>holding</w:t>
      </w:r>
      <w:r>
        <w:t xml:space="preserve"> it</w:t>
      </w:r>
      <w:r w:rsidR="006B53C2">
        <w:t xml:space="preserve"> for efficacy</w:t>
      </w:r>
      <w:r>
        <w:t>. Capital costs were meticulously</w:t>
      </w:r>
      <w:r w:rsidR="006B53C2">
        <w:t xml:space="preserve"> </w:t>
      </w:r>
      <w:proofErr w:type="spellStart"/>
      <w:r w:rsidR="006B53C2">
        <w:t>analysed</w:t>
      </w:r>
      <w:proofErr w:type="spellEnd"/>
      <w:r>
        <w:t xml:space="preserve"> </w:t>
      </w:r>
      <w:r w:rsidR="006B53C2">
        <w:t>per</w:t>
      </w:r>
      <w:r>
        <w:t xml:space="preserve"> item at 2026 delivered prices in Ghana, including an 8% contingency</w:t>
      </w:r>
      <w:r w:rsidR="006B53C2">
        <w:t>.</w:t>
      </w:r>
      <w:r>
        <w:t xml:space="preserve"> </w:t>
      </w:r>
      <w:r w:rsidR="006B53C2">
        <w:t>Operating costs include</w:t>
      </w:r>
      <w:r>
        <w:t xml:space="preserve"> maintenance at 1.2% of capital, insurance at 0.8%, a controls allowance, and a sinking fund for element replacement. Four benefit streams are acknowledged: avoided firewood expenditure, recovered yield from reduced breakage, </w:t>
      </w:r>
      <w:proofErr w:type="spellStart"/>
      <w:r>
        <w:t>monetised</w:t>
      </w:r>
      <w:proofErr w:type="spellEnd"/>
      <w:r>
        <w:t xml:space="preserve"> </w:t>
      </w:r>
      <w:proofErr w:type="spellStart"/>
      <w:r>
        <w:t>labour</w:t>
      </w:r>
      <w:proofErr w:type="spellEnd"/>
      <w:r>
        <w:t xml:space="preserve"> savings, and carbon </w:t>
      </w:r>
      <w:r w:rsidR="006B53C2">
        <w:t xml:space="preserve">emissions reduction and net </w:t>
      </w:r>
      <w:r>
        <w:t>revenue. The</w:t>
      </w:r>
      <w:r w:rsidR="006B53C2">
        <w:t xml:space="preserve"> LCOH</w:t>
      </w:r>
      <w:r>
        <w:t xml:space="preserve"> is calculated using a common ware-referenced denominator of 1.475 </w:t>
      </w:r>
      <w:r w:rsidR="006B53C2">
        <w:t xml:space="preserve">MJ/kg of fired ware, </w:t>
      </w:r>
      <w:r>
        <w:t>enabling comparison of fuels and electricity</w:t>
      </w:r>
      <w:r w:rsidR="006B53C2">
        <w:t xml:space="preserve"> per</w:t>
      </w:r>
      <w:r>
        <w:t xml:space="preserve"> identical </w:t>
      </w:r>
      <w:r w:rsidR="00F90D95">
        <w:t>production</w:t>
      </w:r>
      <w:r>
        <w:t xml:space="preserve"> (Short et al., 1995)</w:t>
      </w:r>
      <w:r w:rsidR="009355C0">
        <w:t>:</w:t>
      </w:r>
    </w:p>
    <w:p w14:paraId="4566375D" w14:textId="77777777" w:rsidR="00E15332" w:rsidRDefault="00E15332">
      <w:pPr>
        <w:pStyle w:val="SWCText"/>
      </w:pPr>
    </w:p>
    <w:p w14:paraId="12459E20" w14:textId="42832D14" w:rsidR="00BA7B01" w:rsidRDefault="00000000">
      <w:pPr>
        <w:pStyle w:val="SWCText"/>
        <w:tabs>
          <w:tab w:val="right" w:pos="8425"/>
        </w:tabs>
        <w:spacing w:before="30"/>
        <w:ind w:left="340"/>
        <w:jc w:val="left"/>
      </w:pPr>
      <w:r w:rsidRPr="00E15332">
        <w:rPr>
          <w:i/>
          <w:iCs/>
        </w:rPr>
        <w:t>LCOH = (CRF · C₀ + C</w:t>
      </w:r>
      <w:r w:rsidRPr="00E15332">
        <w:rPr>
          <w:i/>
          <w:iCs/>
          <w:vertAlign w:val="subscript"/>
        </w:rPr>
        <w:t>om</w:t>
      </w:r>
      <w:r w:rsidRPr="00E15332">
        <w:rPr>
          <w:i/>
          <w:iCs/>
        </w:rPr>
        <w:t>)/</w:t>
      </w:r>
      <w:proofErr w:type="spellStart"/>
      <w:r w:rsidRPr="00E15332">
        <w:rPr>
          <w:i/>
          <w:iCs/>
        </w:rPr>
        <w:t>Q</w:t>
      </w:r>
      <w:r w:rsidRPr="00E15332">
        <w:rPr>
          <w:i/>
          <w:iCs/>
          <w:vertAlign w:val="subscript"/>
        </w:rPr>
        <w:t>ref</w:t>
      </w:r>
      <w:proofErr w:type="spellEnd"/>
      <w:r w:rsidRPr="00E15332">
        <w:rPr>
          <w:i/>
          <w:iCs/>
        </w:rPr>
        <w:t xml:space="preserve">, CRF = </w:t>
      </w:r>
      <w:proofErr w:type="spellStart"/>
      <w:r w:rsidRPr="00E15332">
        <w:rPr>
          <w:i/>
          <w:iCs/>
        </w:rPr>
        <w:t>i</w:t>
      </w:r>
      <w:proofErr w:type="spellEnd"/>
      <w:r w:rsidRPr="00E15332">
        <w:rPr>
          <w:i/>
          <w:iCs/>
        </w:rPr>
        <w:t>(1+</w:t>
      </w:r>
      <w:r w:rsidR="009355C0" w:rsidRPr="00E15332">
        <w:rPr>
          <w:i/>
          <w:iCs/>
        </w:rPr>
        <w:t>i)</w:t>
      </w:r>
      <w:r w:rsidR="009355C0" w:rsidRPr="00E15332">
        <w:rPr>
          <w:i/>
          <w:iCs/>
          <w:vertAlign w:val="superscript"/>
        </w:rPr>
        <w:t xml:space="preserve"> n</w:t>
      </w:r>
      <w:r w:rsidRPr="00E15332">
        <w:rPr>
          <w:i/>
          <w:iCs/>
        </w:rPr>
        <w:t>/[(1+</w:t>
      </w:r>
      <w:r w:rsidR="009355C0" w:rsidRPr="00E15332">
        <w:rPr>
          <w:i/>
          <w:iCs/>
        </w:rPr>
        <w:t>i)</w:t>
      </w:r>
      <w:r w:rsidR="009355C0" w:rsidRPr="00E15332">
        <w:rPr>
          <w:i/>
          <w:iCs/>
          <w:vertAlign w:val="superscript"/>
        </w:rPr>
        <w:t xml:space="preserve"> n</w:t>
      </w:r>
      <w:r w:rsidRPr="00E15332">
        <w:rPr>
          <w:i/>
          <w:iCs/>
        </w:rPr>
        <w:t xml:space="preserve"> − 1</w:t>
      </w:r>
      <w:r w:rsidR="009355C0" w:rsidRPr="00E15332">
        <w:rPr>
          <w:i/>
          <w:iCs/>
        </w:rPr>
        <w:t>]</w:t>
      </w:r>
      <w:r w:rsidR="009355C0">
        <w:rPr>
          <w:i/>
          <w:iCs/>
        </w:rPr>
        <w:t xml:space="preserve">; </w:t>
      </w:r>
      <w:r w:rsidR="009355C0" w:rsidRPr="00E15332">
        <w:rPr>
          <w:i/>
          <w:iCs/>
        </w:rPr>
        <w:t>NPV</w:t>
      </w:r>
      <w:r w:rsidRPr="00E15332">
        <w:rPr>
          <w:i/>
          <w:iCs/>
        </w:rPr>
        <w:t xml:space="preserve"> = − C₀ + Σ </w:t>
      </w:r>
      <w:proofErr w:type="spellStart"/>
      <w:r w:rsidRPr="00E15332">
        <w:rPr>
          <w:i/>
          <w:iCs/>
        </w:rPr>
        <w:t>CF</w:t>
      </w:r>
      <w:r w:rsidRPr="00E15332">
        <w:rPr>
          <w:i/>
          <w:iCs/>
          <w:vertAlign w:val="subscript"/>
        </w:rPr>
        <w:t>t</w:t>
      </w:r>
      <w:proofErr w:type="spellEnd"/>
      <w:r w:rsidR="009355C0" w:rsidRPr="00E15332">
        <w:rPr>
          <w:i/>
          <w:iCs/>
        </w:rPr>
        <w:t>/ (</w:t>
      </w:r>
      <w:r w:rsidRPr="00E15332">
        <w:rPr>
          <w:i/>
          <w:iCs/>
        </w:rPr>
        <w:t xml:space="preserve">1 + </w:t>
      </w:r>
      <w:proofErr w:type="spellStart"/>
      <w:r w:rsidR="009355C0" w:rsidRPr="00E15332">
        <w:rPr>
          <w:i/>
          <w:iCs/>
        </w:rPr>
        <w:t>i</w:t>
      </w:r>
      <w:proofErr w:type="spellEnd"/>
      <w:r w:rsidR="009355C0" w:rsidRPr="00E15332">
        <w:rPr>
          <w:i/>
          <w:iCs/>
        </w:rPr>
        <w:t>)</w:t>
      </w:r>
      <w:r w:rsidR="009355C0" w:rsidRPr="00E15332">
        <w:rPr>
          <w:i/>
          <w:iCs/>
          <w:vertAlign w:val="superscript"/>
        </w:rPr>
        <w:t xml:space="preserve"> t</w:t>
      </w:r>
      <w:r>
        <w:tab/>
        <w:t>(8)</w:t>
      </w:r>
    </w:p>
    <w:p w14:paraId="6A66E1BC" w14:textId="77777777" w:rsidR="00E15332" w:rsidRDefault="00E15332">
      <w:pPr>
        <w:pStyle w:val="SWCText"/>
      </w:pPr>
    </w:p>
    <w:p w14:paraId="28335807" w14:textId="27E89642" w:rsidR="00BA7B01" w:rsidRDefault="009355C0" w:rsidP="00E15332">
      <w:pPr>
        <w:pStyle w:val="SWCText"/>
      </w:pPr>
      <w:r>
        <w:t>Where</w:t>
      </w:r>
      <w:r w:rsidR="00000000">
        <w:t xml:space="preserve"> </w:t>
      </w:r>
      <w:proofErr w:type="spellStart"/>
      <w:r w:rsidR="00000000">
        <w:t>i</w:t>
      </w:r>
      <w:proofErr w:type="spellEnd"/>
      <w:r w:rsidR="00000000">
        <w:t xml:space="preserve"> = 12 %, n = 15 yr and cash flow degraded at 0.6 % yr⁻¹ to follow array output. Baseline emissions follow the IPCC energy-sector method with the Clean Development Mechanism default emission factor for wood (UNFCCC, 2020; IPCC, 2006)</w:t>
      </w:r>
      <w:r w:rsidR="00E15332">
        <w:t xml:space="preserve">; </w:t>
      </w:r>
      <w:proofErr w:type="gramStart"/>
      <w:r w:rsidR="00E15332">
        <w:tab/>
      </w:r>
      <w:r w:rsidR="007417A6">
        <w:t xml:space="preserve">  </w:t>
      </w:r>
      <w:r w:rsidR="00000000" w:rsidRPr="00E15332">
        <w:rPr>
          <w:i/>
          <w:iCs/>
        </w:rPr>
        <w:t>ER</w:t>
      </w:r>
      <w:proofErr w:type="gramEnd"/>
      <w:r w:rsidR="00000000" w:rsidRPr="00E15332">
        <w:rPr>
          <w:i/>
          <w:iCs/>
        </w:rPr>
        <w:t xml:space="preserve"> = B</w:t>
      </w:r>
      <w:r w:rsidR="00000000" w:rsidRPr="00E15332">
        <w:rPr>
          <w:i/>
          <w:iCs/>
          <w:vertAlign w:val="subscript"/>
        </w:rPr>
        <w:t>y</w:t>
      </w:r>
      <w:r w:rsidR="00000000" w:rsidRPr="00E15332">
        <w:rPr>
          <w:i/>
          <w:iCs/>
        </w:rPr>
        <w:t xml:space="preserve"> · NCV · EF · </w:t>
      </w:r>
      <w:proofErr w:type="spellStart"/>
      <w:r w:rsidR="00000000" w:rsidRPr="00E15332">
        <w:rPr>
          <w:i/>
          <w:iCs/>
        </w:rPr>
        <w:t>f</w:t>
      </w:r>
      <w:r w:rsidR="00000000" w:rsidRPr="00E15332">
        <w:rPr>
          <w:i/>
          <w:iCs/>
          <w:vertAlign w:val="subscript"/>
        </w:rPr>
        <w:t>NRB</w:t>
      </w:r>
      <w:proofErr w:type="spellEnd"/>
      <w:r w:rsidR="00000000" w:rsidRPr="00E15332">
        <w:rPr>
          <w:i/>
          <w:iCs/>
        </w:rPr>
        <w:t xml:space="preserve"> · (1 + u)</w:t>
      </w:r>
      <w:r w:rsidR="00000000" w:rsidRPr="00E15332">
        <w:rPr>
          <w:i/>
          <w:iCs/>
        </w:rPr>
        <w:tab/>
      </w:r>
      <w:r w:rsidR="00E15332">
        <w:tab/>
      </w:r>
      <w:r w:rsidR="00E15332">
        <w:tab/>
        <w:t xml:space="preserve">  </w:t>
      </w:r>
      <w:r>
        <w:t xml:space="preserve"> </w:t>
      </w:r>
      <w:proofErr w:type="gramStart"/>
      <w:r>
        <w:t xml:space="preserve"> </w:t>
      </w:r>
      <w:r w:rsidR="007417A6">
        <w:t xml:space="preserve">  </w:t>
      </w:r>
      <w:r>
        <w:t>(</w:t>
      </w:r>
      <w:proofErr w:type="gramEnd"/>
      <w:r w:rsidR="00000000">
        <w:t>9)</w:t>
      </w:r>
    </w:p>
    <w:p w14:paraId="39315817" w14:textId="7982A6DD" w:rsidR="00915391" w:rsidRDefault="007417A6" w:rsidP="00D83123">
      <w:pPr>
        <w:pStyle w:val="SWCText"/>
      </w:pPr>
      <w:r>
        <w:t>Whereas</w:t>
      </w:r>
      <w:r w:rsidR="00DE75AA">
        <w:t xml:space="preserve"> </w:t>
      </w:r>
      <w:proofErr w:type="gramStart"/>
      <w:r w:rsidR="00DE75AA" w:rsidRPr="00DE75AA">
        <w:rPr>
          <w:i/>
          <w:iCs/>
        </w:rPr>
        <w:t>B</w:t>
      </w:r>
      <w:r w:rsidR="00DE75AA" w:rsidRPr="00DE75AA">
        <w:rPr>
          <w:i/>
          <w:iCs/>
          <w:vertAlign w:val="subscript"/>
        </w:rPr>
        <w:t>y</w:t>
      </w:r>
      <w:proofErr w:type="gramEnd"/>
      <w:r w:rsidR="00DE75AA">
        <w:t xml:space="preserve"> is the annual wood displaced, </w:t>
      </w:r>
      <w:r w:rsidR="00DE75AA" w:rsidRPr="00DE75AA">
        <w:rPr>
          <w:i/>
          <w:iCs/>
        </w:rPr>
        <w:t>NCV</w:t>
      </w:r>
      <w:r w:rsidR="00DE75AA">
        <w:t xml:space="preserve"> = 0.015 TJ t⁻¹, </w:t>
      </w:r>
      <w:r w:rsidR="00DE75AA" w:rsidRPr="00DE75AA">
        <w:rPr>
          <w:i/>
          <w:iCs/>
        </w:rPr>
        <w:t>EF</w:t>
      </w:r>
      <w:r w:rsidR="00DE75AA">
        <w:t xml:space="preserve"> = 81.6 </w:t>
      </w:r>
      <w:proofErr w:type="spellStart"/>
      <w:r w:rsidR="00DE75AA">
        <w:t>tCO</w:t>
      </w:r>
      <w:proofErr w:type="spellEnd"/>
      <w:r w:rsidR="00DE75AA">
        <w:t xml:space="preserve">₂ TJ⁻¹ and u = 0.11 covers methane and nitrous oxide from incomplete combustion. Two </w:t>
      </w:r>
      <w:proofErr w:type="spellStart"/>
      <w:r>
        <w:t>fNRB</w:t>
      </w:r>
      <w:proofErr w:type="spellEnd"/>
      <w:r>
        <w:t xml:space="preserve"> values are used</w:t>
      </w:r>
      <w:r w:rsidR="00DE75AA">
        <w:t xml:space="preserve"> throughout</w:t>
      </w:r>
      <w:r>
        <w:t>:</w:t>
      </w:r>
      <w:r w:rsidR="00DE75AA">
        <w:t xml:space="preserve"> </w:t>
      </w:r>
      <w:r>
        <w:t>the post-2020 universal default of 0.30 (UNFCCC, 2020) and the legacy Ghana default rate of 0.87, which suggests a much higher non-renewable share</w:t>
      </w:r>
      <w:r w:rsidR="00DE75AA">
        <w:t xml:space="preserve"> (</w:t>
      </w:r>
      <w:proofErr w:type="spellStart"/>
      <w:r w:rsidR="00DE75AA">
        <w:t>BeZero</w:t>
      </w:r>
      <w:proofErr w:type="spellEnd"/>
      <w:r w:rsidR="00DE75AA">
        <w:t xml:space="preserve"> Carbon, 2023). Embodied emissions are credited at 550 kg </w:t>
      </w:r>
      <w:proofErr w:type="spellStart"/>
      <w:r w:rsidR="00DE75AA">
        <w:t>CO₂e</w:t>
      </w:r>
      <w:proofErr w:type="spellEnd"/>
      <w:r w:rsidR="00DE75AA">
        <w:t xml:space="preserve"> kW</w:t>
      </w:r>
      <w:r w:rsidR="00DE75AA">
        <w:rPr>
          <w:vertAlign w:val="subscript"/>
        </w:rPr>
        <w:t>p</w:t>
      </w:r>
      <w:r w:rsidR="00DE75AA">
        <w:t>⁻¹ for modules and standard factors for the balance.</w:t>
      </w:r>
    </w:p>
    <w:p w14:paraId="5A4D0171" w14:textId="77777777" w:rsidR="006C7B50" w:rsidRDefault="006C7B50" w:rsidP="00D83123">
      <w:pPr>
        <w:pStyle w:val="SWCText"/>
      </w:pPr>
    </w:p>
    <w:p w14:paraId="1AFC7C2C" w14:textId="49505308" w:rsidR="00BA7B01" w:rsidRPr="00AE12FA" w:rsidRDefault="00000000">
      <w:pPr>
        <w:pStyle w:val="SWCHeading1"/>
        <w:keepNext/>
      </w:pPr>
      <w:r w:rsidRPr="00AE12FA">
        <w:t>3. Results</w:t>
      </w:r>
      <w:r w:rsidR="007C7597" w:rsidRPr="00AE12FA">
        <w:rPr>
          <w:rFonts w:ascii="Times New Roman" w:hAnsi="Times New Roman" w:cs="Times New Roman"/>
          <w:color w:val="auto"/>
          <w:lang w:val="de-DE"/>
        </w:rPr>
        <w:t xml:space="preserve"> and </w:t>
      </w:r>
      <w:r w:rsidR="007C7597" w:rsidRPr="00AE12FA">
        <w:rPr>
          <w:lang w:val="de-DE"/>
        </w:rPr>
        <w:t>Discussion</w:t>
      </w:r>
    </w:p>
    <w:p w14:paraId="63345489" w14:textId="44E12BAC" w:rsidR="00BA7B01" w:rsidRPr="00AE12FA" w:rsidRDefault="00000000">
      <w:pPr>
        <w:pStyle w:val="SWCHeading11"/>
        <w:keepNext/>
      </w:pPr>
      <w:r w:rsidRPr="00AE12FA">
        <w:t xml:space="preserve">3.1 </w:t>
      </w:r>
      <w:r w:rsidR="007C7597" w:rsidRPr="00AE12FA">
        <w:rPr>
          <w:lang w:val="de-DE"/>
        </w:rPr>
        <w:t xml:space="preserve">Enclosure design </w:t>
      </w:r>
      <w:r w:rsidR="007C7597" w:rsidRPr="00AE12FA">
        <w:t>and o</w:t>
      </w:r>
      <w:r w:rsidRPr="00AE12FA">
        <w:t>perating window</w:t>
      </w:r>
    </w:p>
    <w:p w14:paraId="20CF34CA" w14:textId="3048E645" w:rsidR="00BA7B01" w:rsidRDefault="00AE12FA">
      <w:pPr>
        <w:pStyle w:val="SWCText"/>
      </w:pPr>
      <w:r w:rsidRPr="00AE12FA">
        <w:t xml:space="preserve">Basalt </w:t>
      </w:r>
      <w:r w:rsidR="00D47A63">
        <w:t xml:space="preserve">is an attractive and competitive </w:t>
      </w:r>
      <w:r w:rsidRPr="00AE12FA">
        <w:t xml:space="preserve">storage medium, with a volumetric heat capacity of 3.19 MJ/m³ K, second only to magnetite and alumina. Priced at USD 18/ton, it is 34-161 times cheaper than imported aluminosilicates. Its temperature </w:t>
      </w:r>
      <w:r w:rsidR="00D47A63">
        <w:t>ceiling</w:t>
      </w:r>
      <w:r w:rsidRPr="00AE12FA">
        <w:t xml:space="preserve"> of 800 °C restricts applications needing an extra 400 </w:t>
      </w:r>
      <w:r w:rsidR="00D47A63">
        <w:t>K.</w:t>
      </w:r>
      <w:r w:rsidRPr="00AE12FA">
        <w:t xml:space="preserve"> </w:t>
      </w:r>
      <w:r w:rsidR="00D47A63">
        <w:t>O</w:t>
      </w:r>
      <w:r w:rsidRPr="00AE12FA">
        <w:t>nly materials like mullite–corundum, alumina, and silicon carbide, which withstand over 1200 °C, are suitable. These are imported</w:t>
      </w:r>
      <w:r w:rsidR="00D47A63">
        <w:t xml:space="preserve"> and cost</w:t>
      </w:r>
      <w:r w:rsidRPr="00AE12FA">
        <w:t xml:space="preserve"> USD 620–2900/ton. From 180 °C to 780 °C, basalt stores 708 kJ/kg at 0.58 porosity, while mullite–corundum stores 738 kJ/kg at 0.76 porosity between 700–1280 °C. The concern extends beyond energy storage capacity to whether these materials can store energy at the required grade. Similar limitations exist for other mafic and metamorphic rocks in solar applications </w:t>
      </w:r>
      <w:proofErr w:type="spellStart"/>
      <w:r w:rsidRPr="00AE12FA">
        <w:t>Jemmal</w:t>
      </w:r>
      <w:proofErr w:type="spellEnd"/>
      <w:r w:rsidRPr="00AE12FA">
        <w:t xml:space="preserve"> et al., </w:t>
      </w:r>
      <w:r w:rsidR="000340F0">
        <w:t>(</w:t>
      </w:r>
      <w:r w:rsidRPr="00AE12FA">
        <w:t xml:space="preserve">2016). The enclosure has an </w:t>
      </w:r>
      <w:r w:rsidRPr="00AE12FA">
        <w:lastRenderedPageBreak/>
        <w:t>11.8 m² internal box with 375 mm lining. Figure 5</w:t>
      </w:r>
      <w:r w:rsidR="00D47A63">
        <w:t xml:space="preserve"> </w:t>
      </w:r>
      <w:r w:rsidRPr="00AE12FA">
        <w:t>(a) shows the temperature profile with the bed at 780 °C. The hot face drops from 780 °C to 457 °C, with a 178 °C drop across the blanket and 48 °C at the casing. Standby heat loss rises from 805 W at 400 °C to 2199 W at 780 °C, and to 4416 W at 1150 °C. The optimal insulation thickness is around 394 mm, slightly above the selected 375 mm, which is close to the optimum and standard. Thinner lining (185 mm) increases energy use by 21%. Figure 5</w:t>
      </w:r>
      <w:r w:rsidR="009324E7">
        <w:t xml:space="preserve"> </w:t>
      </w:r>
      <w:r w:rsidRPr="00AE12FA">
        <w:t xml:space="preserve">(b) compares a dual-vessel </w:t>
      </w:r>
      <w:r w:rsidR="009324E7">
        <w:t>B</w:t>
      </w:r>
      <w:r w:rsidRPr="00AE12FA">
        <w:t xml:space="preserve">asalt bed at 780 °C with a mullite–corundum stage at 1280 °C, with the former losing 8.2 kW (53% of capacity) daily, and the latter only 2.2 kW (73% reduction). The combined setup offers the </w:t>
      </w:r>
      <w:r w:rsidR="009324E7">
        <w:t>highest</w:t>
      </w:r>
      <w:r w:rsidRPr="00AE12FA">
        <w:t xml:space="preserve"> efficiency.</w:t>
      </w:r>
    </w:p>
    <w:p w14:paraId="1BC870FC" w14:textId="77777777" w:rsidR="002B2325" w:rsidRDefault="002B2325" w:rsidP="002B2325">
      <w:pPr>
        <w:pStyle w:val="SWCTableFigureCaption"/>
        <w:keepNext/>
      </w:pPr>
    </w:p>
    <w:p w14:paraId="153D4A4A" w14:textId="3838D763" w:rsidR="002B2325" w:rsidRDefault="002B2325" w:rsidP="002B2325">
      <w:pPr>
        <w:pStyle w:val="SWCTableFigureCaption"/>
        <w:keepNext/>
      </w:pPr>
      <w:r>
        <w:t xml:space="preserve">Tab. 3: </w:t>
      </w:r>
      <w:proofErr w:type="spellStart"/>
      <w:r w:rsidR="001C4018">
        <w:t>Characterisation</w:t>
      </w:r>
      <w:proofErr w:type="spellEnd"/>
      <w:r w:rsidR="001C4018">
        <w:t xml:space="preserve"> of </w:t>
      </w:r>
      <w:r>
        <w:t xml:space="preserve">two-vessel cascade </w:t>
      </w:r>
      <w:r w:rsidR="002D2C56">
        <w:t>of standby and</w:t>
      </w:r>
      <w:r>
        <w:t xml:space="preserve"> integrated enclosure</w:t>
      </w:r>
      <w:r w:rsidR="002D2C56">
        <w:t xml:space="preserve"> performance</w:t>
      </w:r>
      <w:r>
        <w:t xml:space="preserve"> at equal deliverable capacity.</w:t>
      </w:r>
    </w:p>
    <w:tbl>
      <w:tblPr>
        <w:tblStyle w:val="TableGrid"/>
        <w:tblW w:w="8764" w:type="dxa"/>
        <w:tblLayout w:type="fixed"/>
        <w:tblCellMar>
          <w:top w:w="5" w:type="dxa"/>
          <w:left w:w="45" w:type="dxa"/>
          <w:bottom w:w="5" w:type="dxa"/>
          <w:right w:w="45" w:type="dxa"/>
        </w:tblCellMar>
        <w:tblLook w:val="04A0" w:firstRow="1" w:lastRow="0" w:firstColumn="1" w:lastColumn="0" w:noHBand="0" w:noVBand="1"/>
      </w:tblPr>
      <w:tblGrid>
        <w:gridCol w:w="3055"/>
        <w:gridCol w:w="3510"/>
        <w:gridCol w:w="2199"/>
      </w:tblGrid>
      <w:tr w:rsidR="002B2325" w14:paraId="6796C25B" w14:textId="77777777" w:rsidTr="001C4018">
        <w:trPr>
          <w:cantSplit/>
          <w:tblHeader/>
        </w:trPr>
        <w:tc>
          <w:tcPr>
            <w:tcW w:w="3055" w:type="dxa"/>
          </w:tcPr>
          <w:p w14:paraId="6B57BB7E" w14:textId="77777777" w:rsidR="002B2325" w:rsidRDefault="002B2325" w:rsidP="001C4018">
            <w:pPr>
              <w:pStyle w:val="SWCTableHeader"/>
              <w:jc w:val="left"/>
            </w:pPr>
            <w:r>
              <w:t>Attribute</w:t>
            </w:r>
          </w:p>
        </w:tc>
        <w:tc>
          <w:tcPr>
            <w:tcW w:w="3510" w:type="dxa"/>
          </w:tcPr>
          <w:p w14:paraId="1FC0BCF9" w14:textId="77777777" w:rsidR="002B2325" w:rsidRDefault="002B2325" w:rsidP="001C4018">
            <w:pPr>
              <w:pStyle w:val="SWCTableHeader"/>
              <w:jc w:val="left"/>
            </w:pPr>
            <w:r>
              <w:t>Two-vessel cascade</w:t>
            </w:r>
          </w:p>
        </w:tc>
        <w:tc>
          <w:tcPr>
            <w:tcW w:w="2199" w:type="dxa"/>
          </w:tcPr>
          <w:p w14:paraId="401E5B06" w14:textId="77777777" w:rsidR="002B2325" w:rsidRDefault="002B2325" w:rsidP="001C4018">
            <w:pPr>
              <w:pStyle w:val="SWCTableHeader"/>
              <w:jc w:val="left"/>
            </w:pPr>
            <w:r>
              <w:t>Integrated enclosure</w:t>
            </w:r>
          </w:p>
        </w:tc>
      </w:tr>
      <w:tr w:rsidR="002B2325" w14:paraId="5AB0276B" w14:textId="77777777" w:rsidTr="001C4018">
        <w:trPr>
          <w:cantSplit/>
        </w:trPr>
        <w:tc>
          <w:tcPr>
            <w:tcW w:w="3055" w:type="dxa"/>
          </w:tcPr>
          <w:p w14:paraId="1DAAFA59" w14:textId="77777777" w:rsidR="002B2325" w:rsidRDefault="002B2325" w:rsidP="001C4018">
            <w:pPr>
              <w:pStyle w:val="SWCTableText"/>
              <w:jc w:val="left"/>
            </w:pPr>
            <w:r>
              <w:t>Storage media</w:t>
            </w:r>
          </w:p>
        </w:tc>
        <w:tc>
          <w:tcPr>
            <w:tcW w:w="3510" w:type="dxa"/>
          </w:tcPr>
          <w:p w14:paraId="4352E147" w14:textId="77777777" w:rsidR="002B2325" w:rsidRDefault="002B2325" w:rsidP="001C4018">
            <w:pPr>
              <w:pStyle w:val="SWCTableText"/>
              <w:jc w:val="left"/>
            </w:pPr>
            <w:r>
              <w:t>Basalt 1.24 t + mullite–corundum 0.71 t</w:t>
            </w:r>
          </w:p>
        </w:tc>
        <w:tc>
          <w:tcPr>
            <w:tcW w:w="2199" w:type="dxa"/>
          </w:tcPr>
          <w:p w14:paraId="5D993C6E" w14:textId="77777777" w:rsidR="002B2325" w:rsidRDefault="002B2325" w:rsidP="001C4018">
            <w:pPr>
              <w:pStyle w:val="SWCTableText"/>
              <w:jc w:val="left"/>
            </w:pPr>
            <w:r>
              <w:t>Basalt 2.12 t</w:t>
            </w:r>
          </w:p>
        </w:tc>
      </w:tr>
      <w:tr w:rsidR="002B2325" w14:paraId="50F87ABC" w14:textId="77777777" w:rsidTr="001C4018">
        <w:trPr>
          <w:cantSplit/>
        </w:trPr>
        <w:tc>
          <w:tcPr>
            <w:tcW w:w="3055" w:type="dxa"/>
          </w:tcPr>
          <w:p w14:paraId="32E51D72" w14:textId="77777777" w:rsidR="002B2325" w:rsidRDefault="002B2325" w:rsidP="001C4018">
            <w:pPr>
              <w:pStyle w:val="SWCTableText"/>
              <w:jc w:val="left"/>
            </w:pPr>
            <w:r>
              <w:t>Media cost (USD)</w:t>
            </w:r>
          </w:p>
        </w:tc>
        <w:tc>
          <w:tcPr>
            <w:tcW w:w="3510" w:type="dxa"/>
          </w:tcPr>
          <w:p w14:paraId="1AA775A2" w14:textId="77777777" w:rsidR="002B2325" w:rsidRDefault="002B2325" w:rsidP="001C4018">
            <w:pPr>
              <w:pStyle w:val="SWCTableText"/>
              <w:jc w:val="left"/>
            </w:pPr>
            <w:r>
              <w:t>≈ 460</w:t>
            </w:r>
          </w:p>
        </w:tc>
        <w:tc>
          <w:tcPr>
            <w:tcW w:w="2199" w:type="dxa"/>
          </w:tcPr>
          <w:p w14:paraId="25588BD0" w14:textId="77777777" w:rsidR="002B2325" w:rsidRDefault="002B2325" w:rsidP="001C4018">
            <w:pPr>
              <w:pStyle w:val="SWCTableText"/>
              <w:jc w:val="left"/>
            </w:pPr>
            <w:r>
              <w:t>≈ 40</w:t>
            </w:r>
          </w:p>
        </w:tc>
      </w:tr>
      <w:tr w:rsidR="002B2325" w14:paraId="49D15130" w14:textId="77777777" w:rsidTr="001C4018">
        <w:trPr>
          <w:cantSplit/>
        </w:trPr>
        <w:tc>
          <w:tcPr>
            <w:tcW w:w="3055" w:type="dxa"/>
          </w:tcPr>
          <w:p w14:paraId="678965C5" w14:textId="77777777" w:rsidR="002B2325" w:rsidRDefault="002B2325" w:rsidP="001C4018">
            <w:pPr>
              <w:pStyle w:val="SWCTableText"/>
              <w:jc w:val="left"/>
            </w:pPr>
            <w:r>
              <w:t>Maximum medium temperature (°C)</w:t>
            </w:r>
          </w:p>
        </w:tc>
        <w:tc>
          <w:tcPr>
            <w:tcW w:w="3510" w:type="dxa"/>
          </w:tcPr>
          <w:p w14:paraId="1D1230DA" w14:textId="77777777" w:rsidR="002B2325" w:rsidRDefault="002B2325" w:rsidP="001C4018">
            <w:pPr>
              <w:pStyle w:val="SWCTableText"/>
              <w:jc w:val="left"/>
            </w:pPr>
            <w:r>
              <w:t>1280</w:t>
            </w:r>
          </w:p>
        </w:tc>
        <w:tc>
          <w:tcPr>
            <w:tcW w:w="2199" w:type="dxa"/>
          </w:tcPr>
          <w:p w14:paraId="5DE8DF74" w14:textId="77777777" w:rsidR="002B2325" w:rsidRDefault="002B2325" w:rsidP="001C4018">
            <w:pPr>
              <w:pStyle w:val="SWCTableText"/>
              <w:jc w:val="left"/>
            </w:pPr>
            <w:r>
              <w:t>780</w:t>
            </w:r>
          </w:p>
        </w:tc>
      </w:tr>
      <w:tr w:rsidR="002B2325" w14:paraId="440C2548" w14:textId="77777777" w:rsidTr="001C4018">
        <w:trPr>
          <w:cantSplit/>
        </w:trPr>
        <w:tc>
          <w:tcPr>
            <w:tcW w:w="3055" w:type="dxa"/>
          </w:tcPr>
          <w:p w14:paraId="7E24756D" w14:textId="77777777" w:rsidR="002B2325" w:rsidRDefault="002B2325" w:rsidP="001C4018">
            <w:pPr>
              <w:pStyle w:val="SWCTableText"/>
              <w:jc w:val="left"/>
            </w:pPr>
            <w:r>
              <w:t>Hot external area (m²)</w:t>
            </w:r>
          </w:p>
        </w:tc>
        <w:tc>
          <w:tcPr>
            <w:tcW w:w="3510" w:type="dxa"/>
          </w:tcPr>
          <w:p w14:paraId="57B9D261" w14:textId="77777777" w:rsidR="002B2325" w:rsidRDefault="002B2325" w:rsidP="001C4018">
            <w:pPr>
              <w:pStyle w:val="SWCTableText"/>
              <w:jc w:val="left"/>
            </w:pPr>
            <w:r>
              <w:t>27.2</w:t>
            </w:r>
          </w:p>
        </w:tc>
        <w:tc>
          <w:tcPr>
            <w:tcW w:w="2199" w:type="dxa"/>
          </w:tcPr>
          <w:p w14:paraId="0EC8AFC7" w14:textId="77777777" w:rsidR="002B2325" w:rsidRDefault="002B2325" w:rsidP="001C4018">
            <w:pPr>
              <w:pStyle w:val="SWCTableText"/>
              <w:jc w:val="left"/>
            </w:pPr>
            <w:r>
              <w:t>11.8</w:t>
            </w:r>
          </w:p>
        </w:tc>
      </w:tr>
      <w:tr w:rsidR="002B2325" w14:paraId="5238493A" w14:textId="77777777" w:rsidTr="001C4018">
        <w:trPr>
          <w:cantSplit/>
        </w:trPr>
        <w:tc>
          <w:tcPr>
            <w:tcW w:w="3055" w:type="dxa"/>
          </w:tcPr>
          <w:p w14:paraId="20FF19A5" w14:textId="77777777" w:rsidR="002B2325" w:rsidRDefault="002B2325" w:rsidP="001C4018">
            <w:pPr>
              <w:pStyle w:val="SWCTableText"/>
              <w:jc w:val="left"/>
            </w:pPr>
            <w:r>
              <w:t>Standby loss at rated temperature (kW)</w:t>
            </w:r>
          </w:p>
        </w:tc>
        <w:tc>
          <w:tcPr>
            <w:tcW w:w="3510" w:type="dxa"/>
          </w:tcPr>
          <w:p w14:paraId="7587844A" w14:textId="77777777" w:rsidR="002B2325" w:rsidRDefault="002B2325" w:rsidP="001C4018">
            <w:pPr>
              <w:pStyle w:val="SWCTableText"/>
              <w:jc w:val="left"/>
            </w:pPr>
            <w:r>
              <w:t>8.21</w:t>
            </w:r>
          </w:p>
        </w:tc>
        <w:tc>
          <w:tcPr>
            <w:tcW w:w="2199" w:type="dxa"/>
          </w:tcPr>
          <w:p w14:paraId="6AEAF14F" w14:textId="77777777" w:rsidR="002B2325" w:rsidRDefault="002B2325" w:rsidP="001C4018">
            <w:pPr>
              <w:pStyle w:val="SWCTableText"/>
              <w:jc w:val="left"/>
            </w:pPr>
            <w:r>
              <w:t>2.20</w:t>
            </w:r>
          </w:p>
        </w:tc>
      </w:tr>
      <w:tr w:rsidR="002B2325" w14:paraId="5490A021" w14:textId="77777777" w:rsidTr="001C4018">
        <w:trPr>
          <w:cantSplit/>
        </w:trPr>
        <w:tc>
          <w:tcPr>
            <w:tcW w:w="3055" w:type="dxa"/>
          </w:tcPr>
          <w:p w14:paraId="545E14B4" w14:textId="77777777" w:rsidR="002B2325" w:rsidRDefault="002B2325" w:rsidP="001C4018">
            <w:pPr>
              <w:pStyle w:val="SWCTableText"/>
              <w:jc w:val="left"/>
            </w:pPr>
            <w:r>
              <w:t>Standby loss (% of installed capacity per day)</w:t>
            </w:r>
          </w:p>
        </w:tc>
        <w:tc>
          <w:tcPr>
            <w:tcW w:w="3510" w:type="dxa"/>
          </w:tcPr>
          <w:p w14:paraId="384D270A" w14:textId="77777777" w:rsidR="002B2325" w:rsidRDefault="002B2325" w:rsidP="001C4018">
            <w:pPr>
              <w:pStyle w:val="SWCTableText"/>
              <w:jc w:val="left"/>
            </w:pPr>
            <w:r>
              <w:t>53</w:t>
            </w:r>
          </w:p>
        </w:tc>
        <w:tc>
          <w:tcPr>
            <w:tcW w:w="2199" w:type="dxa"/>
          </w:tcPr>
          <w:p w14:paraId="02DF88D2" w14:textId="77777777" w:rsidR="002B2325" w:rsidRDefault="002B2325" w:rsidP="001C4018">
            <w:pPr>
              <w:pStyle w:val="SWCTableText"/>
              <w:jc w:val="left"/>
            </w:pPr>
            <w:r>
              <w:t>14</w:t>
            </w:r>
          </w:p>
        </w:tc>
      </w:tr>
      <w:tr w:rsidR="002B2325" w14:paraId="146C9A09" w14:textId="77777777" w:rsidTr="001C4018">
        <w:trPr>
          <w:cantSplit/>
        </w:trPr>
        <w:tc>
          <w:tcPr>
            <w:tcW w:w="3055" w:type="dxa"/>
          </w:tcPr>
          <w:p w14:paraId="4B5BE28A" w14:textId="77777777" w:rsidR="002B2325" w:rsidRDefault="002B2325" w:rsidP="001C4018">
            <w:pPr>
              <w:pStyle w:val="SWCTableText"/>
              <w:jc w:val="left"/>
            </w:pPr>
            <w:r>
              <w:t>Route to 1150 °C</w:t>
            </w:r>
          </w:p>
        </w:tc>
        <w:tc>
          <w:tcPr>
            <w:tcW w:w="3510" w:type="dxa"/>
          </w:tcPr>
          <w:p w14:paraId="1F0E9CBB" w14:textId="77777777" w:rsidR="002B2325" w:rsidRDefault="002B2325" w:rsidP="001C4018">
            <w:pPr>
              <w:pStyle w:val="SWCTableText"/>
              <w:jc w:val="left"/>
            </w:pPr>
            <w:r>
              <w:t>Topping stage discharge</w:t>
            </w:r>
          </w:p>
        </w:tc>
        <w:tc>
          <w:tcPr>
            <w:tcW w:w="2199" w:type="dxa"/>
          </w:tcPr>
          <w:p w14:paraId="0E9F682F" w14:textId="77777777" w:rsidR="002B2325" w:rsidRDefault="002B2325" w:rsidP="001C4018">
            <w:pPr>
              <w:pStyle w:val="SWCTableText"/>
              <w:jc w:val="left"/>
            </w:pPr>
            <w:r>
              <w:t>Direct PV resistance heating</w:t>
            </w:r>
          </w:p>
        </w:tc>
      </w:tr>
      <w:tr w:rsidR="002B2325" w14:paraId="028B9EC1" w14:textId="77777777" w:rsidTr="001C4018">
        <w:trPr>
          <w:cantSplit/>
        </w:trPr>
        <w:tc>
          <w:tcPr>
            <w:tcW w:w="3055" w:type="dxa"/>
          </w:tcPr>
          <w:p w14:paraId="255DFF46" w14:textId="77777777" w:rsidR="002B2325" w:rsidRDefault="002B2325" w:rsidP="001C4018">
            <w:pPr>
              <w:pStyle w:val="SWCTableText"/>
              <w:jc w:val="left"/>
            </w:pPr>
            <w:r>
              <w:t>Verdict</w:t>
            </w:r>
          </w:p>
        </w:tc>
        <w:tc>
          <w:tcPr>
            <w:tcW w:w="3510" w:type="dxa"/>
          </w:tcPr>
          <w:p w14:paraId="2216D628" w14:textId="77777777" w:rsidR="002B2325" w:rsidRDefault="002B2325" w:rsidP="001C4018">
            <w:pPr>
              <w:pStyle w:val="SWCTableText"/>
              <w:jc w:val="left"/>
            </w:pPr>
            <w:r>
              <w:t>Rejected: standby loss exceeds useful throughput</w:t>
            </w:r>
          </w:p>
        </w:tc>
        <w:tc>
          <w:tcPr>
            <w:tcW w:w="2199" w:type="dxa"/>
          </w:tcPr>
          <w:p w14:paraId="61227912" w14:textId="77777777" w:rsidR="002B2325" w:rsidRDefault="002B2325" w:rsidP="001C4018">
            <w:pPr>
              <w:pStyle w:val="SWCTableText"/>
              <w:jc w:val="left"/>
            </w:pPr>
            <w:r>
              <w:t>Selected</w:t>
            </w:r>
          </w:p>
        </w:tc>
      </w:tr>
    </w:tbl>
    <w:p w14:paraId="4828E8FF" w14:textId="77777777" w:rsidR="00BA7B01" w:rsidRDefault="00000000" w:rsidP="00A85F2E">
      <w:pPr>
        <w:pStyle w:val="SWCText"/>
        <w:keepNext/>
        <w:spacing w:before="60" w:after="20"/>
        <w:jc w:val="center"/>
      </w:pPr>
      <w:r>
        <w:rPr>
          <w:noProof/>
        </w:rPr>
        <w:drawing>
          <wp:inline distT="0" distB="0" distL="0" distR="0" wp14:anchorId="109AFE1B" wp14:editId="6A0D5958">
            <wp:extent cx="5234940" cy="2048759"/>
            <wp:effectExtent l="0" t="0" r="381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6"/>
                    <a:stretch>
                      <a:fillRect/>
                    </a:stretch>
                  </pic:blipFill>
                  <pic:spPr>
                    <a:xfrm>
                      <a:off x="0" y="0"/>
                      <a:ext cx="5367902" cy="2100795"/>
                    </a:xfrm>
                    <a:prstGeom prst="rect">
                      <a:avLst/>
                    </a:prstGeom>
                  </pic:spPr>
                </pic:pic>
              </a:graphicData>
            </a:graphic>
          </wp:inline>
        </w:drawing>
      </w:r>
    </w:p>
    <w:p w14:paraId="5CBAD220" w14:textId="58669A44" w:rsidR="007A2947" w:rsidRDefault="00000000" w:rsidP="001C4018">
      <w:pPr>
        <w:pStyle w:val="SWCTableFigureCaption"/>
      </w:pPr>
      <w:r>
        <w:t xml:space="preserve">Fig. </w:t>
      </w:r>
      <w:r w:rsidR="00EF08B2">
        <w:t>5</w:t>
      </w:r>
      <w:r>
        <w:t xml:space="preserve">: Enclosure design: (a) converged temperature profile with the bed at 780 °C; (b) standby loss against internal temperature, compared with the rejected two-vessel cascade; (c) </w:t>
      </w:r>
      <w:proofErr w:type="spellStart"/>
      <w:r>
        <w:t>optimisation</w:t>
      </w:r>
      <w:proofErr w:type="spellEnd"/>
      <w:r>
        <w:t xml:space="preserve"> of total insulation thickness against per-cycle energy.</w:t>
      </w:r>
    </w:p>
    <w:p w14:paraId="750C5248" w14:textId="77777777" w:rsidR="00A85F2E" w:rsidRDefault="00A85F2E">
      <w:pPr>
        <w:pStyle w:val="SWCHeading11"/>
        <w:keepNext/>
      </w:pPr>
    </w:p>
    <w:p w14:paraId="209FCE25" w14:textId="1D94EB1C" w:rsidR="00BA7B01" w:rsidRDefault="00000000">
      <w:pPr>
        <w:pStyle w:val="SWCHeading11"/>
        <w:keepNext/>
      </w:pPr>
      <w:r>
        <w:t xml:space="preserve">3.2 </w:t>
      </w:r>
      <w:r w:rsidR="00D00AFB">
        <w:rPr>
          <w:lang w:val="de-DE"/>
        </w:rPr>
        <w:t>T</w:t>
      </w:r>
      <w:r w:rsidR="00D00AFB" w:rsidRPr="00D00AFB">
        <w:rPr>
          <w:lang w:val="de-DE"/>
        </w:rPr>
        <w:t>hermal load</w:t>
      </w:r>
      <w:r w:rsidR="00D00AFB">
        <w:rPr>
          <w:lang w:val="de-DE"/>
        </w:rPr>
        <w:t>, firing</w:t>
      </w:r>
      <w:r>
        <w:t xml:space="preserve"> schedule, and thermocline behaviour</w:t>
      </w:r>
    </w:p>
    <w:p w14:paraId="33B7A721" w14:textId="559AAEED" w:rsidR="00D00AFB" w:rsidRDefault="006F51E6" w:rsidP="00D83123">
      <w:pPr>
        <w:pStyle w:val="SWCText"/>
      </w:pPr>
      <w:r w:rsidRPr="006F51E6">
        <w:t xml:space="preserve">The firing schedule has three phases: Phase 0 pre-heats the Basalt TES bed using the PV array; Phase I heats the chamber to 700 °C in 8 hours at 84 K/h with hot air from the TES bed, completed before array productivity; Phase II raises temperature to 1150 °C, over 9 hours at 50 K/h with PV output, including solar peak and TES charging, ending with a soak and cooling. The total demand per firing is 327 </w:t>
      </w:r>
      <w:proofErr w:type="spellStart"/>
      <w:r w:rsidRPr="006F51E6">
        <w:t>kWh</w:t>
      </w:r>
      <w:r w:rsidRPr="006F51E6">
        <w:rPr>
          <w:vertAlign w:val="subscript"/>
        </w:rPr>
        <w:t>th</w:t>
      </w:r>
      <w:proofErr w:type="spellEnd"/>
      <w:r w:rsidRPr="006F51E6">
        <w:t>, with 56% in Phase I</w:t>
      </w:r>
      <w:r w:rsidR="00A85F2E">
        <w:t xml:space="preserve"> and a peak of</w:t>
      </w:r>
      <w:r w:rsidRPr="006F51E6">
        <w:t xml:space="preserve"> 29.4 kW. Table 4 shows load distribution, highlighting insulation (40%) and ware decomposition (31%), with temperature components. This asymmetry is typical of small-batch kilns due to low-mass </w:t>
      </w:r>
      <w:proofErr w:type="spellStart"/>
      <w:r w:rsidRPr="006F51E6">
        <w:t>fibre</w:t>
      </w:r>
      <w:proofErr w:type="spellEnd"/>
      <w:r w:rsidRPr="006F51E6">
        <w:t xml:space="preserve"> lining.</w:t>
      </w:r>
      <w:r>
        <w:t xml:space="preserve"> </w:t>
      </w:r>
      <w:r w:rsidR="006B62EB" w:rsidRPr="006B62EB">
        <w:t xml:space="preserve">The </w:t>
      </w:r>
      <w:r w:rsidR="006B62EB">
        <w:t xml:space="preserve">TES </w:t>
      </w:r>
      <w:r w:rsidR="006B62EB" w:rsidRPr="006B62EB">
        <w:t xml:space="preserve">bed measures 0.87 m in diameter and 2.04 m long, holding 2.12 tons of 30 mm </w:t>
      </w:r>
      <w:r w:rsidR="006B62EB">
        <w:t>B</w:t>
      </w:r>
      <w:r w:rsidR="006B62EB" w:rsidRPr="006B62EB">
        <w:t xml:space="preserve">asalt at 0.39 void fraction. It provides 389 </w:t>
      </w:r>
      <w:proofErr w:type="spellStart"/>
      <w:r w:rsidR="006B62EB" w:rsidRPr="006B62EB">
        <w:t>kWh</w:t>
      </w:r>
      <w:r w:rsidR="006B62EB" w:rsidRPr="006B62EB">
        <w:rPr>
          <w:vertAlign w:val="subscript"/>
        </w:rPr>
        <w:t>th</w:t>
      </w:r>
      <w:proofErr w:type="spellEnd"/>
      <w:r w:rsidR="006B62EB" w:rsidRPr="006B62EB">
        <w:t xml:space="preserve"> capacity, delivering 280 </w:t>
      </w:r>
      <w:proofErr w:type="spellStart"/>
      <w:r w:rsidR="006B62EB" w:rsidRPr="006B62EB">
        <w:t>kWh</w:t>
      </w:r>
      <w:r w:rsidR="006B62EB" w:rsidRPr="006B62EB">
        <w:rPr>
          <w:vertAlign w:val="subscript"/>
        </w:rPr>
        <w:t>th</w:t>
      </w:r>
      <w:proofErr w:type="spellEnd"/>
      <w:r w:rsidR="006B62EB" w:rsidRPr="006B62EB">
        <w:t xml:space="preserve"> at </w:t>
      </w:r>
      <w:r w:rsidR="006B62EB">
        <w:t xml:space="preserve">a 0.72 </w:t>
      </w:r>
      <w:proofErr w:type="spellStart"/>
      <w:r w:rsidR="006B62EB">
        <w:t>utilisation</w:t>
      </w:r>
      <w:proofErr w:type="spellEnd"/>
      <w:r w:rsidR="006B62EB">
        <w:t xml:space="preserve"> factor</w:t>
      </w:r>
      <w:r w:rsidR="006B62EB" w:rsidRPr="006B62EB">
        <w:t xml:space="preserve">. With an airflow </w:t>
      </w:r>
      <w:r w:rsidR="006B62EB">
        <w:t xml:space="preserve">rate </w:t>
      </w:r>
      <w:r w:rsidR="006B62EB" w:rsidRPr="006B62EB">
        <w:t>of 0.030 kg/s, superficial velocity is 0.108 m/s, Reynolds number</w:t>
      </w:r>
      <w:r w:rsidR="00A85F2E">
        <w:t xml:space="preserve"> of</w:t>
      </w:r>
      <w:r w:rsidR="006B62EB" w:rsidRPr="006B62EB">
        <w:t xml:space="preserve"> 58, heat transfer coefficient </w:t>
      </w:r>
      <w:r w:rsidR="00A85F2E">
        <w:t xml:space="preserve">of </w:t>
      </w:r>
      <w:r w:rsidR="006B62EB" w:rsidRPr="006B62EB">
        <w:t>1132 W/m³</w:t>
      </w:r>
      <w:r w:rsidR="006B62EB">
        <w:t xml:space="preserve"> </w:t>
      </w:r>
      <w:r w:rsidR="006B62EB" w:rsidRPr="006B62EB">
        <w:t>K, and NTU 42, causing a distinct thermocline as shown in Figures 6 and 7. The 10</w:t>
      </w:r>
      <w:r w:rsidR="006B62EB">
        <w:t xml:space="preserve"> to </w:t>
      </w:r>
      <w:r w:rsidR="006B62EB" w:rsidRPr="006B62EB">
        <w:t xml:space="preserve">90% zone covers 0.24 of the bed after 2 hours, growing with the square root of time to 0.64 at 9.5 hours. </w:t>
      </w:r>
      <w:r w:rsidR="006B62EB">
        <w:t>An</w:t>
      </w:r>
      <w:r w:rsidR="006B62EB" w:rsidRPr="006B62EB">
        <w:t xml:space="preserve"> 180°C cutoff results in 0.72 </w:t>
      </w:r>
      <w:proofErr w:type="spellStart"/>
      <w:r w:rsidR="006B62EB">
        <w:t>utilisation</w:t>
      </w:r>
      <w:proofErr w:type="spellEnd"/>
      <w:r w:rsidR="006B62EB" w:rsidRPr="006B62EB">
        <w:t>, aligning with typical values for similar beds reported in various studies. The Ergun pressure drop is 20 Pa, and the blower shaft power is 2.9 W, suitable for a cost-effective single-phase blower.</w:t>
      </w:r>
    </w:p>
    <w:p w14:paraId="130BAFBF" w14:textId="77777777" w:rsidR="00B47DAA" w:rsidRDefault="00B47DAA" w:rsidP="00D00AFB">
      <w:pPr>
        <w:pStyle w:val="SWCTableFigureCaption"/>
        <w:keepNext/>
      </w:pPr>
    </w:p>
    <w:p w14:paraId="6C896A69" w14:textId="4A073F14" w:rsidR="00D00AFB" w:rsidRDefault="00D00AFB" w:rsidP="00D00AFB">
      <w:pPr>
        <w:pStyle w:val="SWCTableFigureCaption"/>
        <w:keepNext/>
      </w:pPr>
      <w:r>
        <w:t>Tab. 4: Thermal load decomposition per firing, referenced to the chamber.</w:t>
      </w:r>
    </w:p>
    <w:tbl>
      <w:tblPr>
        <w:tblStyle w:val="TableGrid"/>
        <w:tblW w:w="0" w:type="auto"/>
        <w:tblInd w:w="85" w:type="dxa"/>
        <w:tblLayout w:type="fixed"/>
        <w:tblCellMar>
          <w:top w:w="5" w:type="dxa"/>
          <w:left w:w="45" w:type="dxa"/>
          <w:bottom w:w="5" w:type="dxa"/>
          <w:right w:w="45" w:type="dxa"/>
        </w:tblCellMar>
        <w:tblLook w:val="04A0" w:firstRow="1" w:lastRow="0" w:firstColumn="1" w:lastColumn="0" w:noHBand="0" w:noVBand="1"/>
      </w:tblPr>
      <w:tblGrid>
        <w:gridCol w:w="5073"/>
        <w:gridCol w:w="1692"/>
        <w:gridCol w:w="1598"/>
      </w:tblGrid>
      <w:tr w:rsidR="00D00AFB" w14:paraId="62515F0E" w14:textId="77777777" w:rsidTr="00CC67B4">
        <w:trPr>
          <w:cantSplit/>
          <w:trHeight w:val="245"/>
          <w:tblHeader/>
        </w:trPr>
        <w:tc>
          <w:tcPr>
            <w:tcW w:w="5073" w:type="dxa"/>
          </w:tcPr>
          <w:p w14:paraId="6EC43042" w14:textId="77777777" w:rsidR="00D00AFB" w:rsidRDefault="00D00AFB" w:rsidP="00CC67B4">
            <w:pPr>
              <w:pStyle w:val="SWCTableHeader"/>
              <w:ind w:left="48"/>
              <w:jc w:val="both"/>
            </w:pPr>
            <w:r>
              <w:t>Term</w:t>
            </w:r>
          </w:p>
        </w:tc>
        <w:tc>
          <w:tcPr>
            <w:tcW w:w="1692" w:type="dxa"/>
          </w:tcPr>
          <w:p w14:paraId="777C4664" w14:textId="77777777" w:rsidR="00D00AFB" w:rsidRDefault="00D00AFB" w:rsidP="00CC67B4">
            <w:pPr>
              <w:pStyle w:val="SWCTableHeader"/>
              <w:jc w:val="both"/>
            </w:pPr>
            <w:r>
              <w:t>Energy (kWhₜₕ)</w:t>
            </w:r>
          </w:p>
        </w:tc>
        <w:tc>
          <w:tcPr>
            <w:tcW w:w="1598" w:type="dxa"/>
          </w:tcPr>
          <w:p w14:paraId="75A55240" w14:textId="77777777" w:rsidR="00D00AFB" w:rsidRDefault="00D00AFB" w:rsidP="00CC67B4">
            <w:pPr>
              <w:pStyle w:val="SWCTableHeader"/>
              <w:jc w:val="both"/>
            </w:pPr>
            <w:r>
              <w:t>Share (%)</w:t>
            </w:r>
          </w:p>
        </w:tc>
      </w:tr>
      <w:tr w:rsidR="00D00AFB" w14:paraId="1AABEECC" w14:textId="77777777" w:rsidTr="00CC67B4">
        <w:trPr>
          <w:cantSplit/>
          <w:trHeight w:val="53"/>
        </w:trPr>
        <w:tc>
          <w:tcPr>
            <w:tcW w:w="5073" w:type="dxa"/>
          </w:tcPr>
          <w:p w14:paraId="66B87506" w14:textId="77777777" w:rsidR="00D00AFB" w:rsidRDefault="00D00AFB" w:rsidP="00CC67B4">
            <w:pPr>
              <w:pStyle w:val="SWCTableText"/>
              <w:ind w:left="48"/>
              <w:jc w:val="both"/>
            </w:pPr>
            <w:r>
              <w:t>Ware sensible enthalpy, 28 → 1150 °C</w:t>
            </w:r>
          </w:p>
        </w:tc>
        <w:tc>
          <w:tcPr>
            <w:tcW w:w="1692" w:type="dxa"/>
          </w:tcPr>
          <w:p w14:paraId="4D6E5852" w14:textId="77777777" w:rsidR="00D00AFB" w:rsidRDefault="00D00AFB" w:rsidP="00CC67B4">
            <w:pPr>
              <w:pStyle w:val="SWCTableText"/>
              <w:jc w:val="both"/>
            </w:pPr>
            <w:r>
              <w:t>97.9</w:t>
            </w:r>
          </w:p>
        </w:tc>
        <w:tc>
          <w:tcPr>
            <w:tcW w:w="1598" w:type="dxa"/>
          </w:tcPr>
          <w:p w14:paraId="1D3F2645" w14:textId="77777777" w:rsidR="00D00AFB" w:rsidRDefault="00D00AFB" w:rsidP="00CC67B4">
            <w:pPr>
              <w:pStyle w:val="SWCTableText"/>
              <w:jc w:val="both"/>
            </w:pPr>
            <w:r>
              <w:t>24.6</w:t>
            </w:r>
          </w:p>
        </w:tc>
      </w:tr>
      <w:tr w:rsidR="00D00AFB" w14:paraId="1A39E1C6" w14:textId="77777777" w:rsidTr="00CC67B4">
        <w:trPr>
          <w:cantSplit/>
          <w:trHeight w:val="53"/>
        </w:trPr>
        <w:tc>
          <w:tcPr>
            <w:tcW w:w="5073" w:type="dxa"/>
          </w:tcPr>
          <w:p w14:paraId="50F4D7C2" w14:textId="77777777" w:rsidR="00D00AFB" w:rsidRDefault="00D00AFB" w:rsidP="00CC67B4">
            <w:pPr>
              <w:pStyle w:val="SWCTableText"/>
              <w:ind w:left="48"/>
              <w:jc w:val="both"/>
            </w:pPr>
            <w:r>
              <w:t>Ware reaction enthalpy (</w:t>
            </w:r>
            <w:proofErr w:type="spellStart"/>
            <w:r>
              <w:t>dehydroxylation</w:t>
            </w:r>
            <w:proofErr w:type="spellEnd"/>
            <w:r>
              <w:t>, carbonates, quartz inversion)</w:t>
            </w:r>
          </w:p>
        </w:tc>
        <w:tc>
          <w:tcPr>
            <w:tcW w:w="1692" w:type="dxa"/>
          </w:tcPr>
          <w:p w14:paraId="5C060A89" w14:textId="77777777" w:rsidR="00D00AFB" w:rsidRDefault="00D00AFB" w:rsidP="00CC67B4">
            <w:pPr>
              <w:pStyle w:val="SWCTableText"/>
              <w:jc w:val="both"/>
            </w:pPr>
            <w:r>
              <w:t>25.0</w:t>
            </w:r>
          </w:p>
        </w:tc>
        <w:tc>
          <w:tcPr>
            <w:tcW w:w="1598" w:type="dxa"/>
          </w:tcPr>
          <w:p w14:paraId="6ECF1A89" w14:textId="77777777" w:rsidR="00D00AFB" w:rsidRDefault="00D00AFB" w:rsidP="00CC67B4">
            <w:pPr>
              <w:pStyle w:val="SWCTableText"/>
              <w:jc w:val="both"/>
            </w:pPr>
            <w:r>
              <w:t>6.3</w:t>
            </w:r>
          </w:p>
        </w:tc>
      </w:tr>
      <w:tr w:rsidR="00D00AFB" w14:paraId="13ECD5E0" w14:textId="77777777" w:rsidTr="00CC67B4">
        <w:trPr>
          <w:cantSplit/>
          <w:trHeight w:val="53"/>
        </w:trPr>
        <w:tc>
          <w:tcPr>
            <w:tcW w:w="5073" w:type="dxa"/>
          </w:tcPr>
          <w:p w14:paraId="399720E7" w14:textId="77777777" w:rsidR="00D00AFB" w:rsidRDefault="00D00AFB" w:rsidP="00CC67B4">
            <w:pPr>
              <w:pStyle w:val="SWCTableText"/>
              <w:ind w:left="138" w:hanging="90"/>
              <w:jc w:val="both"/>
            </w:pPr>
            <w:r>
              <w:t>Kiln furniture (shelves and props)</w:t>
            </w:r>
          </w:p>
        </w:tc>
        <w:tc>
          <w:tcPr>
            <w:tcW w:w="1692" w:type="dxa"/>
          </w:tcPr>
          <w:p w14:paraId="75D60BB1" w14:textId="77777777" w:rsidR="00D00AFB" w:rsidRDefault="00D00AFB" w:rsidP="00CC67B4">
            <w:pPr>
              <w:pStyle w:val="SWCTableText"/>
              <w:jc w:val="both"/>
            </w:pPr>
            <w:r>
              <w:t>31.4</w:t>
            </w:r>
          </w:p>
        </w:tc>
        <w:tc>
          <w:tcPr>
            <w:tcW w:w="1598" w:type="dxa"/>
          </w:tcPr>
          <w:p w14:paraId="2F8B73F9" w14:textId="77777777" w:rsidR="00D00AFB" w:rsidRDefault="00D00AFB" w:rsidP="00CC67B4">
            <w:pPr>
              <w:pStyle w:val="SWCTableText"/>
              <w:jc w:val="both"/>
            </w:pPr>
            <w:r>
              <w:t>7.9</w:t>
            </w:r>
          </w:p>
        </w:tc>
      </w:tr>
      <w:tr w:rsidR="00D00AFB" w14:paraId="2F69D890" w14:textId="77777777" w:rsidTr="00CC67B4">
        <w:trPr>
          <w:cantSplit/>
          <w:trHeight w:val="53"/>
        </w:trPr>
        <w:tc>
          <w:tcPr>
            <w:tcW w:w="5073" w:type="dxa"/>
          </w:tcPr>
          <w:p w14:paraId="7FD5B19C" w14:textId="77777777" w:rsidR="00D00AFB" w:rsidRDefault="00D00AFB" w:rsidP="00CC67B4">
            <w:pPr>
              <w:pStyle w:val="SWCTableText"/>
              <w:ind w:firstLine="48"/>
              <w:jc w:val="both"/>
            </w:pPr>
            <w:r>
              <w:t>Fibre muffle</w:t>
            </w:r>
          </w:p>
        </w:tc>
        <w:tc>
          <w:tcPr>
            <w:tcW w:w="1692" w:type="dxa"/>
          </w:tcPr>
          <w:p w14:paraId="440BB990" w14:textId="77777777" w:rsidR="00D00AFB" w:rsidRDefault="00D00AFB" w:rsidP="00CC67B4">
            <w:pPr>
              <w:pStyle w:val="SWCTableText"/>
              <w:jc w:val="both"/>
            </w:pPr>
            <w:r>
              <w:t>20.5</w:t>
            </w:r>
          </w:p>
        </w:tc>
        <w:tc>
          <w:tcPr>
            <w:tcW w:w="1598" w:type="dxa"/>
          </w:tcPr>
          <w:p w14:paraId="10DAA7F3" w14:textId="77777777" w:rsidR="00D00AFB" w:rsidRDefault="00D00AFB" w:rsidP="00CC67B4">
            <w:pPr>
              <w:pStyle w:val="SWCTableText"/>
              <w:jc w:val="both"/>
            </w:pPr>
            <w:r>
              <w:t>5.1</w:t>
            </w:r>
          </w:p>
        </w:tc>
      </w:tr>
      <w:tr w:rsidR="00D00AFB" w14:paraId="6CA85E1F" w14:textId="77777777" w:rsidTr="00CC67B4">
        <w:trPr>
          <w:cantSplit/>
          <w:trHeight w:val="53"/>
        </w:trPr>
        <w:tc>
          <w:tcPr>
            <w:tcW w:w="5073" w:type="dxa"/>
          </w:tcPr>
          <w:p w14:paraId="0AA5EA80" w14:textId="77777777" w:rsidR="00D00AFB" w:rsidRDefault="00D00AFB" w:rsidP="00CC67B4">
            <w:pPr>
              <w:pStyle w:val="SWCTableText"/>
              <w:ind w:firstLine="48"/>
              <w:jc w:val="both"/>
            </w:pPr>
            <w:r>
              <w:t>Enclosure insulation sensible enthalpy</w:t>
            </w:r>
          </w:p>
        </w:tc>
        <w:tc>
          <w:tcPr>
            <w:tcW w:w="1692" w:type="dxa"/>
          </w:tcPr>
          <w:p w14:paraId="1A21F057" w14:textId="77777777" w:rsidR="00D00AFB" w:rsidRDefault="00D00AFB" w:rsidP="00CC67B4">
            <w:pPr>
              <w:pStyle w:val="SWCTableText"/>
              <w:jc w:val="both"/>
            </w:pPr>
            <w:r>
              <w:t>160.5</w:t>
            </w:r>
          </w:p>
        </w:tc>
        <w:tc>
          <w:tcPr>
            <w:tcW w:w="1598" w:type="dxa"/>
          </w:tcPr>
          <w:p w14:paraId="230E0A28" w14:textId="77777777" w:rsidR="00D00AFB" w:rsidRDefault="00D00AFB" w:rsidP="00CC67B4">
            <w:pPr>
              <w:pStyle w:val="SWCTableText"/>
              <w:jc w:val="both"/>
            </w:pPr>
            <w:r>
              <w:t>40.4</w:t>
            </w:r>
          </w:p>
        </w:tc>
      </w:tr>
      <w:tr w:rsidR="00D00AFB" w14:paraId="2DE5AF0A" w14:textId="77777777" w:rsidTr="00CC67B4">
        <w:trPr>
          <w:cantSplit/>
          <w:trHeight w:val="53"/>
        </w:trPr>
        <w:tc>
          <w:tcPr>
            <w:tcW w:w="5073" w:type="dxa"/>
          </w:tcPr>
          <w:p w14:paraId="122FB0F1" w14:textId="77777777" w:rsidR="00D00AFB" w:rsidRDefault="00D00AFB" w:rsidP="00CC67B4">
            <w:pPr>
              <w:pStyle w:val="SWCTableText"/>
              <w:ind w:firstLine="48"/>
              <w:jc w:val="both"/>
            </w:pPr>
            <w:r>
              <w:t>Envelope loss during ramp and soak</w:t>
            </w:r>
          </w:p>
        </w:tc>
        <w:tc>
          <w:tcPr>
            <w:tcW w:w="1692" w:type="dxa"/>
          </w:tcPr>
          <w:p w14:paraId="4AA3D3C2" w14:textId="77777777" w:rsidR="00D00AFB" w:rsidRDefault="00D00AFB" w:rsidP="00CC67B4">
            <w:pPr>
              <w:pStyle w:val="SWCTableText"/>
              <w:jc w:val="both"/>
            </w:pPr>
            <w:r>
              <w:t>32.9</w:t>
            </w:r>
          </w:p>
        </w:tc>
        <w:tc>
          <w:tcPr>
            <w:tcW w:w="1598" w:type="dxa"/>
          </w:tcPr>
          <w:p w14:paraId="09FF9AE3" w14:textId="77777777" w:rsidR="00D00AFB" w:rsidRDefault="00D00AFB" w:rsidP="00CC67B4">
            <w:pPr>
              <w:pStyle w:val="SWCTableText"/>
              <w:jc w:val="both"/>
            </w:pPr>
            <w:r>
              <w:t>8.3</w:t>
            </w:r>
          </w:p>
        </w:tc>
      </w:tr>
      <w:tr w:rsidR="00D00AFB" w14:paraId="118D388C" w14:textId="77777777" w:rsidTr="00CC67B4">
        <w:trPr>
          <w:cantSplit/>
          <w:trHeight w:val="84"/>
        </w:trPr>
        <w:tc>
          <w:tcPr>
            <w:tcW w:w="5073" w:type="dxa"/>
          </w:tcPr>
          <w:p w14:paraId="5F78CB6D" w14:textId="77777777" w:rsidR="00D00AFB" w:rsidRDefault="00D00AFB" w:rsidP="00CC67B4">
            <w:pPr>
              <w:pStyle w:val="SWCTableText"/>
              <w:ind w:firstLine="48"/>
              <w:jc w:val="both"/>
            </w:pPr>
            <w:r>
              <w:t>Parasitic allowance (8 %)</w:t>
            </w:r>
          </w:p>
        </w:tc>
        <w:tc>
          <w:tcPr>
            <w:tcW w:w="1692" w:type="dxa"/>
          </w:tcPr>
          <w:p w14:paraId="382108AA" w14:textId="77777777" w:rsidR="00D00AFB" w:rsidRDefault="00D00AFB" w:rsidP="00CC67B4">
            <w:pPr>
              <w:pStyle w:val="SWCTableText"/>
              <w:jc w:val="both"/>
            </w:pPr>
            <w:r>
              <w:t>29.4</w:t>
            </w:r>
          </w:p>
        </w:tc>
        <w:tc>
          <w:tcPr>
            <w:tcW w:w="1598" w:type="dxa"/>
          </w:tcPr>
          <w:p w14:paraId="66562318" w14:textId="77777777" w:rsidR="00D00AFB" w:rsidRDefault="00D00AFB" w:rsidP="00CC67B4">
            <w:pPr>
              <w:pStyle w:val="SWCTableText"/>
              <w:jc w:val="both"/>
            </w:pPr>
            <w:r>
              <w:t>7.4</w:t>
            </w:r>
          </w:p>
        </w:tc>
      </w:tr>
      <w:tr w:rsidR="00D00AFB" w14:paraId="4F56E71D" w14:textId="77777777" w:rsidTr="00CC67B4">
        <w:trPr>
          <w:cantSplit/>
          <w:trHeight w:val="53"/>
        </w:trPr>
        <w:tc>
          <w:tcPr>
            <w:tcW w:w="5073" w:type="dxa"/>
          </w:tcPr>
          <w:p w14:paraId="71BF0AC1" w14:textId="77777777" w:rsidR="00D00AFB" w:rsidRDefault="00D00AFB" w:rsidP="00CC67B4">
            <w:pPr>
              <w:pStyle w:val="SWCTableText"/>
              <w:ind w:firstLine="48"/>
              <w:jc w:val="both"/>
            </w:pPr>
            <w:r>
              <w:t>Total per cycle</w:t>
            </w:r>
          </w:p>
        </w:tc>
        <w:tc>
          <w:tcPr>
            <w:tcW w:w="1692" w:type="dxa"/>
          </w:tcPr>
          <w:p w14:paraId="490C7B49" w14:textId="77777777" w:rsidR="00D00AFB" w:rsidRDefault="00D00AFB" w:rsidP="00CC67B4">
            <w:pPr>
              <w:pStyle w:val="SWCTableText"/>
              <w:jc w:val="both"/>
            </w:pPr>
            <w:r>
              <w:t>397.6</w:t>
            </w:r>
          </w:p>
        </w:tc>
        <w:tc>
          <w:tcPr>
            <w:tcW w:w="1598" w:type="dxa"/>
          </w:tcPr>
          <w:p w14:paraId="7EE26C05" w14:textId="77777777" w:rsidR="00D00AFB" w:rsidRDefault="00D00AFB" w:rsidP="00CC67B4">
            <w:pPr>
              <w:pStyle w:val="SWCTableText"/>
              <w:jc w:val="both"/>
            </w:pPr>
            <w:r>
              <w:t>100.0</w:t>
            </w:r>
          </w:p>
        </w:tc>
      </w:tr>
    </w:tbl>
    <w:p w14:paraId="6A290D8B" w14:textId="6F996561" w:rsidR="002B2325" w:rsidRDefault="002B2325" w:rsidP="00CC67B4">
      <w:pPr>
        <w:pStyle w:val="SWCText"/>
        <w:jc w:val="center"/>
      </w:pPr>
      <w:r w:rsidRPr="002B2325">
        <w:rPr>
          <w:noProof/>
          <w:color w:val="auto"/>
          <w:sz w:val="21"/>
          <w:highlight w:val="yellow"/>
          <w:lang w:eastAsia="en-US"/>
        </w:rPr>
        <w:lastRenderedPageBreak/>
        <w:drawing>
          <wp:inline distT="0" distB="0" distL="0" distR="0" wp14:anchorId="7F4A067C" wp14:editId="12EF2D39">
            <wp:extent cx="3832468" cy="2552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5_firing_schedule.png"/>
                    <pic:cNvPicPr/>
                  </pic:nvPicPr>
                  <pic:blipFill rotWithShape="1">
                    <a:blip r:embed="rId17"/>
                    <a:srcRect b="2338"/>
                    <a:stretch>
                      <a:fillRect/>
                    </a:stretch>
                  </pic:blipFill>
                  <pic:spPr bwMode="auto">
                    <a:xfrm>
                      <a:off x="0" y="0"/>
                      <a:ext cx="3931481" cy="2618650"/>
                    </a:xfrm>
                    <a:prstGeom prst="rect">
                      <a:avLst/>
                    </a:prstGeom>
                    <a:ln>
                      <a:noFill/>
                    </a:ln>
                    <a:extLst>
                      <a:ext uri="{53640926-AAD7-44D8-BBD7-CCE9431645EC}">
                        <a14:shadowObscured xmlns:a14="http://schemas.microsoft.com/office/drawing/2010/main"/>
                      </a:ext>
                    </a:extLst>
                  </pic:spPr>
                </pic:pic>
              </a:graphicData>
            </a:graphic>
          </wp:inline>
        </w:drawing>
      </w:r>
    </w:p>
    <w:p w14:paraId="6963DC85" w14:textId="0A957F5C" w:rsidR="00B47DAA" w:rsidRPr="00B47DAA" w:rsidRDefault="00B47DAA">
      <w:pPr>
        <w:pStyle w:val="SWCText"/>
        <w:rPr>
          <w:b/>
          <w:bCs/>
          <w:sz w:val="16"/>
          <w:szCs w:val="16"/>
        </w:rPr>
      </w:pPr>
      <w:r w:rsidRPr="00B47DAA">
        <w:rPr>
          <w:b/>
          <w:bCs/>
          <w:sz w:val="16"/>
          <w:szCs w:val="16"/>
          <w:lang w:val="de-DE"/>
        </w:rPr>
        <w:t>Fig. 6: Thermal load decomposition per firing</w:t>
      </w:r>
      <w:r>
        <w:rPr>
          <w:b/>
          <w:bCs/>
          <w:sz w:val="16"/>
          <w:szCs w:val="16"/>
          <w:lang w:val="de-DE"/>
        </w:rPr>
        <w:t xml:space="preserve"> rate</w:t>
      </w:r>
      <w:r w:rsidRPr="00B47DAA">
        <w:rPr>
          <w:b/>
          <w:bCs/>
          <w:sz w:val="16"/>
          <w:szCs w:val="16"/>
          <w:lang w:val="de-DE"/>
        </w:rPr>
        <w:t>, referenced to the chamber</w:t>
      </w:r>
    </w:p>
    <w:p w14:paraId="5786C543" w14:textId="77777777" w:rsidR="00BA7B01" w:rsidRDefault="00000000" w:rsidP="00CC67B4">
      <w:pPr>
        <w:pStyle w:val="SWCText"/>
        <w:keepNext/>
        <w:spacing w:before="60" w:after="20"/>
        <w:jc w:val="center"/>
      </w:pPr>
      <w:r>
        <w:rPr>
          <w:noProof/>
        </w:rPr>
        <w:drawing>
          <wp:inline distT="0" distB="0" distL="0" distR="0" wp14:anchorId="665CAC14" wp14:editId="2A6C011A">
            <wp:extent cx="4485136" cy="16535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rotWithShape="1">
                    <a:blip r:embed="rId18"/>
                    <a:srcRect b="3400"/>
                    <a:stretch>
                      <a:fillRect/>
                    </a:stretch>
                  </pic:blipFill>
                  <pic:spPr bwMode="auto">
                    <a:xfrm>
                      <a:off x="0" y="0"/>
                      <a:ext cx="4625617" cy="1705331"/>
                    </a:xfrm>
                    <a:prstGeom prst="rect">
                      <a:avLst/>
                    </a:prstGeom>
                    <a:ln>
                      <a:noFill/>
                    </a:ln>
                    <a:extLst>
                      <a:ext uri="{53640926-AAD7-44D8-BBD7-CCE9431645EC}">
                        <a14:shadowObscured xmlns:a14="http://schemas.microsoft.com/office/drawing/2010/main"/>
                      </a:ext>
                    </a:extLst>
                  </pic:spPr>
                </pic:pic>
              </a:graphicData>
            </a:graphic>
          </wp:inline>
        </w:drawing>
      </w:r>
    </w:p>
    <w:p w14:paraId="6C4BE8CA" w14:textId="6A591CF5" w:rsidR="00D00AFB" w:rsidRDefault="00000000" w:rsidP="0029316B">
      <w:pPr>
        <w:pStyle w:val="SWCTableFigureCaption"/>
      </w:pPr>
      <w:r>
        <w:t xml:space="preserve">Fig. </w:t>
      </w:r>
      <w:r w:rsidR="00B47DAA">
        <w:t>7</w:t>
      </w:r>
      <w:r>
        <w:t>: Schumann model results: (a) charging (b) discharging solid-temperature profiles at two-hourly intervals; (c) growth of the 10–90 % thermocline zone and the breakthrough time.</w:t>
      </w:r>
    </w:p>
    <w:p w14:paraId="4076A8BA" w14:textId="77777777" w:rsidR="00353139" w:rsidRPr="008457FF" w:rsidRDefault="00353139">
      <w:pPr>
        <w:pStyle w:val="SWCHeading11"/>
        <w:keepNext/>
        <w:rPr>
          <w:i w:val="0"/>
          <w:iCs/>
        </w:rPr>
      </w:pPr>
    </w:p>
    <w:p w14:paraId="0BCEB3C4" w14:textId="0FF18B38" w:rsidR="00BA7B01" w:rsidRDefault="00000000">
      <w:pPr>
        <w:pStyle w:val="SWCHeading11"/>
        <w:keepNext/>
      </w:pPr>
      <w:r>
        <w:t>3.3 Annual dispatch, energy and exergy balance</w:t>
      </w:r>
    </w:p>
    <w:p w14:paraId="31F68426" w14:textId="2B196334" w:rsidR="00B945A0" w:rsidRPr="008457FF" w:rsidRDefault="00F00BDC" w:rsidP="008457FF">
      <w:pPr>
        <w:pStyle w:val="SWCText"/>
      </w:pPr>
      <w:r w:rsidRPr="00F00BDC">
        <w:t xml:space="preserve">The 30 </w:t>
      </w:r>
      <w:proofErr w:type="spellStart"/>
      <w:r w:rsidRPr="00F00BDC">
        <w:t>kWp</w:t>
      </w:r>
      <w:proofErr w:type="spellEnd"/>
      <w:r w:rsidRPr="00F00BDC">
        <w:t xml:space="preserve"> PV array produces 49.9 MWh annually, with </w:t>
      </w:r>
      <w:r w:rsidR="00F565A8">
        <w:t>80 firings completed</w:t>
      </w:r>
      <w:r w:rsidRPr="00F00BDC">
        <w:t>, ensuring 100% schedule reliability.</w:t>
      </w:r>
      <w:r w:rsidR="00454E55">
        <w:t xml:space="preserve"> </w:t>
      </w:r>
      <w:r w:rsidRPr="00F00BDC">
        <w:t xml:space="preserve">Solar PV supplied 99.1% of chamber demand, with 82.3% </w:t>
      </w:r>
      <w:proofErr w:type="spellStart"/>
      <w:r>
        <w:t>utilisation</w:t>
      </w:r>
      <w:proofErr w:type="spellEnd"/>
      <w:r w:rsidRPr="00F00BDC">
        <w:t xml:space="preserve"> and 8.8 MWh curtailed. Standby </w:t>
      </w:r>
      <w:r w:rsidR="00B945A0">
        <w:t>energy for</w:t>
      </w:r>
      <w:r w:rsidRPr="00F00BDC">
        <w:t xml:space="preserve"> temperature control </w:t>
      </w:r>
      <w:r w:rsidR="00B945A0">
        <w:t>amounted</w:t>
      </w:r>
      <w:r w:rsidRPr="00F00BDC">
        <w:t xml:space="preserve"> to 15.6 MWh, partially offset by 3.6 MWh recovered from cooling. The </w:t>
      </w:r>
      <w:r>
        <w:t xml:space="preserve">TES </w:t>
      </w:r>
      <w:r w:rsidRPr="00F00BDC">
        <w:t>stor</w:t>
      </w:r>
      <w:r>
        <w:t>age</w:t>
      </w:r>
      <w:r w:rsidRPr="00F00BDC">
        <w:t xml:space="preserve"> completes 61 cycles yearly at 0.49 efficiency. Reliability</w:t>
      </w:r>
      <w:r w:rsidR="0005088A">
        <w:t xml:space="preserve"> is maintained</w:t>
      </w:r>
      <w:r w:rsidRPr="00F00BDC">
        <w:t xml:space="preserve"> beyond 300 </w:t>
      </w:r>
      <w:proofErr w:type="spellStart"/>
      <w:r w:rsidRPr="00F00BDC">
        <w:t>kWh</w:t>
      </w:r>
      <w:r w:rsidRPr="0005088A">
        <w:rPr>
          <w:vertAlign w:val="subscript"/>
        </w:rPr>
        <w:t>th</w:t>
      </w:r>
      <w:proofErr w:type="spellEnd"/>
      <w:r w:rsidRPr="00F00BDC">
        <w:t xml:space="preserve"> capacity and 35 </w:t>
      </w:r>
      <w:proofErr w:type="spellStart"/>
      <w:r w:rsidRPr="00F00BDC">
        <w:t>kWp</w:t>
      </w:r>
      <w:proofErr w:type="spellEnd"/>
      <w:r w:rsidRPr="00F00BDC">
        <w:t xml:space="preserve"> curtailment, with the system </w:t>
      </w:r>
      <w:r w:rsidR="00B945A0">
        <w:t>enduring</w:t>
      </w:r>
      <w:r w:rsidRPr="00F00BDC">
        <w:t xml:space="preserve"> </w:t>
      </w:r>
      <w:r w:rsidR="00B945A0">
        <w:t xml:space="preserve">a </w:t>
      </w:r>
      <w:r w:rsidRPr="00F00BDC">
        <w:t>99% reliability contour. Out of 51.2 MWh</w:t>
      </w:r>
      <w:r w:rsidR="00454E55">
        <w:t>,</w:t>
      </w:r>
      <w:r w:rsidR="0005088A">
        <w:t xml:space="preserve"> 1.3 MWh is lost in DC conditioning, 8.8 MWh is curtailed, and 41.1 MWh is </w:t>
      </w:r>
      <w:r w:rsidRPr="00F00BDC">
        <w:t>charged into the hot system. After losses, 25.7 MWh reach the chamber, with 11.7 MWh absorbed by the enclosure and muffle</w:t>
      </w:r>
      <w:r w:rsidR="00454E55">
        <w:t>,</w:t>
      </w:r>
      <w:r w:rsidRPr="00F00BDC">
        <w:t xml:space="preserve"> 7.1 MWh </w:t>
      </w:r>
      <w:r w:rsidR="00B945A0">
        <w:t>consumed</w:t>
      </w:r>
      <w:r w:rsidRPr="00F00BDC">
        <w:t xml:space="preserve"> </w:t>
      </w:r>
      <w:r w:rsidR="00B945A0">
        <w:t>by</w:t>
      </w:r>
      <w:r w:rsidRPr="00F00BDC">
        <w:t xml:space="preserve"> other components, leaving 7.9 MWh as useful heat</w:t>
      </w:r>
      <w:r w:rsidR="0005088A">
        <w:t xml:space="preserve"> absorbed by the ware</w:t>
      </w:r>
      <w:r w:rsidRPr="00F00BDC">
        <w:t xml:space="preserve">. </w:t>
      </w:r>
      <w:r w:rsidR="00454E55">
        <w:t>The ware efficiency</w:t>
      </w:r>
      <w:r w:rsidRPr="00F00BDC">
        <w:t xml:space="preserve"> </w:t>
      </w:r>
      <w:proofErr w:type="spellStart"/>
      <w:r w:rsidRPr="00F00BDC">
        <w:t>η</w:t>
      </w:r>
      <w:r w:rsidRPr="0005088A">
        <w:rPr>
          <w:vertAlign w:val="subscript"/>
        </w:rPr>
        <w:t>en</w:t>
      </w:r>
      <w:proofErr w:type="spellEnd"/>
      <w:r w:rsidRPr="00F00BDC">
        <w:t xml:space="preserve">=0.155 and </w:t>
      </w:r>
      <w:proofErr w:type="spellStart"/>
      <w:r w:rsidRPr="00F00BDC">
        <w:t>η</w:t>
      </w:r>
      <w:r w:rsidRPr="0005088A">
        <w:rPr>
          <w:vertAlign w:val="subscript"/>
        </w:rPr>
        <w:t>ex</w:t>
      </w:r>
      <w:proofErr w:type="spellEnd"/>
      <w:r w:rsidRPr="00F00BDC">
        <w:t>=0.094</w:t>
      </w:r>
      <w:r w:rsidR="00454E55">
        <w:t>, with a total heat delivery efficiency of</w:t>
      </w:r>
      <w:r w:rsidRPr="00F00BDC">
        <w:t xml:space="preserve"> 0.50. Electricity is pure exergy</w:t>
      </w:r>
      <w:r w:rsidR="0005088A">
        <w:t xml:space="preserve"> and causes</w:t>
      </w:r>
      <w:r w:rsidRPr="00F00BDC">
        <w:t xml:space="preserve"> immediate exergy destruction, while stored heat carries </w:t>
      </w:r>
      <w:r w:rsidR="000F51F6">
        <w:t>ψ = 0.58</w:t>
      </w:r>
      <w:r w:rsidRPr="00F00BDC">
        <w:t>, reflecting the thermodynamic cost of storage.</w:t>
      </w:r>
      <w:r w:rsidR="008457FF">
        <w:t xml:space="preserve"> </w:t>
      </w:r>
      <w:r w:rsidR="008457FF" w:rsidRPr="008457FF">
        <w:rPr>
          <w:szCs w:val="20"/>
        </w:rPr>
        <w:t>Table 5 and Figure 8 present the characteristics of the illustrated performance.</w:t>
      </w:r>
    </w:p>
    <w:p w14:paraId="72347B8E" w14:textId="77777777" w:rsidR="008457FF" w:rsidRDefault="008457FF" w:rsidP="000F51F6">
      <w:pPr>
        <w:pStyle w:val="SWCTableFigureCaption"/>
        <w:keepNext/>
      </w:pPr>
    </w:p>
    <w:p w14:paraId="3C26908B" w14:textId="07FF8F98" w:rsidR="000F51F6" w:rsidRDefault="00000000" w:rsidP="000F51F6">
      <w:pPr>
        <w:pStyle w:val="SWCTableFigureCaption"/>
        <w:keepNext/>
      </w:pPr>
      <w:r>
        <w:t>Tab. 5: Annual energy and exergy balance at the design point (80 firings).</w:t>
      </w:r>
    </w:p>
    <w:tbl>
      <w:tblPr>
        <w:tblStyle w:val="TableGrid"/>
        <w:tblW w:w="0" w:type="auto"/>
        <w:jc w:val="center"/>
        <w:tblLayout w:type="fixed"/>
        <w:tblCellMar>
          <w:top w:w="5" w:type="dxa"/>
          <w:left w:w="45" w:type="dxa"/>
          <w:bottom w:w="5" w:type="dxa"/>
          <w:right w:w="45" w:type="dxa"/>
        </w:tblCellMar>
        <w:tblLook w:val="04A0" w:firstRow="1" w:lastRow="0" w:firstColumn="1" w:lastColumn="0" w:noHBand="0" w:noVBand="1"/>
      </w:tblPr>
      <w:tblGrid>
        <w:gridCol w:w="3756"/>
        <w:gridCol w:w="1707"/>
        <w:gridCol w:w="1707"/>
        <w:gridCol w:w="1365"/>
      </w:tblGrid>
      <w:tr w:rsidR="00BA7B01" w14:paraId="4DA682B8" w14:textId="77777777" w:rsidTr="00360DD9">
        <w:trPr>
          <w:cantSplit/>
          <w:trHeight w:val="242"/>
          <w:tblHeader/>
          <w:jc w:val="center"/>
        </w:trPr>
        <w:tc>
          <w:tcPr>
            <w:tcW w:w="3756" w:type="dxa"/>
          </w:tcPr>
          <w:p w14:paraId="56CB89F8" w14:textId="77777777" w:rsidR="00BA7B01" w:rsidRDefault="00000000">
            <w:pPr>
              <w:pStyle w:val="SWCTableHeader"/>
              <w:jc w:val="left"/>
            </w:pPr>
            <w:r>
              <w:t>Stream</w:t>
            </w:r>
          </w:p>
        </w:tc>
        <w:tc>
          <w:tcPr>
            <w:tcW w:w="1707" w:type="dxa"/>
          </w:tcPr>
          <w:p w14:paraId="5978DE10" w14:textId="77777777" w:rsidR="00BA7B01" w:rsidRDefault="00000000">
            <w:pPr>
              <w:pStyle w:val="SWCTableHeader"/>
            </w:pPr>
            <w:r>
              <w:t>Energy (MWh yr⁻¹)</w:t>
            </w:r>
          </w:p>
        </w:tc>
        <w:tc>
          <w:tcPr>
            <w:tcW w:w="1707" w:type="dxa"/>
          </w:tcPr>
          <w:p w14:paraId="0CEBF17E" w14:textId="77777777" w:rsidR="00BA7B01" w:rsidRDefault="00000000">
            <w:pPr>
              <w:pStyle w:val="SWCTableHeader"/>
            </w:pPr>
            <w:r>
              <w:t>Exergy (MWh yr⁻¹)</w:t>
            </w:r>
          </w:p>
        </w:tc>
        <w:tc>
          <w:tcPr>
            <w:tcW w:w="1365" w:type="dxa"/>
          </w:tcPr>
          <w:p w14:paraId="529C34E8" w14:textId="77777777" w:rsidR="00BA7B01" w:rsidRDefault="00000000">
            <w:pPr>
              <w:pStyle w:val="SWCTableHeader"/>
            </w:pPr>
            <w:r>
              <w:t>Exergy factor ψ</w:t>
            </w:r>
          </w:p>
        </w:tc>
      </w:tr>
      <w:tr w:rsidR="00BA7B01" w14:paraId="1B5546F5" w14:textId="77777777" w:rsidTr="00360DD9">
        <w:trPr>
          <w:cantSplit/>
          <w:trHeight w:val="242"/>
          <w:jc w:val="center"/>
        </w:trPr>
        <w:tc>
          <w:tcPr>
            <w:tcW w:w="3756" w:type="dxa"/>
          </w:tcPr>
          <w:p w14:paraId="07F1AFE7" w14:textId="77777777" w:rsidR="00BA7B01" w:rsidRDefault="00000000">
            <w:pPr>
              <w:pStyle w:val="SWCTableText"/>
              <w:jc w:val="left"/>
            </w:pPr>
            <w:r>
              <w:t>Array DC output</w:t>
            </w:r>
          </w:p>
        </w:tc>
        <w:tc>
          <w:tcPr>
            <w:tcW w:w="1707" w:type="dxa"/>
          </w:tcPr>
          <w:p w14:paraId="5DF5E956" w14:textId="77777777" w:rsidR="00BA7B01" w:rsidRDefault="00000000">
            <w:pPr>
              <w:pStyle w:val="SWCTableText"/>
            </w:pPr>
            <w:r>
              <w:t>51.19</w:t>
            </w:r>
          </w:p>
        </w:tc>
        <w:tc>
          <w:tcPr>
            <w:tcW w:w="1707" w:type="dxa"/>
          </w:tcPr>
          <w:p w14:paraId="3E057FD4" w14:textId="77777777" w:rsidR="00BA7B01" w:rsidRDefault="00000000">
            <w:pPr>
              <w:pStyle w:val="SWCTableText"/>
            </w:pPr>
            <w:r>
              <w:t>51.19</w:t>
            </w:r>
          </w:p>
        </w:tc>
        <w:tc>
          <w:tcPr>
            <w:tcW w:w="1365" w:type="dxa"/>
          </w:tcPr>
          <w:p w14:paraId="7405BDF5" w14:textId="77777777" w:rsidR="00BA7B01" w:rsidRDefault="00000000">
            <w:pPr>
              <w:pStyle w:val="SWCTableText"/>
            </w:pPr>
            <w:r>
              <w:t>1.00</w:t>
            </w:r>
          </w:p>
        </w:tc>
      </w:tr>
      <w:tr w:rsidR="00BA7B01" w14:paraId="75B96D35" w14:textId="77777777" w:rsidTr="00360DD9">
        <w:trPr>
          <w:cantSplit/>
          <w:trHeight w:val="230"/>
          <w:jc w:val="center"/>
        </w:trPr>
        <w:tc>
          <w:tcPr>
            <w:tcW w:w="3756" w:type="dxa"/>
          </w:tcPr>
          <w:p w14:paraId="318FEEA9" w14:textId="77777777" w:rsidR="00BA7B01" w:rsidRDefault="00000000">
            <w:pPr>
              <w:pStyle w:val="SWCTableText"/>
              <w:jc w:val="left"/>
            </w:pPr>
            <w:r>
              <w:t>Charged into the hot system</w:t>
            </w:r>
          </w:p>
        </w:tc>
        <w:tc>
          <w:tcPr>
            <w:tcW w:w="1707" w:type="dxa"/>
          </w:tcPr>
          <w:p w14:paraId="79C39212" w14:textId="77777777" w:rsidR="00BA7B01" w:rsidRDefault="00000000">
            <w:pPr>
              <w:pStyle w:val="SWCTableText"/>
            </w:pPr>
            <w:r>
              <w:t>41.08</w:t>
            </w:r>
          </w:p>
        </w:tc>
        <w:tc>
          <w:tcPr>
            <w:tcW w:w="1707" w:type="dxa"/>
          </w:tcPr>
          <w:p w14:paraId="5EC7C415" w14:textId="77777777" w:rsidR="00BA7B01" w:rsidRDefault="00000000">
            <w:pPr>
              <w:pStyle w:val="SWCTableText"/>
            </w:pPr>
            <w:r>
              <w:t>23.86</w:t>
            </w:r>
          </w:p>
        </w:tc>
        <w:tc>
          <w:tcPr>
            <w:tcW w:w="1365" w:type="dxa"/>
          </w:tcPr>
          <w:p w14:paraId="30BA4A19" w14:textId="77777777" w:rsidR="00BA7B01" w:rsidRDefault="00000000">
            <w:pPr>
              <w:pStyle w:val="SWCTableText"/>
            </w:pPr>
            <w:r>
              <w:t>0.58</w:t>
            </w:r>
          </w:p>
        </w:tc>
      </w:tr>
      <w:tr w:rsidR="00BA7B01" w14:paraId="4AF28DD0" w14:textId="77777777" w:rsidTr="00360DD9">
        <w:trPr>
          <w:cantSplit/>
          <w:trHeight w:val="242"/>
          <w:jc w:val="center"/>
        </w:trPr>
        <w:tc>
          <w:tcPr>
            <w:tcW w:w="3756" w:type="dxa"/>
          </w:tcPr>
          <w:p w14:paraId="659F7912" w14:textId="77777777" w:rsidR="00BA7B01" w:rsidRDefault="00000000">
            <w:pPr>
              <w:pStyle w:val="SWCTableText"/>
              <w:jc w:val="left"/>
            </w:pPr>
            <w:r>
              <w:t>Delivered to the chamber</w:t>
            </w:r>
          </w:p>
        </w:tc>
        <w:tc>
          <w:tcPr>
            <w:tcW w:w="1707" w:type="dxa"/>
          </w:tcPr>
          <w:p w14:paraId="31F49A41" w14:textId="77777777" w:rsidR="00BA7B01" w:rsidRDefault="00000000">
            <w:pPr>
              <w:pStyle w:val="SWCTableText"/>
            </w:pPr>
            <w:r>
              <w:t>25.71</w:t>
            </w:r>
          </w:p>
        </w:tc>
        <w:tc>
          <w:tcPr>
            <w:tcW w:w="1707" w:type="dxa"/>
          </w:tcPr>
          <w:p w14:paraId="0FCE8CFA" w14:textId="77777777" w:rsidR="00BA7B01" w:rsidRDefault="00000000">
            <w:pPr>
              <w:pStyle w:val="SWCTableText"/>
            </w:pPr>
            <w:r>
              <w:t>14.72</w:t>
            </w:r>
          </w:p>
        </w:tc>
        <w:tc>
          <w:tcPr>
            <w:tcW w:w="1365" w:type="dxa"/>
          </w:tcPr>
          <w:p w14:paraId="020312BD" w14:textId="77777777" w:rsidR="00BA7B01" w:rsidRDefault="00000000">
            <w:pPr>
              <w:pStyle w:val="SWCTableText"/>
            </w:pPr>
            <w:r>
              <w:t>0.57</w:t>
            </w:r>
          </w:p>
        </w:tc>
      </w:tr>
      <w:tr w:rsidR="00BA7B01" w14:paraId="6CB12D8E" w14:textId="77777777" w:rsidTr="00360DD9">
        <w:trPr>
          <w:cantSplit/>
          <w:trHeight w:val="242"/>
          <w:jc w:val="center"/>
        </w:trPr>
        <w:tc>
          <w:tcPr>
            <w:tcW w:w="3756" w:type="dxa"/>
          </w:tcPr>
          <w:p w14:paraId="56374466" w14:textId="77777777" w:rsidR="00BA7B01" w:rsidRDefault="00000000">
            <w:pPr>
              <w:pStyle w:val="SWCTableText"/>
              <w:jc w:val="left"/>
            </w:pPr>
            <w:r>
              <w:t>Absorbed by the ware</w:t>
            </w:r>
          </w:p>
        </w:tc>
        <w:tc>
          <w:tcPr>
            <w:tcW w:w="1707" w:type="dxa"/>
          </w:tcPr>
          <w:p w14:paraId="2147D3C0" w14:textId="77777777" w:rsidR="00BA7B01" w:rsidRDefault="00000000">
            <w:pPr>
              <w:pStyle w:val="SWCTableText"/>
            </w:pPr>
            <w:r>
              <w:t>7.95</w:t>
            </w:r>
          </w:p>
        </w:tc>
        <w:tc>
          <w:tcPr>
            <w:tcW w:w="1707" w:type="dxa"/>
          </w:tcPr>
          <w:p w14:paraId="5B93264B" w14:textId="77777777" w:rsidR="00BA7B01" w:rsidRDefault="00000000">
            <w:pPr>
              <w:pStyle w:val="SWCTableText"/>
            </w:pPr>
            <w:r>
              <w:t>4.82</w:t>
            </w:r>
          </w:p>
        </w:tc>
        <w:tc>
          <w:tcPr>
            <w:tcW w:w="1365" w:type="dxa"/>
          </w:tcPr>
          <w:p w14:paraId="3730F845" w14:textId="77777777" w:rsidR="00BA7B01" w:rsidRDefault="00000000">
            <w:pPr>
              <w:pStyle w:val="SWCTableText"/>
            </w:pPr>
            <w:r>
              <w:t>0.61</w:t>
            </w:r>
          </w:p>
        </w:tc>
      </w:tr>
      <w:tr w:rsidR="00BA7B01" w14:paraId="6E35BF23" w14:textId="77777777" w:rsidTr="00360DD9">
        <w:trPr>
          <w:cantSplit/>
          <w:trHeight w:val="242"/>
          <w:jc w:val="center"/>
        </w:trPr>
        <w:tc>
          <w:tcPr>
            <w:tcW w:w="3756" w:type="dxa"/>
          </w:tcPr>
          <w:p w14:paraId="642D8D28" w14:textId="2DBA408E" w:rsidR="00BA7B01" w:rsidRDefault="00000000">
            <w:pPr>
              <w:pStyle w:val="SWCTableText"/>
              <w:jc w:val="left"/>
            </w:pPr>
            <w:r>
              <w:t>—DC conditioning loss</w:t>
            </w:r>
          </w:p>
        </w:tc>
        <w:tc>
          <w:tcPr>
            <w:tcW w:w="1707" w:type="dxa"/>
          </w:tcPr>
          <w:p w14:paraId="428D1903" w14:textId="77777777" w:rsidR="00BA7B01" w:rsidRDefault="00000000">
            <w:pPr>
              <w:pStyle w:val="SWCTableText"/>
            </w:pPr>
            <w:r>
              <w:t>1.28</w:t>
            </w:r>
          </w:p>
        </w:tc>
        <w:tc>
          <w:tcPr>
            <w:tcW w:w="1707" w:type="dxa"/>
          </w:tcPr>
          <w:p w14:paraId="3A056DFE" w14:textId="77777777" w:rsidR="00BA7B01" w:rsidRDefault="00000000">
            <w:pPr>
              <w:pStyle w:val="SWCTableText"/>
            </w:pPr>
            <w:r>
              <w:t>—</w:t>
            </w:r>
          </w:p>
        </w:tc>
        <w:tc>
          <w:tcPr>
            <w:tcW w:w="1365" w:type="dxa"/>
          </w:tcPr>
          <w:p w14:paraId="7D59844F" w14:textId="77777777" w:rsidR="00BA7B01" w:rsidRDefault="00000000">
            <w:pPr>
              <w:pStyle w:val="SWCTableText"/>
            </w:pPr>
            <w:r>
              <w:t>—</w:t>
            </w:r>
          </w:p>
        </w:tc>
      </w:tr>
      <w:tr w:rsidR="00BA7B01" w14:paraId="20036791" w14:textId="77777777" w:rsidTr="00360DD9">
        <w:trPr>
          <w:cantSplit/>
          <w:trHeight w:val="242"/>
          <w:jc w:val="center"/>
        </w:trPr>
        <w:tc>
          <w:tcPr>
            <w:tcW w:w="3756" w:type="dxa"/>
          </w:tcPr>
          <w:p w14:paraId="1EF2860C" w14:textId="77777777" w:rsidR="00BA7B01" w:rsidRDefault="00000000">
            <w:pPr>
              <w:pStyle w:val="SWCTableText"/>
              <w:jc w:val="left"/>
            </w:pPr>
            <w:r>
              <w:t>— Curtailment</w:t>
            </w:r>
          </w:p>
        </w:tc>
        <w:tc>
          <w:tcPr>
            <w:tcW w:w="1707" w:type="dxa"/>
          </w:tcPr>
          <w:p w14:paraId="590D363A" w14:textId="77777777" w:rsidR="00BA7B01" w:rsidRDefault="00000000">
            <w:pPr>
              <w:pStyle w:val="SWCTableText"/>
            </w:pPr>
            <w:r>
              <w:t>8.83</w:t>
            </w:r>
          </w:p>
        </w:tc>
        <w:tc>
          <w:tcPr>
            <w:tcW w:w="1707" w:type="dxa"/>
          </w:tcPr>
          <w:p w14:paraId="6AE62DED" w14:textId="77777777" w:rsidR="00BA7B01" w:rsidRDefault="00000000">
            <w:pPr>
              <w:pStyle w:val="SWCTableText"/>
            </w:pPr>
            <w:r>
              <w:t>—</w:t>
            </w:r>
          </w:p>
        </w:tc>
        <w:tc>
          <w:tcPr>
            <w:tcW w:w="1365" w:type="dxa"/>
          </w:tcPr>
          <w:p w14:paraId="1B7CDBA7" w14:textId="77777777" w:rsidR="00BA7B01" w:rsidRDefault="00000000">
            <w:pPr>
              <w:pStyle w:val="SWCTableText"/>
            </w:pPr>
            <w:r>
              <w:t>—</w:t>
            </w:r>
          </w:p>
        </w:tc>
      </w:tr>
      <w:tr w:rsidR="00BA7B01" w14:paraId="5871F446" w14:textId="77777777" w:rsidTr="00360DD9">
        <w:trPr>
          <w:cantSplit/>
          <w:trHeight w:val="242"/>
          <w:jc w:val="center"/>
        </w:trPr>
        <w:tc>
          <w:tcPr>
            <w:tcW w:w="3756" w:type="dxa"/>
          </w:tcPr>
          <w:p w14:paraId="3DA8ED9B" w14:textId="77777777" w:rsidR="00BA7B01" w:rsidRDefault="00000000">
            <w:pPr>
              <w:pStyle w:val="SWCTableText"/>
              <w:jc w:val="left"/>
            </w:pPr>
            <w:r>
              <w:t>— Store standby loss, net of recuperation</w:t>
            </w:r>
          </w:p>
        </w:tc>
        <w:tc>
          <w:tcPr>
            <w:tcW w:w="1707" w:type="dxa"/>
          </w:tcPr>
          <w:p w14:paraId="14B03B89" w14:textId="77777777" w:rsidR="00BA7B01" w:rsidRDefault="00000000">
            <w:pPr>
              <w:pStyle w:val="SWCTableText"/>
            </w:pPr>
            <w:r>
              <w:t>12.00</w:t>
            </w:r>
          </w:p>
        </w:tc>
        <w:tc>
          <w:tcPr>
            <w:tcW w:w="1707" w:type="dxa"/>
          </w:tcPr>
          <w:p w14:paraId="47E8C3A5" w14:textId="77777777" w:rsidR="00BA7B01" w:rsidRDefault="00000000">
            <w:pPr>
              <w:pStyle w:val="SWCTableText"/>
            </w:pPr>
            <w:r>
              <w:t>—</w:t>
            </w:r>
          </w:p>
        </w:tc>
        <w:tc>
          <w:tcPr>
            <w:tcW w:w="1365" w:type="dxa"/>
          </w:tcPr>
          <w:p w14:paraId="47A678B8" w14:textId="77777777" w:rsidR="00BA7B01" w:rsidRDefault="00000000">
            <w:pPr>
              <w:pStyle w:val="SWCTableText"/>
            </w:pPr>
            <w:r>
              <w:t>—</w:t>
            </w:r>
          </w:p>
        </w:tc>
      </w:tr>
      <w:tr w:rsidR="00BA7B01" w14:paraId="28D19282" w14:textId="77777777" w:rsidTr="00360DD9">
        <w:trPr>
          <w:cantSplit/>
          <w:trHeight w:val="230"/>
          <w:jc w:val="center"/>
        </w:trPr>
        <w:tc>
          <w:tcPr>
            <w:tcW w:w="3756" w:type="dxa"/>
          </w:tcPr>
          <w:p w14:paraId="26B4FB92" w14:textId="77777777" w:rsidR="00BA7B01" w:rsidRDefault="00000000">
            <w:pPr>
              <w:pStyle w:val="SWCTableText"/>
              <w:jc w:val="left"/>
            </w:pPr>
            <w:r>
              <w:t>— Enclosure and muffle thermal mass</w:t>
            </w:r>
          </w:p>
        </w:tc>
        <w:tc>
          <w:tcPr>
            <w:tcW w:w="1707" w:type="dxa"/>
          </w:tcPr>
          <w:p w14:paraId="0823D73A" w14:textId="77777777" w:rsidR="00BA7B01" w:rsidRDefault="00000000">
            <w:pPr>
              <w:pStyle w:val="SWCTableText"/>
            </w:pPr>
            <w:r>
              <w:t>11.70</w:t>
            </w:r>
          </w:p>
        </w:tc>
        <w:tc>
          <w:tcPr>
            <w:tcW w:w="1707" w:type="dxa"/>
          </w:tcPr>
          <w:p w14:paraId="62046E9C" w14:textId="77777777" w:rsidR="00BA7B01" w:rsidRDefault="00000000">
            <w:pPr>
              <w:pStyle w:val="SWCTableText"/>
            </w:pPr>
            <w:r>
              <w:t>—</w:t>
            </w:r>
          </w:p>
        </w:tc>
        <w:tc>
          <w:tcPr>
            <w:tcW w:w="1365" w:type="dxa"/>
          </w:tcPr>
          <w:p w14:paraId="5F144CC2" w14:textId="77777777" w:rsidR="00BA7B01" w:rsidRDefault="00000000">
            <w:pPr>
              <w:pStyle w:val="SWCTableText"/>
            </w:pPr>
            <w:r>
              <w:t>—</w:t>
            </w:r>
          </w:p>
        </w:tc>
      </w:tr>
      <w:tr w:rsidR="00BA7B01" w14:paraId="35D42F45" w14:textId="77777777" w:rsidTr="00360DD9">
        <w:trPr>
          <w:cantSplit/>
          <w:trHeight w:val="242"/>
          <w:jc w:val="center"/>
        </w:trPr>
        <w:tc>
          <w:tcPr>
            <w:tcW w:w="3756" w:type="dxa"/>
          </w:tcPr>
          <w:p w14:paraId="0AEE4B83" w14:textId="2A9192D2" w:rsidR="00BA7B01" w:rsidRDefault="00000000">
            <w:pPr>
              <w:pStyle w:val="SWCTableText"/>
              <w:jc w:val="left"/>
            </w:pPr>
            <w:r>
              <w:t xml:space="preserve">— Flue, envelope, </w:t>
            </w:r>
            <w:r w:rsidR="00603B2A">
              <w:t>fittings</w:t>
            </w:r>
            <w:r>
              <w:t>, duct and blower</w:t>
            </w:r>
          </w:p>
        </w:tc>
        <w:tc>
          <w:tcPr>
            <w:tcW w:w="1707" w:type="dxa"/>
          </w:tcPr>
          <w:p w14:paraId="72D3A299" w14:textId="77777777" w:rsidR="00BA7B01" w:rsidRDefault="00000000">
            <w:pPr>
              <w:pStyle w:val="SWCTableText"/>
            </w:pPr>
            <w:r>
              <w:t>7.09</w:t>
            </w:r>
          </w:p>
        </w:tc>
        <w:tc>
          <w:tcPr>
            <w:tcW w:w="1707" w:type="dxa"/>
          </w:tcPr>
          <w:p w14:paraId="3C11C8C2" w14:textId="77777777" w:rsidR="00BA7B01" w:rsidRDefault="00000000">
            <w:pPr>
              <w:pStyle w:val="SWCTableText"/>
            </w:pPr>
            <w:r>
              <w:t>—</w:t>
            </w:r>
          </w:p>
        </w:tc>
        <w:tc>
          <w:tcPr>
            <w:tcW w:w="1365" w:type="dxa"/>
          </w:tcPr>
          <w:p w14:paraId="114F9A03" w14:textId="77777777" w:rsidR="00BA7B01" w:rsidRDefault="00000000">
            <w:pPr>
              <w:pStyle w:val="SWCTableText"/>
            </w:pPr>
            <w:r>
              <w:t>—</w:t>
            </w:r>
          </w:p>
        </w:tc>
      </w:tr>
      <w:tr w:rsidR="00BA7B01" w14:paraId="29585FE5" w14:textId="77777777" w:rsidTr="00360DD9">
        <w:trPr>
          <w:cantSplit/>
          <w:trHeight w:val="242"/>
          <w:jc w:val="center"/>
        </w:trPr>
        <w:tc>
          <w:tcPr>
            <w:tcW w:w="3756" w:type="dxa"/>
          </w:tcPr>
          <w:p w14:paraId="28263D2A" w14:textId="77777777" w:rsidR="00BA7B01" w:rsidRDefault="00000000">
            <w:pPr>
              <w:pStyle w:val="SWCTableText"/>
              <w:jc w:val="left"/>
            </w:pPr>
            <w:r>
              <w:t>Efficiency (ware-referenced)</w:t>
            </w:r>
          </w:p>
        </w:tc>
        <w:tc>
          <w:tcPr>
            <w:tcW w:w="1707" w:type="dxa"/>
          </w:tcPr>
          <w:p w14:paraId="5E053897" w14:textId="77777777" w:rsidR="00BA7B01" w:rsidRDefault="00000000">
            <w:pPr>
              <w:pStyle w:val="SWCTableText"/>
            </w:pPr>
            <w:proofErr w:type="spellStart"/>
            <w:r>
              <w:t>η</w:t>
            </w:r>
            <w:r>
              <w:rPr>
                <w:vertAlign w:val="subscript"/>
              </w:rPr>
              <w:t>en</w:t>
            </w:r>
            <w:proofErr w:type="spellEnd"/>
            <w:r>
              <w:t xml:space="preserve"> = 0.155</w:t>
            </w:r>
          </w:p>
        </w:tc>
        <w:tc>
          <w:tcPr>
            <w:tcW w:w="1707" w:type="dxa"/>
          </w:tcPr>
          <w:p w14:paraId="0958EBE0" w14:textId="77777777" w:rsidR="00BA7B01" w:rsidRDefault="00000000">
            <w:pPr>
              <w:pStyle w:val="SWCTableText"/>
            </w:pPr>
            <w:proofErr w:type="spellStart"/>
            <w:r>
              <w:t>η</w:t>
            </w:r>
            <w:r>
              <w:rPr>
                <w:vertAlign w:val="subscript"/>
              </w:rPr>
              <w:t>ex</w:t>
            </w:r>
            <w:proofErr w:type="spellEnd"/>
            <w:r>
              <w:t xml:space="preserve"> = 0.094</w:t>
            </w:r>
          </w:p>
        </w:tc>
        <w:tc>
          <w:tcPr>
            <w:tcW w:w="1365" w:type="dxa"/>
          </w:tcPr>
          <w:p w14:paraId="335D9CE2" w14:textId="77777777" w:rsidR="00BA7B01" w:rsidRDefault="00000000">
            <w:pPr>
              <w:pStyle w:val="SWCTableText"/>
            </w:pPr>
            <w:r>
              <w:t>—</w:t>
            </w:r>
          </w:p>
        </w:tc>
      </w:tr>
    </w:tbl>
    <w:p w14:paraId="227D1AEF" w14:textId="4CD9B7A9" w:rsidR="00E73CDF" w:rsidRPr="00CE3F4C" w:rsidRDefault="00E73CDF" w:rsidP="008457FF">
      <w:pPr>
        <w:keepNext/>
        <w:spacing w:before="160" w:after="60"/>
        <w:jc w:val="center"/>
        <w:rPr>
          <w:highlight w:val="yellow"/>
        </w:rPr>
      </w:pPr>
      <w:r w:rsidRPr="00E73CDF">
        <w:rPr>
          <w:noProof/>
          <w:sz w:val="21"/>
          <w:szCs w:val="22"/>
          <w:lang w:val="en-US" w:eastAsia="en-US"/>
        </w:rPr>
        <w:lastRenderedPageBreak/>
        <w:drawing>
          <wp:inline distT="0" distB="0" distL="0" distR="0" wp14:anchorId="5767A217" wp14:editId="074EF1F8">
            <wp:extent cx="4495800" cy="2952807"/>
            <wp:effectExtent l="0" t="0" r="0" b="0"/>
            <wp:docPr id="1548827849" name="Picture 1548827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6_dispatch.png"/>
                    <pic:cNvPicPr/>
                  </pic:nvPicPr>
                  <pic:blipFill>
                    <a:blip r:embed="rId19"/>
                    <a:stretch>
                      <a:fillRect/>
                    </a:stretch>
                  </pic:blipFill>
                  <pic:spPr>
                    <a:xfrm>
                      <a:off x="0" y="0"/>
                      <a:ext cx="4586197" cy="3012179"/>
                    </a:xfrm>
                    <a:prstGeom prst="rect">
                      <a:avLst/>
                    </a:prstGeom>
                  </pic:spPr>
                </pic:pic>
              </a:graphicData>
            </a:graphic>
          </wp:inline>
        </w:drawing>
      </w:r>
    </w:p>
    <w:p w14:paraId="503724FE" w14:textId="4DB424E7" w:rsidR="00D00AFB" w:rsidRPr="006E5F26" w:rsidRDefault="00D00AFB" w:rsidP="00A709AA">
      <w:pPr>
        <w:spacing w:after="200"/>
        <w:ind w:right="360"/>
        <w:jc w:val="both"/>
        <w:rPr>
          <w:sz w:val="16"/>
          <w:szCs w:val="16"/>
        </w:rPr>
      </w:pPr>
      <w:r w:rsidRPr="006E5F26">
        <w:rPr>
          <w:b/>
          <w:bCs/>
          <w:sz w:val="16"/>
          <w:szCs w:val="16"/>
        </w:rPr>
        <w:t xml:space="preserve">Fig. </w:t>
      </w:r>
      <w:r w:rsidR="00B945A0">
        <w:rPr>
          <w:b/>
          <w:bCs/>
          <w:sz w:val="16"/>
          <w:szCs w:val="16"/>
        </w:rPr>
        <w:t>8</w:t>
      </w:r>
      <w:r w:rsidRPr="006E5F26">
        <w:rPr>
          <w:b/>
          <w:bCs/>
          <w:sz w:val="16"/>
          <w:szCs w:val="16"/>
        </w:rPr>
        <w:t xml:space="preserve">.  Annual dispatch over a representative window: (a) </w:t>
      </w:r>
      <w:r w:rsidR="0003150C" w:rsidRPr="006E5F26">
        <w:rPr>
          <w:b/>
          <w:bCs/>
          <w:sz w:val="16"/>
          <w:szCs w:val="16"/>
        </w:rPr>
        <w:t xml:space="preserve">PV </w:t>
      </w:r>
      <w:r w:rsidRPr="006E5F26">
        <w:rPr>
          <w:b/>
          <w:bCs/>
          <w:sz w:val="16"/>
          <w:szCs w:val="16"/>
        </w:rPr>
        <w:t>array output against kiln thermal demand; (b) state of charge of the integrated hot system, with enclosure thermal mass shown separately.</w:t>
      </w:r>
    </w:p>
    <w:p w14:paraId="0322BAA2" w14:textId="28863EDA" w:rsidR="009E6D1A" w:rsidRPr="008457FF" w:rsidRDefault="00916BD2" w:rsidP="008457FF">
      <w:pPr>
        <w:pStyle w:val="SWCHeading11"/>
        <w:keepNext/>
        <w:jc w:val="both"/>
        <w:rPr>
          <w:rFonts w:ascii="Times New Roman" w:hAnsi="Times New Roman" w:cs="Times New Roman"/>
          <w:i w:val="0"/>
          <w:lang w:val="en-US"/>
        </w:rPr>
      </w:pPr>
      <w:r w:rsidRPr="00916BD2">
        <w:rPr>
          <w:rFonts w:ascii="Times New Roman" w:hAnsi="Times New Roman" w:cs="Times New Roman"/>
          <w:i w:val="0"/>
          <w:lang w:val="en-US"/>
        </w:rPr>
        <w:t xml:space="preserve">Figure </w:t>
      </w:r>
      <w:r w:rsidR="008B146E">
        <w:rPr>
          <w:rFonts w:ascii="Times New Roman" w:hAnsi="Times New Roman" w:cs="Times New Roman"/>
          <w:i w:val="0"/>
          <w:lang w:val="en-US"/>
        </w:rPr>
        <w:t>9</w:t>
      </w:r>
      <w:r w:rsidRPr="00916BD2">
        <w:rPr>
          <w:rFonts w:ascii="Times New Roman" w:hAnsi="Times New Roman" w:cs="Times New Roman"/>
          <w:i w:val="0"/>
          <w:lang w:val="en-US"/>
        </w:rPr>
        <w:t xml:space="preserve"> shows the demand and operational design</w:t>
      </w:r>
      <w:r w:rsidR="008B146E">
        <w:rPr>
          <w:rFonts w:ascii="Times New Roman" w:hAnsi="Times New Roman" w:cs="Times New Roman"/>
          <w:i w:val="0"/>
          <w:lang w:val="en-US"/>
        </w:rPr>
        <w:t xml:space="preserve"> with reference to established data</w:t>
      </w:r>
      <w:r w:rsidRPr="00916BD2">
        <w:rPr>
          <w:rFonts w:ascii="Times New Roman" w:hAnsi="Times New Roman" w:cs="Times New Roman"/>
          <w:i w:val="0"/>
          <w:lang w:val="en-US"/>
        </w:rPr>
        <w:t xml:space="preserve">. Reliability increases with larger PV arrays and storage but saturates around 300 </w:t>
      </w:r>
      <w:proofErr w:type="spellStart"/>
      <w:r w:rsidRPr="00916BD2">
        <w:rPr>
          <w:rFonts w:ascii="Times New Roman" w:hAnsi="Times New Roman" w:cs="Times New Roman"/>
          <w:i w:val="0"/>
          <w:lang w:val="en-US"/>
        </w:rPr>
        <w:t>kWh</w:t>
      </w:r>
      <w:r w:rsidRPr="00916BD2">
        <w:rPr>
          <w:rFonts w:ascii="Times New Roman" w:hAnsi="Times New Roman" w:cs="Times New Roman"/>
          <w:i w:val="0"/>
          <w:vertAlign w:val="subscript"/>
          <w:lang w:val="en-US"/>
        </w:rPr>
        <w:t>th</w:t>
      </w:r>
      <w:proofErr w:type="spellEnd"/>
      <w:r w:rsidRPr="00916BD2">
        <w:rPr>
          <w:rFonts w:ascii="Times New Roman" w:hAnsi="Times New Roman" w:cs="Times New Roman"/>
          <w:i w:val="0"/>
          <w:lang w:val="en-US"/>
        </w:rPr>
        <w:t xml:space="preserve">. Beyond this, the constraint shifts from storage to PV energy, and over 35 kWₚ causes curtailment. The chosen setup of 30 kWₚ / 280 </w:t>
      </w:r>
      <w:proofErr w:type="spellStart"/>
      <w:r w:rsidRPr="00916BD2">
        <w:rPr>
          <w:rFonts w:ascii="Times New Roman" w:hAnsi="Times New Roman" w:cs="Times New Roman"/>
          <w:i w:val="0"/>
          <w:lang w:val="en-US"/>
        </w:rPr>
        <w:t>kWh</w:t>
      </w:r>
      <w:r w:rsidRPr="00916BD2">
        <w:rPr>
          <w:rFonts w:ascii="Times New Roman" w:hAnsi="Times New Roman" w:cs="Times New Roman"/>
          <w:i w:val="0"/>
          <w:vertAlign w:val="subscript"/>
          <w:lang w:val="en-US"/>
        </w:rPr>
        <w:t>th</w:t>
      </w:r>
      <w:proofErr w:type="spellEnd"/>
      <w:r w:rsidRPr="00916BD2">
        <w:rPr>
          <w:rFonts w:ascii="Times New Roman" w:hAnsi="Times New Roman" w:cs="Times New Roman"/>
          <w:i w:val="0"/>
          <w:lang w:val="en-US"/>
        </w:rPr>
        <w:t xml:space="preserve"> is on the 99% reliability contour at 82% use, </w:t>
      </w:r>
      <w:proofErr w:type="spellStart"/>
      <w:r w:rsidRPr="00916BD2">
        <w:rPr>
          <w:rFonts w:ascii="Times New Roman" w:hAnsi="Times New Roman" w:cs="Times New Roman"/>
          <w:i w:val="0"/>
          <w:lang w:val="en-US"/>
        </w:rPr>
        <w:t>minimising</w:t>
      </w:r>
      <w:proofErr w:type="spellEnd"/>
      <w:r w:rsidRPr="00916BD2">
        <w:rPr>
          <w:rFonts w:ascii="Times New Roman" w:hAnsi="Times New Roman" w:cs="Times New Roman"/>
          <w:i w:val="0"/>
          <w:lang w:val="en-US"/>
        </w:rPr>
        <w:t xml:space="preserve"> costs within feasible performance.</w:t>
      </w:r>
    </w:p>
    <w:p w14:paraId="472F3126" w14:textId="77777777" w:rsidR="0003150C" w:rsidRPr="0003150C" w:rsidRDefault="0003150C" w:rsidP="0003150C">
      <w:pPr>
        <w:pStyle w:val="SWCHeading11"/>
        <w:jc w:val="center"/>
        <w:rPr>
          <w:rFonts w:ascii="Times New Roman" w:hAnsi="Times New Roman" w:cs="Times New Roman"/>
          <w:i w:val="0"/>
          <w:lang w:val="en-US"/>
        </w:rPr>
      </w:pPr>
      <w:r w:rsidRPr="0003150C">
        <w:rPr>
          <w:rFonts w:ascii="Times New Roman" w:hAnsi="Times New Roman" w:cs="Times New Roman"/>
          <w:i w:val="0"/>
          <w:noProof/>
          <w:lang w:val="en-US"/>
        </w:rPr>
        <w:drawing>
          <wp:inline distT="0" distB="0" distL="0" distR="0" wp14:anchorId="798B1CF5" wp14:editId="3C70A1F7">
            <wp:extent cx="5204460" cy="227923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9_design_map.png"/>
                    <pic:cNvPicPr/>
                  </pic:nvPicPr>
                  <pic:blipFill>
                    <a:blip r:embed="rId20"/>
                    <a:stretch>
                      <a:fillRect/>
                    </a:stretch>
                  </pic:blipFill>
                  <pic:spPr>
                    <a:xfrm>
                      <a:off x="0" y="0"/>
                      <a:ext cx="5444227" cy="2384238"/>
                    </a:xfrm>
                    <a:prstGeom prst="rect">
                      <a:avLst/>
                    </a:prstGeom>
                  </pic:spPr>
                </pic:pic>
              </a:graphicData>
            </a:graphic>
          </wp:inline>
        </w:drawing>
      </w:r>
    </w:p>
    <w:p w14:paraId="787D49F4" w14:textId="1B15FC93" w:rsidR="0003150C" w:rsidRPr="0003150C" w:rsidRDefault="0003150C" w:rsidP="0003150C">
      <w:pPr>
        <w:pStyle w:val="SWCHeading11"/>
        <w:keepNext/>
        <w:rPr>
          <w:rFonts w:ascii="Times New Roman" w:hAnsi="Times New Roman" w:cs="Times New Roman"/>
          <w:b/>
          <w:bCs/>
          <w:i w:val="0"/>
          <w:sz w:val="16"/>
          <w:szCs w:val="16"/>
          <w:lang w:val="en-US"/>
        </w:rPr>
      </w:pPr>
      <w:r w:rsidRPr="0003150C">
        <w:rPr>
          <w:rFonts w:ascii="Times New Roman" w:hAnsi="Times New Roman" w:cs="Times New Roman"/>
          <w:b/>
          <w:bCs/>
          <w:i w:val="0"/>
          <w:sz w:val="16"/>
          <w:szCs w:val="16"/>
          <w:lang w:val="en-US"/>
        </w:rPr>
        <w:t xml:space="preserve">Fig. </w:t>
      </w:r>
      <w:r w:rsidR="00B945A0">
        <w:rPr>
          <w:rFonts w:ascii="Times New Roman" w:hAnsi="Times New Roman" w:cs="Times New Roman"/>
          <w:b/>
          <w:bCs/>
          <w:i w:val="0"/>
          <w:sz w:val="16"/>
          <w:szCs w:val="16"/>
          <w:lang w:val="en-US"/>
        </w:rPr>
        <w:t>9</w:t>
      </w:r>
      <w:r w:rsidRPr="0003150C">
        <w:rPr>
          <w:rFonts w:ascii="Times New Roman" w:hAnsi="Times New Roman" w:cs="Times New Roman"/>
          <w:b/>
          <w:bCs/>
          <w:i w:val="0"/>
          <w:sz w:val="16"/>
          <w:szCs w:val="16"/>
          <w:lang w:val="en-US"/>
        </w:rPr>
        <w:t xml:space="preserve">.  Design map over array capacity and deliverable store capacity: (a) fraction of demand met from solar; (b) array energy </w:t>
      </w:r>
      <w:r w:rsidR="006E533F" w:rsidRPr="0003150C">
        <w:rPr>
          <w:rFonts w:ascii="Times New Roman" w:hAnsi="Times New Roman" w:cs="Times New Roman"/>
          <w:b/>
          <w:bCs/>
          <w:i w:val="0"/>
          <w:sz w:val="16"/>
          <w:szCs w:val="16"/>
          <w:lang w:val="en-US"/>
        </w:rPr>
        <w:t>utilization</w:t>
      </w:r>
      <w:r w:rsidRPr="0003150C">
        <w:rPr>
          <w:rFonts w:ascii="Times New Roman" w:hAnsi="Times New Roman" w:cs="Times New Roman"/>
          <w:b/>
          <w:bCs/>
          <w:i w:val="0"/>
          <w:sz w:val="16"/>
          <w:szCs w:val="16"/>
          <w:lang w:val="en-US"/>
        </w:rPr>
        <w:t>. The star marks the selected design point.</w:t>
      </w:r>
    </w:p>
    <w:p w14:paraId="2988EE69" w14:textId="77777777" w:rsidR="000F51F6" w:rsidRDefault="000F51F6">
      <w:pPr>
        <w:pStyle w:val="SWCHeading11"/>
        <w:keepNext/>
      </w:pPr>
    </w:p>
    <w:p w14:paraId="10F89C01" w14:textId="7B9BF813" w:rsidR="00BA7B01" w:rsidRDefault="00000000">
      <w:pPr>
        <w:pStyle w:val="SWCHeading11"/>
        <w:keepNext/>
      </w:pPr>
      <w:r>
        <w:t>3.4 Techno-economic and comparative results</w:t>
      </w:r>
    </w:p>
    <w:p w14:paraId="263C96B3" w14:textId="3F5E84EC" w:rsidR="009E6D1A" w:rsidRDefault="006E533F" w:rsidP="009E6D1A">
      <w:pPr>
        <w:pStyle w:val="SWCText"/>
      </w:pPr>
      <w:r w:rsidRPr="006E533F">
        <w:t>Table 6</w:t>
      </w:r>
      <w:r>
        <w:t xml:space="preserve"> and </w:t>
      </w:r>
      <w:r w:rsidR="009E6D1A">
        <w:t>Fi</w:t>
      </w:r>
      <w:r>
        <w:t>g.</w:t>
      </w:r>
      <w:r w:rsidR="009E6D1A">
        <w:t xml:space="preserve"> </w:t>
      </w:r>
      <w:r w:rsidR="008B146E">
        <w:t>10</w:t>
      </w:r>
      <w:r w:rsidR="009E6D1A">
        <w:t xml:space="preserve"> </w:t>
      </w:r>
      <w:r w:rsidR="009E6D1A">
        <w:rPr>
          <w:lang w:val="de-DE"/>
        </w:rPr>
        <w:t>present</w:t>
      </w:r>
      <w:r w:rsidR="00221354">
        <w:rPr>
          <w:lang w:val="de-DE"/>
        </w:rPr>
        <w:t xml:space="preserve"> an </w:t>
      </w:r>
      <w:r w:rsidR="00221354">
        <w:t xml:space="preserve">installed capital cost of USD </w:t>
      </w:r>
      <w:r w:rsidR="00187CEF">
        <w:t>35,575</w:t>
      </w:r>
      <w:r w:rsidR="009E6D1A">
        <w:t xml:space="preserve"> and a cumulative discounted cash flow synthesis, including the PV array, integrated kiln-TES storage elements,</w:t>
      </w:r>
      <w:r w:rsidR="00187CEF" w:rsidRPr="00187CEF">
        <w:t xml:space="preserve"> </w:t>
      </w:r>
      <w:r w:rsidR="00187CEF">
        <w:t xml:space="preserve">and balance of system, </w:t>
      </w:r>
      <w:r w:rsidR="00221354">
        <w:t>representing a benchmark within the design criteria.</w:t>
      </w:r>
      <w:r w:rsidR="00187CEF">
        <w:t xml:space="preserve"> </w:t>
      </w:r>
      <w:r w:rsidR="00EF08B2">
        <w:t>Thus,</w:t>
      </w:r>
      <w:r w:rsidR="00221354">
        <w:t xml:space="preserve"> </w:t>
      </w:r>
      <w:r w:rsidR="000E27A1">
        <w:t>installation, civil works,</w:t>
      </w:r>
      <w:r w:rsidR="00221354">
        <w:t xml:space="preserve"> and controls </w:t>
      </w:r>
      <w:r w:rsidR="00EF08B2">
        <w:t xml:space="preserve">account </w:t>
      </w:r>
      <w:r w:rsidR="00221354">
        <w:t xml:space="preserve">for the </w:t>
      </w:r>
      <w:r w:rsidR="00187CEF">
        <w:t>remaining</w:t>
      </w:r>
      <w:r w:rsidR="00221354">
        <w:t xml:space="preserve"> costs</w:t>
      </w:r>
      <w:r w:rsidR="00187CEF">
        <w:t xml:space="preserve"> as</w:t>
      </w:r>
      <w:r w:rsidR="00221354">
        <w:t xml:space="preserve"> the </w:t>
      </w:r>
      <w:r w:rsidR="00187CEF">
        <w:t xml:space="preserve">TES </w:t>
      </w:r>
      <w:r w:rsidR="00221354">
        <w:t>material is sourced locally. Annual operating cost is USD 1,278 against a year-one benefit stack of USD 8,722</w:t>
      </w:r>
      <w:r w:rsidR="00187CEF">
        <w:t>:</w:t>
      </w:r>
      <w:r w:rsidR="00221354">
        <w:t xml:space="preserve"> recovered yield from lower breakage USD 4,896 (56 %), avoided firewood USD 2,520 (29 %), </w:t>
      </w:r>
      <w:r w:rsidR="009E6D1A">
        <w:t xml:space="preserve">and </w:t>
      </w:r>
      <w:proofErr w:type="spellStart"/>
      <w:r w:rsidR="00221354">
        <w:t>monetised</w:t>
      </w:r>
      <w:proofErr w:type="spellEnd"/>
      <w:r w:rsidR="00221354">
        <w:t xml:space="preserve"> </w:t>
      </w:r>
      <w:proofErr w:type="spellStart"/>
      <w:r w:rsidR="00221354">
        <w:t>labour</w:t>
      </w:r>
      <w:proofErr w:type="spellEnd"/>
      <w:r w:rsidR="00221354">
        <w:t xml:space="preserve"> saving </w:t>
      </w:r>
      <w:r w:rsidR="009E6D1A">
        <w:t xml:space="preserve">of </w:t>
      </w:r>
      <w:r w:rsidR="00221354">
        <w:t>USD 1,306 (15 %)</w:t>
      </w:r>
      <w:r w:rsidR="00187CEF">
        <w:t>, with a</w:t>
      </w:r>
      <w:r w:rsidR="00221354">
        <w:t xml:space="preserve"> net carbon revenue</w:t>
      </w:r>
      <w:r w:rsidR="00187CEF">
        <w:t xml:space="preserve">, </w:t>
      </w:r>
      <w:r w:rsidR="00221354">
        <w:t>all giving a net present value of USD 15,543 over 15 years</w:t>
      </w:r>
      <w:r w:rsidR="00187CEF">
        <w:t>.</w:t>
      </w:r>
    </w:p>
    <w:p w14:paraId="76295FAD" w14:textId="40841594" w:rsidR="00187CEF" w:rsidRPr="009E6D1A" w:rsidRDefault="00187CEF" w:rsidP="009E6D1A">
      <w:pPr>
        <w:pStyle w:val="SWCText"/>
        <w:jc w:val="center"/>
      </w:pPr>
      <w:r w:rsidRPr="00CE3F4C">
        <w:rPr>
          <w:noProof/>
          <w:highlight w:val="yellow"/>
        </w:rPr>
        <w:lastRenderedPageBreak/>
        <w:drawing>
          <wp:inline distT="0" distB="0" distL="0" distR="0" wp14:anchorId="70086B06" wp14:editId="7419933E">
            <wp:extent cx="5041419" cy="2148840"/>
            <wp:effectExtent l="0" t="0" r="698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_cashflow.png"/>
                    <pic:cNvPicPr/>
                  </pic:nvPicPr>
                  <pic:blipFill>
                    <a:blip r:embed="rId21"/>
                    <a:stretch>
                      <a:fillRect/>
                    </a:stretch>
                  </pic:blipFill>
                  <pic:spPr>
                    <a:xfrm>
                      <a:off x="0" y="0"/>
                      <a:ext cx="5254977" cy="2239866"/>
                    </a:xfrm>
                    <a:prstGeom prst="rect">
                      <a:avLst/>
                    </a:prstGeom>
                  </pic:spPr>
                </pic:pic>
              </a:graphicData>
            </a:graphic>
          </wp:inline>
        </w:drawing>
      </w:r>
    </w:p>
    <w:p w14:paraId="047722E3" w14:textId="08D3B26A" w:rsidR="00187CEF" w:rsidRDefault="00187CEF" w:rsidP="00CC2682">
      <w:pPr>
        <w:pStyle w:val="SWCText"/>
      </w:pPr>
      <w:r w:rsidRPr="004B3EBE">
        <w:rPr>
          <w:b/>
          <w:bCs/>
          <w:sz w:val="16"/>
          <w:szCs w:val="16"/>
        </w:rPr>
        <w:t xml:space="preserve">Fig. </w:t>
      </w:r>
      <w:r w:rsidR="00B945A0">
        <w:rPr>
          <w:b/>
          <w:bCs/>
          <w:sz w:val="16"/>
          <w:szCs w:val="16"/>
        </w:rPr>
        <w:t>10</w:t>
      </w:r>
      <w:r w:rsidRPr="004B3EBE">
        <w:rPr>
          <w:b/>
          <w:bCs/>
          <w:sz w:val="16"/>
          <w:szCs w:val="16"/>
        </w:rPr>
        <w:t>.  (a) Year-one benefit stack and net annual benefit; (b) cumulative discounted cash flow for four scenarios</w:t>
      </w:r>
      <w:r w:rsidR="009E6D1A">
        <w:rPr>
          <w:b/>
          <w:bCs/>
          <w:sz w:val="16"/>
          <w:szCs w:val="16"/>
        </w:rPr>
        <w:t>.</w:t>
      </w:r>
    </w:p>
    <w:p w14:paraId="49C8E52F" w14:textId="77777777" w:rsidR="008B146E" w:rsidRDefault="008B146E" w:rsidP="008B146E">
      <w:pPr>
        <w:pStyle w:val="SWCTableFigureCaption"/>
        <w:keepNext/>
      </w:pPr>
    </w:p>
    <w:p w14:paraId="13F51958" w14:textId="76843A99" w:rsidR="000F51F6" w:rsidRDefault="00000000" w:rsidP="008B146E">
      <w:pPr>
        <w:pStyle w:val="SWCTableFigureCaption"/>
        <w:keepNext/>
      </w:pPr>
      <w:r>
        <w:t>Tab. 6: Capital cost breakdown, first-of-a-kind unit, 2026 USD delivered in southern Ghana.</w:t>
      </w:r>
    </w:p>
    <w:tbl>
      <w:tblPr>
        <w:tblStyle w:val="TableGrid"/>
        <w:tblW w:w="0" w:type="auto"/>
        <w:jc w:val="center"/>
        <w:tblLayout w:type="fixed"/>
        <w:tblCellMar>
          <w:top w:w="5" w:type="dxa"/>
          <w:left w:w="45" w:type="dxa"/>
          <w:bottom w:w="5" w:type="dxa"/>
          <w:right w:w="45" w:type="dxa"/>
        </w:tblCellMar>
        <w:tblLook w:val="04A0" w:firstRow="1" w:lastRow="0" w:firstColumn="1" w:lastColumn="0" w:noHBand="0" w:noVBand="1"/>
      </w:tblPr>
      <w:tblGrid>
        <w:gridCol w:w="4855"/>
        <w:gridCol w:w="1800"/>
        <w:gridCol w:w="1835"/>
      </w:tblGrid>
      <w:tr w:rsidR="00BA7B01" w14:paraId="4D257DE8" w14:textId="77777777" w:rsidTr="00A709AA">
        <w:trPr>
          <w:cantSplit/>
          <w:trHeight w:val="245"/>
          <w:tblHeader/>
          <w:jc w:val="center"/>
        </w:trPr>
        <w:tc>
          <w:tcPr>
            <w:tcW w:w="4855" w:type="dxa"/>
          </w:tcPr>
          <w:p w14:paraId="66D15A2B" w14:textId="77777777" w:rsidR="00BA7B01" w:rsidRDefault="00000000">
            <w:pPr>
              <w:pStyle w:val="SWCTableHeader"/>
            </w:pPr>
            <w:r>
              <w:t>Item</w:t>
            </w:r>
          </w:p>
        </w:tc>
        <w:tc>
          <w:tcPr>
            <w:tcW w:w="1800" w:type="dxa"/>
          </w:tcPr>
          <w:p w14:paraId="087D1272" w14:textId="77777777" w:rsidR="00BA7B01" w:rsidRDefault="00000000">
            <w:pPr>
              <w:pStyle w:val="SWCTableHeader"/>
            </w:pPr>
            <w:r>
              <w:t>Cost (USD)</w:t>
            </w:r>
          </w:p>
        </w:tc>
        <w:tc>
          <w:tcPr>
            <w:tcW w:w="1835" w:type="dxa"/>
          </w:tcPr>
          <w:p w14:paraId="41394554" w14:textId="77777777" w:rsidR="00BA7B01" w:rsidRDefault="00000000">
            <w:pPr>
              <w:pStyle w:val="SWCTableHeader"/>
            </w:pPr>
            <w:r>
              <w:t>Share (%)</w:t>
            </w:r>
          </w:p>
        </w:tc>
      </w:tr>
      <w:tr w:rsidR="00BA7B01" w14:paraId="62F7D404" w14:textId="77777777" w:rsidTr="00A709AA">
        <w:trPr>
          <w:cantSplit/>
          <w:trHeight w:val="245"/>
          <w:jc w:val="center"/>
        </w:trPr>
        <w:tc>
          <w:tcPr>
            <w:tcW w:w="4855" w:type="dxa"/>
          </w:tcPr>
          <w:p w14:paraId="325C17AE" w14:textId="77777777" w:rsidR="00BA7B01" w:rsidRDefault="00000000" w:rsidP="008B146E">
            <w:pPr>
              <w:pStyle w:val="SWCTableText"/>
              <w:jc w:val="both"/>
            </w:pPr>
            <w:r>
              <w:t>PV modules (30 kWₚ, delivered)</w:t>
            </w:r>
          </w:p>
        </w:tc>
        <w:tc>
          <w:tcPr>
            <w:tcW w:w="1800" w:type="dxa"/>
          </w:tcPr>
          <w:p w14:paraId="1205455B" w14:textId="77777777" w:rsidR="00BA7B01" w:rsidRDefault="00000000">
            <w:pPr>
              <w:pStyle w:val="SWCTableText"/>
            </w:pPr>
            <w:r>
              <w:t>4,800</w:t>
            </w:r>
          </w:p>
        </w:tc>
        <w:tc>
          <w:tcPr>
            <w:tcW w:w="1835" w:type="dxa"/>
          </w:tcPr>
          <w:p w14:paraId="6F42710C" w14:textId="0E0954AB" w:rsidR="00BA7B01" w:rsidRDefault="00000000">
            <w:pPr>
              <w:pStyle w:val="SWCTableText"/>
            </w:pPr>
            <w:r>
              <w:t>1</w:t>
            </w:r>
            <w:r w:rsidR="001512DE">
              <w:t>4</w:t>
            </w:r>
            <w:r>
              <w:t>.</w:t>
            </w:r>
            <w:r w:rsidR="001512DE">
              <w:t>14</w:t>
            </w:r>
          </w:p>
        </w:tc>
      </w:tr>
      <w:tr w:rsidR="00BA7B01" w14:paraId="3803EC29" w14:textId="77777777" w:rsidTr="00A709AA">
        <w:trPr>
          <w:cantSplit/>
          <w:trHeight w:val="234"/>
          <w:jc w:val="center"/>
        </w:trPr>
        <w:tc>
          <w:tcPr>
            <w:tcW w:w="4855" w:type="dxa"/>
          </w:tcPr>
          <w:p w14:paraId="588D84A1" w14:textId="77777777" w:rsidR="00BA7B01" w:rsidRDefault="00000000" w:rsidP="008B146E">
            <w:pPr>
              <w:pStyle w:val="SWCTableText"/>
              <w:jc w:val="both"/>
            </w:pPr>
            <w:r>
              <w:t>Mounting structure, civil anchoring, foundation and weather shelter</w:t>
            </w:r>
          </w:p>
        </w:tc>
        <w:tc>
          <w:tcPr>
            <w:tcW w:w="1800" w:type="dxa"/>
          </w:tcPr>
          <w:p w14:paraId="4825F2E6" w14:textId="77777777" w:rsidR="00BA7B01" w:rsidRDefault="00000000">
            <w:pPr>
              <w:pStyle w:val="SWCTableText"/>
            </w:pPr>
            <w:r>
              <w:t>4,600</w:t>
            </w:r>
          </w:p>
        </w:tc>
        <w:tc>
          <w:tcPr>
            <w:tcW w:w="1835" w:type="dxa"/>
          </w:tcPr>
          <w:p w14:paraId="72E4364C" w14:textId="653B4C09" w:rsidR="00BA7B01" w:rsidRDefault="00000000">
            <w:pPr>
              <w:pStyle w:val="SWCTableText"/>
            </w:pPr>
            <w:r>
              <w:t>1</w:t>
            </w:r>
            <w:r w:rsidR="001512DE">
              <w:t>3</w:t>
            </w:r>
            <w:r>
              <w:t>.</w:t>
            </w:r>
            <w:r w:rsidR="001512DE">
              <w:t>55</w:t>
            </w:r>
          </w:p>
        </w:tc>
      </w:tr>
      <w:tr w:rsidR="00BA7B01" w14:paraId="2559F847" w14:textId="77777777" w:rsidTr="00A709AA">
        <w:trPr>
          <w:cantSplit/>
          <w:trHeight w:val="245"/>
          <w:jc w:val="center"/>
        </w:trPr>
        <w:tc>
          <w:tcPr>
            <w:tcW w:w="4855" w:type="dxa"/>
          </w:tcPr>
          <w:p w14:paraId="09879FC3" w14:textId="77777777" w:rsidR="00BA7B01" w:rsidRDefault="00000000" w:rsidP="008B146E">
            <w:pPr>
              <w:pStyle w:val="SWCTableText"/>
              <w:jc w:val="both"/>
            </w:pPr>
            <w:r>
              <w:t>DC cabling, isolators, surge protection, earthing; freight and duties</w:t>
            </w:r>
          </w:p>
        </w:tc>
        <w:tc>
          <w:tcPr>
            <w:tcW w:w="1800" w:type="dxa"/>
          </w:tcPr>
          <w:p w14:paraId="3308BE87" w14:textId="77777777" w:rsidR="00BA7B01" w:rsidRDefault="00000000">
            <w:pPr>
              <w:pStyle w:val="SWCTableText"/>
            </w:pPr>
            <w:r>
              <w:t>3,000</w:t>
            </w:r>
          </w:p>
        </w:tc>
        <w:tc>
          <w:tcPr>
            <w:tcW w:w="1835" w:type="dxa"/>
          </w:tcPr>
          <w:p w14:paraId="71820DD7" w14:textId="69366523" w:rsidR="00BA7B01" w:rsidRDefault="001512DE">
            <w:pPr>
              <w:pStyle w:val="SWCTableText"/>
            </w:pPr>
            <w:r>
              <w:t>8.84</w:t>
            </w:r>
          </w:p>
        </w:tc>
      </w:tr>
      <w:tr w:rsidR="00BA7B01" w14:paraId="70A75682" w14:textId="77777777" w:rsidTr="00A709AA">
        <w:trPr>
          <w:cantSplit/>
          <w:trHeight w:val="245"/>
          <w:jc w:val="center"/>
        </w:trPr>
        <w:tc>
          <w:tcPr>
            <w:tcW w:w="4855" w:type="dxa"/>
          </w:tcPr>
          <w:p w14:paraId="07968959" w14:textId="77777777" w:rsidR="00BA7B01" w:rsidRDefault="00000000" w:rsidP="008B146E">
            <w:pPr>
              <w:pStyle w:val="SWCTableText"/>
              <w:jc w:val="both"/>
            </w:pPr>
            <w:r>
              <w:t>DC power conditioning (MPPT/DC–DC, solid-state relays, contactors)</w:t>
            </w:r>
          </w:p>
        </w:tc>
        <w:tc>
          <w:tcPr>
            <w:tcW w:w="1800" w:type="dxa"/>
          </w:tcPr>
          <w:p w14:paraId="351FCEBC" w14:textId="77777777" w:rsidR="00BA7B01" w:rsidRDefault="00000000">
            <w:pPr>
              <w:pStyle w:val="SWCTableText"/>
            </w:pPr>
            <w:r>
              <w:t>3,100</w:t>
            </w:r>
          </w:p>
        </w:tc>
        <w:tc>
          <w:tcPr>
            <w:tcW w:w="1835" w:type="dxa"/>
          </w:tcPr>
          <w:p w14:paraId="204ACD01" w14:textId="09A58601" w:rsidR="00BA7B01" w:rsidRDefault="001512DE">
            <w:pPr>
              <w:pStyle w:val="SWCTableText"/>
            </w:pPr>
            <w:r>
              <w:t>9.14</w:t>
            </w:r>
          </w:p>
        </w:tc>
      </w:tr>
      <w:tr w:rsidR="00BA7B01" w14:paraId="0CB3145A" w14:textId="77777777" w:rsidTr="00A709AA">
        <w:trPr>
          <w:cantSplit/>
          <w:trHeight w:val="245"/>
          <w:jc w:val="center"/>
        </w:trPr>
        <w:tc>
          <w:tcPr>
            <w:tcW w:w="4855" w:type="dxa"/>
          </w:tcPr>
          <w:p w14:paraId="5EAEAD70" w14:textId="77777777" w:rsidR="00BA7B01" w:rsidRDefault="00000000" w:rsidP="008B146E">
            <w:pPr>
              <w:pStyle w:val="SWCTableText"/>
              <w:jc w:val="both"/>
            </w:pPr>
            <w:r>
              <w:t>Control system and instrumentation</w:t>
            </w:r>
          </w:p>
        </w:tc>
        <w:tc>
          <w:tcPr>
            <w:tcW w:w="1800" w:type="dxa"/>
          </w:tcPr>
          <w:p w14:paraId="6E409766" w14:textId="77777777" w:rsidR="00BA7B01" w:rsidRDefault="00000000">
            <w:pPr>
              <w:pStyle w:val="SWCTableText"/>
            </w:pPr>
            <w:r>
              <w:t>1,700</w:t>
            </w:r>
          </w:p>
        </w:tc>
        <w:tc>
          <w:tcPr>
            <w:tcW w:w="1835" w:type="dxa"/>
          </w:tcPr>
          <w:p w14:paraId="3EFD0B9B" w14:textId="3CF4D293" w:rsidR="00BA7B01" w:rsidRDefault="00000000">
            <w:pPr>
              <w:pStyle w:val="SWCTableText"/>
            </w:pPr>
            <w:r>
              <w:t>5.</w:t>
            </w:r>
            <w:r w:rsidR="001512DE">
              <w:t>01</w:t>
            </w:r>
          </w:p>
        </w:tc>
      </w:tr>
      <w:tr w:rsidR="00BA7B01" w14:paraId="7D08B09F" w14:textId="77777777" w:rsidTr="00A709AA">
        <w:trPr>
          <w:cantSplit/>
          <w:trHeight w:val="245"/>
          <w:jc w:val="center"/>
        </w:trPr>
        <w:tc>
          <w:tcPr>
            <w:tcW w:w="4855" w:type="dxa"/>
          </w:tcPr>
          <w:p w14:paraId="4D206868" w14:textId="77777777" w:rsidR="00BA7B01" w:rsidRDefault="00000000" w:rsidP="008B146E">
            <w:pPr>
              <w:pStyle w:val="SWCTableText"/>
              <w:jc w:val="both"/>
            </w:pPr>
            <w:r>
              <w:t>Integrated kiln-store shell, 375 mm insulation, muffle</w:t>
            </w:r>
          </w:p>
        </w:tc>
        <w:tc>
          <w:tcPr>
            <w:tcW w:w="1800" w:type="dxa"/>
          </w:tcPr>
          <w:p w14:paraId="6F5241F5" w14:textId="77777777" w:rsidR="00BA7B01" w:rsidRDefault="00000000">
            <w:pPr>
              <w:pStyle w:val="SWCTableText"/>
            </w:pPr>
            <w:r>
              <w:t>6,400</w:t>
            </w:r>
          </w:p>
        </w:tc>
        <w:tc>
          <w:tcPr>
            <w:tcW w:w="1835" w:type="dxa"/>
          </w:tcPr>
          <w:p w14:paraId="41B94E96" w14:textId="50B0F5A7" w:rsidR="00BA7B01" w:rsidRDefault="001512DE">
            <w:pPr>
              <w:pStyle w:val="SWCTableText"/>
            </w:pPr>
            <w:r>
              <w:t>18.86</w:t>
            </w:r>
          </w:p>
        </w:tc>
      </w:tr>
      <w:tr w:rsidR="00BA7B01" w14:paraId="27630FDF" w14:textId="77777777" w:rsidTr="00A709AA">
        <w:trPr>
          <w:cantSplit/>
          <w:trHeight w:val="245"/>
          <w:jc w:val="center"/>
        </w:trPr>
        <w:tc>
          <w:tcPr>
            <w:tcW w:w="4855" w:type="dxa"/>
          </w:tcPr>
          <w:p w14:paraId="516CC5B0" w14:textId="77777777" w:rsidR="00BA7B01" w:rsidRDefault="00000000" w:rsidP="008B146E">
            <w:pPr>
              <w:pStyle w:val="SWCTableText"/>
              <w:jc w:val="both"/>
            </w:pPr>
            <w:r>
              <w:t>Heating elements (</w:t>
            </w:r>
            <w:proofErr w:type="spellStart"/>
            <w:r>
              <w:t>FeCrAl</w:t>
            </w:r>
            <w:proofErr w:type="spellEnd"/>
            <w:r>
              <w:t xml:space="preserve"> bed + </w:t>
            </w:r>
            <w:proofErr w:type="spellStart"/>
            <w:r>
              <w:t>MoSi</w:t>
            </w:r>
            <w:proofErr w:type="spellEnd"/>
            <w:r>
              <w:t>₂ chamber) and holders</w:t>
            </w:r>
          </w:p>
        </w:tc>
        <w:tc>
          <w:tcPr>
            <w:tcW w:w="1800" w:type="dxa"/>
          </w:tcPr>
          <w:p w14:paraId="54E8C994" w14:textId="77777777" w:rsidR="00BA7B01" w:rsidRDefault="00000000">
            <w:pPr>
              <w:pStyle w:val="SWCTableText"/>
            </w:pPr>
            <w:r>
              <w:t>2,600</w:t>
            </w:r>
          </w:p>
        </w:tc>
        <w:tc>
          <w:tcPr>
            <w:tcW w:w="1835" w:type="dxa"/>
          </w:tcPr>
          <w:p w14:paraId="018A080A" w14:textId="7369B756" w:rsidR="00BA7B01" w:rsidRDefault="001512DE">
            <w:pPr>
              <w:pStyle w:val="SWCTableText"/>
            </w:pPr>
            <w:r>
              <w:t>7.66</w:t>
            </w:r>
          </w:p>
        </w:tc>
      </w:tr>
      <w:tr w:rsidR="00BA7B01" w14:paraId="76A0016C" w14:textId="77777777" w:rsidTr="00A709AA">
        <w:trPr>
          <w:cantSplit/>
          <w:trHeight w:val="234"/>
          <w:jc w:val="center"/>
        </w:trPr>
        <w:tc>
          <w:tcPr>
            <w:tcW w:w="4855" w:type="dxa"/>
          </w:tcPr>
          <w:p w14:paraId="1E64A63F" w14:textId="77777777" w:rsidR="00BA7B01" w:rsidRDefault="00000000" w:rsidP="008B146E">
            <w:pPr>
              <w:pStyle w:val="SWCTableText"/>
              <w:jc w:val="both"/>
            </w:pPr>
            <w:r>
              <w:t>Basalt media (2.1 t, crushed and graded locally)</w:t>
            </w:r>
          </w:p>
        </w:tc>
        <w:tc>
          <w:tcPr>
            <w:tcW w:w="1800" w:type="dxa"/>
          </w:tcPr>
          <w:p w14:paraId="164A81C3" w14:textId="679DA00B" w:rsidR="00BA7B01" w:rsidRDefault="00EF08B2">
            <w:pPr>
              <w:pStyle w:val="SWCTableText"/>
            </w:pPr>
            <w:r>
              <w:t>140</w:t>
            </w:r>
            <w:r w:rsidR="005477FC">
              <w:t>0</w:t>
            </w:r>
          </w:p>
        </w:tc>
        <w:tc>
          <w:tcPr>
            <w:tcW w:w="1835" w:type="dxa"/>
          </w:tcPr>
          <w:p w14:paraId="4360E0E1" w14:textId="48FABCFE" w:rsidR="00BA7B01" w:rsidRDefault="001512DE">
            <w:pPr>
              <w:pStyle w:val="SWCTableText"/>
            </w:pPr>
            <w:r>
              <w:t>7.07</w:t>
            </w:r>
          </w:p>
        </w:tc>
      </w:tr>
      <w:tr w:rsidR="00BA7B01" w14:paraId="6B260B0A" w14:textId="77777777" w:rsidTr="00A709AA">
        <w:trPr>
          <w:cantSplit/>
          <w:trHeight w:val="245"/>
          <w:jc w:val="center"/>
        </w:trPr>
        <w:tc>
          <w:tcPr>
            <w:tcW w:w="4855" w:type="dxa"/>
          </w:tcPr>
          <w:p w14:paraId="7363811F" w14:textId="77777777" w:rsidR="00BA7B01" w:rsidRDefault="00000000" w:rsidP="008B146E">
            <w:pPr>
              <w:pStyle w:val="SWCTableText"/>
              <w:jc w:val="both"/>
            </w:pPr>
            <w:r>
              <w:t>Bed internals, blower, ducting, dampers, recuperation valve</w:t>
            </w:r>
          </w:p>
        </w:tc>
        <w:tc>
          <w:tcPr>
            <w:tcW w:w="1800" w:type="dxa"/>
          </w:tcPr>
          <w:p w14:paraId="4B5D69E3" w14:textId="77777777" w:rsidR="00BA7B01" w:rsidRDefault="00000000">
            <w:pPr>
              <w:pStyle w:val="SWCTableText"/>
            </w:pPr>
            <w:r>
              <w:t>2,600</w:t>
            </w:r>
          </w:p>
        </w:tc>
        <w:tc>
          <w:tcPr>
            <w:tcW w:w="1835" w:type="dxa"/>
          </w:tcPr>
          <w:p w14:paraId="59B40B65" w14:textId="1D957608" w:rsidR="00BA7B01" w:rsidRDefault="001512DE">
            <w:pPr>
              <w:pStyle w:val="SWCTableText"/>
            </w:pPr>
            <w:r>
              <w:t>7.66</w:t>
            </w:r>
          </w:p>
        </w:tc>
      </w:tr>
      <w:tr w:rsidR="00BA7B01" w14:paraId="21DEF001" w14:textId="77777777" w:rsidTr="00A709AA">
        <w:trPr>
          <w:cantSplit/>
          <w:trHeight w:val="245"/>
          <w:jc w:val="center"/>
        </w:trPr>
        <w:tc>
          <w:tcPr>
            <w:tcW w:w="4855" w:type="dxa"/>
          </w:tcPr>
          <w:p w14:paraId="2D82674F" w14:textId="77777777" w:rsidR="00BA7B01" w:rsidRDefault="00000000" w:rsidP="008B146E">
            <w:pPr>
              <w:pStyle w:val="SWCTableText"/>
              <w:jc w:val="both"/>
            </w:pPr>
            <w:r>
              <w:t>Installation, commissioning, operator training</w:t>
            </w:r>
          </w:p>
        </w:tc>
        <w:tc>
          <w:tcPr>
            <w:tcW w:w="1800" w:type="dxa"/>
          </w:tcPr>
          <w:p w14:paraId="7EC21218" w14:textId="2885F1FE" w:rsidR="00BA7B01" w:rsidRDefault="00000000">
            <w:pPr>
              <w:pStyle w:val="SWCTableText"/>
            </w:pPr>
            <w:r>
              <w:t>2,</w:t>
            </w:r>
            <w:r w:rsidR="004D2CBD">
              <w:t>74</w:t>
            </w:r>
            <w:r>
              <w:t>0</w:t>
            </w:r>
          </w:p>
        </w:tc>
        <w:tc>
          <w:tcPr>
            <w:tcW w:w="1835" w:type="dxa"/>
          </w:tcPr>
          <w:p w14:paraId="763D1F19" w14:textId="6D5AC868" w:rsidR="00BA7B01" w:rsidRDefault="001512DE">
            <w:pPr>
              <w:pStyle w:val="SWCTableText"/>
            </w:pPr>
            <w:r>
              <w:t>8.07</w:t>
            </w:r>
          </w:p>
        </w:tc>
      </w:tr>
      <w:tr w:rsidR="00BA7B01" w14:paraId="78EFA0F6" w14:textId="77777777" w:rsidTr="00A709AA">
        <w:trPr>
          <w:cantSplit/>
          <w:trHeight w:val="245"/>
          <w:jc w:val="center"/>
        </w:trPr>
        <w:tc>
          <w:tcPr>
            <w:tcW w:w="4855" w:type="dxa"/>
          </w:tcPr>
          <w:p w14:paraId="00AA1BD3" w14:textId="77777777" w:rsidR="00BA7B01" w:rsidRDefault="00000000" w:rsidP="008B146E">
            <w:pPr>
              <w:pStyle w:val="SWCTableText"/>
              <w:jc w:val="both"/>
            </w:pPr>
            <w:r>
              <w:t>Subtotal / contingency (8 %) / total installed cost</w:t>
            </w:r>
          </w:p>
        </w:tc>
        <w:tc>
          <w:tcPr>
            <w:tcW w:w="1800" w:type="dxa"/>
          </w:tcPr>
          <w:p w14:paraId="18FA2FBE" w14:textId="4E6AFAA3" w:rsidR="00BA7B01" w:rsidRDefault="00000000">
            <w:pPr>
              <w:pStyle w:val="SWCTableText"/>
            </w:pPr>
            <w:r>
              <w:t>3</w:t>
            </w:r>
            <w:r w:rsidR="00EF08B2">
              <w:t>2</w:t>
            </w:r>
            <w:r>
              <w:t xml:space="preserve">,940 / </w:t>
            </w:r>
            <w:r w:rsidR="004D2CBD">
              <w:t>2</w:t>
            </w:r>
            <w:r>
              <w:t>,7</w:t>
            </w:r>
            <w:r w:rsidR="004D2CBD">
              <w:t>1</w:t>
            </w:r>
            <w:r>
              <w:t>5 / 3</w:t>
            </w:r>
            <w:r w:rsidR="00EF08B2">
              <w:t>5</w:t>
            </w:r>
            <w:r>
              <w:t>,</w:t>
            </w:r>
            <w:r w:rsidR="002C1859">
              <w:t>575</w:t>
            </w:r>
          </w:p>
        </w:tc>
        <w:tc>
          <w:tcPr>
            <w:tcW w:w="1835" w:type="dxa"/>
          </w:tcPr>
          <w:p w14:paraId="51064771" w14:textId="77777777" w:rsidR="00BA7B01" w:rsidRDefault="00000000">
            <w:pPr>
              <w:pStyle w:val="SWCTableText"/>
            </w:pPr>
            <w:r>
              <w:t>100.0</w:t>
            </w:r>
          </w:p>
        </w:tc>
      </w:tr>
    </w:tbl>
    <w:p w14:paraId="1BFEFCE6" w14:textId="77777777" w:rsidR="00BA7B01" w:rsidRDefault="00BA7B01">
      <w:pPr>
        <w:pStyle w:val="SWCText"/>
        <w:spacing w:after="0"/>
      </w:pPr>
    </w:p>
    <w:p w14:paraId="2038BD07" w14:textId="14184E7A" w:rsidR="00BA7B01" w:rsidRDefault="007C0DE5">
      <w:pPr>
        <w:pStyle w:val="SWCText"/>
      </w:pPr>
      <w:r>
        <w:t>Table 7 compares five kiln options on a common ware-referenced basis. The PV kiln has the lowest fuel cost (zero) and breakage rate, but its LCOH for process heat is USD 181 GJ⁻¹, higher than the traditional kiln (USD 120 GJ⁻¹) and the improved wood kiln (USD 80 GJ⁻¹), yet lower than LPG and grid electricity. Per ton of saleable ware, the Solar PV kiln costs USD 281, compared with USD 226 for the traditional kiln. However, it remains attractive because it produces more saleable output from the same green input, due to a massive reduction in breakage compared with the traditional kiln firing process.</w:t>
      </w:r>
    </w:p>
    <w:p w14:paraId="1118CF7F" w14:textId="77777777" w:rsidR="000F51F6" w:rsidRPr="00CE3F4C" w:rsidRDefault="000F51F6" w:rsidP="000F51F6">
      <w:pPr>
        <w:keepNext/>
        <w:spacing w:before="160" w:after="60"/>
        <w:jc w:val="center"/>
        <w:rPr>
          <w:highlight w:val="yellow"/>
        </w:rPr>
      </w:pPr>
      <w:r w:rsidRPr="00CE3F4C">
        <w:rPr>
          <w:noProof/>
          <w:highlight w:val="yellow"/>
        </w:rPr>
        <w:drawing>
          <wp:inline distT="0" distB="0" distL="0" distR="0" wp14:anchorId="583C7FE8" wp14:editId="7A533E23">
            <wp:extent cx="5170805" cy="2278509"/>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0_cost_comparison.png"/>
                    <pic:cNvPicPr/>
                  </pic:nvPicPr>
                  <pic:blipFill>
                    <a:blip r:embed="rId22"/>
                    <a:stretch>
                      <a:fillRect/>
                    </a:stretch>
                  </pic:blipFill>
                  <pic:spPr>
                    <a:xfrm>
                      <a:off x="0" y="0"/>
                      <a:ext cx="5198702" cy="2290802"/>
                    </a:xfrm>
                    <a:prstGeom prst="rect">
                      <a:avLst/>
                    </a:prstGeom>
                  </pic:spPr>
                </pic:pic>
              </a:graphicData>
            </a:graphic>
          </wp:inline>
        </w:drawing>
      </w:r>
    </w:p>
    <w:p w14:paraId="40C40F3B" w14:textId="398CF5A2" w:rsidR="000F51F6" w:rsidRDefault="000F51F6" w:rsidP="000F51F6">
      <w:pPr>
        <w:spacing w:after="200"/>
        <w:ind w:right="360"/>
        <w:rPr>
          <w:sz w:val="16"/>
          <w:szCs w:val="16"/>
        </w:rPr>
      </w:pPr>
      <w:r w:rsidRPr="00E0518F">
        <w:rPr>
          <w:b/>
          <w:bCs/>
          <w:sz w:val="16"/>
          <w:szCs w:val="16"/>
        </w:rPr>
        <w:t>Fig. 1</w:t>
      </w:r>
      <w:r w:rsidR="00B945A0">
        <w:rPr>
          <w:b/>
          <w:bCs/>
          <w:sz w:val="16"/>
          <w:szCs w:val="16"/>
        </w:rPr>
        <w:t>1</w:t>
      </w:r>
      <w:r w:rsidRPr="00E0518F">
        <w:rPr>
          <w:b/>
          <w:bCs/>
          <w:sz w:val="16"/>
          <w:szCs w:val="16"/>
        </w:rPr>
        <w:t>.  Comparison of the five kiln options: (a) specific final energy; (b) levelised cost of process heat on a ware-referenced denominator; (c) cost per tonne of saleable ware.</w:t>
      </w:r>
    </w:p>
    <w:p w14:paraId="4316DADA" w14:textId="6AFCCFEC" w:rsidR="007C0DE5" w:rsidRPr="007C0DE5" w:rsidRDefault="007C0DE5" w:rsidP="007C0DE5">
      <w:pPr>
        <w:spacing w:after="200"/>
        <w:ind w:right="360"/>
        <w:jc w:val="both"/>
        <w:rPr>
          <w:szCs w:val="20"/>
        </w:rPr>
      </w:pPr>
      <w:r w:rsidRPr="007C0DE5">
        <w:rPr>
          <w:szCs w:val="20"/>
        </w:rPr>
        <w:t xml:space="preserve">The investment remains attractive, as shown in Fig. 11, which highlights key variables </w:t>
      </w:r>
      <w:r w:rsidR="00AF5BEE">
        <w:rPr>
          <w:szCs w:val="20"/>
        </w:rPr>
        <w:t xml:space="preserve">such as specific Energy consumption in terms of emissions and impact on baseline breakage rate, ware price, and </w:t>
      </w:r>
      <w:r w:rsidRPr="007C0DE5">
        <w:rPr>
          <w:szCs w:val="20"/>
        </w:rPr>
        <w:t xml:space="preserve">yield </w:t>
      </w:r>
      <w:r w:rsidRPr="007C0DE5">
        <w:rPr>
          <w:szCs w:val="20"/>
        </w:rPr>
        <w:lastRenderedPageBreak/>
        <w:t>and throughput, not just fuel costs. Using regulated electric firing reduces breakage from 22% to 5%, converting 4.1 tons of ware into USD 4,896 worth of products 56% of first-year benefits and twice the value of avoided firewood. Focus goes beyond fuel substitution to process control that requires no fuel, making yield and throughput key innovations for pottery. Yield improvements impact a USD 1,200 per ton ware price and a 17-percentage-point breakage reduction, both tied to the ability to sell more output.</w:t>
      </w:r>
    </w:p>
    <w:p w14:paraId="3BB8753C" w14:textId="7BF4456D" w:rsidR="00BA7B01" w:rsidRDefault="00000000">
      <w:pPr>
        <w:pStyle w:val="SWCTableFigureCaption"/>
        <w:keepNext/>
      </w:pPr>
      <w:r>
        <w:t>Tab. 7: Comparative technical and economic profile of five kiln options, 24 t of green ware.</w:t>
      </w:r>
    </w:p>
    <w:tbl>
      <w:tblPr>
        <w:tblStyle w:val="TableGrid"/>
        <w:tblW w:w="8455" w:type="dxa"/>
        <w:jc w:val="center"/>
        <w:tblLayout w:type="fixed"/>
        <w:tblCellMar>
          <w:top w:w="5" w:type="dxa"/>
          <w:left w:w="45" w:type="dxa"/>
          <w:bottom w:w="5" w:type="dxa"/>
          <w:right w:w="45" w:type="dxa"/>
        </w:tblCellMar>
        <w:tblLook w:val="04A0" w:firstRow="1" w:lastRow="0" w:firstColumn="1" w:lastColumn="0" w:noHBand="0" w:noVBand="1"/>
      </w:tblPr>
      <w:tblGrid>
        <w:gridCol w:w="2515"/>
        <w:gridCol w:w="1350"/>
        <w:gridCol w:w="1350"/>
        <w:gridCol w:w="810"/>
        <w:gridCol w:w="990"/>
        <w:gridCol w:w="1440"/>
      </w:tblGrid>
      <w:tr w:rsidR="00BA7B01" w14:paraId="1F814411" w14:textId="77777777" w:rsidTr="00AF5BEE">
        <w:trPr>
          <w:cantSplit/>
          <w:tblHeader/>
          <w:jc w:val="center"/>
        </w:trPr>
        <w:tc>
          <w:tcPr>
            <w:tcW w:w="2515" w:type="dxa"/>
          </w:tcPr>
          <w:p w14:paraId="2E764169" w14:textId="77777777" w:rsidR="00BA7B01" w:rsidRDefault="00000000">
            <w:pPr>
              <w:pStyle w:val="SWCTableHeader"/>
              <w:jc w:val="left"/>
            </w:pPr>
            <w:r>
              <w:t>Attribute</w:t>
            </w:r>
          </w:p>
        </w:tc>
        <w:tc>
          <w:tcPr>
            <w:tcW w:w="1350" w:type="dxa"/>
          </w:tcPr>
          <w:p w14:paraId="09B81EFB" w14:textId="77777777" w:rsidR="00BA7B01" w:rsidRDefault="00000000">
            <w:pPr>
              <w:pStyle w:val="SWCTableHeader"/>
            </w:pPr>
            <w:r>
              <w:t>Traditional wood</w:t>
            </w:r>
          </w:p>
        </w:tc>
        <w:tc>
          <w:tcPr>
            <w:tcW w:w="1350" w:type="dxa"/>
          </w:tcPr>
          <w:p w14:paraId="778941BF" w14:textId="77777777" w:rsidR="00BA7B01" w:rsidRDefault="00000000">
            <w:pPr>
              <w:pStyle w:val="SWCTableHeader"/>
            </w:pPr>
            <w:r>
              <w:t>Improved wood</w:t>
            </w:r>
          </w:p>
        </w:tc>
        <w:tc>
          <w:tcPr>
            <w:tcW w:w="810" w:type="dxa"/>
          </w:tcPr>
          <w:p w14:paraId="67AC2FED" w14:textId="77777777" w:rsidR="00BA7B01" w:rsidRDefault="00000000">
            <w:pPr>
              <w:pStyle w:val="SWCTableHeader"/>
            </w:pPr>
            <w:r>
              <w:t>LPG</w:t>
            </w:r>
          </w:p>
        </w:tc>
        <w:tc>
          <w:tcPr>
            <w:tcW w:w="990" w:type="dxa"/>
          </w:tcPr>
          <w:p w14:paraId="53B77488" w14:textId="77777777" w:rsidR="00BA7B01" w:rsidRDefault="00000000">
            <w:pPr>
              <w:pStyle w:val="SWCTableHeader"/>
            </w:pPr>
            <w:r>
              <w:t>Grid electric</w:t>
            </w:r>
          </w:p>
        </w:tc>
        <w:tc>
          <w:tcPr>
            <w:tcW w:w="1440" w:type="dxa"/>
          </w:tcPr>
          <w:p w14:paraId="3FFE72A7" w14:textId="77777777" w:rsidR="00BA7B01" w:rsidRDefault="00000000">
            <w:pPr>
              <w:pStyle w:val="SWCTableHeader"/>
            </w:pPr>
            <w:r>
              <w:t>PV + basalt TES</w:t>
            </w:r>
          </w:p>
        </w:tc>
      </w:tr>
      <w:tr w:rsidR="00BA7B01" w14:paraId="314550AF" w14:textId="77777777" w:rsidTr="00AF5BEE">
        <w:trPr>
          <w:cantSplit/>
          <w:jc w:val="center"/>
        </w:trPr>
        <w:tc>
          <w:tcPr>
            <w:tcW w:w="2515" w:type="dxa"/>
          </w:tcPr>
          <w:p w14:paraId="3D1CFA05" w14:textId="77777777" w:rsidR="00BA7B01" w:rsidRDefault="00000000">
            <w:pPr>
              <w:pStyle w:val="SWCTableText"/>
              <w:jc w:val="left"/>
            </w:pPr>
            <w:r>
              <w:t>Specific final energy (MJ kg⁻¹ ware)</w:t>
            </w:r>
          </w:p>
        </w:tc>
        <w:tc>
          <w:tcPr>
            <w:tcW w:w="1350" w:type="dxa"/>
          </w:tcPr>
          <w:p w14:paraId="1BB0745A" w14:textId="77777777" w:rsidR="00BA7B01" w:rsidRDefault="00000000">
            <w:pPr>
              <w:pStyle w:val="SWCTableText"/>
            </w:pPr>
            <w:r>
              <w:t>28.0</w:t>
            </w:r>
          </w:p>
        </w:tc>
        <w:tc>
          <w:tcPr>
            <w:tcW w:w="1350" w:type="dxa"/>
          </w:tcPr>
          <w:p w14:paraId="5B6C4EB3" w14:textId="77777777" w:rsidR="00BA7B01" w:rsidRDefault="00000000">
            <w:pPr>
              <w:pStyle w:val="SWCTableText"/>
            </w:pPr>
            <w:r>
              <w:t>15.0</w:t>
            </w:r>
          </w:p>
        </w:tc>
        <w:tc>
          <w:tcPr>
            <w:tcW w:w="810" w:type="dxa"/>
          </w:tcPr>
          <w:p w14:paraId="65141718" w14:textId="77777777" w:rsidR="00BA7B01" w:rsidRDefault="00000000">
            <w:pPr>
              <w:pStyle w:val="SWCTableText"/>
            </w:pPr>
            <w:r>
              <w:t>10.0</w:t>
            </w:r>
          </w:p>
        </w:tc>
        <w:tc>
          <w:tcPr>
            <w:tcW w:w="990" w:type="dxa"/>
          </w:tcPr>
          <w:p w14:paraId="4EC6ED67" w14:textId="77777777" w:rsidR="00BA7B01" w:rsidRDefault="00000000">
            <w:pPr>
              <w:pStyle w:val="SWCTableText"/>
            </w:pPr>
            <w:r>
              <w:t>5.2</w:t>
            </w:r>
          </w:p>
        </w:tc>
        <w:tc>
          <w:tcPr>
            <w:tcW w:w="1440" w:type="dxa"/>
          </w:tcPr>
          <w:p w14:paraId="408E61A8" w14:textId="77777777" w:rsidR="00BA7B01" w:rsidRDefault="00000000">
            <w:pPr>
              <w:pStyle w:val="SWCTableText"/>
            </w:pPr>
            <w:r>
              <w:t>6.2</w:t>
            </w:r>
          </w:p>
        </w:tc>
      </w:tr>
      <w:tr w:rsidR="00BA7B01" w14:paraId="11FB89ED" w14:textId="77777777" w:rsidTr="00AF5BEE">
        <w:trPr>
          <w:cantSplit/>
          <w:jc w:val="center"/>
        </w:trPr>
        <w:tc>
          <w:tcPr>
            <w:tcW w:w="2515" w:type="dxa"/>
          </w:tcPr>
          <w:p w14:paraId="4B351D92" w14:textId="77777777" w:rsidR="00BA7B01" w:rsidRDefault="00000000">
            <w:pPr>
              <w:pStyle w:val="SWCTableText"/>
              <w:jc w:val="left"/>
            </w:pPr>
            <w:r>
              <w:t>Annual fuel or electricity</w:t>
            </w:r>
          </w:p>
        </w:tc>
        <w:tc>
          <w:tcPr>
            <w:tcW w:w="1350" w:type="dxa"/>
          </w:tcPr>
          <w:p w14:paraId="4FBC3544" w14:textId="77777777" w:rsidR="00BA7B01" w:rsidRDefault="00000000">
            <w:pPr>
              <w:pStyle w:val="SWCTableText"/>
            </w:pPr>
            <w:r>
              <w:t>44.8 t wood</w:t>
            </w:r>
          </w:p>
        </w:tc>
        <w:tc>
          <w:tcPr>
            <w:tcW w:w="1350" w:type="dxa"/>
          </w:tcPr>
          <w:p w14:paraId="025459A2" w14:textId="77777777" w:rsidR="00BA7B01" w:rsidRDefault="00000000">
            <w:pPr>
              <w:pStyle w:val="SWCTableText"/>
            </w:pPr>
            <w:r>
              <w:t>24.0 t wood</w:t>
            </w:r>
          </w:p>
        </w:tc>
        <w:tc>
          <w:tcPr>
            <w:tcW w:w="810" w:type="dxa"/>
          </w:tcPr>
          <w:p w14:paraId="78FF4CDA" w14:textId="77777777" w:rsidR="00BA7B01" w:rsidRDefault="00000000">
            <w:pPr>
              <w:pStyle w:val="SWCTableText"/>
            </w:pPr>
            <w:r>
              <w:t>5.2 t LPG</w:t>
            </w:r>
          </w:p>
        </w:tc>
        <w:tc>
          <w:tcPr>
            <w:tcW w:w="990" w:type="dxa"/>
          </w:tcPr>
          <w:p w14:paraId="75343F74" w14:textId="77777777" w:rsidR="00BA7B01" w:rsidRDefault="00000000">
            <w:pPr>
              <w:pStyle w:val="SWCTableText"/>
            </w:pPr>
            <w:r>
              <w:t>34.7 MWh</w:t>
            </w:r>
          </w:p>
        </w:tc>
        <w:tc>
          <w:tcPr>
            <w:tcW w:w="1440" w:type="dxa"/>
          </w:tcPr>
          <w:p w14:paraId="70734A6F" w14:textId="77777777" w:rsidR="00BA7B01" w:rsidRDefault="00000000">
            <w:pPr>
              <w:pStyle w:val="SWCTableText"/>
            </w:pPr>
            <w:r>
              <w:t>0</w:t>
            </w:r>
          </w:p>
        </w:tc>
      </w:tr>
      <w:tr w:rsidR="00BA7B01" w14:paraId="78B6C6D5" w14:textId="77777777" w:rsidTr="00AF5BEE">
        <w:trPr>
          <w:cantSplit/>
          <w:jc w:val="center"/>
        </w:trPr>
        <w:tc>
          <w:tcPr>
            <w:tcW w:w="2515" w:type="dxa"/>
          </w:tcPr>
          <w:p w14:paraId="79E6F77A" w14:textId="77777777" w:rsidR="00BA7B01" w:rsidRDefault="00000000">
            <w:pPr>
              <w:pStyle w:val="SWCTableText"/>
              <w:jc w:val="left"/>
            </w:pPr>
            <w:r>
              <w:t>Annual fuel cost (USD)</w:t>
            </w:r>
          </w:p>
        </w:tc>
        <w:tc>
          <w:tcPr>
            <w:tcW w:w="1350" w:type="dxa"/>
          </w:tcPr>
          <w:p w14:paraId="2CB0EDDF" w14:textId="77777777" w:rsidR="00BA7B01" w:rsidRDefault="00000000">
            <w:pPr>
              <w:pStyle w:val="SWCTableText"/>
            </w:pPr>
            <w:r>
              <w:t>2,520</w:t>
            </w:r>
          </w:p>
        </w:tc>
        <w:tc>
          <w:tcPr>
            <w:tcW w:w="1350" w:type="dxa"/>
          </w:tcPr>
          <w:p w14:paraId="1AA242E1" w14:textId="77777777" w:rsidR="00BA7B01" w:rsidRDefault="00000000">
            <w:pPr>
              <w:pStyle w:val="SWCTableText"/>
            </w:pPr>
            <w:r>
              <w:t>1,350</w:t>
            </w:r>
          </w:p>
        </w:tc>
        <w:tc>
          <w:tcPr>
            <w:tcW w:w="810" w:type="dxa"/>
          </w:tcPr>
          <w:p w14:paraId="5DEC746C" w14:textId="77777777" w:rsidR="00BA7B01" w:rsidRDefault="00000000">
            <w:pPr>
              <w:pStyle w:val="SWCTableText"/>
            </w:pPr>
            <w:r>
              <w:t>6,000</w:t>
            </w:r>
          </w:p>
        </w:tc>
        <w:tc>
          <w:tcPr>
            <w:tcW w:w="990" w:type="dxa"/>
          </w:tcPr>
          <w:p w14:paraId="533B4666" w14:textId="77777777" w:rsidR="00BA7B01" w:rsidRDefault="00000000">
            <w:pPr>
              <w:pStyle w:val="SWCTableText"/>
            </w:pPr>
            <w:r>
              <w:t>5,200</w:t>
            </w:r>
          </w:p>
        </w:tc>
        <w:tc>
          <w:tcPr>
            <w:tcW w:w="1440" w:type="dxa"/>
          </w:tcPr>
          <w:p w14:paraId="240897DD" w14:textId="77777777" w:rsidR="00BA7B01" w:rsidRDefault="00000000">
            <w:pPr>
              <w:pStyle w:val="SWCTableText"/>
            </w:pPr>
            <w:r>
              <w:t>0</w:t>
            </w:r>
          </w:p>
        </w:tc>
      </w:tr>
      <w:tr w:rsidR="00BA7B01" w14:paraId="451E8758" w14:textId="77777777" w:rsidTr="00AF5BEE">
        <w:trPr>
          <w:cantSplit/>
          <w:jc w:val="center"/>
        </w:trPr>
        <w:tc>
          <w:tcPr>
            <w:tcW w:w="2515" w:type="dxa"/>
          </w:tcPr>
          <w:p w14:paraId="16F6D982" w14:textId="77777777" w:rsidR="00BA7B01" w:rsidRDefault="00000000">
            <w:pPr>
              <w:pStyle w:val="SWCTableText"/>
              <w:jc w:val="left"/>
            </w:pPr>
            <w:r>
              <w:t>Labour (h yr⁻¹)</w:t>
            </w:r>
          </w:p>
        </w:tc>
        <w:tc>
          <w:tcPr>
            <w:tcW w:w="1350" w:type="dxa"/>
          </w:tcPr>
          <w:p w14:paraId="17031B15" w14:textId="77777777" w:rsidR="00BA7B01" w:rsidRDefault="00000000">
            <w:pPr>
              <w:pStyle w:val="SWCTableText"/>
            </w:pPr>
            <w:r>
              <w:t>3200</w:t>
            </w:r>
          </w:p>
        </w:tc>
        <w:tc>
          <w:tcPr>
            <w:tcW w:w="1350" w:type="dxa"/>
          </w:tcPr>
          <w:p w14:paraId="6D32B9B6" w14:textId="77777777" w:rsidR="00BA7B01" w:rsidRDefault="00000000">
            <w:pPr>
              <w:pStyle w:val="SWCTableText"/>
            </w:pPr>
            <w:r>
              <w:t>2080</w:t>
            </w:r>
          </w:p>
        </w:tc>
        <w:tc>
          <w:tcPr>
            <w:tcW w:w="810" w:type="dxa"/>
          </w:tcPr>
          <w:p w14:paraId="4E0B6717" w14:textId="77777777" w:rsidR="00BA7B01" w:rsidRDefault="00000000">
            <w:pPr>
              <w:pStyle w:val="SWCTableText"/>
            </w:pPr>
            <w:r>
              <w:t>800</w:t>
            </w:r>
          </w:p>
        </w:tc>
        <w:tc>
          <w:tcPr>
            <w:tcW w:w="990" w:type="dxa"/>
          </w:tcPr>
          <w:p w14:paraId="267EAD75" w14:textId="77777777" w:rsidR="00BA7B01" w:rsidRDefault="00000000">
            <w:pPr>
              <w:pStyle w:val="SWCTableText"/>
            </w:pPr>
            <w:r>
              <w:t>640</w:t>
            </w:r>
          </w:p>
        </w:tc>
        <w:tc>
          <w:tcPr>
            <w:tcW w:w="1440" w:type="dxa"/>
          </w:tcPr>
          <w:p w14:paraId="64D11BA5" w14:textId="77777777" w:rsidR="00BA7B01" w:rsidRDefault="00000000">
            <w:pPr>
              <w:pStyle w:val="SWCTableText"/>
            </w:pPr>
            <w:r>
              <w:t>480</w:t>
            </w:r>
          </w:p>
        </w:tc>
      </w:tr>
      <w:tr w:rsidR="00BA7B01" w14:paraId="69836E7F" w14:textId="77777777" w:rsidTr="00AF5BEE">
        <w:trPr>
          <w:cantSplit/>
          <w:jc w:val="center"/>
        </w:trPr>
        <w:tc>
          <w:tcPr>
            <w:tcW w:w="2515" w:type="dxa"/>
          </w:tcPr>
          <w:p w14:paraId="3F3B2538" w14:textId="77777777" w:rsidR="00BA7B01" w:rsidRDefault="00000000">
            <w:pPr>
              <w:pStyle w:val="SWCTableText"/>
              <w:jc w:val="left"/>
            </w:pPr>
            <w:r>
              <w:t>Breakage rate (%)</w:t>
            </w:r>
          </w:p>
        </w:tc>
        <w:tc>
          <w:tcPr>
            <w:tcW w:w="1350" w:type="dxa"/>
          </w:tcPr>
          <w:p w14:paraId="5B0F9E8C" w14:textId="77777777" w:rsidR="00BA7B01" w:rsidRDefault="00000000">
            <w:pPr>
              <w:pStyle w:val="SWCTableText"/>
            </w:pPr>
            <w:r>
              <w:t>22</w:t>
            </w:r>
          </w:p>
        </w:tc>
        <w:tc>
          <w:tcPr>
            <w:tcW w:w="1350" w:type="dxa"/>
          </w:tcPr>
          <w:p w14:paraId="01424C76" w14:textId="77777777" w:rsidR="00BA7B01" w:rsidRDefault="00000000">
            <w:pPr>
              <w:pStyle w:val="SWCTableText"/>
            </w:pPr>
            <w:r>
              <w:t>15</w:t>
            </w:r>
          </w:p>
        </w:tc>
        <w:tc>
          <w:tcPr>
            <w:tcW w:w="810" w:type="dxa"/>
          </w:tcPr>
          <w:p w14:paraId="677BF80C" w14:textId="77777777" w:rsidR="00BA7B01" w:rsidRDefault="00000000">
            <w:pPr>
              <w:pStyle w:val="SWCTableText"/>
            </w:pPr>
            <w:r>
              <w:t>7</w:t>
            </w:r>
          </w:p>
        </w:tc>
        <w:tc>
          <w:tcPr>
            <w:tcW w:w="990" w:type="dxa"/>
          </w:tcPr>
          <w:p w14:paraId="19E7D282" w14:textId="77777777" w:rsidR="00BA7B01" w:rsidRDefault="00000000">
            <w:pPr>
              <w:pStyle w:val="SWCTableText"/>
            </w:pPr>
            <w:r>
              <w:t>6</w:t>
            </w:r>
          </w:p>
        </w:tc>
        <w:tc>
          <w:tcPr>
            <w:tcW w:w="1440" w:type="dxa"/>
          </w:tcPr>
          <w:p w14:paraId="6D83849D" w14:textId="77777777" w:rsidR="00BA7B01" w:rsidRDefault="00000000">
            <w:pPr>
              <w:pStyle w:val="SWCTableText"/>
            </w:pPr>
            <w:r>
              <w:t>5</w:t>
            </w:r>
          </w:p>
        </w:tc>
      </w:tr>
      <w:tr w:rsidR="00BA7B01" w14:paraId="1AED07A4" w14:textId="77777777" w:rsidTr="00AF5BEE">
        <w:trPr>
          <w:cantSplit/>
          <w:jc w:val="center"/>
        </w:trPr>
        <w:tc>
          <w:tcPr>
            <w:tcW w:w="2515" w:type="dxa"/>
          </w:tcPr>
          <w:p w14:paraId="7232FAE4" w14:textId="77777777" w:rsidR="00BA7B01" w:rsidRDefault="00000000">
            <w:pPr>
              <w:pStyle w:val="SWCTableText"/>
              <w:jc w:val="left"/>
            </w:pPr>
            <w:r>
              <w:t>Capital cost (USD)</w:t>
            </w:r>
          </w:p>
        </w:tc>
        <w:tc>
          <w:tcPr>
            <w:tcW w:w="1350" w:type="dxa"/>
          </w:tcPr>
          <w:p w14:paraId="28CFE73A" w14:textId="77777777" w:rsidR="00BA7B01" w:rsidRDefault="00000000">
            <w:pPr>
              <w:pStyle w:val="SWCTableText"/>
            </w:pPr>
            <w:r>
              <w:t>600</w:t>
            </w:r>
          </w:p>
        </w:tc>
        <w:tc>
          <w:tcPr>
            <w:tcW w:w="1350" w:type="dxa"/>
          </w:tcPr>
          <w:p w14:paraId="4AE67336" w14:textId="77777777" w:rsidR="00BA7B01" w:rsidRDefault="00000000">
            <w:pPr>
              <w:pStyle w:val="SWCTableText"/>
            </w:pPr>
            <w:r>
              <w:t>2,200</w:t>
            </w:r>
          </w:p>
        </w:tc>
        <w:tc>
          <w:tcPr>
            <w:tcW w:w="810" w:type="dxa"/>
          </w:tcPr>
          <w:p w14:paraId="05DEC1FA" w14:textId="77777777" w:rsidR="00BA7B01" w:rsidRDefault="00000000">
            <w:pPr>
              <w:pStyle w:val="SWCTableText"/>
            </w:pPr>
            <w:r>
              <w:t>5,200</w:t>
            </w:r>
          </w:p>
        </w:tc>
        <w:tc>
          <w:tcPr>
            <w:tcW w:w="990" w:type="dxa"/>
          </w:tcPr>
          <w:p w14:paraId="4DC441C0" w14:textId="77777777" w:rsidR="00BA7B01" w:rsidRDefault="00000000">
            <w:pPr>
              <w:pStyle w:val="SWCTableText"/>
            </w:pPr>
            <w:r>
              <w:t>7,800</w:t>
            </w:r>
          </w:p>
        </w:tc>
        <w:tc>
          <w:tcPr>
            <w:tcW w:w="1440" w:type="dxa"/>
          </w:tcPr>
          <w:p w14:paraId="7D1B49D9" w14:textId="77777777" w:rsidR="00BA7B01" w:rsidRDefault="00000000">
            <w:pPr>
              <w:pStyle w:val="SWCTableText"/>
            </w:pPr>
            <w:r>
              <w:t>33,415</w:t>
            </w:r>
          </w:p>
        </w:tc>
      </w:tr>
      <w:tr w:rsidR="00BA7B01" w14:paraId="4419E9E9" w14:textId="77777777" w:rsidTr="00AF5BEE">
        <w:trPr>
          <w:cantSplit/>
          <w:jc w:val="center"/>
        </w:trPr>
        <w:tc>
          <w:tcPr>
            <w:tcW w:w="2515" w:type="dxa"/>
          </w:tcPr>
          <w:p w14:paraId="124AD128" w14:textId="77777777" w:rsidR="00BA7B01" w:rsidRDefault="00000000">
            <w:pPr>
              <w:pStyle w:val="SWCTableText"/>
              <w:jc w:val="left"/>
            </w:pPr>
            <w:proofErr w:type="spellStart"/>
            <w:r>
              <w:t>Levelised</w:t>
            </w:r>
            <w:proofErr w:type="spellEnd"/>
            <w:r>
              <w:t xml:space="preserve"> cost of heat (USD GJ⁻¹)</w:t>
            </w:r>
          </w:p>
        </w:tc>
        <w:tc>
          <w:tcPr>
            <w:tcW w:w="1350" w:type="dxa"/>
          </w:tcPr>
          <w:p w14:paraId="5B46B64F" w14:textId="77777777" w:rsidR="00BA7B01" w:rsidRDefault="00000000">
            <w:pPr>
              <w:pStyle w:val="SWCTableText"/>
            </w:pPr>
            <w:r>
              <w:t>120</w:t>
            </w:r>
          </w:p>
        </w:tc>
        <w:tc>
          <w:tcPr>
            <w:tcW w:w="1350" w:type="dxa"/>
          </w:tcPr>
          <w:p w14:paraId="42CCD92E" w14:textId="77777777" w:rsidR="00BA7B01" w:rsidRDefault="00000000">
            <w:pPr>
              <w:pStyle w:val="SWCTableText"/>
            </w:pPr>
            <w:r>
              <w:t>80</w:t>
            </w:r>
          </w:p>
        </w:tc>
        <w:tc>
          <w:tcPr>
            <w:tcW w:w="810" w:type="dxa"/>
          </w:tcPr>
          <w:p w14:paraId="47B48371" w14:textId="77777777" w:rsidR="00BA7B01" w:rsidRDefault="00000000">
            <w:pPr>
              <w:pStyle w:val="SWCTableText"/>
            </w:pPr>
            <w:r>
              <w:t>207</w:t>
            </w:r>
          </w:p>
        </w:tc>
        <w:tc>
          <w:tcPr>
            <w:tcW w:w="990" w:type="dxa"/>
          </w:tcPr>
          <w:p w14:paraId="732355B2" w14:textId="77777777" w:rsidR="00BA7B01" w:rsidRDefault="00000000">
            <w:pPr>
              <w:pStyle w:val="SWCTableText"/>
            </w:pPr>
            <w:r>
              <w:t>196</w:t>
            </w:r>
          </w:p>
        </w:tc>
        <w:tc>
          <w:tcPr>
            <w:tcW w:w="1440" w:type="dxa"/>
          </w:tcPr>
          <w:p w14:paraId="2D9B9117" w14:textId="77777777" w:rsidR="00BA7B01" w:rsidRDefault="00000000">
            <w:pPr>
              <w:pStyle w:val="SWCTableText"/>
            </w:pPr>
            <w:r>
              <w:t>181</w:t>
            </w:r>
          </w:p>
        </w:tc>
      </w:tr>
      <w:tr w:rsidR="00BA7B01" w14:paraId="5DB14E79" w14:textId="77777777" w:rsidTr="00AF5BEE">
        <w:trPr>
          <w:cantSplit/>
          <w:jc w:val="center"/>
        </w:trPr>
        <w:tc>
          <w:tcPr>
            <w:tcW w:w="2515" w:type="dxa"/>
          </w:tcPr>
          <w:p w14:paraId="312F5F38" w14:textId="77777777" w:rsidR="00BA7B01" w:rsidRDefault="00000000">
            <w:pPr>
              <w:pStyle w:val="SWCTableText"/>
              <w:jc w:val="left"/>
            </w:pPr>
            <w:r>
              <w:t>Cost per tonne saleable ware (USD)</w:t>
            </w:r>
          </w:p>
        </w:tc>
        <w:tc>
          <w:tcPr>
            <w:tcW w:w="1350" w:type="dxa"/>
          </w:tcPr>
          <w:p w14:paraId="0164BD71" w14:textId="77777777" w:rsidR="00BA7B01" w:rsidRDefault="00000000">
            <w:pPr>
              <w:pStyle w:val="SWCTableText"/>
            </w:pPr>
            <w:r>
              <w:t>226</w:t>
            </w:r>
          </w:p>
        </w:tc>
        <w:tc>
          <w:tcPr>
            <w:tcW w:w="1350" w:type="dxa"/>
          </w:tcPr>
          <w:p w14:paraId="10C44037" w14:textId="77777777" w:rsidR="00BA7B01" w:rsidRDefault="00000000">
            <w:pPr>
              <w:pStyle w:val="SWCTableText"/>
            </w:pPr>
            <w:r>
              <w:t>139</w:t>
            </w:r>
          </w:p>
        </w:tc>
        <w:tc>
          <w:tcPr>
            <w:tcW w:w="810" w:type="dxa"/>
          </w:tcPr>
          <w:p w14:paraId="53E03F3E" w14:textId="77777777" w:rsidR="00BA7B01" w:rsidRDefault="00000000">
            <w:pPr>
              <w:pStyle w:val="SWCTableText"/>
            </w:pPr>
            <w:r>
              <w:t>328</w:t>
            </w:r>
          </w:p>
        </w:tc>
        <w:tc>
          <w:tcPr>
            <w:tcW w:w="990" w:type="dxa"/>
          </w:tcPr>
          <w:p w14:paraId="5CE71AE1" w14:textId="77777777" w:rsidR="00BA7B01" w:rsidRDefault="00000000">
            <w:pPr>
              <w:pStyle w:val="SWCTableText"/>
            </w:pPr>
            <w:r>
              <w:t>307</w:t>
            </w:r>
          </w:p>
        </w:tc>
        <w:tc>
          <w:tcPr>
            <w:tcW w:w="1440" w:type="dxa"/>
          </w:tcPr>
          <w:p w14:paraId="28FF1ABB" w14:textId="77777777" w:rsidR="00BA7B01" w:rsidRDefault="00000000">
            <w:pPr>
              <w:pStyle w:val="SWCTableText"/>
            </w:pPr>
            <w:r>
              <w:t>281</w:t>
            </w:r>
          </w:p>
        </w:tc>
      </w:tr>
      <w:tr w:rsidR="00BA7B01" w14:paraId="7AA9FB45" w14:textId="77777777" w:rsidTr="00AF5BEE">
        <w:trPr>
          <w:cantSplit/>
          <w:jc w:val="center"/>
        </w:trPr>
        <w:tc>
          <w:tcPr>
            <w:tcW w:w="2515" w:type="dxa"/>
          </w:tcPr>
          <w:p w14:paraId="761C704A" w14:textId="77777777" w:rsidR="00BA7B01" w:rsidRDefault="00000000">
            <w:pPr>
              <w:pStyle w:val="SWCTableText"/>
              <w:jc w:val="left"/>
            </w:pPr>
            <w:r>
              <w:t>Operator smoke exposure</w:t>
            </w:r>
          </w:p>
        </w:tc>
        <w:tc>
          <w:tcPr>
            <w:tcW w:w="1350" w:type="dxa"/>
          </w:tcPr>
          <w:p w14:paraId="3C0CBC25" w14:textId="77777777" w:rsidR="00BA7B01" w:rsidRDefault="00000000">
            <w:pPr>
              <w:pStyle w:val="SWCTableText"/>
            </w:pPr>
            <w:r>
              <w:t>Severe</w:t>
            </w:r>
          </w:p>
        </w:tc>
        <w:tc>
          <w:tcPr>
            <w:tcW w:w="1350" w:type="dxa"/>
          </w:tcPr>
          <w:p w14:paraId="4F9ABB9F" w14:textId="77777777" w:rsidR="00BA7B01" w:rsidRDefault="00000000">
            <w:pPr>
              <w:pStyle w:val="SWCTableText"/>
            </w:pPr>
            <w:r>
              <w:t>High</w:t>
            </w:r>
          </w:p>
        </w:tc>
        <w:tc>
          <w:tcPr>
            <w:tcW w:w="810" w:type="dxa"/>
          </w:tcPr>
          <w:p w14:paraId="7E1C96FA" w14:textId="77777777" w:rsidR="00BA7B01" w:rsidRDefault="00000000">
            <w:pPr>
              <w:pStyle w:val="SWCTableText"/>
            </w:pPr>
            <w:r>
              <w:t>Low</w:t>
            </w:r>
          </w:p>
        </w:tc>
        <w:tc>
          <w:tcPr>
            <w:tcW w:w="990" w:type="dxa"/>
          </w:tcPr>
          <w:p w14:paraId="29D8FB51" w14:textId="77777777" w:rsidR="00BA7B01" w:rsidRDefault="00000000">
            <w:pPr>
              <w:pStyle w:val="SWCTableText"/>
            </w:pPr>
            <w:r>
              <w:t>None</w:t>
            </w:r>
          </w:p>
        </w:tc>
        <w:tc>
          <w:tcPr>
            <w:tcW w:w="1440" w:type="dxa"/>
          </w:tcPr>
          <w:p w14:paraId="042E2E11" w14:textId="77777777" w:rsidR="00BA7B01" w:rsidRDefault="00000000">
            <w:pPr>
              <w:pStyle w:val="SWCTableText"/>
            </w:pPr>
            <w:r>
              <w:t>None</w:t>
            </w:r>
          </w:p>
        </w:tc>
      </w:tr>
    </w:tbl>
    <w:p w14:paraId="7EA0C79B" w14:textId="77777777" w:rsidR="00AF5BEE" w:rsidRDefault="00AF5BEE">
      <w:pPr>
        <w:pStyle w:val="SWCHeading11"/>
        <w:keepNext/>
      </w:pPr>
    </w:p>
    <w:p w14:paraId="78DCBDDE" w14:textId="65015182" w:rsidR="00BA7B01" w:rsidRDefault="00000000">
      <w:pPr>
        <w:pStyle w:val="SWCHeading11"/>
        <w:keepNext/>
      </w:pPr>
      <w:r>
        <w:t>3.5 Environmental, carbon-finance and uncertainty results</w:t>
      </w:r>
    </w:p>
    <w:p w14:paraId="476CDEF1" w14:textId="19D532BA" w:rsidR="00BA7B01" w:rsidRDefault="00AF5BEE" w:rsidP="00AF5BEE">
      <w:pPr>
        <w:pStyle w:val="SWCText"/>
      </w:pPr>
      <w:r>
        <w:t xml:space="preserve">The system displaces 44.8 tons of fuelwood annually, resulting in emissions of 54.8 </w:t>
      </w:r>
      <w:proofErr w:type="spellStart"/>
      <w:r>
        <w:t>tCO</w:t>
      </w:r>
      <w:proofErr w:type="spellEnd"/>
      <w:r>
        <w:t>₂. It achieves an abatement of 18.3 tCO₂</w:t>
      </w:r>
      <w:proofErr w:type="spellStart"/>
      <w:r>
        <w:t>e at</w:t>
      </w:r>
      <w:proofErr w:type="spellEnd"/>
      <w:r>
        <w:t xml:space="preserve"> a default </w:t>
      </w:r>
      <w:proofErr w:type="spellStart"/>
      <w:r>
        <w:t>fNRB</w:t>
      </w:r>
      <w:proofErr w:type="spellEnd"/>
      <w:r>
        <w:t xml:space="preserve"> of 0.30, or 53.0 </w:t>
      </w:r>
      <w:proofErr w:type="spellStart"/>
      <w:r>
        <w:t>tCO₂e</w:t>
      </w:r>
      <w:proofErr w:type="spellEnd"/>
      <w:r>
        <w:t xml:space="preserve"> at 0.87. Embodied emissions </w:t>
      </w:r>
      <w:r w:rsidR="00F12C58">
        <w:t xml:space="preserve">total 24.3 </w:t>
      </w:r>
      <w:proofErr w:type="spellStart"/>
      <w:r w:rsidR="00F12C58">
        <w:t>tCO₂e</w:t>
      </w:r>
      <w:proofErr w:type="spellEnd"/>
      <w:r w:rsidR="00F12C58">
        <w:t xml:space="preserve">, resulting in a net abatement of 16.6 </w:t>
      </w:r>
      <w:proofErr w:type="spellStart"/>
      <w:r w:rsidR="00F12C58">
        <w:t>tCO₂e</w:t>
      </w:r>
      <w:proofErr w:type="spellEnd"/>
      <w:r w:rsidR="00F12C58">
        <w:t xml:space="preserve"> per year and</w:t>
      </w:r>
      <w:r>
        <w:t xml:space="preserve"> a carbon payback period of 1.3 years. Emission intensity decreases from 761 to 68 kg </w:t>
      </w:r>
      <w:proofErr w:type="spellStart"/>
      <w:r>
        <w:t>CO₂e</w:t>
      </w:r>
      <w:proofErr w:type="spellEnd"/>
      <w:r>
        <w:t xml:space="preserve"> per ton, a 91% reduction. Grid firing emits 556 kg </w:t>
      </w:r>
      <w:proofErr w:type="spellStart"/>
      <w:r>
        <w:t>CO₂e</w:t>
      </w:r>
      <w:proofErr w:type="spellEnd"/>
      <w:r>
        <w:t xml:space="preserve"> per ton; however, abatement is achieved through solar photovoltaic (PV) firing, not electrification. Non-climate co-benefits increase as in-firing exposures are eliminated, as indicated by Williams et al. (2025). Emissions and financing outcomes per kiln are detailed in Table 8 and Figure 12.</w:t>
      </w:r>
    </w:p>
    <w:p w14:paraId="5EE89C3F" w14:textId="77777777" w:rsidR="00017089" w:rsidRDefault="00017089">
      <w:pPr>
        <w:pStyle w:val="SWCTableFigureCaption"/>
        <w:keepNext/>
      </w:pPr>
    </w:p>
    <w:p w14:paraId="36B18F9B" w14:textId="67AC7A9C" w:rsidR="00BA7B01" w:rsidRDefault="00000000">
      <w:pPr>
        <w:pStyle w:val="SWCTableFigureCaption"/>
        <w:keepNext/>
      </w:pPr>
      <w:r>
        <w:t>Tab. 8: Emissions and carbon-finance outcomes per kiln.</w:t>
      </w:r>
    </w:p>
    <w:tbl>
      <w:tblPr>
        <w:tblStyle w:val="TableGrid"/>
        <w:tblW w:w="0" w:type="auto"/>
        <w:jc w:val="center"/>
        <w:tblLayout w:type="fixed"/>
        <w:tblCellMar>
          <w:top w:w="5" w:type="dxa"/>
          <w:left w:w="45" w:type="dxa"/>
          <w:bottom w:w="5" w:type="dxa"/>
          <w:right w:w="45" w:type="dxa"/>
        </w:tblCellMar>
        <w:tblLook w:val="04A0" w:firstRow="1" w:lastRow="0" w:firstColumn="1" w:lastColumn="0" w:noHBand="0" w:noVBand="1"/>
      </w:tblPr>
      <w:tblGrid>
        <w:gridCol w:w="3235"/>
        <w:gridCol w:w="990"/>
        <w:gridCol w:w="1890"/>
        <w:gridCol w:w="900"/>
        <w:gridCol w:w="1430"/>
      </w:tblGrid>
      <w:tr w:rsidR="00BA7B01" w14:paraId="51168A97" w14:textId="77777777" w:rsidTr="0020098E">
        <w:trPr>
          <w:cantSplit/>
          <w:trHeight w:val="192"/>
          <w:tblHeader/>
          <w:jc w:val="center"/>
        </w:trPr>
        <w:tc>
          <w:tcPr>
            <w:tcW w:w="3235" w:type="dxa"/>
          </w:tcPr>
          <w:p w14:paraId="54DEEECC" w14:textId="77777777" w:rsidR="00BA7B01" w:rsidRDefault="00000000">
            <w:pPr>
              <w:pStyle w:val="SWCTableHeader"/>
              <w:jc w:val="left"/>
            </w:pPr>
            <w:r>
              <w:t>Quantity</w:t>
            </w:r>
          </w:p>
        </w:tc>
        <w:tc>
          <w:tcPr>
            <w:tcW w:w="990" w:type="dxa"/>
          </w:tcPr>
          <w:p w14:paraId="077BD883" w14:textId="77777777" w:rsidR="00BA7B01" w:rsidRDefault="00000000">
            <w:pPr>
              <w:pStyle w:val="SWCTableHeader"/>
            </w:pPr>
            <w:proofErr w:type="spellStart"/>
            <w:r>
              <w:t>f</w:t>
            </w:r>
            <w:r>
              <w:rPr>
                <w:vertAlign w:val="subscript"/>
              </w:rPr>
              <w:t>NRB</w:t>
            </w:r>
            <w:proofErr w:type="spellEnd"/>
            <w:r>
              <w:t xml:space="preserve"> = 0.20</w:t>
            </w:r>
          </w:p>
        </w:tc>
        <w:tc>
          <w:tcPr>
            <w:tcW w:w="1890" w:type="dxa"/>
          </w:tcPr>
          <w:p w14:paraId="352DC93F" w14:textId="77777777" w:rsidR="00BA7B01" w:rsidRDefault="00000000">
            <w:pPr>
              <w:pStyle w:val="SWCTableHeader"/>
            </w:pPr>
            <w:proofErr w:type="spellStart"/>
            <w:r>
              <w:t>f</w:t>
            </w:r>
            <w:r>
              <w:rPr>
                <w:vertAlign w:val="subscript"/>
              </w:rPr>
              <w:t>NRB</w:t>
            </w:r>
            <w:proofErr w:type="spellEnd"/>
            <w:r>
              <w:t xml:space="preserve"> = 0.30 (CDM default)</w:t>
            </w:r>
          </w:p>
        </w:tc>
        <w:tc>
          <w:tcPr>
            <w:tcW w:w="900" w:type="dxa"/>
          </w:tcPr>
          <w:p w14:paraId="388E3D72" w14:textId="77777777" w:rsidR="00BA7B01" w:rsidRDefault="00000000">
            <w:pPr>
              <w:pStyle w:val="SWCTableHeader"/>
            </w:pPr>
            <w:proofErr w:type="spellStart"/>
            <w:r>
              <w:t>f</w:t>
            </w:r>
            <w:r>
              <w:rPr>
                <w:vertAlign w:val="subscript"/>
              </w:rPr>
              <w:t>NRB</w:t>
            </w:r>
            <w:proofErr w:type="spellEnd"/>
            <w:r>
              <w:t xml:space="preserve"> = 0.50</w:t>
            </w:r>
          </w:p>
        </w:tc>
        <w:tc>
          <w:tcPr>
            <w:tcW w:w="1430" w:type="dxa"/>
          </w:tcPr>
          <w:p w14:paraId="43D803CC" w14:textId="77777777" w:rsidR="00BA7B01" w:rsidRDefault="00000000">
            <w:pPr>
              <w:pStyle w:val="SWCTableHeader"/>
            </w:pPr>
            <w:proofErr w:type="spellStart"/>
            <w:r>
              <w:t>f</w:t>
            </w:r>
            <w:r>
              <w:rPr>
                <w:vertAlign w:val="subscript"/>
              </w:rPr>
              <w:t>NRB</w:t>
            </w:r>
            <w:proofErr w:type="spellEnd"/>
            <w:r>
              <w:t xml:space="preserve"> = 0.87 (legacy)</w:t>
            </w:r>
          </w:p>
        </w:tc>
      </w:tr>
      <w:tr w:rsidR="00BA7B01" w14:paraId="19A80DE2" w14:textId="77777777" w:rsidTr="0020098E">
        <w:trPr>
          <w:cantSplit/>
          <w:trHeight w:val="161"/>
          <w:jc w:val="center"/>
        </w:trPr>
        <w:tc>
          <w:tcPr>
            <w:tcW w:w="3235" w:type="dxa"/>
          </w:tcPr>
          <w:p w14:paraId="68CFA8C1" w14:textId="77777777" w:rsidR="00BA7B01" w:rsidRDefault="00000000">
            <w:pPr>
              <w:pStyle w:val="SWCTableText"/>
              <w:jc w:val="left"/>
            </w:pPr>
            <w:r>
              <w:t>Annual abatement (</w:t>
            </w:r>
            <w:proofErr w:type="spellStart"/>
            <w:r>
              <w:t>tCO₂e</w:t>
            </w:r>
            <w:proofErr w:type="spellEnd"/>
            <w:r>
              <w:t>)</w:t>
            </w:r>
          </w:p>
        </w:tc>
        <w:tc>
          <w:tcPr>
            <w:tcW w:w="990" w:type="dxa"/>
          </w:tcPr>
          <w:p w14:paraId="0189F585" w14:textId="77777777" w:rsidR="00BA7B01" w:rsidRDefault="00000000">
            <w:pPr>
              <w:pStyle w:val="SWCTableText"/>
            </w:pPr>
            <w:r>
              <w:t>12.2</w:t>
            </w:r>
          </w:p>
        </w:tc>
        <w:tc>
          <w:tcPr>
            <w:tcW w:w="1890" w:type="dxa"/>
          </w:tcPr>
          <w:p w14:paraId="249C9708" w14:textId="77777777" w:rsidR="00BA7B01" w:rsidRDefault="00000000">
            <w:pPr>
              <w:pStyle w:val="SWCTableText"/>
            </w:pPr>
            <w:r>
              <w:t>18.3</w:t>
            </w:r>
          </w:p>
        </w:tc>
        <w:tc>
          <w:tcPr>
            <w:tcW w:w="900" w:type="dxa"/>
          </w:tcPr>
          <w:p w14:paraId="265ACBBA" w14:textId="77777777" w:rsidR="00BA7B01" w:rsidRDefault="00000000">
            <w:pPr>
              <w:pStyle w:val="SWCTableText"/>
            </w:pPr>
            <w:r>
              <w:t>30.4</w:t>
            </w:r>
          </w:p>
        </w:tc>
        <w:tc>
          <w:tcPr>
            <w:tcW w:w="1430" w:type="dxa"/>
          </w:tcPr>
          <w:p w14:paraId="044657EF" w14:textId="77777777" w:rsidR="00BA7B01" w:rsidRDefault="00000000">
            <w:pPr>
              <w:pStyle w:val="SWCTableText"/>
            </w:pPr>
            <w:r>
              <w:t>53.0</w:t>
            </w:r>
          </w:p>
        </w:tc>
      </w:tr>
      <w:tr w:rsidR="00BA7B01" w14:paraId="5EFB4AF4" w14:textId="77777777" w:rsidTr="0020098E">
        <w:trPr>
          <w:cantSplit/>
          <w:trHeight w:val="129"/>
          <w:jc w:val="center"/>
        </w:trPr>
        <w:tc>
          <w:tcPr>
            <w:tcW w:w="3235" w:type="dxa"/>
          </w:tcPr>
          <w:p w14:paraId="5F294CB6" w14:textId="77777777" w:rsidR="00BA7B01" w:rsidRDefault="00000000">
            <w:pPr>
              <w:pStyle w:val="SWCTableText"/>
              <w:jc w:val="left"/>
            </w:pPr>
            <w:r>
              <w:t>Break-even carbon price, stand-alone (USD t⁻¹)</w:t>
            </w:r>
          </w:p>
        </w:tc>
        <w:tc>
          <w:tcPr>
            <w:tcW w:w="990" w:type="dxa"/>
          </w:tcPr>
          <w:p w14:paraId="4E70CDC0" w14:textId="77777777" w:rsidR="00BA7B01" w:rsidRDefault="00000000">
            <w:pPr>
              <w:pStyle w:val="SWCTableText"/>
            </w:pPr>
            <w:r>
              <w:t>288</w:t>
            </w:r>
          </w:p>
        </w:tc>
        <w:tc>
          <w:tcPr>
            <w:tcW w:w="1890" w:type="dxa"/>
          </w:tcPr>
          <w:p w14:paraId="589228FF" w14:textId="77777777" w:rsidR="00BA7B01" w:rsidRDefault="00000000">
            <w:pPr>
              <w:pStyle w:val="SWCTableText"/>
            </w:pPr>
            <w:r>
              <w:t>192</w:t>
            </w:r>
          </w:p>
        </w:tc>
        <w:tc>
          <w:tcPr>
            <w:tcW w:w="900" w:type="dxa"/>
          </w:tcPr>
          <w:p w14:paraId="7A3BAE34" w14:textId="77777777" w:rsidR="00BA7B01" w:rsidRDefault="00000000">
            <w:pPr>
              <w:pStyle w:val="SWCTableText"/>
            </w:pPr>
            <w:r>
              <w:t>115</w:t>
            </w:r>
          </w:p>
        </w:tc>
        <w:tc>
          <w:tcPr>
            <w:tcW w:w="1430" w:type="dxa"/>
          </w:tcPr>
          <w:p w14:paraId="5E96EC7C" w14:textId="77777777" w:rsidR="00BA7B01" w:rsidRDefault="00000000">
            <w:pPr>
              <w:pStyle w:val="SWCTableText"/>
            </w:pPr>
            <w:r>
              <w:t>66</w:t>
            </w:r>
          </w:p>
        </w:tc>
      </w:tr>
      <w:tr w:rsidR="00BA7B01" w14:paraId="77D5CA64" w14:textId="77777777" w:rsidTr="0020098E">
        <w:trPr>
          <w:cantSplit/>
          <w:trHeight w:val="102"/>
          <w:jc w:val="center"/>
        </w:trPr>
        <w:tc>
          <w:tcPr>
            <w:tcW w:w="3235" w:type="dxa"/>
          </w:tcPr>
          <w:p w14:paraId="697760C8" w14:textId="77777777" w:rsidR="00BA7B01" w:rsidRDefault="00000000">
            <w:pPr>
              <w:pStyle w:val="SWCTableText"/>
              <w:jc w:val="left"/>
            </w:pPr>
            <w:r>
              <w:t xml:space="preserve">Break-even carbon price, 50-unit </w:t>
            </w:r>
            <w:proofErr w:type="spellStart"/>
            <w:r>
              <w:t>PoA</w:t>
            </w:r>
            <w:proofErr w:type="spellEnd"/>
            <w:r>
              <w:t xml:space="preserve"> (USD t⁻¹)</w:t>
            </w:r>
          </w:p>
        </w:tc>
        <w:tc>
          <w:tcPr>
            <w:tcW w:w="990" w:type="dxa"/>
          </w:tcPr>
          <w:p w14:paraId="23C8D94F" w14:textId="77777777" w:rsidR="00BA7B01" w:rsidRDefault="00000000">
            <w:pPr>
              <w:pStyle w:val="SWCTableText"/>
            </w:pPr>
            <w:r>
              <w:t>23.0</w:t>
            </w:r>
          </w:p>
        </w:tc>
        <w:tc>
          <w:tcPr>
            <w:tcW w:w="1890" w:type="dxa"/>
          </w:tcPr>
          <w:p w14:paraId="6B4580D1" w14:textId="77777777" w:rsidR="00BA7B01" w:rsidRDefault="00000000">
            <w:pPr>
              <w:pStyle w:val="SWCTableText"/>
            </w:pPr>
            <w:r>
              <w:t>15.3</w:t>
            </w:r>
          </w:p>
        </w:tc>
        <w:tc>
          <w:tcPr>
            <w:tcW w:w="900" w:type="dxa"/>
          </w:tcPr>
          <w:p w14:paraId="646BB8F3" w14:textId="77777777" w:rsidR="00BA7B01" w:rsidRDefault="00000000">
            <w:pPr>
              <w:pStyle w:val="SWCTableText"/>
            </w:pPr>
            <w:r>
              <w:t>9.2</w:t>
            </w:r>
          </w:p>
        </w:tc>
        <w:tc>
          <w:tcPr>
            <w:tcW w:w="1430" w:type="dxa"/>
          </w:tcPr>
          <w:p w14:paraId="13A33931" w14:textId="77777777" w:rsidR="00BA7B01" w:rsidRDefault="00000000">
            <w:pPr>
              <w:pStyle w:val="SWCTableText"/>
            </w:pPr>
            <w:r>
              <w:t>5.3</w:t>
            </w:r>
          </w:p>
        </w:tc>
      </w:tr>
      <w:tr w:rsidR="00BA7B01" w14:paraId="7361AB66" w14:textId="77777777" w:rsidTr="0020098E">
        <w:trPr>
          <w:cantSplit/>
          <w:trHeight w:val="66"/>
          <w:jc w:val="center"/>
        </w:trPr>
        <w:tc>
          <w:tcPr>
            <w:tcW w:w="3235" w:type="dxa"/>
          </w:tcPr>
          <w:p w14:paraId="5FC24401" w14:textId="77777777" w:rsidR="00BA7B01" w:rsidRDefault="00000000">
            <w:pPr>
              <w:pStyle w:val="SWCTableText"/>
              <w:jc w:val="left"/>
            </w:pPr>
            <w:r>
              <w:t xml:space="preserve">Net </w:t>
            </w:r>
            <w:proofErr w:type="spellStart"/>
            <w:r>
              <w:t>PoA</w:t>
            </w:r>
            <w:proofErr w:type="spellEnd"/>
            <w:r>
              <w:t xml:space="preserve"> revenue at USD 12 t⁻¹ (USD yr⁻¹)</w:t>
            </w:r>
          </w:p>
        </w:tc>
        <w:tc>
          <w:tcPr>
            <w:tcW w:w="990" w:type="dxa"/>
          </w:tcPr>
          <w:p w14:paraId="3AB7C6EF" w14:textId="77777777" w:rsidR="00BA7B01" w:rsidRDefault="00000000">
            <w:pPr>
              <w:pStyle w:val="SWCTableText"/>
            </w:pPr>
            <w:r>
              <w:t>−134</w:t>
            </w:r>
          </w:p>
        </w:tc>
        <w:tc>
          <w:tcPr>
            <w:tcW w:w="1890" w:type="dxa"/>
          </w:tcPr>
          <w:p w14:paraId="3757A03B" w14:textId="77777777" w:rsidR="00BA7B01" w:rsidRDefault="00000000">
            <w:pPr>
              <w:pStyle w:val="SWCTableText"/>
            </w:pPr>
            <w:r>
              <w:t>−61</w:t>
            </w:r>
          </w:p>
        </w:tc>
        <w:tc>
          <w:tcPr>
            <w:tcW w:w="900" w:type="dxa"/>
          </w:tcPr>
          <w:p w14:paraId="37AAD65E" w14:textId="77777777" w:rsidR="00BA7B01" w:rsidRDefault="00000000">
            <w:pPr>
              <w:pStyle w:val="SWCTableText"/>
            </w:pPr>
            <w:r>
              <w:t>85</w:t>
            </w:r>
          </w:p>
        </w:tc>
        <w:tc>
          <w:tcPr>
            <w:tcW w:w="1430" w:type="dxa"/>
          </w:tcPr>
          <w:p w14:paraId="2FEEB34F" w14:textId="77777777" w:rsidR="00BA7B01" w:rsidRDefault="00000000">
            <w:pPr>
              <w:pStyle w:val="SWCTableText"/>
            </w:pPr>
            <w:r>
              <w:t>355</w:t>
            </w:r>
          </w:p>
        </w:tc>
      </w:tr>
      <w:tr w:rsidR="00BA7B01" w14:paraId="219B4F7C" w14:textId="77777777" w:rsidTr="0020098E">
        <w:trPr>
          <w:cantSplit/>
          <w:trHeight w:val="42"/>
          <w:jc w:val="center"/>
        </w:trPr>
        <w:tc>
          <w:tcPr>
            <w:tcW w:w="3235" w:type="dxa"/>
          </w:tcPr>
          <w:p w14:paraId="04F94FC2" w14:textId="77777777" w:rsidR="00BA7B01" w:rsidRDefault="00000000">
            <w:pPr>
              <w:pStyle w:val="SWCTableText"/>
              <w:jc w:val="left"/>
            </w:pPr>
            <w:r>
              <w:t xml:space="preserve">Net </w:t>
            </w:r>
            <w:proofErr w:type="spellStart"/>
            <w:r>
              <w:t>PoA</w:t>
            </w:r>
            <w:proofErr w:type="spellEnd"/>
            <w:r>
              <w:t xml:space="preserve"> revenue at USD 25 t⁻¹ (USD yr⁻¹)</w:t>
            </w:r>
          </w:p>
        </w:tc>
        <w:tc>
          <w:tcPr>
            <w:tcW w:w="990" w:type="dxa"/>
          </w:tcPr>
          <w:p w14:paraId="6B7587F0" w14:textId="77777777" w:rsidR="00BA7B01" w:rsidRDefault="00000000">
            <w:pPr>
              <w:pStyle w:val="SWCTableText"/>
            </w:pPr>
            <w:r>
              <w:t>24</w:t>
            </w:r>
          </w:p>
        </w:tc>
        <w:tc>
          <w:tcPr>
            <w:tcW w:w="1890" w:type="dxa"/>
          </w:tcPr>
          <w:p w14:paraId="16ECE073" w14:textId="77777777" w:rsidR="00BA7B01" w:rsidRDefault="00000000">
            <w:pPr>
              <w:pStyle w:val="SWCTableText"/>
            </w:pPr>
            <w:r>
              <w:t>177</w:t>
            </w:r>
          </w:p>
        </w:tc>
        <w:tc>
          <w:tcPr>
            <w:tcW w:w="900" w:type="dxa"/>
          </w:tcPr>
          <w:p w14:paraId="186B62BD" w14:textId="77777777" w:rsidR="00BA7B01" w:rsidRDefault="00000000">
            <w:pPr>
              <w:pStyle w:val="SWCTableText"/>
            </w:pPr>
            <w:r>
              <w:t>481</w:t>
            </w:r>
          </w:p>
        </w:tc>
        <w:tc>
          <w:tcPr>
            <w:tcW w:w="1430" w:type="dxa"/>
          </w:tcPr>
          <w:p w14:paraId="6AB7A0A8" w14:textId="77777777" w:rsidR="00BA7B01" w:rsidRDefault="00000000">
            <w:pPr>
              <w:pStyle w:val="SWCTableText"/>
            </w:pPr>
            <w:r>
              <w:t>1044</w:t>
            </w:r>
          </w:p>
        </w:tc>
      </w:tr>
    </w:tbl>
    <w:p w14:paraId="1F5B3015" w14:textId="77777777" w:rsidR="00CF7A56" w:rsidRPr="00CE3F4C" w:rsidRDefault="00CF7A56" w:rsidP="0029316B">
      <w:pPr>
        <w:keepNext/>
        <w:spacing w:before="160" w:after="60"/>
        <w:jc w:val="center"/>
        <w:rPr>
          <w:highlight w:val="yellow"/>
        </w:rPr>
      </w:pPr>
      <w:r w:rsidRPr="00CE3F4C">
        <w:rPr>
          <w:noProof/>
          <w:highlight w:val="yellow"/>
        </w:rPr>
        <w:drawing>
          <wp:inline distT="0" distB="0" distL="0" distR="0" wp14:anchorId="0BB81AFC" wp14:editId="7C4D83B3">
            <wp:extent cx="5181600" cy="20313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4_emissions.png"/>
                    <pic:cNvPicPr/>
                  </pic:nvPicPr>
                  <pic:blipFill rotWithShape="1">
                    <a:blip r:embed="rId23"/>
                    <a:srcRect r="1002"/>
                    <a:stretch>
                      <a:fillRect/>
                    </a:stretch>
                  </pic:blipFill>
                  <pic:spPr bwMode="auto">
                    <a:xfrm>
                      <a:off x="0" y="0"/>
                      <a:ext cx="5299210" cy="2077472"/>
                    </a:xfrm>
                    <a:prstGeom prst="rect">
                      <a:avLst/>
                    </a:prstGeom>
                    <a:ln>
                      <a:noFill/>
                    </a:ln>
                    <a:extLst>
                      <a:ext uri="{53640926-AAD7-44D8-BBD7-CCE9431645EC}">
                        <a14:shadowObscured xmlns:a14="http://schemas.microsoft.com/office/drawing/2010/main"/>
                      </a:ext>
                    </a:extLst>
                  </pic:spPr>
                </pic:pic>
              </a:graphicData>
            </a:graphic>
          </wp:inline>
        </w:drawing>
      </w:r>
    </w:p>
    <w:p w14:paraId="6D00BA4B" w14:textId="05059F95" w:rsidR="00CF7A56" w:rsidRPr="00A709AA" w:rsidRDefault="00CF7A56" w:rsidP="00A709AA">
      <w:pPr>
        <w:spacing w:after="200"/>
        <w:ind w:right="360"/>
        <w:rPr>
          <w:b/>
          <w:bCs/>
          <w:sz w:val="16"/>
          <w:szCs w:val="16"/>
          <w:highlight w:val="yellow"/>
        </w:rPr>
      </w:pPr>
      <w:r w:rsidRPr="0020098E">
        <w:rPr>
          <w:b/>
          <w:bCs/>
          <w:sz w:val="16"/>
          <w:szCs w:val="16"/>
        </w:rPr>
        <w:t>Fig. 1</w:t>
      </w:r>
      <w:r w:rsidR="00B945A0">
        <w:rPr>
          <w:b/>
          <w:bCs/>
          <w:sz w:val="16"/>
          <w:szCs w:val="16"/>
        </w:rPr>
        <w:t>2</w:t>
      </w:r>
      <w:r w:rsidRPr="0020098E">
        <w:rPr>
          <w:b/>
          <w:bCs/>
          <w:sz w:val="16"/>
          <w:szCs w:val="16"/>
        </w:rPr>
        <w:t>.  Environmental results: (a) emission intensity per ton of fired ware; (b) annual abatement as a function of the fraction of non-renewable biomass; (c) net carbon revenue against carbon price for stand-alone aggregated crediting.</w:t>
      </w:r>
    </w:p>
    <w:p w14:paraId="59BABFA3" w14:textId="79432AAC" w:rsidR="00FA1B7A" w:rsidRDefault="003E2ABC" w:rsidP="00A709AA">
      <w:pPr>
        <w:pStyle w:val="SWCText"/>
      </w:pPr>
      <w:r>
        <w:t xml:space="preserve">Table 8 </w:t>
      </w:r>
      <w:r w:rsidR="00D714C0">
        <w:t>explicitly shows the position of carbon finance</w:t>
      </w:r>
      <w:r>
        <w:t xml:space="preserve">. For a standalone activity incurring approximately USD 3,500 annually for monitoring, reporting, and verification, the break-even carbon price at the default </w:t>
      </w:r>
      <w:proofErr w:type="spellStart"/>
      <w:r>
        <w:t>fNRB</w:t>
      </w:r>
      <w:proofErr w:type="spellEnd"/>
      <w:r>
        <w:t xml:space="preserve"> is USD 192 per ton, an order of magnitude above any observable market rate. When aggregating fifty kilns, the USD 14,000 monitoring cost is distributed across the fleet, thereby reducing the break-even price to USD 15.3 per ton. Under </w:t>
      </w:r>
      <w:r w:rsidR="00D714C0">
        <w:t xml:space="preserve">aggregation, the </w:t>
      </w:r>
      <w:proofErr w:type="spellStart"/>
      <w:r w:rsidR="00D714C0">
        <w:t>fNRB</w:t>
      </w:r>
      <w:proofErr w:type="spellEnd"/>
      <w:r w:rsidR="00D714C0">
        <w:t xml:space="preserve"> also makes carbon revenue significant at USD 1,044 per kiln annually, or</w:t>
      </w:r>
      <w:r>
        <w:t xml:space="preserve"> USD 25 per ton. The study </w:t>
      </w:r>
      <w:proofErr w:type="spellStart"/>
      <w:r w:rsidR="00D714C0">
        <w:t>emphasises</w:t>
      </w:r>
      <w:proofErr w:type="spellEnd"/>
      <w:r>
        <w:t xml:space="preserve"> the importance of the baseline breakage rate, ware price, annual firings from firewood, and discount rate. The carbon price and </w:t>
      </w:r>
      <w:proofErr w:type="spellStart"/>
      <w:r>
        <w:t>fNRB</w:t>
      </w:r>
      <w:proofErr w:type="spellEnd"/>
      <w:r>
        <w:t xml:space="preserve"> exert minimal influence on the net present value, shifting it by less than USD 3,000 across different ranges. The probability of </w:t>
      </w:r>
      <w:proofErr w:type="spellStart"/>
      <w:r w:rsidR="00D714C0">
        <w:t>realising</w:t>
      </w:r>
      <w:proofErr w:type="spellEnd"/>
      <w:r>
        <w:t xml:space="preserve"> a positive net present value is 89.1%, and the likelihood of surpassing a 12% hurdle stands at 92.6%. The median internal </w:t>
      </w:r>
      <w:r>
        <w:lastRenderedPageBreak/>
        <w:t xml:space="preserve">rate of return (IRR) is 21.0%, with a payback period of 4.4 years. Six cumulative scenario analyses, presented in Table 9 at an aggregation level of </w:t>
      </w:r>
      <w:proofErr w:type="spellStart"/>
      <w:r>
        <w:t>fNRB</w:t>
      </w:r>
      <w:proofErr w:type="spellEnd"/>
      <w:r>
        <w:t xml:space="preserve"> and USD 25 per ton, elevate the net present value to USD 22,445. An 18% reduction in capital costs at the tenth unit yields comparable results. An analysis from scenario S2 indicates an IRR of 23.8% and a payback period of 3.94 years, accompanied by a low levelized cost of hydrogen (LCOH) of USD GJ⁻¹ 175.</w:t>
      </w:r>
    </w:p>
    <w:p w14:paraId="1538D426" w14:textId="77777777" w:rsidR="00907DF9" w:rsidRDefault="00907DF9" w:rsidP="00CC2682">
      <w:pPr>
        <w:pStyle w:val="SWCTableFigureCaption"/>
        <w:keepNext/>
        <w:ind w:left="0"/>
      </w:pPr>
    </w:p>
    <w:p w14:paraId="7F58D7BC" w14:textId="3C2C940F" w:rsidR="00BA7B01" w:rsidRDefault="00000000" w:rsidP="00CC2682">
      <w:pPr>
        <w:pStyle w:val="SWCTableFigureCaption"/>
        <w:keepNext/>
        <w:ind w:left="0"/>
      </w:pPr>
      <w:r>
        <w:t>Tab. 9: Scenario matrix.</w:t>
      </w:r>
    </w:p>
    <w:tbl>
      <w:tblPr>
        <w:tblStyle w:val="TableGrid"/>
        <w:tblW w:w="8765" w:type="dxa"/>
        <w:jc w:val="center"/>
        <w:tblLayout w:type="fixed"/>
        <w:tblCellMar>
          <w:top w:w="5" w:type="dxa"/>
          <w:left w:w="45" w:type="dxa"/>
          <w:bottom w:w="5" w:type="dxa"/>
          <w:right w:w="45" w:type="dxa"/>
        </w:tblCellMar>
        <w:tblLook w:val="04A0" w:firstRow="1" w:lastRow="0" w:firstColumn="1" w:lastColumn="0" w:noHBand="0" w:noVBand="1"/>
      </w:tblPr>
      <w:tblGrid>
        <w:gridCol w:w="2629"/>
        <w:gridCol w:w="1139"/>
        <w:gridCol w:w="1052"/>
        <w:gridCol w:w="789"/>
        <w:gridCol w:w="1052"/>
        <w:gridCol w:w="1052"/>
        <w:gridCol w:w="1052"/>
      </w:tblGrid>
      <w:tr w:rsidR="00BA7B01" w14:paraId="125DCA9B" w14:textId="77777777" w:rsidTr="00A45E64">
        <w:trPr>
          <w:cantSplit/>
          <w:tblHeader/>
          <w:jc w:val="center"/>
        </w:trPr>
        <w:tc>
          <w:tcPr>
            <w:tcW w:w="2629" w:type="dxa"/>
          </w:tcPr>
          <w:p w14:paraId="0E594B06" w14:textId="77777777" w:rsidR="00BA7B01" w:rsidRDefault="00000000">
            <w:pPr>
              <w:pStyle w:val="SWCTableHeader"/>
              <w:jc w:val="left"/>
            </w:pPr>
            <w:r>
              <w:t>Scenario</w:t>
            </w:r>
          </w:p>
        </w:tc>
        <w:tc>
          <w:tcPr>
            <w:tcW w:w="1139" w:type="dxa"/>
          </w:tcPr>
          <w:p w14:paraId="129FE53F" w14:textId="77777777" w:rsidR="00BA7B01" w:rsidRDefault="00000000">
            <w:pPr>
              <w:pStyle w:val="SWCTableHeader"/>
            </w:pPr>
            <w:r>
              <w:t>CAPEX (USD)</w:t>
            </w:r>
          </w:p>
        </w:tc>
        <w:tc>
          <w:tcPr>
            <w:tcW w:w="1052" w:type="dxa"/>
          </w:tcPr>
          <w:p w14:paraId="1B2A60FB" w14:textId="77777777" w:rsidR="00BA7B01" w:rsidRDefault="00000000">
            <w:pPr>
              <w:pStyle w:val="SWCTableHeader"/>
            </w:pPr>
            <w:r>
              <w:t>NPV (USD)</w:t>
            </w:r>
          </w:p>
        </w:tc>
        <w:tc>
          <w:tcPr>
            <w:tcW w:w="789" w:type="dxa"/>
          </w:tcPr>
          <w:p w14:paraId="43D72E69" w14:textId="77777777" w:rsidR="00BA7B01" w:rsidRDefault="00000000">
            <w:pPr>
              <w:pStyle w:val="SWCTableHeader"/>
            </w:pPr>
            <w:r>
              <w:t>IRR (%)</w:t>
            </w:r>
          </w:p>
        </w:tc>
        <w:tc>
          <w:tcPr>
            <w:tcW w:w="1052" w:type="dxa"/>
          </w:tcPr>
          <w:p w14:paraId="311C58F3" w14:textId="77777777" w:rsidR="00BA7B01" w:rsidRDefault="00000000">
            <w:pPr>
              <w:pStyle w:val="SWCTableHeader"/>
            </w:pPr>
            <w:r>
              <w:t>Payback (yr)</w:t>
            </w:r>
          </w:p>
        </w:tc>
        <w:tc>
          <w:tcPr>
            <w:tcW w:w="1052" w:type="dxa"/>
          </w:tcPr>
          <w:p w14:paraId="278D1DD9" w14:textId="77777777" w:rsidR="00BA7B01" w:rsidRDefault="00000000">
            <w:pPr>
              <w:pStyle w:val="SWCTableHeader"/>
            </w:pPr>
            <w:r>
              <w:t>LCOH (USD GJ⁻¹)</w:t>
            </w:r>
          </w:p>
        </w:tc>
        <w:tc>
          <w:tcPr>
            <w:tcW w:w="1052" w:type="dxa"/>
          </w:tcPr>
          <w:p w14:paraId="6BBED0D1" w14:textId="77777777" w:rsidR="00BA7B01" w:rsidRDefault="00000000">
            <w:pPr>
              <w:pStyle w:val="SWCTableHeader"/>
            </w:pPr>
            <w:r>
              <w:t>Abatement (</w:t>
            </w:r>
            <w:proofErr w:type="spellStart"/>
            <w:r>
              <w:t>tCO₂e</w:t>
            </w:r>
            <w:proofErr w:type="spellEnd"/>
            <w:r>
              <w:t xml:space="preserve"> yr⁻¹)</w:t>
            </w:r>
          </w:p>
        </w:tc>
      </w:tr>
      <w:tr w:rsidR="00BA7B01" w14:paraId="3778A395" w14:textId="77777777" w:rsidTr="00A45E64">
        <w:trPr>
          <w:cantSplit/>
          <w:jc w:val="center"/>
        </w:trPr>
        <w:tc>
          <w:tcPr>
            <w:tcW w:w="2629" w:type="dxa"/>
          </w:tcPr>
          <w:p w14:paraId="33324658" w14:textId="77777777" w:rsidR="00BA7B01" w:rsidRDefault="00000000">
            <w:pPr>
              <w:pStyle w:val="SWCTableText"/>
              <w:jc w:val="left"/>
            </w:pPr>
            <w:r>
              <w:t xml:space="preserve">S1 Base (stand-alone, </w:t>
            </w:r>
            <w:proofErr w:type="spellStart"/>
            <w:r>
              <w:t>f</w:t>
            </w:r>
            <w:r>
              <w:rPr>
                <w:vertAlign w:val="subscript"/>
              </w:rPr>
              <w:t>NRB</w:t>
            </w:r>
            <w:proofErr w:type="spellEnd"/>
            <w:r>
              <w:t xml:space="preserve"> 0.30, USD 12 t⁻¹)</w:t>
            </w:r>
          </w:p>
        </w:tc>
        <w:tc>
          <w:tcPr>
            <w:tcW w:w="1139" w:type="dxa"/>
          </w:tcPr>
          <w:p w14:paraId="2AC173FD" w14:textId="1DA1BF2F" w:rsidR="00BA7B01" w:rsidRDefault="00AF723E">
            <w:pPr>
              <w:pStyle w:val="SWCTableText"/>
            </w:pPr>
            <w:r w:rsidRPr="00AF723E">
              <w:rPr>
                <w:lang w:val="de-DE"/>
              </w:rPr>
              <w:t>3</w:t>
            </w:r>
            <w:r w:rsidR="001A73A2">
              <w:rPr>
                <w:lang w:val="de-DE"/>
              </w:rPr>
              <w:t>5</w:t>
            </w:r>
            <w:r w:rsidRPr="00AF723E">
              <w:rPr>
                <w:lang w:val="de-DE"/>
              </w:rPr>
              <w:t>,</w:t>
            </w:r>
            <w:r w:rsidR="001A73A2">
              <w:rPr>
                <w:lang w:val="de-DE"/>
              </w:rPr>
              <w:t>575</w:t>
            </w:r>
          </w:p>
        </w:tc>
        <w:tc>
          <w:tcPr>
            <w:tcW w:w="1052" w:type="dxa"/>
          </w:tcPr>
          <w:p w14:paraId="5A8B7877" w14:textId="77777777" w:rsidR="00BA7B01" w:rsidRDefault="00000000">
            <w:pPr>
              <w:pStyle w:val="SWCTableText"/>
            </w:pPr>
            <w:r>
              <w:t>15,543</w:t>
            </w:r>
          </w:p>
        </w:tc>
        <w:tc>
          <w:tcPr>
            <w:tcW w:w="789" w:type="dxa"/>
          </w:tcPr>
          <w:p w14:paraId="339958FA" w14:textId="77777777" w:rsidR="00BA7B01" w:rsidRDefault="00000000">
            <w:pPr>
              <w:pStyle w:val="SWCTableText"/>
            </w:pPr>
            <w:r>
              <w:t>20.3</w:t>
            </w:r>
          </w:p>
        </w:tc>
        <w:tc>
          <w:tcPr>
            <w:tcW w:w="1052" w:type="dxa"/>
          </w:tcPr>
          <w:p w14:paraId="1CF7504E" w14:textId="77777777" w:rsidR="00BA7B01" w:rsidRDefault="00000000">
            <w:pPr>
              <w:pStyle w:val="SWCTableText"/>
            </w:pPr>
            <w:r>
              <w:t>4.49</w:t>
            </w:r>
          </w:p>
        </w:tc>
        <w:tc>
          <w:tcPr>
            <w:tcW w:w="1052" w:type="dxa"/>
          </w:tcPr>
          <w:p w14:paraId="56D07FE0" w14:textId="77777777" w:rsidR="00BA7B01" w:rsidRDefault="00000000">
            <w:pPr>
              <w:pStyle w:val="SWCTableText"/>
            </w:pPr>
            <w:r>
              <w:t>175</w:t>
            </w:r>
          </w:p>
        </w:tc>
        <w:tc>
          <w:tcPr>
            <w:tcW w:w="1052" w:type="dxa"/>
          </w:tcPr>
          <w:p w14:paraId="17C68F6A" w14:textId="77777777" w:rsidR="00BA7B01" w:rsidRDefault="00000000">
            <w:pPr>
              <w:pStyle w:val="SWCTableText"/>
            </w:pPr>
            <w:r>
              <w:t>18.3</w:t>
            </w:r>
          </w:p>
        </w:tc>
      </w:tr>
      <w:tr w:rsidR="00BA7B01" w14:paraId="777D0C81" w14:textId="77777777" w:rsidTr="003C32C3">
        <w:trPr>
          <w:cantSplit/>
          <w:jc w:val="center"/>
        </w:trPr>
        <w:tc>
          <w:tcPr>
            <w:tcW w:w="2629" w:type="dxa"/>
            <w:shd w:val="clear" w:color="auto" w:fill="EAF1DD" w:themeFill="accent3" w:themeFillTint="33"/>
          </w:tcPr>
          <w:p w14:paraId="2A286F4F" w14:textId="77777777" w:rsidR="00BA7B01" w:rsidRDefault="00000000">
            <w:pPr>
              <w:pStyle w:val="SWCTableText"/>
              <w:jc w:val="left"/>
            </w:pPr>
            <w:r>
              <w:t xml:space="preserve">S2 </w:t>
            </w:r>
            <w:proofErr w:type="spellStart"/>
            <w:r>
              <w:t>PoA</w:t>
            </w:r>
            <w:proofErr w:type="spellEnd"/>
            <w:r>
              <w:t xml:space="preserve"> aggregation (</w:t>
            </w:r>
            <w:proofErr w:type="spellStart"/>
            <w:r>
              <w:t>f</w:t>
            </w:r>
            <w:r>
              <w:rPr>
                <w:vertAlign w:val="subscript"/>
              </w:rPr>
              <w:t>NRB</w:t>
            </w:r>
            <w:proofErr w:type="spellEnd"/>
            <w:r>
              <w:t xml:space="preserve"> 0.87, USD 25 t⁻¹)</w:t>
            </w:r>
          </w:p>
        </w:tc>
        <w:tc>
          <w:tcPr>
            <w:tcW w:w="1139" w:type="dxa"/>
            <w:shd w:val="clear" w:color="auto" w:fill="EAF1DD" w:themeFill="accent3" w:themeFillTint="33"/>
          </w:tcPr>
          <w:p w14:paraId="6C42FDEB" w14:textId="23ABA1B0" w:rsidR="00BA7B01" w:rsidRDefault="00AF723E">
            <w:pPr>
              <w:pStyle w:val="SWCTableText"/>
            </w:pPr>
            <w:r w:rsidRPr="00AF723E">
              <w:rPr>
                <w:lang w:val="de-DE"/>
              </w:rPr>
              <w:t>3</w:t>
            </w:r>
            <w:r w:rsidR="001A73A2">
              <w:rPr>
                <w:lang w:val="de-DE"/>
              </w:rPr>
              <w:t>5</w:t>
            </w:r>
            <w:r w:rsidRPr="00AF723E">
              <w:rPr>
                <w:lang w:val="de-DE"/>
              </w:rPr>
              <w:t>,</w:t>
            </w:r>
            <w:r w:rsidR="001A73A2">
              <w:rPr>
                <w:lang w:val="de-DE"/>
              </w:rPr>
              <w:t>575</w:t>
            </w:r>
            <w:r>
              <w:rPr>
                <w:lang w:val="de-DE"/>
              </w:rPr>
              <w:t xml:space="preserve"> </w:t>
            </w:r>
          </w:p>
        </w:tc>
        <w:tc>
          <w:tcPr>
            <w:tcW w:w="1052" w:type="dxa"/>
            <w:shd w:val="clear" w:color="auto" w:fill="EAF1DD" w:themeFill="accent3" w:themeFillTint="33"/>
          </w:tcPr>
          <w:p w14:paraId="61140081" w14:textId="77777777" w:rsidR="00BA7B01" w:rsidRDefault="00000000">
            <w:pPr>
              <w:pStyle w:val="SWCTableText"/>
            </w:pPr>
            <w:r>
              <w:t>22,445</w:t>
            </w:r>
          </w:p>
        </w:tc>
        <w:tc>
          <w:tcPr>
            <w:tcW w:w="789" w:type="dxa"/>
            <w:shd w:val="clear" w:color="auto" w:fill="EAF1DD" w:themeFill="accent3" w:themeFillTint="33"/>
          </w:tcPr>
          <w:p w14:paraId="57643080" w14:textId="77777777" w:rsidR="00BA7B01" w:rsidRDefault="00000000">
            <w:pPr>
              <w:pStyle w:val="SWCTableText"/>
            </w:pPr>
            <w:r>
              <w:t>23.8</w:t>
            </w:r>
          </w:p>
        </w:tc>
        <w:tc>
          <w:tcPr>
            <w:tcW w:w="1052" w:type="dxa"/>
            <w:shd w:val="clear" w:color="auto" w:fill="EAF1DD" w:themeFill="accent3" w:themeFillTint="33"/>
          </w:tcPr>
          <w:p w14:paraId="39A57DF6" w14:textId="77777777" w:rsidR="00BA7B01" w:rsidRDefault="00000000">
            <w:pPr>
              <w:pStyle w:val="SWCTableText"/>
            </w:pPr>
            <w:r>
              <w:t>3.94</w:t>
            </w:r>
          </w:p>
        </w:tc>
        <w:tc>
          <w:tcPr>
            <w:tcW w:w="1052" w:type="dxa"/>
            <w:shd w:val="clear" w:color="auto" w:fill="EAF1DD" w:themeFill="accent3" w:themeFillTint="33"/>
          </w:tcPr>
          <w:p w14:paraId="1CDE0995" w14:textId="77777777" w:rsidR="00BA7B01" w:rsidRDefault="00000000">
            <w:pPr>
              <w:pStyle w:val="SWCTableText"/>
            </w:pPr>
            <w:r>
              <w:t>175</w:t>
            </w:r>
          </w:p>
        </w:tc>
        <w:tc>
          <w:tcPr>
            <w:tcW w:w="1052" w:type="dxa"/>
            <w:shd w:val="clear" w:color="auto" w:fill="EAF1DD" w:themeFill="accent3" w:themeFillTint="33"/>
          </w:tcPr>
          <w:p w14:paraId="0D2249FC" w14:textId="77777777" w:rsidR="00BA7B01" w:rsidRDefault="00000000">
            <w:pPr>
              <w:pStyle w:val="SWCTableText"/>
            </w:pPr>
            <w:r>
              <w:t>53.0</w:t>
            </w:r>
          </w:p>
        </w:tc>
      </w:tr>
      <w:tr w:rsidR="00BA7B01" w14:paraId="465F502E" w14:textId="77777777" w:rsidTr="00A45E64">
        <w:trPr>
          <w:cantSplit/>
          <w:jc w:val="center"/>
        </w:trPr>
        <w:tc>
          <w:tcPr>
            <w:tcW w:w="2629" w:type="dxa"/>
          </w:tcPr>
          <w:p w14:paraId="1355A767" w14:textId="77777777" w:rsidR="00BA7B01" w:rsidRDefault="00000000">
            <w:pPr>
              <w:pStyle w:val="SWCTableText"/>
              <w:jc w:val="left"/>
            </w:pPr>
            <w:r>
              <w:t>S3 Tenth unit (learning, CAPEX −18 %)</w:t>
            </w:r>
          </w:p>
        </w:tc>
        <w:tc>
          <w:tcPr>
            <w:tcW w:w="1139" w:type="dxa"/>
          </w:tcPr>
          <w:p w14:paraId="5803DBAE" w14:textId="4857A61A" w:rsidR="00BA7B01" w:rsidRDefault="001A73A2">
            <w:pPr>
              <w:pStyle w:val="SWCTableText"/>
            </w:pPr>
            <w:r>
              <w:t>30,400</w:t>
            </w:r>
          </w:p>
        </w:tc>
        <w:tc>
          <w:tcPr>
            <w:tcW w:w="1052" w:type="dxa"/>
          </w:tcPr>
          <w:p w14:paraId="270F8412" w14:textId="77777777" w:rsidR="00BA7B01" w:rsidRDefault="00000000">
            <w:pPr>
              <w:pStyle w:val="SWCTableText"/>
            </w:pPr>
            <w:r>
              <w:t>22,377</w:t>
            </w:r>
          </w:p>
        </w:tc>
        <w:tc>
          <w:tcPr>
            <w:tcW w:w="789" w:type="dxa"/>
          </w:tcPr>
          <w:p w14:paraId="194A628F" w14:textId="77777777" w:rsidR="00BA7B01" w:rsidRDefault="00000000">
            <w:pPr>
              <w:pStyle w:val="SWCTableText"/>
            </w:pPr>
            <w:r>
              <w:t>26.1</w:t>
            </w:r>
          </w:p>
        </w:tc>
        <w:tc>
          <w:tcPr>
            <w:tcW w:w="1052" w:type="dxa"/>
          </w:tcPr>
          <w:p w14:paraId="55B3CE61" w14:textId="77777777" w:rsidR="00BA7B01" w:rsidRDefault="00000000">
            <w:pPr>
              <w:pStyle w:val="SWCTableText"/>
            </w:pPr>
            <w:r>
              <w:t>3.62</w:t>
            </w:r>
          </w:p>
        </w:tc>
        <w:tc>
          <w:tcPr>
            <w:tcW w:w="1052" w:type="dxa"/>
          </w:tcPr>
          <w:p w14:paraId="6E01558C" w14:textId="77777777" w:rsidR="00BA7B01" w:rsidRDefault="00000000">
            <w:pPr>
              <w:pStyle w:val="SWCTableText"/>
            </w:pPr>
            <w:r>
              <w:t>146</w:t>
            </w:r>
          </w:p>
        </w:tc>
        <w:tc>
          <w:tcPr>
            <w:tcW w:w="1052" w:type="dxa"/>
          </w:tcPr>
          <w:p w14:paraId="443BD4CB" w14:textId="77777777" w:rsidR="00BA7B01" w:rsidRDefault="00000000">
            <w:pPr>
              <w:pStyle w:val="SWCTableText"/>
            </w:pPr>
            <w:r>
              <w:t>18.3</w:t>
            </w:r>
          </w:p>
        </w:tc>
      </w:tr>
      <w:tr w:rsidR="00BA7B01" w14:paraId="3875A9EA" w14:textId="77777777" w:rsidTr="003C32C3">
        <w:trPr>
          <w:cantSplit/>
          <w:jc w:val="center"/>
        </w:trPr>
        <w:tc>
          <w:tcPr>
            <w:tcW w:w="2629" w:type="dxa"/>
          </w:tcPr>
          <w:p w14:paraId="5193C5C8" w14:textId="77777777" w:rsidR="00BA7B01" w:rsidRDefault="00000000">
            <w:pPr>
              <w:pStyle w:val="SWCTableText"/>
              <w:jc w:val="left"/>
            </w:pPr>
            <w:r>
              <w:t>S4 S2 + S3 combined</w:t>
            </w:r>
          </w:p>
        </w:tc>
        <w:tc>
          <w:tcPr>
            <w:tcW w:w="1139" w:type="dxa"/>
          </w:tcPr>
          <w:p w14:paraId="2D177807" w14:textId="12FC3DE6" w:rsidR="00BA7B01" w:rsidRDefault="001A73A2">
            <w:pPr>
              <w:pStyle w:val="SWCTableText"/>
            </w:pPr>
            <w:r>
              <w:t>30,400</w:t>
            </w:r>
          </w:p>
        </w:tc>
        <w:tc>
          <w:tcPr>
            <w:tcW w:w="1052" w:type="dxa"/>
          </w:tcPr>
          <w:p w14:paraId="78646D5F" w14:textId="77777777" w:rsidR="00BA7B01" w:rsidRDefault="00000000">
            <w:pPr>
              <w:pStyle w:val="SWCTableText"/>
            </w:pPr>
            <w:r>
              <w:t>29,279</w:t>
            </w:r>
          </w:p>
        </w:tc>
        <w:tc>
          <w:tcPr>
            <w:tcW w:w="789" w:type="dxa"/>
          </w:tcPr>
          <w:p w14:paraId="3FC4C4A1" w14:textId="77777777" w:rsidR="00BA7B01" w:rsidRDefault="00000000">
            <w:pPr>
              <w:pStyle w:val="SWCTableText"/>
            </w:pPr>
            <w:r>
              <w:t>30.2</w:t>
            </w:r>
          </w:p>
        </w:tc>
        <w:tc>
          <w:tcPr>
            <w:tcW w:w="1052" w:type="dxa"/>
          </w:tcPr>
          <w:p w14:paraId="7AB83CB6" w14:textId="77777777" w:rsidR="00BA7B01" w:rsidRDefault="00000000">
            <w:pPr>
              <w:pStyle w:val="SWCTableText"/>
            </w:pPr>
            <w:r>
              <w:t>3.18</w:t>
            </w:r>
          </w:p>
        </w:tc>
        <w:tc>
          <w:tcPr>
            <w:tcW w:w="1052" w:type="dxa"/>
          </w:tcPr>
          <w:p w14:paraId="08FE055C" w14:textId="77777777" w:rsidR="00BA7B01" w:rsidRDefault="00000000">
            <w:pPr>
              <w:pStyle w:val="SWCTableText"/>
            </w:pPr>
            <w:r>
              <w:t>146</w:t>
            </w:r>
          </w:p>
        </w:tc>
        <w:tc>
          <w:tcPr>
            <w:tcW w:w="1052" w:type="dxa"/>
          </w:tcPr>
          <w:p w14:paraId="14205BFD" w14:textId="77777777" w:rsidR="00BA7B01" w:rsidRDefault="00000000">
            <w:pPr>
              <w:pStyle w:val="SWCTableText"/>
            </w:pPr>
            <w:r>
              <w:t>53.0</w:t>
            </w:r>
          </w:p>
        </w:tc>
      </w:tr>
      <w:tr w:rsidR="00BA7B01" w14:paraId="00F1175D" w14:textId="77777777" w:rsidTr="00A45E64">
        <w:trPr>
          <w:cantSplit/>
          <w:jc w:val="center"/>
        </w:trPr>
        <w:tc>
          <w:tcPr>
            <w:tcW w:w="2629" w:type="dxa"/>
          </w:tcPr>
          <w:p w14:paraId="150447E8" w14:textId="77777777" w:rsidR="00BA7B01" w:rsidRDefault="00000000">
            <w:pPr>
              <w:pStyle w:val="SWCTableText"/>
              <w:jc w:val="left"/>
            </w:pPr>
            <w:r>
              <w:t>S5 Conservative (low wood price, low yield gain)</w:t>
            </w:r>
          </w:p>
        </w:tc>
        <w:tc>
          <w:tcPr>
            <w:tcW w:w="1139" w:type="dxa"/>
          </w:tcPr>
          <w:p w14:paraId="60475736" w14:textId="77777777" w:rsidR="00BA7B01" w:rsidRDefault="00000000">
            <w:pPr>
              <w:pStyle w:val="SWCTableText"/>
            </w:pPr>
            <w:r>
              <w:t>33,415</w:t>
            </w:r>
          </w:p>
        </w:tc>
        <w:tc>
          <w:tcPr>
            <w:tcW w:w="1052" w:type="dxa"/>
          </w:tcPr>
          <w:p w14:paraId="2BE99AD8" w14:textId="77777777" w:rsidR="00BA7B01" w:rsidRDefault="00000000">
            <w:pPr>
              <w:pStyle w:val="SWCTableText"/>
            </w:pPr>
            <w:r>
              <w:t>−17,231</w:t>
            </w:r>
          </w:p>
        </w:tc>
        <w:tc>
          <w:tcPr>
            <w:tcW w:w="789" w:type="dxa"/>
          </w:tcPr>
          <w:p w14:paraId="3BE61D59" w14:textId="77777777" w:rsidR="00BA7B01" w:rsidRDefault="00000000">
            <w:pPr>
              <w:pStyle w:val="SWCTableText"/>
            </w:pPr>
            <w:r>
              <w:t>0.6</w:t>
            </w:r>
          </w:p>
        </w:tc>
        <w:tc>
          <w:tcPr>
            <w:tcW w:w="1052" w:type="dxa"/>
          </w:tcPr>
          <w:p w14:paraId="0600A0C0" w14:textId="77777777" w:rsidR="00BA7B01" w:rsidRDefault="00000000">
            <w:pPr>
              <w:pStyle w:val="SWCTableText"/>
            </w:pPr>
            <w:r>
              <w:t>13.44</w:t>
            </w:r>
          </w:p>
        </w:tc>
        <w:tc>
          <w:tcPr>
            <w:tcW w:w="1052" w:type="dxa"/>
          </w:tcPr>
          <w:p w14:paraId="612388D1" w14:textId="77777777" w:rsidR="00BA7B01" w:rsidRDefault="00000000">
            <w:pPr>
              <w:pStyle w:val="SWCTableText"/>
            </w:pPr>
            <w:r>
              <w:t>225</w:t>
            </w:r>
          </w:p>
        </w:tc>
        <w:tc>
          <w:tcPr>
            <w:tcW w:w="1052" w:type="dxa"/>
          </w:tcPr>
          <w:p w14:paraId="2B449411" w14:textId="77777777" w:rsidR="00BA7B01" w:rsidRDefault="00000000">
            <w:pPr>
              <w:pStyle w:val="SWCTableText"/>
            </w:pPr>
            <w:r>
              <w:t>14.2</w:t>
            </w:r>
          </w:p>
        </w:tc>
      </w:tr>
      <w:tr w:rsidR="00BA7B01" w14:paraId="2B5009F8" w14:textId="77777777" w:rsidTr="00A45E64">
        <w:trPr>
          <w:cantSplit/>
          <w:jc w:val="center"/>
        </w:trPr>
        <w:tc>
          <w:tcPr>
            <w:tcW w:w="2629" w:type="dxa"/>
          </w:tcPr>
          <w:p w14:paraId="3C19ED54" w14:textId="77777777" w:rsidR="00BA7B01" w:rsidRDefault="00000000">
            <w:pPr>
              <w:pStyle w:val="SWCTableText"/>
              <w:jc w:val="left"/>
            </w:pPr>
            <w:r>
              <w:t>S6 Throughput expansion (45 kWₚ, 120 firings)</w:t>
            </w:r>
          </w:p>
        </w:tc>
        <w:tc>
          <w:tcPr>
            <w:tcW w:w="1139" w:type="dxa"/>
          </w:tcPr>
          <w:p w14:paraId="49B27F3D" w14:textId="77777777" w:rsidR="00BA7B01" w:rsidRDefault="00000000">
            <w:pPr>
              <w:pStyle w:val="SWCTableText"/>
            </w:pPr>
            <w:r>
              <w:t>40,615</w:t>
            </w:r>
          </w:p>
        </w:tc>
        <w:tc>
          <w:tcPr>
            <w:tcW w:w="1052" w:type="dxa"/>
          </w:tcPr>
          <w:p w14:paraId="5FC836A7" w14:textId="77777777" w:rsidR="00BA7B01" w:rsidRDefault="00000000">
            <w:pPr>
              <w:pStyle w:val="SWCTableText"/>
            </w:pPr>
            <w:r>
              <w:t>36,516</w:t>
            </w:r>
          </w:p>
        </w:tc>
        <w:tc>
          <w:tcPr>
            <w:tcW w:w="789" w:type="dxa"/>
          </w:tcPr>
          <w:p w14:paraId="1EE5894D" w14:textId="77777777" w:rsidR="00BA7B01" w:rsidRDefault="00000000">
            <w:pPr>
              <w:pStyle w:val="SWCTableText"/>
            </w:pPr>
            <w:r>
              <w:t>27.5</w:t>
            </w:r>
          </w:p>
        </w:tc>
        <w:tc>
          <w:tcPr>
            <w:tcW w:w="1052" w:type="dxa"/>
          </w:tcPr>
          <w:p w14:paraId="66D10046" w14:textId="77777777" w:rsidR="00BA7B01" w:rsidRDefault="00000000">
            <w:pPr>
              <w:pStyle w:val="SWCTableText"/>
            </w:pPr>
            <w:r>
              <w:t>3.47</w:t>
            </w:r>
          </w:p>
        </w:tc>
        <w:tc>
          <w:tcPr>
            <w:tcW w:w="1052" w:type="dxa"/>
          </w:tcPr>
          <w:p w14:paraId="7B046B32" w14:textId="77777777" w:rsidR="00BA7B01" w:rsidRDefault="00000000">
            <w:pPr>
              <w:pStyle w:val="SWCTableText"/>
            </w:pPr>
            <w:r>
              <w:t>139</w:t>
            </w:r>
          </w:p>
        </w:tc>
        <w:tc>
          <w:tcPr>
            <w:tcW w:w="1052" w:type="dxa"/>
          </w:tcPr>
          <w:p w14:paraId="73916156" w14:textId="77777777" w:rsidR="00BA7B01" w:rsidRDefault="00000000">
            <w:pPr>
              <w:pStyle w:val="SWCTableText"/>
            </w:pPr>
            <w:r>
              <w:t>27.4</w:t>
            </w:r>
          </w:p>
        </w:tc>
      </w:tr>
    </w:tbl>
    <w:p w14:paraId="2C786D1F" w14:textId="7411FDF0" w:rsidR="00BA7B01" w:rsidRDefault="003C32C3" w:rsidP="00CC2682">
      <w:pPr>
        <w:pStyle w:val="SWCHeading1"/>
        <w:keepNext/>
      </w:pPr>
      <w:r>
        <w:t>4. Conclusions</w:t>
      </w:r>
    </w:p>
    <w:p w14:paraId="5553277C" w14:textId="6CE4DBB8" w:rsidR="00294ABE" w:rsidRDefault="003E2ABC" w:rsidP="00294ABE">
      <w:pPr>
        <w:pStyle w:val="SWCBulletedList"/>
        <w:numPr>
          <w:ilvl w:val="0"/>
          <w:numId w:val="0"/>
        </w:numPr>
      </w:pPr>
      <w:r>
        <w:t>M</w:t>
      </w:r>
      <w:r w:rsidR="00294ABE">
        <w:t>odels</w:t>
      </w:r>
      <w:r>
        <w:t xml:space="preserve"> from</w:t>
      </w:r>
      <w:r w:rsidR="00294ABE">
        <w:t xml:space="preserve"> thermophysical, envelope, Schumann thermocline, photovoltaic, dispatch, exergy, and techno-economic were developed to evaluate rock properties and Ghanaian costs and policies, supporting the</w:t>
      </w:r>
      <w:r w:rsidR="00D56DCE">
        <w:t xml:space="preserve"> PV array kiln for pottery production with the following outcome</w:t>
      </w:r>
      <w:r w:rsidR="00294ABE">
        <w:t>:</w:t>
      </w:r>
    </w:p>
    <w:p w14:paraId="34DD26DB" w14:textId="31A7BAC6" w:rsidR="00294ABE" w:rsidRDefault="00294ABE">
      <w:pPr>
        <w:pStyle w:val="SWCBulletedList"/>
      </w:pPr>
      <w:r>
        <w:t xml:space="preserve">Basalt (TES) is a cost-effective storage medium for 800°C projects, but requires specific design techniques </w:t>
      </w:r>
      <w:r w:rsidR="00D56DCE">
        <w:t>for the firing regime</w:t>
      </w:r>
      <w:r w:rsidR="003E2ABC">
        <w:t xml:space="preserve"> beyond the operating temperature of </w:t>
      </w:r>
      <w:r>
        <w:t>800</w:t>
      </w:r>
      <w:r w:rsidR="003E2ABC">
        <w:t xml:space="preserve"> </w:t>
      </w:r>
      <w:r>
        <w:t xml:space="preserve">°C </w:t>
      </w:r>
      <w:r w:rsidR="003E2ABC">
        <w:t xml:space="preserve">as </w:t>
      </w:r>
      <w:r>
        <w:t>feasible.</w:t>
      </w:r>
    </w:p>
    <w:p w14:paraId="479DAD1A" w14:textId="14B1BF2E" w:rsidR="00294ABE" w:rsidRDefault="00294ABE">
      <w:pPr>
        <w:pStyle w:val="SWCBulletedList"/>
      </w:pPr>
      <w:r>
        <w:t>The thermal duty can be met by segmenting the process</w:t>
      </w:r>
      <w:r w:rsidR="003E2ABC">
        <w:t>;</w:t>
      </w:r>
      <w:r>
        <w:t xml:space="preserve"> a bed-fed preheat system reaches 700°C, and photovoltaic resistance heating adds up to 1150°C during peak solar periods.</w:t>
      </w:r>
    </w:p>
    <w:p w14:paraId="02AE53B3" w14:textId="6A5E4D6C" w:rsidR="00294ABE" w:rsidRDefault="00294ABE">
      <w:pPr>
        <w:pStyle w:val="SWCBulletedList"/>
      </w:pPr>
      <w:r>
        <w:t xml:space="preserve">A 30 </w:t>
      </w:r>
      <w:proofErr w:type="spellStart"/>
      <w:r>
        <w:t>kWp</w:t>
      </w:r>
      <w:proofErr w:type="spellEnd"/>
      <w:r>
        <w:t xml:space="preserve"> system completes 80 firing cycles yearly, with 99% solar fraction, delivering 327 </w:t>
      </w:r>
      <w:proofErr w:type="spellStart"/>
      <w:r>
        <w:t>kWhth</w:t>
      </w:r>
      <w:proofErr w:type="spellEnd"/>
      <w:r>
        <w:t xml:space="preserve"> per cycle, with an energy efficiency of 0.16 and exergy of 0.09.</w:t>
      </w:r>
    </w:p>
    <w:p w14:paraId="1FE0C895" w14:textId="33DBA677" w:rsidR="00294ABE" w:rsidRDefault="00294ABE" w:rsidP="00CC2682">
      <w:pPr>
        <w:pStyle w:val="SWCBulletedList"/>
      </w:pPr>
      <w:r>
        <w:t>The project costs about USD 3</w:t>
      </w:r>
      <w:r w:rsidR="00D56DCE">
        <w:t>5</w:t>
      </w:r>
      <w:r>
        <w:t>,</w:t>
      </w:r>
      <w:r w:rsidR="00D56DCE">
        <w:t>57</w:t>
      </w:r>
      <w:r>
        <w:t>5</w:t>
      </w:r>
      <w:r w:rsidR="003E2ABC">
        <w:t xml:space="preserve"> in the pilot stage. However, in aggregation, it will yield benefits of a net present value of USD 22,445, an IRR of 23.8%, and a </w:t>
      </w:r>
      <w:r w:rsidR="00496AAC" w:rsidRPr="00496AAC">
        <w:t>3.94</w:t>
      </w:r>
      <w:r>
        <w:t>-year payback.</w:t>
      </w:r>
    </w:p>
    <w:p w14:paraId="6866FCD0" w14:textId="45F5BA45" w:rsidR="00915391" w:rsidRDefault="00496AAC" w:rsidP="00CC2682">
      <w:pPr>
        <w:pStyle w:val="SWCBulletedList"/>
      </w:pPr>
      <w:r>
        <w:t>Significant a</w:t>
      </w:r>
      <w:r w:rsidR="00294ABE">
        <w:t>nnual emission reductions</w:t>
      </w:r>
      <w:r>
        <w:t xml:space="preserve"> with a positive impact on the health of practitioners and boosting the revenue generation of women entrepreneurs, and also </w:t>
      </w:r>
      <w:r w:rsidR="003E2ABC">
        <w:t>could project</w:t>
      </w:r>
      <w:r>
        <w:t xml:space="preserve"> Ghana on the positive path of Climate resilience practice and the course of SDGs </w:t>
      </w:r>
      <w:proofErr w:type="spellStart"/>
      <w:r w:rsidR="00D714C0">
        <w:t>realisation</w:t>
      </w:r>
      <w:proofErr w:type="spellEnd"/>
      <w:r w:rsidR="00294ABE">
        <w:t>.</w:t>
      </w:r>
    </w:p>
    <w:p w14:paraId="05C29A31" w14:textId="5E4DC40D" w:rsidR="00BA7B01" w:rsidRDefault="007A2947">
      <w:pPr>
        <w:pStyle w:val="SWCHeading1"/>
        <w:keepNext/>
      </w:pPr>
      <w:r>
        <w:t>6. References</w:t>
      </w:r>
    </w:p>
    <w:p w14:paraId="15A1EDD8" w14:textId="010C5B45" w:rsidR="00BA7B01" w:rsidRDefault="00000000">
      <w:pPr>
        <w:pStyle w:val="SWCReferences"/>
        <w:ind w:left="340" w:hanging="340"/>
      </w:pPr>
      <w:r>
        <w:t>Agyei Duodu, J., et al., 2009. Geological Map of Ghana 1:1,000,000. Geological Survey Department, Accra.</w:t>
      </w:r>
    </w:p>
    <w:p w14:paraId="08519F26" w14:textId="7AC152D2" w:rsidR="00BA7B01" w:rsidRDefault="00000000" w:rsidP="000E3EA6">
      <w:pPr>
        <w:pStyle w:val="SWCReferences"/>
        <w:ind w:left="340" w:hanging="340"/>
      </w:pPr>
      <w:r>
        <w:t xml:space="preserve">Allen, K.G., von Backström, T.W., Kröger, D.G., </w:t>
      </w:r>
      <w:r w:rsidR="00A87488">
        <w:t>2015</w:t>
      </w:r>
      <w:r>
        <w:t xml:space="preserve">. Rock bed pressure </w:t>
      </w:r>
      <w:proofErr w:type="gramStart"/>
      <w:r>
        <w:t>drop</w:t>
      </w:r>
      <w:proofErr w:type="gramEnd"/>
      <w:r>
        <w:t xml:space="preserve"> and heat transfer: simple design correlations.</w:t>
      </w:r>
      <w:r w:rsidR="00A87488">
        <w:t xml:space="preserve"> </w:t>
      </w:r>
      <w:r>
        <w:t>Solar Energy 115, 525–536.</w:t>
      </w:r>
    </w:p>
    <w:p w14:paraId="3E531C38" w14:textId="6AF029E0" w:rsidR="00BA7B01" w:rsidRDefault="00000000">
      <w:pPr>
        <w:pStyle w:val="SWCReferences"/>
        <w:ind w:left="340" w:hanging="340"/>
      </w:pPr>
      <w:r>
        <w:t xml:space="preserve">Anderson, R., Shiri, S., Bindra, H., Morris, J.F., 2014. Experimental results and </w:t>
      </w:r>
      <w:r w:rsidR="00D714C0">
        <w:t>modelling</w:t>
      </w:r>
      <w:r>
        <w:t xml:space="preserve"> of energy storage and recovery in a packed bed of alumina particles. Applied Energy 119, 521–529.</w:t>
      </w:r>
    </w:p>
    <w:p w14:paraId="156E6708" w14:textId="0CACB16C" w:rsidR="00BA7B01" w:rsidRDefault="00000000">
      <w:pPr>
        <w:pStyle w:val="SWCReferences"/>
        <w:ind w:left="340" w:hanging="340"/>
      </w:pPr>
      <w:r>
        <w:t>ASTM, 2017. Standard Classification of Insulating Firebrick, ASTM C155. ASTM International, West Conshohocken, PA.</w:t>
      </w:r>
    </w:p>
    <w:p w14:paraId="4773482A" w14:textId="77777777" w:rsidR="00BA7B01" w:rsidRDefault="00000000">
      <w:pPr>
        <w:pStyle w:val="SWCReferences"/>
        <w:ind w:left="340" w:hanging="340"/>
      </w:pPr>
      <w:r>
        <w:t>ASTM, 2019. Standard Test Method for Thermal Conductivity of Refractories, ASTM C201-93(2019). ASTM International, West Conshohocken, PA.</w:t>
      </w:r>
    </w:p>
    <w:p w14:paraId="2CA45E2F" w14:textId="6D1F04D0" w:rsidR="00BA7B01" w:rsidRDefault="00000000">
      <w:pPr>
        <w:pStyle w:val="SWCReferences"/>
        <w:ind w:left="340" w:hanging="340"/>
      </w:pPr>
      <w:r>
        <w:t xml:space="preserve">Bailis, R., Drigo, R., Ghilardi, </w:t>
      </w:r>
      <w:proofErr w:type="gramStart"/>
      <w:r>
        <w:t>A.,,</w:t>
      </w:r>
      <w:proofErr w:type="gramEnd"/>
      <w:r>
        <w:t xml:space="preserve"> 2015. The carbon footprint of traditional woodfuels. Nature Climate Change 5, 266–272.</w:t>
      </w:r>
    </w:p>
    <w:p w14:paraId="38BDEC45" w14:textId="77777777" w:rsidR="00BA7B01" w:rsidRDefault="00000000">
      <w:pPr>
        <w:pStyle w:val="SWCReferences"/>
        <w:ind w:left="340" w:hanging="340"/>
      </w:pPr>
      <w:r>
        <w:t>Becattini, V., Motmans, T., Zappone, A., Madonna, C., Haselbacher, A., Steinfeld, A., 2017. Experimental investigation of the thermal and mechanical stability of rocks for high-temperature thermal-energy storage. Applied Energy 203, 373–389.</w:t>
      </w:r>
    </w:p>
    <w:p w14:paraId="691DD992" w14:textId="77777777" w:rsidR="00BA7B01" w:rsidRDefault="00000000">
      <w:pPr>
        <w:pStyle w:val="SWCReferences"/>
        <w:ind w:left="340" w:hanging="340"/>
      </w:pPr>
      <w:r>
        <w:t>Bejan, A., 2016. Advanced Engineering Thermodynamics, fourth ed. Wiley, Hoboken, NJ.</w:t>
      </w:r>
    </w:p>
    <w:p w14:paraId="3930B352" w14:textId="24A30DE6" w:rsidR="00BA7B01" w:rsidRDefault="00000000">
      <w:pPr>
        <w:pStyle w:val="SWCReferences"/>
        <w:ind w:left="340" w:hanging="340"/>
      </w:pPr>
      <w:r>
        <w:t xml:space="preserve">BeZero Carbon, 2023. </w:t>
      </w:r>
      <w:proofErr w:type="spellStart"/>
      <w:r>
        <w:t>fNRB</w:t>
      </w:r>
      <w:proofErr w:type="spellEnd"/>
      <w:r>
        <w:t xml:space="preserve">: The Critical Factor Driving Over-Crediting Risk in Cookstove Projects. </w:t>
      </w:r>
      <w:proofErr w:type="spellStart"/>
      <w:r>
        <w:t>BeZero</w:t>
      </w:r>
      <w:proofErr w:type="spellEnd"/>
      <w:r>
        <w:t xml:space="preserve"> Carbon Insights.</w:t>
      </w:r>
    </w:p>
    <w:p w14:paraId="1C5C1F3E" w14:textId="77777777" w:rsidR="00BA7B01" w:rsidRDefault="00000000">
      <w:pPr>
        <w:pStyle w:val="SWCReferences"/>
        <w:ind w:left="340" w:hanging="340"/>
      </w:pPr>
      <w:r>
        <w:t>Bhattacharya, S.C., Salam, P.A., 2002. Low greenhouse gas biomass options for cooking in the developing countries. Biomass and Bioenergy 22, 305–317.</w:t>
      </w:r>
    </w:p>
    <w:p w14:paraId="152747D2" w14:textId="1F8D2891" w:rsidR="00BA7B01" w:rsidRDefault="00000000">
      <w:pPr>
        <w:pStyle w:val="SWCReferences"/>
        <w:ind w:left="340" w:hanging="340"/>
      </w:pPr>
      <w:r>
        <w:t>Carty, W.M., Senapati, U., 1998. Porcelain raw materials, processing, phase evolution, and mechanical behavior. Journal of the American Ceramic Society 81, 3–20.</w:t>
      </w:r>
    </w:p>
    <w:p w14:paraId="1EFB02E8" w14:textId="77777777" w:rsidR="00BA7B01" w:rsidRDefault="00000000">
      <w:pPr>
        <w:pStyle w:val="SWCReferences"/>
        <w:ind w:left="340" w:hanging="340"/>
      </w:pPr>
      <w:r>
        <w:t>Coutier, J.P., Farber, E.A., 1982. Two applications of a numerical approach of heat transfer process within rock beds. Solar Energy 29, 451–462.</w:t>
      </w:r>
    </w:p>
    <w:p w14:paraId="1EAB39ED" w14:textId="77777777" w:rsidR="00BA7B01" w:rsidRDefault="00000000">
      <w:pPr>
        <w:pStyle w:val="SWCReferences"/>
        <w:ind w:left="340" w:hanging="340"/>
      </w:pPr>
      <w:r>
        <w:t>Dincer, I., Rosen, M.A., 2021. Thermal Energy Storage: Systems and Applications, third ed. Wiley, Chichester.</w:t>
      </w:r>
    </w:p>
    <w:p w14:paraId="29DA030E" w14:textId="77777777" w:rsidR="00BA7B01" w:rsidRDefault="00000000">
      <w:pPr>
        <w:pStyle w:val="SWCReferences"/>
        <w:ind w:left="340" w:hanging="340"/>
      </w:pPr>
      <w:r>
        <w:t>Energy Commission of Ghana, 2024. National Energy Statistics 2015–2024. Energy Commission, Accra.</w:t>
      </w:r>
    </w:p>
    <w:p w14:paraId="2BB3EE47" w14:textId="77777777" w:rsidR="00BA7B01" w:rsidRDefault="00000000">
      <w:pPr>
        <w:pStyle w:val="SWCReferences"/>
        <w:ind w:left="340" w:hanging="340"/>
      </w:pPr>
      <w:r>
        <w:t>Environmental Protection Agency, 2022. Ghana's Framework on International Carbon Markets and Non-Market Approaches: Operational Guideline for Article 6.2 Cooperative Approaches, Vol. 1. Carbon Market Office, Accra.</w:t>
      </w:r>
    </w:p>
    <w:p w14:paraId="30C8EA7E" w14:textId="77777777" w:rsidR="00BA7B01" w:rsidRDefault="00000000">
      <w:pPr>
        <w:pStyle w:val="SWCReferences"/>
        <w:ind w:left="340" w:hanging="340"/>
      </w:pPr>
      <w:r>
        <w:t>Ergun, S., 1952. Fluid flow through packed columns. Chemical Engineering Progress 48, 89–94.</w:t>
      </w:r>
    </w:p>
    <w:p w14:paraId="26D8AF4E" w14:textId="77777777" w:rsidR="00BA7B01" w:rsidRDefault="00000000">
      <w:pPr>
        <w:pStyle w:val="SWCReferences"/>
        <w:ind w:left="340" w:hanging="340"/>
      </w:pPr>
      <w:r>
        <w:t>Esence, T., Bruch, A., Molina, S., Stutz, B., Fourmigué, J.-F., 2017. A review on experience feedback and numerical modeling of packed-bed thermal energy storage systems. Solar Energy 153, 628–654.</w:t>
      </w:r>
    </w:p>
    <w:p w14:paraId="61C9FA68" w14:textId="77777777" w:rsidR="00BA7B01" w:rsidRDefault="00000000">
      <w:pPr>
        <w:pStyle w:val="SWCReferences"/>
        <w:ind w:left="340" w:hanging="340"/>
      </w:pPr>
      <w:r>
        <w:lastRenderedPageBreak/>
        <w:t>Fu, R., Feldman, D., Margolis, R., 2018. U.S. Solar Photovoltaic System Cost Benchmark, NREL/TP-6A20-72399. National Renewable Energy Laboratory, Golden, CO.</w:t>
      </w:r>
    </w:p>
    <w:p w14:paraId="1C985507" w14:textId="63E01928" w:rsidR="00BA7B01" w:rsidRDefault="00000000">
      <w:pPr>
        <w:pStyle w:val="SWCReferences"/>
        <w:ind w:left="340" w:hanging="340"/>
      </w:pPr>
      <w:r>
        <w:t>Gil, A., Medrano, M., Martorell, I., Lázaro, A.</w:t>
      </w:r>
      <w:r w:rsidR="00D714C0" w:rsidRPr="00D714C0">
        <w:t xml:space="preserve"> </w:t>
      </w:r>
      <w:r w:rsidR="00D714C0" w:rsidRPr="00D714C0">
        <w:t>et al.</w:t>
      </w:r>
      <w:r w:rsidR="00D714C0">
        <w:t>,</w:t>
      </w:r>
      <w:r>
        <w:t xml:space="preserve"> 2010. State of the art on high temperature thermal energy storage for power generation. Part 1 — concepts, materials and modellization. Renewable and Sustainable Energy Reviews 14, 31–55.</w:t>
      </w:r>
    </w:p>
    <w:p w14:paraId="1B02C0F1" w14:textId="77777777" w:rsidR="00BA7B01" w:rsidRDefault="00000000">
      <w:pPr>
        <w:pStyle w:val="SWCReferences"/>
        <w:ind w:left="340" w:hanging="340"/>
      </w:pPr>
      <w:r>
        <w:t>Government of Ghana, 2011. Renewable Energy Act, 2011 (Act 832). Parliament of the Republic of Ghana, Accra.</w:t>
      </w:r>
    </w:p>
    <w:p w14:paraId="53B09765" w14:textId="77777777" w:rsidR="00BA7B01" w:rsidRDefault="00000000">
      <w:pPr>
        <w:pStyle w:val="SWCReferences"/>
        <w:ind w:left="340" w:hanging="340"/>
      </w:pPr>
      <w:r>
        <w:t>Government of Ghana, 2020. Renewable Energy (Amendment) Act, 2020 (Act 1045). Parliament of the Republic of Ghana, Accra.</w:t>
      </w:r>
    </w:p>
    <w:p w14:paraId="38ACE039" w14:textId="77777777" w:rsidR="00BA7B01" w:rsidRDefault="00000000">
      <w:pPr>
        <w:pStyle w:val="SWCReferences"/>
        <w:ind w:left="340" w:hanging="340"/>
      </w:pPr>
      <w:r>
        <w:t>Grirate, H., Agalit, H., Zari, N., Elmchaouri, A., Molina, S., Couturier, R., 2014. Characterization of several Moroccan rocks used as filler material for thermal energy storage in CSP power plants. Energy Procedia 49, 810–819.</w:t>
      </w:r>
    </w:p>
    <w:p w14:paraId="5B22BF13" w14:textId="77777777" w:rsidR="00BA7B01" w:rsidRDefault="00000000">
      <w:pPr>
        <w:pStyle w:val="SWCReferences"/>
        <w:ind w:left="340" w:hanging="340"/>
      </w:pPr>
      <w:r>
        <w:t>Hänchen, M., Brückner, S., Steinfeld, A., 2011. High-temperature thermal storage using a packed bed of rocks — heat transfer analysis and experimental validation. Applied Thermal Engineering 31, 1798–1806.</w:t>
      </w:r>
    </w:p>
    <w:p w14:paraId="5F0929F8" w14:textId="77777777" w:rsidR="00BA7B01" w:rsidRDefault="00000000">
      <w:pPr>
        <w:pStyle w:val="SWCReferences"/>
        <w:ind w:left="340" w:hanging="340"/>
      </w:pPr>
      <w:r>
        <w:t>IPCC, 2006. 2006 IPCC Guidelines for National Greenhouse Gas Inventories, Volume 2: Energy. IGES, Hayama.</w:t>
      </w:r>
    </w:p>
    <w:p w14:paraId="7D9C08C6" w14:textId="77777777" w:rsidR="00BA7B01" w:rsidRDefault="00000000">
      <w:pPr>
        <w:pStyle w:val="SWCReferences"/>
        <w:ind w:left="340" w:hanging="340"/>
      </w:pPr>
      <w:r>
        <w:t>IRENA, 2025. Renewable Power Generation Costs in 2024. International Renewable Energy Agency, Abu Dhabi.</w:t>
      </w:r>
    </w:p>
    <w:p w14:paraId="66099388" w14:textId="77777777" w:rsidR="00BA7B01" w:rsidRDefault="00000000">
      <w:pPr>
        <w:pStyle w:val="SWCReferences"/>
        <w:ind w:left="340" w:hanging="340"/>
      </w:pPr>
      <w:r>
        <w:t>Jemmal, Y., Zari, N., Maaroufi, M., 2016. Thermophysical and chemical analysis of gneiss rock as low cost candidate material for thermal energy storage in concentrated solar power plants. Solar Energy Materials and Solar Cells 157, 377–382.</w:t>
      </w:r>
    </w:p>
    <w:p w14:paraId="186DAF23" w14:textId="67EFB74A" w:rsidR="00BA7B01" w:rsidRDefault="00000000">
      <w:pPr>
        <w:pStyle w:val="SWCReferences"/>
        <w:ind w:left="340" w:hanging="340"/>
      </w:pPr>
      <w:r>
        <w:t xml:space="preserve">Jemmal, Y., Zari, N., Maaroufi, M., 2017. Experimental characterization of siliceous rocks to be used as filler materials for air-rock packed beds </w:t>
      </w:r>
      <w:r w:rsidR="006C0F78">
        <w:t>TES</w:t>
      </w:r>
      <w:r>
        <w:t xml:space="preserve"> systems in concentrated solar power plants. Solar Energy Materials and Solar Cells 171, 33–42.</w:t>
      </w:r>
    </w:p>
    <w:p w14:paraId="42E48651" w14:textId="3F6052B0" w:rsidR="00BA7B01" w:rsidRDefault="00000000">
      <w:pPr>
        <w:pStyle w:val="SWCReferences"/>
        <w:ind w:left="340" w:hanging="340"/>
      </w:pPr>
      <w:r>
        <w:t>Jetter, J., Zhao, Y., Smith, K.R</w:t>
      </w:r>
      <w:r w:rsidR="00D714C0" w:rsidRPr="00D714C0">
        <w:t xml:space="preserve"> </w:t>
      </w:r>
      <w:r w:rsidR="00D714C0" w:rsidRPr="00D714C0">
        <w:t>et al.</w:t>
      </w:r>
      <w:r>
        <w:t>, 2012. Pollutant emissions and energy efficiency under controlled conditions for household biomass cookstoves and implications for metrics useful in setting international test standards. Environmental Science and Technology 46, 10827–10834.</w:t>
      </w:r>
    </w:p>
    <w:p w14:paraId="54019888" w14:textId="77777777" w:rsidR="00BA7B01" w:rsidRDefault="00000000">
      <w:pPr>
        <w:pStyle w:val="SWCReferences"/>
        <w:ind w:left="340" w:hanging="340"/>
      </w:pPr>
      <w:r>
        <w:t>Jones, W.B., 1990. The Buem volcanic and associated sedimentary rocks, Ghana: a field and geochemical investigation. Journal of African Earth Sciences 11, 373–383.</w:t>
      </w:r>
    </w:p>
    <w:p w14:paraId="718DD099" w14:textId="4DE164AE" w:rsidR="00BA7B01" w:rsidRDefault="00000000" w:rsidP="006C0F78">
      <w:pPr>
        <w:pStyle w:val="SWCReferences"/>
        <w:ind w:left="340" w:hanging="340"/>
      </w:pPr>
      <w:r>
        <w:t xml:space="preserve">Jouhara, H., Khordehgah, N., </w:t>
      </w:r>
      <w:proofErr w:type="spellStart"/>
      <w:r>
        <w:t>Almahmoud</w:t>
      </w:r>
      <w:proofErr w:type="spellEnd"/>
      <w:r>
        <w:t>, S</w:t>
      </w:r>
      <w:r w:rsidR="00D714C0" w:rsidRPr="00D714C0">
        <w:t xml:space="preserve"> </w:t>
      </w:r>
      <w:r w:rsidR="00D714C0" w:rsidRPr="00D714C0">
        <w:t>et al.</w:t>
      </w:r>
      <w:r>
        <w:t>, 2018. Waste heat recovery technologies and applications. Thermal Science and Engineering Progress 6, 268–289.</w:t>
      </w:r>
    </w:p>
    <w:p w14:paraId="6888613C" w14:textId="77777777" w:rsidR="00BA7B01" w:rsidRDefault="00000000">
      <w:pPr>
        <w:pStyle w:val="SWCReferences"/>
        <w:ind w:left="340" w:hanging="340"/>
      </w:pPr>
      <w:r>
        <w:t xml:space="preserve">Kuravi, S., Trahan, J., Goswami, D.Y., </w:t>
      </w:r>
      <w:r w:rsidRPr="00D1357B">
        <w:rPr>
          <w:color w:val="EE0000"/>
        </w:rPr>
        <w:t>Rahman,</w:t>
      </w:r>
      <w:r>
        <w:t xml:space="preserve"> M.M., Stefanakos, E.K., 2013. Thermal energy storage technologies and systems for concentrating solar power plants. Progress in Energy and Combustion Science 39, 285–319.</w:t>
      </w:r>
    </w:p>
    <w:p w14:paraId="53072B1D" w14:textId="77777777" w:rsidR="00BA7B01" w:rsidRDefault="00000000">
      <w:pPr>
        <w:pStyle w:val="SWCReferences"/>
        <w:ind w:left="340" w:hanging="340"/>
      </w:pPr>
      <w:r>
        <w:t>Laing, D., Bahl, C., Bauer, T., Fiss, M., Breidenbach, N., Hempel, M., 2012. High-temperature solid-media thermal energy storage for solar thermal power plants. Proceedings of the IEEE 100, 516–524.</w:t>
      </w:r>
    </w:p>
    <w:p w14:paraId="550DDC17" w14:textId="77777777" w:rsidR="00BA7B01" w:rsidRDefault="00000000">
      <w:pPr>
        <w:pStyle w:val="SWCReferences"/>
        <w:ind w:left="340" w:hanging="340"/>
      </w:pPr>
      <w:r>
        <w:t>McTigue, J.D., Markides, C.N., White, A.J., 2018. Performance response of packed-bed thermal storage to cycle duration perturbations. Journal of Energy Storage 19, 379–392.</w:t>
      </w:r>
    </w:p>
    <w:p w14:paraId="0FC12F0E" w14:textId="77777777" w:rsidR="00BA7B01" w:rsidRDefault="00000000">
      <w:pPr>
        <w:pStyle w:val="SWCReferences"/>
        <w:ind w:left="340" w:hanging="340"/>
      </w:pPr>
      <w:r>
        <w:t>Meyers, S., Schmitt, B., Vajen, K., 2018. Renewable process heat from solar thermal and photovoltaics: the development and application of a universal methodology to determine the more economical technology. Applied Energy 212, 1537–1552.</w:t>
      </w:r>
    </w:p>
    <w:p w14:paraId="0136F79E" w14:textId="77777777" w:rsidR="00BA7B01" w:rsidRDefault="00000000">
      <w:pPr>
        <w:pStyle w:val="SWCReferences"/>
        <w:ind w:left="340" w:hanging="340"/>
      </w:pPr>
      <w:r>
        <w:t>Modi, A., Pérez-Segarra, C.D., 2014. Thermocline thermal storage systems for concentrated solar power plants: one-dimensional numerical model and comparative analysis. Solar Energy 100, 84–93.</w:t>
      </w:r>
    </w:p>
    <w:p w14:paraId="34C61F79" w14:textId="77777777" w:rsidR="00BA7B01" w:rsidRDefault="00000000">
      <w:pPr>
        <w:pStyle w:val="SWCReferences"/>
        <w:ind w:left="340" w:hanging="340"/>
      </w:pPr>
      <w:r>
        <w:t>Norton, F.H., 1968. Refractories, fourth ed. McGraw-Hill, New York.</w:t>
      </w:r>
    </w:p>
    <w:p w14:paraId="2FB22BD7" w14:textId="77777777" w:rsidR="00BA7B01" w:rsidRDefault="00000000">
      <w:pPr>
        <w:pStyle w:val="SWCReferences"/>
        <w:ind w:left="340" w:hanging="340"/>
      </w:pPr>
      <w:r>
        <w:t>Rondo Energy, 2025. Rondo powers up world's largest industrial heat battery. Press release, October 2025. https://www.rondo.com/news-press (accessed 20 August 2026).</w:t>
      </w:r>
    </w:p>
    <w:p w14:paraId="6148B600" w14:textId="77777777" w:rsidR="00BA7B01" w:rsidRDefault="00000000">
      <w:pPr>
        <w:pStyle w:val="SWCReferences"/>
        <w:ind w:left="340" w:hanging="340"/>
      </w:pPr>
      <w:r>
        <w:t>Rosen, M.A., 1992. Appropriate thermodynamic performance measures for closed systems for thermal energy storage. Journal of Solar Energy Engineering 114, 100–105.</w:t>
      </w:r>
    </w:p>
    <w:p w14:paraId="3D7B0CDB" w14:textId="77777777" w:rsidR="00BA7B01" w:rsidRDefault="00000000">
      <w:pPr>
        <w:pStyle w:val="SWCReferences"/>
        <w:ind w:left="340" w:hanging="340"/>
      </w:pPr>
      <w:r>
        <w:t>Saltelli, A., Ratto, M., Andres, T., Campolongo, F., Cariboni, J., Gatelli, D., Saisana, M., Tarantola, S., 2008. Global Sensitivity Analysis: The Primer. Wiley, Chichester.</w:t>
      </w:r>
    </w:p>
    <w:p w14:paraId="34A91077" w14:textId="77777777" w:rsidR="00BA7B01" w:rsidRDefault="00000000">
      <w:pPr>
        <w:pStyle w:val="SWCReferences"/>
        <w:ind w:left="340" w:hanging="340"/>
      </w:pPr>
      <w:r>
        <w:t>Schoeneberger, C.A., McMillan, C.A., Kurup, P., Akar, S., Margolis, R., Masanet, E., 2020. Solar for industrial process heat: a review of technologies, analysis approaches, and potential applications in the United States. Energy 206, 118083.</w:t>
      </w:r>
    </w:p>
    <w:p w14:paraId="54E97614" w14:textId="77777777" w:rsidR="00BA7B01" w:rsidRDefault="00000000">
      <w:pPr>
        <w:pStyle w:val="SWCReferences"/>
        <w:ind w:left="340" w:hanging="340"/>
      </w:pPr>
      <w:r>
        <w:t>Schumann, T.E.W., 1929. Heat transfer: a liquid flowing through a porous prism. Journal of the Franklin Institute 208, 405–416.</w:t>
      </w:r>
    </w:p>
    <w:p w14:paraId="1B63B6BC" w14:textId="77777777" w:rsidR="00BA7B01" w:rsidRDefault="00000000">
      <w:pPr>
        <w:pStyle w:val="SWCReferences"/>
        <w:ind w:left="340" w:hanging="340"/>
      </w:pPr>
      <w:r>
        <w:t>Short, W., Packey, D.J., Holt, T., 1995. A Manual for the Economic Evaluation of Energy Efficiency and Renewable Energy Technologies, NREL/TP-462-5173. National Renewable Energy Laboratory, Golden, CO.</w:t>
      </w:r>
    </w:p>
    <w:p w14:paraId="5B65F920" w14:textId="77777777" w:rsidR="00BA7B01" w:rsidRDefault="00000000">
      <w:pPr>
        <w:pStyle w:val="SWCReferences"/>
        <w:ind w:left="340" w:hanging="340"/>
      </w:pPr>
      <w:r>
        <w:t>Stack, D.C., Curtis, D., Forsberg, C., 2019. Performance of firebrick resistance-heated energy storage for industrial heat applications and round-trip electricity storage. Applied Energy 242, 782–796.</w:t>
      </w:r>
    </w:p>
    <w:p w14:paraId="72132E9E" w14:textId="77777777" w:rsidR="00BA7B01" w:rsidRDefault="00000000">
      <w:pPr>
        <w:pStyle w:val="SWCReferences"/>
        <w:ind w:left="340" w:hanging="340"/>
      </w:pPr>
      <w:r>
        <w:t>Steinmann, W.-D., 2015. Thermal energy storage systems for concentrating solar power (CSP) technology, in: Cabeza, L.F. (Ed.), Advances in Thermal Energy Storage Systems. Woodhead, Cambridge, pp. 511–531.</w:t>
      </w:r>
    </w:p>
    <w:p w14:paraId="64F0561D" w14:textId="0601086D" w:rsidR="00BA7B01" w:rsidRDefault="00000000">
      <w:pPr>
        <w:pStyle w:val="SWCReferences"/>
        <w:ind w:left="340" w:hanging="340"/>
      </w:pPr>
      <w:r>
        <w:t xml:space="preserve">Tiskatine, R., Oaddi, R., Ait El Cadi, R., Bazgaou, A., Bouirden, L., Aharoune, A., Ihlal, A., </w:t>
      </w:r>
      <w:r w:rsidR="00A87488">
        <w:t>(2017)</w:t>
      </w:r>
      <w:r>
        <w:t>. Suitability and characteristics of rocks for sensible heat storage in CSP plants. Solar Energy Materials and Solar Cells 169, 245–257.</w:t>
      </w:r>
    </w:p>
    <w:p w14:paraId="732473F8" w14:textId="77777777" w:rsidR="00BA7B01" w:rsidRDefault="00000000">
      <w:pPr>
        <w:pStyle w:val="SWCReferences"/>
        <w:ind w:left="340" w:hanging="340"/>
      </w:pPr>
      <w:r>
        <w:t>UNDP, 2021. Ghana, Vanuatu and Switzerland Launch World's First Projects under Article 6.2 of the Paris Agreement. Press release, Geneva.</w:t>
      </w:r>
    </w:p>
    <w:p w14:paraId="5881DE57" w14:textId="77777777" w:rsidR="00BA7B01" w:rsidRDefault="00000000">
      <w:pPr>
        <w:pStyle w:val="SWCReferences"/>
        <w:ind w:left="340" w:hanging="340"/>
      </w:pPr>
      <w:r>
        <w:t>UNFCCC, 2020. Methodological Tool 30: Calculation of the Fraction of Non-Renewable Biomass, Version 04.0. Clean Development Mechanism Executive Board, Bonn.</w:t>
      </w:r>
    </w:p>
    <w:p w14:paraId="093B8327" w14:textId="77777777" w:rsidR="00BA7B01" w:rsidRDefault="00000000">
      <w:pPr>
        <w:pStyle w:val="SWCReferences"/>
        <w:ind w:left="340" w:hanging="340"/>
      </w:pPr>
      <w:r>
        <w:t>WHO, 2021. WHO Global Air Quality Guidelines: Particulate Matter, Ozone, Nitrogen Dioxide, Sulfur Dioxide and Carbon Monoxide. World Health Organization, Geneva.</w:t>
      </w:r>
    </w:p>
    <w:p w14:paraId="4B2336F3" w14:textId="77777777" w:rsidR="00BA7B01" w:rsidRDefault="00000000">
      <w:pPr>
        <w:pStyle w:val="SWCReferences"/>
        <w:ind w:left="340" w:hanging="340"/>
      </w:pPr>
      <w:r>
        <w:t>Williams, H., et al., 2025. Multinational modelling of PM2.5 and CO exposures from household air pollution in peri-urban Cameroon, Ghana and Kenya. Scientific Reports 15, 6856.</w:t>
      </w:r>
    </w:p>
    <w:p w14:paraId="20FFE291" w14:textId="77777777" w:rsidR="00BA7B01" w:rsidRDefault="00000000">
      <w:pPr>
        <w:pStyle w:val="SWCReferences"/>
        <w:ind w:left="340" w:hanging="340"/>
      </w:pPr>
      <w:r>
        <w:t>World Bank, 2022. Analysis of the Woodfuel Sector in Ghana: With Options for Demand Reduction, Supply-Side Measures, Fuel Switching and Governance Changes, Report P175989. World Bank, Washington, DC.</w:t>
      </w:r>
    </w:p>
    <w:p w14:paraId="13A3A9CC" w14:textId="77777777" w:rsidR="00BA7B01" w:rsidRDefault="00000000">
      <w:pPr>
        <w:pStyle w:val="SWCReferences"/>
        <w:ind w:left="340" w:hanging="340"/>
      </w:pPr>
      <w:r>
        <w:t>World Bank Group, Solargis, 2019. Global Solar Atlas 2.0 Technical Report. ESMAP, Washington, DC.</w:t>
      </w:r>
    </w:p>
    <w:p w14:paraId="08B5B7C7" w14:textId="067FA2A0" w:rsidR="00BA7B01" w:rsidRDefault="00000000">
      <w:pPr>
        <w:pStyle w:val="SWCReferences"/>
        <w:ind w:left="340" w:hanging="340"/>
      </w:pPr>
      <w:r>
        <w:t xml:space="preserve">Zanganeh, G., Pedretti, A., </w:t>
      </w:r>
      <w:proofErr w:type="spellStart"/>
      <w:r>
        <w:t>Zavattoni</w:t>
      </w:r>
      <w:proofErr w:type="spellEnd"/>
      <w:r>
        <w:t>, S.</w:t>
      </w:r>
      <w:r w:rsidR="00D714C0" w:rsidRPr="00D714C0">
        <w:t xml:space="preserve"> </w:t>
      </w:r>
      <w:r w:rsidR="00D714C0" w:rsidRPr="00D714C0">
        <w:t>et al.</w:t>
      </w:r>
      <w:r>
        <w:t>, 2012. Packed-bed thermal storage for concentrated solar power — pilot-scale demonstration and industrial-scale design. Solar Energy 86, 3084–3098.</w:t>
      </w:r>
    </w:p>
    <w:p w14:paraId="3E57F767" w14:textId="047CA4F1" w:rsidR="00BA7B01" w:rsidRDefault="00000000">
      <w:pPr>
        <w:pStyle w:val="SWCReferences"/>
        <w:ind w:left="340" w:hanging="340"/>
      </w:pPr>
      <w:r>
        <w:t>Zavattoni, S.A., Barbato, M.C., Pedretti, A.,</w:t>
      </w:r>
      <w:r w:rsidR="00D714C0" w:rsidRPr="00D714C0">
        <w:t xml:space="preserve"> </w:t>
      </w:r>
      <w:r w:rsidR="00D714C0" w:rsidRPr="00D714C0">
        <w:t>et al.</w:t>
      </w:r>
      <w:r>
        <w:t>, 2014. High temperature rock-bed TES system suitable for industrial-scale CSP plant — CFD analysis under charge/discharge cyclic conditions. Energy Procedia 46, 124–133.</w:t>
      </w:r>
    </w:p>
    <w:sectPr w:rsidR="00BA7B01" w:rsidSect="006C7B50">
      <w:footnotePr>
        <w:numRestart w:val="eachPage"/>
      </w:footnotePr>
      <w:pgSz w:w="11906" w:h="16838" w:code="9"/>
      <w:pgMar w:top="1530" w:right="1440" w:bottom="1440" w:left="1701" w:header="709" w:footer="70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950DB" w14:textId="77777777" w:rsidR="00F229A2" w:rsidRDefault="00F229A2">
      <w:r>
        <w:separator/>
      </w:r>
    </w:p>
  </w:endnote>
  <w:endnote w:type="continuationSeparator" w:id="0">
    <w:p w14:paraId="6733332A" w14:textId="77777777" w:rsidR="00F229A2" w:rsidRDefault="00F22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89A5" w14:textId="77777777" w:rsidR="00F229A2" w:rsidRDefault="00F229A2">
      <w:r>
        <w:separator/>
      </w:r>
    </w:p>
  </w:footnote>
  <w:footnote w:type="continuationSeparator" w:id="0">
    <w:p w14:paraId="7F3973A3" w14:textId="77777777" w:rsidR="00F229A2" w:rsidRDefault="00F229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360"/>
        </w:tabs>
        <w:ind w:left="360" w:hanging="360"/>
      </w:pPr>
      <w:rPr>
        <w:rFonts w:ascii="Symbol" w:hAnsi="Symbol" w:hint="default"/>
        <w:b w:val="0"/>
        <w:i w:val="0"/>
        <w:color w:val="000000"/>
        <w:sz w:val="20"/>
        <w:szCs w:val="20"/>
        <w:u w:val="none"/>
      </w:rPr>
    </w:lvl>
    <w:lvl w:ilvl="1" w:tplc="04070003">
      <w:start w:val="1"/>
      <w:numFmt w:val="bullet"/>
      <w:lvlText w:val="o"/>
      <w:lvlJc w:val="left"/>
      <w:pPr>
        <w:tabs>
          <w:tab w:val="num" w:pos="626"/>
        </w:tabs>
        <w:ind w:left="626" w:hanging="360"/>
      </w:pPr>
      <w:rPr>
        <w:rFonts w:ascii="Courier New" w:hAnsi="Courier New" w:cs="Courier New" w:hint="default"/>
      </w:rPr>
    </w:lvl>
    <w:lvl w:ilvl="2" w:tplc="04070005" w:tentative="1">
      <w:start w:val="1"/>
      <w:numFmt w:val="bullet"/>
      <w:lvlText w:val=""/>
      <w:lvlJc w:val="left"/>
      <w:pPr>
        <w:tabs>
          <w:tab w:val="num" w:pos="1346"/>
        </w:tabs>
        <w:ind w:left="1346" w:hanging="360"/>
      </w:pPr>
      <w:rPr>
        <w:rFonts w:ascii="Wingdings" w:hAnsi="Wingdings" w:hint="default"/>
      </w:rPr>
    </w:lvl>
    <w:lvl w:ilvl="3" w:tplc="04070001" w:tentative="1">
      <w:start w:val="1"/>
      <w:numFmt w:val="bullet"/>
      <w:lvlText w:val=""/>
      <w:lvlJc w:val="left"/>
      <w:pPr>
        <w:tabs>
          <w:tab w:val="num" w:pos="2066"/>
        </w:tabs>
        <w:ind w:left="2066" w:hanging="360"/>
      </w:pPr>
      <w:rPr>
        <w:rFonts w:ascii="Symbol" w:hAnsi="Symbol" w:hint="default"/>
      </w:rPr>
    </w:lvl>
    <w:lvl w:ilvl="4" w:tplc="04070003" w:tentative="1">
      <w:start w:val="1"/>
      <w:numFmt w:val="bullet"/>
      <w:lvlText w:val="o"/>
      <w:lvlJc w:val="left"/>
      <w:pPr>
        <w:tabs>
          <w:tab w:val="num" w:pos="2786"/>
        </w:tabs>
        <w:ind w:left="2786" w:hanging="360"/>
      </w:pPr>
      <w:rPr>
        <w:rFonts w:ascii="Courier New" w:hAnsi="Courier New" w:cs="Courier New" w:hint="default"/>
      </w:rPr>
    </w:lvl>
    <w:lvl w:ilvl="5" w:tplc="04070005" w:tentative="1">
      <w:start w:val="1"/>
      <w:numFmt w:val="bullet"/>
      <w:lvlText w:val=""/>
      <w:lvlJc w:val="left"/>
      <w:pPr>
        <w:tabs>
          <w:tab w:val="num" w:pos="3506"/>
        </w:tabs>
        <w:ind w:left="3506" w:hanging="360"/>
      </w:pPr>
      <w:rPr>
        <w:rFonts w:ascii="Wingdings" w:hAnsi="Wingdings" w:hint="default"/>
      </w:rPr>
    </w:lvl>
    <w:lvl w:ilvl="6" w:tplc="04070001" w:tentative="1">
      <w:start w:val="1"/>
      <w:numFmt w:val="bullet"/>
      <w:lvlText w:val=""/>
      <w:lvlJc w:val="left"/>
      <w:pPr>
        <w:tabs>
          <w:tab w:val="num" w:pos="4226"/>
        </w:tabs>
        <w:ind w:left="4226" w:hanging="360"/>
      </w:pPr>
      <w:rPr>
        <w:rFonts w:ascii="Symbol" w:hAnsi="Symbol" w:hint="default"/>
      </w:rPr>
    </w:lvl>
    <w:lvl w:ilvl="7" w:tplc="04070003" w:tentative="1">
      <w:start w:val="1"/>
      <w:numFmt w:val="bullet"/>
      <w:lvlText w:val="o"/>
      <w:lvlJc w:val="left"/>
      <w:pPr>
        <w:tabs>
          <w:tab w:val="num" w:pos="4946"/>
        </w:tabs>
        <w:ind w:left="4946" w:hanging="360"/>
      </w:pPr>
      <w:rPr>
        <w:rFonts w:ascii="Courier New" w:hAnsi="Courier New" w:cs="Courier New" w:hint="default"/>
      </w:rPr>
    </w:lvl>
    <w:lvl w:ilvl="8" w:tplc="04070005" w:tentative="1">
      <w:start w:val="1"/>
      <w:numFmt w:val="bullet"/>
      <w:lvlText w:val=""/>
      <w:lvlJc w:val="left"/>
      <w:pPr>
        <w:tabs>
          <w:tab w:val="num" w:pos="5666"/>
        </w:tabs>
        <w:ind w:left="5666"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816"/>
    <w:rsid w:val="00005037"/>
    <w:rsid w:val="000067DB"/>
    <w:rsid w:val="00010262"/>
    <w:rsid w:val="00017089"/>
    <w:rsid w:val="0002379F"/>
    <w:rsid w:val="0003150C"/>
    <w:rsid w:val="00031F13"/>
    <w:rsid w:val="000340F0"/>
    <w:rsid w:val="0004235D"/>
    <w:rsid w:val="00043B9F"/>
    <w:rsid w:val="0005003E"/>
    <w:rsid w:val="0005088A"/>
    <w:rsid w:val="00052E3D"/>
    <w:rsid w:val="000533E4"/>
    <w:rsid w:val="000534F5"/>
    <w:rsid w:val="00053E02"/>
    <w:rsid w:val="00055DB9"/>
    <w:rsid w:val="00057B5E"/>
    <w:rsid w:val="00066B26"/>
    <w:rsid w:val="00066F72"/>
    <w:rsid w:val="000678AC"/>
    <w:rsid w:val="000712A1"/>
    <w:rsid w:val="00072ED9"/>
    <w:rsid w:val="00074BBB"/>
    <w:rsid w:val="00074DBF"/>
    <w:rsid w:val="00082CEB"/>
    <w:rsid w:val="00090198"/>
    <w:rsid w:val="00092B42"/>
    <w:rsid w:val="00092ED5"/>
    <w:rsid w:val="000A0ADB"/>
    <w:rsid w:val="000A1CC8"/>
    <w:rsid w:val="000A30A5"/>
    <w:rsid w:val="000A36B5"/>
    <w:rsid w:val="000A52A1"/>
    <w:rsid w:val="000B04BE"/>
    <w:rsid w:val="000B09B5"/>
    <w:rsid w:val="000B1F4D"/>
    <w:rsid w:val="000C2344"/>
    <w:rsid w:val="000D64B9"/>
    <w:rsid w:val="000D6E1A"/>
    <w:rsid w:val="000E1855"/>
    <w:rsid w:val="000E27A1"/>
    <w:rsid w:val="000E3EA6"/>
    <w:rsid w:val="000E6CBA"/>
    <w:rsid w:val="000F51F6"/>
    <w:rsid w:val="000F6043"/>
    <w:rsid w:val="000F739B"/>
    <w:rsid w:val="0010501A"/>
    <w:rsid w:val="00115D3B"/>
    <w:rsid w:val="00127B91"/>
    <w:rsid w:val="00131631"/>
    <w:rsid w:val="0013222F"/>
    <w:rsid w:val="00136177"/>
    <w:rsid w:val="0015090D"/>
    <w:rsid w:val="00150B42"/>
    <w:rsid w:val="001512DE"/>
    <w:rsid w:val="00155FB8"/>
    <w:rsid w:val="00157CE5"/>
    <w:rsid w:val="001647D2"/>
    <w:rsid w:val="00166C42"/>
    <w:rsid w:val="00172622"/>
    <w:rsid w:val="00176EF6"/>
    <w:rsid w:val="00176FA4"/>
    <w:rsid w:val="001840A9"/>
    <w:rsid w:val="00187CEF"/>
    <w:rsid w:val="001904A7"/>
    <w:rsid w:val="0019232E"/>
    <w:rsid w:val="00194E9A"/>
    <w:rsid w:val="001968B5"/>
    <w:rsid w:val="001969B9"/>
    <w:rsid w:val="001A117A"/>
    <w:rsid w:val="001A73A2"/>
    <w:rsid w:val="001A775B"/>
    <w:rsid w:val="001A7CB1"/>
    <w:rsid w:val="001A7F40"/>
    <w:rsid w:val="001B13D6"/>
    <w:rsid w:val="001B6BCF"/>
    <w:rsid w:val="001B7B01"/>
    <w:rsid w:val="001C24D7"/>
    <w:rsid w:val="001C3A3D"/>
    <w:rsid w:val="001C4018"/>
    <w:rsid w:val="001C63A2"/>
    <w:rsid w:val="001D0384"/>
    <w:rsid w:val="001D4912"/>
    <w:rsid w:val="001E2B93"/>
    <w:rsid w:val="001E72DC"/>
    <w:rsid w:val="001F1AAA"/>
    <w:rsid w:val="001F2881"/>
    <w:rsid w:val="001F474A"/>
    <w:rsid w:val="0020098E"/>
    <w:rsid w:val="00200A63"/>
    <w:rsid w:val="00205626"/>
    <w:rsid w:val="00206116"/>
    <w:rsid w:val="00212628"/>
    <w:rsid w:val="00221354"/>
    <w:rsid w:val="0022299B"/>
    <w:rsid w:val="00225724"/>
    <w:rsid w:val="00226592"/>
    <w:rsid w:val="00230DF0"/>
    <w:rsid w:val="002331FE"/>
    <w:rsid w:val="00243214"/>
    <w:rsid w:val="002470B2"/>
    <w:rsid w:val="00247A55"/>
    <w:rsid w:val="0026313A"/>
    <w:rsid w:val="002647A0"/>
    <w:rsid w:val="00266E47"/>
    <w:rsid w:val="00267C3F"/>
    <w:rsid w:val="00270E75"/>
    <w:rsid w:val="0027288C"/>
    <w:rsid w:val="00273341"/>
    <w:rsid w:val="00281D0B"/>
    <w:rsid w:val="0029316B"/>
    <w:rsid w:val="00294ABE"/>
    <w:rsid w:val="00294C04"/>
    <w:rsid w:val="002972D1"/>
    <w:rsid w:val="002A04A9"/>
    <w:rsid w:val="002A39BB"/>
    <w:rsid w:val="002A5D22"/>
    <w:rsid w:val="002A6C3B"/>
    <w:rsid w:val="002B2325"/>
    <w:rsid w:val="002B417A"/>
    <w:rsid w:val="002C089D"/>
    <w:rsid w:val="002C101B"/>
    <w:rsid w:val="002C1859"/>
    <w:rsid w:val="002C68AD"/>
    <w:rsid w:val="002D2C56"/>
    <w:rsid w:val="002D322C"/>
    <w:rsid w:val="002D4864"/>
    <w:rsid w:val="002E5D62"/>
    <w:rsid w:val="002F1386"/>
    <w:rsid w:val="002F1D87"/>
    <w:rsid w:val="002F6B87"/>
    <w:rsid w:val="00301C71"/>
    <w:rsid w:val="00303345"/>
    <w:rsid w:val="00313A36"/>
    <w:rsid w:val="0031685E"/>
    <w:rsid w:val="003231F6"/>
    <w:rsid w:val="003357AC"/>
    <w:rsid w:val="00351591"/>
    <w:rsid w:val="00353139"/>
    <w:rsid w:val="0035638A"/>
    <w:rsid w:val="003605B9"/>
    <w:rsid w:val="00360DD9"/>
    <w:rsid w:val="00362122"/>
    <w:rsid w:val="00364A52"/>
    <w:rsid w:val="003713A4"/>
    <w:rsid w:val="00373F97"/>
    <w:rsid w:val="0037406D"/>
    <w:rsid w:val="00374216"/>
    <w:rsid w:val="0038545D"/>
    <w:rsid w:val="003869E8"/>
    <w:rsid w:val="00391288"/>
    <w:rsid w:val="00393777"/>
    <w:rsid w:val="00395E5A"/>
    <w:rsid w:val="00395F5E"/>
    <w:rsid w:val="0039742D"/>
    <w:rsid w:val="003A34AF"/>
    <w:rsid w:val="003A3A38"/>
    <w:rsid w:val="003A7DB9"/>
    <w:rsid w:val="003B2055"/>
    <w:rsid w:val="003C0806"/>
    <w:rsid w:val="003C18DE"/>
    <w:rsid w:val="003C1B31"/>
    <w:rsid w:val="003C2B1A"/>
    <w:rsid w:val="003C32C3"/>
    <w:rsid w:val="003C39C6"/>
    <w:rsid w:val="003C6981"/>
    <w:rsid w:val="003C7E95"/>
    <w:rsid w:val="003D0C22"/>
    <w:rsid w:val="003D6941"/>
    <w:rsid w:val="003E1E1C"/>
    <w:rsid w:val="003E2ABC"/>
    <w:rsid w:val="003F0403"/>
    <w:rsid w:val="003F5B99"/>
    <w:rsid w:val="004019FD"/>
    <w:rsid w:val="00403E6A"/>
    <w:rsid w:val="004053B5"/>
    <w:rsid w:val="0040615A"/>
    <w:rsid w:val="00407393"/>
    <w:rsid w:val="004118BD"/>
    <w:rsid w:val="00411E29"/>
    <w:rsid w:val="004127FA"/>
    <w:rsid w:val="00416C9C"/>
    <w:rsid w:val="0042033E"/>
    <w:rsid w:val="004357AD"/>
    <w:rsid w:val="00436C44"/>
    <w:rsid w:val="00437F7F"/>
    <w:rsid w:val="00453296"/>
    <w:rsid w:val="00453C23"/>
    <w:rsid w:val="00454E55"/>
    <w:rsid w:val="00455DB8"/>
    <w:rsid w:val="00467DFD"/>
    <w:rsid w:val="00476879"/>
    <w:rsid w:val="00484C75"/>
    <w:rsid w:val="00490F10"/>
    <w:rsid w:val="00491397"/>
    <w:rsid w:val="00493C81"/>
    <w:rsid w:val="00494006"/>
    <w:rsid w:val="00496AAC"/>
    <w:rsid w:val="004A14C9"/>
    <w:rsid w:val="004A3506"/>
    <w:rsid w:val="004B0CD4"/>
    <w:rsid w:val="004B3E81"/>
    <w:rsid w:val="004B3EBE"/>
    <w:rsid w:val="004C39AD"/>
    <w:rsid w:val="004C4EE9"/>
    <w:rsid w:val="004D2CBD"/>
    <w:rsid w:val="004E5D79"/>
    <w:rsid w:val="004F4904"/>
    <w:rsid w:val="004F5FF9"/>
    <w:rsid w:val="00500640"/>
    <w:rsid w:val="00500D7D"/>
    <w:rsid w:val="005067AC"/>
    <w:rsid w:val="00514890"/>
    <w:rsid w:val="0051584D"/>
    <w:rsid w:val="00521A24"/>
    <w:rsid w:val="0053048D"/>
    <w:rsid w:val="00532138"/>
    <w:rsid w:val="00535023"/>
    <w:rsid w:val="0053532A"/>
    <w:rsid w:val="005404F1"/>
    <w:rsid w:val="00544D85"/>
    <w:rsid w:val="005477FC"/>
    <w:rsid w:val="00550776"/>
    <w:rsid w:val="00556004"/>
    <w:rsid w:val="00566460"/>
    <w:rsid w:val="0057075C"/>
    <w:rsid w:val="005721F8"/>
    <w:rsid w:val="005836C7"/>
    <w:rsid w:val="005838EA"/>
    <w:rsid w:val="00587B8A"/>
    <w:rsid w:val="005929BA"/>
    <w:rsid w:val="00596D82"/>
    <w:rsid w:val="005B3E86"/>
    <w:rsid w:val="005B6F55"/>
    <w:rsid w:val="005C05A3"/>
    <w:rsid w:val="005D1066"/>
    <w:rsid w:val="005D5CF6"/>
    <w:rsid w:val="005E04EA"/>
    <w:rsid w:val="005E0D7D"/>
    <w:rsid w:val="005E7208"/>
    <w:rsid w:val="005F106F"/>
    <w:rsid w:val="00603B2A"/>
    <w:rsid w:val="00607C4E"/>
    <w:rsid w:val="00613AF9"/>
    <w:rsid w:val="0061732F"/>
    <w:rsid w:val="0062257E"/>
    <w:rsid w:val="00622694"/>
    <w:rsid w:val="00625BC2"/>
    <w:rsid w:val="00627E34"/>
    <w:rsid w:val="006309AA"/>
    <w:rsid w:val="00633473"/>
    <w:rsid w:val="006379BD"/>
    <w:rsid w:val="0064403B"/>
    <w:rsid w:val="006500EC"/>
    <w:rsid w:val="006505D7"/>
    <w:rsid w:val="00652071"/>
    <w:rsid w:val="00652D7E"/>
    <w:rsid w:val="00653551"/>
    <w:rsid w:val="0065563B"/>
    <w:rsid w:val="00665471"/>
    <w:rsid w:val="006722C6"/>
    <w:rsid w:val="00692D7F"/>
    <w:rsid w:val="006A0AE2"/>
    <w:rsid w:val="006A2F10"/>
    <w:rsid w:val="006A77D0"/>
    <w:rsid w:val="006B28F5"/>
    <w:rsid w:val="006B3D49"/>
    <w:rsid w:val="006B4C9F"/>
    <w:rsid w:val="006B53C2"/>
    <w:rsid w:val="006B5452"/>
    <w:rsid w:val="006B62EB"/>
    <w:rsid w:val="006B6EBD"/>
    <w:rsid w:val="006B70D3"/>
    <w:rsid w:val="006C0F78"/>
    <w:rsid w:val="006C756C"/>
    <w:rsid w:val="006C7B50"/>
    <w:rsid w:val="006D19E1"/>
    <w:rsid w:val="006D4A96"/>
    <w:rsid w:val="006E533F"/>
    <w:rsid w:val="006E5F26"/>
    <w:rsid w:val="006F3259"/>
    <w:rsid w:val="006F51E6"/>
    <w:rsid w:val="006F5B85"/>
    <w:rsid w:val="00702AE0"/>
    <w:rsid w:val="0071270A"/>
    <w:rsid w:val="00715C46"/>
    <w:rsid w:val="007174DA"/>
    <w:rsid w:val="00722B51"/>
    <w:rsid w:val="00725ED2"/>
    <w:rsid w:val="0073003C"/>
    <w:rsid w:val="007400DF"/>
    <w:rsid w:val="007417A6"/>
    <w:rsid w:val="00752CC5"/>
    <w:rsid w:val="007535ED"/>
    <w:rsid w:val="0075406E"/>
    <w:rsid w:val="00756702"/>
    <w:rsid w:val="00762EA3"/>
    <w:rsid w:val="007763CB"/>
    <w:rsid w:val="007804A7"/>
    <w:rsid w:val="007814C9"/>
    <w:rsid w:val="007908F6"/>
    <w:rsid w:val="00794633"/>
    <w:rsid w:val="007954D9"/>
    <w:rsid w:val="007A2947"/>
    <w:rsid w:val="007A7952"/>
    <w:rsid w:val="007B0BDB"/>
    <w:rsid w:val="007B33DF"/>
    <w:rsid w:val="007C0DE5"/>
    <w:rsid w:val="007C1632"/>
    <w:rsid w:val="007C36EF"/>
    <w:rsid w:val="007C5B15"/>
    <w:rsid w:val="007C6BDE"/>
    <w:rsid w:val="007C7597"/>
    <w:rsid w:val="007C79AC"/>
    <w:rsid w:val="007D0678"/>
    <w:rsid w:val="007D1C2C"/>
    <w:rsid w:val="007D7965"/>
    <w:rsid w:val="007E30B1"/>
    <w:rsid w:val="007E7634"/>
    <w:rsid w:val="00800E25"/>
    <w:rsid w:val="00801634"/>
    <w:rsid w:val="0080537B"/>
    <w:rsid w:val="00816F7A"/>
    <w:rsid w:val="008219CF"/>
    <w:rsid w:val="008314FC"/>
    <w:rsid w:val="00834062"/>
    <w:rsid w:val="008357F0"/>
    <w:rsid w:val="00837104"/>
    <w:rsid w:val="00840E8F"/>
    <w:rsid w:val="0084100F"/>
    <w:rsid w:val="00844F36"/>
    <w:rsid w:val="008457FF"/>
    <w:rsid w:val="00845AE3"/>
    <w:rsid w:val="00847141"/>
    <w:rsid w:val="0085442F"/>
    <w:rsid w:val="0087241B"/>
    <w:rsid w:val="00887086"/>
    <w:rsid w:val="00893500"/>
    <w:rsid w:val="00897534"/>
    <w:rsid w:val="008A0437"/>
    <w:rsid w:val="008B146E"/>
    <w:rsid w:val="008B618F"/>
    <w:rsid w:val="008C29D2"/>
    <w:rsid w:val="008C72BF"/>
    <w:rsid w:val="008D2B02"/>
    <w:rsid w:val="008D44C5"/>
    <w:rsid w:val="008D4FDB"/>
    <w:rsid w:val="008D559E"/>
    <w:rsid w:val="008D7E85"/>
    <w:rsid w:val="008E19FF"/>
    <w:rsid w:val="008E53FF"/>
    <w:rsid w:val="008E62E4"/>
    <w:rsid w:val="008F249D"/>
    <w:rsid w:val="008F54F8"/>
    <w:rsid w:val="009011AA"/>
    <w:rsid w:val="009015EF"/>
    <w:rsid w:val="00904312"/>
    <w:rsid w:val="00904774"/>
    <w:rsid w:val="00906CC3"/>
    <w:rsid w:val="00907DF9"/>
    <w:rsid w:val="00915391"/>
    <w:rsid w:val="00916BD2"/>
    <w:rsid w:val="00917D56"/>
    <w:rsid w:val="00931C9D"/>
    <w:rsid w:val="009324E7"/>
    <w:rsid w:val="00933A00"/>
    <w:rsid w:val="00933BFD"/>
    <w:rsid w:val="009355C0"/>
    <w:rsid w:val="0093610B"/>
    <w:rsid w:val="009407D6"/>
    <w:rsid w:val="00941691"/>
    <w:rsid w:val="00942AED"/>
    <w:rsid w:val="00944E25"/>
    <w:rsid w:val="00953F15"/>
    <w:rsid w:val="009642AB"/>
    <w:rsid w:val="00967657"/>
    <w:rsid w:val="00976A7F"/>
    <w:rsid w:val="00982BCB"/>
    <w:rsid w:val="00992AFB"/>
    <w:rsid w:val="00993F03"/>
    <w:rsid w:val="0099435F"/>
    <w:rsid w:val="00996BC5"/>
    <w:rsid w:val="009A6D34"/>
    <w:rsid w:val="009B4816"/>
    <w:rsid w:val="009B496A"/>
    <w:rsid w:val="009C1BA8"/>
    <w:rsid w:val="009C2D0D"/>
    <w:rsid w:val="009C3492"/>
    <w:rsid w:val="009C3DC3"/>
    <w:rsid w:val="009C49C6"/>
    <w:rsid w:val="009C4D1B"/>
    <w:rsid w:val="009C5AA4"/>
    <w:rsid w:val="009C77A3"/>
    <w:rsid w:val="009D02D4"/>
    <w:rsid w:val="009D2000"/>
    <w:rsid w:val="009D60E3"/>
    <w:rsid w:val="009E0D67"/>
    <w:rsid w:val="009E4985"/>
    <w:rsid w:val="009E6D1A"/>
    <w:rsid w:val="009F16C5"/>
    <w:rsid w:val="009F3E11"/>
    <w:rsid w:val="009F6AF8"/>
    <w:rsid w:val="009F6E78"/>
    <w:rsid w:val="009F7A4B"/>
    <w:rsid w:val="009F7C7E"/>
    <w:rsid w:val="00A01148"/>
    <w:rsid w:val="00A31DC5"/>
    <w:rsid w:val="00A40C81"/>
    <w:rsid w:val="00A436CD"/>
    <w:rsid w:val="00A43A9F"/>
    <w:rsid w:val="00A45E64"/>
    <w:rsid w:val="00A5180B"/>
    <w:rsid w:val="00A532A9"/>
    <w:rsid w:val="00A55E36"/>
    <w:rsid w:val="00A6457C"/>
    <w:rsid w:val="00A709AA"/>
    <w:rsid w:val="00A8223C"/>
    <w:rsid w:val="00A85F2E"/>
    <w:rsid w:val="00A87488"/>
    <w:rsid w:val="00A8757B"/>
    <w:rsid w:val="00A92044"/>
    <w:rsid w:val="00A9727D"/>
    <w:rsid w:val="00AA16B9"/>
    <w:rsid w:val="00AA2AB9"/>
    <w:rsid w:val="00AA47DC"/>
    <w:rsid w:val="00AB5639"/>
    <w:rsid w:val="00AB624E"/>
    <w:rsid w:val="00AC2C09"/>
    <w:rsid w:val="00AC6B6F"/>
    <w:rsid w:val="00AD5B36"/>
    <w:rsid w:val="00AE11FC"/>
    <w:rsid w:val="00AE12FA"/>
    <w:rsid w:val="00AE6354"/>
    <w:rsid w:val="00AF15AF"/>
    <w:rsid w:val="00AF5BEE"/>
    <w:rsid w:val="00AF6619"/>
    <w:rsid w:val="00AF6EB4"/>
    <w:rsid w:val="00AF723E"/>
    <w:rsid w:val="00B01141"/>
    <w:rsid w:val="00B02E33"/>
    <w:rsid w:val="00B04CF2"/>
    <w:rsid w:val="00B12803"/>
    <w:rsid w:val="00B214A1"/>
    <w:rsid w:val="00B22D5C"/>
    <w:rsid w:val="00B263F0"/>
    <w:rsid w:val="00B2716E"/>
    <w:rsid w:val="00B31661"/>
    <w:rsid w:val="00B32703"/>
    <w:rsid w:val="00B47522"/>
    <w:rsid w:val="00B47DAA"/>
    <w:rsid w:val="00B5097B"/>
    <w:rsid w:val="00B54313"/>
    <w:rsid w:val="00B60B5F"/>
    <w:rsid w:val="00B6496F"/>
    <w:rsid w:val="00B8064D"/>
    <w:rsid w:val="00B80F06"/>
    <w:rsid w:val="00B827C6"/>
    <w:rsid w:val="00B84CEB"/>
    <w:rsid w:val="00B86327"/>
    <w:rsid w:val="00B923B5"/>
    <w:rsid w:val="00B93F09"/>
    <w:rsid w:val="00B945A0"/>
    <w:rsid w:val="00BA23FC"/>
    <w:rsid w:val="00BA4D5B"/>
    <w:rsid w:val="00BA7B01"/>
    <w:rsid w:val="00BB1390"/>
    <w:rsid w:val="00BB30F3"/>
    <w:rsid w:val="00BC738E"/>
    <w:rsid w:val="00BD0576"/>
    <w:rsid w:val="00BE50D0"/>
    <w:rsid w:val="00BF16FE"/>
    <w:rsid w:val="00BF3D1C"/>
    <w:rsid w:val="00C012F5"/>
    <w:rsid w:val="00C068BC"/>
    <w:rsid w:val="00C17081"/>
    <w:rsid w:val="00C20A85"/>
    <w:rsid w:val="00C2672C"/>
    <w:rsid w:val="00C27FD4"/>
    <w:rsid w:val="00C365E2"/>
    <w:rsid w:val="00C43022"/>
    <w:rsid w:val="00C44EFB"/>
    <w:rsid w:val="00C55264"/>
    <w:rsid w:val="00C55546"/>
    <w:rsid w:val="00C6011F"/>
    <w:rsid w:val="00C6695C"/>
    <w:rsid w:val="00C827B4"/>
    <w:rsid w:val="00C97946"/>
    <w:rsid w:val="00CA125C"/>
    <w:rsid w:val="00CA4F91"/>
    <w:rsid w:val="00CA6FA8"/>
    <w:rsid w:val="00CA7ABB"/>
    <w:rsid w:val="00CB0E86"/>
    <w:rsid w:val="00CB57E5"/>
    <w:rsid w:val="00CB7EE8"/>
    <w:rsid w:val="00CC0BDA"/>
    <w:rsid w:val="00CC2682"/>
    <w:rsid w:val="00CC3B0C"/>
    <w:rsid w:val="00CC445A"/>
    <w:rsid w:val="00CC67B4"/>
    <w:rsid w:val="00CD4EFC"/>
    <w:rsid w:val="00CE11CA"/>
    <w:rsid w:val="00CE12BA"/>
    <w:rsid w:val="00CE432C"/>
    <w:rsid w:val="00CE6DBB"/>
    <w:rsid w:val="00CF7A56"/>
    <w:rsid w:val="00D00AFB"/>
    <w:rsid w:val="00D0520C"/>
    <w:rsid w:val="00D1357B"/>
    <w:rsid w:val="00D14555"/>
    <w:rsid w:val="00D17DCC"/>
    <w:rsid w:val="00D2260F"/>
    <w:rsid w:val="00D31359"/>
    <w:rsid w:val="00D32EF0"/>
    <w:rsid w:val="00D34665"/>
    <w:rsid w:val="00D35E52"/>
    <w:rsid w:val="00D36FA6"/>
    <w:rsid w:val="00D41E9A"/>
    <w:rsid w:val="00D47A63"/>
    <w:rsid w:val="00D47D7E"/>
    <w:rsid w:val="00D53F31"/>
    <w:rsid w:val="00D54376"/>
    <w:rsid w:val="00D5584D"/>
    <w:rsid w:val="00D56DCE"/>
    <w:rsid w:val="00D62269"/>
    <w:rsid w:val="00D62EDC"/>
    <w:rsid w:val="00D63D44"/>
    <w:rsid w:val="00D714C0"/>
    <w:rsid w:val="00D83123"/>
    <w:rsid w:val="00D83DE6"/>
    <w:rsid w:val="00D847A0"/>
    <w:rsid w:val="00D976DC"/>
    <w:rsid w:val="00DA244B"/>
    <w:rsid w:val="00DA7F88"/>
    <w:rsid w:val="00DB52E7"/>
    <w:rsid w:val="00DC0318"/>
    <w:rsid w:val="00DD1D5F"/>
    <w:rsid w:val="00DE0269"/>
    <w:rsid w:val="00DE75AA"/>
    <w:rsid w:val="00E012C5"/>
    <w:rsid w:val="00E023A9"/>
    <w:rsid w:val="00E0518F"/>
    <w:rsid w:val="00E05770"/>
    <w:rsid w:val="00E07D1B"/>
    <w:rsid w:val="00E1006D"/>
    <w:rsid w:val="00E15332"/>
    <w:rsid w:val="00E218E2"/>
    <w:rsid w:val="00E23FEE"/>
    <w:rsid w:val="00E314F5"/>
    <w:rsid w:val="00E3654E"/>
    <w:rsid w:val="00E41DCE"/>
    <w:rsid w:val="00E4225B"/>
    <w:rsid w:val="00E42694"/>
    <w:rsid w:val="00E5151F"/>
    <w:rsid w:val="00E5338E"/>
    <w:rsid w:val="00E53F82"/>
    <w:rsid w:val="00E548A7"/>
    <w:rsid w:val="00E556F1"/>
    <w:rsid w:val="00E57E49"/>
    <w:rsid w:val="00E61C50"/>
    <w:rsid w:val="00E63E40"/>
    <w:rsid w:val="00E65D4A"/>
    <w:rsid w:val="00E7237D"/>
    <w:rsid w:val="00E736C8"/>
    <w:rsid w:val="00E73CDF"/>
    <w:rsid w:val="00E917F8"/>
    <w:rsid w:val="00E9249A"/>
    <w:rsid w:val="00EA34C6"/>
    <w:rsid w:val="00EA50D7"/>
    <w:rsid w:val="00EA56BF"/>
    <w:rsid w:val="00EB23A5"/>
    <w:rsid w:val="00EC3533"/>
    <w:rsid w:val="00ED7123"/>
    <w:rsid w:val="00EE40FA"/>
    <w:rsid w:val="00EF08B2"/>
    <w:rsid w:val="00EF1BB7"/>
    <w:rsid w:val="00EF2F33"/>
    <w:rsid w:val="00EF596C"/>
    <w:rsid w:val="00F00BDC"/>
    <w:rsid w:val="00F0298C"/>
    <w:rsid w:val="00F07750"/>
    <w:rsid w:val="00F10047"/>
    <w:rsid w:val="00F12C58"/>
    <w:rsid w:val="00F217EA"/>
    <w:rsid w:val="00F229A2"/>
    <w:rsid w:val="00F30A77"/>
    <w:rsid w:val="00F4393F"/>
    <w:rsid w:val="00F46A3A"/>
    <w:rsid w:val="00F5375D"/>
    <w:rsid w:val="00F5454E"/>
    <w:rsid w:val="00F565A8"/>
    <w:rsid w:val="00F715C3"/>
    <w:rsid w:val="00F718BD"/>
    <w:rsid w:val="00F72B06"/>
    <w:rsid w:val="00F77F3D"/>
    <w:rsid w:val="00F80507"/>
    <w:rsid w:val="00F839BD"/>
    <w:rsid w:val="00F83CD3"/>
    <w:rsid w:val="00F85F61"/>
    <w:rsid w:val="00F87D4F"/>
    <w:rsid w:val="00F90D95"/>
    <w:rsid w:val="00F95487"/>
    <w:rsid w:val="00F95DEF"/>
    <w:rsid w:val="00FA1553"/>
    <w:rsid w:val="00FA1B7A"/>
    <w:rsid w:val="00FA2247"/>
    <w:rsid w:val="00FA2C0F"/>
    <w:rsid w:val="00FA4DF8"/>
    <w:rsid w:val="00FB45FB"/>
    <w:rsid w:val="00FC09A1"/>
    <w:rsid w:val="00FC1374"/>
    <w:rsid w:val="00FC1781"/>
    <w:rsid w:val="00FC244F"/>
    <w:rsid w:val="00FD79DA"/>
    <w:rsid w:val="00FE27C0"/>
    <w:rsid w:val="00FE2ADC"/>
    <w:rsid w:val="00FE5997"/>
    <w:rsid w:val="00FF0950"/>
    <w:rsid w:val="00FF5484"/>
    <w:rsid w:val="00FF6BDD"/>
    <w:rsid w:val="00FF6D32"/>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D3B6D"/>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40"/>
      <w:jc w:val="both"/>
    </w:pPr>
    <w:rPr>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40"/>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spacing w:before="90" w:after="30"/>
      <w:jc w:val="left"/>
    </w:pPr>
    <w:rPr>
      <w:b w:val="0"/>
      <w:i/>
      <w:szCs w:val="22"/>
      <w:lang w:val="en-GB"/>
    </w:rPr>
  </w:style>
  <w:style w:type="paragraph" w:customStyle="1" w:styleId="SWCReferences">
    <w:name w:val="SWC_References"/>
    <w:rsid w:val="00225724"/>
    <w:pPr>
      <w:tabs>
        <w:tab w:val="left" w:pos="480"/>
      </w:tabs>
      <w:spacing w:after="5"/>
      <w:ind w:left="480" w:hanging="480"/>
      <w:jc w:val="both"/>
    </w:pPr>
    <w:rPr>
      <w:color w:val="000000"/>
      <w:sz w:val="17"/>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24" w:after="30"/>
      <w:ind w:left="57" w:right="57"/>
      <w:jc w:val="both"/>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Cs w:val="22"/>
      <w:lang w:val="en-US"/>
    </w:rPr>
  </w:style>
  <w:style w:type="table" w:styleId="TableGrid">
    <w:name w:val="Table Grid"/>
    <w:basedOn w:val="TableNormal"/>
    <w:uiPriority w:val="5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before="4" w:after="4"/>
      <w:jc w:val="center"/>
    </w:pPr>
    <w:rPr>
      <w:b/>
      <w:bCs/>
      <w:color w:val="000000"/>
      <w:sz w:val="16"/>
      <w:lang w:val="en-GB" w:eastAsia="de-DE"/>
    </w:rPr>
  </w:style>
  <w:style w:type="paragraph" w:customStyle="1" w:styleId="SWCTableText">
    <w:name w:val="SWC_TableText"/>
    <w:qFormat/>
    <w:rsid w:val="00F715C3"/>
    <w:pPr>
      <w:spacing w:before="4" w:after="4"/>
      <w:jc w:val="center"/>
    </w:pPr>
    <w:rPr>
      <w:color w:val="000000"/>
      <w:sz w:val="16"/>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spacing w:before="140" w:after="50"/>
      <w:jc w:val="center"/>
    </w:pPr>
    <w:rPr>
      <w:rFonts w:ascii="Arial" w:hAnsi="Arial" w:cs="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spacing w:before="0" w:after="40"/>
    </w:pPr>
    <w:rPr>
      <w:b w:val="0"/>
    </w:rPr>
  </w:style>
  <w:style w:type="paragraph" w:styleId="FootnoteText">
    <w:name w:val="footnote text"/>
    <w:basedOn w:val="Normal"/>
    <w:semiHidden/>
    <w:rsid w:val="003869E8"/>
    <w:rPr>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spacing w:before="160" w:after="60"/>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535023"/>
    <w:rPr>
      <w:color w:val="605E5C"/>
      <w:shd w:val="clear" w:color="auto" w:fill="E1DFDD"/>
    </w:rPr>
  </w:style>
  <w:style w:type="paragraph" w:styleId="NormalWeb">
    <w:name w:val="Normal (Web)"/>
    <w:basedOn w:val="Normal"/>
    <w:uiPriority w:val="99"/>
    <w:unhideWhenUsed/>
    <w:rsid w:val="00A45E64"/>
    <w:pPr>
      <w:spacing w:before="100" w:beforeAutospacing="1" w:after="100" w:afterAutospacing="1"/>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ypaynegm@gmail.com"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emmanuel.payne@ttu.edu.gh" TargetMode="External"/><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12</Pages>
  <Words>6311</Words>
  <Characters>35977</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User</cp:lastModifiedBy>
  <cp:revision>36</cp:revision>
  <cp:lastPrinted>2023-02-22T18:40:00Z</cp:lastPrinted>
  <dcterms:created xsi:type="dcterms:W3CDTF">2026-09-02T05:40:00Z</dcterms:created>
  <dcterms:modified xsi:type="dcterms:W3CDTF">2026-09-03T08:32:00Z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1acf2282-7938-4a78-95a2-5dd9bf8cb26c</vt:lpwstr>
  </property>
</Properties>
</file>