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Pr>
          <w:sz w:val="28"/>
          <w:szCs w:val="28"/>
        </w:rPr>
        <w:t>EuroSun2026</w:t>
      </w:r>
    </w:p>
    <w:p w14:paraId="7142D0DC" w14:textId="07BAFC8D" w:rsidR="00D32EF0" w:rsidRDefault="00C94E67" w:rsidP="0062178F">
      <w:pPr>
        <w:pStyle w:val="SWCTitle"/>
        <w:rPr>
          <w:sz w:val="28"/>
          <w:szCs w:val="28"/>
        </w:rPr>
      </w:pPr>
      <w:r>
        <w:rPr>
          <w:sz w:val="28"/>
          <w:szCs w:val="28"/>
        </w:rPr>
        <w:t>BUILDING ENVELOPE DESIGN AND COOLING DEMAND IN HIGH-RISE RESIDENTIAL BUILDINGS: A COMPOSITE CLIMATE CASE FROM THE GLOBAL SOUTH</w:t>
      </w:r>
    </w:p>
    <w:p w14:paraId="0094A247" w14:textId="264A749B" w:rsidR="00FA1520" w:rsidRPr="006B3D49" w:rsidRDefault="00FA1520" w:rsidP="00FA1520">
      <w:pPr>
        <w:pStyle w:val="SWCTitle"/>
        <w:spacing w:before="0" w:after="0"/>
        <w:rPr>
          <w:rFonts w:ascii="Times New Roman" w:hAnsi="Times New Roman"/>
          <w:b w:val="0"/>
          <w:sz w:val="20"/>
          <w:szCs w:val="20"/>
        </w:rPr>
      </w:pPr>
      <w:r>
        <w:rPr>
          <w:rFonts w:ascii="Times New Roman" w:hAnsi="Times New Roman"/>
          <w:b w:val="0"/>
          <w:sz w:val="20"/>
          <w:szCs w:val="20"/>
        </w:rPr>
        <w:t>Kedar Mehta</w:t>
      </w:r>
      <w:r>
        <w:rPr>
          <w:rFonts w:ascii="Times New Roman" w:hAnsi="Times New Roman"/>
          <w:b w:val="0"/>
          <w:sz w:val="20"/>
          <w:szCs w:val="20"/>
          <w:vertAlign w:val="superscript"/>
        </w:rPr>
        <w:t>1*</w:t>
      </w:r>
      <w:r>
        <w:rPr>
          <w:rFonts w:ascii="Times New Roman" w:hAnsi="Times New Roman"/>
          <w:b w:val="0"/>
          <w:sz w:val="20"/>
          <w:szCs w:val="20"/>
        </w:rPr>
        <w:t xml:space="preserve">, Pushpendra Chaturvedi</w:t>
      </w:r>
      <w:r>
        <w:rPr>
          <w:rFonts w:ascii="Times New Roman" w:hAnsi="Times New Roman"/>
          <w:b w:val="0"/>
          <w:sz w:val="20"/>
          <w:szCs w:val="20"/>
          <w:vertAlign w:val="superscript"/>
        </w:rPr>
        <w:t>2</w:t>
      </w:r>
      <w:r>
        <w:rPr>
          <w:rFonts w:ascii="Times New Roman" w:hAnsi="Times New Roman"/>
          <w:b w:val="0"/>
          <w:sz w:val="20"/>
          <w:szCs w:val="20"/>
        </w:rPr>
        <w:t>, Bhoomika</w:t>
      </w:r>
      <w:r>
        <w:rPr>
          <w:rFonts w:ascii="Times New Roman" w:hAnsi="Times New Roman"/>
          <w:b w:val="0"/>
          <w:sz w:val="20"/>
          <w:szCs w:val="20"/>
          <w:vertAlign w:val="superscript"/>
        </w:rPr>
        <w:t>3</w:t>
      </w:r>
      <w:r>
        <w:rPr>
          <w:rFonts w:ascii="Times New Roman" w:hAnsi="Times New Roman"/>
          <w:b w:val="0"/>
          <w:sz w:val="20"/>
          <w:szCs w:val="20"/>
        </w:rPr>
        <w:t>, Priyanka Kumawat</w:t>
      </w:r>
      <w:r>
        <w:rPr>
          <w:rFonts w:ascii="Times New Roman" w:hAnsi="Times New Roman"/>
          <w:b w:val="0"/>
          <w:sz w:val="20"/>
          <w:szCs w:val="20"/>
          <w:vertAlign w:val="superscript"/>
        </w:rPr>
        <w:t>2</w:t>
      </w:r>
      <w:r>
        <w:rPr>
          <w:rFonts w:ascii="Times New Roman" w:hAnsi="Times New Roman"/>
          <w:b w:val="0"/>
          <w:sz w:val="20"/>
          <w:szCs w:val="20"/>
        </w:rPr>
        <w:t>, Ravita Lamba</w:t>
      </w:r>
      <w:r>
        <w:rPr>
          <w:rFonts w:ascii="Times New Roman" w:hAnsi="Times New Roman"/>
          <w:b w:val="0"/>
          <w:sz w:val="20"/>
          <w:szCs w:val="20"/>
          <w:vertAlign w:val="superscript"/>
        </w:rPr>
        <w:t>4</w:t>
      </w:r>
      <w:r>
        <w:rPr>
          <w:rFonts w:ascii="Times New Roman" w:hAnsi="Times New Roman"/>
          <w:b w:val="0"/>
          <w:sz w:val="20"/>
          <w:szCs w:val="20"/>
        </w:rPr>
        <w:t>, Rune Andersen</w:t>
      </w:r>
      <w:r>
        <w:rPr>
          <w:rFonts w:ascii="Times New Roman" w:hAnsi="Times New Roman"/>
          <w:b w:val="0"/>
          <w:sz w:val="20"/>
          <w:szCs w:val="20"/>
          <w:vertAlign w:val="superscript"/>
        </w:rPr>
        <w:t>5</w:t>
      </w:r>
      <w:r>
        <w:rPr>
          <w:rFonts w:ascii="Times New Roman" w:hAnsi="Times New Roman"/>
          <w:b w:val="0"/>
          <w:sz w:val="20"/>
          <w:szCs w:val="20"/>
        </w:rPr>
        <w:t xml:space="preserve">, Jørn Toftum</w:t>
      </w:r>
      <w:r>
        <w:rPr>
          <w:rFonts w:ascii="Times New Roman" w:hAnsi="Times New Roman"/>
          <w:b w:val="0"/>
          <w:sz w:val="20"/>
          <w:szCs w:val="20"/>
          <w:vertAlign w:val="superscript"/>
        </w:rPr>
        <w:t>5</w:t>
      </w:r>
      <w:r>
        <w:rPr>
          <w:rFonts w:ascii="Times New Roman" w:hAnsi="Times New Roman"/>
          <w:b w:val="0"/>
          <w:sz w:val="20"/>
          <w:szCs w:val="20"/>
        </w:rPr>
        <w:t>, Nand Kumar</w:t>
      </w:r>
      <w:r>
        <w:rPr>
          <w:rFonts w:ascii="Times New Roman" w:hAnsi="Times New Roman"/>
          <w:b w:val="0"/>
          <w:sz w:val="20"/>
          <w:szCs w:val="20"/>
          <w:vertAlign w:val="superscript"/>
        </w:rPr>
        <w:t>2</w:t>
      </w:r>
    </w:p>
    <w:p w14:paraId="796E5024" w14:textId="2A21D3E6" w:rsidR="003A7FEE" w:rsidRDefault="003A7FEE" w:rsidP="003A7FEE">
      <w:pPr>
        <w:pStyle w:val="SWCTitle"/>
        <w:spacing w:before="0" w:after="0"/>
        <w:rPr>
          <w:rFonts w:ascii="Times New Roman" w:hAnsi="Times New Roman"/>
          <w:b w:val="0"/>
          <w:sz w:val="20"/>
          <w:szCs w:val="22"/>
        </w:rPr>
      </w:pPr>
      <w:r>
        <w:rPr>
          <w:rFonts w:ascii="Times New Roman" w:hAnsi="Times New Roman"/>
          <w:b w:val="0"/>
          <w:sz w:val="20"/>
          <w:szCs w:val="22"/>
          <w:vertAlign w:val="superscript"/>
        </w:rPr>
        <w:t>1</w:t>
      </w:r>
      <w:r>
        <w:rPr>
          <w:rFonts w:ascii="Times New Roman" w:hAnsi="Times New Roman"/>
          <w:b w:val="0"/>
          <w:sz w:val="20"/>
          <w:szCs w:val="22"/>
        </w:rPr>
        <w:t xml:space="preserve"> Campus Mainburg, Deggendorf Institute of Technology, Deggendorf (Germany) </w:t>
      </w:r>
    </w:p>
    <w:p w14:paraId="210CEBFE" w14:textId="4ED68586" w:rsidR="00FA5B11" w:rsidRDefault="003A7FEE" w:rsidP="003A7FEE">
      <w:pPr>
        <w:pStyle w:val="SWCTitle"/>
        <w:spacing w:before="0" w:after="0"/>
        <w:rPr>
          <w:rFonts w:ascii="Times New Roman" w:hAnsi="Times New Roman"/>
          <w:b w:val="0"/>
          <w:sz w:val="20"/>
          <w:szCs w:val="22"/>
        </w:rPr>
      </w:pPr>
      <w:r>
        <w:rPr>
          <w:rFonts w:ascii="Times New Roman" w:hAnsi="Times New Roman"/>
          <w:b w:val="0"/>
          <w:sz w:val="20"/>
          <w:szCs w:val="22"/>
          <w:vertAlign w:val="superscript"/>
        </w:rPr>
        <w:t xml:space="preserve">2 </w:t>
      </w:r>
      <w:r>
        <w:rPr>
          <w:rFonts w:ascii="Times New Roman" w:hAnsi="Times New Roman"/>
          <w:b w:val="0"/>
          <w:sz w:val="20"/>
          <w:szCs w:val="22"/>
        </w:rPr>
        <w:t xml:space="preserve">Department of Architecture and Planning, Malaviya National Institute of Technology, Jaipur (India)</w:t>
      </w:r>
    </w:p>
    <w:p w14:paraId="78E33280" w14:textId="00F0639D" w:rsidR="00FA5B11" w:rsidRPr="00FA5B11" w:rsidRDefault="00FE739D" w:rsidP="00FA5B11">
      <w:pPr>
        <w:pStyle w:val="SWCTitle"/>
        <w:spacing w:before="0" w:after="0"/>
        <w:rPr>
          <w:rFonts w:ascii="Times New Roman" w:hAnsi="Times New Roman"/>
          <w:b w:val="0"/>
          <w:sz w:val="20"/>
          <w:szCs w:val="22"/>
        </w:rPr>
      </w:pPr>
      <w:r>
        <w:rPr>
          <w:rFonts w:ascii="Times New Roman" w:hAnsi="Times New Roman"/>
          <w:b w:val="0"/>
          <w:sz w:val="20"/>
          <w:szCs w:val="22"/>
          <w:vertAlign w:val="superscript"/>
        </w:rPr>
        <w:t xml:space="preserve">3 </w:t>
      </w:r>
      <w:r>
        <w:rPr>
          <w:rFonts w:ascii="Times New Roman" w:hAnsi="Times New Roman"/>
          <w:b w:val="0"/>
          <w:sz w:val="20"/>
          <w:szCs w:val="22"/>
        </w:rPr>
        <w:t xml:space="preserve">CEPT University, Ahmedabad (India)</w:t>
        <w:br/>
      </w:r>
      <w:r>
        <w:rPr>
          <w:rFonts w:ascii="Times New Roman" w:hAnsi="Times New Roman"/>
          <w:b w:val="0"/>
          <w:sz w:val="20"/>
          <w:szCs w:val="22"/>
          <w:vertAlign w:val="superscript"/>
        </w:rPr>
        <w:t xml:space="preserve">4 </w:t>
      </w:r>
      <w:r>
        <w:rPr>
          <w:rFonts w:ascii="Times New Roman" w:hAnsi="Times New Roman"/>
          <w:b w:val="0"/>
          <w:sz w:val="20"/>
          <w:szCs w:val="22"/>
        </w:rPr>
        <w:t xml:space="preserve">Department of Hydro and Renewable Energy, Indian Institute of Technology, Roorkee (India)</w:t>
      </w:r>
    </w:p>
    <w:p w14:paraId="46732962" w14:textId="789C1649" w:rsidR="00FA5B11" w:rsidRPr="00FA5B11" w:rsidRDefault="00FA5B11" w:rsidP="00FA5B11">
      <w:pPr>
        <w:pStyle w:val="SWCTitle"/>
        <w:spacing w:before="0" w:after="0"/>
        <w:rPr>
          <w:rFonts w:ascii="Times New Roman" w:hAnsi="Times New Roman"/>
          <w:b w:val="0"/>
          <w:sz w:val="20"/>
          <w:szCs w:val="22"/>
        </w:rPr>
      </w:pPr>
      <w:r>
        <w:rPr>
          <w:rFonts w:ascii="Times New Roman" w:hAnsi="Times New Roman"/>
          <w:b w:val="0"/>
          <w:sz w:val="20"/>
          <w:szCs w:val="22"/>
          <w:vertAlign w:val="superscript"/>
        </w:rPr>
        <w:t xml:space="preserve">5 </w:t>
      </w:r>
      <w:r>
        <w:rPr>
          <w:rFonts w:ascii="Times New Roman" w:hAnsi="Times New Roman"/>
          <w:b w:val="0"/>
          <w:sz w:val="20"/>
          <w:szCs w:val="22"/>
        </w:rPr>
        <w:t xml:space="preserve">Department of Environmental and Resource Engineering, Indoor Environment, Technical University of Denmark, Kongens Lyngby (Denmark)</w:t>
      </w:r>
    </w:p>
    <w:p w14:paraId="6A839440" w14:textId="3F1562F8" w:rsidR="00FE739D" w:rsidRPr="00FA5B11" w:rsidRDefault="00FE739D" w:rsidP="00FE739D">
      <w:pPr>
        <w:pStyle w:val="SWCTitle"/>
        <w:spacing w:before="0" w:after="0"/>
        <w:rPr>
          <w:rFonts w:ascii="Times New Roman" w:hAnsi="Times New Roman"/>
          <w:b w:val="0"/>
          <w:sz w:val="20"/>
          <w:szCs w:val="22"/>
        </w:rPr>
      </w:pPr>
    </w:p>
    <w:p w14:paraId="76BAC1E5" w14:textId="64C79AFB" w:rsidR="00FA1520" w:rsidRPr="007B1A6E" w:rsidRDefault="00FE739D" w:rsidP="00FE739D">
      <w:pPr>
        <w:pStyle w:val="SWCAuthorOrganisation"/>
        <w:rPr>
          <w:rFonts w:ascii="Times New Roman" w:hAnsi="Times New Roman"/>
          <w:b/>
          <w:sz w:val="20"/>
          <w:szCs w:val="22"/>
          <w:lang w:val="en-US"/>
        </w:rPr>
      </w:pPr>
      <w:r>
        <w:rPr>
          <w:lang w:val="en-US"/>
        </w:rPr>
        <w:t xml:space="preserve">*Corresponding author: </w:t>
      </w:r>
      <w:hyperlink r:id="rId8" w:history="1">
        <w:r>
          <w:rPr>
            <w:rStyle w:val="Hyperlink"/>
            <w:lang w:val="en-US"/>
          </w:rPr>
          <w:t>kedar.mehta@th-deg.de</w:t>
        </w:r>
      </w:hyperlink>
      <w:r>
        <w:rPr>
          <w:lang w:val="en-US"/>
        </w:rPr>
        <w:t xml:space="preserve"> </w:t>
      </w:r>
    </w:p>
    <w:p w14:paraId="3A7DF4B5" w14:textId="77777777" w:rsidR="001A775B" w:rsidRDefault="001A775B" w:rsidP="001A775B">
      <w:pPr>
        <w:pStyle w:val="SWCSummary"/>
      </w:pPr>
      <w:r>
        <w:t>Summary</w:t>
      </w:r>
    </w:p>
    <w:p w14:paraId="7D890210" w14:textId="699BC7EC" w:rsidR="00CD0CE9" w:rsidRDefault="00C94E67" w:rsidP="7D522D5D">
      <w:pPr>
        <w:pStyle w:val="SWCText"/>
        <w:pBdr>
          <w:bottom w:val="single" w:sz="6" w:space="1" w:color="auto"/>
        </w:pBdr>
      </w:pPr>
      <w:r>
        <w:t xml:space="preserve">Rapid urbanisation across the Global South is expanding high-rise residential construction at the same time as household cooling demand is increasing. This creates a dual challenge: new urban housing must provide acceptable thermal comfort under increasingly severe summer conditions while avoiding long-term dependence on high electricity consumption. This paper develops an empirical envelope-cooling-net-zero framework using field-survey data from 128 high-rise residential buildings in Jaipur, India. The dataset combines annual electricity consumption, built-up area, Energy Performance Index (EPI), building height, window-to-wall ratio (WWR), façade orientation and appliance-level electricity use. Annual electricity use ranges from approximately 1,000 to more than 13,000 kWh, while most EPI values fall between 20 and 50 kWh/m²·yr. Air conditioning represents approximately 40% of total electricity consumption and is the largest individual end use. WWR is concentrated mainly between 6% and 12%, but varies substantially between buildings of similar height and floor area, demonstrating that façade design is not determined by building scale alone. Orientation analysis shows the highest mean glazing on north-facing façades, with substantial glazing also present on south, east and west orientations. The results are translated into a four-stage pathway for Jaipur: reduce heat gains through climate-responsive envelope design; satisfy residual comfort demand with efficient cooling and air movement; match remaining electricity demand with rooftop or shared solar PV and, where suitable, solar thermal cooling; and improve the temporal match between solar generation and cooling through control, thermal mass and storage. The study demonstrates that net-zero high-rise housing in hot composite climates should be treated as a demand-reduction and solar-integration problem rather than a renewable-generation problem alone.</w:t>
      </w:r>
    </w:p>
    <w:p w14:paraId="5AB3A3E7" w14:textId="0127BF54" w:rsidR="00DB52E7" w:rsidRDefault="00DB52E7" w:rsidP="001A775B">
      <w:pPr>
        <w:pStyle w:val="SWCText"/>
        <w:pBdr>
          <w:bottom w:val="single" w:sz="6" w:space="1" w:color="auto"/>
        </w:pBdr>
        <w:rPr>
          <w:i/>
          <w:iCs/>
        </w:rPr>
      </w:pPr>
      <w:r>
        <w:rPr>
          <w:i/>
          <w:iCs/>
        </w:rPr>
        <w:t xml:space="preserve">Keywords: high-rise residential buildings; building envelope; cooling demand; window-to-wall ratio; EPI; passive cooling; solar cooling; net-zero energy; Jaipur; Global South.</w:t>
      </w:r>
    </w:p>
    <w:p w14:paraId="01458796" w14:textId="3C3AB78F" w:rsidR="00FA4DF8" w:rsidRPr="00BD30CA" w:rsidRDefault="002C089D" w:rsidP="001A775B">
      <w:pPr>
        <w:pStyle w:val="SWCText"/>
        <w:pBdr>
          <w:bottom w:val="single" w:sz="6" w:space="1" w:color="auto"/>
        </w:pBdr>
        <w:rPr>
          <w:i/>
          <w:iCs/>
        </w:rPr>
      </w:pPr>
      <w:r>
        <w:rPr>
          <w:i/>
          <w:iCs/>
        </w:rPr>
        <w:t xml:space="preserve">Field of application for the findings: Climate-responsive high-rise residential design, building energy efficiency, passive cooling, solar-integrated cooling, net-zero building development, and urban energy planning in hot and composite climates.</w:t>
      </w:r>
    </w:p>
    <w:p w14:paraId="185A319D" w14:textId="06D9533C" w:rsidR="002C089D" w:rsidRDefault="00CC3B0C" w:rsidP="001A775B">
      <w:pPr>
        <w:pStyle w:val="SWCText"/>
        <w:pBdr>
          <w:bottom w:val="single" w:sz="6" w:space="1" w:color="auto"/>
        </w:pBdr>
      </w:pPr>
      <w:r>
        <w:rPr>
          <w:i/>
          <w:iCs/>
        </w:rPr>
        <w:t xml:space="preserve">Addressed audience: Researchers in building energy and solar energy, architects, urban planners, HVAC and building-services engineers, housing developers, policy makers, local authorities, and stakeholders involved in low-energy and net-zero residential development.</w:t>
      </w:r>
    </w:p>
    <w:p w14:paraId="51CD8377" w14:textId="3DEFE59B" w:rsidR="00D32EF0" w:rsidRPr="004C4EE9" w:rsidRDefault="00D32EF0" w:rsidP="005073C5">
      <w:pPr>
        <w:pStyle w:val="SWCHeading1"/>
      </w:pPr>
      <w:r>
        <w:t>Introduction</w:t>
      </w:r>
    </w:p>
    <w:p w14:paraId="28312E19" w14:textId="020B3E02" w:rsidR="00FE05D1" w:rsidRDefault="00FE05D1" w:rsidP="00FE05D1">
      <w:pPr>
        <w:pStyle w:val="SWCText"/>
      </w:pPr>
      <w:r>
        <w:t xml:space="preserve">The rapid growth of space cooling is becoming a major challenge for building-sector decarbonisation, particularly in rapidly urbanising regions of the Global South. Buildings account for approximately 30% of global final energy consumption, while space cooling already represents a substantial and rapidly growing component of building electricity demand. Globally, around 2 billion air-conditioning units are currently in operation, and the number is </w:t>
        <w:lastRenderedPageBreak/>
        <w:t xml:space="preserve">expected to increase considerably toward 2050 as population, income, urbanisation and thermal-comfort expectations rise </w:t>
        <w:fldChar w:fldCharType="begin"/>
        <w:instrText xml:space="preserve"> ADDIN ZOTERO_ITEM CSL_CITATION {"citationID":"MnPn0Arz","properties":{"unsorted":false,"formattedCitation":"[1]","plainCitation":"[1]","noteIndex":0},"citationItems":[{"id":146,"uris":["http://zotero.org/users/local/bf7CEtzQ/items/U88WQ9YE"],"itemData":{"id":146,"type":"article-journal","abstract":"Accurate modelling of the weather’s temporal and spatial impacts on building energy demand is critical to decarbonizing energy systems. Here we introduce a customizable model for hourly heating and cooling demand applicable globally at all spatial scales. We validate against demand from ~5,000 buildings and 43 regions across four continents. The model requires limited data inputs and shows better agreement with measured demand than existing models. We use it first to demonstrate that a 1 °C reduction in thermostat settings across all buildings could reduce Europe’s gas consumption by 240 TWh yr−1, approximately one-sixth of historical imports from Russia. Second, we show that service demand for cooling is increasing by up to 5% per year in some regions due to climate change, and 5 billion people experience &gt;100 additional cooling degree days per year when compared with a generation ago. The model and underlying data are freely accessible to promote further research.","container-title":"Nature Energy","DOI":"10.1038/s41560-023-01341-5","ISSN":"2058-7546","issue":"12","journalAbbreviation":"Nat Energy","language":"en","license":"2023 The Author(s)","page":"1328-1344","publisher":"Nature Publishing Group","source":"www.nature.com","title":"A global model of hourly space heating and cooling demand at multiple spatial scales","volume":"8","author":[{"family":"Staffell","given":"Iain"},{"family":"Pfenninger","given":"Stefan"},{"family":"Johnson","given":"Nathan"}],"issued":{"date-parts":[["2023",12]]}}}],"schema":"https://github.com/citation-style-language/schema/raw/master/csl-citation.json"} </w:instrText>
        <w:fldChar w:fldCharType="separate"/>
        <w:t>[1]</w:t>
        <w:fldChar w:fldCharType="end"/>
        <w:t xml:space="preserve"> This transition is particularly important for India, where a large share of the building floor area required by mid-century is still to be constructed and household air-conditioning ownership is expected to increase substantially. Decisions made today regarding building form, façade design and cooling systems will therefore influence urban electricity demand for several decades</w:t>
        <w:fldChar w:fldCharType="begin"/>
        <w:instrText xml:space="preserve"> ADDIN ZOTERO_ITEM CSL_CITATION {"citationID":"38MzKxkD","properties":{"unsorted":false,"formattedCitation":"[2]","plainCitation":"[2]","noteIndex":0},"citationItems":[{"id":163,"uris":["http://zotero.org/users/local/bf7CEtzQ/items/HNN89ZAJ"],"itemData":{"id":163,"type":"article-journal","abstract":"The building sector represents a major frontier in the global response to climate change, accounting for approximately one-third of global energy consumption and a comparable share of energy-related carbon dioxide emissions. This review conducts a PRISMA-ScR–based scoping synthesis of technological, behavioural, and policy pathways to achieve energy efficiency and deep decarbonization in buildings. It systematically examines passive design principles, high-performance envelopes, efficient HVAC and lighting systems, renewable energy integration, building energy modelling, and retrofit strategies. The study also addresses the role of regulatory instruments, energy codes, and certification schemes in accelerating sectoral transformation. The synthesis identifies three cross-cutting drivers of decarbonization: integrated design across building systems, digitalization enabling predictive and adaptive operation, and robust policy frameworks ensuring large-scale implementation. The review concludes that while most technologies required to reach zero-emission buildings are already available, their potential remains underutilized due to fragmented policies, limited retrofit rates, and behavioural barriers. Coordinated implementation across technology, governance, and user engagement is essential to realise a net-zero building sector.","container-title":"Applied Sciences","DOI":"10.3390/app152111660","ISSN":"2076-3417","issue":"21","language":"en","license":"http://creativecommons.org/licenses/by/3.0/","page":"11660","publisher":"Multidisciplinary Digital Publishing Institute","source":"www.mdpi.com","title":"Energy Efficiency and Decarbonization Strategies in Buildings: A Review of Technologies, Policies, and Future Directions","title-short":"Energy Efficiency and Decarbonization Strategies in Buildings","volume":"15","author":[{"family":"Jørgensen","given":"Bo Nørregaard"},{"family":"Ma","given":"Zheng Grace"}],"issued":{"date-parts":[["2025",1]]}}}],"schema":"https://github.com/citation-style-language/schema/raw/master/csl-citation.json"} </w:instrText>
        <w:fldChar w:fldCharType="separate"/>
        <w:t>[2]</w:t>
        <w:fldChar w:fldCharType="end"/>
        <w:t xml:space="preserve">. The challenge is especially pronounced in hot and composite climates. Jaipur, located in northwestern India, experiences a composite climate with summer temperatures frequently exceeding 40 °C, intense solar radiation, a monsoon season and comparatively cool winter conditions. Cooling demand is consequently driven not only by outdoor air temperature but also by solar gains through roofs and façades</w:t>
        <w:fldChar w:fldCharType="begin"/>
        <w:instrText xml:space="preserve"> ADDIN ZOTERO_ITEM CSL_CITATION {"citationID":"GhRpjBQB","properties":{"unsorted":false,"formattedCitation":"[3]","plainCitation":"[3]","noteIndex":0},"citationItems":[{"id":148,"uris":["http://zotero.org/users/local/bf7CEtzQ/items/G9WFFSF8"],"itemData":{"id":148,"type":"article-journal","abstract":"Buildings play a significant role in indoor and outdoor exposure to heat in urban areas. In this study, we quantify the heat mitigation potential of typical building energy efficiency measures that are often not considered as urban heat mitigation strategies, such as added insulation. We combined whole-building energy and urban climate simulations to compare indoor and outdoor (pedestrian-level) heat exposure with different levels of energy efficiency and under different climate timeframes in a soon-to-be-built public housing project in Phoenix, AZ. We found that improved energy efficiency reduces indoor and outdoor exposure to heat while climate change increases both. Considering the 2018 version of the energy code as the baseline, the mitigating impact of upgrading energy efficiency on indoor exposure to heat (as defined by% of year Tindoor &gt; Tcooling setpoint +1 °C) exceeded the increase caused by climate change. Our estimates show a 6.6% increase caused by climate change vs. 20.7% reduction due to improved efficiency. Furthermore, our results indicate that energy upgrades may also have an impact on outdoor heat exposure (as defined by% of year with Toutdoor&gt; 40 °C) due to reduced heat emitted from the buildings and their HVAC systems. We found a 2% increase in exposure caused by climate change vs. 1.4% reduction due to by improved efficiency. This suggest that upgrading energy efficiency of buildings may at least partially offset the impact of climate change on outdoor exposure to heat in the modelled urban canyon.","container-title":"Energy and Climate Change","DOI":"10.1016/j.egycc.2022.100078","ISSN":"2666-2787","journalAbbreviation":"Energy and Climate Change","page":"100078","source":"ScienceDirect","title":"Urban heat mitigation through improved building energy efficiency","volume":"3","author":[{"family":"Baniassadi","given":"Amir"},{"family":"Heusinger","given":"Jannik"},{"family":"Meili","given":"Naika"},{"family":"Izaga Gonzalez","given":"Pablo"},{"family":"Samuelson","given":"Holly"}],"issued":{"date-parts":[["2022",12,1]]}}}],"schema":"https://github.com/citation-style-language/schema/raw/master/csl-citation.json"} </w:instrText>
        <w:fldChar w:fldCharType="separate"/>
        <w:t>[3]</w:t>
        <w:fldChar w:fldCharType="end"/>
        <w:t xml:space="preserve">. At the same time, Rajasthan has one of India's strongest solar resources, with annual solar irradiation commonly around 2,000 kWh/m² or higher. Solar radiation therefore has a dual role: it contributes to unwanted building heat gains while simultaneously providing a substantial renewable-energy resource that can support cooling and other electricity demand. This makes Jaipur an appropriate case for investigating how demand reduction and solar-energy utilisation can be considered together</w:t>
        <w:fldChar w:fldCharType="begin"/>
        <w:instrText xml:space="preserve"> ADDIN ZOTERO_ITEM CSL_CITATION {"citationID":"EQ070qCy","properties":{"unsorted":false,"formattedCitation":"[4]","plainCitation":"[4]","noteIndex":0},"citationItems":[{"id":151,"uris":["http://zotero.org/users/local/bf7CEtzQ/items/267LKQSS"],"itemData":{"id":151,"type":"article-journal","abstract":"Rapid development and escalating energy demand of India’s residential sector are crucial for sustainable development and climate mitigation. Therefore, decarbonizing the residential building sector is essential to realize India's net-zero future by 2070. Accurate energy consumption prediction and a clear understanding of influential features can yield substantial energy savings and decision-making toward efficient building design and city energy planning. Machine learning (ML) is recognized as a promising strategy for predicting energy demand and building benchmarking. Hence, this study predicts the energy consumption of residential buildings by collecting and analyzing 596 household surveys of Jaipur city in India. Six machine learning algorithms including linear regressor (LR), ridge regressor (RR), Bayesian ridge regressor (BRR), passive regressor (PR), Lasso regressor (LSR), and support vector regressor (SVR) are utilized to predict the energy consumption by considering three characteristics of dataset such as sociodemographic (SD), built structure (BS), and energy measures (EM). Furthermore, the study applies Shapley Additive exPlanation (SHAP) for the selection of influential features and analyzes their impact on energy consumption. The outcomes of the study reveal that BRR is the most efficient predictive model for SD and EM datasets, achieving an improvement in R2 by 52.97% and 2.11% while reducing the MSE by 70.17% and 38.53%, respectively. Whereas SVR is most reliable for BS datasets, improving in R2 by 34.73% and 59.37% reduction in MSE. The model summary results show that the energy consumption depends on sociodemographic, built structure, and energy measures features by 77.62%, 82.55%, and 99.42%, respectively. Furthermore, income level, built-up area, and air-conditioning energy consumption are highly influential features for energy prediction. Based on the findings, this study provides energy-saving recommendations for both newly constructed and existing buildings to achieve energy savings. Moreover, this research discusses the key insights for policymakers and designers to optimize building design and implement targeted energy-saving policies to achieve energy efficiency in residential buildings.","container-title":"Clean Technologies and Environmental Policy","DOI":"10.1007/s10098-025-03301-x","ISSN":"1618-9558","issue":"11","journalAbbreviation":"Clean Techn Environ Policy","language":"en","page":"6975-6996","source":"Springer Link","title":"Exploring influential parameters affecting residential building energy use: advancing energy efficiency through machine learning","title-short":"Exploring influential parameters affecting residential building energy use","volume":"27","author":[{"family":"Chaturvedi","given":"Pushpendra Kr."},{"family":"Kumar","given":"Nand"},{"family":"Toftum","given":"Jørn"},{"family":"Andersen","given":"Rune Korsholm"},{"family":"Lamba","given":"Ravita"},{"family":"Mehta","given":"Kedar"}],"issued":{"date-parts":[["2025",11,1]]}}}],"schema":"https://github.com/citation-style-language/schema/raw/master/csl-citation.json"} </w:instrText>
        <w:fldChar w:fldCharType="separate"/>
        <w:t>[4]</w:t>
        <w:fldChar w:fldCharType="end"/>
        <w:t>.</w:t>
      </w:r>
    </w:p>
    <w:p w14:paraId="133E493C" w14:textId="1B6E0796" w:rsidR="00FE05D1" w:rsidRDefault="00FE05D1" w:rsidP="00FE05D1">
      <w:pPr>
        <w:pStyle w:val="SWCText"/>
      </w:pPr>
      <w:r>
        <w:t xml:space="preserve">High-rise residential buildings add another dimension to this challenge. Vertical development provides increasing residential floor area on a limited urban footprint, but roof area available for conventional photovoltaic (PV) generation does not increase proportionally with building height. As the number of floors increases, the ratio of available roof area to total residential floor area progressively decreases. Consequently, achieving net-zero energy performance in high-rise buildings cannot rely exclusively on adding rooftop PV to an otherwise energy-intensive building. Reducing the underlying demand, particularly cooling demand, becomes increasingly important before renewable-energy systems are sized </w:t>
        <w:fldChar w:fldCharType="begin"/>
        <w:instrText xml:space="preserve"> ADDIN ZOTERO_ITEM CSL_CITATION {"citationID":"C0aEAHiO","properties":{"unsorted":false,"formattedCitation":"[5,6]","plainCitation":"[5,6]","noteIndex":0},"citationItems":[{"id":154,"uris":["http://zotero.org/users/local/bf7CEtzQ/items/2B389FI8"],"itemData":{"id":154,"type":"webpage","title":"Large-Scale Modeling of Urban Rooftop Solar Energy Potential Using UAS-Based Digital Photogrammetry and GIS Spatial Analysis: A Case Study of Sofia City, Bulgaria","URL":"https://www.mdpi.com/2413-8851/10/4/210","accessed":{"date-parts":[["2026",8,15]]}}},{"id":153,"uris":["http://zotero.org/users/local/bf7CEtzQ/items/7WUD7WE7"],"itemData":{"id":153,"type":"article-journal","abstract":"Urban rooftop solar photovoltaic (PV) systems represent a key strategy for advancing city-scale decarbonisation, yet their realistic potential is frequently overestimated due to simplified geometric and energy assumptions. This study presents a fully automated methodology based on artificial intelligence (AI), LiDAR-derived three-dimensional geometry, and solar energy modelling to identify large-scale urban rooftop PV installation potential and to generate optimised PV panel layouts that maximise annual electricity generation. The workflow integrates high-resolution georeferenced imagery, LiDAR point clouds, cadastral data, and open-source GIS tools within a modular Python environment, enabling the identification of technically viable rooftop areas and the optimisation of PV layouts with corresponding annual energy yield estimation. The methodology accounts for geometric constraints, minimum irradiation thresholds, slope and orientation filters, structural proxies, and maintenance corridors. Applied to the city of Valencia (Spain), the methodology is implemented over approximately 18.4 million m2 of urban rooftop surface. The resulting layouts allow the installation of 342,785 PV modules, corresponding to 173 MW of installed capacity and an estimated annual electricity generation of 270 GWh. These results demonstrate the capacity of automated, spatially explicit approaches to support realistic urban energy planning and decision-making processes.","container-title":"Engineering Science and Technology, an International Journal","DOI":"10.1016/j.jestch.2026.102437","ISSN":"2215-0986","journalAbbreviation":"Engineering Science and Technology, an International Journal","page":"102437","source":"ScienceDirect","title":"Towards realistic urban rooftop solar photovoltaic large-scale planning: integrating artificial intelligence-based roof detection, 3D geometry, and energy modelling","title-short":"Towards realistic urban rooftop solar photovoltaic large-scale planning","volume":"80","author":[{"family":"Pino-Gallardo","given":"Tomás"},{"family":"Bastida-Molina","given":"Paula"},{"family":"Gómez-Navarro","given":"Tomás"},{"family":"Montagud-Montalvá","given":"Carla"}],"issued":{"date-parts":[["2026",8,1]]}}}],"schema":"https://github.com/citation-style-language/schema/raw/master/csl-citation.json"} </w:instrText>
        <w:fldChar w:fldCharType="separate"/>
        <w:t>[5,6]</w:t>
        <w:fldChar w:fldCharType="end"/>
        <w:t>.</w:t>
      </w:r>
    </w:p>
    <w:p w14:paraId="3792750C" w14:textId="513233A2" w:rsidR="00FE05D1" w:rsidRDefault="00FE05D1" w:rsidP="00FE05D1">
      <w:pPr>
        <w:pStyle w:val="SWCText"/>
      </w:pPr>
      <w:r>
        <w:t xml:space="preserve">The building envelope represents the first line of intervention. Window-to-wall ratio (WWR), façade orientation, external shading, glazing properties and roof and wall performance influence solar and conductive heat gains and therefore the cooling load that must subsequently be handled by mechanical systems. WWR is particularly important because windows must simultaneously provide daylight and visual access while controlling unwanted heat gain </w:t>
        <w:fldChar w:fldCharType="begin"/>
        <w:instrText xml:space="preserve"> ADDIN ZOTERO_ITEM CSL_CITATION {"citationID":"ZVIPWRDt","properties":{"unsorted":false,"formattedCitation":"[7]","plainCitation":"[7]","noteIndex":0},"citationItems":[{"id":165,"uris":["http://zotero.org/users/local/bf7CEtzQ/items/CHNXQX8M"],"itemData":{"id":165,"type":"article-journal","abstract":"The building sector accounts for over one-third of global energy consumption and a significant share of carbon emissions. Improving building energy efficiency, particularly in the tropics, where most of the future development is foreseen, is thus crucial. One of the main factors that determine building energy performance is the building envelope. This paper presents a comprehensive review of the impact of several envelope design variables, such as thermal, optical, physical, and geometrical, on the energy performance of buildings in the tropics. A correlational analysis that elaborates on the effectiveness of each of these measures is discussed in detail. The findings indicate that insulation, glazing properties, and Window-to-wall ratio (WWR) are promising solutions for improving energy efficiency in tropical buildings. Among these, insulating the building envelope has the most significant impact on energy savings. The variables of building orientation and the thermal mass of building materials have the least influence on total energy consumption. The latter exhibits complex effects in regions characterized by hot-humid climates. An optimized design in cooling-dominated climates should have a large aspect ratio, a higher WWR in the north and south facades, and an ideal shading system. With all variables combined and appropriate ventilation, a building can save 35% of annual energy and up to 60% in some cases. This study further reveals that available research on the effect of building shape and the context of surrounding built environment on energy consumption remains limited.","container-title":"Renewable and Sustainable Energy Reviews","DOI":"10.1016/j.rser.2023.113650","ISSN":"1364-0321","journalAbbreviation":"Renewable and Sustainable Energy Reviews","page":"113650","source":"ScienceDirect","title":"Envelope design for low-energy buildings in the tropics: A review","title-short":"Envelope design for low-energy buildings in the tropics","volume":"186","author":[{"family":"Gupta","given":"V."},{"family":"Deb","given":"C."}],"issued":{"date-parts":[["2023",10,1]]}}}],"schema":"https://github.com/citation-style-language/schema/raw/master/csl-citation.json"} </w:instrText>
        <w:fldChar w:fldCharType="separate"/>
        <w:t>[7]</w:t>
        <w:fldChar w:fldCharType="end"/>
        <w:t xml:space="preserve">. However, WWR cannot be evaluated independently of orientation. An identical glazing fraction can have very different thermal consequences on north-, south-, east- and west-facing façades. West-facing glazing can be particularly critical in hot climates because low-angle afternoon solar radiation coincides with periods of high ambient temperature, whereas north-facing glazing generally experiences lower direct solar exposure. A climate-responsive façade strategy should therefore address where glazing is located, rather than prescribing a single WWR value for the entire building </w:t>
        <w:fldChar w:fldCharType="begin"/>
        <w:instrText xml:space="preserve"> ADDIN ZOTERO_ITEM CSL_CITATION {"citationID":"KwNjhemn","properties":{"unsorted":false,"formattedCitation":"[4]","plainCitation":"[4]","noteIndex":0},"citationItems":[{"id":151,"uris":["http://zotero.org/users/local/bf7CEtzQ/items/267LKQSS"],"itemData":{"id":151,"type":"article-journal","abstract":"Rapid development and escalating energy demand of India’s residential sector are crucial for sustainable development and climate mitigation. Therefore, decarbonizing the residential building sector is essential to realize India's net-zero future by 2070. Accurate energy consumption prediction and a clear understanding of influential features can yield substantial energy savings and decision-making toward efficient building design and city energy planning. Machine learning (ML) is recognized as a promising strategy for predicting energy demand and building benchmarking. Hence, this study predicts the energy consumption of residential buildings by collecting and analyzing 596 household surveys of Jaipur city in India. Six machine learning algorithms including linear regressor (LR), ridge regressor (RR), Bayesian ridge regressor (BRR), passive regressor (PR), Lasso regressor (LSR), and support vector regressor (SVR) are utilized to predict the energy consumption by considering three characteristics of dataset such as sociodemographic (SD), built structure (BS), and energy measures (EM). Furthermore, the study applies Shapley Additive exPlanation (SHAP) for the selection of influential features and analyzes their impact on energy consumption. The outcomes of the study reveal that BRR is the most efficient predictive model for SD and EM datasets, achieving an improvement in R2 by 52.97% and 2.11% while reducing the MSE by 70.17% and 38.53%, respectively. Whereas SVR is most reliable for BS datasets, improving in R2 by 34.73% and 59.37% reduction in MSE. The model summary results show that the energy consumption depends on sociodemographic, built structure, and energy measures features by 77.62%, 82.55%, and 99.42%, respectively. Furthermore, income level, built-up area, and air-conditioning energy consumption are highly influential features for energy prediction. Based on the findings, this study provides energy-saving recommendations for both newly constructed and existing buildings to achieve energy savings. Moreover, this research discusses the key insights for policymakers and designers to optimize building design and implement targeted energy-saving policies to achieve energy efficiency in residential buildings.","container-title":"Clean Technologies and Environmental Policy","DOI":"10.1007/s10098-025-03301-x","ISSN":"1618-9558","issue":"11","journalAbbreviation":"Clean Techn Environ Policy","language":"en","page":"6975-6996","source":"Springer Link","title":"Exploring influential parameters affecting residential building energy use: advancing energy efficiency through machine learning","title-short":"Exploring influential parameters affecting residential building energy use","volume":"27","author":[{"family":"Chaturvedi","given":"Pushpendra Kr."},{"family":"Kumar","given":"Nand"},{"family":"Toftum","given":"Jørn"},{"family":"Andersen","given":"Rune Korsholm"},{"family":"Lamba","given":"Ravita"},{"family":"Mehta","given":"Kedar"}],"issued":{"date-parts":[["2025",11,1]]}}}],"schema":"https://github.com/citation-style-language/schema/raw/master/csl-citation.json"} </w:instrText>
        <w:fldChar w:fldCharType="separate"/>
        <w:t>[4]</w:t>
        <w:fldChar w:fldCharType="end"/>
        <w:t>.</w:t>
      </w:r>
    </w:p>
    <w:p w14:paraId="2866ECD7" w14:textId="0E8E2D56" w:rsidR="00FE05D1" w:rsidRDefault="00FE05D1" w:rsidP="00FE05D1">
      <w:pPr>
        <w:pStyle w:val="SWCText"/>
      </w:pPr>
      <w:r>
        <w:t xml:space="preserve">Previous studies have extensively investigated WWR, orientation, shading, insulation and glazing using building-energy simulation and parametric optimisation. These studies provide a strong understanding of how individual envelope parameters affect cooling loads under controlled conditions </w:t>
        <w:fldChar w:fldCharType="begin"/>
        <w:instrText xml:space="preserve"> ADDIN ZOTERO_ITEM CSL_CITATION {"citationID":"75ideJck","properties":{"unsorted":false,"formattedCitation":"[8]","plainCitation":"[8]","noteIndex":0},"citationItems":[{"id":168,"uris":["http://zotero.org/users/local/bf7CEtzQ/items/RUGYQU62"],"itemData":{"id":168,"type":"article-journal","abstract":"The building sector significantly contributes to global energy consumption and environmental degradation, particularly in rapidly urbanizing arid and semi-arid regions like Kabul city, which experiences extreme seasonal temperature variations. This study aims to analyze and optimize fixed and removable passive shading strategies by assessing their effectiveness in enhancing building energy efficiency under challenging climatic conditions. Building models were developed in DesignBuilder v7 and simulated using the EnergyPlus engine to comparatively evaluate the impact of common shading strategies across different building orientations. The analysis focused on their contribution to reducing building energy demand and solar gain during both hot and cold periods. Simulation results demonstrate a strong dependency of solar gain and thermal energy demand on building orientation and shading configuration. North-facing rooms showed minimal solar gain, resulting in high winter heating and low summer cooling, making shading negligible. East- and west-facing rooms received substantial solar radiation, with effective shading strategies reducing total energy demand by 0.04–4.9 percent for east-facing rooms and 1.0–7.0 percent for west-facing rooms compared to the least efficient cases. South-facing rooms benefited from winter passive solar gains and limited summer heat, with effective shading strategies achieving reductions of 4.9–15.8 percent. Removable shading further enhanced seasonal performance, lowering total energy demand by 2.5–5.2 percent for east-facing rooms, 4.0–20.8 percent for south-facing rooms, and 4.2–6.4 percent for west-facing rooms, emphasizing the importance of adaptive, orientation-specific, and climate-responsive shading designs. These findings highlight the critical importance of climate-responsive design and optimized shading in reducing operational energy use and provide practical guidance for sustainable architecture.","container-title":"Discover Sustainability","DOI":"10.1007/s43621-025-02178-6","ISSN":"2662-9984","issue":"1","journalAbbreviation":"Discov Sustain","language":"en","page":"1263","source":"Springer Link","title":"Climate responsive simulation of passive shading strategies for seasonal optimization of building energy demand","volume":"6","author":[{"family":"Ayoobi","given":"Ahmad Walid"},{"family":"Mehdizade","given":"Ali"}],"issued":{"date-parts":[["2025",11,17]]}}}],"schema":"https://github.com/citation-style-language/schema/raw/master/csl-citation.json"} </w:instrText>
        <w:fldChar w:fldCharType="separate"/>
        <w:t>[8]</w:t>
        <w:fldChar w:fldCharType="end"/>
        <w:t xml:space="preserve">. In parallel, building-energy benchmarking studies use indicators such as the Energy Performance Index (EPI, kWh/m²·yr) to compare the performance of existing buildings, while net-zero building research increasingly examines PV, storage and efficient HVAC technologies for balancing residual energy demand. However, these three perspectives are frequently treated separately. Simulation studies typically optimise a representative building; benchmarking identifies high- and low-energy buildings but provides limited information on the physical characteristics behind this variation; and renewable-energy studies can focus on offsetting existing demand without first determining how much of that demand could be avoided through passive and envelope measures</w:t>
        <w:fldChar w:fldCharType="begin"/>
        <w:instrText xml:space="preserve"> ADDIN ZOTERO_ITEM CSL_CITATION {"citationID":"xfzi6LKd","properties":{"unsorted":false,"formattedCitation":"[9,10]","plainCitation":"[9,10]","noteIndex":0},"citationItems":[{"id":157,"uris":["http://zotero.org/users/local/bf7CEtzQ/items/WEXTXBES"],"itemData":{"id":157,"type":"article-journal","abstract":"In order to provide enhanced levels of indoor comfort and building energy conservation, significant improvements have been made in the design of glazed facades and window systems, yielding increases in thermal resistance while simultaneously maintaining access to daylight. Some of these approaches result in glazing systems with relatively complex structures and it is difficult to characterise their optical and thermal properties for use in building simulation. In this research, a comprehensive model has been developed to accurately predict the thermal and optical properties of complex glazing systems, and a workflow developed to yield detailed daylight and energy performance (heating, cooling and lighting) predictions of these systems when applied in buildings. Through this approach, the thermal characteristics of complex fenestration systems are obtained from a validated Computational Fluid Dynamics model, and a ray-tracing technique is used to obtain Bidirectional Scattering Distribution Function (BSDF) data to represent their optical characteristics. These characterises may be used in building simulation software (in this case EnergyPlus) to obtain building heating, cooling and lighting energy estimates for a room incorporating complex glazing systems. Detailed visual comfort predictions including useful daylight illuminance, daylight uniformity and glare may also be made, using a complementary optical model run using RADIANCE simulations. This workflow is implemented to investigate a room served by different Parallel Slat Transparent Insulation Materials (PS-TIM), which represents an example of a complex fenestration system. The workflow is used to explore the effect of slat pitch (i.e. the distance between neighbouring slats) on performance and was found to provide reasonable daylight and energy performance prediction. The results indicate that use of glazing systems with PS-TIM can provide homogenous daylight distribution and up to 33.6% energy reduction when the simulation is run using weather data for London.","container-title":"Applied Energy","DOI":"10.1016/j.apenergy.2017.08.041","ISSN":"0306-2619","journalAbbreviation":"Applied Energy","page":"951-963","source":"ScienceDirect","title":"Development of a comprehensive method to analyse glazing systems with Parallel Slat Transparent Insulation material (PS-TIM)","volume":"205","author":[{"family":"Sun","given":"Yanyi"},{"family":"Liang","given":"Runqi"},{"family":"Wu","given":"Yupeng"},{"family":"Wilson","given":"Robin"},{"family":"Rutherford","given":"Peter"}],"issued":{"date-parts":[["2017",11,1]]}}},{"id":161,"uris":["http://zotero.org/users/local/bf7CEtzQ/items/8BN7JKD2"],"itemData":{"id":161,"type":"article-journal","abstract":"Climate adaptive passive design features such as glazing and shading configurations, often exhibit conflicting behavior to maintaining indoor visual and thermal environment while minimizing energy consumption. This study employed a multi-objective optimization (MOO) approach through SPEA-II and HypE algorithms to find the efficient glazing and shading configurations in four cooling dominant climatic zones of India such as hot and dry, composite, warm and humid, and temperate. A residential building situated in Jaipur city (India) was chosen for the analysis and to demonstrate the effectiveness and reliability of the optimization process. Twenty-six design variables including wall window ratio, louvers depth, louvers count, fin depth and fins count of each orientation, window height, sill height, glazing U-value, solar heat gain coefficient, and visual light transmittance were imported into the Octopus to investigate their interactive impact on the useful daylight illuminance (UDI), thermal discomfort percentage (TDP) and energy use intensity (EUI). The optimized trade-off solutions represented a considerable improvement; UDI increased by 24.61%, 21.90%, 14.91% and 26.41%, and TDP reduced by 10.38%, 1.5%, 13.95% and 17.68%, and EUI decreased by 10.10%, 1.9%, 15.82% and 19.19% compared to initially generated solutions for Ahmedabad, Delhi, Mumbai and Bangalore cities, respectively. Finally, the Bayesian machine learning technique has been used for sensitivity analysis to identify the correlation between the design variables and performance objectives. Horizontal louver depth, WWR, and window height were found to be crucial for all locations, while the other variable exhibited significant variability. The outcome of this research presents an algorithmic-based MOO methodology for designing glazing and shading in residential buildings within arid and semi-arid climate zones, ensuring good building performance in terms of occupant comfort and energy efficiency.","container-title":"Clean Technologies and Environmental Policy","DOI":"10.1007/s10098-024-03114-4","ISSN":"1618-9558","issue":"9","journalAbbreviation":"Clean Techn Environ Policy","language":"en","page":"4909-4932","source":"Springer Link","title":"Multi-objective optimization of glazing and shading configurations for visual, thermal, and energy performance of cooling dominant climatic regions of India","volume":"27","author":[{"family":"Chaturvedi","given":"Pushpendra Kr."},{"family":"Kumar","given":"Nand"},{"family":"Lamba","given":"Ravita"},{"family":"Mehta","given":"Kedar"}],"issued":{"date-parts":[["2025",9,1]]}}}],"schema":"https://github.com/citation-style-language/schema/raw/master/csl-citation.json"} </w:instrText>
        <w:fldChar w:fldCharType="separate"/>
        <w:t>[9,10]</w:t>
        <w:fldChar w:fldCharType="end"/>
        <w:t>.</w:t>
      </w:r>
    </w:p>
    <w:p w14:paraId="43A6646D" w14:textId="12FED012" w:rsidR="00FE05D1" w:rsidRDefault="00FE05D1" w:rsidP="00FE05D1">
      <w:pPr>
        <w:pStyle w:val="SWCText"/>
      </w:pPr>
      <w:r>
        <w:t xml:space="preserve">Against this background, the present study investigates 128 high-rise residential buildings in Jaipur, India, using field-survey information on annual electricity consumption, built-up area, building height, façade orientation, WWR and appliance-level electricity use. The study addresses three questions: (i) how does energy performance vary across high-rise residential buildings after accounting for differences in building size; (ii) how are WWR and façade orientation distributed across the surveyed stock and what do these characteristics imply for climate-responsive cooling design; and (iii) how can these empirical observations be translated into practical priorities for improving the net-zero readiness of high-rise residential buildings? Rather than proposing another building optimisation model, the study connects building-stock evidence with an intervention pathway. The resulting framework follows an Avoid–Reduce–Supply–Synchronise sequence: avoid unnecessary thermal loads through climate-responsive envelope design; reduce the remaining cooling requirement through efficient comfort systems; supply the residual electricity demand using solar energy; and synchronise cooling demand with solar availability through appropriate controls and flexibility. In this way, the study positions envelope design and cooling-demand reduction not as isolated efficiency measures, but as enabling steps for solar-supported net-zero high-rise residential development in Jaipur and, more broadly, in rapidly urbanising cities of the Global South.</w:t>
      </w:r>
    </w:p>
    <w:p w14:paraId="6946C486" w14:textId="63034B80" w:rsidR="00806194" w:rsidRDefault="00C94E67" w:rsidP="00AE679C">
      <w:pPr>
        <w:pStyle w:val="SWCHeading1"/>
      </w:pPr>
      <w:r>
        <w:lastRenderedPageBreak/>
        <w:t>Data and Methodology</w:t>
      </w:r>
    </w:p>
    <w:p w14:paraId="145963BF" w14:textId="73823D6B" w:rsidR="00FE05D1" w:rsidRPr="00FE05D1" w:rsidRDefault="00FE05D1" w:rsidP="00FE05D1">
      <w:pPr>
        <w:pStyle w:val="SWCText"/>
      </w:pPr>
      <w:r>
        <w:t xml:space="preserve">The study is based on a field survey of 128 high-rise residential buildings in Jaipur, India, selected to provide an empirical representation of energy use and façade characteristics under a common composite climatic context. The dataset combines building-level energy and morphological information, including annual electricity consumption, built-up area, building height expressed as number of floors, façade orientation, window-to-wall ratio (WWR), and appliance-level electricity use. These variables enable the analysis to move across three connected dimensions: overall building energy performance, cooling-related electricity demand, and envelope configuration. The analysis is intentionally based on observed building-stock characteristics rather than a simulated reference building. This distinction is important because the surveyed buildings differ in size, height, façade configuration and household energy use, allowing the variability present in the existing residential stock to be examined directly. At the same time, the dataset does not contain continuous indoor-temperature measurements, hourly cooling loads, detailed occupancy schedules, glazing solar heat-gain coefficients, wall and roof U-values, or detailed HVAC operating profiles. The analysis therefore identifies stock-level patterns and associations rather than causal cooling-load sensitivities. For example, a relationship between WWR and energy use should not be interpreted as the isolated effect of glazing because solar exposure, shading, construction properties, cooling operation and occupant behaviour can also influence electricity consumption.</w:t>
      </w:r>
    </w:p>
    <w:p w14:paraId="44546224" w14:textId="77777777" w:rsidR="00FE05D1" w:rsidRPr="00FE05D1" w:rsidRDefault="00FE05D1" w:rsidP="00FE05D1">
      <w:pPr>
        <w:pStyle w:val="SWCHeading11"/>
      </w:pPr>
      <w:r>
        <w:t>2.1 Energy-performance assessment</w:t>
      </w:r>
    </w:p>
    <w:p w14:paraId="188FFA8D" w14:textId="5CCF3BC9" w:rsidR="00FE05D1" w:rsidRPr="00FE05D1" w:rsidRDefault="00FE05D1" w:rsidP="00FE05D1">
      <w:pPr>
        <w:pStyle w:val="SWCText"/>
      </w:pPr>
      <w:r>
        <w:t xml:space="preserve">Two complementary indicators are used to characterise building energy performance. Annual electricity consumption represents the absolute electricity demand of each building, while the Energy Performance Index (EPI) normalises this demand according to built-up floor area. EPI is expressed in kWh/m²·yr and enables comparison across buildings of different sizes. Both indicators are retained because they answer different questions: annual electricity consumption indicates the magnitude of demand that must ultimately be supplied, whereas EPI indicates how intensively energy is used relative to building size. EPI is not treated as a direct measure of thermal efficiency. Residential electricity consumption can also be influenced by occupancy, appliance ownership, cooling-system operation and the proportion of the dwelling that is actively conditioned. A low EPI may therefore indicate an efficient building, but it may also reflect restricted cooling use. EPI is consequently interpreted together with absolute electricity consumption and appliance-level energy use rather than as a stand-alone performance criterion. The distributions of annual electricity consumption and EPI are evaluated using frequency and cumulative distributions. Percentile positions are additionally used to characterise the internal performance range of the surveyed stock. These percentile values are used as empirical benchmarks within the present dataset, rather than as regulatory thresholds for Jaipur.</w:t>
      </w:r>
    </w:p>
    <w:p w14:paraId="668BBA2D" w14:textId="77777777" w:rsidR="00FE05D1" w:rsidRPr="00FE05D1" w:rsidRDefault="00FE05D1" w:rsidP="00FE05D1">
      <w:pPr>
        <w:pStyle w:val="SWCHeading11"/>
      </w:pPr>
      <w:r>
        <w:t>2.2 Building morphology and envelope assessment</w:t>
      </w:r>
    </w:p>
    <w:p w14:paraId="142DC9D2" w14:textId="087F1445" w:rsidR="00FE05D1" w:rsidRPr="00FE05D1" w:rsidRDefault="00FE05D1" w:rsidP="00FE05D1">
      <w:pPr>
        <w:pStyle w:val="SWCText"/>
      </w:pPr>
      <w:r>
        <w:t xml:space="preserve">The envelope analysis focuses primarily on WWR, building height, built-up area and façade orientation. WWR is defined as the ratio of glazed opening area to the corresponding gross external wall area and is expressed as a percentage. It provides a simple geometric indicator of façade transparency and is particularly relevant in a hot composite climate because windows simultaneously influence daylight, ventilation and solar heat gain. Three aspects of WWR are examined. First, its frequency distribution is analysed to establish the range of glazing configurations represented within the building stock. Second, WWR is compared with building height and built-up area to investigate whether increasing building scale or vertical development is systematically associated with greater façade transparency. Third, WWR is disaggregated by façade orientation to examine whether glazing is distributed differently across north, south, east, west and intermediate orientations. Orientation is considered explicitly because an equivalent WWR does not imply equivalent thermal exposure. The cooling implication of glazing depends on the amount and timing of incident solar radiation as well as shading and glazing properties. The orientation analysis is therefore used to identify potentially important façade configurations, rather than to calculate orientation-specific cooling loads. This distinction avoids interpreting WWR alone as a direct proxy for cooling energy.</w:t>
      </w:r>
    </w:p>
    <w:p w14:paraId="3BA427C6" w14:textId="77777777" w:rsidR="00FE05D1" w:rsidRPr="00FE05D1" w:rsidRDefault="00FE05D1" w:rsidP="00FE05D1">
      <w:pPr>
        <w:pStyle w:val="SWCHeading11"/>
      </w:pPr>
      <w:r>
        <w:t>2.3 Cooling and appliance-level electricity use</w:t>
      </w:r>
    </w:p>
    <w:p w14:paraId="66F9E7E2" w14:textId="44FA480D" w:rsidR="00FE05D1" w:rsidRPr="00FE05D1" w:rsidRDefault="00FE05D1" w:rsidP="00FE05D1">
      <w:pPr>
        <w:pStyle w:val="SWCText"/>
      </w:pPr>
      <w:r>
        <w:t xml:space="preserve">Appliance-level electricity use is analysed to determine which end uses contribute most strongly to residential electricity demand. The available categories include air conditioning, fans, lighting, refrigeration, pumps, water heating and other household appliances. The contribution of each category is expressed relative to total electricity use, providing an end-use profile of the surveyed residential stock. Particular attention is given to air conditioning and other thermal-comfort-related appliances because the study investigates cooling-demand reduction as a pathway toward net-zero readiness. This analysis allows the envelope results to be interpreted in relation to the </w:t>
        <w:lastRenderedPageBreak/>
        <w:t>part of electricity demand that is most directly affected by Jaipur's summer climatic conditions. However, appliance-level consumption is used to identify the relative importance of cooling within the energy balance, rather than to derive a building-specific thermal cooling load.</w:t>
      </w:r>
    </w:p>
    <w:p w14:paraId="1C41B719" w14:textId="77777777" w:rsidR="00FE05D1" w:rsidRPr="00FE05D1" w:rsidRDefault="00FE05D1" w:rsidP="00FE05D1">
      <w:pPr>
        <w:pStyle w:val="SWCHeading11"/>
      </w:pPr>
      <w:r>
        <w:t>2.4 Analytical workflow and framework development</w:t>
      </w:r>
    </w:p>
    <w:p w14:paraId="3A94F8DA" w14:textId="69FE5E31" w:rsidR="00FE05D1" w:rsidRPr="00FE05D1" w:rsidRDefault="00FE05D1" w:rsidP="00FE05D1">
      <w:pPr>
        <w:pStyle w:val="SWCText"/>
      </w:pPr>
      <w:r>
        <w:t xml:space="preserve">The analytical workflow consists of four sequential stages. First, annual electricity consumption and EPI distributions are analysed to establish the magnitude and heterogeneity of energy performance across the 128-building sample. Second, electricity consumption and EPI are compared with built-up area to distinguish the influence of building scale from energy intensity. Third, WWR is analysed in relation to building height, built-up area and façade orientation to characterise the envelope morphology of the surveyed stock. Fourth, appliance-level electricity shares are evaluated to identify the energy end uses that offer the greatest potential for demand-side intervention. The individual analyses are subsequently combined rather than interpreted in isolation. Energy-performance distributions identify where demand reduction is most relevant; appliance-level analysis identifies which loads should be prioritised; and WWR and orientation analysis identifies where envelope interventions can potentially reduce solar-driven heat gains. These relationships form the empirical basis for the proposed Envelope–Cooling–Solar transition framework, which follows an Avoid–Reduce–Supply–Synchronise sequence. In this framework, avoidable envelope heat gains are addressed first, the remaining cooling requirement is met more efficiently, residual electricity demand is increasingly supplied using solar energy, and cooling operation is better coordinated with periods of solar availability. The methodological emphasis is deliberately placed on transparent and interpretable building-stock analysis. No high-accuracy predictive or AI/ML model is developed from the 128-building cross-sectional dataset. Such methods would add model complexity without addressing the principal objective of the present study, which is to identify interpretable relationships between building energy use, morphology and façade characteristics and translate them into practical design priorities. More extensive predictive modelling would require either a substantially larger building-stock dataset or high-frequency measurements incorporating weather conditions, indoor thermal conditions, occupancy and HVAC operation. The present methodology therefore maintains a direct connection between the available field evidence and the conclusions that can be supported by it.</w:t>
      </w:r>
    </w:p>
    <w:p w14:paraId="22074CEA" w14:textId="43AA0703" w:rsidR="00AE679C" w:rsidRPr="00AE679C" w:rsidRDefault="00C94E67" w:rsidP="00AE679C">
      <w:pPr>
        <w:pStyle w:val="SWCHeading1"/>
      </w:pPr>
      <w:r>
        <w:t>Results</w:t>
      </w:r>
    </w:p>
    <w:p w14:paraId="20865D34" w14:textId="77777777" w:rsidR="00C94E67" w:rsidRPr="00C94E67" w:rsidRDefault="00C94E67" w:rsidP="00C94E67">
      <w:pPr>
        <w:pStyle w:val="SWCHeading11"/>
      </w:pPr>
      <w:r>
        <w:t>3.1 Electricity consumption, EPI and cooling dominance</w:t>
      </w:r>
    </w:p>
    <w:p w14:paraId="777956F7" w14:textId="6E6FC220" w:rsidR="00A52349" w:rsidRPr="00A52349" w:rsidRDefault="00A52349" w:rsidP="00A52349">
      <w:pPr>
        <w:pStyle w:val="SWCText"/>
      </w:pPr>
      <w:r>
        <w:t xml:space="preserve">Figure 1 presents the overall energy-performance characteristics of the 128 high-rise residential buildings surveyed. Annual electricity consumption ranges from approximately 1,000 to 13,000 kWh/yr, with most buildings concentrated between 3,000 and 5,000 kWh/yr and remaining below approximately 6,000 kWh/yr (Fig. 1a). The distribution is distinctly right-skewed, with a smaller group extending beyond 8,000 kWh/yr. This indicates substantial variation in absolute electricity demand and suggests that a relatively small number of high-consuming buildings can contribute disproportionately to stock-level demand. Normalisation by floor area confirms that this variation is not explained by building size alone. Most EPI values lie between approximately 20 and 50 kWh/m²·yr, with the main concentration around 35–45 kWh/m²·yr (Fig. 1b). Several buildings exceed 70 kWh/m²·yr, while a small number approach 100 kWh/m²·yr. The EPI–area relationship (Fig. 1c) remains highly dispersed: buildings with similar built-up areas can exhibit markedly different energy intensities, while larger dwellings do not systematically show higher EPI. Building scale therefore influences absolute consumption but is insufficient to explain the observed differences in energy intensity.</w:t>
      </w:r>
    </w:p>
    <w:p w14:paraId="74BB8923" w14:textId="69B1A92D" w:rsidR="00A52349" w:rsidRPr="00A52349" w:rsidRDefault="00A52349" w:rsidP="00A52349">
      <w:pPr>
        <w:pStyle w:val="SWCText"/>
      </w:pPr>
      <w:r>
        <w:t xml:space="preserve">The distribution also provides useful internal benchmarks. Approximately 10% of the sample lies below 22 kWh/m²·yr, the lower quartile is around 28 kWh/m²·yr, and the central performance range is approximately 35–40 kWh/m²·yr, while around 80% of buildings remain below 50 kWh/m²·yr. These values are treated as empirical performance classes rather than regulatory thresholds. Importantly, low EPI should not automatically be interpreted as high thermal performance, since restricted air-conditioning use may reduce electricity consumption without necessarily maintaining adequate summer comfort. The appliance-level analysis provides the clearest indication of the principal intervention opportunity (Fig. 1d). Air conditioning accounts for approximately 40% of electricity use, making it the largest individual end use, while fans represent another substantial thermal-comfort-related load. Lighting and refrigeration follow, whereas pumps, water heating, televisions, coolers and other appliances contribute smaller individual shares. Cooling-related electricity use is therefore central to the energy profile of the surveyed stock rather than a secondary load.</w:t>
      </w:r>
    </w:p>
    <w:p w14:paraId="0A45ED33" w14:textId="77777777" w:rsidR="00BD30CA" w:rsidRDefault="00BD30CA" w:rsidP="00A52349">
      <w:pPr>
        <w:pStyle w:val="SWCText"/>
      </w:pPr>
    </w:p>
    <w:p w14:paraId="5989087D" w14:textId="507742AE" w:rsidR="00A52349" w:rsidRPr="00A52349" w:rsidRDefault="00A52349" w:rsidP="00A52349">
      <w:pPr>
        <w:pStyle w:val="SWCText"/>
      </w:pPr>
      <w:r>
        <w:lastRenderedPageBreak/>
        <w:t xml:space="preserve">Taken together, the results reveal three important characteristics: large variation in absolute electricity demand, persistent differences in EPI after floor-area normalisation, and a strong dominance of cooling-related energy use. These findings support a cooling-first approach to net-zero development, in which reductions in envelope heat gains and improvements in cooling efficiency are prioritised before renewable-energy systems are sized.</w:t>
      </w:r>
    </w:p>
    <w:p w14:paraId="06073D05" w14:textId="3BC84DFC" w:rsidR="00C94E67" w:rsidRDefault="005B7AB3" w:rsidP="00C0268C">
      <w:pPr>
        <w:pStyle w:val="SWCText"/>
        <w:keepNext/>
        <w:jc w:val="center"/>
      </w:pPr>
      <w:r>
        <w:rPr>
          <w:noProof/>
        </w:rPr>
        <w:drawing>
          <wp:inline distT="0" distB="0" distL="0" distR="0" wp14:anchorId="0E649B69" wp14:editId="10EA0B08">
            <wp:extent cx="5710354" cy="2987778"/>
            <wp:effectExtent l="0" t="0" r="5080" b="3175"/>
            <wp:docPr id="608199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199093" name=""/>
                    <pic:cNvPicPr/>
                  </pic:nvPicPr>
                  <pic:blipFill>
                    <a:blip r:embed="rId9"/>
                    <a:stretch>
                      <a:fillRect/>
                    </a:stretch>
                  </pic:blipFill>
                  <pic:spPr>
                    <a:xfrm>
                      <a:off x="0" y="0"/>
                      <a:ext cx="5728436" cy="2997239"/>
                    </a:xfrm>
                    <a:prstGeom prst="rect">
                      <a:avLst/>
                    </a:prstGeom>
                  </pic:spPr>
                </pic:pic>
              </a:graphicData>
            </a:graphic>
          </wp:inline>
        </w:drawing>
      </w:r>
    </w:p>
    <w:p w14:paraId="5AF8FCA7" w14:textId="17D711A8" w:rsidR="00C94E67" w:rsidRPr="00C94E67" w:rsidRDefault="00C94E67" w:rsidP="00C94E67">
      <w:pPr>
        <w:pStyle w:val="SWCTableFigureCaption"/>
      </w:pPr>
      <w:r>
        <w:t xml:space="preserve">Fig. </w:t>
        <w:fldChar w:fldCharType="begin"/>
        <w:instrText xml:space="preserve"> SEQ Figure \* ARABIC </w:instrText>
        <w:fldChar w:fldCharType="separate"/>
      </w:r>
      <w:r>
        <w:rPr>
          <w:noProof/>
        </w:rPr>
        <w:t>1</w:t>
      </w:r>
      <w:r>
        <w:fldChar w:fldCharType="end"/>
        <w:t xml:space="preserve"> Energy-performance characteristics of the 128 surveyed high-rise residential buildings in Jaipur: (a) distribution of annual electricity consumption; (b) distribution of the Energy Performance Index (EPI); (c) relationship between EPI and built-up area; and (d) average appliance-level electricity consumption shares.</w:t>
      </w:r>
    </w:p>
    <w:p w14:paraId="46CAA2DD" w14:textId="77777777" w:rsidR="00C94E67" w:rsidRPr="00C94E67" w:rsidRDefault="00C94E67" w:rsidP="00A52349">
      <w:pPr>
        <w:pStyle w:val="SWCHeading11"/>
      </w:pPr>
      <w:r>
        <w:t>3.2 Building size is not a sufficient predictor of energy performance</w:t>
      </w:r>
    </w:p>
    <w:p w14:paraId="3E5D961C" w14:textId="77777777" w:rsidR="00BD30CA" w:rsidRDefault="00A52349" w:rsidP="00BD30CA">
      <w:pPr>
        <w:pStyle w:val="SWCText"/>
      </w:pPr>
      <w:r>
        <w:t xml:space="preserve">Figure 2 examines whether differences in energy use can be explained primarily by building size. Annual electricity consumption generally increases with built-up area (Fig. 2a), which is expected because larger dwellings typically contain more conditioned space and appliances. However, the relationship shows considerable scatter. Buildings within similar floor-area ranges can differ by several thousand kWh/yr, indicating that floor area explains only part of the variation in absolute electricity demand. This becomes clearer when electricity use is normalised by floor area (Fig. 2b). </w:t>
      </w:r>
    </w:p>
    <w:p w14:paraId="71172892" w14:textId="77777777" w:rsidR="00BD30CA" w:rsidRDefault="00BD30CA" w:rsidP="00BD30CA">
      <w:pPr>
        <w:pStyle w:val="SWCText"/>
      </w:pPr>
    </w:p>
    <w:p w14:paraId="37DC6AB8" w14:textId="275488F7" w:rsidR="007A1BFE" w:rsidRDefault="007A1BFE" w:rsidP="00C0268C">
      <w:pPr>
        <w:pStyle w:val="SWCText"/>
        <w:jc w:val="center"/>
      </w:pPr>
      <w:r>
        <w:rPr>
          <w:noProof/>
        </w:rPr>
        <w:drawing>
          <wp:inline distT="0" distB="0" distL="0" distR="0" wp14:anchorId="110617C7" wp14:editId="64B3B7AA">
            <wp:extent cx="5164810" cy="2663798"/>
            <wp:effectExtent l="0" t="0" r="0" b="3810"/>
            <wp:docPr id="1277198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198564" name=""/>
                    <pic:cNvPicPr/>
                  </pic:nvPicPr>
                  <pic:blipFill>
                    <a:blip r:embed="rId10"/>
                    <a:stretch>
                      <a:fillRect/>
                    </a:stretch>
                  </pic:blipFill>
                  <pic:spPr>
                    <a:xfrm>
                      <a:off x="0" y="0"/>
                      <a:ext cx="5169371" cy="2666151"/>
                    </a:xfrm>
                    <a:prstGeom prst="rect">
                      <a:avLst/>
                    </a:prstGeom>
                  </pic:spPr>
                </pic:pic>
              </a:graphicData>
            </a:graphic>
          </wp:inline>
        </w:drawing>
      </w:r>
    </w:p>
    <w:p w14:paraId="4E56CDA4" w14:textId="04EA6A0D" w:rsidR="006D310B" w:rsidRDefault="007A1BFE" w:rsidP="007A1BFE">
      <w:pPr>
        <w:pStyle w:val="SWCTableFigureCaption"/>
      </w:pPr>
      <w:r>
        <w:t xml:space="preserve">Fig </w:t>
        <w:fldChar w:fldCharType="begin"/>
        <w:instrText xml:space="preserve"> SEQ Figure \* ARABIC </w:instrText>
        <w:fldChar w:fldCharType="separate"/>
      </w:r>
      <w:r>
        <w:rPr>
          <w:noProof/>
        </w:rPr>
        <w:t>2</w:t>
      </w:r>
      <w:r>
        <w:fldChar w:fldCharType="end"/>
        <w:t xml:space="preserve"> Relationship between building scale and energy use: (a) annual electricity consumption versus built-up area; (b) EPI versus built-up area. </w:t>
      </w:r>
    </w:p>
    <w:p w14:paraId="5CF2E2E5" w14:textId="77777777" w:rsidR="00BD30CA" w:rsidRDefault="00BD30CA" w:rsidP="007A1BFE">
      <w:pPr>
        <w:pStyle w:val="SWCTableFigureCaption"/>
      </w:pPr>
    </w:p>
    <w:p w14:paraId="484A19F6" w14:textId="77777777" w:rsidR="000F24AC" w:rsidRDefault="000F24AC" w:rsidP="007A1BFE">
      <w:pPr>
        <w:pStyle w:val="SWCTableFigureCaption"/>
      </w:pPr>
    </w:p>
    <w:p w14:paraId="12EFC0A8" w14:textId="77777777" w:rsidR="00BD30CA" w:rsidRPr="00C94E67" w:rsidRDefault="00BD30CA" w:rsidP="00BD30CA">
      <w:pPr>
        <w:pStyle w:val="SWCText"/>
      </w:pPr>
      <w:r>
        <w:lastRenderedPageBreak/>
        <w:t xml:space="preserve">Several larger buildings maintain comparatively low EPI values, whereas some smaller and medium-sized buildings reach approximately 60–100 kWh/m²·yr. Thus, increasing floor area does not translate proportionally into increasing energy intensity. The contrast between the two panels is important: building size influences the magnitude of electricity demand, but does not independently determine energy performance. The remaining variation is likely associated with differences in cooling operation, appliance use, occupancy and building-envelope characteristics, although their individual effects cannot be isolated from the available dataset. From a building-design perspective, the result is relevant because it suggests that larger or more vertically developed residential buildings are not inherently energy intensive on a floor-area basis. Their performance depends on how effectively cooling demand, envelope heat gains and building systems are managed. This provides the basis for examining façade and glazing characteristics in the subsequent analysis.</w:t>
      </w:r>
    </w:p>
    <w:p w14:paraId="0920E53B" w14:textId="2B9C9956" w:rsidR="007A1BFE" w:rsidRPr="007A1BFE" w:rsidRDefault="007A1BFE" w:rsidP="007A1BFE">
      <w:pPr>
        <w:pStyle w:val="SWCHeading11"/>
      </w:pPr>
      <w:r>
        <w:t xml:space="preserve">3.3 Influence of Building Morphology on Window-to-Wall Ratio</w:t>
      </w:r>
    </w:p>
    <w:p w14:paraId="3042F0C5" w14:textId="7F0783E1" w:rsidR="007A1BFE" w:rsidRDefault="00A52349" w:rsidP="00A52349">
      <w:pPr>
        <w:pStyle w:val="SWCText"/>
      </w:pPr>
      <w:r>
        <w:t xml:space="preserve">The WWR distribution in Figure 3a is considerably narrower than the observed variation in EPI. Most surveyed buildings have WWR values between approximately 6% and 12%, with the highest concentration around 8–10%, while only a small number extend toward 15–18%. The surveyed high-rise stock is therefore not characterised by extensively glazed façades. Nevertheless, even moderate glazing can contribute to cooling demand in Jaipur when exposed to intense solar radiation, particularly where external shading or solar-control measures are limited. Figure 3b shows no clear systematic relationship between building height and WWR. Buildings with similar numbers of floors exhibit a wide range of glazing ratios, and both relatively low and high WWR values occur among taller buildings. This indicates that increased building height does not inherently require greater façade transparency. Rather, the observed heterogeneity suggests that glazing configuration is influenced more strongly by individual architectural and façade-design choices than by building height itself. This is relevant for future high-rise development because climate-responsive façade design can be introduced without necessarily constraining vertical urban development. The relationship between WWR and built-up area (Fig. 3c) shows a somewhat more visible tendency, with larger dwellings appearing more frequently toward the upper WWR range, although substantial dispersion remains. Larger apartments may accommodate greater glazing to provide daylight, external views and spatial quality; however, the dataset does not allow these design motivations to be confirmed directly. The energy implication is therefore not that larger glazing areas should be avoided universally, but that their orientation and solar exposure need to be considered together with WWR. This motivates the orientation-specific analysis presented in the following section.</w:t>
      </w:r>
    </w:p>
    <w:p w14:paraId="6F092D9E" w14:textId="77777777" w:rsidR="007A1BFE" w:rsidRDefault="007A1BFE" w:rsidP="00C0268C">
      <w:pPr>
        <w:pStyle w:val="SWCText"/>
        <w:keepNext/>
        <w:jc w:val="center"/>
      </w:pPr>
      <w:r>
        <w:rPr>
          <w:noProof/>
        </w:rPr>
        <w:drawing>
          <wp:inline distT="0" distB="0" distL="0" distR="0" wp14:anchorId="72301C1E" wp14:editId="00779F22">
            <wp:extent cx="5717134" cy="2974768"/>
            <wp:effectExtent l="0" t="0" r="0" b="0"/>
            <wp:docPr id="1946499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99947" name=""/>
                    <pic:cNvPicPr/>
                  </pic:nvPicPr>
                  <pic:blipFill>
                    <a:blip r:embed="rId11"/>
                    <a:stretch>
                      <a:fillRect/>
                    </a:stretch>
                  </pic:blipFill>
                  <pic:spPr>
                    <a:xfrm>
                      <a:off x="0" y="0"/>
                      <a:ext cx="5742533" cy="2987984"/>
                    </a:xfrm>
                    <a:prstGeom prst="rect">
                      <a:avLst/>
                    </a:prstGeom>
                  </pic:spPr>
                </pic:pic>
              </a:graphicData>
            </a:graphic>
          </wp:inline>
        </w:drawing>
      </w:r>
    </w:p>
    <w:p w14:paraId="343A852F" w14:textId="66199568" w:rsidR="007A1BFE" w:rsidRDefault="007A1BFE" w:rsidP="007A1BFE">
      <w:pPr>
        <w:pStyle w:val="SWCTableFigureCaption"/>
      </w:pPr>
      <w:r>
        <w:t xml:space="preserve">Fig. </w:t>
        <w:fldChar w:fldCharType="begin"/>
        <w:instrText xml:space="preserve"> SEQ Figure \* ARABIC </w:instrText>
        <w:fldChar w:fldCharType="separate"/>
      </w:r>
      <w:r>
        <w:rPr>
          <w:noProof/>
        </w:rPr>
        <w:t>3</w:t>
      </w:r>
      <w:r>
        <w:fldChar w:fldCharType="end"/>
        <w:t xml:space="preserve"> Window-to-wall ratio and building morphology </w:t>
      </w:r>
    </w:p>
    <w:p w14:paraId="7102701D" w14:textId="77777777" w:rsidR="007A1BFE" w:rsidRPr="007A1BFE" w:rsidRDefault="007A1BFE" w:rsidP="007A1BFE">
      <w:pPr>
        <w:pStyle w:val="SWCHeading11"/>
      </w:pPr>
      <w:r>
        <w:t>3.4 Orientation matters more than WWR alone</w:t>
      </w:r>
    </w:p>
    <w:p w14:paraId="23E57819" w14:textId="45DA8AC9" w:rsidR="007A1BFE" w:rsidRDefault="007A1BFE" w:rsidP="007A1BFE">
      <w:pPr>
        <w:pStyle w:val="SWCText"/>
      </w:pPr>
      <w:r>
        <w:t xml:space="preserve">Figure 4a demonstrates that mean WWR varies by façade direction. North-facing façades have the highest mean WWR, around 10%, while east, south and west orientations are also substantial. Northeast, northwest and southeast directions show lower mean values. The error bars indicate considerable variation within orientations, again reinforcing the heterogeneity of the surveyed stock. The directional heatmap (Figure 4b) and the simplified cardinal-orientation comparison (Figure 4c) make the design implication easier to interpret. North has the highest </w:t>
        <w:lastRenderedPageBreak/>
        <w:t xml:space="preserve">average glazing dominance, followed by south and east, with west lower in the simplified comparison. A high north-facing WWR can be thermally less problematic because north façades generally receive more diffuse daylight and less intense direct solar radiation. West glazing, even when its mean area is lower, remains critical because low-angle afternoon solar radiation coincides with high outdoor temperatures and often with residential occupancy. The data therefore do not support a universal statement that 'higher WWR equals higher cooling demand' without qualification. A more defensible conclusion is that WWR should be treated as an orientation-sensitive design variable. A moderate WWR on a well-shaded or north-facing façade may perform better than a smaller unshaded west-facing window. This distinction is essential if the survey results are to inform practical design rather than simplistic glazing limits.</w:t>
      </w:r>
    </w:p>
    <w:p w14:paraId="268DBAF0" w14:textId="77777777" w:rsidR="00976E4B" w:rsidRDefault="00976E4B" w:rsidP="00C0268C">
      <w:pPr>
        <w:pStyle w:val="SWCText"/>
        <w:keepNext/>
        <w:jc w:val="center"/>
      </w:pPr>
      <w:r>
        <w:rPr>
          <w:noProof/>
        </w:rPr>
        <w:drawing>
          <wp:inline distT="0" distB="0" distL="0" distR="0" wp14:anchorId="68C53C49" wp14:editId="75058EA8">
            <wp:extent cx="5313666" cy="2697962"/>
            <wp:effectExtent l="0" t="0" r="1905" b="7620"/>
            <wp:docPr id="1964410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410995" name=""/>
                    <pic:cNvPicPr/>
                  </pic:nvPicPr>
                  <pic:blipFill>
                    <a:blip r:embed="rId12"/>
                    <a:stretch>
                      <a:fillRect/>
                    </a:stretch>
                  </pic:blipFill>
                  <pic:spPr>
                    <a:xfrm>
                      <a:off x="0" y="0"/>
                      <a:ext cx="5318431" cy="2700381"/>
                    </a:xfrm>
                    <a:prstGeom prst="rect">
                      <a:avLst/>
                    </a:prstGeom>
                  </pic:spPr>
                </pic:pic>
              </a:graphicData>
            </a:graphic>
          </wp:inline>
        </w:drawing>
      </w:r>
    </w:p>
    <w:p w14:paraId="2CC20FC4" w14:textId="7E85B525" w:rsidR="005B7AB3" w:rsidRDefault="00976E4B" w:rsidP="00976E4B">
      <w:pPr>
        <w:pStyle w:val="SWCTableFigureCaption"/>
      </w:pPr>
      <w:r>
        <w:t xml:space="preserve">Fig. </w:t>
        <w:fldChar w:fldCharType="begin"/>
        <w:instrText xml:space="preserve"> SEQ Figure \* ARABIC </w:instrText>
        <w:fldChar w:fldCharType="separate"/>
      </w:r>
      <w:r>
        <w:rPr>
          <w:noProof/>
        </w:rPr>
        <w:t>4</w:t>
      </w:r>
      <w:r>
        <w:fldChar w:fldCharType="end"/>
        <w:t xml:space="preserve">  Orientation-specific glazing characteristics</w:t>
      </w:r>
    </w:p>
    <w:p w14:paraId="336EBF03" w14:textId="6A85A427" w:rsidR="00480357" w:rsidRDefault="007A1BFE" w:rsidP="00480357">
      <w:pPr>
        <w:pStyle w:val="SWCHeading1"/>
      </w:pPr>
      <w:r>
        <w:t xml:space="preserve">From Data Analysis to a Solution-Oriented Net-Zero Framework </w:t>
      </w:r>
    </w:p>
    <w:p w14:paraId="2B353663" w14:textId="77777777" w:rsidR="00A52349" w:rsidRDefault="00A52349" w:rsidP="00A52349">
      <w:pPr>
        <w:pStyle w:val="SWCText"/>
      </w:pPr>
      <w:r>
        <w:t xml:space="preserve">The empirical findings provide a basis for translating the observed energy and envelope characteristics into a structured pathway toward net-zero-ready high-rise residential buildings. The results support a demand-first strategy, particularly because cooling represents the dominant individual electricity end use, EPI varies considerably among buildings of similar size, and WWR is not systematically determined by building height. These observations suggest that substantial opportunities exist to improve energy performance within the existing high-rise morphology. The proposed framework therefore integrates envelope optimisation, efficient cooling, solar-energy supply and demand flexibility.</w:t>
      </w:r>
    </w:p>
    <w:p w14:paraId="0B4D7DE3" w14:textId="77777777" w:rsidR="00A52349" w:rsidRDefault="00A52349" w:rsidP="00A52349">
      <w:pPr>
        <w:pStyle w:val="SWCHeading11"/>
      </w:pPr>
      <w:r>
        <w:t>4.1 Climate-Responsive Envelope Strategies</w:t>
      </w:r>
    </w:p>
    <w:p w14:paraId="0D9802D0" w14:textId="67B49A06" w:rsidR="00A52349" w:rsidRDefault="00A52349" w:rsidP="00A52349">
      <w:pPr>
        <w:pStyle w:val="SWCText"/>
      </w:pPr>
      <w:r>
        <w:t xml:space="preserve">The first intervention level is to reduce external heat gains before mechanical cooling is required. For new buildings, orientation, massing, orientation-sensitive glazing, external shading and improved roof and wall performance should be considered together. For existing buildings, where orientation is fixed, practical measures include external shading, solar-control glazing where appropriate, cool roofs, roof insulation and improved ventilation management. The observed 6–12% WWR range represents the prevailing condition of the surveyed stock rather than an optimum design range </w:t>
        <w:fldChar w:fldCharType="begin"/>
        <w:instrText xml:space="preserve"> ADDIN ZOTERO_ITEM CSL_CITATION {"citationID":"qzJ7c9MH","properties":{"unsorted":false,"formattedCitation":"[11]","plainCitation":"[11]","noteIndex":0},"citationItems":[{"id":170,"uris":["http://zotero.org/users/local/bf7CEtzQ/items/H9LVPFBH"],"itemData":{"id":170,"type":"article-journal","abstract":"The cooling demand of future buildings is increasing rapidly because of rise in temperature due to global warming and climate change. Furthermore, this will create extra burden on limited fossil-based energy to fulfil the increasing energy demand resulting in further increase in greenhouse gas emission. As the urban environment warms, passive cooling offers a vital low-energy solution for sustainable comfort in hot climates, creating pathways to achieve SDG7 and SDG13. This study discusses the potential of passive cooling strategies in mitigating the crisis due to rise in global temperature faced by the urban built environment in hot climate. Primarily, it presents an exhaustive technical analysis of key passive cooling technologies to evaluate their performance in reducing cooling energy demand, mitigating CO2, and improving indoor thermal comfort. It was found that factors like local climate, building typology, and optimum system design ultimately dictate the optimal passive cooling strategy. Furthermore, integrating two or more passive cooling technologies has the potential of effectively regulating the indoor thermal comfort throughout the year along with reduction in cooling load up to 80% and temperature reduction up to 15 °C. If suitably selected and optimally designed they can mitigate CO2 emissions and offers significant energy savings.","container-title":"Next Energy","DOI":"10.1016/j.nxener.2026.100869","ISSN":"2949-821X","journalAbbreviation":"Next Energy","page":"100869","source":"ScienceDirect","title":"An up-to-date analysis of passive cooling strategies for buildings in hot climate: Achieving sustainable and net-zero targets","title-short":"An up-to-date analysis of passive cooling strategies for buildings in hot climate","volume":"13","author":[{"family":"Thakur","given":"Vikas Kumar"},{"family":"Rathore","given":"Pushpendra Kumar Singh"},{"family":"Roy","given":"Sujit"},{"family":"Kumar","given":"Vikas"},{"family":"Sahoo","given":"Rashmi Rekha"},{"family":"Gautam","given":"Rohit Kumar Singh"}],"issued":{"date-parts":[["2026",10,1]]}}}],"schema":"https://github.com/citation-style-language/schema/raw/master/csl-citation.json"} </w:instrText>
        <w:fldChar w:fldCharType="separate"/>
        <w:t>[11]</w:t>
        <w:fldChar w:fldCharType="end"/>
        <w:t xml:space="preserve">. Since glazing properties, shading geometry and detailed envelope characteristics were not consistently available, an optimum WWR cannot be derived from the present dataset. The more relevant implication is that WWR should be considered together with orientation and solar exposure, with particular attention to controlling low-angle solar gains on east- and west-facing façades </w:t>
        <w:fldChar w:fldCharType="begin"/>
        <w:instrText xml:space="preserve"> ADDIN ZOTERO_ITEM CSL_CITATION {"citationID":"dtH8Q9ua","properties":{"unsorted":false,"formattedCitation":"[12]","plainCitation":"[12]","noteIndex":0},"citationItems":[{"id":173,"uris":["http://zotero.org/users/local/bf7CEtzQ/items/4JTY5LJ7"],"itemData":{"id":173,"type":"webpage","title":"Improving Energy Efficiency of Mosque Buildings Through Retrofitting: A Review of Strategies Utilized in the Hot Climates","URL":"https://www.mdpi.com/2673-4117/7/1/52","accessed":{"date-parts":[["2026",8,15]]}}}],"schema":"https://github.com/citation-style-language/schema/raw/master/csl-citation.json"} </w:instrText>
        <w:fldChar w:fldCharType="separate"/>
        <w:t>[12]</w:t>
        <w:fldChar w:fldCharType="end"/>
        <w:t>.</w:t>
      </w:r>
    </w:p>
    <w:p w14:paraId="1BB08F73" w14:textId="77777777" w:rsidR="00A52349" w:rsidRDefault="00A52349" w:rsidP="00A52349">
      <w:pPr>
        <w:pStyle w:val="SWCHeading11"/>
      </w:pPr>
      <w:r>
        <w:t>4.2 Energy-Efficient Thermal Comfort</w:t>
      </w:r>
    </w:p>
    <w:p w14:paraId="0EE896A2" w14:textId="54DFA1FE" w:rsidR="00A52349" w:rsidRDefault="00A52349" w:rsidP="00A52349">
      <w:pPr>
        <w:pStyle w:val="SWCText"/>
      </w:pPr>
      <w:r>
        <w:t xml:space="preserve">Passive measures can reduce cooling loads but are unlikely to eliminate active cooling during Jaipur's extreme summer conditions. The remaining thermal-comfort demand should therefore be met using efficient cooling systems, appropriate equipment sizing and effective controls. This is particularly important because air conditioning accounts for approximately 40% of electricity use in the stock surveyed. Ceiling fans also represent an important component of the comfort strategy. Air movement can extend acceptable comfort conditions at higher indoor temperatures and thereby reduce dependence on compressor-based cooling. The appropriate </w:t>
        <w:lastRenderedPageBreak/>
        <w:t xml:space="preserve">objective is therefore not simply efficient air conditioning, but efficient thermal-comfort delivery combining passive measures, air movement and mechanical cooling </w:t>
        <w:fldChar w:fldCharType="begin"/>
        <w:instrText xml:space="preserve"> ADDIN ZOTERO_ITEM CSL_CITATION {"citationID":"FArVF53A","properties":{"unsorted":false,"formattedCitation":"[13]","plainCitation":"[13]","noteIndex":0},"citationItems":[{"id":176,"uris":["http://zotero.org/users/local/bf7CEtzQ/items/JNZY3M63"],"itemData":{"id":176,"type":"article-journal","abstract":"Disadvantaged communities face a growing threat to staying safe during heat waves, especially during coincident power outages. This study develops a methodology to evaluate the effectiveness of passive cooling measures (those that operate without power) to improve residential building heat resilience. Building performance is simulated for representative homes and on district scales in two disadvantaged communities in Fresno, California. Eleven passive measures are evaluated using four heat resilience metrics with and without grid power. Results show performance of the mitigation measures varies by building characteristics, surrounding environment, and power scenario. The two most effective measures were installing solar-control window films and adding roof insulation. For pre-1978 single-family homes, these two measures can reduce unmet degree-hours (UDH) indoors by 12% and 11% respectively without grid power, or 28% and 37% with grid power. Their respective UDH reductions at district scale typically range 8% — 20% and 4% — 12% without grid power, or 14% — 44% and 8% — 51% with grid power. Top floors have higher overheating risk than lower floors during extreme heat events with coincident power outages. Natural ventilation can help, reducing UDH by 21% — 26%. The methodology and findings from this study can help cities, communities, and utilities develop effective and targeted strategies to promote greater residential heat resilience.","container-title":"Energy and Buildings","DOI":"10.1016/j.enbuild.2021.111383","ISSN":"0378-7788","journalAbbreviation":"Energy and Buildings","page":"111383","source":"ScienceDirect","title":"Passive cooling designs to improve heat resilience of homes in underserved and vulnerable communities","volume":"252","author":[{"family":"Sun","given":"Kaiyu"},{"family":"Zhang","given":"Wanni"},{"family":"Zeng","given":"Zhaoyun"},{"family":"Levinson","given":"Ronnen"},{"family":"Wei","given":"Max"},{"family":"Hong","given":"Tianzhen"}],"issued":{"date-parts":[["2021",12,1]]}}}],"schema":"https://github.com/citation-style-language/schema/raw/master/csl-citation.json"} </w:instrText>
        <w:fldChar w:fldCharType="separate"/>
        <w:t>[13]</w:t>
        <w:fldChar w:fldCharType="end"/>
        <w:t>.</w:t>
      </w:r>
    </w:p>
    <w:p w14:paraId="4C3C0674" w14:textId="77777777" w:rsidR="00A52349" w:rsidRDefault="00A52349" w:rsidP="00A52349">
      <w:pPr>
        <w:pStyle w:val="SWCHeading11"/>
      </w:pPr>
      <w:r>
        <w:t>4.3 Solar Integration and High-Rise Net-Zero Potential</w:t>
      </w:r>
    </w:p>
    <w:p w14:paraId="439A0D27" w14:textId="26475FE8" w:rsidR="00A52349" w:rsidRDefault="00A52349" w:rsidP="00A52349">
      <w:pPr>
        <w:pStyle w:val="SWCText"/>
      </w:pPr>
      <w:r>
        <w:t xml:space="preserve">After reducing cooling and other avoidable loads, solar energy can address a larger fraction of residual electricity demand. Jaipur's high solar availability provides favourable conditions for PV-powered cooling, particularly because solar generation and cooling requirements broadly coincide seasonally. PV-powered high-efficiency vapour-compression cooling is likely to provide the most straightforward solution for individual residential buildings, while solar-thermal cooling may be relevant for larger centralised systems. High-rise morphology, however, creates an important constraint </w:t>
        <w:fldChar w:fldCharType="begin"/>
        <w:instrText xml:space="preserve"> ADDIN ZOTERO_ITEM CSL_CITATION {"citationID":"cf3zi1dj","properties":{"unsorted":false,"formattedCitation":"[14]","plainCitation":"[14]","noteIndex":0},"citationItems":[{"id":178,"uris":["http://zotero.org/users/local/bf7CEtzQ/items/6ZRMYNQW"],"itemData":{"id":178,"type":"webpage","title":"Evaluating the Impact of Jaali Façades on Building Energy Demand in Jaipur’s Hot Semi-Arid Climate","URL":"https://www.mdpi.com/2071-1050/18/8/3876","accessed":{"date-parts":[["2026",8,15]]}}}],"schema":"https://github.com/citation-style-language/schema/raw/master/csl-citation.json"} </w:instrText>
        <w:fldChar w:fldCharType="separate"/>
        <w:t>[14]</w:t>
        <w:fldChar w:fldCharType="end"/>
        <w:t xml:space="preserve">. Total residential floor area increases with the number of floors, whereas rooftop area does not increase proportionally. Consequently, available rooftop PV area per unit of floor area decreases as building height increases. Energy-demand reduction therefore becomes increasingly important for taller buildings, where rooftop PV may need to be complemented by façade-integrated PV, shared solar or neighbourhood-scale renewable-energy systems.</w:t>
      </w:r>
    </w:p>
    <w:p w14:paraId="393E63FF" w14:textId="77777777" w:rsidR="00A52349" w:rsidRDefault="00A52349" w:rsidP="00A52349">
      <w:pPr>
        <w:pStyle w:val="SWCHeading11"/>
      </w:pPr>
      <w:r>
        <w:t>4.4 Temporal Coordination of Cooling and Solar Generation</w:t>
      </w:r>
    </w:p>
    <w:p w14:paraId="40FC29A1" w14:textId="07CF30CE" w:rsidR="00A52349" w:rsidRDefault="00A52349" w:rsidP="00A52349">
      <w:pPr>
        <w:pStyle w:val="SWCText"/>
      </w:pPr>
      <w:r>
        <w:t xml:space="preserve">Annual net-zero balance does not necessarily imply an effective temporal match between demand and generation. PV production peaks during daylight hours, while residential cooling can continue into the evening. Smart thermostat control, fan-assisted cooling, controlled pre-cooling and appropriate use of building thermal mass can shift part of the cooling demand toward periods of higher solar availability </w:t>
        <w:fldChar w:fldCharType="begin"/>
        <w:instrText xml:space="preserve"> ADDIN ZOTERO_ITEM CSL_CITATION {"citationID":"24WPcPeX","properties":{"unsorted":false,"formattedCitation":"[15]","plainCitation":"[15]","noteIndex":0},"citationItems":[{"id":183,"uris":["http://zotero.org/users/local/bf7CEtzQ/items/3WRUV77X"],"itemData":{"id":183,"type":"article-journal","abstract":"Net-zero energy buildings (NZEBs) contribute significantly to reducing energy consumption and emission levels in the building sector. While NZEB research is advancing globally, there is limited focus on their transformation in Mediterranean climates, particularly in Türkiye. This study investigates the feasibility of a residential building in Izmir, located in the Mediterranean climate zone of Türkiye, to be converted into NZEB. By applying energy efficiency measures, the techno-economic and environmental performance of two improvement scenarios are analyzed and key economic factors are investigated through sensitivity analysis. The methodology involves using DesignBuilder (DB) software for modeling energy efficiency scenarios and Hybrid Optimization of Multiple Energy Resources (HOMER) Grid software for system optimization. Two improvement scenarios were analyzed, Scenario 2 reduced primary energy consumption by 72% and CO₂ emissions by 99.1%. The reference building's energy consumption was recorded at 177.55 kWh/m2/year, dominated by heating demand. Scenario 2 achieved the highest savings, reducing primary energy consumption by 72% and CO₂ emissions by 99.1%. HOMER Grid optimized grid-connected PV/Battery systems for NZEB conversion, providing over 66% of annual electricity demand from renewable sources and significant energy sold back to the grid. The findings suggest that NZEB transformation is economically viable and supports Türkiye’s energy policies, reducing fossil fuel use and emissions. This change would reduce natural gas dependence, easing strain on energy imports and the current account deficit. The study recommends enhancing building codes, expanding financial incentives, and promoting integrated renovation strategies combining energy efficiency and renewable technologies.","container-title":"Environment, Development and Sustainability","DOI":"10.1007/s10668-025-06389-9","ISSN":"1573-2975","journalAbbreviation":"Environ Dev Sustain","language":"en","source":"Springer Link","title":"Net-zero energy building transformation: Techno-economic and environmental evaluation in the Mediterranean Region","title-short":"Net-zero energy building transformation","URL":"https://doi.org/10.1007/s10668-025-06389-9","author":[{"family":"Eksi","given":"Melisa"},{"family":"Akarsu","given":"Recep Tayyip"},{"family":"Ozcan","given":"Mustafa"}],"accessed":{"date-parts":[["2026",8,15]]},"issued":{"date-parts":[["2025",6,7]]}}}],"schema":"https://github.com/citation-style-language/schema/raw/master/csl-citation.json"} </w:instrText>
        <w:fldChar w:fldCharType="separate"/>
        <w:t>[15]</w:t>
        <w:fldChar w:fldCharType="end"/>
        <w:t xml:space="preserve">. Storage can provide additional flexibility where technically and economically justified. The objective is therefore to improve both annual renewable-energy contribution and temporal compatibility between cooling demand and solar generation, thereby increasing PV self-consumption and reducing cooling-related peak electricity demand </w:t>
        <w:fldChar w:fldCharType="begin"/>
        <w:instrText xml:space="preserve"> ADDIN ZOTERO_ITEM CSL_CITATION {"citationID":"HQuWL0ho","properties":{"unsorted":false,"formattedCitation":"[16]","plainCitation":"[16]","noteIndex":0},"citationItems":[{"id":180,"uris":["http://zotero.org/users/local/bf7CEtzQ/items/MP38MXW4"],"itemData":{"id":180,"type":"article-journal","abstract":"The building sector accounts for over one-third of global energy use and emissions, making on-site renewable generation critical for climate neutrality. Rooftop photovoltaics (PV) can reduce reliance on fossil fuels, yet climate change alters both building energy demand and PV output, creating poorly understood spatiotemporal mismatches. To bridge this gap, this study employed a multi-scale temporal analysis across 27 cities representing all ASHRAE climate zones, integrating extreme event assessment with traditional annual metrics to reveal unique PV-demand matching dynamics. A single-storey residential building with 10.08 kW rooftop PV was simulated via Ladybug tools (EnergyPlus engine) in Rhino under baseline, SSP126, SSP245 and SSP585 scenarios (2050, 2080) to analyze self-sufficiency ratio (SSR) and self-consumption ratio (SCR) at annual, monthly and daily scales. Under SSP585_2080, extreme hot regions (Zone 0) face compound vulnerabilities: energy demand rises 33.6–38.5% while PV output changes marginally (−2.5% to 4.0%), reducing SSR from 48.2–50.9% (baseline) to 46.5–49.0%, despite SCR increases to 62.1–76.3%. Cool and cold regions in Zones 5–6 benefit from 11.3–19.5% demand reductions (SSP585_2080) but remain limited by winter generation, with SSR constrained at 24.0–35.6% under the same scenario. Monthly analysis exposes seasonal asymmetries with high-latitude (Zones 6–8) winter SSR typically below 15% despite warming. Most critically, extreme-event analysis exposed up to fourfold increases in energy deficits during extreme heat events in tropical zones and confirmed the expected zero PV generation during polar nights, a fundamental limitation that persists despite warming and that annual metrics consistently obscure. Sensitivity analysis examining building envelope performance variations and PV system capacity changes confirmed climate-driven performance patterns. These findings demonstrate heterogeneous climate change impacts that fundamentally challenge universal renewable energy targets, necessitating coordinated strategies combining demand-side interventions, climate-specific renovation and supplementary energy sources to address inherent solar limitations. Such insights provide essential guidance for renewable energy policy development and urban energy planning.","container-title":"Applied Energy","DOI":"10.1016/j.apenergy.2026.128210","ISSN":"0306-2619","journalAbbreviation":"Applied Energy","page":"128210","source":"ScienceDirect","title":"Spatiotemporal supply-demand matching in residential building rooftop photovoltaics (PV) under climate change: a cross-climate zone assessment","title-short":"Spatiotemporal supply-demand matching in residential building rooftop photovoltaics (PV) under climate change","volume":"421","author":[{"family":"Duan","given":"Zhuocheng"},{"family":"Attia","given":"Shady"},{"family":"Omrany","given":"Hossein"},{"family":"Chang","given":"Ruidong"},{"family":"Zuo","given":"Jian"}],"issued":{"date-parts":[["2026",10,15]]}}}],"schema":"https://github.com/citation-style-language/schema/raw/master/csl-citation.json"} </w:instrText>
        <w:fldChar w:fldCharType="separate"/>
        <w:t>[16]</w:t>
        <w:fldChar w:fldCharType="end"/>
        <w:t>.</w:t>
      </w:r>
    </w:p>
    <w:p w14:paraId="3A24FF5D" w14:textId="77777777" w:rsidR="00A52349" w:rsidRDefault="00A52349" w:rsidP="00A52349">
      <w:pPr>
        <w:pStyle w:val="SWCHeading11"/>
      </w:pPr>
      <w:r>
        <w:t>4.5 EPI-Based Differentiation of Transition Pathways</w:t>
      </w:r>
    </w:p>
    <w:p w14:paraId="0824A05F" w14:textId="6038E3B4" w:rsidR="00A52349" w:rsidRDefault="00A52349" w:rsidP="00A52349">
      <w:pPr>
        <w:pStyle w:val="SWCText"/>
      </w:pPr>
      <w:r>
        <w:t xml:space="preserve">The observed EPI distribution indicates that a uniform net-zero strategy is unlikely to be appropriate for the entire building stock. Buildings below approximately 28 kWh/m²·yr, representing the lower-energy quartile, may require comparatively limited efficiency intervention before solar integration, provided acceptable thermal comfort is maintained. Buildings between approximately 28 and 50 kWh/m²·yr represent the principal group for combined envelope, cooling-efficiency and solar interventions. Buildings above approximately 50 kWh/m²·yr require more detailed diagnosis before renewable systems are sized, particularly those reaching 70–100 kWh/m²·yr. Potential causes include intensive cooling operation, inefficient equipment, high solar exposure, inadequate shading and other appliance or operational loads. These ranges are empirical classifications of the surveyed stock rather than regulatory thresholds, but they demonstrate how EPI can support differentiated intervention priorities </w:t>
        <w:fldChar w:fldCharType="begin"/>
        <w:instrText xml:space="preserve"> ADDIN ZOTERO_ITEM CSL_CITATION {"citationID":"EYLm5ymC","properties":{"unsorted":false,"formattedCitation":"[2]","plainCitation":"[2]","noteIndex":0},"citationItems":[{"id":185,"uris":["http://zotero.org/users/local/bf7CEtzQ/items/XZ4H3I2U"],"itemData":{"id":185,"type":"article-journal","abstract":"The building sector represents a major frontier in the global response to climate change, accounting for approximately one-third of global energy consumption and a comparable share of energy-related carbon dioxide emissions. This review conducts a PRISMA-ScR–based scoping synthesis of technological, behavioural, and policy pathways to achieve energy efficiency and deep decarbonization in buildings. It systematically examines passive design principles, high-performance envelopes, efficient HVAC and lighting systems, renewable energy integration, building energy modelling, and retrofit strategies. The study also addresses the role of regulatory instruments, energy codes, and certification schemes in accelerating sectoral transformation. The synthesis identifies three cross-cutting drivers of decarbonization: integrated design across building systems, digitalization enabling predictive and adaptive operation, and robust policy frameworks ensuring large-scale implementation. The review concludes that while most technologies required to reach zero-emission buildings are already available, their potential remains underutilized due to fragmented policies, limited retrofit rates, and behavioural barriers. Coordinated implementation across technology, governance, and user engagement is essential to realise a net-zero building sector.","container-title":"Applied Sciences","DOI":"10.3390/app152111660","ISSN":"2076-3417","issue":"21","language":"en","license":"http://creativecommons.org/licenses/by/3.0/","page":"11660","publisher":"Multidisciplinary Digital Publishing Institute","source":"www.mdpi.com","title":"Energy Efficiency and Decarbonization Strategies in Buildings: A Review of Technologies, Policies, and Future Directions","title-short":"Energy Efficiency and Decarbonization Strategies in Buildings","volume":"15","author":[{"family":"Jørgensen","given":"Bo Nørregaard"},{"family":"Ma","given":"Zheng Grace"}],"issued":{"date-parts":[["2025",1]]}}}],"schema":"https://github.com/citation-style-language/schema/raw/master/csl-citation.json"} </w:instrText>
        <w:fldChar w:fldCharType="separate"/>
        <w:t>[2]</w:t>
        <w:fldChar w:fldCharType="end"/>
        <w:t>.</w:t>
      </w:r>
    </w:p>
    <w:p w14:paraId="39A5A5A6" w14:textId="542E6B95" w:rsidR="008063D5" w:rsidRPr="000D2AE3" w:rsidRDefault="00FA1520" w:rsidP="000D2AE3">
      <w:pPr>
        <w:pStyle w:val="SWCHeading1"/>
      </w:pPr>
      <w:r>
        <w:t xml:space="preserve">Discussion </w:t>
      </w:r>
    </w:p>
    <w:p w14:paraId="74B7E30B" w14:textId="77777777" w:rsidR="00806194" w:rsidRDefault="00806194" w:rsidP="00806194">
      <w:pPr>
        <w:pStyle w:val="SWCHeading11"/>
      </w:pPr>
      <w:r>
        <w:t>5.1 Implications of the regional suitability pattern</w:t>
      </w:r>
    </w:p>
    <w:p w14:paraId="2F84412D" w14:textId="4C263657" w:rsidR="00976E4B" w:rsidRDefault="00A52349" w:rsidP="00976E4B">
      <w:pPr>
        <w:pStyle w:val="SWCText"/>
      </w:pPr>
      <w:r>
        <w:t xml:space="preserve">The main contribution of this study lies in connecting three characteristics that are often considered independently: the dominance of cooling-related electricity use, the substantial variation in energy intensity among buildings of comparable size, and the variability of façade glazing among buildings of similar height. Together, these findings indicate that high-rise morphology alone does not determine energy performance. Instead, envelope design, cooling systems and building operation create considerable performance variation within the same residential typology. The findings reinforce the importance of climate-responsive envelope design promoted in Indian residential building-energy guidance. While previous simulation studies have demonstrated the sensitivity of cooling loads to WWR, orientation, shading and envelope properties, the present field analysis shows that these parameters also vary considerably within an existing high-rise building stock. This heterogeneity creates practical opportunities for targeted interventions rather than a uniform design or retrofit strategy. The implications extend beyond Jaipur. Many rapidly urbanising cities in the Global South combine increasing cooling demand, high solar availability and growing multi-family high-rise development. In such contexts, increasing renewable generation alone may be insufficient, particularly because rooftop solar area becomes increasingly constrained relative to floor area as buildings become taller. The proposed demand-first approach reducing heat gains and cooling requirements before solar integration—therefore provides a transferable framework, although numerical EPI and WWR benchmarks should remain climate- and context-specific. Thermal comfort is an important consideration when interpreting these results. Low EPI should not </w:t>
        <w:lastRenderedPageBreak/>
        <w:t xml:space="preserve">automatically be considered evidence of superior building performance, as lower electricity consumption may also reflect restricted cooling use. Future net-zero assessment should therefore evaluate energy consumption together with indoor temperature, humidity, air movement and occupant comfort. The objective should be low-energy provision of acceptable thermal conditions, rather than minimum electricity consumption alone. Advanced predictive methods are not necessary for the present analysis. The 128-building dataset is appropriate for descriptive statistics and targeted correlation analysis, while meaningful AI/ML applications would require either a larger building-stock sample or richer time-series measurements. Future monitoring could provide such data and enable more detailed analysis of interactions between climate, envelope characteristics, cooling operation and occupant behaviour.</w:t>
      </w:r>
    </w:p>
    <w:p w14:paraId="09A537C0" w14:textId="2C72145F" w:rsidR="00806194" w:rsidRDefault="00806194" w:rsidP="00BD30CA">
      <w:pPr>
        <w:pStyle w:val="SWCHeading11"/>
      </w:pPr>
      <w:r>
        <w:t>5.4 Limitations</w:t>
      </w:r>
    </w:p>
    <w:p w14:paraId="1A462DF0" w14:textId="26A5522D" w:rsidR="00976E4B" w:rsidRPr="00976E4B" w:rsidRDefault="000F24AC" w:rsidP="00976E4B">
      <w:pPr>
        <w:pStyle w:val="SWCText"/>
      </w:pPr>
      <w:r>
        <w:rPr>
          <w:lang w:val="de-DE"/>
        </w:rPr>
        <w:t xml:space="preserve">The analysis covers 128 surveyed buildings and does not represent Jaipur’s complete residential stock. The dataset also lacks several variables needed to isolate envelope effects, including glazing SHGC, detailed U values, shading, infiltration, occupancy, and thermostat settings. Appliance shares indicate cooling dominance but cannot replace measured hourly loads. Future work should combine the survey with sub-hourly monitoring of indoor conditions, AC and fan electricity use, outdoor weather, and solar radiation in representative low, medium, and high EPI buildings. Calibrated thermal models could then quantify envelope measures and future heatwave impacts. Further analysis should combine rooftop area, PV yield, dwelling numbers, and electricity demand to calculate building-level solar offset ratios and identify where rooftop PV must be complemented by shared, façade-integrated, or off-site renewable generation.</w:t>
      </w:r>
    </w:p>
    <w:p w14:paraId="697CAC4E" w14:textId="1F25B4E3" w:rsidR="00FA1520" w:rsidRDefault="00FA1520" w:rsidP="00FA1520">
      <w:pPr>
        <w:pStyle w:val="SWCHeading1"/>
      </w:pPr>
      <w:r>
        <w:t>Conclusion</w:t>
      </w:r>
    </w:p>
    <w:p w14:paraId="46E4986E" w14:textId="4AB07806" w:rsidR="000F24AC" w:rsidRPr="000F24AC" w:rsidRDefault="000F24AC" w:rsidP="000F24AC">
      <w:pPr>
        <w:pStyle w:val="SWCText"/>
      </w:pPr>
      <w:r>
        <w:t xml:space="preserve">The 128 high-rise residential buildings provides an empirical overview of Jaipur’s cooling-energy challenge. Annual electricity consumption ranges from about 1,000 to more than 13,000 kWh, while most EPI values lie between 20 and 50 kWh/m²·yr. Air conditioning accounts for approximately 40% of electricity use and therefore represents the largest intervention opportunity. Most buildings have WWR values of 6–12%, although glazing varies more with orientation and design than with building height. The results support orientation-sensitive façade design rather than a universal WWR target. A practical net-zero pathway should first reduce solar and conductive heat gains, then meet residual demand through fans and efficient cooling, and finally use solar energy, thermal mass, storage, and controls to improve renewable matching. This sequence is particularly important in high-rise housing, where rooftop solar area per dwelling decreases with height. Overall, net-zero development in hot cities requires an integrated combination of envelope improvement, efficient cooling, and renewable energy rather than reliance on solar generation alone.</w:t>
      </w:r>
    </w:p>
    <w:p w14:paraId="605692A3" w14:textId="4E46E3E0" w:rsidR="00A520C0" w:rsidRDefault="00A520C0" w:rsidP="00A520C0">
      <w:pPr>
        <w:pStyle w:val="SWCHeading1"/>
      </w:pPr>
      <w:r>
        <w:t>References</w:t>
      </w:r>
    </w:p>
    <w:p w14:paraId="00966B98" w14:textId="77777777" w:rsidR="00E149DB" w:rsidRPr="00E149DB" w:rsidRDefault="00E149DB" w:rsidP="00E149DB">
      <w:pPr>
        <w:pStyle w:val="SWCText"/>
      </w:pPr>
      <w:r>
        <w:fldChar w:fldCharType="begin"/>
        <w:instrText xml:space="preserve"> ADDIN ZOTERO_BIBL {"uncited":[],"omitted":[],"custom":[]} CSL_BIBLIOGRAPHY </w:instrText>
        <w:fldChar w:fldCharType="separate"/>
        <w:t>[1]</w:t>
        <w:tab/>
        <w:t>I. Staffell, S. Pfenninger, N. Johnson, A global model of hourly space heating and cooling demand at multiple spatial scales, Nat Energy 8 (2023) 1328–1344. https://doi.org/10.1038/s41560-023-01341-5.</w:t>
      </w:r>
    </w:p>
    <w:p w14:paraId="25AA4EC2" w14:textId="77777777" w:rsidR="00E149DB" w:rsidRPr="00E149DB" w:rsidRDefault="00E149DB" w:rsidP="00E149DB">
      <w:pPr>
        <w:pStyle w:val="SWCText"/>
      </w:pPr>
      <w:r>
        <w:t>[2]</w:t>
        <w:tab/>
        <w:t>B.N. Jørgensen, Z.G. Ma, Energy Efficiency and Decarbonization Strategies in Buildings: A Review of Technologies, Policies, and Future Directions, Applied Sciences 15 (2025) 11660. https://doi.org/10.3390/app152111660.</w:t>
      </w:r>
    </w:p>
    <w:p w14:paraId="119C2639" w14:textId="77777777" w:rsidR="00E149DB" w:rsidRPr="00E149DB" w:rsidRDefault="00E149DB" w:rsidP="00E149DB">
      <w:pPr>
        <w:pStyle w:val="SWCText"/>
      </w:pPr>
      <w:r>
        <w:t>[3]</w:t>
        <w:tab/>
        <w:t>A. Baniassadi, J. Heusinger, N. Meili, P. Izaga Gonzalez, H. Samuelson, Urban heat mitigation through improved building energy efficiency, Energy and Climate Change 3 (2022) 100078. https://doi.org/10.1016/j.egycc.2022.100078.</w:t>
      </w:r>
    </w:p>
    <w:p w14:paraId="2E730B19" w14:textId="77777777" w:rsidR="00E149DB" w:rsidRPr="00E149DB" w:rsidRDefault="00E149DB" w:rsidP="00E149DB">
      <w:pPr>
        <w:pStyle w:val="SWCText"/>
      </w:pPr>
      <w:r>
        <w:t>[4]</w:t>
        <w:tab/>
        <w:t>P.Kr. Chaturvedi, N. Kumar, J. Toftum, R.K. Andersen, R. Lamba, K. Mehta, Exploring influential parameters affecting residential building energy use: advancing energy efficiency through machine learning, Clean Techn Environ Policy 27 (2025) 6975–6996. https://doi.org/10.1007/s10098-025-03301-x.</w:t>
      </w:r>
    </w:p>
    <w:p w14:paraId="0E7D8AA0" w14:textId="77777777" w:rsidR="00E149DB" w:rsidRPr="00E149DB" w:rsidRDefault="00E149DB" w:rsidP="00E149DB">
      <w:pPr>
        <w:pStyle w:val="SWCText"/>
      </w:pPr>
      <w:r>
        <w:t>[5]</w:t>
        <w:tab/>
        <w:t>S. Dimitrov, M. Iliev, B. Borisova, S. Petrov, I. Ihtimanski, L. Todorov, I. Ivanov, S. Valchev, K. Georgiev, Large-Scale Modeling of Urban Rooftop Solar Energy Potential Using UAS-Based Digital Photogrammetry and GIS Spatial Analysis: A Case Study of Sofia City, Bulgaria, Urban Science 10 (2026) 210. https://doi.org/10.3390/urbansci10040210.</w:t>
      </w:r>
    </w:p>
    <w:p w14:paraId="013BD15E" w14:textId="77777777" w:rsidR="00E149DB" w:rsidRPr="00E149DB" w:rsidRDefault="00E149DB" w:rsidP="00E149DB">
      <w:pPr>
        <w:pStyle w:val="SWCText"/>
      </w:pPr>
      <w:r>
        <w:t>[6]</w:t>
        <w:tab/>
        <w:t xml:space="preserve">T. Pino-Gallardo, P. Bastida-Molina, T. Gómez-Navarro, C. Montagud-Montalvá, Towards realistic urban rooftop solar photovoltaic large-scale planning: integrating artificial intelligence-based roof detection, 3D geometry, and energy modelling, Engineering Science and Technology, an International Journal 80 (2026) </w:t>
        <w:lastRenderedPageBreak/>
        <w:t>102437. https://doi.org/10.1016/j.jestch.2026.102437.</w:t>
      </w:r>
    </w:p>
    <w:p w14:paraId="6EDBA593" w14:textId="77777777" w:rsidR="00E149DB" w:rsidRPr="00E149DB" w:rsidRDefault="00E149DB" w:rsidP="00E149DB">
      <w:pPr>
        <w:pStyle w:val="SWCText"/>
      </w:pPr>
      <w:r>
        <w:t>[7]</w:t>
        <w:tab/>
        <w:t>V. Gupta, C. Deb, Envelope design for low-energy buildings in the tropics: A review, Renewable and Sustainable Energy Reviews 186 (2023) 113650. https://doi.org/10.1016/j.rser.2023.113650.</w:t>
      </w:r>
    </w:p>
    <w:p w14:paraId="7B6BF737" w14:textId="77777777" w:rsidR="00E149DB" w:rsidRPr="00E149DB" w:rsidRDefault="00E149DB" w:rsidP="00E149DB">
      <w:pPr>
        <w:pStyle w:val="SWCText"/>
      </w:pPr>
      <w:r>
        <w:t>[8]</w:t>
        <w:tab/>
        <w:t>A.W. Ayoobi, A. Mehdizade, Climate responsive simulation of passive shading strategies for seasonal optimization of building energy demand, Discov Sustain 6 (2025) 1263. https://doi.org/10.1007/s43621-025-02178-6.</w:t>
      </w:r>
    </w:p>
    <w:p w14:paraId="77F801DF" w14:textId="77777777" w:rsidR="00E149DB" w:rsidRPr="00E149DB" w:rsidRDefault="00E149DB" w:rsidP="00E149DB">
      <w:pPr>
        <w:pStyle w:val="SWCText"/>
      </w:pPr>
      <w:r>
        <w:t>[9]</w:t>
        <w:tab/>
        <w:t>Y. Sun, R. Liang, Y. Wu, R. Wilson, P. Rutherford, Development of a comprehensive method to analyse glazing systems with Parallel Slat Transparent Insulation material (PS-TIM), Applied Energy 205 (2017) 951–963. https://doi.org/10.1016/j.apenergy.2017.08.041.</w:t>
      </w:r>
    </w:p>
    <w:p w14:paraId="006CC2D3" w14:textId="77777777" w:rsidR="00E149DB" w:rsidRPr="00E149DB" w:rsidRDefault="00E149DB" w:rsidP="00E149DB">
      <w:pPr>
        <w:pStyle w:val="SWCText"/>
      </w:pPr>
      <w:r>
        <w:t>[10]</w:t>
        <w:tab/>
        <w:t>P.Kr. Chaturvedi, N. Kumar, R. Lamba, K. Mehta, Multi-objective optimization of glazing and shading configurations for visual, thermal, and energy performance of cooling dominant climatic regions of India, Clean Techn Environ Policy 27 (2025) 4909–4932. https://doi.org/10.1007/s10098-024-03114-4.</w:t>
      </w:r>
    </w:p>
    <w:p w14:paraId="677AC109" w14:textId="77777777" w:rsidR="00E149DB" w:rsidRPr="00E149DB" w:rsidRDefault="00E149DB" w:rsidP="00E149DB">
      <w:pPr>
        <w:pStyle w:val="SWCText"/>
      </w:pPr>
      <w:r>
        <w:t>[11]</w:t>
        <w:tab/>
        <w:t>V.K. Thakur, P.K.S. Rathore, S. Roy, V. Kumar, R.R. Sahoo, R.K.S. Gautam, An up-to-date analysis of passive cooling strategies for buildings in hot climate: Achieving sustainable and net-zero targets, Next Energy 13 (2026) 100869. https://doi.org/10.1016/j.nxener.2026.100869.</w:t>
      </w:r>
    </w:p>
    <w:p w14:paraId="6B4C72CD" w14:textId="77777777" w:rsidR="00E149DB" w:rsidRPr="00E149DB" w:rsidRDefault="00E149DB" w:rsidP="00E149DB">
      <w:pPr>
        <w:pStyle w:val="SWCText"/>
      </w:pPr>
      <w:r>
        <w:t>[12]</w:t>
        <w:tab/>
        <w:t>A.I. Yaro, O.S. Asfour, O. Mohsen, Improving Energy Efficiency of Mosque Buildings Through Retrofitting: A Review of Strategies Utilized in the Hot Climates, Eng 7 (2026) 52. https://doi.org/10.3390/eng7010052.</w:t>
      </w:r>
    </w:p>
    <w:p w14:paraId="6EDD036D" w14:textId="77777777" w:rsidR="00E149DB" w:rsidRPr="00E149DB" w:rsidRDefault="00E149DB" w:rsidP="00E149DB">
      <w:pPr>
        <w:pStyle w:val="SWCText"/>
      </w:pPr>
      <w:r>
        <w:t>[13]</w:t>
        <w:tab/>
        <w:t>K. Sun, W. Zhang, Z. Zeng, R. Levinson, M. Wei, T. Hong, Passive cooling designs to improve heat resilience of homes in underserved and vulnerable communities, Energy and Buildings 252 (2021) 111383. https://doi.org/10.1016/j.enbuild.2021.111383.</w:t>
      </w:r>
    </w:p>
    <w:p w14:paraId="2FD96E99" w14:textId="77777777" w:rsidR="00E149DB" w:rsidRPr="00E149DB" w:rsidRDefault="00E149DB" w:rsidP="00E149DB">
      <w:pPr>
        <w:pStyle w:val="SWCText"/>
      </w:pPr>
      <w:r>
        <w:t>[14]</w:t>
        <w:tab/>
        <w:t>D.R. Chaudhary, T. Sharmin, Evaluating the Impact of Jaali Façades on Building Energy Demand in Jaipur’s Hot Semi-Arid Climate, Sustainability 18 (2026) 3876. https://doi.org/10.3390/su18083876.</w:t>
      </w:r>
    </w:p>
    <w:p w14:paraId="4374C31E" w14:textId="77777777" w:rsidR="00E149DB" w:rsidRPr="00E149DB" w:rsidRDefault="00E149DB" w:rsidP="00E149DB">
      <w:pPr>
        <w:pStyle w:val="SWCText"/>
      </w:pPr>
      <w:r>
        <w:t>[15]</w:t>
        <w:tab/>
        <w:t>M. Eksi, R.T. Akarsu, M. Ozcan, Net-zero energy building transformation: Techno-economic and environmental evaluation in the Mediterranean Region, Environ Dev Sustain (2025). https://doi.org/10.1007/s10668-025-06389-9.</w:t>
      </w:r>
    </w:p>
    <w:p w14:paraId="716E2013" w14:textId="77777777" w:rsidR="00E149DB" w:rsidRPr="00E149DB" w:rsidRDefault="00E149DB" w:rsidP="00E149DB">
      <w:pPr>
        <w:pStyle w:val="SWCText"/>
      </w:pPr>
      <w:r>
        <w:t>[16]</w:t>
        <w:tab/>
        <w:t>Z. Duan, S. Attia, H. Omrany, R. Chang, J. Zuo, Spatiotemporal supply-demand matching in residential building rooftop photovoltaics (PV) under climate change: a cross-climate zone assessment, Applied Energy 421 (2026) 128210. https://doi.org/10.1016/j.apenergy.2026.128210.</w:t>
      </w:r>
    </w:p>
    <w:p w14:paraId="588B296F" w14:textId="50F00A01" w:rsidR="00C0268C" w:rsidRDefault="00E149DB" w:rsidP="00C0268C">
      <w:pPr>
        <w:pStyle w:val="SWCText"/>
      </w:pPr>
      <w:r>
        <w:fldChar w:fldCharType="end"/>
      </w:r>
    </w:p>
    <w:p w14:paraId="0A38DC57" w14:textId="3D7363DA" w:rsidR="0010279F" w:rsidRDefault="0010279F" w:rsidP="0010279F">
      <w:pPr>
        <w:pStyle w:val="SWCHeading1"/>
        <w:numPr>
          <w:ilvl w:val="0"/>
          <w:numId w:val="0"/>
        </w:numPr>
        <w:ind w:left="720"/>
      </w:pPr>
      <w:r>
        <w:t>Acknowledgement</w:t>
      </w:r>
    </w:p>
    <w:p w14:paraId="6B7131D3" w14:textId="3B3D38E6" w:rsidR="0010279F" w:rsidRPr="00FA1520" w:rsidRDefault="0010279F" w:rsidP="0010279F">
      <w:pPr>
        <w:pStyle w:val="SWCText"/>
      </w:pPr>
      <w:r>
        <w:t xml:space="preserve">This work was supported by the SPARC programme under the project “A Framework of Net-Zero Energy Building Design in the Composite Climate of India.”</w:t>
      </w:r>
    </w:p>
    <w:p w14:paraId="7F01E55D" w14:textId="170FE9DB" w:rsidR="00E149DB" w:rsidRDefault="000C7AAA" w:rsidP="000C7AAA">
      <w:pPr>
        <w:pStyle w:val="SWCHeading1"/>
        <w:numPr>
          <w:ilvl w:val="0"/>
          <w:numId w:val="0"/>
        </w:numPr>
        <w:ind w:left="720"/>
      </w:pPr>
      <w:r>
        <w:t>AI Statement</w:t>
      </w:r>
    </w:p>
    <w:p w14:paraId="5B5660EC" w14:textId="77777777" w:rsidR="00BD30CA" w:rsidRDefault="00BD30CA" w:rsidP="00FA1520">
      <w:pPr>
        <w:rPr>
          <w:lang w:val="en-US"/>
        </w:rPr>
      </w:pPr>
    </w:p>
    <w:p w14:paraId="57896A96" w14:textId="5CDBCF6E" w:rsidR="00B62781" w:rsidRPr="00FA1520" w:rsidRDefault="00B62781" w:rsidP="00B62781">
      <w:pPr>
        <w:pStyle w:val="SWCText"/>
      </w:pPr>
      <w:r>
        <w:t xml:space="preserve">During the preparation of this work, the authors used ChatGPT to refine the language and correct grammatical errors. After using this tool/service, the authors reviewed and edited the content as needed and take full responsibility for the content of the published article.</w:t>
      </w:r>
    </w:p>
    <w:sectPr w:rsidR="00B62781" w:rsidRPr="00FA1520" w:rsidSect="005C4B28">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C02FD" w14:textId="77777777" w:rsidR="0036757F" w:rsidRDefault="0036757F">
      <w:r>
        <w:separator/>
      </w:r>
    </w:p>
  </w:endnote>
  <w:endnote w:type="continuationSeparator" w:id="0">
    <w:p w14:paraId="6EE68F6C" w14:textId="77777777" w:rsidR="0036757F" w:rsidRDefault="00367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02123" w14:textId="77777777" w:rsidR="0036757F" w:rsidRDefault="0036757F">
      <w:r>
        <w:separator/>
      </w:r>
    </w:p>
  </w:footnote>
  <w:footnote w:type="continuationSeparator" w:id="0">
    <w:p w14:paraId="74689E52" w14:textId="77777777" w:rsidR="0036757F" w:rsidRDefault="00367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CB98372C"/>
    <w:lvl w:ilvl="0">
      <w:start w:val="1"/>
      <w:numFmt w:val="bullet"/>
      <w:pStyle w:val="ListBullet"/>
      <w:lvlText w:val=""/>
      <w:lvlJc w:val="left"/>
      <w:pPr>
        <w:tabs>
          <w:tab w:val="num" w:pos="360"/>
        </w:tabs>
        <w:ind w:left="360" w:hanging="360"/>
      </w:pPr>
      <w:rPr>
        <w:rFonts w:ascii="Symbol" w:hAnsi="Symbol" w:hint="default"/>
        <w:lang w:val="en-US"/>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59F6C69"/>
    <w:multiLevelType w:val="hybridMultilevel"/>
    <w:tmpl w:val="8E7C9F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multilevel"/>
    <w:tmpl w:val="325099C6"/>
    <w:lvl w:ilvl="0">
      <w:start w:val="1"/>
      <w:numFmt w:val="decimal"/>
      <w:pStyle w:val="SWCHeading1"/>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2"/>
  </w:num>
  <w:num w:numId="3" w16cid:durableId="1779980318">
    <w:abstractNumId w:val="11"/>
  </w:num>
  <w:num w:numId="4" w16cid:durableId="691154539">
    <w:abstractNumId w:val="23"/>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9"/>
  </w:num>
  <w:num w:numId="12" w16cid:durableId="355472642">
    <w:abstractNumId w:val="15"/>
  </w:num>
  <w:num w:numId="13" w16cid:durableId="311523580">
    <w:abstractNumId w:val="6"/>
    <w:lvlOverride w:ilvl="0">
      <w:startOverride w:val="1"/>
    </w:lvlOverride>
  </w:num>
  <w:num w:numId="14" w16cid:durableId="1496726486">
    <w:abstractNumId w:val="18"/>
  </w:num>
  <w:num w:numId="15" w16cid:durableId="1806385346">
    <w:abstractNumId w:val="7"/>
  </w:num>
  <w:num w:numId="16" w16cid:durableId="1758162859">
    <w:abstractNumId w:val="14"/>
  </w:num>
  <w:num w:numId="17" w16cid:durableId="569772207">
    <w:abstractNumId w:val="17"/>
  </w:num>
  <w:num w:numId="18" w16cid:durableId="1080835087">
    <w:abstractNumId w:val="21"/>
  </w:num>
  <w:num w:numId="19" w16cid:durableId="1514802717">
    <w:abstractNumId w:val="10"/>
  </w:num>
  <w:num w:numId="20" w16cid:durableId="1328480391">
    <w:abstractNumId w:val="9"/>
  </w:num>
  <w:num w:numId="21" w16cid:durableId="1166094805">
    <w:abstractNumId w:val="13"/>
  </w:num>
  <w:num w:numId="22" w16cid:durableId="679743871">
    <w:abstractNumId w:val="20"/>
  </w:num>
  <w:num w:numId="23" w16cid:durableId="612976666">
    <w:abstractNumId w:val="16"/>
  </w:num>
  <w:num w:numId="24" w16cid:durableId="7829984">
    <w:abstractNumId w:val="22"/>
  </w:num>
  <w:num w:numId="25" w16cid:durableId="1299140623">
    <w:abstractNumId w:val="8"/>
  </w:num>
  <w:num w:numId="26" w16cid:durableId="479734410">
    <w:abstractNumId w:val="19"/>
    <w:lvlOverride w:ilvl="0">
      <w:startOverride w:val="1"/>
    </w:lvlOverride>
  </w:num>
  <w:num w:numId="27" w16cid:durableId="487869670">
    <w:abstractNumId w:val="19"/>
    <w:lvlOverride w:ilvl="0">
      <w:startOverride w:val="1"/>
    </w:lvlOverride>
  </w:num>
  <w:num w:numId="28" w16cid:durableId="3284131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868007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774A"/>
    <w:rsid w:val="0004235D"/>
    <w:rsid w:val="000533E4"/>
    <w:rsid w:val="000534F5"/>
    <w:rsid w:val="00053E02"/>
    <w:rsid w:val="00055DB9"/>
    <w:rsid w:val="00057B5E"/>
    <w:rsid w:val="00066B26"/>
    <w:rsid w:val="000678AC"/>
    <w:rsid w:val="000712A1"/>
    <w:rsid w:val="00074DBF"/>
    <w:rsid w:val="00085BC2"/>
    <w:rsid w:val="00092ED5"/>
    <w:rsid w:val="000A0ADB"/>
    <w:rsid w:val="000A30A5"/>
    <w:rsid w:val="000A30B8"/>
    <w:rsid w:val="000A36B5"/>
    <w:rsid w:val="000A52A1"/>
    <w:rsid w:val="000B04BE"/>
    <w:rsid w:val="000B1F4D"/>
    <w:rsid w:val="000C2344"/>
    <w:rsid w:val="000C7AAA"/>
    <w:rsid w:val="000D2AE3"/>
    <w:rsid w:val="000D6E1A"/>
    <w:rsid w:val="000E1855"/>
    <w:rsid w:val="000F24AC"/>
    <w:rsid w:val="000F739B"/>
    <w:rsid w:val="0010279F"/>
    <w:rsid w:val="001044BB"/>
    <w:rsid w:val="0010501A"/>
    <w:rsid w:val="00130F18"/>
    <w:rsid w:val="00143572"/>
    <w:rsid w:val="0015090D"/>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2602"/>
    <w:rsid w:val="001B6BCF"/>
    <w:rsid w:val="001B7B01"/>
    <w:rsid w:val="001C3A3D"/>
    <w:rsid w:val="001C63A2"/>
    <w:rsid w:val="001C692C"/>
    <w:rsid w:val="001D0384"/>
    <w:rsid w:val="001D27D3"/>
    <w:rsid w:val="001D4912"/>
    <w:rsid w:val="001E2B93"/>
    <w:rsid w:val="001F2881"/>
    <w:rsid w:val="00205626"/>
    <w:rsid w:val="00206116"/>
    <w:rsid w:val="00212628"/>
    <w:rsid w:val="0022299B"/>
    <w:rsid w:val="00225724"/>
    <w:rsid w:val="00243214"/>
    <w:rsid w:val="00262566"/>
    <w:rsid w:val="002647A0"/>
    <w:rsid w:val="00266E47"/>
    <w:rsid w:val="00270E75"/>
    <w:rsid w:val="0027288C"/>
    <w:rsid w:val="00273341"/>
    <w:rsid w:val="002972D1"/>
    <w:rsid w:val="002A04A9"/>
    <w:rsid w:val="002A39BB"/>
    <w:rsid w:val="002B417A"/>
    <w:rsid w:val="002C089D"/>
    <w:rsid w:val="002C68AD"/>
    <w:rsid w:val="002D322C"/>
    <w:rsid w:val="002D4864"/>
    <w:rsid w:val="002E13DC"/>
    <w:rsid w:val="002E5D62"/>
    <w:rsid w:val="002F1386"/>
    <w:rsid w:val="002F6B87"/>
    <w:rsid w:val="00303345"/>
    <w:rsid w:val="00324071"/>
    <w:rsid w:val="003357AC"/>
    <w:rsid w:val="0035638A"/>
    <w:rsid w:val="003605B9"/>
    <w:rsid w:val="00362122"/>
    <w:rsid w:val="00364A52"/>
    <w:rsid w:val="0036757F"/>
    <w:rsid w:val="00373F97"/>
    <w:rsid w:val="00374216"/>
    <w:rsid w:val="0038545D"/>
    <w:rsid w:val="003869E8"/>
    <w:rsid w:val="00391288"/>
    <w:rsid w:val="00395E5A"/>
    <w:rsid w:val="0039742D"/>
    <w:rsid w:val="003A3A38"/>
    <w:rsid w:val="003A7DB9"/>
    <w:rsid w:val="003A7FEE"/>
    <w:rsid w:val="003B2055"/>
    <w:rsid w:val="003B5995"/>
    <w:rsid w:val="003C0806"/>
    <w:rsid w:val="003C18DE"/>
    <w:rsid w:val="003C1B31"/>
    <w:rsid w:val="003C2B1A"/>
    <w:rsid w:val="003C39C6"/>
    <w:rsid w:val="003D0C22"/>
    <w:rsid w:val="003D533F"/>
    <w:rsid w:val="003E1E1C"/>
    <w:rsid w:val="003F0403"/>
    <w:rsid w:val="003F5B99"/>
    <w:rsid w:val="004019FD"/>
    <w:rsid w:val="00403E6A"/>
    <w:rsid w:val="004053B5"/>
    <w:rsid w:val="0040615A"/>
    <w:rsid w:val="00411E29"/>
    <w:rsid w:val="0042033E"/>
    <w:rsid w:val="0043386A"/>
    <w:rsid w:val="004357AD"/>
    <w:rsid w:val="00436CCA"/>
    <w:rsid w:val="00453296"/>
    <w:rsid w:val="00465458"/>
    <w:rsid w:val="0046556B"/>
    <w:rsid w:val="00467DFD"/>
    <w:rsid w:val="00476879"/>
    <w:rsid w:val="00480357"/>
    <w:rsid w:val="00490F10"/>
    <w:rsid w:val="004922FA"/>
    <w:rsid w:val="00493C81"/>
    <w:rsid w:val="00494006"/>
    <w:rsid w:val="004947F2"/>
    <w:rsid w:val="004A3506"/>
    <w:rsid w:val="004C0559"/>
    <w:rsid w:val="004C39AD"/>
    <w:rsid w:val="004C4EE9"/>
    <w:rsid w:val="004D2B10"/>
    <w:rsid w:val="004D3F54"/>
    <w:rsid w:val="004E5D79"/>
    <w:rsid w:val="004F4904"/>
    <w:rsid w:val="004F5FF9"/>
    <w:rsid w:val="00500640"/>
    <w:rsid w:val="00500D7D"/>
    <w:rsid w:val="00504454"/>
    <w:rsid w:val="005067AC"/>
    <w:rsid w:val="005073C5"/>
    <w:rsid w:val="00514890"/>
    <w:rsid w:val="0051584D"/>
    <w:rsid w:val="00532138"/>
    <w:rsid w:val="0053532A"/>
    <w:rsid w:val="005404F1"/>
    <w:rsid w:val="00550776"/>
    <w:rsid w:val="00556004"/>
    <w:rsid w:val="00566460"/>
    <w:rsid w:val="0057075C"/>
    <w:rsid w:val="0057161A"/>
    <w:rsid w:val="005721F8"/>
    <w:rsid w:val="005836C7"/>
    <w:rsid w:val="005850D3"/>
    <w:rsid w:val="005A0F2A"/>
    <w:rsid w:val="005B3E86"/>
    <w:rsid w:val="005B41DC"/>
    <w:rsid w:val="005B6F55"/>
    <w:rsid w:val="005B7AB3"/>
    <w:rsid w:val="005C4B28"/>
    <w:rsid w:val="005D5CF6"/>
    <w:rsid w:val="005D78AB"/>
    <w:rsid w:val="005E04EA"/>
    <w:rsid w:val="005E0D7D"/>
    <w:rsid w:val="005E7208"/>
    <w:rsid w:val="005F7EB7"/>
    <w:rsid w:val="00607C4E"/>
    <w:rsid w:val="00613AF9"/>
    <w:rsid w:val="0061732F"/>
    <w:rsid w:val="0062178F"/>
    <w:rsid w:val="0062257E"/>
    <w:rsid w:val="00625BC2"/>
    <w:rsid w:val="00627E34"/>
    <w:rsid w:val="006309AA"/>
    <w:rsid w:val="00633473"/>
    <w:rsid w:val="006379BD"/>
    <w:rsid w:val="0064403B"/>
    <w:rsid w:val="0064769F"/>
    <w:rsid w:val="006500EC"/>
    <w:rsid w:val="00652071"/>
    <w:rsid w:val="00653551"/>
    <w:rsid w:val="0065563B"/>
    <w:rsid w:val="00657183"/>
    <w:rsid w:val="00663B77"/>
    <w:rsid w:val="00665471"/>
    <w:rsid w:val="00667931"/>
    <w:rsid w:val="006722C6"/>
    <w:rsid w:val="00692D7F"/>
    <w:rsid w:val="006A0AE2"/>
    <w:rsid w:val="006A2F10"/>
    <w:rsid w:val="006A77D0"/>
    <w:rsid w:val="006B4C9F"/>
    <w:rsid w:val="006C756C"/>
    <w:rsid w:val="006D310B"/>
    <w:rsid w:val="006D4A96"/>
    <w:rsid w:val="006F5B85"/>
    <w:rsid w:val="00702AE0"/>
    <w:rsid w:val="00705C8D"/>
    <w:rsid w:val="007174DA"/>
    <w:rsid w:val="00725ED2"/>
    <w:rsid w:val="00751652"/>
    <w:rsid w:val="007535ED"/>
    <w:rsid w:val="0075406E"/>
    <w:rsid w:val="00756702"/>
    <w:rsid w:val="00762EA3"/>
    <w:rsid w:val="00773435"/>
    <w:rsid w:val="007763CB"/>
    <w:rsid w:val="00777134"/>
    <w:rsid w:val="007804A7"/>
    <w:rsid w:val="007908F6"/>
    <w:rsid w:val="00791E6B"/>
    <w:rsid w:val="007954D9"/>
    <w:rsid w:val="007A1BFE"/>
    <w:rsid w:val="007A7952"/>
    <w:rsid w:val="007B0BDB"/>
    <w:rsid w:val="007B1A6E"/>
    <w:rsid w:val="007B33DF"/>
    <w:rsid w:val="007C1632"/>
    <w:rsid w:val="007C36EF"/>
    <w:rsid w:val="007C6BDE"/>
    <w:rsid w:val="007D0678"/>
    <w:rsid w:val="007D1C2C"/>
    <w:rsid w:val="007E7634"/>
    <w:rsid w:val="00800E25"/>
    <w:rsid w:val="00801634"/>
    <w:rsid w:val="0080537B"/>
    <w:rsid w:val="00806194"/>
    <w:rsid w:val="008063D5"/>
    <w:rsid w:val="008130E7"/>
    <w:rsid w:val="008219CF"/>
    <w:rsid w:val="00834062"/>
    <w:rsid w:val="00837104"/>
    <w:rsid w:val="00840E8F"/>
    <w:rsid w:val="0084100F"/>
    <w:rsid w:val="00844D08"/>
    <w:rsid w:val="00845AE3"/>
    <w:rsid w:val="00893500"/>
    <w:rsid w:val="008B618F"/>
    <w:rsid w:val="008D44C5"/>
    <w:rsid w:val="008D7E85"/>
    <w:rsid w:val="008E19FF"/>
    <w:rsid w:val="008E53FF"/>
    <w:rsid w:val="008F249D"/>
    <w:rsid w:val="008F54F8"/>
    <w:rsid w:val="009011AA"/>
    <w:rsid w:val="00906CC3"/>
    <w:rsid w:val="00917D56"/>
    <w:rsid w:val="00931C9D"/>
    <w:rsid w:val="00933A00"/>
    <w:rsid w:val="00933BFD"/>
    <w:rsid w:val="00936C0E"/>
    <w:rsid w:val="00941691"/>
    <w:rsid w:val="00942AED"/>
    <w:rsid w:val="00944E25"/>
    <w:rsid w:val="00953F15"/>
    <w:rsid w:val="009642AB"/>
    <w:rsid w:val="00976E4B"/>
    <w:rsid w:val="00982BCB"/>
    <w:rsid w:val="00993F03"/>
    <w:rsid w:val="0099435F"/>
    <w:rsid w:val="00996BC5"/>
    <w:rsid w:val="009A6D34"/>
    <w:rsid w:val="009B4816"/>
    <w:rsid w:val="009C1BA8"/>
    <w:rsid w:val="009C2D0D"/>
    <w:rsid w:val="009C3492"/>
    <w:rsid w:val="009C49C6"/>
    <w:rsid w:val="009C5AA4"/>
    <w:rsid w:val="009D02D4"/>
    <w:rsid w:val="009D60E3"/>
    <w:rsid w:val="009E0D67"/>
    <w:rsid w:val="009E1481"/>
    <w:rsid w:val="009E1E84"/>
    <w:rsid w:val="009E4985"/>
    <w:rsid w:val="009F16C5"/>
    <w:rsid w:val="009F3E11"/>
    <w:rsid w:val="009F5C11"/>
    <w:rsid w:val="009F6AF8"/>
    <w:rsid w:val="009F6E78"/>
    <w:rsid w:val="009F7C7E"/>
    <w:rsid w:val="00A01148"/>
    <w:rsid w:val="00A13E20"/>
    <w:rsid w:val="00A31DC5"/>
    <w:rsid w:val="00A40C81"/>
    <w:rsid w:val="00A436CD"/>
    <w:rsid w:val="00A5119B"/>
    <w:rsid w:val="00A5180B"/>
    <w:rsid w:val="00A520C0"/>
    <w:rsid w:val="00A52349"/>
    <w:rsid w:val="00A55E36"/>
    <w:rsid w:val="00A6457C"/>
    <w:rsid w:val="00A6516C"/>
    <w:rsid w:val="00A8757B"/>
    <w:rsid w:val="00A92044"/>
    <w:rsid w:val="00A9727D"/>
    <w:rsid w:val="00AA16B9"/>
    <w:rsid w:val="00AA47DC"/>
    <w:rsid w:val="00AB624E"/>
    <w:rsid w:val="00AC2C09"/>
    <w:rsid w:val="00AC6B6F"/>
    <w:rsid w:val="00AD46AF"/>
    <w:rsid w:val="00AE11FC"/>
    <w:rsid w:val="00AE6354"/>
    <w:rsid w:val="00AE679C"/>
    <w:rsid w:val="00AF15AF"/>
    <w:rsid w:val="00AF6EB4"/>
    <w:rsid w:val="00B01141"/>
    <w:rsid w:val="00B0253D"/>
    <w:rsid w:val="00B02E33"/>
    <w:rsid w:val="00B03E48"/>
    <w:rsid w:val="00B04CF2"/>
    <w:rsid w:val="00B214A1"/>
    <w:rsid w:val="00B22D5C"/>
    <w:rsid w:val="00B263F0"/>
    <w:rsid w:val="00B2716E"/>
    <w:rsid w:val="00B32703"/>
    <w:rsid w:val="00B54313"/>
    <w:rsid w:val="00B60B5F"/>
    <w:rsid w:val="00B62781"/>
    <w:rsid w:val="00B6496F"/>
    <w:rsid w:val="00B76623"/>
    <w:rsid w:val="00B8064D"/>
    <w:rsid w:val="00B80F06"/>
    <w:rsid w:val="00B827C6"/>
    <w:rsid w:val="00B84CEB"/>
    <w:rsid w:val="00B93F09"/>
    <w:rsid w:val="00BB1390"/>
    <w:rsid w:val="00BC738E"/>
    <w:rsid w:val="00BD0576"/>
    <w:rsid w:val="00BD30CA"/>
    <w:rsid w:val="00BD6EDE"/>
    <w:rsid w:val="00BE50D0"/>
    <w:rsid w:val="00BF16FE"/>
    <w:rsid w:val="00C012F5"/>
    <w:rsid w:val="00C0268C"/>
    <w:rsid w:val="00C068BC"/>
    <w:rsid w:val="00C17081"/>
    <w:rsid w:val="00C20A85"/>
    <w:rsid w:val="00C27FD4"/>
    <w:rsid w:val="00C365E2"/>
    <w:rsid w:val="00C44EFB"/>
    <w:rsid w:val="00C55264"/>
    <w:rsid w:val="00C645EC"/>
    <w:rsid w:val="00C6695C"/>
    <w:rsid w:val="00C711C6"/>
    <w:rsid w:val="00C94E67"/>
    <w:rsid w:val="00C97946"/>
    <w:rsid w:val="00CA4F91"/>
    <w:rsid w:val="00CA7ABB"/>
    <w:rsid w:val="00CB57E5"/>
    <w:rsid w:val="00CB7EE8"/>
    <w:rsid w:val="00CC0BDA"/>
    <w:rsid w:val="00CC3B0C"/>
    <w:rsid w:val="00CC4D05"/>
    <w:rsid w:val="00CD0CE9"/>
    <w:rsid w:val="00CD4EFC"/>
    <w:rsid w:val="00CE432C"/>
    <w:rsid w:val="00CE6DBB"/>
    <w:rsid w:val="00D0520C"/>
    <w:rsid w:val="00D14555"/>
    <w:rsid w:val="00D17DCC"/>
    <w:rsid w:val="00D31359"/>
    <w:rsid w:val="00D32EF0"/>
    <w:rsid w:val="00D34665"/>
    <w:rsid w:val="00D35E52"/>
    <w:rsid w:val="00D36FA6"/>
    <w:rsid w:val="00D41E9A"/>
    <w:rsid w:val="00D448CF"/>
    <w:rsid w:val="00D53F31"/>
    <w:rsid w:val="00D5584D"/>
    <w:rsid w:val="00D62269"/>
    <w:rsid w:val="00D62EDC"/>
    <w:rsid w:val="00D63D44"/>
    <w:rsid w:val="00D80110"/>
    <w:rsid w:val="00D976DC"/>
    <w:rsid w:val="00DA244B"/>
    <w:rsid w:val="00DA7F88"/>
    <w:rsid w:val="00DB52E7"/>
    <w:rsid w:val="00DC0318"/>
    <w:rsid w:val="00DD1D5F"/>
    <w:rsid w:val="00DE0269"/>
    <w:rsid w:val="00E012C5"/>
    <w:rsid w:val="00E023A9"/>
    <w:rsid w:val="00E07D1B"/>
    <w:rsid w:val="00E149DB"/>
    <w:rsid w:val="00E218E2"/>
    <w:rsid w:val="00E23FEE"/>
    <w:rsid w:val="00E41718"/>
    <w:rsid w:val="00E548A7"/>
    <w:rsid w:val="00E57E49"/>
    <w:rsid w:val="00E61C50"/>
    <w:rsid w:val="00E65D4A"/>
    <w:rsid w:val="00E7237D"/>
    <w:rsid w:val="00E736CF"/>
    <w:rsid w:val="00E9249A"/>
    <w:rsid w:val="00EA50D7"/>
    <w:rsid w:val="00EA56BF"/>
    <w:rsid w:val="00EB1BA2"/>
    <w:rsid w:val="00EC3533"/>
    <w:rsid w:val="00EF2F33"/>
    <w:rsid w:val="00EF596C"/>
    <w:rsid w:val="00F07750"/>
    <w:rsid w:val="00F242E5"/>
    <w:rsid w:val="00F30A77"/>
    <w:rsid w:val="00F4393F"/>
    <w:rsid w:val="00F44DF0"/>
    <w:rsid w:val="00F46A3A"/>
    <w:rsid w:val="00F5375D"/>
    <w:rsid w:val="00F5454E"/>
    <w:rsid w:val="00F715C3"/>
    <w:rsid w:val="00F718BD"/>
    <w:rsid w:val="00F80507"/>
    <w:rsid w:val="00F83CD3"/>
    <w:rsid w:val="00F85F61"/>
    <w:rsid w:val="00F95487"/>
    <w:rsid w:val="00F95DEF"/>
    <w:rsid w:val="00FA1520"/>
    <w:rsid w:val="00FA1553"/>
    <w:rsid w:val="00FA4DF8"/>
    <w:rsid w:val="00FA5B11"/>
    <w:rsid w:val="00FB45FB"/>
    <w:rsid w:val="00FC09A1"/>
    <w:rsid w:val="00FC1781"/>
    <w:rsid w:val="00FC244F"/>
    <w:rsid w:val="00FD79DA"/>
    <w:rsid w:val="00FE05D1"/>
    <w:rsid w:val="00FE2ADC"/>
    <w:rsid w:val="00FE5997"/>
    <w:rsid w:val="00FE739D"/>
    <w:rsid w:val="00FF095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uiPriority w:val="5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Caption">
    <w:name w:val="caption"/>
    <w:basedOn w:val="Normal"/>
    <w:next w:val="Normal"/>
    <w:uiPriority w:val="35"/>
    <w:unhideWhenUsed/>
    <w:qFormat/>
    <w:rsid w:val="00936C0E"/>
    <w:pPr>
      <w:spacing w:after="200"/>
    </w:pPr>
    <w:rPr>
      <w:i/>
      <w:iCs/>
      <w:color w:val="1F497D" w:themeColor="text2"/>
      <w:sz w:val="18"/>
      <w:szCs w:val="18"/>
    </w:rPr>
  </w:style>
  <w:style w:type="paragraph" w:customStyle="1" w:styleId="EquationDisplay">
    <w:name w:val="Equation Display"/>
    <w:rsid w:val="000A30B8"/>
    <w:pPr>
      <w:keepLines/>
      <w:spacing w:before="100" w:after="160" w:line="276" w:lineRule="auto"/>
    </w:pPr>
    <w:rPr>
      <w:rFonts w:ascii="Cambria Math" w:eastAsiaTheme="minorEastAsia" w:hAnsi="Cambria Math" w:cstheme="minorBidi"/>
      <w:sz w:val="23"/>
      <w:szCs w:val="22"/>
      <w:lang w:val="en-US" w:eastAsia="en-US"/>
    </w:rPr>
  </w:style>
  <w:style w:type="table" w:styleId="TableGridLight">
    <w:name w:val="Grid Table Light"/>
    <w:basedOn w:val="TableNormal"/>
    <w:uiPriority w:val="40"/>
    <w:rsid w:val="00791E6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3A7FEE"/>
    <w:rPr>
      <w:color w:val="605E5C"/>
      <w:shd w:val="clear" w:color="auto" w:fill="E1DFDD"/>
    </w:rPr>
  </w:style>
  <w:style w:type="paragraph" w:customStyle="1" w:styleId="pdq2pgselectionanchorcontainer">
    <w:name w:val="pdq2pg_selectionanchorcontainer"/>
    <w:basedOn w:val="Normal"/>
    <w:rsid w:val="0057161A"/>
    <w:pPr>
      <w:spacing w:before="100" w:beforeAutospacing="1" w:after="100" w:afterAutospacing="1"/>
    </w:pPr>
  </w:style>
  <w:style w:type="paragraph" w:styleId="NormalWeb">
    <w:name w:val="Normal (Web)"/>
    <w:basedOn w:val="Normal"/>
    <w:uiPriority w:val="99"/>
    <w:semiHidden/>
    <w:unhideWhenUsed/>
    <w:rsid w:val="0057161A"/>
    <w:pPr>
      <w:spacing w:before="100" w:beforeAutospacing="1" w:after="100" w:afterAutospacing="1"/>
    </w:pPr>
  </w:style>
  <w:style w:type="character" w:styleId="FollowedHyperlink">
    <w:name w:val="FollowedHyperlink"/>
    <w:basedOn w:val="DefaultParagraphFont"/>
    <w:uiPriority w:val="99"/>
    <w:semiHidden/>
    <w:unhideWhenUsed/>
    <w:rsid w:val="00806194"/>
    <w:rPr>
      <w:color w:val="800080" w:themeColor="followedHyperlink"/>
      <w:u w:val="single"/>
    </w:rPr>
  </w:style>
  <w:style w:type="paragraph" w:styleId="Bibliography">
    <w:name w:val="Bibliography"/>
    <w:basedOn w:val="Normal"/>
    <w:next w:val="Normal"/>
    <w:uiPriority w:val="37"/>
    <w:unhideWhenUsed/>
    <w:rsid w:val="00E14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dar.mehta@th-deg.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11554</Words>
  <Characters>72797</Characters>
  <Application>Microsoft Office Word</Application>
  <DocSecurity>0</DocSecurity>
  <Lines>606</Lines>
  <Paragraphs>168</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84183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Kedar Mehta</cp:lastModifiedBy>
  <cp:revision>72</cp:revision>
  <cp:lastPrinted>2026-03-04T05:29:00Z</cp:lastPrinted>
  <dcterms:created xsi:type="dcterms:W3CDTF">2025-12-03T11:26:00Z</dcterms:created>
  <dcterms:modified xsi:type="dcterms:W3CDTF">2026-08-24T09:03:00Z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95e071da-669a-49da-a2ec-6bc0f946c8b5</vt:lpwstr>
  </property>
  <property fmtid="{D5CDD505-2E9C-101B-9397-08002B2CF9AE}" pid="4" name="ZOTERO_PREF_1">
    <vt:lpwstr>&lt;data data-version="3" zotero-version="9.0.6"&gt;&lt;session id="aipDS7z5"/&gt;&lt;style id="http://www.zotero.org/styles/elsevier-with-titles" hasBibliography="1" bibliographyStyleHasBeenSet="1"/&gt;&lt;prefs&gt;&lt;pref name="fieldType" value="Field"/&gt;&lt;/prefs&gt;&lt;/data&gt;</vt:lpwstr>
  </property>
</Properties>
</file>