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FC622" w14:textId="2244B01D" w:rsidR="00DB52E7" w:rsidRDefault="004053B5" w:rsidP="00B32703">
      <w:pPr>
        <w:pStyle w:val="SWCTitle"/>
        <w:rPr>
          <w:sz w:val="28"/>
          <w:szCs w:val="28"/>
        </w:rPr>
      </w:pPr>
      <w:r w:rsidRPr="0C79E7B2">
        <w:rPr>
          <w:sz w:val="28"/>
          <w:szCs w:val="28"/>
        </w:rPr>
        <w:t>EuroSun</w:t>
      </w:r>
      <w:r w:rsidR="00FC1781" w:rsidRPr="0C79E7B2">
        <w:rPr>
          <w:sz w:val="28"/>
          <w:szCs w:val="28"/>
        </w:rPr>
        <w:t>202</w:t>
      </w:r>
      <w:r w:rsidR="00FA4DF8" w:rsidRPr="0C79E7B2">
        <w:rPr>
          <w:sz w:val="28"/>
          <w:szCs w:val="28"/>
        </w:rPr>
        <w:t>6</w:t>
      </w:r>
    </w:p>
    <w:p w14:paraId="7781581A" w14:textId="19DA32C2" w:rsidR="00506319" w:rsidRPr="00506319" w:rsidRDefault="008C6122" w:rsidP="00370C63">
      <w:pPr>
        <w:pStyle w:val="SWCTitle"/>
        <w:spacing w:after="0"/>
        <w:rPr>
          <w:bCs/>
          <w:sz w:val="28"/>
          <w:szCs w:val="28"/>
        </w:rPr>
      </w:pPr>
      <w:bookmarkStart w:id="0" w:name="_Hlk239075490"/>
      <w:r w:rsidRPr="008C6122">
        <w:rPr>
          <w:bCs/>
          <w:sz w:val="28"/>
          <w:szCs w:val="28"/>
        </w:rPr>
        <w:t xml:space="preserve">PVT </w:t>
      </w:r>
      <w:r w:rsidR="0037070B">
        <w:rPr>
          <w:bCs/>
          <w:sz w:val="28"/>
          <w:szCs w:val="28"/>
        </w:rPr>
        <w:t>-</w:t>
      </w:r>
      <w:r w:rsidR="00506319" w:rsidRPr="00506319">
        <w:rPr>
          <w:bCs/>
          <w:sz w:val="28"/>
          <w:szCs w:val="28"/>
        </w:rPr>
        <w:t xml:space="preserve"> Heat Pump Systems </w:t>
      </w:r>
      <w:r w:rsidR="00506319" w:rsidRPr="00506319">
        <w:rPr>
          <w:bCs/>
          <w:sz w:val="28"/>
          <w:szCs w:val="28"/>
        </w:rPr>
        <w:t>with</w:t>
      </w:r>
      <w:r w:rsidR="00506319" w:rsidRPr="00506319">
        <w:rPr>
          <w:bCs/>
          <w:sz w:val="28"/>
          <w:szCs w:val="28"/>
        </w:rPr>
        <w:t xml:space="preserve"> Horizontal Ground Heat Exchangers in Multi-Family Houses: Design, Implementation, and Monitoring</w:t>
      </w:r>
    </w:p>
    <w:p w14:paraId="006F4F8C" w14:textId="77777777" w:rsidR="00370C63" w:rsidRDefault="00370C63" w:rsidP="00370C63">
      <w:pPr>
        <w:pStyle w:val="SWCTitle"/>
        <w:spacing w:before="0" w:after="0"/>
        <w:rPr>
          <w:bCs/>
          <w:sz w:val="28"/>
          <w:szCs w:val="28"/>
        </w:rPr>
      </w:pPr>
    </w:p>
    <w:p w14:paraId="76A2638C" w14:textId="6B96E15E" w:rsidR="00ED1150" w:rsidRPr="00370C63" w:rsidRDefault="00ED1150" w:rsidP="00ED1150">
      <w:pPr>
        <w:pStyle w:val="SWCTitle"/>
        <w:spacing w:before="0" w:after="0"/>
        <w:rPr>
          <w:rFonts w:ascii="Times New Roman" w:hAnsi="Times New Roman"/>
          <w:b w:val="0"/>
          <w:sz w:val="20"/>
          <w:szCs w:val="20"/>
        </w:rPr>
      </w:pPr>
      <w:r w:rsidRPr="00370C63">
        <w:rPr>
          <w:rFonts w:ascii="Times New Roman" w:hAnsi="Times New Roman"/>
          <w:b w:val="0"/>
          <w:sz w:val="20"/>
          <w:szCs w:val="20"/>
        </w:rPr>
        <w:t>Bharat Chhugani</w:t>
      </w:r>
      <w:r w:rsidRPr="00370C63">
        <w:rPr>
          <w:rFonts w:ascii="Times New Roman" w:hAnsi="Times New Roman"/>
          <w:b w:val="0"/>
          <w:sz w:val="20"/>
          <w:szCs w:val="20"/>
          <w:vertAlign w:val="superscript"/>
        </w:rPr>
        <w:t>1</w:t>
      </w:r>
      <w:r w:rsidRPr="00370C63">
        <w:rPr>
          <w:rFonts w:ascii="Times New Roman" w:hAnsi="Times New Roman"/>
          <w:b w:val="0"/>
          <w:sz w:val="20"/>
          <w:szCs w:val="20"/>
        </w:rPr>
        <w:t>*, Peter Pärisch</w:t>
      </w:r>
      <w:r w:rsidRPr="00370C63">
        <w:rPr>
          <w:rFonts w:ascii="Times New Roman" w:hAnsi="Times New Roman"/>
          <w:b w:val="0"/>
          <w:sz w:val="20"/>
          <w:szCs w:val="20"/>
          <w:vertAlign w:val="superscript"/>
        </w:rPr>
        <w:t>2</w:t>
      </w:r>
      <w:r w:rsidRPr="00370C63">
        <w:rPr>
          <w:rFonts w:ascii="Times New Roman" w:hAnsi="Times New Roman"/>
          <w:b w:val="0"/>
          <w:sz w:val="20"/>
          <w:szCs w:val="20"/>
        </w:rPr>
        <w:t>, Daniel Eggert</w:t>
      </w:r>
      <w:r w:rsidRPr="00370C63">
        <w:rPr>
          <w:rFonts w:ascii="Times New Roman" w:hAnsi="Times New Roman"/>
          <w:b w:val="0"/>
          <w:sz w:val="20"/>
          <w:szCs w:val="20"/>
          <w:vertAlign w:val="superscript"/>
        </w:rPr>
        <w:t>1</w:t>
      </w:r>
      <w:r w:rsidRPr="00370C63">
        <w:rPr>
          <w:rFonts w:ascii="Times New Roman" w:hAnsi="Times New Roman"/>
          <w:b w:val="0"/>
          <w:sz w:val="20"/>
          <w:szCs w:val="20"/>
        </w:rPr>
        <w:t>, Christoph Büttner</w:t>
      </w:r>
      <w:r w:rsidRPr="00370C63">
        <w:rPr>
          <w:rFonts w:ascii="Times New Roman" w:hAnsi="Times New Roman"/>
          <w:b w:val="0"/>
          <w:sz w:val="20"/>
          <w:szCs w:val="20"/>
          <w:vertAlign w:val="superscript"/>
        </w:rPr>
        <w:t>1</w:t>
      </w:r>
      <w:r w:rsidRPr="00370C63">
        <w:rPr>
          <w:rFonts w:ascii="Times New Roman" w:hAnsi="Times New Roman"/>
          <w:b w:val="0"/>
          <w:sz w:val="20"/>
          <w:szCs w:val="20"/>
        </w:rPr>
        <w:t>, Marco Oklitz</w:t>
      </w:r>
      <w:r w:rsidRPr="00370C63">
        <w:rPr>
          <w:rFonts w:ascii="Times New Roman" w:hAnsi="Times New Roman"/>
          <w:b w:val="0"/>
          <w:sz w:val="20"/>
          <w:szCs w:val="20"/>
          <w:vertAlign w:val="superscript"/>
        </w:rPr>
        <w:t>1</w:t>
      </w:r>
      <w:r w:rsidRPr="00370C63">
        <w:rPr>
          <w:rFonts w:ascii="Times New Roman" w:hAnsi="Times New Roman"/>
          <w:b w:val="0"/>
          <w:sz w:val="20"/>
          <w:szCs w:val="20"/>
        </w:rPr>
        <w:t>, Federico Giovannetti</w:t>
      </w:r>
      <w:r w:rsidRPr="00370C63">
        <w:rPr>
          <w:rFonts w:ascii="Times New Roman" w:hAnsi="Times New Roman"/>
          <w:b w:val="0"/>
          <w:sz w:val="20"/>
          <w:szCs w:val="20"/>
          <w:vertAlign w:val="superscript"/>
        </w:rPr>
        <w:t>1</w:t>
      </w:r>
    </w:p>
    <w:p w14:paraId="52796065" w14:textId="2BAFD261" w:rsidR="00ED1150" w:rsidRPr="00370C63" w:rsidRDefault="00ED1150" w:rsidP="004B621F">
      <w:pPr>
        <w:pStyle w:val="SWCTitle"/>
        <w:spacing w:before="240" w:after="0"/>
        <w:rPr>
          <w:rFonts w:ascii="Times New Roman" w:hAnsi="Times New Roman"/>
          <w:b w:val="0"/>
          <w:sz w:val="20"/>
          <w:szCs w:val="22"/>
        </w:rPr>
      </w:pPr>
      <w:r w:rsidRPr="00370C63">
        <w:rPr>
          <w:rFonts w:ascii="Times New Roman" w:hAnsi="Times New Roman"/>
          <w:b w:val="0"/>
          <w:sz w:val="20"/>
          <w:szCs w:val="22"/>
          <w:vertAlign w:val="superscript"/>
        </w:rPr>
        <w:t xml:space="preserve">1 </w:t>
      </w:r>
      <w:r w:rsidRPr="00370C63">
        <w:rPr>
          <w:rFonts w:ascii="Times New Roman" w:hAnsi="Times New Roman"/>
          <w:b w:val="0"/>
          <w:sz w:val="20"/>
          <w:szCs w:val="22"/>
        </w:rPr>
        <w:t>Institute for Solar Energy Research in Hameln (ISFH), Am Ohrberg 1, 31860 Emmerthal</w:t>
      </w:r>
    </w:p>
    <w:p w14:paraId="7C3F610A" w14:textId="1C6164E7" w:rsidR="00ED1150" w:rsidRPr="004B621F" w:rsidRDefault="00ED1150" w:rsidP="00ED1150">
      <w:pPr>
        <w:pStyle w:val="SWCTitle"/>
        <w:spacing w:before="0" w:after="0"/>
        <w:rPr>
          <w:rFonts w:ascii="Times New Roman" w:hAnsi="Times New Roman"/>
          <w:b w:val="0"/>
          <w:sz w:val="20"/>
          <w:szCs w:val="22"/>
        </w:rPr>
      </w:pPr>
      <w:r w:rsidRPr="004B621F">
        <w:rPr>
          <w:rFonts w:ascii="Times New Roman" w:hAnsi="Times New Roman"/>
          <w:b w:val="0"/>
          <w:sz w:val="20"/>
          <w:szCs w:val="22"/>
          <w:vertAlign w:val="superscript"/>
        </w:rPr>
        <w:t>2</w:t>
      </w:r>
      <w:r w:rsidRPr="004B621F">
        <w:rPr>
          <w:rFonts w:ascii="Times New Roman" w:hAnsi="Times New Roman"/>
          <w:b w:val="0"/>
          <w:sz w:val="20"/>
          <w:szCs w:val="22"/>
        </w:rPr>
        <w:t xml:space="preserve"> proKlima, </w:t>
      </w:r>
      <w:hyperlink r:id="rId8" w:history="1">
        <w:r w:rsidRPr="004B621F">
          <w:rPr>
            <w:rFonts w:ascii="Times New Roman" w:hAnsi="Times New Roman"/>
            <w:b w:val="0"/>
            <w:sz w:val="20"/>
            <w:szCs w:val="22"/>
          </w:rPr>
          <w:t>Glockseeplatz 1, 30169 Hannover</w:t>
        </w:r>
      </w:hyperlink>
    </w:p>
    <w:p w14:paraId="5CD0A94B" w14:textId="77777777" w:rsidR="00ED1150" w:rsidRPr="004B621F" w:rsidRDefault="00ED1150" w:rsidP="00ED1150">
      <w:pPr>
        <w:pStyle w:val="SWCTitle"/>
        <w:spacing w:before="0" w:after="0"/>
        <w:rPr>
          <w:rFonts w:ascii="Times New Roman" w:hAnsi="Times New Roman"/>
          <w:b w:val="0"/>
          <w:sz w:val="20"/>
          <w:szCs w:val="22"/>
        </w:rPr>
      </w:pPr>
    </w:p>
    <w:bookmarkEnd w:id="0"/>
    <w:p w14:paraId="3A7DF4B5" w14:textId="77777777" w:rsidR="001A775B" w:rsidRPr="004B621F" w:rsidRDefault="001A775B" w:rsidP="005B3847">
      <w:pPr>
        <w:pStyle w:val="SWCSummary"/>
        <w:spacing w:before="0"/>
      </w:pPr>
      <w:r w:rsidRPr="004B621F">
        <w:t>Summary</w:t>
      </w:r>
    </w:p>
    <w:p w14:paraId="75F4FEC9" w14:textId="2F9E490C" w:rsidR="00B86A89" w:rsidRPr="00B86A89" w:rsidRDefault="00B86A89" w:rsidP="00B86A89">
      <w:pPr>
        <w:pStyle w:val="SWCText"/>
        <w:pBdr>
          <w:bottom w:val="single" w:sz="6" w:space="1" w:color="auto"/>
        </w:pBdr>
      </w:pPr>
      <w:r w:rsidRPr="00B86A89">
        <w:t xml:space="preserve">This study investigates the design, implementation, and initial monitoring of photovoltaic-thermal (PVT)-assisted ground-source heat pump systems for multi-family houses in urban areas with limited space and geological constraints. Two energy-efficient multi-family buildings </w:t>
      </w:r>
      <w:r>
        <w:t xml:space="preserve">are </w:t>
      </w:r>
      <w:r w:rsidRPr="00B86A89">
        <w:t xml:space="preserve">equipped with PVT collectors, horizontal ground heat exchangers, and a heat pump. TRNSYS simulations were used to evaluate system performance and </w:t>
      </w:r>
      <w:r w:rsidR="00F3713B">
        <w:t>to determine the potential to reduce</w:t>
      </w:r>
      <w:r w:rsidRPr="00B86A89">
        <w:t xml:space="preserve"> the required ground-exchanger area while maintaining efficient and sustainable operation. The simulations showed that integrating approximately 40 m² of PVT collectors could reduce the required horizontal ground-exchanger area by up to 40% without reducing the seasonal performance factor. Initial monitoring results from February to August 2026 showed stable operation, with an average seasonal performance factor</w:t>
      </w:r>
      <w:r>
        <w:t xml:space="preserve"> </w:t>
      </w:r>
      <w:r w:rsidRPr="00B86A89">
        <w:t>value of 3.</w:t>
      </w:r>
      <w:r>
        <w:t>4</w:t>
      </w:r>
      <w:r w:rsidRPr="00B86A89">
        <w:t>. PVT collectors supplied a significant share of the heat-pump source energy, improved electricity self-consumption, and contributed to ground regeneration during periods of increased solar radiation. These findings indicate that PVT-assisted ground-source heat pump systems can provide a practical solution for multi-family buildings where conventional geothermal systems are restricted by limited land availability, protected vegetation, or geological risks.</w:t>
      </w:r>
    </w:p>
    <w:p w14:paraId="5AB3A3E7" w14:textId="17302535" w:rsidR="00DB52E7" w:rsidRPr="00703709" w:rsidRDefault="00DB52E7" w:rsidP="001A775B">
      <w:pPr>
        <w:pStyle w:val="SWCText"/>
        <w:pBdr>
          <w:bottom w:val="single" w:sz="6" w:space="1" w:color="auto"/>
        </w:pBdr>
        <w:rPr>
          <w:i/>
          <w:iCs/>
        </w:rPr>
      </w:pPr>
      <w:r w:rsidRPr="0004545F">
        <w:rPr>
          <w:i/>
          <w:iCs/>
        </w:rPr>
        <w:t xml:space="preserve">Keywords: </w:t>
      </w:r>
      <w:r w:rsidR="008D2AE3">
        <w:rPr>
          <w:i/>
          <w:iCs/>
        </w:rPr>
        <w:t>Photovoltaic-Thermal</w:t>
      </w:r>
      <w:r w:rsidR="00703709" w:rsidRPr="00703709">
        <w:rPr>
          <w:i/>
          <w:iCs/>
        </w:rPr>
        <w:t xml:space="preserve"> (PVT) </w:t>
      </w:r>
      <w:r w:rsidR="00703709">
        <w:rPr>
          <w:i/>
          <w:iCs/>
        </w:rPr>
        <w:t>c</w:t>
      </w:r>
      <w:r w:rsidR="00703709" w:rsidRPr="00703709">
        <w:rPr>
          <w:i/>
          <w:iCs/>
        </w:rPr>
        <w:t xml:space="preserve">ollectors, </w:t>
      </w:r>
      <w:r w:rsidR="009C0D40">
        <w:rPr>
          <w:i/>
          <w:iCs/>
        </w:rPr>
        <w:t>g</w:t>
      </w:r>
      <w:r w:rsidR="00703709" w:rsidRPr="00703709">
        <w:rPr>
          <w:i/>
          <w:iCs/>
        </w:rPr>
        <w:t>round-</w:t>
      </w:r>
      <w:r w:rsidR="009C0D40">
        <w:rPr>
          <w:i/>
          <w:iCs/>
        </w:rPr>
        <w:t>s</w:t>
      </w:r>
      <w:r w:rsidR="00703709" w:rsidRPr="00703709">
        <w:rPr>
          <w:i/>
          <w:iCs/>
        </w:rPr>
        <w:t xml:space="preserve">ource </w:t>
      </w:r>
      <w:r w:rsidR="009C0D40">
        <w:rPr>
          <w:i/>
          <w:iCs/>
        </w:rPr>
        <w:t>h</w:t>
      </w:r>
      <w:r w:rsidR="00703709" w:rsidRPr="00703709">
        <w:rPr>
          <w:i/>
          <w:iCs/>
        </w:rPr>
        <w:t xml:space="preserve">eat </w:t>
      </w:r>
      <w:r w:rsidR="009C0D40">
        <w:rPr>
          <w:i/>
          <w:iCs/>
        </w:rPr>
        <w:t>p</w:t>
      </w:r>
      <w:r w:rsidR="00703709" w:rsidRPr="00703709">
        <w:rPr>
          <w:i/>
          <w:iCs/>
        </w:rPr>
        <w:t xml:space="preserve">umps, </w:t>
      </w:r>
      <w:r w:rsidR="009C0D40">
        <w:rPr>
          <w:i/>
          <w:iCs/>
        </w:rPr>
        <w:t>m</w:t>
      </w:r>
      <w:r w:rsidR="00703709" w:rsidRPr="00703709">
        <w:rPr>
          <w:i/>
          <w:iCs/>
        </w:rPr>
        <w:t>ulti-</w:t>
      </w:r>
      <w:r w:rsidR="009C0D40">
        <w:rPr>
          <w:i/>
          <w:iCs/>
        </w:rPr>
        <w:t>f</w:t>
      </w:r>
      <w:r w:rsidR="00703709" w:rsidRPr="00703709">
        <w:rPr>
          <w:i/>
          <w:iCs/>
        </w:rPr>
        <w:t xml:space="preserve">amily </w:t>
      </w:r>
      <w:r w:rsidR="009C0D40">
        <w:rPr>
          <w:i/>
          <w:iCs/>
        </w:rPr>
        <w:t>h</w:t>
      </w:r>
      <w:r w:rsidR="00703709" w:rsidRPr="00703709">
        <w:rPr>
          <w:i/>
          <w:iCs/>
        </w:rPr>
        <w:t>ouses</w:t>
      </w:r>
      <w:r w:rsidR="005516AA">
        <w:rPr>
          <w:i/>
          <w:iCs/>
        </w:rPr>
        <w:t>, TRNSYS</w:t>
      </w:r>
      <w:r w:rsidR="00890E92">
        <w:rPr>
          <w:i/>
          <w:iCs/>
        </w:rPr>
        <w:t>, Monitoring</w:t>
      </w:r>
    </w:p>
    <w:p w14:paraId="01458796" w14:textId="7E5B553F" w:rsidR="00FA4DF8" w:rsidRPr="00703709" w:rsidRDefault="002C089D" w:rsidP="001A775B">
      <w:pPr>
        <w:pStyle w:val="SWCText"/>
        <w:pBdr>
          <w:bottom w:val="single" w:sz="6" w:space="1" w:color="auto"/>
        </w:pBdr>
        <w:rPr>
          <w:i/>
          <w:iCs/>
        </w:rPr>
      </w:pPr>
      <w:r>
        <w:rPr>
          <w:i/>
          <w:iCs/>
        </w:rPr>
        <w:t>Field of application for the findings:</w:t>
      </w:r>
      <w:r w:rsidR="00703709">
        <w:rPr>
          <w:i/>
          <w:iCs/>
        </w:rPr>
        <w:t xml:space="preserve"> Heating </w:t>
      </w:r>
      <w:r w:rsidR="00703709" w:rsidRPr="00703709">
        <w:rPr>
          <w:i/>
          <w:iCs/>
        </w:rPr>
        <w:t xml:space="preserve">sector, </w:t>
      </w:r>
      <w:r w:rsidR="009C0D40">
        <w:rPr>
          <w:i/>
          <w:iCs/>
        </w:rPr>
        <w:t>e</w:t>
      </w:r>
      <w:r w:rsidR="00703709" w:rsidRPr="00703709">
        <w:rPr>
          <w:i/>
          <w:iCs/>
        </w:rPr>
        <w:t>nergy-efficient building design</w:t>
      </w:r>
      <w:r w:rsidR="00703709">
        <w:rPr>
          <w:i/>
          <w:iCs/>
        </w:rPr>
        <w:t>,</w:t>
      </w:r>
      <w:r w:rsidR="00703709" w:rsidRPr="00703709">
        <w:rPr>
          <w:i/>
          <w:iCs/>
        </w:rPr>
        <w:t xml:space="preserve"> and renewable integration in urban areas </w:t>
      </w:r>
    </w:p>
    <w:p w14:paraId="185A319D" w14:textId="10E25E61" w:rsidR="002C089D" w:rsidRPr="00703709" w:rsidRDefault="00CC3B0C" w:rsidP="001A775B">
      <w:pPr>
        <w:pStyle w:val="SWCText"/>
        <w:pBdr>
          <w:bottom w:val="single" w:sz="6" w:space="1" w:color="auto"/>
        </w:pBdr>
      </w:pPr>
      <w:r>
        <w:rPr>
          <w:i/>
          <w:iCs/>
        </w:rPr>
        <w:t xml:space="preserve">Addressed </w:t>
      </w:r>
      <w:r w:rsidR="00703709">
        <w:rPr>
          <w:i/>
          <w:iCs/>
        </w:rPr>
        <w:t xml:space="preserve">audience: </w:t>
      </w:r>
      <w:r w:rsidR="00703709" w:rsidRPr="00703709">
        <w:rPr>
          <w:i/>
          <w:iCs/>
        </w:rPr>
        <w:t>Engineers</w:t>
      </w:r>
      <w:r w:rsidR="00703709">
        <w:rPr>
          <w:i/>
          <w:iCs/>
        </w:rPr>
        <w:t>,</w:t>
      </w:r>
      <w:r w:rsidR="00703709" w:rsidRPr="00703709">
        <w:rPr>
          <w:i/>
          <w:iCs/>
        </w:rPr>
        <w:t xml:space="preserve"> </w:t>
      </w:r>
      <w:r w:rsidR="009C0D40">
        <w:rPr>
          <w:i/>
          <w:iCs/>
        </w:rPr>
        <w:t>r</w:t>
      </w:r>
      <w:r w:rsidR="00703709" w:rsidRPr="00703709">
        <w:rPr>
          <w:i/>
          <w:iCs/>
        </w:rPr>
        <w:t xml:space="preserve">esearchers, </w:t>
      </w:r>
      <w:r w:rsidR="009C0D40">
        <w:rPr>
          <w:i/>
          <w:iCs/>
        </w:rPr>
        <w:t>u</w:t>
      </w:r>
      <w:r w:rsidR="00703709" w:rsidRPr="00703709">
        <w:rPr>
          <w:i/>
          <w:iCs/>
        </w:rPr>
        <w:t xml:space="preserve">rban planners, </w:t>
      </w:r>
      <w:r w:rsidR="009C0D40">
        <w:rPr>
          <w:i/>
          <w:iCs/>
        </w:rPr>
        <w:t>a</w:t>
      </w:r>
      <w:r w:rsidR="00703709" w:rsidRPr="00703709">
        <w:rPr>
          <w:i/>
          <w:iCs/>
        </w:rPr>
        <w:t xml:space="preserve">rchitects, </w:t>
      </w:r>
      <w:r w:rsidR="009C0D40">
        <w:rPr>
          <w:i/>
          <w:iCs/>
        </w:rPr>
        <w:t>e</w:t>
      </w:r>
      <w:r w:rsidR="00703709" w:rsidRPr="00703709">
        <w:rPr>
          <w:i/>
          <w:iCs/>
        </w:rPr>
        <w:t xml:space="preserve">nergy consultants, housing </w:t>
      </w:r>
      <w:r w:rsidR="005A20B8">
        <w:rPr>
          <w:i/>
          <w:iCs/>
        </w:rPr>
        <w:t>companies, heat pumps and PVT manufacturers</w:t>
      </w:r>
    </w:p>
    <w:p w14:paraId="51CD8377" w14:textId="71E34470" w:rsidR="00D32EF0" w:rsidRPr="004C4EE9" w:rsidRDefault="00D32EF0" w:rsidP="005B3847">
      <w:pPr>
        <w:pStyle w:val="SWCHeading1"/>
        <w:tabs>
          <w:tab w:val="clear" w:pos="5463"/>
        </w:tabs>
        <w:spacing w:before="0"/>
        <w:ind w:left="3828" w:hanging="284"/>
        <w:jc w:val="left"/>
      </w:pPr>
      <w:r w:rsidRPr="004C4EE9">
        <w:t>Introduction</w:t>
      </w:r>
      <w:r w:rsidR="009E0D67">
        <w:t xml:space="preserve"> </w:t>
      </w:r>
    </w:p>
    <w:p w14:paraId="2A59A4DE" w14:textId="76733F0B" w:rsidR="006E46AD" w:rsidRDefault="006E46AD" w:rsidP="006E46AD">
      <w:pPr>
        <w:pStyle w:val="SWCText"/>
      </w:pPr>
      <w:r w:rsidRPr="006E46AD">
        <w:t>The heat pump market for residential buildings has been growing steadily in Germany for several years. Heat pumps are particularly common in new</w:t>
      </w:r>
      <w:r w:rsidR="00922550">
        <w:t xml:space="preserve"> single-family</w:t>
      </w:r>
      <w:r w:rsidRPr="006E46AD">
        <w:t xml:space="preserve"> houses, whilst their market share in multi-family houses (MFH) remains low. Most multi-family houses are located in densely built-up urban areas, which can make access to geothermal sources for heat pumps difficult. Air-source heat pumps, on the other hand, can be problematic to integrate due to noise, distance regulations</w:t>
      </w:r>
      <w:r>
        <w:t>,</w:t>
      </w:r>
      <w:r w:rsidRPr="006E46AD">
        <w:t xml:space="preserve"> or low efficiency. Here, photovoltaic-thermal (PVT) collectors represent a promising solution as a sole or </w:t>
      </w:r>
      <w:r w:rsidR="009C0D40">
        <w:t>additional</w:t>
      </w:r>
      <w:r w:rsidRPr="006E46AD">
        <w:t xml:space="preserve"> heat source </w:t>
      </w:r>
      <w:r w:rsidR="009C0D40">
        <w:t>with</w:t>
      </w:r>
      <w:r w:rsidRPr="006E46AD">
        <w:t xml:space="preserve"> heat pumps and have gained increasing recognition in recent years, both in research projects and on the market. </w:t>
      </w:r>
    </w:p>
    <w:p w14:paraId="2AD614C6" w14:textId="1891E6B2" w:rsidR="00B07867" w:rsidRDefault="006E46AD" w:rsidP="006E46AD">
      <w:pPr>
        <w:pStyle w:val="SWCText"/>
      </w:pPr>
      <w:r w:rsidRPr="006E46AD">
        <w:t xml:space="preserve">Previous studies </w:t>
      </w:r>
      <w:sdt>
        <w:sdtPr>
          <w:alias w:val="To edit, see citavi.com/edit"/>
          <w:tag w:val="CitaviPlaceholder#290fa8d4-092a-4012-929d-4f0d4d12bd29"/>
          <w:id w:val="671534603"/>
          <w:placeholder>
            <w:docPart w:val="DefaultPlaceholder_-1854013440"/>
          </w:placeholder>
        </w:sdtPr>
        <w:sdtEndPr/>
        <w:sdtContent>
          <w:r w:rsidR="0013341A">
            <w:fldChar w:fldCharType="begin"/>
          </w:r>
          <w:r w:rsidR="0013341A">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5MTAwMDI2LTcxNDQtNGQzMC05NjE2LTliMzJiM2JlZjQwNyIsIlJhbmdlTGVuZ3RoIjoxOSwiUmVmZXJlbmNlSWQiOiJhYTA4NjU2OC05YjZiLTRjMDQtYjZmMC00NjdkN2RjYjU0Yj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MwLjA1LjIwMjIiLCJBdXRob3JzIjpbXSwiQ2l0YXRpb25LZXlVcGRhdGVUeXBlIjowLCJDb2xsYWJvcmF0b3JzIjpbXSwiQ292ZXJQYXRoIjp7IiRpZCI6IjciLCIkdHlwZSI6IlN3aXNzQWNhZGVtaWMuQ2l0YXZpLkxpbmtlZFJlc291cmNlLCBTd2lzc0FjYWRlbWljLkNpdGF2aSIsIkxpbmtlZFJlc291cmNlVHlwZSI6MSwiVXJpU3RyaW5nIjoiSMO8c2luZywgSGlyc2NoIGV0IGFsIChFZCkgMjAxNiAtIENvbWJpbmF0aW9uIG9mIFNvbGFyIFRoZXJtYWwgQ29sbGVjdG9ycy5qcGciLCJMaW5rZWRSZXNvdXJjZVN0YXR1cyI6OCwiUHJvcGVydGllcyI6eyIkaWQiOiI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aHR0cDovL3Byb2NlZWRpbmdzLmlzZXMub3JnL2V1cm9zdW4yMDE2IiwiVXJpU3RyaW5nIjoiaHR0cDovL3Byb2NlZWRpbmdzLmlzZXMub3JnL2V1cm9zdW4yMDE2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}</w:instrText>
          </w:r>
          <w:r w:rsidR="0013341A">
            <w:fldChar w:fldCharType="separate"/>
          </w:r>
          <w:r w:rsidR="0013341A">
            <w:t>(Hüsing et al. 2016; Mercker et al. 2019)</w:t>
          </w:r>
          <w:r w:rsidR="0013341A">
            <w:fldChar w:fldCharType="end"/>
          </w:r>
        </w:sdtContent>
      </w:sdt>
      <w:r>
        <w:t xml:space="preserve"> </w:t>
      </w:r>
      <w:r w:rsidRPr="006E46AD">
        <w:t xml:space="preserve">show that </w:t>
      </w:r>
      <w:r>
        <w:t>ground</w:t>
      </w:r>
      <w:r w:rsidRPr="006E46AD">
        <w:t xml:space="preserve"> regeneration enables the installation of more compact </w:t>
      </w:r>
      <w:r w:rsidR="00B564FD" w:rsidRPr="00B564FD">
        <w:t xml:space="preserve">horizontal ground heat exchangers </w:t>
      </w:r>
      <w:r w:rsidR="008F273A">
        <w:t>(</w:t>
      </w:r>
      <w:r w:rsidR="00151794">
        <w:t>HGHX</w:t>
      </w:r>
      <w:r w:rsidR="008F273A">
        <w:t>)</w:t>
      </w:r>
      <w:r w:rsidR="009C0D40">
        <w:t xml:space="preserve"> in combination with heat pumps</w:t>
      </w:r>
      <w:r w:rsidRPr="006E46AD">
        <w:t xml:space="preserve">. The same applies to borehole heat exchangers (BHE), which are suitable for use in multi-family houses in combination with PVT systems, particularly where space or depth constraints apply </w:t>
      </w:r>
      <w:sdt>
        <w:sdtPr>
          <w:alias w:val="To edit, see citavi.com/edit"/>
          <w:tag w:val="CitaviPlaceholder#9492554b-8300-46a5-8235-26b0d36daca1"/>
          <w:id w:val="-1459410095"/>
          <w:placeholder>
            <w:docPart w:val="DefaultPlaceholder_-1854013440"/>
          </w:placeholder>
        </w:sdtPr>
        <w:sdtEndPr/>
        <w:sdtContent>
          <w:r w:rsidR="0022316A">
            <w:fldChar w:fldCharType="begin"/>
          </w:r>
          <w:r w:rsidR="0013341A">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VjNDE3Y2VkLTZjNDktNGU1OC1hMWRhLWZjY2M5YTY1Y2FiYyIsIlJhbmdlU3RhcnQiOjI4LCJSYW5nZUxlbmd0aCI6MjQsIlJlZmVyZW5jZUlkIjoiYzViYjBiODItOGMxYy00M2QyLWI1YzQtOWNjNTkxNDBmZTVm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IxMC4xODA4Ni9zd2MuMjAyMy4wNC4wMyIsIlVyaVN0cmluZyI6Imh0dHBzOi8vZG9pLm9yZy8xMC4xODA4Ni9zd2MuMjAyMy4wNC4wMy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}</w:instrText>
          </w:r>
          <w:r w:rsidR="0022316A">
            <w:fldChar w:fldCharType="separate"/>
          </w:r>
          <w:r w:rsidR="0013341A">
            <w:t>(Sommerfeldt and Madani 2019; Chhugani et al. 2023a)</w:t>
          </w:r>
          <w:r w:rsidR="0022316A">
            <w:fldChar w:fldCharType="end"/>
          </w:r>
        </w:sdtContent>
      </w:sdt>
      <w:r w:rsidR="0022316A">
        <w:t xml:space="preserve">. </w:t>
      </w:r>
      <w:r w:rsidRPr="006E46AD">
        <w:t>There are already demonstration projects</w:t>
      </w:r>
      <w:r w:rsidR="00B86A89">
        <w:t xml:space="preserve"> </w:t>
      </w:r>
      <w:sdt>
        <w:sdtPr>
          <w:alias w:val="To edit, see citavi.com/edit"/>
          <w:tag w:val="CitaviPlaceholder#4378971e-b0f8-42a2-b5f0-59c97a8beec5"/>
          <w:id w:val="1340503154"/>
          <w:placeholder>
            <w:docPart w:val="B32BDDC2187C4238AE8F02EDB2F9CF44"/>
          </w:placeholder>
        </w:sdtPr>
        <w:sdtEndPr/>
        <w:sdtContent>
          <w:r>
            <w:fldChar w:fldCharType="begin"/>
          </w:r>
          <w:r w:rsidR="0013341A">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JkZTE4Y2RlLTk4M2UtNDRkOS1iODEwLWY3NTY3OTMwY2NkNyIsIlJhbmdlTGVuZ3RoIjoyMywiUmVmZXJlbmNlSWQiOiJkODUxMmRkMS0wOTJmLTQ3YzMtYTY0Yy1mYzcwNjZjNTk5OD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1LjEwLjIwMjMiLCJBdXRob3JzIjpbXSwiQ2l0YXRpb25LZXlVcGRhdGVUeXBlIjowLCJDb2xsYWJvcmF0b3JzIjpbXSwiQ292ZXJQYXRoIjp7IiRpZCI6IjciLCIkdHlwZSI6IlN3aXNzQWNhZGVtaWMuQ2l0YXZpLkxpbmtlZFJlc291cmNlLCBTd2lzc0FjYWRlbWljLkNpdGF2aSIsIkxpbmtlZFJlc291cmNlVHlwZSI6MSwiVXJpU3RyaW5nIjoicTFoM3l1a28uanBnIiwiTGlua2VkUmVzb3VyY2VTdGF0dXMiOjgsIlByb3BlcnRpZXMiOnsiJGlkIjoi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}</w:instrText>
          </w:r>
          <w:r>
            <w:fldChar w:fldCharType="separate"/>
          </w:r>
          <w:r w:rsidR="0013341A">
            <w:t>(Timilsina et al. 2023)</w:t>
          </w:r>
          <w:r>
            <w:fldChar w:fldCharType="end"/>
          </w:r>
        </w:sdtContent>
      </w:sdt>
      <w:r>
        <w:t xml:space="preserve"> </w:t>
      </w:r>
      <w:r w:rsidRPr="006E46AD">
        <w:t xml:space="preserve">and numerous simulation studies on PVT </w:t>
      </w:r>
      <w:r w:rsidR="00B86A89">
        <w:t xml:space="preserve">and geothermal </w:t>
      </w:r>
      <w:r w:rsidRPr="006E46AD">
        <w:t xml:space="preserve">heat pump systems </w:t>
      </w:r>
      <w:sdt>
        <w:sdtPr>
          <w:alias w:val="To edit, see citavi.com/edit"/>
          <w:tag w:val="CitaviPlaceholder#d006118f-c62a-4d5e-b421-f6150420eab0"/>
          <w:id w:val="-1153521859"/>
          <w:placeholder>
            <w:docPart w:val="ED307EA99E8A46F8836378268BD77326"/>
          </w:placeholder>
        </w:sdtPr>
        <w:sdtEndPr/>
        <w:sdtContent>
          <w:r w:rsidRPr="006E46AD">
            <w:fldChar w:fldCharType="begin"/>
          </w:r>
          <w:r w:rsidR="0013341A">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MTYvai5zZWphLjIwMjIuMTAwMDMxIiwiRWRpdG9ycyI6W10sIkV2YWx1YXRpb25Db21wbGV4aXR5IjowLCJFdmFsdWF0aW9uU291cmNlVGV4dEZvcm1hdCI6MCwiR3JvdXBzIjpbXSwiSGFzTGFiZWwxIjpmYWxzZSwiSGFzTGFiZWwyIjpmYWxzZSwiS2V5d29yZHMiOltd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MTAuMTAxNi9qLnNlamEuMjAyMi4xMDAwMzEiLCJVcmlTdHJpbmciOiJodHRwczovL2RvaS5vcmcvMTAuMTAxNi9qLnNlamEuMjAyMi4xMDAwMzE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}</w:instrText>
          </w:r>
          <w:r w:rsidRPr="006E46AD">
            <w:fldChar w:fldCharType="separate"/>
          </w:r>
          <w:r w:rsidR="0013341A">
            <w:t>(Schubert et al. 2019; Chhugani et al. 2023b)</w:t>
          </w:r>
          <w:r w:rsidRPr="006E46AD">
            <w:fldChar w:fldCharType="end"/>
          </w:r>
        </w:sdtContent>
      </w:sdt>
      <w:r w:rsidR="00B07867">
        <w:t xml:space="preserve">. </w:t>
      </w:r>
    </w:p>
    <w:p w14:paraId="3BB3F0E3" w14:textId="2492C848" w:rsidR="00922550" w:rsidRDefault="00B07867" w:rsidP="00B07867">
      <w:pPr>
        <w:pStyle w:val="SWCText"/>
      </w:pPr>
      <w:r>
        <w:t xml:space="preserve">In </w:t>
      </w:r>
      <w:r w:rsidRPr="00B07867">
        <w:t xml:space="preserve">multi-family houses, several aspects </w:t>
      </w:r>
      <w:r w:rsidR="00BF77A8">
        <w:t>such as</w:t>
      </w:r>
      <w:r>
        <w:t xml:space="preserve"> design, implementation, and operational strategies </w:t>
      </w:r>
      <w:r w:rsidR="009C0D40">
        <w:t xml:space="preserve">between </w:t>
      </w:r>
      <w:r>
        <w:t xml:space="preserve">PVT and heat </w:t>
      </w:r>
      <w:r w:rsidR="00370C63">
        <w:t>pumps</w:t>
      </w:r>
      <w:r>
        <w:t xml:space="preserve"> </w:t>
      </w:r>
      <w:r w:rsidR="009C0D40">
        <w:t>pose many</w:t>
      </w:r>
      <w:r>
        <w:t xml:space="preserve"> challenges</w:t>
      </w:r>
      <w:r w:rsidRPr="00B07867">
        <w:t xml:space="preserve">. </w:t>
      </w:r>
      <w:r>
        <w:t xml:space="preserve">These challenges </w:t>
      </w:r>
      <w:r w:rsidR="009C0D40">
        <w:t xml:space="preserve">are </w:t>
      </w:r>
      <w:r w:rsidRPr="00B07867">
        <w:t xml:space="preserve">addressed in </w:t>
      </w:r>
      <w:r w:rsidR="00090671">
        <w:t>an</w:t>
      </w:r>
      <w:r w:rsidR="00090671" w:rsidRPr="00B07867">
        <w:t xml:space="preserve"> </w:t>
      </w:r>
      <w:r w:rsidRPr="00B07867">
        <w:t xml:space="preserve">ongoing </w:t>
      </w:r>
      <w:r w:rsidR="00090671">
        <w:t xml:space="preserve">joint </w:t>
      </w:r>
      <w:r w:rsidRPr="00B07867">
        <w:t>project</w:t>
      </w:r>
      <w:r w:rsidR="00090671">
        <w:t xml:space="preserve"> </w:t>
      </w:r>
      <w:r w:rsidR="008D2AE3">
        <w:t xml:space="preserve">conducted in cooperation with </w:t>
      </w:r>
      <w:r w:rsidR="004B5C0E">
        <w:t xml:space="preserve">other German research institutes and </w:t>
      </w:r>
      <w:r w:rsidR="008D2AE3">
        <w:t>various</w:t>
      </w:r>
      <w:r w:rsidR="00090671">
        <w:t xml:space="preserve"> manufacturers</w:t>
      </w:r>
      <w:r w:rsidR="00BF77A8">
        <w:t>. The</w:t>
      </w:r>
      <w:r w:rsidRPr="00B07867">
        <w:t xml:space="preserve"> </w:t>
      </w:r>
      <w:r>
        <w:t xml:space="preserve">overall goal </w:t>
      </w:r>
      <w:r>
        <w:lastRenderedPageBreak/>
        <w:t xml:space="preserve">of the project is </w:t>
      </w:r>
      <w:r w:rsidRPr="00B07867">
        <w:t xml:space="preserve">to establish </w:t>
      </w:r>
      <w:r w:rsidR="009C0D40">
        <w:t>feasible solution</w:t>
      </w:r>
      <w:r w:rsidR="004B5C0E">
        <w:t>s</w:t>
      </w:r>
      <w:r w:rsidR="009C0D40">
        <w:t xml:space="preserve"> combining</w:t>
      </w:r>
      <w:r w:rsidR="00BF77A8">
        <w:t xml:space="preserve"> </w:t>
      </w:r>
      <w:r w:rsidR="00BF77A8" w:rsidRPr="00B07867">
        <w:t xml:space="preserve">PVT collectors and heat </w:t>
      </w:r>
      <w:r w:rsidR="00BF77A8">
        <w:t>pump</w:t>
      </w:r>
      <w:r w:rsidR="009C0D40">
        <w:t>s</w:t>
      </w:r>
      <w:r w:rsidRPr="00B07867">
        <w:t xml:space="preserve"> </w:t>
      </w:r>
      <w:r w:rsidR="00BF77A8">
        <w:t xml:space="preserve">in </w:t>
      </w:r>
      <w:r w:rsidR="004B5C0E">
        <w:t xml:space="preserve">both </w:t>
      </w:r>
      <w:r w:rsidRPr="00B07867">
        <w:t>multi-family houses and commercial buildings</w:t>
      </w:r>
      <w:r w:rsidR="00BF77A8">
        <w:t>.</w:t>
      </w:r>
      <w:r w:rsidRPr="00B07867">
        <w:t xml:space="preserve"> One work package is dedicated</w:t>
      </w:r>
      <w:r w:rsidR="009C0D40">
        <w:t xml:space="preserve"> to consulting and supporting real installations of </w:t>
      </w:r>
      <w:r w:rsidR="00922550">
        <w:t xml:space="preserve">PVT-heat pump </w:t>
      </w:r>
      <w:r w:rsidRPr="00B07867">
        <w:t>systems through all planning and construction phases, from preliminary design to operation</w:t>
      </w:r>
      <w:r w:rsidR="00BF77A8">
        <w:t xml:space="preserve">. </w:t>
      </w:r>
    </w:p>
    <w:p w14:paraId="2242CDBE" w14:textId="5C101963" w:rsidR="00B07867" w:rsidRPr="00B07867" w:rsidRDefault="00B07867" w:rsidP="00B07867">
      <w:pPr>
        <w:pStyle w:val="SWCText"/>
      </w:pPr>
      <w:r w:rsidRPr="00B07867">
        <w:t xml:space="preserve">In this context, </w:t>
      </w:r>
      <w:r w:rsidR="00BF77A8">
        <w:t>we are</w:t>
      </w:r>
      <w:r w:rsidRPr="00B07867">
        <w:t xml:space="preserve"> supporting a housing </w:t>
      </w:r>
      <w:r w:rsidR="00090671">
        <w:t>company</w:t>
      </w:r>
      <w:r w:rsidR="00090671" w:rsidRPr="00B07867">
        <w:t xml:space="preserve"> </w:t>
      </w:r>
      <w:r w:rsidRPr="00B07867">
        <w:t xml:space="preserve">with the construction of two energy-efficient multi-family houses. Each building, constructed with a highly insulated, prefabricated wood frame, </w:t>
      </w:r>
      <w:r w:rsidR="002A3E30">
        <w:t>consists of</w:t>
      </w:r>
      <w:r w:rsidR="002A3E30" w:rsidRPr="00B07867">
        <w:t xml:space="preserve"> </w:t>
      </w:r>
      <w:r w:rsidRPr="00B07867">
        <w:t>nine residential units with a total living area of about 580 m²</w:t>
      </w:r>
      <w:r w:rsidR="00954CCE">
        <w:t xml:space="preserve">. </w:t>
      </w:r>
      <w:r w:rsidR="00922550" w:rsidRPr="00922550">
        <w:t>The design of the planned buildings is shown in</w:t>
      </w:r>
      <w:r w:rsidR="00922550">
        <w:t xml:space="preserve"> Fig. 1. Each</w:t>
      </w:r>
      <w:r w:rsidR="00954CCE">
        <w:t xml:space="preserve"> building has a roof area of approximately 150 m² and around 550 m² of green space.</w:t>
      </w:r>
      <w:r w:rsidRPr="00B07867">
        <w:t xml:space="preserve"> </w:t>
      </w:r>
      <w:r w:rsidR="00954CCE">
        <w:t xml:space="preserve">The site is located in the immediate vicinity of a small river and a </w:t>
      </w:r>
      <w:r w:rsidR="009C0D40">
        <w:t>forest</w:t>
      </w:r>
      <w:r w:rsidR="00954CCE">
        <w:t xml:space="preserve"> area. </w:t>
      </w:r>
      <w:r w:rsidRPr="00B07867">
        <w:t xml:space="preserve">The use of borehole heat exchangers was ruled out due to </w:t>
      </w:r>
      <w:r w:rsidR="00BF77A8">
        <w:t xml:space="preserve">prior groundwater leakage incidents </w:t>
      </w:r>
      <w:r w:rsidRPr="00B07867">
        <w:t xml:space="preserve">during drilling </w:t>
      </w:r>
      <w:r w:rsidR="00922550">
        <w:t>in another project</w:t>
      </w:r>
      <w:r w:rsidRPr="00B07867">
        <w:t xml:space="preserve"> in the city.</w:t>
      </w:r>
      <w:r w:rsidR="00922550">
        <w:t xml:space="preserve"> Hence, </w:t>
      </w:r>
      <w:r w:rsidR="00B564FD" w:rsidRPr="00B564FD">
        <w:t>horizontal ground heat exchangers</w:t>
      </w:r>
      <w:r w:rsidR="00922550">
        <w:t xml:space="preserve"> </w:t>
      </w:r>
      <w:r w:rsidR="00D013CF">
        <w:t xml:space="preserve">were proposed as </w:t>
      </w:r>
      <w:r w:rsidR="008D2AE3">
        <w:t xml:space="preserve">an </w:t>
      </w:r>
      <w:r w:rsidR="00D013CF">
        <w:t>alternative solution</w:t>
      </w:r>
      <w:r w:rsidR="00922550">
        <w:t xml:space="preserve">, </w:t>
      </w:r>
      <w:r w:rsidR="00D013CF">
        <w:t xml:space="preserve">even if </w:t>
      </w:r>
      <w:r w:rsidR="00922550">
        <w:t>their</w:t>
      </w:r>
      <w:r w:rsidR="00954CCE">
        <w:t xml:space="preserve"> size is limited </w:t>
      </w:r>
      <w:r w:rsidR="00D013CF">
        <w:t>due to</w:t>
      </w:r>
      <w:r w:rsidR="00954CCE">
        <w:t xml:space="preserve"> nearby protected old trees and geological risks. </w:t>
      </w:r>
      <w:r w:rsidRPr="00B07867">
        <w:t xml:space="preserve">To overcome these site-specific limitations, photovoltaic-thermal (PVT) collectors are integrated into the system design. </w:t>
      </w:r>
      <w:r w:rsidR="004B5C0E">
        <w:t>Based on experience from previous projects</w:t>
      </w:r>
      <w:r w:rsidR="00D14FCB">
        <w:t>,</w:t>
      </w:r>
      <w:r w:rsidR="004B5C0E">
        <w:t xml:space="preserve"> t</w:t>
      </w:r>
      <w:r w:rsidRPr="00B07867">
        <w:t xml:space="preserve">he use of PVT allows for a significant reduction in the required </w:t>
      </w:r>
      <w:r w:rsidR="00E97DB6">
        <w:t xml:space="preserve">area of horizontal ground heat exchangers </w:t>
      </w:r>
      <w:r w:rsidRPr="00B07867">
        <w:t>while achieving the same system performance</w:t>
      </w:r>
      <w:r w:rsidR="00D013CF">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2"/>
        <w:gridCol w:w="4395"/>
      </w:tblGrid>
      <w:tr w:rsidR="009329F0" w14:paraId="6E29C5D0" w14:textId="77777777" w:rsidTr="00922550">
        <w:tc>
          <w:tcPr>
            <w:tcW w:w="4372" w:type="dxa"/>
            <w:vAlign w:val="center"/>
          </w:tcPr>
          <w:p w14:paraId="7288BC6C" w14:textId="77777777" w:rsidR="009329F0" w:rsidRDefault="009329F0" w:rsidP="00A811CD">
            <w:pPr>
              <w:pStyle w:val="FormatvorlageArialBlock"/>
              <w:jc w:val="center"/>
              <w:rPr>
                <w:lang w:val="en-GB"/>
              </w:rPr>
            </w:pPr>
            <w:r w:rsidRPr="004C1482">
              <w:rPr>
                <w:noProof/>
              </w:rPr>
              <w:drawing>
                <wp:inline distT="0" distB="0" distL="0" distR="0" wp14:anchorId="54036B6F" wp14:editId="223D5BD7">
                  <wp:extent cx="2632203" cy="1501096"/>
                  <wp:effectExtent l="0" t="0" r="0" b="4445"/>
                  <wp:docPr id="5" name="Grafik 2">
                    <a:extLst xmlns:a="http://schemas.openxmlformats.org/drawingml/2006/main">
                      <a:ext uri="{FF2B5EF4-FFF2-40B4-BE49-F238E27FC236}">
                        <a16:creationId xmlns:a16="http://schemas.microsoft.com/office/drawing/2014/main" id="{8505EB0D-E953-490D-9DAD-68CD897EB447}"/>
                      </a:ext>
                    </a:extLst>
                  </wp:docPr>
                  <wp:cNvGraphicFramePr/>
                  <a:graphic xmlns:a="http://schemas.openxmlformats.org/drawingml/2006/main">
                    <a:graphicData uri="http://schemas.openxmlformats.org/drawingml/2006/picture">
                      <pic:pic xmlns:pic="http://schemas.openxmlformats.org/drawingml/2006/picture">
                        <pic:nvPicPr>
                          <pic:cNvPr id="5" name="Grafik 2">
                            <a:extLst>
                              <a:ext uri="{FF2B5EF4-FFF2-40B4-BE49-F238E27FC236}">
                                <a16:creationId xmlns:a16="http://schemas.microsoft.com/office/drawing/2014/main" id="{8505EB0D-E953-490D-9DAD-68CD897EB447}"/>
                              </a:ext>
                            </a:extLst>
                          </pic:cNvPr>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98777" cy="1539062"/>
                          </a:xfrm>
                          <a:prstGeom prst="rect">
                            <a:avLst/>
                          </a:prstGeom>
                          <a:noFill/>
                          <a:ln>
                            <a:noFill/>
                          </a:ln>
                        </pic:spPr>
                      </pic:pic>
                    </a:graphicData>
                  </a:graphic>
                </wp:inline>
              </w:drawing>
            </w:r>
          </w:p>
        </w:tc>
        <w:tc>
          <w:tcPr>
            <w:tcW w:w="4395" w:type="dxa"/>
          </w:tcPr>
          <w:p w14:paraId="02B17D8A" w14:textId="77777777" w:rsidR="009329F0" w:rsidRDefault="009329F0" w:rsidP="00A811CD">
            <w:pPr>
              <w:pStyle w:val="FormatvorlageArialBlock"/>
              <w:rPr>
                <w:lang w:val="en-GB"/>
              </w:rPr>
            </w:pPr>
            <w:r>
              <w:rPr>
                <w:noProof/>
              </w:rPr>
              <w:drawing>
                <wp:inline distT="0" distB="0" distL="0" distR="0" wp14:anchorId="26F90AC4" wp14:editId="499DEE29">
                  <wp:extent cx="2643169" cy="1593356"/>
                  <wp:effectExtent l="0" t="0" r="508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b="10597"/>
                          <a:stretch/>
                        </pic:blipFill>
                        <pic:spPr bwMode="auto">
                          <a:xfrm>
                            <a:off x="0" y="0"/>
                            <a:ext cx="2703660" cy="1629821"/>
                          </a:xfrm>
                          <a:prstGeom prst="rect">
                            <a:avLst/>
                          </a:prstGeom>
                          <a:ln>
                            <a:noFill/>
                          </a:ln>
                          <a:extLst>
                            <a:ext uri="{53640926-AAD7-44D8-BBD7-CCE9431645EC}">
                              <a14:shadowObscured xmlns:a14="http://schemas.microsoft.com/office/drawing/2010/main"/>
                            </a:ext>
                          </a:extLst>
                        </pic:spPr>
                      </pic:pic>
                    </a:graphicData>
                  </a:graphic>
                </wp:inline>
              </w:drawing>
            </w:r>
          </w:p>
        </w:tc>
      </w:tr>
    </w:tbl>
    <w:p w14:paraId="79C92343" w14:textId="23A3E807" w:rsidR="004C0202" w:rsidRPr="00B07867" w:rsidRDefault="004C0202" w:rsidP="0022316A">
      <w:pPr>
        <w:pStyle w:val="SWCTableFigureCaption"/>
        <w:spacing w:before="0"/>
      </w:pPr>
      <w:bookmarkStart w:id="1" w:name="_Ref225517870"/>
      <w:r w:rsidRPr="009329F0">
        <w:t>Fig.</w:t>
      </w:r>
      <w:r w:rsidR="00922550">
        <w:t> </w:t>
      </w:r>
      <w:r>
        <w:fldChar w:fldCharType="begin"/>
      </w:r>
      <w:r w:rsidRPr="009329F0">
        <w:instrText xml:space="preserve"> SEQ Fig. \* ARABIC </w:instrText>
      </w:r>
      <w:r>
        <w:fldChar w:fldCharType="separate"/>
      </w:r>
      <w:r w:rsidR="000A4E2B">
        <w:rPr>
          <w:noProof/>
        </w:rPr>
        <w:t>1</w:t>
      </w:r>
      <w:r>
        <w:fldChar w:fldCharType="end"/>
      </w:r>
      <w:bookmarkEnd w:id="1"/>
      <w:r>
        <w:t xml:space="preserve">: </w:t>
      </w:r>
      <w:r w:rsidRPr="004C0202">
        <w:t>South-east elevation (left) and floor plan (right) of the planned building</w:t>
      </w:r>
      <w:r w:rsidR="00D013CF">
        <w:t>s</w:t>
      </w:r>
    </w:p>
    <w:p w14:paraId="43DD5F61" w14:textId="2E9E6CEC" w:rsidR="00B07867" w:rsidRPr="00B07867" w:rsidRDefault="00B07867" w:rsidP="005B3847">
      <w:pPr>
        <w:pStyle w:val="SWCHeading1"/>
        <w:tabs>
          <w:tab w:val="clear" w:pos="5463"/>
        </w:tabs>
        <w:spacing w:before="0"/>
        <w:ind w:left="3828" w:hanging="284"/>
        <w:jc w:val="left"/>
      </w:pPr>
      <w:r w:rsidRPr="00AB41CA">
        <w:t>Simulation</w:t>
      </w:r>
      <w:r>
        <w:t>s</w:t>
      </w:r>
    </w:p>
    <w:p w14:paraId="4799DB8B" w14:textId="7B06140B" w:rsidR="000B725B" w:rsidRDefault="000F0FC3" w:rsidP="000F0FC3">
      <w:pPr>
        <w:pStyle w:val="SWCText"/>
      </w:pPr>
      <w:r>
        <w:t>The s</w:t>
      </w:r>
      <w:r w:rsidRPr="000F0FC3">
        <w:t xml:space="preserve">imulation study </w:t>
      </w:r>
      <w:r>
        <w:t xml:space="preserve">has been carried out </w:t>
      </w:r>
      <w:r w:rsidR="00370C63">
        <w:t xml:space="preserve">using the TRNSYS software, based on the hydraulic diagram shown in </w:t>
      </w:r>
      <w:r w:rsidR="00370C63">
        <w:fldChar w:fldCharType="begin"/>
      </w:r>
      <w:r w:rsidR="00370C63">
        <w:instrText xml:space="preserve"> REF _Ref225518087 \h </w:instrText>
      </w:r>
      <w:r w:rsidR="00370C63">
        <w:fldChar w:fldCharType="separate"/>
      </w:r>
      <w:r w:rsidR="000A4E2B" w:rsidRPr="009329F0">
        <w:t>Fig.</w:t>
      </w:r>
      <w:r w:rsidR="000A4E2B">
        <w:t> </w:t>
      </w:r>
      <w:r w:rsidR="000A4E2B">
        <w:rPr>
          <w:noProof/>
        </w:rPr>
        <w:t>2</w:t>
      </w:r>
      <w:r w:rsidR="00370C63">
        <w:fldChar w:fldCharType="end"/>
      </w:r>
      <w:r w:rsidR="00370C63">
        <w:t>,</w:t>
      </w:r>
      <w:r w:rsidRPr="000F0FC3">
        <w:t xml:space="preserve"> to investigate the planned heat pump system. The aim is to achieve a simple, efficient, robust</w:t>
      </w:r>
      <w:r>
        <w:t>,</w:t>
      </w:r>
      <w:r w:rsidRPr="000F0FC3">
        <w:t xml:space="preserve"> and space-saving combination of ground-source heat pumps and PVT. </w:t>
      </w:r>
    </w:p>
    <w:p w14:paraId="4ED5498B" w14:textId="2646CA48" w:rsidR="000B725B" w:rsidRDefault="000B725B" w:rsidP="000B725B">
      <w:pPr>
        <w:pStyle w:val="SWCText"/>
      </w:pPr>
      <w:r>
        <w:t xml:space="preserve">The building has an annual heat demand of 8.8 MWh for space heating and 9.9 MWh for domestic hot water. The heating load is 17 kW at a design temperature of </w:t>
      </w:r>
      <w:r w:rsidR="00E54468">
        <w:t>-</w:t>
      </w:r>
      <w:r>
        <w:t xml:space="preserve">10.8 °C. The flats are occupied by between 1 and 4 people (single people, couples, and families with varying numbers of children and age structures). The average daily hot water consumption is 46 liters per person, based on a total of 16 people. The building has a 4-pipe system designed to achieve </w:t>
      </w:r>
      <w:r w:rsidR="00151794">
        <w:t>higher</w:t>
      </w:r>
      <w:r>
        <w:t xml:space="preserve"> overall efficiency by separating the flow temperatures for space heating and domestic hot water, and each flat is equipped with heat interface units (HIUs). The system comprises two separate buffer tanks to prevent mixing between the heating and domestic hot water systems: a 600-liter buffer tank for space heating and a 910-liter buffer tank for domestic hot water. The setpoint temperature for the domestic hot water tank is 51 °C with a hysteresis of 5 K. The setpoint for the heating tank varies with outside temperature and is fully deactivated outside the heating season.</w:t>
      </w:r>
    </w:p>
    <w:p w14:paraId="67733F66" w14:textId="0BC9C969" w:rsidR="000B725B" w:rsidRDefault="000B725B" w:rsidP="000B725B">
      <w:pPr>
        <w:pStyle w:val="SWCText"/>
      </w:pPr>
      <w:r>
        <w:t xml:space="preserve">The heat pump operates at source temperatures between -15 °C and 30 °C. If the source temperature falls below this range, a 9-kW heating element is activated. The </w:t>
      </w:r>
      <w:r w:rsidR="004B5C0E">
        <w:t xml:space="preserve">horizontal </w:t>
      </w:r>
      <w:r>
        <w:t>ground heat exchanger (</w:t>
      </w:r>
      <w:r w:rsidR="00151794">
        <w:t>HGHX</w:t>
      </w:r>
      <w:r>
        <w:t xml:space="preserve">) is an essential component for extracting heat from the ground. The operating range comprises a minimum outlet temperature of -5 °C during heat extraction (discharge) and a maximum temperature of 35 °C during ground regeneration (charging). An important operational consideration is preventing ice formation to avoid ground heave and ensure that precipitation can continue to infiltrate the ground. The aim is therefore to combine the </w:t>
      </w:r>
      <w:r w:rsidR="00151794">
        <w:t>HGHX</w:t>
      </w:r>
      <w:r>
        <w:t xml:space="preserve"> with PVT collectors to reduce the required </w:t>
      </w:r>
      <w:r w:rsidR="00151794">
        <w:t>HGHX</w:t>
      </w:r>
      <w:r>
        <w:t xml:space="preserve"> area without compromising the system’s efficiency or the installation's sustainable operation.</w:t>
      </w:r>
    </w:p>
    <w:p w14:paraId="4B540718" w14:textId="442C892D" w:rsidR="000B725B" w:rsidRDefault="000B725B" w:rsidP="000B725B">
      <w:pPr>
        <w:pStyle w:val="SWCText"/>
      </w:pPr>
      <w:r>
        <w:t xml:space="preserve">The control strategy for source management uses a two-point controller with hysteresis. This monitors the temperature of the hydraulic diverter and compares it with the flow temperatures of the PVT collectors and the </w:t>
      </w:r>
      <w:r w:rsidR="00151794">
        <w:t>HGHX</w:t>
      </w:r>
      <w:r>
        <w:t xml:space="preserve"> to determine which sources to activate. For example, the PVT system switches on when the outlet </w:t>
      </w:r>
      <w:r>
        <w:lastRenderedPageBreak/>
        <w:t>temperature exceeds the brine storage temperature by 4 K, and switches off when the difference falls below 2</w:t>
      </w:r>
      <w:r w:rsidR="00835A6A">
        <w:t> </w:t>
      </w:r>
      <w:r>
        <w:t>K. This control approach enables the PVT and ground-source heat pump systems to function as combined heat sources whilst ensuring efficient ground regeneration.</w:t>
      </w:r>
    </w:p>
    <w:p w14:paraId="7DEECB8D" w14:textId="5E577C50" w:rsidR="00B07867" w:rsidRPr="000F0FC3" w:rsidRDefault="00B07867" w:rsidP="00B07867">
      <w:pPr>
        <w:pStyle w:val="FormatvorlageArialBlock"/>
        <w:keepNext/>
        <w:jc w:val="center"/>
        <w:rPr>
          <w:lang w:val="en-US"/>
        </w:rPr>
      </w:pPr>
      <w:r w:rsidRPr="00B65EF3">
        <w:rPr>
          <w:rFonts w:cstheme="minorHAnsi"/>
          <w:bCs/>
          <w:noProof/>
        </w:rPr>
        <w:drawing>
          <wp:inline distT="0" distB="0" distL="0" distR="0" wp14:anchorId="3B01A344" wp14:editId="4E3EFF55">
            <wp:extent cx="2826674" cy="2220958"/>
            <wp:effectExtent l="0" t="0" r="0" b="8255"/>
            <wp:docPr id="18850424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042452"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16861" cy="2291820"/>
                    </a:xfrm>
                    <a:prstGeom prst="rect">
                      <a:avLst/>
                    </a:prstGeom>
                  </pic:spPr>
                </pic:pic>
              </a:graphicData>
            </a:graphic>
          </wp:inline>
        </w:drawing>
      </w:r>
    </w:p>
    <w:p w14:paraId="7217CA75" w14:textId="0BD2EE67" w:rsidR="00B07867" w:rsidRDefault="009329F0" w:rsidP="0022316A">
      <w:pPr>
        <w:pStyle w:val="SWCTableFigureCaption"/>
        <w:spacing w:before="0"/>
      </w:pPr>
      <w:bookmarkStart w:id="2" w:name="_Ref225518087"/>
      <w:r w:rsidRPr="009329F0">
        <w:t>Fig.</w:t>
      </w:r>
      <w:r w:rsidR="00922550">
        <w:t> </w:t>
      </w:r>
      <w:r>
        <w:fldChar w:fldCharType="begin"/>
      </w:r>
      <w:r w:rsidRPr="009329F0">
        <w:instrText xml:space="preserve"> SEQ Fig. \* ARABIC </w:instrText>
      </w:r>
      <w:r>
        <w:fldChar w:fldCharType="separate"/>
      </w:r>
      <w:r w:rsidR="000A4E2B">
        <w:rPr>
          <w:noProof/>
        </w:rPr>
        <w:t>2</w:t>
      </w:r>
      <w:r>
        <w:fldChar w:fldCharType="end"/>
      </w:r>
      <w:bookmarkEnd w:id="2"/>
      <w:r>
        <w:t xml:space="preserve">: </w:t>
      </w:r>
      <w:r w:rsidR="00B07867" w:rsidRPr="00B07867">
        <w:t xml:space="preserve">Simplified diagram illustrating the system configuration of the planned heating system, comprising PVT collectors, </w:t>
      </w:r>
      <w:r w:rsidR="00E97DB6" w:rsidRPr="00E97DB6">
        <w:t>horizontal ground heat exchangers</w:t>
      </w:r>
      <w:r>
        <w:t>,</w:t>
      </w:r>
      <w:r w:rsidR="00B07867" w:rsidRPr="00B07867">
        <w:t xml:space="preserve"> and a heat pump</w:t>
      </w:r>
    </w:p>
    <w:p w14:paraId="5C011A8A" w14:textId="15737AC8" w:rsidR="000B725B" w:rsidRDefault="000B725B" w:rsidP="000B725B">
      <w:pPr>
        <w:pStyle w:val="SWCHeading11"/>
      </w:pPr>
      <w:r>
        <w:t xml:space="preserve">2.1 Simulation results </w:t>
      </w:r>
    </w:p>
    <w:p w14:paraId="02F45F18" w14:textId="77777777" w:rsidR="002A145A" w:rsidRDefault="000B725B" w:rsidP="000B725B">
      <w:pPr>
        <w:pStyle w:val="SWCText"/>
      </w:pPr>
      <w:r w:rsidRPr="0017767F">
        <w:t xml:space="preserve">The key criteria for evaluating the system configurations under investigation are the </w:t>
      </w:r>
      <w:r w:rsidR="001E6DFA">
        <w:t>seasonal</w:t>
      </w:r>
      <w:r w:rsidRPr="0017767F">
        <w:t xml:space="preserve"> performance factor (</w:t>
      </w:r>
      <w:r w:rsidR="001E6DFA">
        <w:t>S</w:t>
      </w:r>
      <w:r w:rsidRPr="0017767F">
        <w:t xml:space="preserve">PF) of the heat pump systems and the required area of the </w:t>
      </w:r>
      <w:r w:rsidR="001E6DFA" w:rsidRPr="00E97DB6">
        <w:t>horizontal ground heat exchangers</w:t>
      </w:r>
      <w:r w:rsidRPr="0017767F">
        <w:t xml:space="preserve">. </w:t>
      </w:r>
      <w:r w:rsidR="00B50F30">
        <w:t xml:space="preserve">SPF is the </w:t>
      </w:r>
      <w:r w:rsidR="00B50F30" w:rsidRPr="001E6DFA">
        <w:t>ratio of the heat supplied by the heat pump to the storage tanks to the electrical energy consumed by the heat pump and the associated circulation pumps</w:t>
      </w:r>
      <w:r w:rsidR="00B50F30">
        <w:t>.</w:t>
      </w:r>
    </w:p>
    <w:p w14:paraId="224BE4C9" w14:textId="500E7B93" w:rsidR="00A87675" w:rsidRPr="00A87675" w:rsidRDefault="00A87675" w:rsidP="00A87675">
      <w:pPr>
        <w:pStyle w:val="SWCText"/>
      </w:pPr>
      <w:r>
        <w:t xml:space="preserve">SPF used in this analysis </w:t>
      </w:r>
      <w:r w:rsidRPr="00A87675">
        <w:t>is the ratio of the heat quantities supplied to the buffer storage by the heat pump (</w:t>
      </w:r>
      <m:oMath>
        <m:sSub>
          <m:sSubPr>
            <m:ctrlPr>
              <w:rPr>
                <w:rFonts w:ascii="Cambria Math" w:hAnsi="Cambria Math"/>
              </w:rPr>
            </m:ctrlPr>
          </m:sSubPr>
          <m:e>
            <m:acc>
              <m:accPr>
                <m:chr m:val="̇"/>
                <m:ctrlPr>
                  <w:rPr>
                    <w:rFonts w:ascii="Cambria Math" w:hAnsi="Cambria Math"/>
                  </w:rPr>
                </m:ctrlPr>
              </m:accPr>
              <m:e>
                <m:r>
                  <w:rPr>
                    <w:rFonts w:ascii="Cambria Math" w:hAnsi="Cambria Math"/>
                  </w:rPr>
                  <m:t>Q</m:t>
                </m:r>
              </m:e>
            </m:acc>
          </m:e>
          <m:sub>
            <m:r>
              <w:rPr>
                <w:rFonts w:ascii="Cambria Math" w:hAnsi="Cambria Math"/>
              </w:rPr>
              <m:t>HP</m:t>
            </m:r>
          </m:sub>
        </m:sSub>
      </m:oMath>
      <w:r w:rsidRPr="00A87675">
        <w:t>), the auxiliary heating (</w:t>
      </w:r>
      <m:oMath>
        <m:sSub>
          <m:sSubPr>
            <m:ctrlPr>
              <w:rPr>
                <w:rFonts w:ascii="Cambria Math" w:hAnsi="Cambria Math"/>
              </w:rPr>
            </m:ctrlPr>
          </m:sSubPr>
          <m:e>
            <m:acc>
              <m:accPr>
                <m:chr m:val="̇"/>
                <m:ctrlPr>
                  <w:rPr>
                    <w:rFonts w:ascii="Cambria Math" w:hAnsi="Cambria Math"/>
                  </w:rPr>
                </m:ctrlPr>
              </m:accPr>
              <m:e>
                <m:r>
                  <w:rPr>
                    <w:rFonts w:ascii="Cambria Math" w:hAnsi="Cambria Math"/>
                  </w:rPr>
                  <m:t>Q</m:t>
                </m:r>
              </m:e>
            </m:acc>
          </m:e>
          <m:sub>
            <m:r>
              <w:rPr>
                <w:rFonts w:ascii="Cambria Math" w:hAnsi="Cambria Math"/>
              </w:rPr>
              <m:t>Backup</m:t>
            </m:r>
          </m:sub>
        </m:sSub>
      </m:oMath>
      <w:r w:rsidRPr="00A87675">
        <w:t xml:space="preserve">) divided by the electrical energy consumed within this system boundary.  </w:t>
      </w:r>
      <w:r>
        <w:t>T</w:t>
      </w:r>
      <w:r w:rsidRPr="00A87675">
        <w:t>he electrical energy of the heat pump</w:t>
      </w:r>
      <w:r>
        <w:t xml:space="preserve">, </w:t>
      </w:r>
      <w:r w:rsidRPr="00A87675">
        <w:t>source pumps, and</w:t>
      </w:r>
      <w:r>
        <w:t xml:space="preserve"> </w:t>
      </w:r>
      <w:r w:rsidRPr="00A87675">
        <w:t xml:space="preserve">electrical </w:t>
      </w:r>
      <w:r>
        <w:t>backup</w:t>
      </w:r>
      <w:r w:rsidRPr="00A87675">
        <w:t xml:space="preserve"> auxiliary heater. </w:t>
      </w:r>
    </w:p>
    <w:p w14:paraId="306AC644" w14:textId="141F5FD0" w:rsidR="003E3F4B" w:rsidRDefault="00A87675" w:rsidP="00A87675">
      <w:pPr>
        <w:pStyle w:val="SWCText"/>
      </w:pPr>
      <w:r w:rsidRPr="00A87675">
        <w:t>After</w:t>
      </w:r>
      <w:r>
        <w:t xml:space="preserve"> SPF, </w:t>
      </w:r>
      <w:r w:rsidRPr="00A87675">
        <w:t>the following performance indicator is</w:t>
      </w:r>
      <w:r>
        <w:t xml:space="preserve"> SPF</w:t>
      </w:r>
      <w:r w:rsidR="00D14FCB">
        <w:t>_grid</w:t>
      </w:r>
      <w:r w:rsidRPr="00A87675">
        <w:t xml:space="preserve">, which considers self-consumed PVT electricity </w:t>
      </w:r>
      <w:r w:rsidR="00F3713B">
        <w:t>(</w:t>
      </w:r>
      <m:oMath>
        <m:sSub>
          <m:sSubPr>
            <m:ctrlPr>
              <w:rPr>
                <w:rFonts w:ascii="Cambria Math" w:hAnsi="Cambria Math"/>
                <w:lang w:val="de-DE"/>
              </w:rPr>
            </m:ctrlPr>
          </m:sSubPr>
          <m:e>
            <m:acc>
              <m:accPr>
                <m:chr m:val="̇"/>
                <m:ctrlPr>
                  <w:rPr>
                    <w:rFonts w:ascii="Cambria Math" w:hAnsi="Cambria Math"/>
                    <w:lang w:val="de-DE"/>
                  </w:rPr>
                </m:ctrlPr>
              </m:accPr>
              <m:e>
                <m:r>
                  <w:rPr>
                    <w:rFonts w:ascii="Cambria Math" w:hAnsi="Cambria Math"/>
                    <w:lang w:val="de-DE"/>
                  </w:rPr>
                  <m:t>E</m:t>
                </m:r>
              </m:e>
            </m:acc>
          </m:e>
          <m:sub>
            <m:r>
              <w:rPr>
                <w:rFonts w:ascii="Cambria Math" w:hAnsi="Cambria Math"/>
                <w:lang w:val="de-DE"/>
              </w:rPr>
              <m:t>PVT</m:t>
            </m:r>
            <m:r>
              <w:rPr>
                <w:rFonts w:ascii="Cambria Math" w:hAnsi="Cambria Math"/>
              </w:rPr>
              <m:t>_</m:t>
            </m:r>
            <m:r>
              <w:rPr>
                <w:rFonts w:ascii="Cambria Math" w:hAnsi="Cambria Math"/>
                <w:lang w:val="de-DE"/>
              </w:rPr>
              <m:t>el</m:t>
            </m:r>
            <m:r>
              <w:rPr>
                <w:rFonts w:ascii="Cambria Math" w:hAnsi="Cambria Math"/>
              </w:rPr>
              <m:t>_</m:t>
            </m:r>
            <m:r>
              <w:rPr>
                <w:rFonts w:ascii="Cambria Math" w:hAnsi="Cambria Math"/>
                <w:lang w:val="de-DE"/>
              </w:rPr>
              <m:t>Self</m:t>
            </m:r>
          </m:sub>
        </m:sSub>
      </m:oMath>
      <w:r w:rsidR="00F3713B" w:rsidRPr="00F3713B">
        <w:t xml:space="preserve">) </w:t>
      </w:r>
      <w:r w:rsidRPr="00A87675">
        <w:t xml:space="preserve">in </w:t>
      </w:r>
      <w:r>
        <w:t>the same boundary and is explained in eq</w:t>
      </w:r>
      <w:r w:rsidRPr="00A87675">
        <w:t xml:space="preserve">. </w:t>
      </w:r>
      <w:r>
        <w:t>2</w:t>
      </w:r>
      <w:r w:rsidRPr="00A87675">
        <w:t>. This means that the generated electrical power of PVT is used simultaneously for the electrical consumption of the heating system (simulation time step = 1 </w:t>
      </w:r>
      <w:r>
        <w:t>sec</w:t>
      </w:r>
      <w:r w:rsidRPr="00A87675">
        <w:t xml:space="preserve">) without battery storage. The surplus PVT electricity generated is fed into the grid since there is no battery. In the end, this metric only considers the electrical energy </w:t>
      </w:r>
      <w:r>
        <w:t>the heating system draws</w:t>
      </w:r>
      <w:r w:rsidRPr="00A87675">
        <w:t xml:space="preserve"> from the grid</w:t>
      </w:r>
      <w:r>
        <w:t>.</w:t>
      </w:r>
    </w:p>
    <w:tbl>
      <w:tblPr>
        <w:tblpPr w:leftFromText="180" w:rightFromText="180" w:vertAnchor="text" w:horzAnchor="page" w:tblpX="9061" w:tblpY="53"/>
        <w:tblOverlap w:val="never"/>
        <w:tblW w:w="960" w:type="dxa"/>
        <w:tblLook w:val="0000" w:firstRow="0" w:lastRow="0" w:firstColumn="0" w:lastColumn="0" w:noHBand="0" w:noVBand="0"/>
      </w:tblPr>
      <w:tblGrid>
        <w:gridCol w:w="960"/>
      </w:tblGrid>
      <w:tr w:rsidR="003E3F4B" w:rsidRPr="00E31A92" w14:paraId="5C1DD283" w14:textId="77777777" w:rsidTr="003E3F4B">
        <w:trPr>
          <w:trHeight w:val="308"/>
        </w:trPr>
        <w:tc>
          <w:tcPr>
            <w:tcW w:w="960" w:type="dxa"/>
          </w:tcPr>
          <w:p w14:paraId="37D286A9" w14:textId="77777777" w:rsidR="003E3F4B" w:rsidRPr="00E31A92" w:rsidRDefault="003E3F4B" w:rsidP="003E3F4B">
            <w:pPr>
              <w:keepNext/>
              <w:jc w:val="center"/>
              <w:rPr>
                <w:sz w:val="18"/>
                <w:szCs w:val="20"/>
                <w:lang w:val="en-US"/>
              </w:rPr>
            </w:pPr>
          </w:p>
          <w:p w14:paraId="2284CF9F" w14:textId="1654446E" w:rsidR="003E3F4B" w:rsidRPr="00E31A92" w:rsidRDefault="003E3F4B" w:rsidP="003E3F4B">
            <w:pPr>
              <w:keepNext/>
              <w:jc w:val="center"/>
              <w:rPr>
                <w:rFonts w:ascii="Arial" w:hAnsi="Arial" w:cs="Arial"/>
                <w:sz w:val="18"/>
                <w:szCs w:val="20"/>
                <w:lang w:val="en-US"/>
              </w:rPr>
            </w:pPr>
            <w:r w:rsidRPr="00E31A92">
              <w:rPr>
                <w:rFonts w:ascii="Arial" w:hAnsi="Arial" w:cs="Arial"/>
                <w:sz w:val="20"/>
                <w:szCs w:val="20"/>
                <w:lang w:val="en-US"/>
              </w:rPr>
              <w:t xml:space="preserve">(eq. </w:t>
            </w:r>
            <w:r>
              <w:rPr>
                <w:rFonts w:ascii="Arial" w:hAnsi="Arial" w:cs="Arial"/>
                <w:sz w:val="20"/>
                <w:szCs w:val="20"/>
                <w:lang w:val="en-US"/>
              </w:rPr>
              <w:t>1</w:t>
            </w:r>
            <w:r w:rsidRPr="00E31A92">
              <w:rPr>
                <w:rFonts w:ascii="Arial" w:hAnsi="Arial" w:cs="Arial"/>
                <w:sz w:val="20"/>
                <w:szCs w:val="20"/>
                <w:lang w:val="en-US"/>
              </w:rPr>
              <w:t>)</w:t>
            </w:r>
          </w:p>
        </w:tc>
      </w:tr>
    </w:tbl>
    <w:p w14:paraId="1B7D422A" w14:textId="06E0B124" w:rsidR="003E3F4B" w:rsidRPr="00E31A92" w:rsidRDefault="00D14FCB" w:rsidP="003E3F4B">
      <w:pPr>
        <w:keepNext/>
        <w:jc w:val="center"/>
        <w:rPr>
          <w:lang w:val="en-US"/>
        </w:rPr>
      </w:pPr>
      <m:oMathPara>
        <m:oMath>
          <m:r>
            <w:rPr>
              <w:rFonts w:ascii="Cambria Math" w:hAnsi="Cambria Math" w:cs="Arial"/>
              <w:sz w:val="18"/>
              <w:szCs w:val="20"/>
              <w:lang w:val="en-US"/>
            </w:rPr>
            <m:t>SPF</m:t>
          </m:r>
          <m:r>
            <m:rPr>
              <m:sty m:val="p"/>
            </m:rPr>
            <w:rPr>
              <w:rFonts w:ascii="Cambria Math" w:hAnsi="Cambria Math" w:cs="Arial"/>
              <w:sz w:val="18"/>
              <w:szCs w:val="20"/>
              <w:lang w:val="en-US"/>
            </w:rPr>
            <m:t>=</m:t>
          </m:r>
          <m:f>
            <m:fPr>
              <m:ctrlPr>
                <w:rPr>
                  <w:rFonts w:ascii="Cambria Math" w:hAnsi="Cambria Math" w:cs="Arial"/>
                  <w:sz w:val="18"/>
                  <w:szCs w:val="20"/>
                  <w:lang w:val="en-US"/>
                </w:rPr>
              </m:ctrlPr>
            </m:fPr>
            <m:num>
              <m:nary>
                <m:naryPr>
                  <m:limLoc m:val="undOvr"/>
                  <m:subHide m:val="1"/>
                  <m:supHide m:val="1"/>
                  <m:ctrlPr>
                    <w:rPr>
                      <w:rFonts w:ascii="Cambria Math" w:hAnsi="Cambria Math" w:cs="Arial"/>
                      <w:sz w:val="18"/>
                      <w:szCs w:val="20"/>
                      <w:lang w:val="en-US"/>
                    </w:rPr>
                  </m:ctrlPr>
                </m:naryPr>
                <m:sub/>
                <m:sup/>
                <m:e>
                  <m:sSub>
                    <m:sSubPr>
                      <m:ctrlPr>
                        <w:rPr>
                          <w:rFonts w:ascii="Cambria Math" w:hAnsi="Cambria Math" w:cs="Arial"/>
                          <w:sz w:val="18"/>
                          <w:szCs w:val="20"/>
                          <w:lang w:val="en-US"/>
                        </w:rPr>
                      </m:ctrlPr>
                    </m:sSubPr>
                    <m:e>
                      <m:r>
                        <m:rPr>
                          <m:sty m:val="p"/>
                        </m:rPr>
                        <w:rPr>
                          <w:rFonts w:ascii="Cambria Math" w:hAnsi="Cambria Math" w:cs="Arial"/>
                          <w:sz w:val="18"/>
                          <w:szCs w:val="20"/>
                          <w:lang w:val="en-US"/>
                        </w:rPr>
                        <m:t>(</m:t>
                      </m:r>
                      <m:acc>
                        <m:accPr>
                          <m:chr m:val="̇"/>
                          <m:ctrlPr>
                            <w:rPr>
                              <w:rFonts w:ascii="Cambria Math" w:hAnsi="Cambria Math" w:cs="Arial"/>
                              <w:sz w:val="18"/>
                              <w:szCs w:val="20"/>
                              <w:lang w:val="en-US"/>
                            </w:rPr>
                          </m:ctrlPr>
                        </m:accPr>
                        <m:e>
                          <m:r>
                            <w:rPr>
                              <w:rFonts w:ascii="Cambria Math" w:hAnsi="Cambria Math" w:cs="Arial"/>
                              <w:sz w:val="18"/>
                              <w:szCs w:val="20"/>
                              <w:lang w:val="en-US"/>
                            </w:rPr>
                            <m:t>Q</m:t>
                          </m:r>
                        </m:e>
                      </m:acc>
                    </m:e>
                    <m:sub>
                      <m:r>
                        <w:rPr>
                          <w:rFonts w:ascii="Cambria Math" w:hAnsi="Cambria Math" w:cs="Arial"/>
                          <w:sz w:val="18"/>
                          <w:szCs w:val="20"/>
                          <w:lang w:val="en-US"/>
                        </w:rPr>
                        <m:t>HP</m:t>
                      </m:r>
                    </m:sub>
                  </m:sSub>
                </m:e>
              </m:nary>
              <m:r>
                <m:rPr>
                  <m:sty m:val="p"/>
                </m:rPr>
                <w:rPr>
                  <w:rFonts w:ascii="Cambria Math" w:hAnsi="Cambria Math" w:cs="Arial"/>
                  <w:sz w:val="18"/>
                  <w:szCs w:val="20"/>
                  <w:lang w:val="en-US"/>
                </w:rPr>
                <m:t>+</m:t>
              </m:r>
              <m:sSub>
                <m:sSubPr>
                  <m:ctrlPr>
                    <w:rPr>
                      <w:rFonts w:ascii="Cambria Math" w:hAnsi="Cambria Math" w:cs="Arial"/>
                      <w:sz w:val="18"/>
                      <w:szCs w:val="20"/>
                      <w:lang w:val="en-US"/>
                    </w:rPr>
                  </m:ctrlPr>
                </m:sSubPr>
                <m:e>
                  <m:acc>
                    <m:accPr>
                      <m:chr m:val="̇"/>
                      <m:ctrlPr>
                        <w:rPr>
                          <w:rFonts w:ascii="Cambria Math" w:hAnsi="Cambria Math" w:cs="Arial"/>
                          <w:sz w:val="18"/>
                          <w:szCs w:val="20"/>
                          <w:lang w:val="en-US"/>
                        </w:rPr>
                      </m:ctrlPr>
                    </m:accPr>
                    <m:e>
                      <m:r>
                        <w:rPr>
                          <w:rFonts w:ascii="Cambria Math" w:hAnsi="Cambria Math" w:cs="Arial"/>
                          <w:sz w:val="18"/>
                          <w:szCs w:val="20"/>
                          <w:lang w:val="en-US"/>
                        </w:rPr>
                        <m:t>Q</m:t>
                      </m:r>
                    </m:e>
                  </m:acc>
                </m:e>
                <m:sub>
                  <m:r>
                    <w:rPr>
                      <w:rFonts w:ascii="Cambria Math" w:hAnsi="Cambria Math" w:cs="Arial"/>
                      <w:sz w:val="18"/>
                      <w:szCs w:val="20"/>
                      <w:lang w:val="en-US"/>
                    </w:rPr>
                    <m:t>Backup</m:t>
                  </m:r>
                </m:sub>
              </m:sSub>
              <m:r>
                <m:rPr>
                  <m:sty m:val="p"/>
                </m:rPr>
                <w:rPr>
                  <w:rFonts w:ascii="Cambria Math" w:hAnsi="Cambria Math" w:cs="Arial"/>
                  <w:sz w:val="18"/>
                  <w:szCs w:val="20"/>
                  <w:lang w:val="en-US"/>
                </w:rPr>
                <m:t>) </m:t>
              </m:r>
              <m:r>
                <w:rPr>
                  <w:rFonts w:ascii="Cambria Math" w:hAnsi="Cambria Math" w:cs="Arial"/>
                  <w:sz w:val="18"/>
                  <w:szCs w:val="20"/>
                  <w:lang w:val="en-US"/>
                </w:rPr>
                <m:t>dt</m:t>
              </m:r>
            </m:num>
            <m:den>
              <m:nary>
                <m:naryPr>
                  <m:subHide m:val="1"/>
                  <m:supHide m:val="1"/>
                  <m:ctrlPr>
                    <w:rPr>
                      <w:rFonts w:ascii="Cambria Math" w:hAnsi="Cambria Math" w:cs="Arial"/>
                      <w:sz w:val="18"/>
                      <w:szCs w:val="20"/>
                      <w:lang w:val="en-US"/>
                    </w:rPr>
                  </m:ctrlPr>
                </m:naryPr>
                <m:sub/>
                <m:sup/>
                <m:e>
                  <m:d>
                    <m:dPr>
                      <m:endChr m:val=""/>
                      <m:ctrlPr>
                        <w:rPr>
                          <w:rFonts w:ascii="Cambria Math" w:hAnsi="Cambria Math" w:cs="Arial"/>
                          <w:sz w:val="18"/>
                          <w:szCs w:val="20"/>
                          <w:lang w:val="en-US"/>
                        </w:rPr>
                      </m:ctrlPr>
                    </m:dPr>
                    <m:e>
                      <m:sSub>
                        <m:sSubPr>
                          <m:ctrlPr>
                            <w:rPr>
                              <w:rFonts w:ascii="Cambria Math" w:hAnsi="Cambria Math" w:cs="Arial"/>
                              <w:sz w:val="18"/>
                              <w:szCs w:val="20"/>
                              <w:lang w:val="en-US"/>
                            </w:rPr>
                          </m:ctrlPr>
                        </m:sSubPr>
                        <m:e>
                          <m:acc>
                            <m:accPr>
                              <m:chr m:val="̇"/>
                              <m:ctrlPr>
                                <w:rPr>
                                  <w:rFonts w:ascii="Cambria Math" w:hAnsi="Cambria Math" w:cs="Arial"/>
                                  <w:sz w:val="18"/>
                                  <w:szCs w:val="20"/>
                                  <w:lang w:val="en-US"/>
                                </w:rPr>
                              </m:ctrlPr>
                            </m:accPr>
                            <m:e>
                              <m:r>
                                <w:rPr>
                                  <w:rFonts w:ascii="Cambria Math" w:hAnsi="Cambria Math" w:cs="Arial"/>
                                  <w:sz w:val="18"/>
                                  <w:szCs w:val="20"/>
                                  <w:lang w:val="en-US"/>
                                </w:rPr>
                                <m:t>E</m:t>
                              </m:r>
                            </m:e>
                          </m:acc>
                        </m:e>
                        <m:sub>
                          <m:r>
                            <w:rPr>
                              <w:rFonts w:ascii="Cambria Math" w:hAnsi="Cambria Math" w:cs="Arial"/>
                              <w:sz w:val="18"/>
                              <w:szCs w:val="20"/>
                              <w:lang w:val="en-US"/>
                            </w:rPr>
                            <m:t>HP</m:t>
                          </m:r>
                        </m:sub>
                      </m:sSub>
                      <m:r>
                        <m:rPr>
                          <m:sty m:val="p"/>
                        </m:rPr>
                        <w:rPr>
                          <w:rFonts w:ascii="Cambria Math" w:hAnsi="Cambria Math" w:cs="Arial"/>
                          <w:sz w:val="18"/>
                          <w:szCs w:val="20"/>
                          <w:lang w:val="en-US"/>
                        </w:rPr>
                        <m:t>+</m:t>
                      </m:r>
                      <m:sSub>
                        <m:sSubPr>
                          <m:ctrlPr>
                            <w:rPr>
                              <w:rFonts w:ascii="Cambria Math" w:hAnsi="Cambria Math" w:cs="Arial"/>
                              <w:sz w:val="18"/>
                              <w:szCs w:val="20"/>
                              <w:lang w:val="en-US"/>
                            </w:rPr>
                          </m:ctrlPr>
                        </m:sSubPr>
                        <m:e>
                          <m:acc>
                            <m:accPr>
                              <m:chr m:val="̇"/>
                              <m:ctrlPr>
                                <w:rPr>
                                  <w:rFonts w:ascii="Cambria Math" w:hAnsi="Cambria Math" w:cs="Arial"/>
                                  <w:sz w:val="18"/>
                                  <w:szCs w:val="20"/>
                                  <w:lang w:val="en-US"/>
                                </w:rPr>
                              </m:ctrlPr>
                            </m:accPr>
                            <m:e>
                              <m:r>
                                <w:rPr>
                                  <w:rFonts w:ascii="Cambria Math" w:hAnsi="Cambria Math" w:cs="Arial"/>
                                  <w:sz w:val="18"/>
                                  <w:szCs w:val="20"/>
                                  <w:lang w:val="en-US"/>
                                </w:rPr>
                                <m:t>E</m:t>
                              </m:r>
                            </m:e>
                          </m:acc>
                        </m:e>
                        <m:sub>
                          <m:r>
                            <w:rPr>
                              <w:rFonts w:ascii="Cambria Math" w:hAnsi="Cambria Math" w:cs="Arial"/>
                              <w:sz w:val="18"/>
                              <w:szCs w:val="20"/>
                              <w:lang w:val="en-US"/>
                            </w:rPr>
                            <m:t>Backup</m:t>
                          </m:r>
                        </m:sub>
                      </m:sSub>
                      <m:r>
                        <m:rPr>
                          <m:sty m:val="p"/>
                        </m:rPr>
                        <w:rPr>
                          <w:rFonts w:ascii="Cambria Math" w:hAnsi="Cambria Math" w:cs="Arial"/>
                          <w:sz w:val="18"/>
                          <w:szCs w:val="20"/>
                          <w:lang w:val="en-US"/>
                        </w:rPr>
                        <m:t>+</m:t>
                      </m:r>
                      <m:sSub>
                        <m:sSubPr>
                          <m:ctrlPr>
                            <w:rPr>
                              <w:rFonts w:ascii="Cambria Math" w:hAnsi="Cambria Math" w:cs="Arial"/>
                              <w:sz w:val="18"/>
                              <w:szCs w:val="20"/>
                              <w:lang w:val="en-US"/>
                            </w:rPr>
                          </m:ctrlPr>
                        </m:sSubPr>
                        <m:e>
                          <m:acc>
                            <m:accPr>
                              <m:chr m:val="̇"/>
                              <m:ctrlPr>
                                <w:rPr>
                                  <w:rFonts w:ascii="Cambria Math" w:hAnsi="Cambria Math" w:cs="Arial"/>
                                  <w:sz w:val="18"/>
                                  <w:szCs w:val="20"/>
                                  <w:lang w:val="en-US"/>
                                </w:rPr>
                              </m:ctrlPr>
                            </m:accPr>
                            <m:e>
                              <m:r>
                                <w:rPr>
                                  <w:rFonts w:ascii="Cambria Math" w:hAnsi="Cambria Math" w:cs="Arial"/>
                                  <w:sz w:val="18"/>
                                  <w:szCs w:val="20"/>
                                  <w:lang w:val="en-US"/>
                                </w:rPr>
                                <m:t>E</m:t>
                              </m:r>
                            </m:e>
                          </m:acc>
                        </m:e>
                        <m:sub>
                          <m:r>
                            <w:rPr>
                              <w:rFonts w:ascii="Cambria Math" w:hAnsi="Cambria Math" w:cs="Arial"/>
                              <w:sz w:val="18"/>
                              <w:szCs w:val="20"/>
                              <w:lang w:val="en-US"/>
                            </w:rPr>
                            <m:t>Pumps</m:t>
                          </m:r>
                        </m:sub>
                      </m:sSub>
                    </m:e>
                  </m:d>
                </m:e>
              </m:nary>
              <m:r>
                <m:rPr>
                  <m:sty m:val="p"/>
                </m:rPr>
                <w:rPr>
                  <w:rFonts w:ascii="Cambria Math" w:hAnsi="Cambria Math" w:cs="Arial"/>
                  <w:sz w:val="18"/>
                  <w:szCs w:val="20"/>
                  <w:lang w:val="en-US"/>
                </w:rPr>
                <m:t>) </m:t>
              </m:r>
              <m:r>
                <w:rPr>
                  <w:rFonts w:ascii="Cambria Math" w:hAnsi="Cambria Math" w:cs="Arial"/>
                  <w:sz w:val="18"/>
                  <w:szCs w:val="20"/>
                  <w:lang w:val="en-US"/>
                </w:rPr>
                <m:t>dt</m:t>
              </m:r>
            </m:den>
          </m:f>
        </m:oMath>
      </m:oMathPara>
    </w:p>
    <w:p w14:paraId="6D7FDA32" w14:textId="77777777" w:rsidR="003E3F4B" w:rsidRDefault="003E3F4B" w:rsidP="000B725B">
      <w:pPr>
        <w:pStyle w:val="SWCText"/>
      </w:pPr>
    </w:p>
    <w:tbl>
      <w:tblPr>
        <w:tblpPr w:leftFromText="180" w:rightFromText="180" w:vertAnchor="text" w:horzAnchor="page" w:tblpX="9051" w:tblpY="50"/>
        <w:tblOverlap w:val="never"/>
        <w:tblW w:w="960" w:type="dxa"/>
        <w:tblLook w:val="0000" w:firstRow="0" w:lastRow="0" w:firstColumn="0" w:lastColumn="0" w:noHBand="0" w:noVBand="0"/>
      </w:tblPr>
      <w:tblGrid>
        <w:gridCol w:w="960"/>
      </w:tblGrid>
      <w:tr w:rsidR="003E3F4B" w:rsidRPr="00E31A92" w14:paraId="24657A7D" w14:textId="77777777" w:rsidTr="003E3F4B">
        <w:trPr>
          <w:trHeight w:val="308"/>
        </w:trPr>
        <w:tc>
          <w:tcPr>
            <w:tcW w:w="960" w:type="dxa"/>
          </w:tcPr>
          <w:p w14:paraId="2054C2A1" w14:textId="77777777" w:rsidR="003E3F4B" w:rsidRPr="00E31A92" w:rsidRDefault="003E3F4B" w:rsidP="003E3F4B">
            <w:pPr>
              <w:keepNext/>
              <w:jc w:val="center"/>
              <w:rPr>
                <w:sz w:val="18"/>
                <w:szCs w:val="20"/>
                <w:lang w:val="en-US"/>
              </w:rPr>
            </w:pPr>
          </w:p>
          <w:p w14:paraId="6EBB5980" w14:textId="51C67755" w:rsidR="003E3F4B" w:rsidRPr="00E31A92" w:rsidRDefault="003E3F4B" w:rsidP="003E3F4B">
            <w:pPr>
              <w:keepNext/>
              <w:jc w:val="center"/>
              <w:rPr>
                <w:sz w:val="18"/>
                <w:szCs w:val="20"/>
                <w:lang w:val="en-US"/>
              </w:rPr>
            </w:pPr>
            <w:r w:rsidRPr="00E31A92">
              <w:rPr>
                <w:rFonts w:ascii="Arial" w:hAnsi="Arial" w:cs="Arial"/>
                <w:sz w:val="20"/>
                <w:szCs w:val="20"/>
                <w:lang w:val="en-US"/>
              </w:rPr>
              <w:t xml:space="preserve">(eq. </w:t>
            </w:r>
            <w:r>
              <w:rPr>
                <w:rFonts w:ascii="Arial" w:hAnsi="Arial" w:cs="Arial"/>
                <w:sz w:val="20"/>
                <w:szCs w:val="20"/>
                <w:lang w:val="en-US"/>
              </w:rPr>
              <w:t>2</w:t>
            </w:r>
            <w:r w:rsidRPr="00E31A92">
              <w:rPr>
                <w:rFonts w:ascii="Arial" w:hAnsi="Arial" w:cs="Arial"/>
                <w:sz w:val="20"/>
                <w:szCs w:val="20"/>
                <w:lang w:val="en-US"/>
              </w:rPr>
              <w:t>)</w:t>
            </w:r>
          </w:p>
        </w:tc>
      </w:tr>
    </w:tbl>
    <w:p w14:paraId="73174044" w14:textId="52D510E6" w:rsidR="003E3F4B" w:rsidRPr="00E31A92" w:rsidRDefault="00D14FCB" w:rsidP="003E3F4B">
      <w:pPr>
        <w:keepNext/>
        <w:jc w:val="center"/>
        <w:rPr>
          <w:sz w:val="18"/>
          <w:szCs w:val="20"/>
          <w:lang w:val="en-US"/>
        </w:rPr>
      </w:pPr>
      <m:oMathPara>
        <m:oMath>
          <m:r>
            <w:rPr>
              <w:rFonts w:ascii="Cambria Math" w:hAnsi="Cambria Math" w:cs="Arial"/>
              <w:sz w:val="18"/>
              <w:szCs w:val="20"/>
              <w:lang w:val="en-US"/>
            </w:rPr>
            <m:t>SPF_grid</m:t>
          </m:r>
          <m:r>
            <m:rPr>
              <m:sty m:val="p"/>
            </m:rPr>
            <w:rPr>
              <w:rFonts w:ascii="Cambria Math" w:hAnsi="Cambria Math" w:cs="Arial"/>
              <w:sz w:val="18"/>
              <w:szCs w:val="20"/>
              <w:lang w:val="en-US"/>
            </w:rPr>
            <m:t>=</m:t>
          </m:r>
          <m:f>
            <m:fPr>
              <m:ctrlPr>
                <w:rPr>
                  <w:rFonts w:ascii="Cambria Math" w:hAnsi="Cambria Math" w:cs="Arial"/>
                  <w:sz w:val="18"/>
                  <w:szCs w:val="20"/>
                  <w:lang w:val="en-US"/>
                </w:rPr>
              </m:ctrlPr>
            </m:fPr>
            <m:num>
              <m:nary>
                <m:naryPr>
                  <m:limLoc m:val="undOvr"/>
                  <m:subHide m:val="1"/>
                  <m:supHide m:val="1"/>
                  <m:ctrlPr>
                    <w:rPr>
                      <w:rFonts w:ascii="Cambria Math" w:hAnsi="Cambria Math" w:cs="Arial"/>
                      <w:sz w:val="18"/>
                      <w:szCs w:val="20"/>
                      <w:lang w:val="en-US"/>
                    </w:rPr>
                  </m:ctrlPr>
                </m:naryPr>
                <m:sub/>
                <m:sup/>
                <m:e>
                  <m:sSub>
                    <m:sSubPr>
                      <m:ctrlPr>
                        <w:rPr>
                          <w:rFonts w:ascii="Cambria Math" w:hAnsi="Cambria Math" w:cs="Arial"/>
                          <w:sz w:val="18"/>
                          <w:szCs w:val="20"/>
                          <w:lang w:val="en-US"/>
                        </w:rPr>
                      </m:ctrlPr>
                    </m:sSubPr>
                    <m:e>
                      <m:r>
                        <m:rPr>
                          <m:sty m:val="p"/>
                        </m:rPr>
                        <w:rPr>
                          <w:rFonts w:ascii="Cambria Math" w:hAnsi="Cambria Math" w:cs="Arial"/>
                          <w:sz w:val="18"/>
                          <w:szCs w:val="20"/>
                          <w:lang w:val="en-US"/>
                        </w:rPr>
                        <m:t>(</m:t>
                      </m:r>
                      <m:acc>
                        <m:accPr>
                          <m:chr m:val="̇"/>
                          <m:ctrlPr>
                            <w:rPr>
                              <w:rFonts w:ascii="Cambria Math" w:hAnsi="Cambria Math" w:cs="Arial"/>
                              <w:sz w:val="18"/>
                              <w:szCs w:val="20"/>
                              <w:lang w:val="en-US"/>
                            </w:rPr>
                          </m:ctrlPr>
                        </m:accPr>
                        <m:e>
                          <m:r>
                            <w:rPr>
                              <w:rFonts w:ascii="Cambria Math" w:hAnsi="Cambria Math" w:cs="Arial"/>
                              <w:sz w:val="18"/>
                              <w:szCs w:val="20"/>
                              <w:lang w:val="en-US"/>
                            </w:rPr>
                            <m:t>Q</m:t>
                          </m:r>
                        </m:e>
                      </m:acc>
                    </m:e>
                    <m:sub>
                      <m:r>
                        <w:rPr>
                          <w:rFonts w:ascii="Cambria Math" w:hAnsi="Cambria Math" w:cs="Arial"/>
                          <w:sz w:val="18"/>
                          <w:szCs w:val="20"/>
                          <w:lang w:val="en-US"/>
                        </w:rPr>
                        <m:t>HP</m:t>
                      </m:r>
                    </m:sub>
                  </m:sSub>
                </m:e>
              </m:nary>
              <m:r>
                <m:rPr>
                  <m:sty m:val="p"/>
                </m:rPr>
                <w:rPr>
                  <w:rFonts w:ascii="Cambria Math" w:hAnsi="Cambria Math" w:cs="Arial"/>
                  <w:sz w:val="18"/>
                  <w:szCs w:val="20"/>
                  <w:lang w:val="en-US"/>
                </w:rPr>
                <m:t>+</m:t>
              </m:r>
              <m:sSub>
                <m:sSubPr>
                  <m:ctrlPr>
                    <w:rPr>
                      <w:rFonts w:ascii="Cambria Math" w:hAnsi="Cambria Math" w:cs="Arial"/>
                      <w:sz w:val="18"/>
                      <w:szCs w:val="20"/>
                      <w:lang w:val="en-US"/>
                    </w:rPr>
                  </m:ctrlPr>
                </m:sSubPr>
                <m:e>
                  <m:acc>
                    <m:accPr>
                      <m:chr m:val="̇"/>
                      <m:ctrlPr>
                        <w:rPr>
                          <w:rFonts w:ascii="Cambria Math" w:hAnsi="Cambria Math" w:cs="Arial"/>
                          <w:sz w:val="18"/>
                          <w:szCs w:val="20"/>
                          <w:lang w:val="en-US"/>
                        </w:rPr>
                      </m:ctrlPr>
                    </m:accPr>
                    <m:e>
                      <m:r>
                        <w:rPr>
                          <w:rFonts w:ascii="Cambria Math" w:hAnsi="Cambria Math" w:cs="Arial"/>
                          <w:sz w:val="18"/>
                          <w:szCs w:val="20"/>
                          <w:lang w:val="en-US"/>
                        </w:rPr>
                        <m:t>Q</m:t>
                      </m:r>
                    </m:e>
                  </m:acc>
                </m:e>
                <m:sub>
                  <m:r>
                    <w:rPr>
                      <w:rFonts w:ascii="Cambria Math" w:hAnsi="Cambria Math" w:cs="Arial"/>
                      <w:sz w:val="18"/>
                      <w:szCs w:val="20"/>
                      <w:lang w:val="en-US"/>
                    </w:rPr>
                    <m:t>Backup</m:t>
                  </m:r>
                </m:sub>
              </m:sSub>
              <m:r>
                <m:rPr>
                  <m:sty m:val="p"/>
                </m:rPr>
                <w:rPr>
                  <w:rFonts w:ascii="Cambria Math" w:hAnsi="Cambria Math" w:cs="Arial"/>
                  <w:sz w:val="18"/>
                  <w:szCs w:val="20"/>
                  <w:lang w:val="en-US"/>
                </w:rPr>
                <m:t>) </m:t>
              </m:r>
              <m:r>
                <w:rPr>
                  <w:rFonts w:ascii="Cambria Math" w:hAnsi="Cambria Math" w:cs="Arial"/>
                  <w:sz w:val="18"/>
                  <w:szCs w:val="20"/>
                  <w:lang w:val="en-US"/>
                </w:rPr>
                <m:t>dt</m:t>
              </m:r>
            </m:num>
            <m:den>
              <m:nary>
                <m:naryPr>
                  <m:limLoc m:val="undOvr"/>
                  <m:ctrlPr>
                    <w:rPr>
                      <w:rFonts w:ascii="Cambria Math" w:hAnsi="Cambria Math" w:cs="Arial"/>
                      <w:i/>
                      <w:sz w:val="18"/>
                      <w:szCs w:val="20"/>
                      <w:lang w:val="en-US"/>
                    </w:rPr>
                  </m:ctrlPr>
                </m:naryPr>
                <m:sub>
                  <m:r>
                    <w:rPr>
                      <w:rFonts w:ascii="Cambria Math" w:hAnsi="Cambria Math" w:cs="Arial"/>
                      <w:sz w:val="18"/>
                      <w:szCs w:val="20"/>
                      <w:lang w:val="en-US"/>
                    </w:rPr>
                    <m:t xml:space="preserve"> &gt; 0</m:t>
                  </m:r>
                </m:sub>
                <m:sup/>
                <m:e>
                  <m:d>
                    <m:dPr>
                      <m:ctrlPr>
                        <w:rPr>
                          <w:rFonts w:ascii="Cambria Math" w:hAnsi="Cambria Math" w:cs="Arial"/>
                          <w:sz w:val="18"/>
                          <w:szCs w:val="20"/>
                          <w:lang w:val="en-US"/>
                        </w:rPr>
                      </m:ctrlPr>
                    </m:dPr>
                    <m:e>
                      <m:sSub>
                        <m:sSubPr>
                          <m:ctrlPr>
                            <w:rPr>
                              <w:rFonts w:ascii="Cambria Math" w:hAnsi="Cambria Math" w:cs="Arial"/>
                              <w:sz w:val="18"/>
                              <w:szCs w:val="20"/>
                              <w:lang w:val="en-US"/>
                            </w:rPr>
                          </m:ctrlPr>
                        </m:sSubPr>
                        <m:e>
                          <m:acc>
                            <m:accPr>
                              <m:chr m:val="̇"/>
                              <m:ctrlPr>
                                <w:rPr>
                                  <w:rFonts w:ascii="Cambria Math" w:hAnsi="Cambria Math" w:cs="Arial"/>
                                  <w:sz w:val="18"/>
                                  <w:szCs w:val="20"/>
                                  <w:lang w:val="en-US"/>
                                </w:rPr>
                              </m:ctrlPr>
                            </m:accPr>
                            <m:e>
                              <m:r>
                                <w:rPr>
                                  <w:rFonts w:ascii="Cambria Math" w:hAnsi="Cambria Math" w:cs="Arial"/>
                                  <w:sz w:val="18"/>
                                  <w:szCs w:val="20"/>
                                  <w:lang w:val="en-US"/>
                                </w:rPr>
                                <m:t>E</m:t>
                              </m:r>
                            </m:e>
                          </m:acc>
                        </m:e>
                        <m:sub>
                          <m:r>
                            <w:rPr>
                              <w:rFonts w:ascii="Cambria Math" w:hAnsi="Cambria Math" w:cs="Arial"/>
                              <w:sz w:val="18"/>
                              <w:szCs w:val="20"/>
                              <w:lang w:val="en-US"/>
                            </w:rPr>
                            <m:t>HP</m:t>
                          </m:r>
                        </m:sub>
                      </m:sSub>
                      <m:r>
                        <m:rPr>
                          <m:sty m:val="p"/>
                        </m:rPr>
                        <w:rPr>
                          <w:rFonts w:ascii="Cambria Math" w:hAnsi="Cambria Math" w:cs="Arial"/>
                          <w:sz w:val="18"/>
                          <w:szCs w:val="20"/>
                          <w:lang w:val="en-US"/>
                        </w:rPr>
                        <m:t>+</m:t>
                      </m:r>
                      <m:sSub>
                        <m:sSubPr>
                          <m:ctrlPr>
                            <w:rPr>
                              <w:rFonts w:ascii="Cambria Math" w:hAnsi="Cambria Math" w:cs="Arial"/>
                              <w:sz w:val="18"/>
                              <w:szCs w:val="20"/>
                              <w:lang w:val="en-US"/>
                            </w:rPr>
                          </m:ctrlPr>
                        </m:sSubPr>
                        <m:e>
                          <m:acc>
                            <m:accPr>
                              <m:chr m:val="̇"/>
                              <m:ctrlPr>
                                <w:rPr>
                                  <w:rFonts w:ascii="Cambria Math" w:hAnsi="Cambria Math" w:cs="Arial"/>
                                  <w:sz w:val="18"/>
                                  <w:szCs w:val="20"/>
                                  <w:lang w:val="en-US"/>
                                </w:rPr>
                              </m:ctrlPr>
                            </m:accPr>
                            <m:e>
                              <m:r>
                                <w:rPr>
                                  <w:rFonts w:ascii="Cambria Math" w:hAnsi="Cambria Math" w:cs="Arial"/>
                                  <w:sz w:val="18"/>
                                  <w:szCs w:val="20"/>
                                  <w:lang w:val="en-US"/>
                                </w:rPr>
                                <m:t>E</m:t>
                              </m:r>
                            </m:e>
                          </m:acc>
                        </m:e>
                        <m:sub>
                          <m:r>
                            <w:rPr>
                              <w:rFonts w:ascii="Cambria Math" w:hAnsi="Cambria Math" w:cs="Arial"/>
                              <w:sz w:val="18"/>
                              <w:szCs w:val="20"/>
                              <w:lang w:val="en-US"/>
                            </w:rPr>
                            <m:t>Backup</m:t>
                          </m:r>
                        </m:sub>
                      </m:sSub>
                      <m:r>
                        <m:rPr>
                          <m:sty m:val="p"/>
                        </m:rPr>
                        <w:rPr>
                          <w:rFonts w:ascii="Cambria Math" w:hAnsi="Cambria Math" w:cs="Arial"/>
                          <w:sz w:val="18"/>
                          <w:szCs w:val="20"/>
                          <w:lang w:val="en-US"/>
                        </w:rPr>
                        <m:t>+</m:t>
                      </m:r>
                      <m:sSub>
                        <m:sSubPr>
                          <m:ctrlPr>
                            <w:rPr>
                              <w:rFonts w:ascii="Cambria Math" w:hAnsi="Cambria Math" w:cs="Arial"/>
                              <w:sz w:val="18"/>
                              <w:szCs w:val="20"/>
                              <w:lang w:val="en-US"/>
                            </w:rPr>
                          </m:ctrlPr>
                        </m:sSubPr>
                        <m:e>
                          <m:acc>
                            <m:accPr>
                              <m:chr m:val="̇"/>
                              <m:ctrlPr>
                                <w:rPr>
                                  <w:rFonts w:ascii="Cambria Math" w:hAnsi="Cambria Math" w:cs="Arial"/>
                                  <w:sz w:val="18"/>
                                  <w:szCs w:val="20"/>
                                  <w:lang w:val="en-US"/>
                                </w:rPr>
                              </m:ctrlPr>
                            </m:accPr>
                            <m:e>
                              <m:r>
                                <w:rPr>
                                  <w:rFonts w:ascii="Cambria Math" w:hAnsi="Cambria Math" w:cs="Arial"/>
                                  <w:sz w:val="18"/>
                                  <w:szCs w:val="20"/>
                                  <w:lang w:val="en-US"/>
                                </w:rPr>
                                <m:t>E</m:t>
                              </m:r>
                            </m:e>
                          </m:acc>
                        </m:e>
                        <m:sub>
                          <m:r>
                            <w:rPr>
                              <w:rFonts w:ascii="Cambria Math" w:hAnsi="Cambria Math" w:cs="Arial"/>
                              <w:sz w:val="18"/>
                              <w:szCs w:val="20"/>
                              <w:lang w:val="en-US"/>
                            </w:rPr>
                            <m:t>Pumps</m:t>
                          </m:r>
                        </m:sub>
                      </m:sSub>
                      <m:r>
                        <w:rPr>
                          <w:rFonts w:ascii="Cambria Math" w:hAnsi="Cambria Math" w:cs="Arial"/>
                          <w:sz w:val="18"/>
                          <w:szCs w:val="20"/>
                          <w:lang w:val="en-US"/>
                        </w:rPr>
                        <m:t>-</m:t>
                      </m:r>
                      <m:sSub>
                        <m:sSubPr>
                          <m:ctrlPr>
                            <w:rPr>
                              <w:rFonts w:ascii="Cambria Math" w:hAnsi="Cambria Math" w:cs="Arial"/>
                              <w:sz w:val="18"/>
                              <w:szCs w:val="20"/>
                              <w:lang w:val="en-US"/>
                            </w:rPr>
                          </m:ctrlPr>
                        </m:sSubPr>
                        <m:e>
                          <m:acc>
                            <m:accPr>
                              <m:chr m:val="̇"/>
                              <m:ctrlPr>
                                <w:rPr>
                                  <w:rFonts w:ascii="Cambria Math" w:hAnsi="Cambria Math" w:cs="Arial"/>
                                  <w:sz w:val="18"/>
                                  <w:szCs w:val="20"/>
                                  <w:lang w:val="en-US"/>
                                </w:rPr>
                              </m:ctrlPr>
                            </m:accPr>
                            <m:e>
                              <m:r>
                                <w:rPr>
                                  <w:rFonts w:ascii="Cambria Math" w:hAnsi="Cambria Math" w:cs="Arial"/>
                                  <w:sz w:val="18"/>
                                  <w:szCs w:val="20"/>
                                  <w:lang w:val="en-US"/>
                                </w:rPr>
                                <m:t>E</m:t>
                              </m:r>
                            </m:e>
                          </m:acc>
                        </m:e>
                        <m:sub>
                          <m:r>
                            <w:rPr>
                              <w:rFonts w:ascii="Cambria Math" w:hAnsi="Cambria Math" w:cs="Arial"/>
                              <w:sz w:val="18"/>
                              <w:szCs w:val="20"/>
                              <w:lang w:val="en-US"/>
                            </w:rPr>
                            <m:t>PVT_el_Self</m:t>
                          </m:r>
                        </m:sub>
                      </m:sSub>
                    </m:e>
                  </m:d>
                  <m:r>
                    <m:rPr>
                      <m:sty m:val="p"/>
                    </m:rPr>
                    <w:rPr>
                      <w:rFonts w:ascii="Cambria Math" w:hAnsi="Cambria Math" w:cs="Arial"/>
                      <w:sz w:val="18"/>
                      <w:szCs w:val="20"/>
                      <w:lang w:val="en-US"/>
                    </w:rPr>
                    <m:t> </m:t>
                  </m:r>
                  <m:r>
                    <w:rPr>
                      <w:rFonts w:ascii="Cambria Math" w:hAnsi="Cambria Math" w:cs="Arial"/>
                      <w:sz w:val="18"/>
                      <w:szCs w:val="20"/>
                      <w:lang w:val="en-US"/>
                    </w:rPr>
                    <m:t>dt</m:t>
                  </m:r>
                </m:e>
              </m:nary>
            </m:den>
          </m:f>
        </m:oMath>
      </m:oMathPara>
    </w:p>
    <w:p w14:paraId="614D0F2A" w14:textId="069AB9B9" w:rsidR="00A87675" w:rsidRDefault="00C222DC" w:rsidP="00A87675">
      <w:pPr>
        <w:pStyle w:val="SWCText"/>
        <w:spacing w:before="240"/>
      </w:pPr>
      <w:r>
        <w:fldChar w:fldCharType="begin"/>
      </w:r>
      <w:r>
        <w:instrText xml:space="preserve"> REF _Ref239674062 \h </w:instrText>
      </w:r>
      <w:r>
        <w:fldChar w:fldCharType="separate"/>
      </w:r>
      <w:r w:rsidR="000A4E2B" w:rsidRPr="009329F0">
        <w:t>Fig.</w:t>
      </w:r>
      <w:r w:rsidR="000A4E2B">
        <w:t> </w:t>
      </w:r>
      <w:r w:rsidR="000A4E2B">
        <w:rPr>
          <w:noProof/>
        </w:rPr>
        <w:t>3</w:t>
      </w:r>
      <w:r>
        <w:fldChar w:fldCharType="end"/>
      </w:r>
      <w:r>
        <w:t xml:space="preserve"> </w:t>
      </w:r>
      <w:r w:rsidR="002A145A" w:rsidRPr="002A145A">
        <w:t xml:space="preserve">illustrates the system performance factor (SPF) as a function of the horizontal ground heat exchanger (HGHX) area for a baseline ground-source heat pump configuration. In a well-dimensioned system operating with a large HGHX field </w:t>
      </w:r>
      <w:r w:rsidR="00835A6A">
        <w:t>of u</w:t>
      </w:r>
      <w:r w:rsidR="002A145A" w:rsidRPr="002A145A">
        <w:t xml:space="preserve">p to </w:t>
      </w:r>
      <w:r w:rsidR="002A145A">
        <w:t>532 m²</w:t>
      </w:r>
      <w:r w:rsidR="002A145A" w:rsidRPr="002A145A">
        <w:t xml:space="preserve">, the performance curve remains relatively flat, yielding </w:t>
      </w:r>
      <w:r w:rsidR="003E3F4B">
        <w:t>a</w:t>
      </w:r>
      <w:r w:rsidR="002A145A" w:rsidRPr="002A145A">
        <w:t xml:space="preserve"> SPF of 3.52. </w:t>
      </w:r>
      <w:r w:rsidR="00A87675" w:rsidRPr="002A145A">
        <w:t xml:space="preserve">As the HGHX area is gradually reduced down experiences decrease </w:t>
      </w:r>
      <w:r w:rsidR="00A87675">
        <w:t>in SPF and a</w:t>
      </w:r>
      <w:r w:rsidR="00A87675" w:rsidRPr="002A145A">
        <w:t>t smaller ground collector sizes, the SPF plunges rapidly</w:t>
      </w:r>
      <w:r w:rsidR="00A87675">
        <w:t xml:space="preserve"> </w:t>
      </w:r>
      <w:r w:rsidR="00A87675" w:rsidRPr="002A145A">
        <w:t>due to critical frost formation in the surrounding soil and a corresponding spike in heat pump electricity consumption caused by excessively low source temperatures.</w:t>
      </w:r>
    </w:p>
    <w:p w14:paraId="2DCE6031" w14:textId="77777777" w:rsidR="00A87675" w:rsidRPr="002A145A" w:rsidRDefault="00A87675" w:rsidP="00A87675">
      <w:pPr>
        <w:pStyle w:val="SWCText"/>
        <w:spacing w:before="240"/>
      </w:pPr>
    </w:p>
    <w:p w14:paraId="19235223" w14:textId="495A9865" w:rsidR="002A145A" w:rsidRDefault="002A145A" w:rsidP="002A145A">
      <w:pPr>
        <w:pStyle w:val="SWCText"/>
        <w:jc w:val="center"/>
      </w:pPr>
      <w:r w:rsidRPr="002A145A">
        <w:rPr>
          <w:noProof/>
        </w:rPr>
        <w:lastRenderedPageBreak/>
        <w:drawing>
          <wp:inline distT="0" distB="0" distL="0" distR="0" wp14:anchorId="1E3BC01D" wp14:editId="33953249">
            <wp:extent cx="3345180" cy="3169118"/>
            <wp:effectExtent l="0" t="0" r="762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extLst>
                        <a:ext uri="{28A0092B-C50C-407E-A947-70E740481C1C}">
                          <a14:useLocalDpi xmlns:a14="http://schemas.microsoft.com/office/drawing/2010/main" val="0"/>
                        </a:ext>
                      </a:extLst>
                    </a:blip>
                    <a:srcRect l="3650" t="7351" r="26999" b="14239"/>
                    <a:stretch/>
                  </pic:blipFill>
                  <pic:spPr bwMode="auto">
                    <a:xfrm>
                      <a:off x="0" y="0"/>
                      <a:ext cx="3350092" cy="3173772"/>
                    </a:xfrm>
                    <a:prstGeom prst="rect">
                      <a:avLst/>
                    </a:prstGeom>
                    <a:noFill/>
                    <a:ln>
                      <a:noFill/>
                    </a:ln>
                    <a:extLst>
                      <a:ext uri="{53640926-AAD7-44D8-BBD7-CCE9431645EC}">
                        <a14:shadowObscured xmlns:a14="http://schemas.microsoft.com/office/drawing/2010/main"/>
                      </a:ext>
                    </a:extLst>
                  </pic:spPr>
                </pic:pic>
              </a:graphicData>
            </a:graphic>
          </wp:inline>
        </w:drawing>
      </w:r>
    </w:p>
    <w:p w14:paraId="4A128F1B" w14:textId="689AE0FC" w:rsidR="002A145A" w:rsidRDefault="002A145A" w:rsidP="002A145A">
      <w:pPr>
        <w:pStyle w:val="SWCTableFigureCaption"/>
      </w:pPr>
      <w:bookmarkStart w:id="3" w:name="_Ref239674062"/>
      <w:r w:rsidRPr="009329F0">
        <w:t>Fig.</w:t>
      </w:r>
      <w:r>
        <w:t> </w:t>
      </w:r>
      <w:r>
        <w:fldChar w:fldCharType="begin"/>
      </w:r>
      <w:r w:rsidRPr="009329F0">
        <w:instrText xml:space="preserve"> SEQ Fig. \* ARABIC </w:instrText>
      </w:r>
      <w:r>
        <w:fldChar w:fldCharType="separate"/>
      </w:r>
      <w:r w:rsidR="000A4E2B">
        <w:rPr>
          <w:noProof/>
        </w:rPr>
        <w:t>3</w:t>
      </w:r>
      <w:r>
        <w:fldChar w:fldCharType="end"/>
      </w:r>
      <w:bookmarkEnd w:id="3"/>
      <w:r>
        <w:t xml:space="preserve">: </w:t>
      </w:r>
      <w:r w:rsidRPr="004C0202">
        <w:t xml:space="preserve">SPF of the heat pump system </w:t>
      </w:r>
      <w:r w:rsidRPr="002A145A">
        <w:t>as a function of horizontal ground heat exchanger (HGHX) area</w:t>
      </w:r>
    </w:p>
    <w:p w14:paraId="21B012BC" w14:textId="08CD38BC" w:rsidR="000B725B" w:rsidRDefault="00C222DC" w:rsidP="000B725B">
      <w:pPr>
        <w:pStyle w:val="SWCText"/>
      </w:pPr>
      <w:r>
        <w:t xml:space="preserve">However, as mentioned, the restricted land space area is available for </w:t>
      </w:r>
      <w:r w:rsidR="003E3F4B">
        <w:t>a full-dimensioned</w:t>
      </w:r>
      <w:r>
        <w:t xml:space="preserve"> HGHX.</w:t>
      </w:r>
      <w:r w:rsidR="000B725B" w:rsidRPr="0017767F">
        <w:t xml:space="preserve"> </w:t>
      </w:r>
      <w:r>
        <w:t>T</w:t>
      </w:r>
      <w:r w:rsidR="000B725B" w:rsidRPr="0017767F">
        <w:t xml:space="preserve">he integration of PVT is ideal for supporting the efficient operation of the heat pump as a direct heat source on sunny winter days and for regenerating the ground in summer. </w:t>
      </w:r>
      <w:r>
        <w:fldChar w:fldCharType="begin"/>
      </w:r>
      <w:r>
        <w:instrText xml:space="preserve"> REF _Ref225527039 \h </w:instrText>
      </w:r>
      <w:r>
        <w:fldChar w:fldCharType="separate"/>
      </w:r>
      <w:r w:rsidR="000A4E2B" w:rsidRPr="009329F0">
        <w:t>Fig.</w:t>
      </w:r>
      <w:r w:rsidR="000A4E2B">
        <w:t> </w:t>
      </w:r>
      <w:r w:rsidR="000A4E2B">
        <w:rPr>
          <w:noProof/>
        </w:rPr>
        <w:t>4</w:t>
      </w:r>
      <w:r>
        <w:fldChar w:fldCharType="end"/>
      </w:r>
      <w:r>
        <w:t xml:space="preserve"> </w:t>
      </w:r>
      <w:r w:rsidR="003E3F4B">
        <w:t>shows</w:t>
      </w:r>
      <w:r w:rsidRPr="00C222DC">
        <w:t xml:space="preserve"> the impact of adding photovoltaic-thermal (PVT) collectors </w:t>
      </w:r>
      <w:r>
        <w:t>(10 m²</w:t>
      </w:r>
      <w:r w:rsidRPr="00C222DC">
        <w:t xml:space="preserve"> to 40</w:t>
      </w:r>
      <w:r>
        <w:t xml:space="preserve"> </w:t>
      </w:r>
      <w:r w:rsidRPr="00C222DC">
        <w:t>m</w:t>
      </w:r>
      <w:r>
        <w:t>²</w:t>
      </w:r>
      <w:r w:rsidRPr="00C222DC">
        <w:t xml:space="preserve">) to the </w:t>
      </w:r>
      <w:r>
        <w:t>HGHX</w:t>
      </w:r>
      <w:r w:rsidRPr="00C222DC">
        <w:t xml:space="preserve">. Integrating PVT collectors consistently elevates system efficiency across all sizing variations, showing the most pronounced benefits when </w:t>
      </w:r>
      <w:r>
        <w:t>coupled</w:t>
      </w:r>
      <w:r w:rsidRPr="00C222DC">
        <w:t xml:space="preserve"> with smaller, undersized ground fields. To achieve the reference baseline SPF of 3.52</w:t>
      </w:r>
      <w:r w:rsidR="00835A6A">
        <w:t>,</w:t>
      </w:r>
      <w:r w:rsidRPr="00C222DC">
        <w:t xml:space="preserve"> equivalent to a </w:t>
      </w:r>
      <w:r>
        <w:t>532 m²</w:t>
      </w:r>
      <w:r w:rsidRPr="00C222DC">
        <w:t xml:space="preserve"> </w:t>
      </w:r>
      <w:r>
        <w:t>HGHX</w:t>
      </w:r>
      <w:r w:rsidRPr="00C222DC">
        <w:t xml:space="preserve"> system, adding </w:t>
      </w:r>
      <w:r>
        <w:t>20 m²</w:t>
      </w:r>
      <w:r w:rsidR="00FB36D3">
        <w:t xml:space="preserve"> </w:t>
      </w:r>
      <w:r w:rsidRPr="00C222DC">
        <w:t xml:space="preserve">of PVT allows the ground collector area to be reduced by 20% to approximately </w:t>
      </w:r>
      <w:r w:rsidR="00FB36D3">
        <w:t>380 m</w:t>
      </w:r>
      <w:r w:rsidR="00835A6A">
        <w:t>².</w:t>
      </w:r>
      <w:r w:rsidR="00835A6A" w:rsidRPr="00C222DC">
        <w:t xml:space="preserve"> </w:t>
      </w:r>
      <w:r w:rsidR="00835A6A">
        <w:t xml:space="preserve">In addition, </w:t>
      </w:r>
      <w:r w:rsidRPr="00C222DC">
        <w:t>40</w:t>
      </w:r>
      <w:r w:rsidR="00FB36D3">
        <w:t xml:space="preserve"> m² </w:t>
      </w:r>
      <w:r w:rsidRPr="00C222DC">
        <w:t>of PVT reduces the required ground collector area by 38% down to roughly 330</w:t>
      </w:r>
      <w:r w:rsidR="00FB36D3">
        <w:t xml:space="preserve"> m²</w:t>
      </w:r>
      <w:r w:rsidRPr="00C222DC">
        <w:t>.</w:t>
      </w:r>
      <w:r w:rsidR="00FB36D3">
        <w:t xml:space="preserve"> Hence</w:t>
      </w:r>
      <w:r w:rsidR="003E3F4B">
        <w:t>,</w:t>
      </w:r>
      <w:r w:rsidR="00FB36D3">
        <w:t xml:space="preserve"> i</w:t>
      </w:r>
      <w:r w:rsidR="000B725B" w:rsidRPr="0017767F">
        <w:t xml:space="preserve">t is possible to reduce the size of the ground-source heat exchanger without </w:t>
      </w:r>
      <w:r w:rsidR="003E3F4B">
        <w:t>risking</w:t>
      </w:r>
      <w:r w:rsidR="000B725B" w:rsidRPr="0017767F">
        <w:t xml:space="preserve"> </w:t>
      </w:r>
      <w:r w:rsidR="00FB36D3">
        <w:t>critical frost formation in the soil</w:t>
      </w:r>
      <w:r w:rsidR="000B725B" w:rsidRPr="0017767F">
        <w:t>.</w:t>
      </w:r>
    </w:p>
    <w:p w14:paraId="3D5C6918" w14:textId="0EC16D07" w:rsidR="002A145A" w:rsidRDefault="002A145A" w:rsidP="002A145A">
      <w:pPr>
        <w:pStyle w:val="SWCText"/>
        <w:jc w:val="center"/>
      </w:pPr>
      <w:r w:rsidRPr="002A145A">
        <w:rPr>
          <w:noProof/>
        </w:rPr>
        <w:drawing>
          <wp:inline distT="0" distB="0" distL="0" distR="0" wp14:anchorId="7F50B58B" wp14:editId="6C1E46FF">
            <wp:extent cx="3414783" cy="3240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a:extLst>
                        <a:ext uri="{28A0092B-C50C-407E-A947-70E740481C1C}">
                          <a14:useLocalDpi xmlns:a14="http://schemas.microsoft.com/office/drawing/2010/main" val="0"/>
                        </a:ext>
                      </a:extLst>
                    </a:blip>
                    <a:srcRect l="3264" t="6909" r="26708" b="13838"/>
                    <a:stretch/>
                  </pic:blipFill>
                  <pic:spPr bwMode="auto">
                    <a:xfrm>
                      <a:off x="0" y="0"/>
                      <a:ext cx="3414783" cy="3240000"/>
                    </a:xfrm>
                    <a:prstGeom prst="rect">
                      <a:avLst/>
                    </a:prstGeom>
                    <a:noFill/>
                    <a:ln>
                      <a:noFill/>
                    </a:ln>
                    <a:extLst>
                      <a:ext uri="{53640926-AAD7-44D8-BBD7-CCE9431645EC}">
                        <a14:shadowObscured xmlns:a14="http://schemas.microsoft.com/office/drawing/2010/main"/>
                      </a:ext>
                    </a:extLst>
                  </pic:spPr>
                </pic:pic>
              </a:graphicData>
            </a:graphic>
          </wp:inline>
        </w:drawing>
      </w:r>
    </w:p>
    <w:p w14:paraId="3194712C" w14:textId="4E7077BE" w:rsidR="009329F0" w:rsidRDefault="009329F0" w:rsidP="009329F0">
      <w:pPr>
        <w:pStyle w:val="SWCTableFigureCaption"/>
      </w:pPr>
      <w:bookmarkStart w:id="4" w:name="_Ref225527039"/>
      <w:r w:rsidRPr="009329F0">
        <w:t>Fig.</w:t>
      </w:r>
      <w:r w:rsidR="00922550">
        <w:t> </w:t>
      </w:r>
      <w:r>
        <w:fldChar w:fldCharType="begin"/>
      </w:r>
      <w:r w:rsidRPr="009329F0">
        <w:instrText xml:space="preserve"> SEQ Fig. \* ARABIC </w:instrText>
      </w:r>
      <w:r>
        <w:fldChar w:fldCharType="separate"/>
      </w:r>
      <w:r w:rsidR="000A4E2B">
        <w:rPr>
          <w:noProof/>
        </w:rPr>
        <w:t>4</w:t>
      </w:r>
      <w:r>
        <w:fldChar w:fldCharType="end"/>
      </w:r>
      <w:bookmarkEnd w:id="4"/>
      <w:r>
        <w:t xml:space="preserve">: </w:t>
      </w:r>
      <w:r w:rsidR="004C0202" w:rsidRPr="004C0202">
        <w:t xml:space="preserve">SPF of the heat pump system over the </w:t>
      </w:r>
      <w:r w:rsidR="00151794">
        <w:t>HGHX</w:t>
      </w:r>
      <w:r w:rsidR="00A110D8">
        <w:t xml:space="preserve"> </w:t>
      </w:r>
      <w:r w:rsidR="00C92D88">
        <w:t>area</w:t>
      </w:r>
      <w:r w:rsidR="004C0202" w:rsidRPr="004C0202">
        <w:t xml:space="preserve"> for different sizes of PVT collector fields</w:t>
      </w:r>
    </w:p>
    <w:p w14:paraId="04132E40" w14:textId="77777777" w:rsidR="00F7703B" w:rsidRPr="00B07867" w:rsidRDefault="00F7703B" w:rsidP="009329F0">
      <w:pPr>
        <w:pStyle w:val="SWCTableFigureCaption"/>
      </w:pPr>
    </w:p>
    <w:p w14:paraId="0867C1A0" w14:textId="3B9BB189" w:rsidR="00BF77A8" w:rsidRPr="00BF77A8" w:rsidRDefault="00BF77A8" w:rsidP="001E6DFA">
      <w:pPr>
        <w:pStyle w:val="SWCHeading1"/>
        <w:tabs>
          <w:tab w:val="clear" w:pos="5463"/>
        </w:tabs>
        <w:spacing w:before="0"/>
        <w:ind w:left="3828" w:hanging="284"/>
        <w:jc w:val="left"/>
      </w:pPr>
      <w:r w:rsidRPr="00BF77A8">
        <w:lastRenderedPageBreak/>
        <w:t>Implementation</w:t>
      </w:r>
      <w:r w:rsidR="0017767F">
        <w:t xml:space="preserve"> </w:t>
      </w:r>
    </w:p>
    <w:p w14:paraId="0F7BDA57" w14:textId="6D82DA99" w:rsidR="00BF77A8" w:rsidRDefault="002A249A" w:rsidP="001E6DFA">
      <w:pPr>
        <w:pStyle w:val="SWCText"/>
      </w:pPr>
      <w:r>
        <w:t>The c</w:t>
      </w:r>
      <w:r w:rsidR="00F3681F">
        <w:t xml:space="preserve">onstruction of the two blocks of flats began in March 2025. As this was a </w:t>
      </w:r>
      <w:r w:rsidR="001D761D">
        <w:t xml:space="preserve">serial </w:t>
      </w:r>
      <w:r w:rsidR="00F3681F">
        <w:t xml:space="preserve">construction </w:t>
      </w:r>
      <w:r w:rsidR="001D761D">
        <w:t>consisting of prefabricated timber elements</w:t>
      </w:r>
      <w:r w:rsidR="00F3681F">
        <w:t xml:space="preserve">, both buildings </w:t>
      </w:r>
      <w:r w:rsidR="001D761D">
        <w:t xml:space="preserve">could be </w:t>
      </w:r>
      <w:r w:rsidR="00F3681F">
        <w:t xml:space="preserve">completed within a few months. The concept was implemented as planned, and the PVT collectors </w:t>
      </w:r>
      <w:r w:rsidR="001E6DFA">
        <w:t>were</w:t>
      </w:r>
      <w:r w:rsidR="00F3681F">
        <w:t xml:space="preserve"> installed on the rooftops. The plant has been completed and commissioned in accordance with the plans outlined in the previous section, and both buildings are equipped with detailed monitoring. </w:t>
      </w:r>
      <w:r w:rsidR="00F3681F">
        <w:fldChar w:fldCharType="begin"/>
      </w:r>
      <w:r w:rsidR="00F3681F">
        <w:instrText xml:space="preserve"> REF _Ref225518657 \h </w:instrText>
      </w:r>
      <w:r w:rsidR="00F3681F">
        <w:fldChar w:fldCharType="separate"/>
      </w:r>
      <w:r w:rsidR="000A4E2B" w:rsidRPr="009329F0">
        <w:t>Fig.</w:t>
      </w:r>
      <w:r w:rsidR="000A4E2B">
        <w:t> </w:t>
      </w:r>
      <w:r w:rsidR="000A4E2B">
        <w:rPr>
          <w:noProof/>
        </w:rPr>
        <w:t>5</w:t>
      </w:r>
      <w:r w:rsidR="00F3681F">
        <w:fldChar w:fldCharType="end"/>
      </w:r>
      <w:r w:rsidR="00F3681F">
        <w:t xml:space="preserve"> shows the installed </w:t>
      </w:r>
      <w:r w:rsidR="00835A6A">
        <w:t xml:space="preserve">uncovered, backside insulated </w:t>
      </w:r>
      <w:r w:rsidR="00F3681F">
        <w:t xml:space="preserve">PVT approximately 48 m² on the roof surfaces, </w:t>
      </w:r>
      <w:r w:rsidR="00B50F30">
        <w:t>an additional 396 m² of horizontal ground heat exchangers, and</w:t>
      </w:r>
      <w:r w:rsidR="001E6DFA">
        <w:t xml:space="preserve"> a </w:t>
      </w:r>
      <w:r w:rsidR="00A110D8">
        <w:t>17-kW</w:t>
      </w:r>
      <w:r w:rsidR="001E6DFA">
        <w:t xml:space="preserve"> heat pump (B0</w:t>
      </w:r>
      <w:r w:rsidR="001D761D">
        <w:t>/</w:t>
      </w:r>
      <w:r w:rsidR="001E6DFA">
        <w:t xml:space="preserve">W35). </w:t>
      </w:r>
    </w:p>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7"/>
        <w:gridCol w:w="4647"/>
      </w:tblGrid>
      <w:tr w:rsidR="00BF77A8" w14:paraId="7410D65E" w14:textId="77777777" w:rsidTr="00A811CD">
        <w:tc>
          <w:tcPr>
            <w:tcW w:w="4483" w:type="dxa"/>
          </w:tcPr>
          <w:p w14:paraId="1D740374" w14:textId="77777777" w:rsidR="00BF77A8" w:rsidRDefault="00BF77A8" w:rsidP="00A811CD">
            <w:pPr>
              <w:pStyle w:val="FormatvorlageArialBlock"/>
            </w:pPr>
            <w:r>
              <w:rPr>
                <w:noProof/>
              </w:rPr>
              <w:drawing>
                <wp:inline distT="0" distB="0" distL="0" distR="0" wp14:anchorId="30C6356D" wp14:editId="3EFC705D">
                  <wp:extent cx="2536803" cy="1683746"/>
                  <wp:effectExtent l="0" t="0" r="0" b="0"/>
                  <wp:docPr id="95483289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832899" name=""/>
                          <pic:cNvPicPr/>
                        </pic:nvPicPr>
                        <pic:blipFill rotWithShape="1">
                          <a:blip r:embed="rId14">
                            <a:extLst>
                              <a:ext uri="{28A0092B-C50C-407E-A947-70E740481C1C}">
                                <a14:useLocalDpi xmlns:a14="http://schemas.microsoft.com/office/drawing/2010/main"/>
                              </a:ext>
                            </a:extLst>
                          </a:blip>
                          <a:srcRect l="10844" t="9762" r="12753"/>
                          <a:stretch/>
                        </pic:blipFill>
                        <pic:spPr bwMode="auto">
                          <a:xfrm>
                            <a:off x="0" y="0"/>
                            <a:ext cx="2559171" cy="1698593"/>
                          </a:xfrm>
                          <a:prstGeom prst="rect">
                            <a:avLst/>
                          </a:prstGeom>
                          <a:ln>
                            <a:noFill/>
                          </a:ln>
                          <a:extLst>
                            <a:ext uri="{53640926-AAD7-44D8-BBD7-CCE9431645EC}">
                              <a14:shadowObscured xmlns:a14="http://schemas.microsoft.com/office/drawing/2010/main"/>
                            </a:ext>
                          </a:extLst>
                        </pic:spPr>
                      </pic:pic>
                    </a:graphicData>
                  </a:graphic>
                </wp:inline>
              </w:drawing>
            </w:r>
          </w:p>
        </w:tc>
        <w:tc>
          <w:tcPr>
            <w:tcW w:w="4726" w:type="dxa"/>
          </w:tcPr>
          <w:p w14:paraId="06B54B27" w14:textId="77777777" w:rsidR="00BF77A8" w:rsidRDefault="00BF77A8" w:rsidP="00A811CD">
            <w:pPr>
              <w:pStyle w:val="FormatvorlageArialBlock"/>
            </w:pPr>
            <w:r w:rsidRPr="00B65EF3">
              <w:rPr>
                <w:rFonts w:cstheme="minorHAnsi"/>
                <w:bCs/>
                <w:noProof/>
              </w:rPr>
              <w:drawing>
                <wp:inline distT="0" distB="0" distL="0" distR="0" wp14:anchorId="756F6A7C" wp14:editId="11371E9F">
                  <wp:extent cx="2790986" cy="1691649"/>
                  <wp:effectExtent l="0" t="0" r="9525" b="3810"/>
                  <wp:docPr id="13028299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29925"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859748" cy="1733326"/>
                          </a:xfrm>
                          <a:prstGeom prst="rect">
                            <a:avLst/>
                          </a:prstGeom>
                        </pic:spPr>
                      </pic:pic>
                    </a:graphicData>
                  </a:graphic>
                </wp:inline>
              </w:drawing>
            </w:r>
          </w:p>
        </w:tc>
      </w:tr>
    </w:tbl>
    <w:p w14:paraId="3B2000AA" w14:textId="11ECF32F" w:rsidR="00BF77A8" w:rsidRDefault="00BF77A8" w:rsidP="0022316A">
      <w:pPr>
        <w:pStyle w:val="SWCTableFigureCaption"/>
        <w:spacing w:before="0"/>
      </w:pPr>
      <w:bookmarkStart w:id="5" w:name="_Ref225518657"/>
      <w:r w:rsidRPr="009329F0">
        <w:t>Fig.</w:t>
      </w:r>
      <w:r w:rsidR="00922550">
        <w:t> </w:t>
      </w:r>
      <w:r>
        <w:fldChar w:fldCharType="begin"/>
      </w:r>
      <w:r w:rsidRPr="009329F0">
        <w:instrText xml:space="preserve"> SEQ Fig. \* ARABIC </w:instrText>
      </w:r>
      <w:r>
        <w:fldChar w:fldCharType="separate"/>
      </w:r>
      <w:r w:rsidR="000A4E2B">
        <w:rPr>
          <w:noProof/>
        </w:rPr>
        <w:t>5</w:t>
      </w:r>
      <w:r>
        <w:fldChar w:fldCharType="end"/>
      </w:r>
      <w:bookmarkEnd w:id="5"/>
      <w:r>
        <w:t xml:space="preserve">: </w:t>
      </w:r>
      <w:r w:rsidRPr="00BF77A8">
        <w:t xml:space="preserve">Completed </w:t>
      </w:r>
      <w:r w:rsidR="005B3847">
        <w:t>MFH</w:t>
      </w:r>
      <w:r w:rsidRPr="00BF77A8">
        <w:t xml:space="preserve"> with PVT collectors on the roof; both buildings (left) and PVT modules</w:t>
      </w:r>
      <w:r w:rsidR="00C63A96">
        <w:t>/field</w:t>
      </w:r>
      <w:r w:rsidRPr="00BF77A8">
        <w:t xml:space="preserve"> from the roof (right)</w:t>
      </w:r>
    </w:p>
    <w:p w14:paraId="0125CE9C" w14:textId="43737C55" w:rsidR="001E6DFA" w:rsidRDefault="001E6DFA" w:rsidP="001E6DFA">
      <w:pPr>
        <w:pStyle w:val="SWCText"/>
      </w:pPr>
      <w:r w:rsidRPr="001E6DFA">
        <w:t>The monitoring system records a comprehensive range of thermal and electrical measurement data for the evaluation of the plant</w:t>
      </w:r>
      <w:r w:rsidR="00E13379">
        <w:t xml:space="preserve"> with a temporal resolution of </w:t>
      </w:r>
      <w:r w:rsidR="00151794">
        <w:t>1</w:t>
      </w:r>
      <w:r w:rsidR="00E13379">
        <w:t xml:space="preserve"> sec</w:t>
      </w:r>
      <w:r w:rsidRPr="001E6DFA">
        <w:t xml:space="preserve">. On the generation side, the system records the thermal energy from the PVT and </w:t>
      </w:r>
      <w:r w:rsidR="00B50F30">
        <w:t>ground heat exchanger</w:t>
      </w:r>
      <w:r w:rsidRPr="001E6DFA">
        <w:t xml:space="preserve"> (</w:t>
      </w:r>
      <w:r w:rsidR="00151794">
        <w:t>HGHX</w:t>
      </w:r>
      <w:r w:rsidRPr="001E6DFA">
        <w:t>), the PVT temperature</w:t>
      </w:r>
      <w:r>
        <w:t>,</w:t>
      </w:r>
      <w:r w:rsidRPr="001E6DFA">
        <w:t xml:space="preserve"> and the regeneration energy transferred directly from the PVT into the ground. Here, the focus is on the heat pump’s electricity consumption and on the total heat generated. On the consumption side, the system records the flow and return temperatures </w:t>
      </w:r>
      <w:r w:rsidR="00B50F30">
        <w:t>and</w:t>
      </w:r>
      <w:r w:rsidRPr="001E6DFA">
        <w:t xml:space="preserve"> the specific energy flows for space heating and domestic hot water.</w:t>
      </w:r>
    </w:p>
    <w:p w14:paraId="51CFEE2D" w14:textId="1D71C973" w:rsidR="001E6DFA" w:rsidRDefault="001E6DFA" w:rsidP="001E6DFA">
      <w:pPr>
        <w:pStyle w:val="SWCHeading1"/>
        <w:tabs>
          <w:tab w:val="clear" w:pos="5463"/>
        </w:tabs>
        <w:spacing w:before="0"/>
        <w:ind w:left="3544" w:hanging="283"/>
        <w:jc w:val="left"/>
      </w:pPr>
      <w:r w:rsidRPr="001E6DFA">
        <w:t>Monitoring results</w:t>
      </w:r>
    </w:p>
    <w:p w14:paraId="0EA37CC4" w14:textId="24E56E8D" w:rsidR="00B50F30" w:rsidRDefault="00B50F30" w:rsidP="001E6DFA">
      <w:pPr>
        <w:pStyle w:val="SWCText"/>
      </w:pPr>
      <w:r>
        <w:fldChar w:fldCharType="begin"/>
      </w:r>
      <w:r>
        <w:instrText xml:space="preserve"> REF _Ref239324640 \h </w:instrText>
      </w:r>
      <w:r>
        <w:fldChar w:fldCharType="separate"/>
      </w:r>
      <w:r w:rsidR="000A4E2B" w:rsidRPr="009329F0">
        <w:t>Fig.</w:t>
      </w:r>
      <w:r w:rsidR="000A4E2B">
        <w:t> </w:t>
      </w:r>
      <w:r w:rsidR="000A4E2B">
        <w:rPr>
          <w:noProof/>
        </w:rPr>
        <w:t>6</w:t>
      </w:r>
      <w:r>
        <w:fldChar w:fldCharType="end"/>
      </w:r>
      <w:r>
        <w:t xml:space="preserve"> and </w:t>
      </w:r>
      <w:r>
        <w:fldChar w:fldCharType="begin"/>
      </w:r>
      <w:r>
        <w:instrText xml:space="preserve"> REF _Ref239324642 \h </w:instrText>
      </w:r>
      <w:r>
        <w:fldChar w:fldCharType="separate"/>
      </w:r>
      <w:r w:rsidR="000A4E2B" w:rsidRPr="009329F0">
        <w:t>Fig.</w:t>
      </w:r>
      <w:r w:rsidR="000A4E2B">
        <w:t> </w:t>
      </w:r>
      <w:r w:rsidR="000A4E2B">
        <w:rPr>
          <w:noProof/>
        </w:rPr>
        <w:t>7</w:t>
      </w:r>
      <w:r>
        <w:fldChar w:fldCharType="end"/>
      </w:r>
      <w:r w:rsidR="001E6DFA" w:rsidRPr="001E6DFA">
        <w:t xml:space="preserve"> show the </w:t>
      </w:r>
      <w:r w:rsidR="00E13379">
        <w:t>first</w:t>
      </w:r>
      <w:r w:rsidR="00E13379" w:rsidRPr="001E6DFA">
        <w:t xml:space="preserve"> </w:t>
      </w:r>
      <w:r w:rsidR="001E6DFA" w:rsidRPr="001E6DFA">
        <w:t xml:space="preserve">monitoring results for one of the buildings for the months of February and March 2026 during the initial operation and optimization phase. February </w:t>
      </w:r>
      <w:r w:rsidR="00212336">
        <w:t xml:space="preserve">was </w:t>
      </w:r>
      <w:r w:rsidR="00835A6A">
        <w:t xml:space="preserve">relatively </w:t>
      </w:r>
      <w:r w:rsidR="00212336">
        <w:t>cold</w:t>
      </w:r>
      <w:r w:rsidR="001E6DFA">
        <w:t>, with 5-9 cm of snowfall for almost 9 days of the month, an average temperature of 3.</w:t>
      </w:r>
      <w:r w:rsidR="00151794">
        <w:t>4</w:t>
      </w:r>
      <w:r w:rsidR="001E6DFA">
        <w:t xml:space="preserve"> °C,</w:t>
      </w:r>
      <w:r w:rsidR="001E6DFA" w:rsidRPr="001E6DFA">
        <w:t xml:space="preserve"> and </w:t>
      </w:r>
      <w:r w:rsidR="001E6DFA">
        <w:t>low</w:t>
      </w:r>
      <w:r w:rsidR="001E6DFA" w:rsidRPr="001E6DFA">
        <w:t xml:space="preserve"> solar radiation. In contrast, March was significantly milder</w:t>
      </w:r>
      <w:r w:rsidR="001E6DFA">
        <w:t xml:space="preserve">, at 7.9 °C, and had </w:t>
      </w:r>
      <w:r w:rsidR="001E6DFA" w:rsidRPr="001E6DFA">
        <w:t>higher total solar radiation.</w:t>
      </w:r>
      <w:r>
        <w:t xml:space="preserve"> </w:t>
      </w:r>
    </w:p>
    <w:p w14:paraId="69A480E7" w14:textId="5F0F9974" w:rsidR="00F3713B" w:rsidRDefault="00F3713B" w:rsidP="001E6DFA">
      <w:pPr>
        <w:pStyle w:val="SWCText"/>
      </w:pPr>
      <w:r w:rsidRPr="00F3713B">
        <w:rPr>
          <w:noProof/>
        </w:rPr>
        <w:drawing>
          <wp:inline distT="0" distB="0" distL="0" distR="0" wp14:anchorId="5363030A" wp14:editId="64B36FC5">
            <wp:extent cx="5567045" cy="324358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67045" cy="3243580"/>
                    </a:xfrm>
                    <a:prstGeom prst="rect">
                      <a:avLst/>
                    </a:prstGeom>
                    <a:noFill/>
                    <a:ln>
                      <a:noFill/>
                    </a:ln>
                  </pic:spPr>
                </pic:pic>
              </a:graphicData>
            </a:graphic>
          </wp:inline>
        </w:drawing>
      </w:r>
    </w:p>
    <w:p w14:paraId="2CAB13D2" w14:textId="190B9DE4" w:rsidR="001E6DFA" w:rsidRPr="00B50F30" w:rsidRDefault="001E6DFA" w:rsidP="001E6DFA">
      <w:pPr>
        <w:pStyle w:val="SWCTableFigureCaption"/>
        <w:spacing w:before="0"/>
      </w:pPr>
      <w:bookmarkStart w:id="6" w:name="_Ref239324640"/>
      <w:r w:rsidRPr="009329F0">
        <w:t>Fig.</w:t>
      </w:r>
      <w:r>
        <w:t> </w:t>
      </w:r>
      <w:r>
        <w:fldChar w:fldCharType="begin"/>
      </w:r>
      <w:r w:rsidRPr="009329F0">
        <w:instrText xml:space="preserve"> SEQ Fig. \* ARABIC </w:instrText>
      </w:r>
      <w:r>
        <w:fldChar w:fldCharType="separate"/>
      </w:r>
      <w:r w:rsidR="000A4E2B">
        <w:rPr>
          <w:noProof/>
        </w:rPr>
        <w:t>6</w:t>
      </w:r>
      <w:r>
        <w:fldChar w:fldCharType="end"/>
      </w:r>
      <w:bookmarkEnd w:id="6"/>
      <w:r w:rsidRPr="00B50F30">
        <w:t xml:space="preserve">: </w:t>
      </w:r>
      <w:r w:rsidR="00B50F30" w:rsidRPr="00B50F30">
        <w:t>Monthly measurement results for February 2026</w:t>
      </w:r>
    </w:p>
    <w:p w14:paraId="6B601DC3" w14:textId="4050FC51" w:rsidR="00B50F30" w:rsidRDefault="0071354B" w:rsidP="001E6DFA">
      <w:pPr>
        <w:pStyle w:val="SWCText"/>
      </w:pPr>
      <w:r w:rsidRPr="001E6DFA">
        <w:lastRenderedPageBreak/>
        <w:t xml:space="preserve">The results for February 2026 (see </w:t>
      </w:r>
      <w:r>
        <w:fldChar w:fldCharType="begin"/>
      </w:r>
      <w:r>
        <w:instrText xml:space="preserve"> REF _Ref239324640 \h </w:instrText>
      </w:r>
      <w:r>
        <w:fldChar w:fldCharType="separate"/>
      </w:r>
      <w:r w:rsidR="000A4E2B" w:rsidRPr="009329F0">
        <w:t>Fig.</w:t>
      </w:r>
      <w:r w:rsidR="000A4E2B">
        <w:t> </w:t>
      </w:r>
      <w:r w:rsidR="000A4E2B">
        <w:rPr>
          <w:noProof/>
        </w:rPr>
        <w:t>6</w:t>
      </w:r>
      <w:r>
        <w:fldChar w:fldCharType="end"/>
      </w:r>
      <w:r w:rsidRPr="001E6DFA">
        <w:t>) illustrate the system’s promising performance at low outdoor temperatures. The total heat demand amounted to 3,550 kWh, with 58.5</w:t>
      </w:r>
      <w:r>
        <w:t>%</w:t>
      </w:r>
      <w:r w:rsidRPr="001E6DFA">
        <w:t xml:space="preserve"> attributable to space heating and 41.5</w:t>
      </w:r>
      <w:r>
        <w:t>%</w:t>
      </w:r>
      <w:r w:rsidRPr="001E6DFA">
        <w:t xml:space="preserve"> to domestic hot water. A total of 2,424 kWh of thermal </w:t>
      </w:r>
      <w:r>
        <w:t xml:space="preserve">energy was consumed by the heat pump, of which 75% </w:t>
      </w:r>
      <w:r w:rsidRPr="001E6DFA">
        <w:t xml:space="preserve">(1,811 kWh) </w:t>
      </w:r>
      <w:r>
        <w:t xml:space="preserve">was supplied by the </w:t>
      </w:r>
      <w:r w:rsidR="00151794">
        <w:t>HGHX</w:t>
      </w:r>
      <w:r>
        <w:t xml:space="preserve"> and 25% (613 kWh) by</w:t>
      </w:r>
      <w:r w:rsidRPr="001E6DFA">
        <w:t xml:space="preserve"> the PVT, resulting in an average flow temperature of –1.5°C. </w:t>
      </w:r>
      <w:r w:rsidR="00B50F30" w:rsidRPr="001E6DFA">
        <w:t xml:space="preserve">Despite these challenging, cold conditions, the system achieved </w:t>
      </w:r>
      <w:r w:rsidR="00B50F30">
        <w:t>a seasonal performance factor (SPF)</w:t>
      </w:r>
      <w:r w:rsidR="00B50F30" w:rsidRPr="001E6DFA">
        <w:t xml:space="preserve"> of 3.2 and a </w:t>
      </w:r>
      <w:r w:rsidR="00B50F30">
        <w:t>SPF_</w:t>
      </w:r>
      <w:r w:rsidR="00B50F30" w:rsidRPr="001E6DFA">
        <w:t xml:space="preserve">grid of 3.53. The figures are very much in line with expectations and confirm the system’s efficiency even under </w:t>
      </w:r>
      <w:r w:rsidR="00B50F30">
        <w:t>unfavorable</w:t>
      </w:r>
      <w:r w:rsidR="00B50F30" w:rsidRPr="001E6DFA">
        <w:t xml:space="preserve"> conditions. The proportion of PVT electricity used for self-consumption to power the heat pump system excluding domestic electricity </w:t>
      </w:r>
      <w:r>
        <w:t>was ~</w:t>
      </w:r>
      <w:r w:rsidR="00B50F30">
        <w:t>9%</w:t>
      </w:r>
      <w:r w:rsidR="00B50F30" w:rsidRPr="001E6DFA">
        <w:t>.</w:t>
      </w:r>
    </w:p>
    <w:p w14:paraId="69193347" w14:textId="7EC27612" w:rsidR="001E6DFA" w:rsidRDefault="001E6DFA" w:rsidP="001E6DFA">
      <w:pPr>
        <w:pStyle w:val="SWCText"/>
      </w:pPr>
      <w:r w:rsidRPr="001E6DFA">
        <w:t>By comparison, the results for March 2026 (</w:t>
      </w:r>
      <w:r w:rsidR="0071354B">
        <w:fldChar w:fldCharType="begin"/>
      </w:r>
      <w:r w:rsidR="0071354B">
        <w:instrText xml:space="preserve"> REF _Ref239324642 \h </w:instrText>
      </w:r>
      <w:r w:rsidR="0071354B">
        <w:fldChar w:fldCharType="separate"/>
      </w:r>
      <w:r w:rsidR="000A4E2B" w:rsidRPr="009329F0">
        <w:t>Fig.</w:t>
      </w:r>
      <w:r w:rsidR="000A4E2B">
        <w:t> </w:t>
      </w:r>
      <w:r w:rsidR="000A4E2B">
        <w:rPr>
          <w:noProof/>
        </w:rPr>
        <w:t>7</w:t>
      </w:r>
      <w:r w:rsidR="0071354B">
        <w:fldChar w:fldCharType="end"/>
      </w:r>
      <w:r w:rsidRPr="001E6DFA">
        <w:t xml:space="preserve">) show an increase in the system’s efficiency during a slightly milder </w:t>
      </w:r>
      <w:r w:rsidR="0071354B">
        <w:t xml:space="preserve">winter </w:t>
      </w:r>
      <w:r w:rsidRPr="001E6DFA">
        <w:t>period</w:t>
      </w:r>
      <w:r w:rsidR="00DE2932">
        <w:t xml:space="preserve"> and hi</w:t>
      </w:r>
      <w:r w:rsidR="00151794">
        <w:t>gher</w:t>
      </w:r>
      <w:r w:rsidR="00DE2932">
        <w:t xml:space="preserve"> insulation</w:t>
      </w:r>
      <w:r w:rsidRPr="001E6DFA">
        <w:t>. With an average outdoor temperature 4 K higher</w:t>
      </w:r>
      <w:r w:rsidR="0071354B">
        <w:t xml:space="preserve"> than in February, the heat pump utilized the respective energy-source</w:t>
      </w:r>
      <w:r>
        <w:t xml:space="preserve"> mix to meet a total demand of 33 percent PVT (536 kWh) and 67 percent</w:t>
      </w:r>
      <w:r w:rsidRPr="001E6DFA">
        <w:t xml:space="preserve"> </w:t>
      </w:r>
      <w:r w:rsidR="00151794">
        <w:t>HGHX</w:t>
      </w:r>
      <w:r w:rsidRPr="001E6DFA">
        <w:t xml:space="preserve"> (1,095 kWh), resulting in a correspondingly </w:t>
      </w:r>
      <w:r w:rsidR="00151794">
        <w:t xml:space="preserve">HGHX </w:t>
      </w:r>
      <w:r w:rsidRPr="001E6DFA">
        <w:t>average flow temperature of 3.9</w:t>
      </w:r>
      <w:r w:rsidR="00151794">
        <w:t> </w:t>
      </w:r>
      <w:r w:rsidRPr="001E6DFA">
        <w:t>°C. During this month, the thermal load was primarily driven by domestic hot water demand, with 65.2</w:t>
      </w:r>
      <w:r w:rsidR="0071354B">
        <w:t>%</w:t>
      </w:r>
      <w:r>
        <w:t xml:space="preserve"> of the heat demand attributable to domestic hot water and 34.8</w:t>
      </w:r>
      <w:r w:rsidR="0071354B">
        <w:t>%</w:t>
      </w:r>
      <w:r w:rsidRPr="001E6DFA">
        <w:t xml:space="preserve"> to space heating. These conditions resulted in a </w:t>
      </w:r>
      <w:r w:rsidR="0071354B">
        <w:t>SPF</w:t>
      </w:r>
      <w:r w:rsidRPr="001E6DFA">
        <w:t xml:space="preserve"> of 3.3 and a </w:t>
      </w:r>
      <w:r w:rsidR="00835A6A">
        <w:t>remarkable</w:t>
      </w:r>
      <w:r w:rsidRPr="001E6DFA">
        <w:t xml:space="preserve"> </w:t>
      </w:r>
      <w:r w:rsidR="0071354B">
        <w:t>SPF_grid</w:t>
      </w:r>
      <w:r w:rsidRPr="001E6DFA">
        <w:t xml:space="preserve"> of 4.59, driven by </w:t>
      </w:r>
      <w:r w:rsidR="00DE2932">
        <w:t xml:space="preserve">a </w:t>
      </w:r>
      <w:r w:rsidR="00151794">
        <w:t>higher</w:t>
      </w:r>
      <w:r w:rsidR="00DE2932">
        <w:t xml:space="preserve"> solar irradiance and a </w:t>
      </w:r>
      <w:r w:rsidR="006E61A3">
        <w:t>correspondingly</w:t>
      </w:r>
      <w:r w:rsidRPr="001E6DFA">
        <w:t xml:space="preserve"> high self-consumption rate of </w:t>
      </w:r>
      <w:r>
        <w:t>~</w:t>
      </w:r>
      <w:r w:rsidRPr="001E6DFA">
        <w:t>28</w:t>
      </w:r>
      <w:r>
        <w:t xml:space="preserve">% </w:t>
      </w:r>
      <w:r w:rsidRPr="001E6DFA">
        <w:t>of the PVT electricity</w:t>
      </w:r>
      <w:r w:rsidR="00DE2932">
        <w:t xml:space="preserve"> production.</w:t>
      </w:r>
    </w:p>
    <w:p w14:paraId="2A662857" w14:textId="75FC81EC" w:rsidR="00F3713B" w:rsidRDefault="00F3713B" w:rsidP="001E6DFA">
      <w:pPr>
        <w:pStyle w:val="SWCText"/>
      </w:pPr>
      <w:r w:rsidRPr="00F3713B">
        <w:rPr>
          <w:noProof/>
        </w:rPr>
        <w:drawing>
          <wp:inline distT="0" distB="0" distL="0" distR="0" wp14:anchorId="2AC9483E" wp14:editId="0DE90238">
            <wp:extent cx="5567045" cy="33972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67045" cy="3397250"/>
                    </a:xfrm>
                    <a:prstGeom prst="rect">
                      <a:avLst/>
                    </a:prstGeom>
                    <a:noFill/>
                    <a:ln>
                      <a:noFill/>
                    </a:ln>
                  </pic:spPr>
                </pic:pic>
              </a:graphicData>
            </a:graphic>
          </wp:inline>
        </w:drawing>
      </w:r>
    </w:p>
    <w:p w14:paraId="22389D99" w14:textId="497C9862" w:rsidR="001E6DFA" w:rsidRPr="001E6DFA" w:rsidRDefault="001E6DFA" w:rsidP="00B50F30">
      <w:pPr>
        <w:pStyle w:val="SWCTableFigureCaption"/>
        <w:spacing w:before="0"/>
      </w:pPr>
      <w:bookmarkStart w:id="7" w:name="_Ref239324642"/>
      <w:r w:rsidRPr="009329F0">
        <w:t>Fig.</w:t>
      </w:r>
      <w:r>
        <w:t> </w:t>
      </w:r>
      <w:r>
        <w:fldChar w:fldCharType="begin"/>
      </w:r>
      <w:r w:rsidRPr="009329F0">
        <w:instrText xml:space="preserve"> SEQ Fig. \* ARABIC </w:instrText>
      </w:r>
      <w:r>
        <w:fldChar w:fldCharType="separate"/>
      </w:r>
      <w:r w:rsidR="000A4E2B">
        <w:rPr>
          <w:noProof/>
        </w:rPr>
        <w:t>7</w:t>
      </w:r>
      <w:r>
        <w:fldChar w:fldCharType="end"/>
      </w:r>
      <w:bookmarkEnd w:id="7"/>
      <w:r>
        <w:t xml:space="preserve">: </w:t>
      </w:r>
      <w:r w:rsidR="00B50F30" w:rsidRPr="00B50F30">
        <w:t>Monthly measurement results for March 2026</w:t>
      </w:r>
    </w:p>
    <w:p w14:paraId="7C96BA02" w14:textId="2CB8A840" w:rsidR="001E6DFA" w:rsidRDefault="00835A6A" w:rsidP="00B6490C">
      <w:pPr>
        <w:pStyle w:val="SWCText"/>
      </w:pPr>
      <w:r>
        <w:t>Also noteworthy</w:t>
      </w:r>
      <w:r w:rsidR="001E6DFA" w:rsidRPr="001E6DFA">
        <w:t xml:space="preserve"> is the direct comparison of active regeneration</w:t>
      </w:r>
      <w:r w:rsidR="00DE2932">
        <w:t xml:space="preserve"> of the geothermal heat source</w:t>
      </w:r>
      <w:r w:rsidR="001E6DFA" w:rsidRPr="001E6DFA">
        <w:t xml:space="preserve">: in February, only 60 kWh of solar energy was fed back into the ground, whilst this figure rose to 473 kWh in March. This represents </w:t>
      </w:r>
      <w:r w:rsidR="0071354B">
        <w:t xml:space="preserve">an almost eight-times increase in regeneration capacity within a single month and </w:t>
      </w:r>
      <w:r w:rsidR="00DE2932">
        <w:t>emphasizes</w:t>
      </w:r>
      <w:r w:rsidR="0071354B">
        <w:t xml:space="preserve"> the </w:t>
      </w:r>
      <w:r w:rsidR="00DE2932">
        <w:t xml:space="preserve">great </w:t>
      </w:r>
      <w:r w:rsidR="0071354B">
        <w:t xml:space="preserve">potential of </w:t>
      </w:r>
      <w:r w:rsidR="001E6DFA" w:rsidRPr="001E6DFA">
        <w:t xml:space="preserve">PVT collectors </w:t>
      </w:r>
      <w:r w:rsidR="007F77D4">
        <w:t xml:space="preserve">for this </w:t>
      </w:r>
      <w:r w:rsidR="00151794">
        <w:t>application</w:t>
      </w:r>
      <w:r>
        <w:t xml:space="preserve"> </w:t>
      </w:r>
      <w:r w:rsidRPr="00835A6A">
        <w:t>if appropriate weather conditions are present</w:t>
      </w:r>
      <w:r w:rsidR="001E6DFA" w:rsidRPr="001E6DFA">
        <w:t>.</w:t>
      </w:r>
      <w:r w:rsidR="00B6490C">
        <w:t xml:space="preserve"> </w:t>
      </w:r>
    </w:p>
    <w:p w14:paraId="76317079" w14:textId="5DFBADC1" w:rsidR="00B6490C" w:rsidRDefault="00B6490C" w:rsidP="00B6490C">
      <w:pPr>
        <w:pStyle w:val="SWCText"/>
      </w:pPr>
      <w:r>
        <w:fldChar w:fldCharType="begin"/>
      </w:r>
      <w:r>
        <w:instrText xml:space="preserve"> REF _Ref239325482 \h </w:instrText>
      </w:r>
      <w:r>
        <w:fldChar w:fldCharType="separate"/>
      </w:r>
      <w:r w:rsidR="000A4E2B" w:rsidRPr="009329F0">
        <w:t>Fig.</w:t>
      </w:r>
      <w:r w:rsidR="000A4E2B">
        <w:t> </w:t>
      </w:r>
      <w:r w:rsidR="000A4E2B">
        <w:rPr>
          <w:noProof/>
        </w:rPr>
        <w:t>8</w:t>
      </w:r>
      <w:r>
        <w:fldChar w:fldCharType="end"/>
      </w:r>
      <w:r>
        <w:t xml:space="preserve"> Illustrates</w:t>
      </w:r>
      <w:r w:rsidRPr="00B6490C">
        <w:t xml:space="preserve"> the monthly energy demand alongside</w:t>
      </w:r>
      <w:r>
        <w:t xml:space="preserve"> </w:t>
      </w:r>
      <w:r w:rsidRPr="00B6490C">
        <w:t>SPF</w:t>
      </w:r>
      <w:r>
        <w:t xml:space="preserve"> of the system</w:t>
      </w:r>
      <w:r w:rsidRPr="00B6490C">
        <w:t xml:space="preserve"> from February </w:t>
      </w:r>
      <w:r>
        <w:t>to</w:t>
      </w:r>
      <w:r w:rsidRPr="00B6490C">
        <w:t xml:space="preserve"> August</w:t>
      </w:r>
      <w:r>
        <w:t xml:space="preserve"> 2026</w:t>
      </w:r>
      <w:r w:rsidRPr="00B6490C">
        <w:t>, including an overall average. Domestic Hot Water (DHW) demand remains consistently high throughout the period, fluctuating between approximately 1,</w:t>
      </w:r>
      <w:r>
        <w:t>2</w:t>
      </w:r>
      <w:r w:rsidRPr="00B6490C">
        <w:t xml:space="preserve">00 kWh and 2,100 kWh. In contrast, Space Heating (SH) demand drops sharply from a peak of nearly 1,500 kWh in February to </w:t>
      </w:r>
      <w:r w:rsidR="005152A9">
        <w:t>nearly zero</w:t>
      </w:r>
      <w:r w:rsidRPr="00B6490C">
        <w:t xml:space="preserve"> during the summer months</w:t>
      </w:r>
      <w:r w:rsidR="005152A9">
        <w:t xml:space="preserve">. SPF </w:t>
      </w:r>
      <w:r>
        <w:t xml:space="preserve">remains </w:t>
      </w:r>
      <w:r w:rsidR="007F77D4">
        <w:t xml:space="preserve">quite </w:t>
      </w:r>
      <w:r w:rsidR="005152A9">
        <w:t xml:space="preserve">stable </w:t>
      </w:r>
      <w:r>
        <w:t>throughout the period, hovering between 3.22 and 3.74, with</w:t>
      </w:r>
      <w:r w:rsidRPr="00B6490C">
        <w:t xml:space="preserve"> an average of 3.4. However, </w:t>
      </w:r>
      <w:r w:rsidR="005152A9">
        <w:t>SPF_grid</w:t>
      </w:r>
      <w:r w:rsidRPr="00B6490C">
        <w:t xml:space="preserve"> exhibits </w:t>
      </w:r>
      <w:r w:rsidR="007F77D4">
        <w:t xml:space="preserve">a </w:t>
      </w:r>
      <w:r w:rsidR="00835A6A">
        <w:t>high</w:t>
      </w:r>
      <w:r w:rsidR="00835A6A" w:rsidRPr="00B6490C">
        <w:t xml:space="preserve"> </w:t>
      </w:r>
      <w:r w:rsidRPr="00B6490C">
        <w:t>variation</w:t>
      </w:r>
      <w:r w:rsidR="007F77D4">
        <w:t xml:space="preserve"> in dependency of the PVT electricity production</w:t>
      </w:r>
      <w:r w:rsidRPr="00B6490C">
        <w:t>, surging from 3.53 in February to a peak of 9.12 in June, yielding an overall average of 6.3</w:t>
      </w:r>
      <w:r w:rsidR="005152A9">
        <w:t xml:space="preserve">. </w:t>
      </w:r>
    </w:p>
    <w:p w14:paraId="1903981A" w14:textId="00210C8F" w:rsidR="00F7703B" w:rsidRPr="00B6490C" w:rsidRDefault="00F7703B" w:rsidP="00F7703B">
      <w:pPr>
        <w:pStyle w:val="SWCText"/>
        <w:jc w:val="center"/>
      </w:pPr>
      <w:r w:rsidRPr="00F7703B">
        <w:rPr>
          <w:noProof/>
        </w:rPr>
        <w:lastRenderedPageBreak/>
        <w:drawing>
          <wp:inline distT="0" distB="0" distL="0" distR="0" wp14:anchorId="79493DBC" wp14:editId="0EEB7C74">
            <wp:extent cx="4008120" cy="347400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8">
                      <a:extLst>
                        <a:ext uri="{28A0092B-C50C-407E-A947-70E740481C1C}">
                          <a14:useLocalDpi xmlns:a14="http://schemas.microsoft.com/office/drawing/2010/main" val="0"/>
                        </a:ext>
                      </a:extLst>
                    </a:blip>
                    <a:srcRect l="2362" r="3542" b="6923"/>
                    <a:stretch/>
                  </pic:blipFill>
                  <pic:spPr bwMode="auto">
                    <a:xfrm>
                      <a:off x="0" y="0"/>
                      <a:ext cx="4015485" cy="3480393"/>
                    </a:xfrm>
                    <a:prstGeom prst="rect">
                      <a:avLst/>
                    </a:prstGeom>
                    <a:noFill/>
                    <a:ln>
                      <a:noFill/>
                    </a:ln>
                    <a:extLst>
                      <a:ext uri="{53640926-AAD7-44D8-BBD7-CCE9431645EC}">
                        <a14:shadowObscured xmlns:a14="http://schemas.microsoft.com/office/drawing/2010/main"/>
                      </a:ext>
                    </a:extLst>
                  </pic:spPr>
                </pic:pic>
              </a:graphicData>
            </a:graphic>
          </wp:inline>
        </w:drawing>
      </w:r>
    </w:p>
    <w:p w14:paraId="4B3FE805" w14:textId="54513BC9" w:rsidR="00B6490C" w:rsidRDefault="00B6490C" w:rsidP="00B6490C">
      <w:pPr>
        <w:pStyle w:val="SWCTableFigureCaption"/>
        <w:spacing w:before="0"/>
      </w:pPr>
      <w:bookmarkStart w:id="8" w:name="_Ref239325482"/>
      <w:r w:rsidRPr="009329F0">
        <w:t>Fig.</w:t>
      </w:r>
      <w:r>
        <w:t> </w:t>
      </w:r>
      <w:r>
        <w:fldChar w:fldCharType="begin"/>
      </w:r>
      <w:r w:rsidRPr="009329F0">
        <w:instrText xml:space="preserve"> SEQ Fig. \* ARABIC </w:instrText>
      </w:r>
      <w:r>
        <w:fldChar w:fldCharType="separate"/>
      </w:r>
      <w:r w:rsidR="000A4E2B">
        <w:rPr>
          <w:noProof/>
        </w:rPr>
        <w:t>8</w:t>
      </w:r>
      <w:r>
        <w:fldChar w:fldCharType="end"/>
      </w:r>
      <w:bookmarkEnd w:id="8"/>
      <w:r>
        <w:t xml:space="preserve">: </w:t>
      </w:r>
      <w:r w:rsidRPr="00B50F30">
        <w:t xml:space="preserve">Monthly </w:t>
      </w:r>
      <w:r w:rsidR="00A315C2">
        <w:t>e</w:t>
      </w:r>
      <w:r w:rsidRPr="00B6490C">
        <w:t xml:space="preserve">nergy </w:t>
      </w:r>
      <w:r w:rsidR="00A315C2">
        <w:t>d</w:t>
      </w:r>
      <w:r w:rsidRPr="00B6490C">
        <w:t>emand</w:t>
      </w:r>
      <w:r w:rsidR="00A16069">
        <w:t xml:space="preserve"> (SH and DHW) as well as</w:t>
      </w:r>
      <w:r w:rsidR="00151794">
        <w:t xml:space="preserve"> </w:t>
      </w:r>
      <w:r>
        <w:t xml:space="preserve">SPF </w:t>
      </w:r>
      <w:r w:rsidR="00A16069">
        <w:t>and SPF</w:t>
      </w:r>
      <w:r w:rsidR="00151794">
        <w:t>_</w:t>
      </w:r>
      <w:r w:rsidR="00A16069">
        <w:t xml:space="preserve">grid </w:t>
      </w:r>
      <w:r>
        <w:t>of the system</w:t>
      </w:r>
      <w:r w:rsidR="00A315C2">
        <w:t xml:space="preserve"> from February to August 2026</w:t>
      </w:r>
      <w:r w:rsidR="00A315C2" w:rsidRPr="00B6490C">
        <w:t xml:space="preserve"> </w:t>
      </w:r>
    </w:p>
    <w:p w14:paraId="5B36BA82" w14:textId="523E02D9" w:rsidR="005152A9" w:rsidRDefault="005152A9" w:rsidP="005152A9">
      <w:pPr>
        <w:pStyle w:val="SWCHeading1"/>
        <w:tabs>
          <w:tab w:val="clear" w:pos="5463"/>
        </w:tabs>
        <w:spacing w:before="0" w:after="60"/>
        <w:ind w:left="3828" w:hanging="284"/>
        <w:jc w:val="left"/>
      </w:pPr>
      <w:r>
        <w:t>Conclusion</w:t>
      </w:r>
    </w:p>
    <w:p w14:paraId="0D59C571" w14:textId="7B9CD8D2" w:rsidR="003A6A37" w:rsidRPr="003A6A37" w:rsidRDefault="003A6A37" w:rsidP="003A6A37">
      <w:pPr>
        <w:pStyle w:val="SWCText"/>
      </w:pPr>
      <w:r w:rsidRPr="003A6A37">
        <w:t xml:space="preserve">The results demonstrate that integrating photovoltaic-thermal (PVT) collectors with a ground-source heat pump can provide an effective solution for multi-family buildings where the available area for horizontal ground heat exchangers is limited. The </w:t>
      </w:r>
      <w:r w:rsidR="00A16069">
        <w:t xml:space="preserve">investigated </w:t>
      </w:r>
      <w:r w:rsidRPr="003A6A37">
        <w:t>PVT system reduced the required ground-exchanger area by up to 40–45% while maintaining comparable system performance and avoiding freezing risks in the ground loop. Initial monitoring confirmed stable operation, with a</w:t>
      </w:r>
      <w:r w:rsidR="00A16069">
        <w:t>n</w:t>
      </w:r>
      <w:r w:rsidRPr="003A6A37">
        <w:t xml:space="preserve"> </w:t>
      </w:r>
      <w:r w:rsidR="00A16069">
        <w:t xml:space="preserve">average </w:t>
      </w:r>
      <w:r w:rsidRPr="003A6A37">
        <w:t xml:space="preserve">seasonal performance </w:t>
      </w:r>
      <w:r w:rsidR="00151794" w:rsidRPr="003A6A37">
        <w:t xml:space="preserve">factor </w:t>
      </w:r>
      <w:r w:rsidR="00151794">
        <w:t>(</w:t>
      </w:r>
      <w:r w:rsidR="00151794" w:rsidRPr="003A6A37">
        <w:t>SPF</w:t>
      </w:r>
      <w:r w:rsidR="00151794">
        <w:t>)</w:t>
      </w:r>
      <w:r w:rsidRPr="003A6A37">
        <w:t xml:space="preserve"> of 3.4</w:t>
      </w:r>
      <w:r>
        <w:t xml:space="preserve">. </w:t>
      </w:r>
      <w:r w:rsidRPr="003A6A37">
        <w:t xml:space="preserve">PVT collectors also contributed to </w:t>
      </w:r>
      <w:r w:rsidR="00151794" w:rsidRPr="003A6A37">
        <w:t>hi</w:t>
      </w:r>
      <w:r w:rsidR="00151794">
        <w:t>gher</w:t>
      </w:r>
      <w:r w:rsidRPr="003A6A37">
        <w:t xml:space="preserve"> electricity self-consumption and substantially increased ground regeneration during periods of greater solar radiation. </w:t>
      </w:r>
    </w:p>
    <w:sdt>
      <w:sdtPr>
        <w:rPr>
          <w:rFonts w:ascii="Times New Roman" w:hAnsi="Times New Roman"/>
          <w:b w:val="0"/>
          <w:sz w:val="18"/>
          <w:szCs w:val="18"/>
          <w:lang w:val="de-DE"/>
        </w:rPr>
        <w:tag w:val="CitaviBibliography"/>
        <w:id w:val="-928956366"/>
        <w:placeholder>
          <w:docPart w:val="DefaultPlaceholder_-1854013440"/>
        </w:placeholder>
      </w:sdtPr>
      <w:sdtEndPr>
        <w:rPr>
          <w:sz w:val="24"/>
          <w:szCs w:val="24"/>
        </w:rPr>
      </w:sdtEndPr>
      <w:sdtContent>
        <w:p w14:paraId="0D3962A1" w14:textId="12223184" w:rsidR="0013341A" w:rsidRPr="00D26424" w:rsidRDefault="0022316A" w:rsidP="006C376D">
          <w:pPr>
            <w:pStyle w:val="SWCHeading1"/>
            <w:tabs>
              <w:tab w:val="clear" w:pos="5463"/>
            </w:tabs>
            <w:spacing w:before="0" w:after="60"/>
            <w:ind w:left="3828" w:hanging="284"/>
            <w:jc w:val="left"/>
          </w:pPr>
          <w:r w:rsidRPr="00D26424">
            <w:fldChar w:fldCharType="begin"/>
          </w:r>
          <w:r w:rsidRPr="00D26424">
            <w:instrText>ADDIN CitaviBibliography</w:instrText>
          </w:r>
          <w:r w:rsidRPr="00D26424">
            <w:fldChar w:fldCharType="separate"/>
          </w:r>
          <w:r w:rsidR="0013341A" w:rsidRPr="00D26424">
            <w:t>References</w:t>
          </w:r>
        </w:p>
        <w:p w14:paraId="4DC34085" w14:textId="77777777" w:rsidR="0013341A" w:rsidRPr="00C92D88" w:rsidRDefault="0013341A" w:rsidP="0013341A">
          <w:pPr>
            <w:pStyle w:val="CitaviBibliographyEntry"/>
            <w:spacing w:after="60"/>
            <w:rPr>
              <w:sz w:val="19"/>
              <w:szCs w:val="19"/>
              <w:lang w:val="en-US"/>
            </w:rPr>
          </w:pPr>
          <w:bookmarkStart w:id="9" w:name="_CTVL001c5bb0b828c1c43d2b5c49cc59140fe5f"/>
          <w:r w:rsidRPr="00C92D88">
            <w:rPr>
              <w:sz w:val="19"/>
              <w:szCs w:val="19"/>
            </w:rPr>
            <w:t>Chhugani, B., Büttner, C., Pärish, P., Giovannetti, F., 2023a.</w:t>
          </w:r>
          <w:bookmarkEnd w:id="9"/>
          <w:r w:rsidRPr="00C92D88">
            <w:rPr>
              <w:sz w:val="19"/>
              <w:szCs w:val="19"/>
            </w:rPr>
            <w:t xml:space="preserve"> </w:t>
          </w:r>
          <w:r w:rsidRPr="00D26424">
            <w:rPr>
              <w:sz w:val="19"/>
              <w:szCs w:val="19"/>
              <w:lang w:val="en-US"/>
            </w:rPr>
            <w:t xml:space="preserve">Photovoltaic-Thermal (PVT) collectors as monovalent or bivalent heat sources for heat pumps in new multi-family houses. Solar World Congress 2023, New Delhi, India. </w:t>
          </w:r>
          <w:r w:rsidRPr="00C92D88">
            <w:rPr>
              <w:sz w:val="19"/>
              <w:szCs w:val="19"/>
              <w:lang w:val="en-US"/>
            </w:rPr>
            <w:t>DOI: 10.18086/swc.2023.04.03.</w:t>
          </w:r>
        </w:p>
        <w:p w14:paraId="4C81F099" w14:textId="77777777" w:rsidR="0013341A" w:rsidRPr="00D26424" w:rsidRDefault="0013341A" w:rsidP="0013341A">
          <w:pPr>
            <w:pStyle w:val="CitaviBibliographyEntry"/>
            <w:spacing w:after="60"/>
            <w:rPr>
              <w:sz w:val="19"/>
              <w:szCs w:val="19"/>
              <w:lang w:val="en-US"/>
            </w:rPr>
          </w:pPr>
          <w:bookmarkStart w:id="10" w:name="_CTVL0019b75eaf4face4a4a866be8d77f2484b3"/>
          <w:r w:rsidRPr="00C92D88">
            <w:rPr>
              <w:sz w:val="19"/>
              <w:szCs w:val="19"/>
              <w:lang w:val="en-US"/>
            </w:rPr>
            <w:t xml:space="preserve">Chhugani, B., Pärisch, P., Helmling, S., Giovannetti, F., 2023b. </w:t>
          </w:r>
          <w:r w:rsidRPr="00D26424">
            <w:rPr>
              <w:sz w:val="19"/>
              <w:szCs w:val="19"/>
              <w:lang w:val="en-US"/>
            </w:rPr>
            <w:t>Comparison of PVT - heat pump systems with reference systems for the energy supply of a single-family house. In: Solar Energy Advances 3, 100031. DOI: 10.1016/j.seja.2022.100031.</w:t>
          </w:r>
        </w:p>
        <w:p w14:paraId="5A35C6D8" w14:textId="77777777" w:rsidR="0013341A" w:rsidRPr="00D26424" w:rsidRDefault="0013341A" w:rsidP="0013341A">
          <w:pPr>
            <w:pStyle w:val="CitaviBibliographyEntry"/>
            <w:spacing w:after="60"/>
            <w:rPr>
              <w:sz w:val="19"/>
              <w:szCs w:val="19"/>
            </w:rPr>
          </w:pPr>
          <w:bookmarkStart w:id="11" w:name="_CTVL001aa0865689b6b4c04b6f0467d7dcb54b2"/>
          <w:bookmarkEnd w:id="10"/>
          <w:r w:rsidRPr="00D26424">
            <w:rPr>
              <w:sz w:val="19"/>
              <w:szCs w:val="19"/>
              <w:lang w:val="en-US"/>
            </w:rPr>
            <w:t>Hüsing, F., Hirsch, H., Rockendorf, G., 2016.</w:t>
          </w:r>
          <w:bookmarkEnd w:id="11"/>
          <w:r w:rsidRPr="00D26424">
            <w:rPr>
              <w:sz w:val="19"/>
              <w:szCs w:val="19"/>
              <w:lang w:val="en-US"/>
            </w:rPr>
            <w:t xml:space="preserve"> Combination of Solar Thermal Collectors and Horizontal Ground Heat Exchangers as Optimized Source for Heat Pumps. EuroSun 2016: 11th International Conference on Solar Energy for Buildings and Industry, Palma de Mallorca, Spain. </w:t>
          </w:r>
          <w:r w:rsidRPr="00D26424">
            <w:rPr>
              <w:sz w:val="19"/>
              <w:szCs w:val="19"/>
            </w:rPr>
            <w:t>DOI: 10.18086/eurosun.2016.04.18.</w:t>
          </w:r>
        </w:p>
        <w:p w14:paraId="36CE3F0D" w14:textId="77777777" w:rsidR="0013341A" w:rsidRPr="00D26424" w:rsidRDefault="0013341A" w:rsidP="0013341A">
          <w:pPr>
            <w:pStyle w:val="CitaviBibliographyEntry"/>
            <w:spacing w:after="60"/>
            <w:rPr>
              <w:sz w:val="19"/>
              <w:szCs w:val="19"/>
            </w:rPr>
          </w:pPr>
          <w:bookmarkStart w:id="12" w:name="_CTVL001a8de6802987b42d0923056019c6fb349"/>
          <w:r w:rsidRPr="00D26424">
            <w:rPr>
              <w:sz w:val="19"/>
              <w:szCs w:val="19"/>
            </w:rPr>
            <w:t>Mercker, O., Hüsing, F., Kastner, O., Pärisch, P., 2019.</w:t>
          </w:r>
          <w:bookmarkEnd w:id="12"/>
          <w:r w:rsidRPr="00D26424">
            <w:rPr>
              <w:sz w:val="19"/>
              <w:szCs w:val="19"/>
            </w:rPr>
            <w:t xml:space="preserve"> Flächenreduktionspotenzial solarthermisch unterstützter Erdwärmekollektoren zur Beheizung eines repräsentativen Mehrfamilienhauses mit 8 Wohneinheiten. RET.Con 2019: Regenerative Energietechnik-Konferenz, Nordhausen. DOI: 10.22032/dbt.46047.</w:t>
          </w:r>
        </w:p>
        <w:p w14:paraId="3276C2E1" w14:textId="77777777" w:rsidR="0013341A" w:rsidRPr="00D26424" w:rsidRDefault="0013341A" w:rsidP="0013341A">
          <w:pPr>
            <w:pStyle w:val="CitaviBibliographyEntry"/>
            <w:spacing w:after="60"/>
            <w:rPr>
              <w:sz w:val="19"/>
              <w:szCs w:val="19"/>
              <w:lang w:val="en-US"/>
            </w:rPr>
          </w:pPr>
          <w:bookmarkStart w:id="13" w:name="_CTVL001e1e1f09707ab461589e6228bc1ea6558"/>
          <w:r w:rsidRPr="00D26424">
            <w:rPr>
              <w:sz w:val="19"/>
              <w:szCs w:val="19"/>
            </w:rPr>
            <w:t xml:space="preserve">Schubert, M., Hunziker, M., Sauter, D., Sperr, N., Rohrer, J., 2019. </w:t>
          </w:r>
          <w:r w:rsidRPr="00D26424">
            <w:rPr>
              <w:sz w:val="19"/>
              <w:szCs w:val="19"/>
              <w:lang w:val="en-US"/>
            </w:rPr>
            <w:t>L-Sol – heating system with PVT-collectors as single heat source for a brine-water heat pump. In: J. Phys.: Conf. Ser. 1343 (1), 12081. DOI: 10.1088/1742-6596/1343/1/012081.</w:t>
          </w:r>
        </w:p>
        <w:p w14:paraId="7D83B299" w14:textId="77777777" w:rsidR="0013341A" w:rsidRPr="00D26424" w:rsidRDefault="0013341A" w:rsidP="0013341A">
          <w:pPr>
            <w:pStyle w:val="CitaviBibliographyEntry"/>
            <w:spacing w:after="60"/>
            <w:rPr>
              <w:sz w:val="19"/>
              <w:szCs w:val="19"/>
            </w:rPr>
          </w:pPr>
          <w:bookmarkStart w:id="14" w:name="_CTVL001a1df785082374f8d9fd008b46be434d7"/>
          <w:bookmarkEnd w:id="13"/>
          <w:r w:rsidRPr="00D26424">
            <w:rPr>
              <w:sz w:val="19"/>
              <w:szCs w:val="19"/>
              <w:lang w:val="en-US"/>
            </w:rPr>
            <w:t xml:space="preserve">Sommerfeldt, N., Madani, H., 2019. In-depth techno-economic analysis of PV/Thermal plus ground source heat pump systems for multi-family houses in a heating dominated climate. </w:t>
          </w:r>
          <w:r w:rsidRPr="00D26424">
            <w:rPr>
              <w:sz w:val="19"/>
              <w:szCs w:val="19"/>
            </w:rPr>
            <w:t>In: Solar Energy 190, 44-62. DOI: 10.1016/j.solener.2019.07.080.</w:t>
          </w:r>
        </w:p>
        <w:p w14:paraId="64C994B7" w14:textId="2231D00F" w:rsidR="0022316A" w:rsidRPr="00D26424" w:rsidRDefault="0013341A" w:rsidP="0013341A">
          <w:pPr>
            <w:pStyle w:val="CitaviBibliographyEntry"/>
            <w:spacing w:after="60"/>
          </w:pPr>
          <w:bookmarkStart w:id="15" w:name="_CTVL001d8512dd1092f47c3a64cfc7066c59981"/>
          <w:bookmarkEnd w:id="14"/>
          <w:r w:rsidRPr="00D26424">
            <w:rPr>
              <w:sz w:val="19"/>
              <w:szCs w:val="19"/>
            </w:rPr>
            <w:t>Timilsina, K. P., Chhugani, B., Pärisch, P., 2023.</w:t>
          </w:r>
          <w:bookmarkEnd w:id="15"/>
          <w:r w:rsidRPr="00D26424">
            <w:rPr>
              <w:sz w:val="19"/>
              <w:szCs w:val="19"/>
            </w:rPr>
            <w:t xml:space="preserve"> In-Situ-Monitoring eines Wärmepumpensystems mit PVT-Kollektoren und Erdwärmequellen für Heizung und Kühlung. 34. Symposium Solarthermie und Innovative Wärmesysteme, Kloster Banz, Bad Staffelstein.</w:t>
          </w:r>
          <w:r w:rsidR="0022316A" w:rsidRPr="00D26424">
            <w:rPr>
              <w:sz w:val="19"/>
              <w:szCs w:val="19"/>
            </w:rPr>
            <w:fldChar w:fldCharType="end"/>
          </w:r>
        </w:p>
      </w:sdtContent>
    </w:sdt>
    <w:sectPr w:rsidR="0022316A" w:rsidRPr="00D26424" w:rsidSect="004C0202">
      <w:footnotePr>
        <w:numRestart w:val="eachPage"/>
      </w:footnotePr>
      <w:pgSz w:w="11908" w:h="16838"/>
      <w:pgMar w:top="1078" w:right="1440" w:bottom="1440" w:left="1701" w:header="284" w:footer="284"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7FB4C" w14:textId="77777777" w:rsidR="007D1648" w:rsidRDefault="007D1648">
      <w:r>
        <w:separator/>
      </w:r>
    </w:p>
  </w:endnote>
  <w:endnote w:type="continuationSeparator" w:id="0">
    <w:p w14:paraId="14A2E9FD" w14:textId="77777777" w:rsidR="007D1648" w:rsidRDefault="007D16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32788E" w14:textId="77777777" w:rsidR="007D1648" w:rsidRDefault="007D1648">
      <w:r>
        <w:separator/>
      </w:r>
    </w:p>
  </w:footnote>
  <w:footnote w:type="continuationSeparator" w:id="0">
    <w:p w14:paraId="10FCAA2B" w14:textId="77777777" w:rsidR="007D1648" w:rsidRDefault="007D164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6AB40814"/>
    <w:lvl w:ilvl="0">
      <w:start w:val="1"/>
      <w:numFmt w:val="decimal"/>
      <w:pStyle w:val="ListNumber5"/>
      <w:lvlText w:val="%1."/>
      <w:lvlJc w:val="left"/>
      <w:pPr>
        <w:tabs>
          <w:tab w:val="num" w:pos="1800"/>
        </w:tabs>
        <w:ind w:left="1800" w:hanging="360"/>
      </w:pPr>
    </w:lvl>
  </w:abstractNum>
  <w:abstractNum w:abstractNumId="2" w15:restartNumberingAfterBreak="0">
    <w:nsid w:val="FFFFFF7D"/>
    <w:multiLevelType w:val="singleLevel"/>
    <w:tmpl w:val="84C040E0"/>
    <w:lvl w:ilvl="0">
      <w:start w:val="1"/>
      <w:numFmt w:val="decimal"/>
      <w:pStyle w:val="ListNumber4"/>
      <w:lvlText w:val="%1."/>
      <w:lvlJc w:val="left"/>
      <w:pPr>
        <w:tabs>
          <w:tab w:val="num" w:pos="1440"/>
        </w:tabs>
        <w:ind w:left="1440" w:hanging="360"/>
      </w:pPr>
    </w:lvl>
  </w:abstractNum>
  <w:abstractNum w:abstractNumId="3" w15:restartNumberingAfterBreak="0">
    <w:nsid w:val="FFFFFF7E"/>
    <w:multiLevelType w:val="singleLevel"/>
    <w:tmpl w:val="CABE51D8"/>
    <w:lvl w:ilvl="0">
      <w:start w:val="1"/>
      <w:numFmt w:val="decimal"/>
      <w:pStyle w:val="ListNumber3"/>
      <w:lvlText w:val="%1."/>
      <w:lvlJc w:val="left"/>
      <w:pPr>
        <w:tabs>
          <w:tab w:val="num" w:pos="1080"/>
        </w:tabs>
        <w:ind w:left="1080" w:hanging="360"/>
      </w:pPr>
    </w:lvl>
  </w:abstractNum>
  <w:abstractNum w:abstractNumId="4" w15:restartNumberingAfterBreak="0">
    <w:nsid w:val="FFFFFF7F"/>
    <w:multiLevelType w:val="singleLevel"/>
    <w:tmpl w:val="B32662C6"/>
    <w:lvl w:ilvl="0">
      <w:start w:val="1"/>
      <w:numFmt w:val="decimal"/>
      <w:pStyle w:val="ListNumber2"/>
      <w:lvlText w:val="%1."/>
      <w:lvlJc w:val="left"/>
      <w:pPr>
        <w:tabs>
          <w:tab w:val="num" w:pos="720"/>
        </w:tabs>
        <w:ind w:left="720" w:hanging="360"/>
      </w:pPr>
    </w:lvl>
  </w:abstractNum>
  <w:abstractNum w:abstractNumId="5" w15:restartNumberingAfterBreak="0">
    <w:nsid w:val="FFFFFF80"/>
    <w:multiLevelType w:val="singleLevel"/>
    <w:tmpl w:val="D61ED0F4"/>
    <w:lvl w:ilvl="0">
      <w:start w:val="1"/>
      <w:numFmt w:val="bullet"/>
      <w:pStyle w:val="ListBullet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A7145BFE"/>
    <w:lvl w:ilvl="0">
      <w:start w:val="1"/>
      <w:numFmt w:val="bullet"/>
      <w:pStyle w:val="ListBullet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C1A1406"/>
    <w:lvl w:ilvl="0">
      <w:start w:val="1"/>
      <w:numFmt w:val="bullet"/>
      <w:pStyle w:val="ListBullet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968055AC"/>
    <w:lvl w:ilvl="0">
      <w:start w:val="1"/>
      <w:numFmt w:val="bullet"/>
      <w:pStyle w:val="ListBullet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D3EEFACC"/>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B3D8E4FE"/>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0B432F02"/>
    <w:multiLevelType w:val="hybridMultilevel"/>
    <w:tmpl w:val="FC40C2C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17BD658B"/>
    <w:multiLevelType w:val="hybridMultilevel"/>
    <w:tmpl w:val="9C90BE0A"/>
    <w:lvl w:ilvl="0" w:tplc="1AA0D63E">
      <w:start w:val="1"/>
      <w:numFmt w:val="decimal"/>
      <w:lvlText w:val="%1)"/>
      <w:lvlJc w:val="left"/>
      <w:pPr>
        <w:ind w:left="720" w:hanging="360"/>
      </w:pPr>
      <w:rPr>
        <w:rFonts w:ascii="Times New Roman" w:eastAsia="Times New Roman" w:hAnsi="Times New Roman" w:cs="Times New Roman"/>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7BF266E"/>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3693"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5"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7" w15:restartNumberingAfterBreak="0">
    <w:nsid w:val="29235E8F"/>
    <w:multiLevelType w:val="hybridMultilevel"/>
    <w:tmpl w:val="7D7697D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2A3270F0"/>
    <w:multiLevelType w:val="hybridMultilevel"/>
    <w:tmpl w:val="3F4A5C2E"/>
    <w:lvl w:ilvl="0" w:tplc="E7567EF6">
      <w:start w:val="1"/>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0" w15:restartNumberingAfterBreak="0">
    <w:nsid w:val="35B80708"/>
    <w:multiLevelType w:val="hybridMultilevel"/>
    <w:tmpl w:val="727EE29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21"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3"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6"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27"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62860139"/>
    <w:multiLevelType w:val="hybridMultilevel"/>
    <w:tmpl w:val="725809B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640279AF"/>
    <w:multiLevelType w:val="hybridMultilevel"/>
    <w:tmpl w:val="6AEA0D5A"/>
    <w:lvl w:ilvl="0" w:tplc="84FAF57A">
      <w:start w:val="1"/>
      <w:numFmt w:val="decimal"/>
      <w:pStyle w:val="SWCHeading1"/>
      <w:lvlText w:val="%1."/>
      <w:lvlJc w:val="left"/>
      <w:pPr>
        <w:tabs>
          <w:tab w:val="num" w:pos="5463"/>
        </w:tabs>
        <w:ind w:left="5463" w:hanging="360"/>
      </w:pPr>
      <w:rPr>
        <w:rFonts w:hint="default"/>
      </w:r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0" w15:restartNumberingAfterBreak="0">
    <w:nsid w:val="64850530"/>
    <w:multiLevelType w:val="hybridMultilevel"/>
    <w:tmpl w:val="5C72FE7A"/>
    <w:lvl w:ilvl="0" w:tplc="F00E0056">
      <w:start w:val="1"/>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32"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33"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34"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067847798">
    <w:abstractNumId w:val="10"/>
  </w:num>
  <w:num w:numId="2" w16cid:durableId="1889536996">
    <w:abstractNumId w:val="21"/>
  </w:num>
  <w:num w:numId="3" w16cid:durableId="1406488041">
    <w:abstractNumId w:val="20"/>
  </w:num>
  <w:num w:numId="4" w16cid:durableId="1347245108">
    <w:abstractNumId w:val="34"/>
  </w:num>
  <w:num w:numId="5" w16cid:durableId="144401819">
    <w:abstractNumId w:val="8"/>
  </w:num>
  <w:num w:numId="6" w16cid:durableId="1640109575">
    <w:abstractNumId w:val="7"/>
  </w:num>
  <w:num w:numId="7" w16cid:durableId="1218861935">
    <w:abstractNumId w:val="0"/>
  </w:num>
  <w:num w:numId="8" w16cid:durableId="737744854">
    <w:abstractNumId w:val="6"/>
  </w:num>
  <w:num w:numId="9" w16cid:durableId="1405836254">
    <w:abstractNumId w:val="5"/>
  </w:num>
  <w:num w:numId="10" w16cid:durableId="261572997">
    <w:abstractNumId w:val="14"/>
  </w:num>
  <w:num w:numId="11" w16cid:durableId="29111483">
    <w:abstractNumId w:val="29"/>
  </w:num>
  <w:num w:numId="12" w16cid:durableId="62534891">
    <w:abstractNumId w:val="24"/>
  </w:num>
  <w:num w:numId="13" w16cid:durableId="1425033405">
    <w:abstractNumId w:val="14"/>
    <w:lvlOverride w:ilvl="0">
      <w:startOverride w:val="1"/>
    </w:lvlOverride>
  </w:num>
  <w:num w:numId="14" w16cid:durableId="936981407">
    <w:abstractNumId w:val="27"/>
  </w:num>
  <w:num w:numId="15" w16cid:durableId="514879097">
    <w:abstractNumId w:val="15"/>
  </w:num>
  <w:num w:numId="16" w16cid:durableId="1670598712">
    <w:abstractNumId w:val="23"/>
  </w:num>
  <w:num w:numId="17" w16cid:durableId="1515072625">
    <w:abstractNumId w:val="26"/>
  </w:num>
  <w:num w:numId="18" w16cid:durableId="1545021103">
    <w:abstractNumId w:val="32"/>
  </w:num>
  <w:num w:numId="19" w16cid:durableId="17968464">
    <w:abstractNumId w:val="19"/>
  </w:num>
  <w:num w:numId="20" w16cid:durableId="472985378">
    <w:abstractNumId w:val="16"/>
  </w:num>
  <w:num w:numId="21" w16cid:durableId="615992038">
    <w:abstractNumId w:val="22"/>
  </w:num>
  <w:num w:numId="22" w16cid:durableId="531068379">
    <w:abstractNumId w:val="31"/>
  </w:num>
  <w:num w:numId="23" w16cid:durableId="1634360452">
    <w:abstractNumId w:val="25"/>
  </w:num>
  <w:num w:numId="24" w16cid:durableId="2112046851">
    <w:abstractNumId w:val="33"/>
  </w:num>
  <w:num w:numId="25" w16cid:durableId="1465537226">
    <w:abstractNumId w:val="29"/>
  </w:num>
  <w:num w:numId="26" w16cid:durableId="1166703538">
    <w:abstractNumId w:val="29"/>
  </w:num>
  <w:num w:numId="27" w16cid:durableId="2056657427">
    <w:abstractNumId w:val="29"/>
  </w:num>
  <w:num w:numId="28" w16cid:durableId="364448774">
    <w:abstractNumId w:val="29"/>
  </w:num>
  <w:num w:numId="29" w16cid:durableId="772014723">
    <w:abstractNumId w:val="29"/>
  </w:num>
  <w:num w:numId="30" w16cid:durableId="1186015396">
    <w:abstractNumId w:val="29"/>
  </w:num>
  <w:num w:numId="31" w16cid:durableId="367803115">
    <w:abstractNumId w:val="29"/>
  </w:num>
  <w:num w:numId="32" w16cid:durableId="1324166822">
    <w:abstractNumId w:val="29"/>
  </w:num>
  <w:num w:numId="33" w16cid:durableId="1580022238">
    <w:abstractNumId w:val="17"/>
  </w:num>
  <w:num w:numId="34" w16cid:durableId="1253078560">
    <w:abstractNumId w:val="18"/>
  </w:num>
  <w:num w:numId="35" w16cid:durableId="108621137">
    <w:abstractNumId w:val="12"/>
  </w:num>
  <w:num w:numId="36" w16cid:durableId="1477606155">
    <w:abstractNumId w:val="1"/>
  </w:num>
  <w:num w:numId="37" w16cid:durableId="196898690">
    <w:abstractNumId w:val="2"/>
  </w:num>
  <w:num w:numId="38" w16cid:durableId="760878981">
    <w:abstractNumId w:val="3"/>
  </w:num>
  <w:num w:numId="39" w16cid:durableId="183710187">
    <w:abstractNumId w:val="4"/>
  </w:num>
  <w:num w:numId="40" w16cid:durableId="688288509">
    <w:abstractNumId w:val="9"/>
  </w:num>
  <w:num w:numId="41" w16cid:durableId="2051764164">
    <w:abstractNumId w:val="29"/>
  </w:num>
  <w:num w:numId="42" w16cid:durableId="733237505">
    <w:abstractNumId w:val="29"/>
  </w:num>
  <w:num w:numId="43" w16cid:durableId="1077165712">
    <w:abstractNumId w:val="29"/>
  </w:num>
  <w:num w:numId="44" w16cid:durableId="830293303">
    <w:abstractNumId w:val="13"/>
  </w:num>
  <w:num w:numId="45" w16cid:durableId="1111121161">
    <w:abstractNumId w:val="29"/>
  </w:num>
  <w:num w:numId="46" w16cid:durableId="69473134">
    <w:abstractNumId w:val="29"/>
  </w:num>
  <w:num w:numId="47" w16cid:durableId="1714117491">
    <w:abstractNumId w:val="11"/>
  </w:num>
  <w:num w:numId="48" w16cid:durableId="1028674788">
    <w:abstractNumId w:val="30"/>
  </w:num>
  <w:num w:numId="49" w16cid:durableId="117237493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67DB"/>
    <w:rsid w:val="00010262"/>
    <w:rsid w:val="0004235D"/>
    <w:rsid w:val="000533E4"/>
    <w:rsid w:val="000534F5"/>
    <w:rsid w:val="00053E02"/>
    <w:rsid w:val="00055DB9"/>
    <w:rsid w:val="00057B5E"/>
    <w:rsid w:val="00066B26"/>
    <w:rsid w:val="000678AC"/>
    <w:rsid w:val="000712A1"/>
    <w:rsid w:val="00074DBF"/>
    <w:rsid w:val="00090671"/>
    <w:rsid w:val="00092ED5"/>
    <w:rsid w:val="000A0ADB"/>
    <w:rsid w:val="000A30A5"/>
    <w:rsid w:val="000A36B5"/>
    <w:rsid w:val="000A4E2B"/>
    <w:rsid w:val="000A52A1"/>
    <w:rsid w:val="000B04BE"/>
    <w:rsid w:val="000B1F4D"/>
    <w:rsid w:val="000B725B"/>
    <w:rsid w:val="000C2344"/>
    <w:rsid w:val="000D6E1A"/>
    <w:rsid w:val="000E1855"/>
    <w:rsid w:val="000E3738"/>
    <w:rsid w:val="000F0FC3"/>
    <w:rsid w:val="000F739B"/>
    <w:rsid w:val="0010501A"/>
    <w:rsid w:val="0013341A"/>
    <w:rsid w:val="00135292"/>
    <w:rsid w:val="00147797"/>
    <w:rsid w:val="0015090D"/>
    <w:rsid w:val="00151794"/>
    <w:rsid w:val="0015436F"/>
    <w:rsid w:val="00155FB8"/>
    <w:rsid w:val="00157CE5"/>
    <w:rsid w:val="0016393F"/>
    <w:rsid w:val="001647D2"/>
    <w:rsid w:val="00166C42"/>
    <w:rsid w:val="00171AD5"/>
    <w:rsid w:val="00176EF6"/>
    <w:rsid w:val="0017767F"/>
    <w:rsid w:val="00177C0F"/>
    <w:rsid w:val="00185869"/>
    <w:rsid w:val="001904A7"/>
    <w:rsid w:val="0019232E"/>
    <w:rsid w:val="00194E9A"/>
    <w:rsid w:val="001968B5"/>
    <w:rsid w:val="001969B9"/>
    <w:rsid w:val="001A117A"/>
    <w:rsid w:val="001A775B"/>
    <w:rsid w:val="001A7F40"/>
    <w:rsid w:val="001B13D6"/>
    <w:rsid w:val="001B6BCF"/>
    <w:rsid w:val="001B7B01"/>
    <w:rsid w:val="001C115D"/>
    <w:rsid w:val="001C3A3D"/>
    <w:rsid w:val="001C63A2"/>
    <w:rsid w:val="001D0384"/>
    <w:rsid w:val="001D2AC3"/>
    <w:rsid w:val="001D4912"/>
    <w:rsid w:val="001D761D"/>
    <w:rsid w:val="001E2B93"/>
    <w:rsid w:val="001E6DFA"/>
    <w:rsid w:val="001F2881"/>
    <w:rsid w:val="00205626"/>
    <w:rsid w:val="00206116"/>
    <w:rsid w:val="00212336"/>
    <w:rsid w:val="00212628"/>
    <w:rsid w:val="0022299B"/>
    <w:rsid w:val="0022316A"/>
    <w:rsid w:val="00225724"/>
    <w:rsid w:val="00243214"/>
    <w:rsid w:val="002565C3"/>
    <w:rsid w:val="002647A0"/>
    <w:rsid w:val="00266E47"/>
    <w:rsid w:val="00270E75"/>
    <w:rsid w:val="0027288C"/>
    <w:rsid w:val="00273341"/>
    <w:rsid w:val="00275C84"/>
    <w:rsid w:val="002972D1"/>
    <w:rsid w:val="002A04A9"/>
    <w:rsid w:val="002A145A"/>
    <w:rsid w:val="002A249A"/>
    <w:rsid w:val="002A39BB"/>
    <w:rsid w:val="002A3D1A"/>
    <w:rsid w:val="002A3E30"/>
    <w:rsid w:val="002B417A"/>
    <w:rsid w:val="002C089D"/>
    <w:rsid w:val="002C68AD"/>
    <w:rsid w:val="002D322C"/>
    <w:rsid w:val="002D4864"/>
    <w:rsid w:val="002E36DB"/>
    <w:rsid w:val="002E5D62"/>
    <w:rsid w:val="002F1386"/>
    <w:rsid w:val="002F6B87"/>
    <w:rsid w:val="00303345"/>
    <w:rsid w:val="00303B1B"/>
    <w:rsid w:val="003357AC"/>
    <w:rsid w:val="0035638A"/>
    <w:rsid w:val="003605B9"/>
    <w:rsid w:val="00362122"/>
    <w:rsid w:val="00364A52"/>
    <w:rsid w:val="0037070B"/>
    <w:rsid w:val="00370C63"/>
    <w:rsid w:val="00373F97"/>
    <w:rsid w:val="00374216"/>
    <w:rsid w:val="0038545D"/>
    <w:rsid w:val="003869E8"/>
    <w:rsid w:val="00391288"/>
    <w:rsid w:val="00395E5A"/>
    <w:rsid w:val="0039742D"/>
    <w:rsid w:val="003A3A38"/>
    <w:rsid w:val="003A6A37"/>
    <w:rsid w:val="003A7DB9"/>
    <w:rsid w:val="003B2055"/>
    <w:rsid w:val="003B5588"/>
    <w:rsid w:val="003C0806"/>
    <w:rsid w:val="003C18DE"/>
    <w:rsid w:val="003C1B31"/>
    <w:rsid w:val="003C2B1A"/>
    <w:rsid w:val="003C39C6"/>
    <w:rsid w:val="003D0C22"/>
    <w:rsid w:val="003E1E1C"/>
    <w:rsid w:val="003E3F4B"/>
    <w:rsid w:val="003F0403"/>
    <w:rsid w:val="003F5B99"/>
    <w:rsid w:val="004019FD"/>
    <w:rsid w:val="00403E6A"/>
    <w:rsid w:val="004053B5"/>
    <w:rsid w:val="0040615A"/>
    <w:rsid w:val="00411E29"/>
    <w:rsid w:val="0042033E"/>
    <w:rsid w:val="004357AD"/>
    <w:rsid w:val="00453296"/>
    <w:rsid w:val="00453B67"/>
    <w:rsid w:val="00467DFD"/>
    <w:rsid w:val="004718DF"/>
    <w:rsid w:val="00476879"/>
    <w:rsid w:val="00490F10"/>
    <w:rsid w:val="00490F87"/>
    <w:rsid w:val="00493C81"/>
    <w:rsid w:val="00494006"/>
    <w:rsid w:val="004A0AFA"/>
    <w:rsid w:val="004A3506"/>
    <w:rsid w:val="004B2CB9"/>
    <w:rsid w:val="004B5C0E"/>
    <w:rsid w:val="004B621F"/>
    <w:rsid w:val="004C0202"/>
    <w:rsid w:val="004C39AD"/>
    <w:rsid w:val="004C4EE9"/>
    <w:rsid w:val="004D5446"/>
    <w:rsid w:val="004E224B"/>
    <w:rsid w:val="004E5D79"/>
    <w:rsid w:val="004F4904"/>
    <w:rsid w:val="004F5FF9"/>
    <w:rsid w:val="00500640"/>
    <w:rsid w:val="00500D7D"/>
    <w:rsid w:val="00506319"/>
    <w:rsid w:val="005067AC"/>
    <w:rsid w:val="00514890"/>
    <w:rsid w:val="005152A9"/>
    <w:rsid w:val="0051584D"/>
    <w:rsid w:val="00532138"/>
    <w:rsid w:val="0053532A"/>
    <w:rsid w:val="00535BE3"/>
    <w:rsid w:val="005404F1"/>
    <w:rsid w:val="00550776"/>
    <w:rsid w:val="005516AA"/>
    <w:rsid w:val="00556004"/>
    <w:rsid w:val="00566460"/>
    <w:rsid w:val="0057075C"/>
    <w:rsid w:val="005721F8"/>
    <w:rsid w:val="005836C7"/>
    <w:rsid w:val="005A20B8"/>
    <w:rsid w:val="005B3847"/>
    <w:rsid w:val="005B3E86"/>
    <w:rsid w:val="005B684C"/>
    <w:rsid w:val="005B6F55"/>
    <w:rsid w:val="005D5CF6"/>
    <w:rsid w:val="005E04EA"/>
    <w:rsid w:val="005E0D7D"/>
    <w:rsid w:val="005E7208"/>
    <w:rsid w:val="00607C4E"/>
    <w:rsid w:val="00613AF9"/>
    <w:rsid w:val="0061506E"/>
    <w:rsid w:val="0061732F"/>
    <w:rsid w:val="0062257E"/>
    <w:rsid w:val="00625BC2"/>
    <w:rsid w:val="00627E34"/>
    <w:rsid w:val="006309AA"/>
    <w:rsid w:val="00633473"/>
    <w:rsid w:val="006379BD"/>
    <w:rsid w:val="0064403B"/>
    <w:rsid w:val="006500EC"/>
    <w:rsid w:val="00652071"/>
    <w:rsid w:val="00653551"/>
    <w:rsid w:val="0065563B"/>
    <w:rsid w:val="00665471"/>
    <w:rsid w:val="006722C6"/>
    <w:rsid w:val="00676C80"/>
    <w:rsid w:val="00692332"/>
    <w:rsid w:val="00692D7F"/>
    <w:rsid w:val="006A0AE2"/>
    <w:rsid w:val="006A2F10"/>
    <w:rsid w:val="006A77D0"/>
    <w:rsid w:val="006B4C9F"/>
    <w:rsid w:val="006B5972"/>
    <w:rsid w:val="006C376D"/>
    <w:rsid w:val="006C756C"/>
    <w:rsid w:val="006D4A96"/>
    <w:rsid w:val="006E2D15"/>
    <w:rsid w:val="006E46AD"/>
    <w:rsid w:val="006E61A3"/>
    <w:rsid w:val="006F5B85"/>
    <w:rsid w:val="00702AE0"/>
    <w:rsid w:val="00703709"/>
    <w:rsid w:val="0071354B"/>
    <w:rsid w:val="007174DA"/>
    <w:rsid w:val="00725ED2"/>
    <w:rsid w:val="007333BC"/>
    <w:rsid w:val="007535ED"/>
    <w:rsid w:val="0075406E"/>
    <w:rsid w:val="00756702"/>
    <w:rsid w:val="00762EA3"/>
    <w:rsid w:val="007630CB"/>
    <w:rsid w:val="007763CB"/>
    <w:rsid w:val="007804A7"/>
    <w:rsid w:val="007908F6"/>
    <w:rsid w:val="007954D9"/>
    <w:rsid w:val="007A7952"/>
    <w:rsid w:val="007B0BDB"/>
    <w:rsid w:val="007B33DF"/>
    <w:rsid w:val="007C1632"/>
    <w:rsid w:val="007C36EF"/>
    <w:rsid w:val="007C6BDE"/>
    <w:rsid w:val="007D0678"/>
    <w:rsid w:val="007D1648"/>
    <w:rsid w:val="007D1C2C"/>
    <w:rsid w:val="007E7634"/>
    <w:rsid w:val="007F77D4"/>
    <w:rsid w:val="00800E25"/>
    <w:rsid w:val="00801634"/>
    <w:rsid w:val="0080537B"/>
    <w:rsid w:val="008219CF"/>
    <w:rsid w:val="00834062"/>
    <w:rsid w:val="00835A6A"/>
    <w:rsid w:val="00837104"/>
    <w:rsid w:val="00840E8F"/>
    <w:rsid w:val="0084100F"/>
    <w:rsid w:val="00845AE3"/>
    <w:rsid w:val="00890E92"/>
    <w:rsid w:val="00893500"/>
    <w:rsid w:val="008B4780"/>
    <w:rsid w:val="008B618F"/>
    <w:rsid w:val="008C6122"/>
    <w:rsid w:val="008D2AE3"/>
    <w:rsid w:val="008D44C5"/>
    <w:rsid w:val="008D7E85"/>
    <w:rsid w:val="008E19FF"/>
    <w:rsid w:val="008E53FF"/>
    <w:rsid w:val="008F249D"/>
    <w:rsid w:val="008F273A"/>
    <w:rsid w:val="008F54F8"/>
    <w:rsid w:val="009011AA"/>
    <w:rsid w:val="00906CC3"/>
    <w:rsid w:val="00917D56"/>
    <w:rsid w:val="00922550"/>
    <w:rsid w:val="00931C9D"/>
    <w:rsid w:val="009329F0"/>
    <w:rsid w:val="00933A00"/>
    <w:rsid w:val="00933BFD"/>
    <w:rsid w:val="00941691"/>
    <w:rsid w:val="00942AED"/>
    <w:rsid w:val="00944E25"/>
    <w:rsid w:val="00953F15"/>
    <w:rsid w:val="00954CCE"/>
    <w:rsid w:val="009642AB"/>
    <w:rsid w:val="00982BCB"/>
    <w:rsid w:val="009855D6"/>
    <w:rsid w:val="00993509"/>
    <w:rsid w:val="00993F03"/>
    <w:rsid w:val="0099435F"/>
    <w:rsid w:val="00996BC5"/>
    <w:rsid w:val="009A6D34"/>
    <w:rsid w:val="009B4816"/>
    <w:rsid w:val="009C0D40"/>
    <w:rsid w:val="009C1BA8"/>
    <w:rsid w:val="009C2D0D"/>
    <w:rsid w:val="009C3492"/>
    <w:rsid w:val="009C49C6"/>
    <w:rsid w:val="009C5AA4"/>
    <w:rsid w:val="009D02D4"/>
    <w:rsid w:val="009D60E3"/>
    <w:rsid w:val="009E0D67"/>
    <w:rsid w:val="009E4985"/>
    <w:rsid w:val="009F16C5"/>
    <w:rsid w:val="009F3E11"/>
    <w:rsid w:val="009F6AF8"/>
    <w:rsid w:val="009F6E78"/>
    <w:rsid w:val="009F7C7E"/>
    <w:rsid w:val="00A01148"/>
    <w:rsid w:val="00A110D8"/>
    <w:rsid w:val="00A13817"/>
    <w:rsid w:val="00A16069"/>
    <w:rsid w:val="00A311D7"/>
    <w:rsid w:val="00A315C2"/>
    <w:rsid w:val="00A31DC5"/>
    <w:rsid w:val="00A40C81"/>
    <w:rsid w:val="00A436CD"/>
    <w:rsid w:val="00A5180B"/>
    <w:rsid w:val="00A55E36"/>
    <w:rsid w:val="00A6457C"/>
    <w:rsid w:val="00A84C5F"/>
    <w:rsid w:val="00A854B5"/>
    <w:rsid w:val="00A8757B"/>
    <w:rsid w:val="00A87675"/>
    <w:rsid w:val="00A92044"/>
    <w:rsid w:val="00A95221"/>
    <w:rsid w:val="00A9727D"/>
    <w:rsid w:val="00AA16B9"/>
    <w:rsid w:val="00AA47DC"/>
    <w:rsid w:val="00AB624E"/>
    <w:rsid w:val="00AC2C09"/>
    <w:rsid w:val="00AC6B6F"/>
    <w:rsid w:val="00AE11FC"/>
    <w:rsid w:val="00AE6354"/>
    <w:rsid w:val="00AF15AF"/>
    <w:rsid w:val="00AF2F43"/>
    <w:rsid w:val="00AF6EB4"/>
    <w:rsid w:val="00B01141"/>
    <w:rsid w:val="00B02E33"/>
    <w:rsid w:val="00B04CF2"/>
    <w:rsid w:val="00B07867"/>
    <w:rsid w:val="00B214A1"/>
    <w:rsid w:val="00B22D5C"/>
    <w:rsid w:val="00B263F0"/>
    <w:rsid w:val="00B2716E"/>
    <w:rsid w:val="00B32703"/>
    <w:rsid w:val="00B50F30"/>
    <w:rsid w:val="00B54313"/>
    <w:rsid w:val="00B564FD"/>
    <w:rsid w:val="00B60B5F"/>
    <w:rsid w:val="00B6490C"/>
    <w:rsid w:val="00B6496F"/>
    <w:rsid w:val="00B8064D"/>
    <w:rsid w:val="00B80F06"/>
    <w:rsid w:val="00B827C6"/>
    <w:rsid w:val="00B84CEB"/>
    <w:rsid w:val="00B86A89"/>
    <w:rsid w:val="00B93F09"/>
    <w:rsid w:val="00BA63BD"/>
    <w:rsid w:val="00BB01B5"/>
    <w:rsid w:val="00BB1390"/>
    <w:rsid w:val="00BC738E"/>
    <w:rsid w:val="00BD0576"/>
    <w:rsid w:val="00BE50D0"/>
    <w:rsid w:val="00BF16FE"/>
    <w:rsid w:val="00BF77A8"/>
    <w:rsid w:val="00C012F5"/>
    <w:rsid w:val="00C068BC"/>
    <w:rsid w:val="00C06D69"/>
    <w:rsid w:val="00C17081"/>
    <w:rsid w:val="00C17945"/>
    <w:rsid w:val="00C20A85"/>
    <w:rsid w:val="00C222DC"/>
    <w:rsid w:val="00C27FD4"/>
    <w:rsid w:val="00C365E2"/>
    <w:rsid w:val="00C44EFB"/>
    <w:rsid w:val="00C53D3B"/>
    <w:rsid w:val="00C55264"/>
    <w:rsid w:val="00C63A96"/>
    <w:rsid w:val="00C6695C"/>
    <w:rsid w:val="00C92D88"/>
    <w:rsid w:val="00C97946"/>
    <w:rsid w:val="00CA4F91"/>
    <w:rsid w:val="00CA7ABB"/>
    <w:rsid w:val="00CB57E5"/>
    <w:rsid w:val="00CB7EE8"/>
    <w:rsid w:val="00CC0BDA"/>
    <w:rsid w:val="00CC3B0C"/>
    <w:rsid w:val="00CD4EFC"/>
    <w:rsid w:val="00CE432C"/>
    <w:rsid w:val="00CE6DBB"/>
    <w:rsid w:val="00D013CF"/>
    <w:rsid w:val="00D0520C"/>
    <w:rsid w:val="00D14555"/>
    <w:rsid w:val="00D14FCB"/>
    <w:rsid w:val="00D17DCC"/>
    <w:rsid w:val="00D227A3"/>
    <w:rsid w:val="00D26424"/>
    <w:rsid w:val="00D31359"/>
    <w:rsid w:val="00D32EF0"/>
    <w:rsid w:val="00D34665"/>
    <w:rsid w:val="00D35962"/>
    <w:rsid w:val="00D35E52"/>
    <w:rsid w:val="00D36FA6"/>
    <w:rsid w:val="00D41E9A"/>
    <w:rsid w:val="00D53F31"/>
    <w:rsid w:val="00D5584D"/>
    <w:rsid w:val="00D62269"/>
    <w:rsid w:val="00D62EDC"/>
    <w:rsid w:val="00D63D44"/>
    <w:rsid w:val="00D9486E"/>
    <w:rsid w:val="00D976DC"/>
    <w:rsid w:val="00DA244B"/>
    <w:rsid w:val="00DA7F88"/>
    <w:rsid w:val="00DB1CEC"/>
    <w:rsid w:val="00DB52E7"/>
    <w:rsid w:val="00DC0318"/>
    <w:rsid w:val="00DD1D5F"/>
    <w:rsid w:val="00DE0269"/>
    <w:rsid w:val="00DE2932"/>
    <w:rsid w:val="00DF439C"/>
    <w:rsid w:val="00E012C5"/>
    <w:rsid w:val="00E023A9"/>
    <w:rsid w:val="00E054A5"/>
    <w:rsid w:val="00E07D1B"/>
    <w:rsid w:val="00E13379"/>
    <w:rsid w:val="00E218E2"/>
    <w:rsid w:val="00E23FEE"/>
    <w:rsid w:val="00E54468"/>
    <w:rsid w:val="00E548A7"/>
    <w:rsid w:val="00E57E49"/>
    <w:rsid w:val="00E61C50"/>
    <w:rsid w:val="00E65D4A"/>
    <w:rsid w:val="00E7237D"/>
    <w:rsid w:val="00E9249A"/>
    <w:rsid w:val="00E97DB6"/>
    <w:rsid w:val="00EA50D7"/>
    <w:rsid w:val="00EA56BF"/>
    <w:rsid w:val="00EC3533"/>
    <w:rsid w:val="00ED1150"/>
    <w:rsid w:val="00EE2965"/>
    <w:rsid w:val="00EE45BB"/>
    <w:rsid w:val="00EF2F33"/>
    <w:rsid w:val="00EF596C"/>
    <w:rsid w:val="00F07750"/>
    <w:rsid w:val="00F30A77"/>
    <w:rsid w:val="00F31131"/>
    <w:rsid w:val="00F3681F"/>
    <w:rsid w:val="00F3713B"/>
    <w:rsid w:val="00F4393F"/>
    <w:rsid w:val="00F46A3A"/>
    <w:rsid w:val="00F5375D"/>
    <w:rsid w:val="00F5454E"/>
    <w:rsid w:val="00F715C3"/>
    <w:rsid w:val="00F718BD"/>
    <w:rsid w:val="00F7703B"/>
    <w:rsid w:val="00F80507"/>
    <w:rsid w:val="00F83CD3"/>
    <w:rsid w:val="00F85F61"/>
    <w:rsid w:val="00F95487"/>
    <w:rsid w:val="00F95DEF"/>
    <w:rsid w:val="00FA1553"/>
    <w:rsid w:val="00FA4DF8"/>
    <w:rsid w:val="00FB36D3"/>
    <w:rsid w:val="00FB45FB"/>
    <w:rsid w:val="00FC09A1"/>
    <w:rsid w:val="00FC1781"/>
    <w:rsid w:val="00FC244F"/>
    <w:rsid w:val="00FC5B06"/>
    <w:rsid w:val="00FD79DA"/>
    <w:rsid w:val="00FE2ADC"/>
    <w:rsid w:val="00FE5997"/>
    <w:rsid w:val="00FF0950"/>
    <w:rsid w:val="00FF5484"/>
    <w:rsid w:val="00FF6BDD"/>
    <w:rsid w:val="0C79E7B2"/>
    <w:rsid w:val="138FE9CB"/>
    <w:rsid w:val="2C8553D4"/>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182EC8EE-1EE2-40B6-904D-E8FAC5346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C4EE9"/>
    <w:rPr>
      <w:sz w:val="24"/>
      <w:szCs w:val="24"/>
      <w:lang w:val="de-DE" w:eastAsia="de-DE"/>
    </w:rPr>
  </w:style>
  <w:style w:type="paragraph" w:styleId="Heading1">
    <w:name w:val="heading 1"/>
    <w:basedOn w:val="Normal"/>
    <w:next w:val="Normal"/>
    <w:link w:val="Heading1Char"/>
    <w:uiPriority w:val="9"/>
    <w:qFormat/>
    <w:rsid w:val="004C4EE9"/>
    <w:pPr>
      <w:keepNext/>
      <w:outlineLvl w:val="0"/>
    </w:pPr>
    <w:rPr>
      <w:b/>
      <w:sz w:val="28"/>
      <w:szCs w:val="20"/>
      <w:lang w:val="en-GB"/>
    </w:rPr>
  </w:style>
  <w:style w:type="paragraph" w:styleId="Heading2">
    <w:name w:val="heading 2"/>
    <w:basedOn w:val="Normal"/>
    <w:next w:val="Normal"/>
    <w:autoRedefine/>
    <w:rsid w:val="004C4EE9"/>
    <w:pPr>
      <w:keepNext/>
      <w:spacing w:before="240" w:after="60"/>
      <w:outlineLvl w:val="1"/>
    </w:pPr>
    <w:rPr>
      <w:rFonts w:cs="Arial"/>
      <w:bCs/>
      <w:iCs/>
      <w:sz w:val="22"/>
      <w:szCs w:val="22"/>
    </w:rPr>
  </w:style>
  <w:style w:type="paragraph" w:styleId="Heading3">
    <w:name w:val="heading 3"/>
    <w:basedOn w:val="Normal"/>
    <w:next w:val="Normal"/>
    <w:autoRedefine/>
    <w:rsid w:val="004C4EE9"/>
    <w:pPr>
      <w:keepNext/>
      <w:outlineLvl w:val="2"/>
    </w:pPr>
    <w:rPr>
      <w:b/>
      <w:lang w:val="en-GB"/>
    </w:rPr>
  </w:style>
  <w:style w:type="paragraph" w:styleId="Heading4">
    <w:name w:val="heading 4"/>
    <w:basedOn w:val="Normal"/>
    <w:next w:val="Normal"/>
    <w:rsid w:val="004C4EE9"/>
    <w:pPr>
      <w:keepNext/>
      <w:spacing w:before="240" w:after="60"/>
      <w:outlineLvl w:val="3"/>
    </w:pPr>
    <w:rPr>
      <w:b/>
      <w:bCs/>
      <w:sz w:val="28"/>
      <w:szCs w:val="28"/>
    </w:rPr>
  </w:style>
  <w:style w:type="paragraph" w:styleId="Heading5">
    <w:name w:val="heading 5"/>
    <w:basedOn w:val="Normal"/>
    <w:next w:val="Normal"/>
    <w:autoRedefine/>
    <w:rsid w:val="004C4EE9"/>
    <w:pPr>
      <w:keepNext/>
      <w:outlineLvl w:val="4"/>
    </w:pPr>
    <w:rPr>
      <w:b/>
      <w:sz w:val="20"/>
      <w:szCs w:val="20"/>
      <w:lang w:val="en-GB"/>
    </w:rPr>
  </w:style>
  <w:style w:type="paragraph" w:styleId="Heading6">
    <w:name w:val="heading 6"/>
    <w:basedOn w:val="Normal"/>
    <w:next w:val="Normal"/>
    <w:autoRedefine/>
    <w:rsid w:val="004C4EE9"/>
    <w:pPr>
      <w:keepNext/>
      <w:jc w:val="center"/>
      <w:outlineLvl w:val="5"/>
    </w:pPr>
    <w:rPr>
      <w:rFonts w:cs="Arial"/>
      <w:color w:val="000000"/>
      <w:sz w:val="22"/>
      <w:szCs w:val="22"/>
    </w:rPr>
  </w:style>
  <w:style w:type="paragraph" w:styleId="Heading7">
    <w:name w:val="heading 7"/>
    <w:basedOn w:val="Normal"/>
    <w:next w:val="Normal"/>
    <w:rsid w:val="004C4EE9"/>
    <w:pPr>
      <w:spacing w:before="240" w:after="60"/>
      <w:outlineLvl w:val="6"/>
    </w:pPr>
  </w:style>
  <w:style w:type="paragraph" w:styleId="Heading8">
    <w:name w:val="heading 8"/>
    <w:basedOn w:val="Normal"/>
    <w:next w:val="Normal"/>
    <w:rsid w:val="004C4EE9"/>
    <w:pPr>
      <w:spacing w:before="240" w:after="60"/>
      <w:outlineLvl w:val="7"/>
    </w:pPr>
    <w:rPr>
      <w:i/>
      <w:iCs/>
    </w:rPr>
  </w:style>
  <w:style w:type="paragraph" w:styleId="Heading9">
    <w:name w:val="heading 9"/>
    <w:basedOn w:val="Normal"/>
    <w:next w:val="Normal"/>
    <w:rsid w:val="004C4EE9"/>
    <w:pPr>
      <w:spacing w:before="240" w:after="60"/>
      <w:outlineLvl w:val="8"/>
    </w:pPr>
    <w:rPr>
      <w:rFonts w:ascii="Arial" w:hAnsi="Arial"/>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rsid w:val="00A55E36"/>
    <w:pPr>
      <w:numPr>
        <w:numId w:val="1"/>
      </w:numPr>
    </w:pPr>
  </w:style>
  <w:style w:type="character" w:customStyle="1" w:styleId="texto">
    <w:name w:val="texto"/>
    <w:basedOn w:val="DefaultParagraphFont"/>
    <w:rsid w:val="00A6457C"/>
  </w:style>
  <w:style w:type="character" w:styleId="CommentReference">
    <w:name w:val="annotation reference"/>
    <w:basedOn w:val="DefaultParagraphFont"/>
    <w:semiHidden/>
    <w:rsid w:val="009E4985"/>
    <w:rPr>
      <w:sz w:val="16"/>
      <w:szCs w:val="16"/>
    </w:rPr>
  </w:style>
  <w:style w:type="paragraph" w:styleId="CommentText">
    <w:name w:val="annotation text"/>
    <w:basedOn w:val="Normal"/>
    <w:semiHidden/>
    <w:rsid w:val="009E4985"/>
    <w:rPr>
      <w:sz w:val="20"/>
      <w:szCs w:val="20"/>
    </w:rPr>
  </w:style>
  <w:style w:type="character" w:customStyle="1" w:styleId="SWCBulletedListCar">
    <w:name w:val="SWC_BulletedList Car"/>
    <w:basedOn w:val="DefaultParagraphFon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ind w:left="240" w:firstLine="0"/>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link w:val="SWCTextChar"/>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DefaultParagraphFont"/>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CommentSubject">
    <w:name w:val="annotation subject"/>
    <w:basedOn w:val="CommentText"/>
    <w:next w:val="Comment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DefaultParagraphFont"/>
    <w:rsid w:val="005D5CF6"/>
    <w:rPr>
      <w:color w:val="0000FF"/>
      <w:u w:val="single"/>
    </w:rPr>
  </w:style>
  <w:style w:type="paragraph" w:styleId="BalloonText">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leGrid">
    <w:name w:val="Table Grid"/>
    <w:basedOn w:val="TableNormal"/>
    <w:uiPriority w:val="39"/>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DefaultParagraphFon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2972D1"/>
    <w:pPr>
      <w:numPr>
        <w:numId w:val="11"/>
      </w:num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ootnoteText">
    <w:name w:val="footnote text"/>
    <w:basedOn w:val="Normal"/>
    <w:semiHidden/>
    <w:rsid w:val="003869E8"/>
    <w:rPr>
      <w:sz w:val="20"/>
      <w:szCs w:val="20"/>
    </w:rPr>
  </w:style>
  <w:style w:type="character" w:styleId="FootnoteReference">
    <w:name w:val="footnote reference"/>
    <w:basedOn w:val="DefaultParagraphFon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DefaultParagraphFon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ceholderText">
    <w:name w:val="Placeholder Text"/>
    <w:basedOn w:val="DefaultParagraphFont"/>
    <w:uiPriority w:val="99"/>
    <w:rsid w:val="00653551"/>
    <w:rPr>
      <w:color w:val="808080"/>
    </w:rPr>
  </w:style>
  <w:style w:type="character" w:customStyle="1" w:styleId="NichtaufgelsteErwhnung1">
    <w:name w:val="Nicht aufgelöste Erwähnung1"/>
    <w:basedOn w:val="DefaultParagraphFont"/>
    <w:uiPriority w:val="99"/>
    <w:semiHidden/>
    <w:unhideWhenUsed/>
    <w:rsid w:val="00E218E2"/>
    <w:rPr>
      <w:color w:val="605E5C"/>
      <w:shd w:val="clear" w:color="auto" w:fill="E1DFDD"/>
    </w:rPr>
  </w:style>
  <w:style w:type="paragraph" w:styleId="Revision">
    <w:name w:val="Revision"/>
    <w:hidden/>
    <w:uiPriority w:val="99"/>
    <w:semiHidden/>
    <w:rsid w:val="00FA4DF8"/>
    <w:rPr>
      <w:sz w:val="24"/>
      <w:szCs w:val="24"/>
      <w:lang w:val="de-DE" w:eastAsia="de-DE"/>
    </w:rPr>
  </w:style>
  <w:style w:type="paragraph" w:customStyle="1" w:styleId="FormatvorlageArialBlock">
    <w:name w:val="Formatvorlage Arial Block"/>
    <w:basedOn w:val="Normal"/>
    <w:link w:val="FormatvorlageArialBlockChar"/>
    <w:rsid w:val="006E46AD"/>
    <w:pPr>
      <w:spacing w:after="100"/>
      <w:jc w:val="both"/>
    </w:pPr>
    <w:rPr>
      <w:rFonts w:ascii="Arial" w:hAnsi="Arial"/>
      <w:sz w:val="22"/>
      <w:szCs w:val="20"/>
    </w:rPr>
  </w:style>
  <w:style w:type="character" w:customStyle="1" w:styleId="FormatvorlageArialBlockChar">
    <w:name w:val="Formatvorlage Arial Block Char"/>
    <w:basedOn w:val="DefaultParagraphFont"/>
    <w:link w:val="FormatvorlageArialBlock"/>
    <w:rsid w:val="006E46AD"/>
    <w:rPr>
      <w:rFonts w:ascii="Arial" w:hAnsi="Arial"/>
      <w:sz w:val="22"/>
      <w:lang w:val="de-DE" w:eastAsia="de-DE"/>
    </w:rPr>
  </w:style>
  <w:style w:type="paragraph" w:styleId="Caption">
    <w:name w:val="caption"/>
    <w:basedOn w:val="Normal"/>
    <w:next w:val="Normal"/>
    <w:uiPriority w:val="35"/>
    <w:unhideWhenUsed/>
    <w:qFormat/>
    <w:rsid w:val="00B07867"/>
    <w:pPr>
      <w:spacing w:after="200"/>
    </w:pPr>
    <w:rPr>
      <w:i/>
      <w:iCs/>
      <w:color w:val="1F497D" w:themeColor="text2"/>
      <w:sz w:val="18"/>
      <w:szCs w:val="18"/>
    </w:rPr>
  </w:style>
  <w:style w:type="character" w:customStyle="1" w:styleId="Heading1Char">
    <w:name w:val="Heading 1 Char"/>
    <w:basedOn w:val="DefaultParagraphFont"/>
    <w:link w:val="Heading1"/>
    <w:uiPriority w:val="9"/>
    <w:rsid w:val="004C0202"/>
    <w:rPr>
      <w:b/>
      <w:sz w:val="28"/>
      <w:lang w:val="en-GB" w:eastAsia="de-DE"/>
    </w:rPr>
  </w:style>
  <w:style w:type="paragraph" w:customStyle="1" w:styleId="CitaviBibliographyEntry">
    <w:name w:val="Citavi Bibliography Entry"/>
    <w:basedOn w:val="Normal"/>
    <w:link w:val="CitaviBibliographyEntryChar"/>
    <w:uiPriority w:val="99"/>
    <w:rsid w:val="0022316A"/>
    <w:pPr>
      <w:spacing w:after="120"/>
    </w:pPr>
    <w:rPr>
      <w:color w:val="000000"/>
    </w:rPr>
  </w:style>
  <w:style w:type="character" w:customStyle="1" w:styleId="SWCTextChar">
    <w:name w:val="SWC_Text Char"/>
    <w:basedOn w:val="DefaultParagraphFont"/>
    <w:link w:val="SWCText"/>
    <w:rsid w:val="0022316A"/>
    <w:rPr>
      <w:color w:val="000000"/>
      <w:szCs w:val="22"/>
      <w:lang w:val="en-US" w:eastAsia="de-DE"/>
    </w:rPr>
  </w:style>
  <w:style w:type="character" w:customStyle="1" w:styleId="CitaviBibliographyEntryChar">
    <w:name w:val="Citavi Bibliography Entry Char"/>
    <w:basedOn w:val="SWCTextChar"/>
    <w:link w:val="CitaviBibliographyEntry"/>
    <w:uiPriority w:val="99"/>
    <w:rsid w:val="0022316A"/>
    <w:rPr>
      <w:color w:val="000000"/>
      <w:sz w:val="24"/>
      <w:szCs w:val="24"/>
      <w:lang w:val="de-DE" w:eastAsia="de-DE"/>
    </w:rPr>
  </w:style>
  <w:style w:type="paragraph" w:customStyle="1" w:styleId="CitaviBibliographyHeading">
    <w:name w:val="Citavi Bibliography Heading"/>
    <w:basedOn w:val="Heading1"/>
    <w:link w:val="CitaviBibliographyHeadingChar"/>
    <w:uiPriority w:val="99"/>
    <w:rsid w:val="0022316A"/>
  </w:style>
  <w:style w:type="character" w:customStyle="1" w:styleId="CitaviBibliographyHeadingChar">
    <w:name w:val="Citavi Bibliography Heading Char"/>
    <w:basedOn w:val="SWCTextChar"/>
    <w:link w:val="CitaviBibliographyHeading"/>
    <w:uiPriority w:val="99"/>
    <w:rsid w:val="0022316A"/>
    <w:rPr>
      <w:b/>
      <w:color w:val="000000"/>
      <w:sz w:val="28"/>
      <w:szCs w:val="22"/>
      <w:lang w:val="en-GB" w:eastAsia="de-DE"/>
    </w:rPr>
  </w:style>
  <w:style w:type="paragraph" w:customStyle="1" w:styleId="CitaviChapterBibliographyHeading">
    <w:name w:val="Citavi Chapter Bibliography Heading"/>
    <w:basedOn w:val="Heading2"/>
    <w:link w:val="CitaviChapterBibliographyHeadingChar"/>
    <w:uiPriority w:val="99"/>
    <w:rsid w:val="0022316A"/>
  </w:style>
  <w:style w:type="character" w:customStyle="1" w:styleId="CitaviChapterBibliographyHeadingChar">
    <w:name w:val="Citavi Chapter Bibliography Heading Char"/>
    <w:basedOn w:val="SWCTextChar"/>
    <w:link w:val="CitaviChapterBibliographyHeading"/>
    <w:uiPriority w:val="99"/>
    <w:rsid w:val="0022316A"/>
    <w:rPr>
      <w:rFonts w:cs="Arial"/>
      <w:bCs/>
      <w:iCs/>
      <w:color w:val="000000"/>
      <w:sz w:val="22"/>
      <w:szCs w:val="22"/>
      <w:lang w:val="de-DE" w:eastAsia="de-DE"/>
    </w:rPr>
  </w:style>
  <w:style w:type="paragraph" w:customStyle="1" w:styleId="CitaviBibliographySubheading1">
    <w:name w:val="Citavi Bibliography Subheading 1"/>
    <w:basedOn w:val="Heading2"/>
    <w:link w:val="CitaviBibliographySubheading1Char"/>
    <w:uiPriority w:val="99"/>
    <w:rsid w:val="0022316A"/>
    <w:pPr>
      <w:outlineLvl w:val="9"/>
    </w:pPr>
    <w:rPr>
      <w:color w:val="000000"/>
    </w:rPr>
  </w:style>
  <w:style w:type="character" w:customStyle="1" w:styleId="CitaviBibliographySubheading1Char">
    <w:name w:val="Citavi Bibliography Subheading 1 Char"/>
    <w:basedOn w:val="SWCTextChar"/>
    <w:link w:val="CitaviBibliographySubheading1"/>
    <w:uiPriority w:val="99"/>
    <w:rsid w:val="0022316A"/>
    <w:rPr>
      <w:rFonts w:cs="Arial"/>
      <w:bCs/>
      <w:iCs/>
      <w:color w:val="000000"/>
      <w:sz w:val="22"/>
      <w:szCs w:val="22"/>
      <w:lang w:val="de-DE" w:eastAsia="de-DE"/>
    </w:rPr>
  </w:style>
  <w:style w:type="paragraph" w:customStyle="1" w:styleId="CitaviBibliographySubheading2">
    <w:name w:val="Citavi Bibliography Subheading 2"/>
    <w:basedOn w:val="Heading3"/>
    <w:link w:val="CitaviBibliographySubheading2Char"/>
    <w:uiPriority w:val="99"/>
    <w:rsid w:val="0022316A"/>
    <w:pPr>
      <w:outlineLvl w:val="9"/>
    </w:pPr>
    <w:rPr>
      <w:color w:val="000000"/>
    </w:rPr>
  </w:style>
  <w:style w:type="character" w:customStyle="1" w:styleId="CitaviBibliographySubheading2Char">
    <w:name w:val="Citavi Bibliography Subheading 2 Char"/>
    <w:basedOn w:val="SWCTextChar"/>
    <w:link w:val="CitaviBibliographySubheading2"/>
    <w:uiPriority w:val="99"/>
    <w:rsid w:val="0022316A"/>
    <w:rPr>
      <w:b/>
      <w:color w:val="000000"/>
      <w:sz w:val="24"/>
      <w:szCs w:val="24"/>
      <w:lang w:val="en-GB" w:eastAsia="de-DE"/>
    </w:rPr>
  </w:style>
  <w:style w:type="paragraph" w:customStyle="1" w:styleId="CitaviBibliographySubheading3">
    <w:name w:val="Citavi Bibliography Subheading 3"/>
    <w:basedOn w:val="Heading4"/>
    <w:link w:val="CitaviBibliographySubheading3Char"/>
    <w:uiPriority w:val="99"/>
    <w:rsid w:val="0022316A"/>
    <w:pPr>
      <w:outlineLvl w:val="9"/>
    </w:pPr>
    <w:rPr>
      <w:color w:val="000000"/>
    </w:rPr>
  </w:style>
  <w:style w:type="character" w:customStyle="1" w:styleId="CitaviBibliographySubheading3Char">
    <w:name w:val="Citavi Bibliography Subheading 3 Char"/>
    <w:basedOn w:val="SWCTextChar"/>
    <w:link w:val="CitaviBibliographySubheading3"/>
    <w:uiPriority w:val="99"/>
    <w:rsid w:val="0022316A"/>
    <w:rPr>
      <w:b/>
      <w:bCs/>
      <w:color w:val="000000"/>
      <w:sz w:val="28"/>
      <w:szCs w:val="28"/>
      <w:lang w:val="de-DE" w:eastAsia="de-DE"/>
    </w:rPr>
  </w:style>
  <w:style w:type="paragraph" w:customStyle="1" w:styleId="CitaviBibliographySubheading4">
    <w:name w:val="Citavi Bibliography Subheading 4"/>
    <w:basedOn w:val="Heading5"/>
    <w:link w:val="CitaviBibliographySubheading4Char"/>
    <w:uiPriority w:val="99"/>
    <w:rsid w:val="0022316A"/>
    <w:pPr>
      <w:outlineLvl w:val="9"/>
    </w:pPr>
    <w:rPr>
      <w:color w:val="000000"/>
      <w:szCs w:val="22"/>
    </w:rPr>
  </w:style>
  <w:style w:type="character" w:customStyle="1" w:styleId="CitaviBibliographySubheading4Char">
    <w:name w:val="Citavi Bibliography Subheading 4 Char"/>
    <w:basedOn w:val="SWCTextChar"/>
    <w:link w:val="CitaviBibliographySubheading4"/>
    <w:uiPriority w:val="99"/>
    <w:rsid w:val="0022316A"/>
    <w:rPr>
      <w:b/>
      <w:color w:val="000000"/>
      <w:szCs w:val="22"/>
      <w:lang w:val="en-GB" w:eastAsia="de-DE"/>
    </w:rPr>
  </w:style>
  <w:style w:type="paragraph" w:customStyle="1" w:styleId="CitaviBibliographySubheading5">
    <w:name w:val="Citavi Bibliography Subheading 5"/>
    <w:basedOn w:val="Heading6"/>
    <w:link w:val="CitaviBibliographySubheading5Char"/>
    <w:uiPriority w:val="99"/>
    <w:rsid w:val="0022316A"/>
    <w:pPr>
      <w:jc w:val="left"/>
      <w:outlineLvl w:val="9"/>
    </w:pPr>
  </w:style>
  <w:style w:type="character" w:customStyle="1" w:styleId="CitaviBibliographySubheading5Char">
    <w:name w:val="Citavi Bibliography Subheading 5 Char"/>
    <w:basedOn w:val="SWCTextChar"/>
    <w:link w:val="CitaviBibliographySubheading5"/>
    <w:uiPriority w:val="99"/>
    <w:rsid w:val="0022316A"/>
    <w:rPr>
      <w:rFonts w:cs="Arial"/>
      <w:color w:val="000000"/>
      <w:sz w:val="22"/>
      <w:szCs w:val="22"/>
      <w:lang w:val="de-DE" w:eastAsia="de-DE"/>
    </w:rPr>
  </w:style>
  <w:style w:type="paragraph" w:customStyle="1" w:styleId="CitaviBibliographySubheading6">
    <w:name w:val="Citavi Bibliography Subheading 6"/>
    <w:basedOn w:val="Heading7"/>
    <w:link w:val="CitaviBibliographySubheading6Char"/>
    <w:uiPriority w:val="99"/>
    <w:rsid w:val="0022316A"/>
    <w:pPr>
      <w:outlineLvl w:val="9"/>
    </w:pPr>
    <w:rPr>
      <w:color w:val="000000"/>
    </w:rPr>
  </w:style>
  <w:style w:type="character" w:customStyle="1" w:styleId="CitaviBibliographySubheading6Char">
    <w:name w:val="Citavi Bibliography Subheading 6 Char"/>
    <w:basedOn w:val="SWCTextChar"/>
    <w:link w:val="CitaviBibliographySubheading6"/>
    <w:uiPriority w:val="99"/>
    <w:rsid w:val="0022316A"/>
    <w:rPr>
      <w:color w:val="000000"/>
      <w:sz w:val="24"/>
      <w:szCs w:val="24"/>
      <w:lang w:val="de-DE" w:eastAsia="de-DE"/>
    </w:rPr>
  </w:style>
  <w:style w:type="paragraph" w:customStyle="1" w:styleId="CitaviBibliographySubheading7">
    <w:name w:val="Citavi Bibliography Subheading 7"/>
    <w:basedOn w:val="Heading8"/>
    <w:link w:val="CitaviBibliographySubheading7Char"/>
    <w:uiPriority w:val="99"/>
    <w:rsid w:val="0022316A"/>
    <w:pPr>
      <w:outlineLvl w:val="9"/>
    </w:pPr>
    <w:rPr>
      <w:color w:val="000000"/>
    </w:rPr>
  </w:style>
  <w:style w:type="character" w:customStyle="1" w:styleId="CitaviBibliographySubheading7Char">
    <w:name w:val="Citavi Bibliography Subheading 7 Char"/>
    <w:basedOn w:val="SWCTextChar"/>
    <w:link w:val="CitaviBibliographySubheading7"/>
    <w:uiPriority w:val="99"/>
    <w:rsid w:val="0022316A"/>
    <w:rPr>
      <w:i/>
      <w:iCs/>
      <w:color w:val="000000"/>
      <w:sz w:val="24"/>
      <w:szCs w:val="24"/>
      <w:lang w:val="de-DE" w:eastAsia="de-DE"/>
    </w:rPr>
  </w:style>
  <w:style w:type="paragraph" w:customStyle="1" w:styleId="CitaviBibliographySubheading8">
    <w:name w:val="Citavi Bibliography Subheading 8"/>
    <w:basedOn w:val="Heading9"/>
    <w:link w:val="CitaviBibliographySubheading8Char"/>
    <w:uiPriority w:val="99"/>
    <w:rsid w:val="0022316A"/>
    <w:pPr>
      <w:outlineLvl w:val="9"/>
    </w:pPr>
    <w:rPr>
      <w:color w:val="000000"/>
    </w:rPr>
  </w:style>
  <w:style w:type="character" w:customStyle="1" w:styleId="CitaviBibliographySubheading8Char">
    <w:name w:val="Citavi Bibliography Subheading 8 Char"/>
    <w:basedOn w:val="SWCTextChar"/>
    <w:link w:val="CitaviBibliographySubheading8"/>
    <w:uiPriority w:val="99"/>
    <w:rsid w:val="0022316A"/>
    <w:rPr>
      <w:rFonts w:ascii="Arial" w:hAnsi="Arial"/>
      <w:color w:val="000000"/>
      <w:sz w:val="22"/>
      <w:szCs w:val="22"/>
      <w:lang w:val="de-DE" w:eastAsia="de-DE"/>
    </w:rPr>
  </w:style>
  <w:style w:type="paragraph" w:styleId="TOCHeading">
    <w:name w:val="TOC Heading"/>
    <w:basedOn w:val="Heading1"/>
    <w:next w:val="Normal"/>
    <w:uiPriority w:val="39"/>
    <w:semiHidden/>
    <w:unhideWhenUsed/>
    <w:qFormat/>
    <w:rsid w:val="0013341A"/>
    <w:pPr>
      <w:keepLines/>
      <w:spacing w:before="240"/>
      <w:outlineLvl w:val="9"/>
    </w:pPr>
    <w:rPr>
      <w:rFonts w:asciiTheme="majorHAnsi" w:eastAsiaTheme="majorEastAsia" w:hAnsiTheme="majorHAnsi" w:cstheme="majorBidi"/>
      <w:b w:val="0"/>
      <w:color w:val="365F91" w:themeColor="accent1" w:themeShade="BF"/>
      <w:sz w:val="32"/>
      <w:szCs w:val="32"/>
      <w:lang w:val="de-DE"/>
    </w:rPr>
  </w:style>
  <w:style w:type="paragraph" w:styleId="Bibliography">
    <w:name w:val="Bibliography"/>
    <w:basedOn w:val="Normal"/>
    <w:next w:val="Normal"/>
    <w:uiPriority w:val="37"/>
    <w:semiHidden/>
    <w:unhideWhenUsed/>
    <w:rsid w:val="0013341A"/>
  </w:style>
  <w:style w:type="character" w:styleId="BookTitle">
    <w:name w:val="Book Title"/>
    <w:basedOn w:val="DefaultParagraphFont"/>
    <w:uiPriority w:val="33"/>
    <w:rsid w:val="0013341A"/>
    <w:rPr>
      <w:b/>
      <w:bCs/>
      <w:i/>
      <w:iCs/>
      <w:spacing w:val="5"/>
    </w:rPr>
  </w:style>
  <w:style w:type="character" w:styleId="IntenseReference">
    <w:name w:val="Intense Reference"/>
    <w:basedOn w:val="DefaultParagraphFont"/>
    <w:uiPriority w:val="32"/>
    <w:rsid w:val="0013341A"/>
    <w:rPr>
      <w:b/>
      <w:bCs/>
      <w:smallCaps/>
      <w:color w:val="4F81BD" w:themeColor="accent1"/>
      <w:spacing w:val="5"/>
    </w:rPr>
  </w:style>
  <w:style w:type="character" w:styleId="SubtleReference">
    <w:name w:val="Subtle Reference"/>
    <w:basedOn w:val="DefaultParagraphFont"/>
    <w:uiPriority w:val="31"/>
    <w:rsid w:val="0013341A"/>
    <w:rPr>
      <w:smallCaps/>
      <w:color w:val="5A5A5A" w:themeColor="text1" w:themeTint="A5"/>
    </w:rPr>
  </w:style>
  <w:style w:type="character" w:styleId="IntenseEmphasis">
    <w:name w:val="Intense Emphasis"/>
    <w:basedOn w:val="DefaultParagraphFont"/>
    <w:uiPriority w:val="21"/>
    <w:rsid w:val="0013341A"/>
    <w:rPr>
      <w:i/>
      <w:iCs/>
      <w:color w:val="4F81BD" w:themeColor="accent1"/>
    </w:rPr>
  </w:style>
  <w:style w:type="character" w:styleId="SubtleEmphasis">
    <w:name w:val="Subtle Emphasis"/>
    <w:basedOn w:val="DefaultParagraphFont"/>
    <w:uiPriority w:val="19"/>
    <w:rsid w:val="0013341A"/>
    <w:rPr>
      <w:i/>
      <w:iCs/>
      <w:color w:val="404040" w:themeColor="text1" w:themeTint="BF"/>
    </w:rPr>
  </w:style>
  <w:style w:type="paragraph" w:styleId="IntenseQuote">
    <w:name w:val="Intense Quote"/>
    <w:basedOn w:val="Normal"/>
    <w:next w:val="Normal"/>
    <w:link w:val="IntenseQuoteChar"/>
    <w:uiPriority w:val="30"/>
    <w:rsid w:val="0013341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13341A"/>
    <w:rPr>
      <w:i/>
      <w:iCs/>
      <w:color w:val="4F81BD" w:themeColor="accent1"/>
      <w:sz w:val="24"/>
      <w:szCs w:val="24"/>
      <w:lang w:val="de-DE" w:eastAsia="de-DE"/>
    </w:rPr>
  </w:style>
  <w:style w:type="paragraph" w:styleId="Quote">
    <w:name w:val="Quote"/>
    <w:basedOn w:val="Normal"/>
    <w:next w:val="Normal"/>
    <w:link w:val="QuoteChar"/>
    <w:uiPriority w:val="29"/>
    <w:rsid w:val="0013341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13341A"/>
    <w:rPr>
      <w:i/>
      <w:iCs/>
      <w:color w:val="404040" w:themeColor="text1" w:themeTint="BF"/>
      <w:sz w:val="24"/>
      <w:szCs w:val="24"/>
      <w:lang w:val="de-DE" w:eastAsia="de-DE"/>
    </w:rPr>
  </w:style>
  <w:style w:type="paragraph" w:styleId="ListParagraph">
    <w:name w:val="List Paragraph"/>
    <w:basedOn w:val="Normal"/>
    <w:uiPriority w:val="34"/>
    <w:rsid w:val="0013341A"/>
    <w:pPr>
      <w:ind w:left="720"/>
      <w:contextualSpacing/>
    </w:pPr>
  </w:style>
  <w:style w:type="table" w:styleId="MediumList1-Accent1">
    <w:name w:val="Medium List 1 Accent 1"/>
    <w:basedOn w:val="TableNormal"/>
    <w:uiPriority w:val="65"/>
    <w:semiHidden/>
    <w:unhideWhenUsed/>
    <w:rsid w:val="0013341A"/>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Shading2-Accent1">
    <w:name w:val="Medium Shading 2 Accent 1"/>
    <w:basedOn w:val="TableNormal"/>
    <w:uiPriority w:val="64"/>
    <w:semiHidden/>
    <w:unhideWhenUsed/>
    <w:rsid w:val="0013341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1">
    <w:name w:val="Medium Shading 1 Accent 1"/>
    <w:basedOn w:val="TableNormal"/>
    <w:uiPriority w:val="63"/>
    <w:semiHidden/>
    <w:unhideWhenUsed/>
    <w:rsid w:val="0013341A"/>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ghtGrid-Accent1">
    <w:name w:val="Light Grid Accent 1"/>
    <w:basedOn w:val="TableNormal"/>
    <w:uiPriority w:val="62"/>
    <w:semiHidden/>
    <w:unhideWhenUsed/>
    <w:rsid w:val="0013341A"/>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List-Accent1">
    <w:name w:val="Light List Accent 1"/>
    <w:basedOn w:val="TableNormal"/>
    <w:uiPriority w:val="61"/>
    <w:semiHidden/>
    <w:unhideWhenUsed/>
    <w:rsid w:val="0013341A"/>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Shading-Accent1">
    <w:name w:val="Light Shading Accent 1"/>
    <w:basedOn w:val="TableNormal"/>
    <w:uiPriority w:val="60"/>
    <w:semiHidden/>
    <w:unhideWhenUsed/>
    <w:rsid w:val="0013341A"/>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ColorfulGrid">
    <w:name w:val="Colorful Grid"/>
    <w:basedOn w:val="TableNormal"/>
    <w:uiPriority w:val="73"/>
    <w:semiHidden/>
    <w:unhideWhenUsed/>
    <w:rsid w:val="0013341A"/>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List">
    <w:name w:val="Colorful List"/>
    <w:basedOn w:val="TableNormal"/>
    <w:uiPriority w:val="72"/>
    <w:semiHidden/>
    <w:unhideWhenUsed/>
    <w:rsid w:val="0013341A"/>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Shading">
    <w:name w:val="Colorful Shading"/>
    <w:basedOn w:val="TableNormal"/>
    <w:uiPriority w:val="71"/>
    <w:semiHidden/>
    <w:unhideWhenUsed/>
    <w:rsid w:val="0013341A"/>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13341A"/>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ediumGrid3">
    <w:name w:val="Medium Grid 3"/>
    <w:basedOn w:val="TableNormal"/>
    <w:uiPriority w:val="69"/>
    <w:semiHidden/>
    <w:unhideWhenUsed/>
    <w:rsid w:val="0013341A"/>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2">
    <w:name w:val="Medium Grid 2"/>
    <w:basedOn w:val="TableNormal"/>
    <w:uiPriority w:val="68"/>
    <w:semiHidden/>
    <w:unhideWhenUsed/>
    <w:rsid w:val="0013341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1">
    <w:name w:val="Medium Grid 1"/>
    <w:basedOn w:val="TableNormal"/>
    <w:uiPriority w:val="67"/>
    <w:semiHidden/>
    <w:unhideWhenUsed/>
    <w:rsid w:val="0013341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List2">
    <w:name w:val="Medium List 2"/>
    <w:basedOn w:val="TableNormal"/>
    <w:uiPriority w:val="66"/>
    <w:semiHidden/>
    <w:unhideWhenUsed/>
    <w:rsid w:val="0013341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
    <w:name w:val="Medium List 1"/>
    <w:basedOn w:val="TableNormal"/>
    <w:uiPriority w:val="65"/>
    <w:semiHidden/>
    <w:unhideWhenUsed/>
    <w:rsid w:val="0013341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Shading2">
    <w:name w:val="Medium Shading 2"/>
    <w:basedOn w:val="TableNormal"/>
    <w:uiPriority w:val="64"/>
    <w:semiHidden/>
    <w:unhideWhenUsed/>
    <w:rsid w:val="0013341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
    <w:name w:val="Medium Shading 1"/>
    <w:basedOn w:val="TableNormal"/>
    <w:uiPriority w:val="63"/>
    <w:semiHidden/>
    <w:unhideWhenUsed/>
    <w:rsid w:val="0013341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LightGrid">
    <w:name w:val="Light Grid"/>
    <w:basedOn w:val="TableNormal"/>
    <w:uiPriority w:val="62"/>
    <w:semiHidden/>
    <w:unhideWhenUsed/>
    <w:rsid w:val="0013341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List">
    <w:name w:val="Light List"/>
    <w:basedOn w:val="TableNormal"/>
    <w:uiPriority w:val="61"/>
    <w:semiHidden/>
    <w:unhideWhenUsed/>
    <w:rsid w:val="0013341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
    <w:name w:val="Light Shading"/>
    <w:basedOn w:val="TableNormal"/>
    <w:uiPriority w:val="60"/>
    <w:semiHidden/>
    <w:unhideWhenUsed/>
    <w:rsid w:val="0013341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uiPriority w:val="1"/>
    <w:rsid w:val="0013341A"/>
    <w:rPr>
      <w:sz w:val="24"/>
      <w:szCs w:val="24"/>
      <w:lang w:val="de-DE" w:eastAsia="de-DE"/>
    </w:rPr>
  </w:style>
  <w:style w:type="character" w:styleId="HTMLVariable">
    <w:name w:val="HTML Variable"/>
    <w:basedOn w:val="DefaultParagraphFont"/>
    <w:uiPriority w:val="99"/>
    <w:semiHidden/>
    <w:unhideWhenUsed/>
    <w:rsid w:val="0013341A"/>
    <w:rPr>
      <w:i/>
      <w:iCs/>
    </w:rPr>
  </w:style>
  <w:style w:type="character" w:styleId="HTMLTypewriter">
    <w:name w:val="HTML Typewriter"/>
    <w:basedOn w:val="DefaultParagraphFont"/>
    <w:uiPriority w:val="99"/>
    <w:semiHidden/>
    <w:unhideWhenUsed/>
    <w:rsid w:val="0013341A"/>
    <w:rPr>
      <w:rFonts w:ascii="Consolas" w:hAnsi="Consolas"/>
      <w:sz w:val="20"/>
      <w:szCs w:val="20"/>
    </w:rPr>
  </w:style>
  <w:style w:type="character" w:styleId="HTMLSample">
    <w:name w:val="HTML Sample"/>
    <w:basedOn w:val="DefaultParagraphFont"/>
    <w:uiPriority w:val="99"/>
    <w:semiHidden/>
    <w:unhideWhenUsed/>
    <w:rsid w:val="0013341A"/>
    <w:rPr>
      <w:rFonts w:ascii="Consolas" w:hAnsi="Consolas"/>
      <w:sz w:val="24"/>
      <w:szCs w:val="24"/>
    </w:rPr>
  </w:style>
  <w:style w:type="paragraph" w:styleId="HTMLPreformatted">
    <w:name w:val="HTML Preformatted"/>
    <w:basedOn w:val="Normal"/>
    <w:link w:val="HTMLPreformattedChar"/>
    <w:uiPriority w:val="99"/>
    <w:semiHidden/>
    <w:unhideWhenUsed/>
    <w:rsid w:val="0013341A"/>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3341A"/>
    <w:rPr>
      <w:rFonts w:ascii="Consolas" w:hAnsi="Consolas"/>
      <w:lang w:val="de-DE" w:eastAsia="de-DE"/>
    </w:rPr>
  </w:style>
  <w:style w:type="character" w:styleId="HTMLKeyboard">
    <w:name w:val="HTML Keyboard"/>
    <w:basedOn w:val="DefaultParagraphFont"/>
    <w:uiPriority w:val="99"/>
    <w:semiHidden/>
    <w:unhideWhenUsed/>
    <w:rsid w:val="0013341A"/>
    <w:rPr>
      <w:rFonts w:ascii="Consolas" w:hAnsi="Consolas"/>
      <w:sz w:val="20"/>
      <w:szCs w:val="20"/>
    </w:rPr>
  </w:style>
  <w:style w:type="character" w:styleId="HTMLDefinition">
    <w:name w:val="HTML Definition"/>
    <w:basedOn w:val="DefaultParagraphFont"/>
    <w:uiPriority w:val="99"/>
    <w:semiHidden/>
    <w:unhideWhenUsed/>
    <w:rsid w:val="0013341A"/>
    <w:rPr>
      <w:i/>
      <w:iCs/>
    </w:rPr>
  </w:style>
  <w:style w:type="character" w:styleId="HTMLCode">
    <w:name w:val="HTML Code"/>
    <w:basedOn w:val="DefaultParagraphFont"/>
    <w:uiPriority w:val="99"/>
    <w:semiHidden/>
    <w:unhideWhenUsed/>
    <w:rsid w:val="0013341A"/>
    <w:rPr>
      <w:rFonts w:ascii="Consolas" w:hAnsi="Consolas"/>
      <w:sz w:val="20"/>
      <w:szCs w:val="20"/>
    </w:rPr>
  </w:style>
  <w:style w:type="character" w:styleId="HTMLCite">
    <w:name w:val="HTML Cite"/>
    <w:basedOn w:val="DefaultParagraphFont"/>
    <w:uiPriority w:val="99"/>
    <w:semiHidden/>
    <w:unhideWhenUsed/>
    <w:rsid w:val="0013341A"/>
    <w:rPr>
      <w:i/>
      <w:iCs/>
    </w:rPr>
  </w:style>
  <w:style w:type="paragraph" w:styleId="HTMLAddress">
    <w:name w:val="HTML Address"/>
    <w:basedOn w:val="Normal"/>
    <w:link w:val="HTMLAddressChar"/>
    <w:uiPriority w:val="99"/>
    <w:semiHidden/>
    <w:unhideWhenUsed/>
    <w:rsid w:val="0013341A"/>
    <w:rPr>
      <w:i/>
      <w:iCs/>
    </w:rPr>
  </w:style>
  <w:style w:type="character" w:customStyle="1" w:styleId="HTMLAddressChar">
    <w:name w:val="HTML Address Char"/>
    <w:basedOn w:val="DefaultParagraphFont"/>
    <w:link w:val="HTMLAddress"/>
    <w:uiPriority w:val="99"/>
    <w:semiHidden/>
    <w:rsid w:val="0013341A"/>
    <w:rPr>
      <w:i/>
      <w:iCs/>
      <w:sz w:val="24"/>
      <w:szCs w:val="24"/>
      <w:lang w:val="de-DE" w:eastAsia="de-DE"/>
    </w:rPr>
  </w:style>
  <w:style w:type="character" w:styleId="HTMLAcronym">
    <w:name w:val="HTML Acronym"/>
    <w:basedOn w:val="DefaultParagraphFont"/>
    <w:uiPriority w:val="99"/>
    <w:semiHidden/>
    <w:unhideWhenUsed/>
    <w:rsid w:val="0013341A"/>
  </w:style>
  <w:style w:type="paragraph" w:styleId="NormalWeb">
    <w:name w:val="Normal (Web)"/>
    <w:basedOn w:val="Normal"/>
    <w:uiPriority w:val="99"/>
    <w:semiHidden/>
    <w:unhideWhenUsed/>
    <w:rsid w:val="0013341A"/>
  </w:style>
  <w:style w:type="paragraph" w:styleId="PlainText">
    <w:name w:val="Plain Text"/>
    <w:basedOn w:val="Normal"/>
    <w:link w:val="PlainTextChar"/>
    <w:uiPriority w:val="99"/>
    <w:semiHidden/>
    <w:unhideWhenUsed/>
    <w:rsid w:val="0013341A"/>
    <w:rPr>
      <w:rFonts w:ascii="Consolas" w:hAnsi="Consolas"/>
      <w:sz w:val="21"/>
      <w:szCs w:val="21"/>
    </w:rPr>
  </w:style>
  <w:style w:type="character" w:customStyle="1" w:styleId="PlainTextChar">
    <w:name w:val="Plain Text Char"/>
    <w:basedOn w:val="DefaultParagraphFont"/>
    <w:link w:val="PlainText"/>
    <w:uiPriority w:val="99"/>
    <w:semiHidden/>
    <w:rsid w:val="0013341A"/>
    <w:rPr>
      <w:rFonts w:ascii="Consolas" w:hAnsi="Consolas"/>
      <w:sz w:val="21"/>
      <w:szCs w:val="21"/>
      <w:lang w:val="de-DE" w:eastAsia="de-DE"/>
    </w:rPr>
  </w:style>
  <w:style w:type="paragraph" w:styleId="DocumentMap">
    <w:name w:val="Document Map"/>
    <w:basedOn w:val="Normal"/>
    <w:link w:val="DocumentMapChar"/>
    <w:uiPriority w:val="99"/>
    <w:semiHidden/>
    <w:unhideWhenUsed/>
    <w:rsid w:val="0013341A"/>
    <w:rPr>
      <w:rFonts w:ascii="Segoe UI" w:hAnsi="Segoe UI" w:cs="Segoe UI"/>
      <w:sz w:val="16"/>
      <w:szCs w:val="16"/>
    </w:rPr>
  </w:style>
  <w:style w:type="character" w:customStyle="1" w:styleId="DocumentMapChar">
    <w:name w:val="Document Map Char"/>
    <w:basedOn w:val="DefaultParagraphFont"/>
    <w:link w:val="DocumentMap"/>
    <w:uiPriority w:val="99"/>
    <w:semiHidden/>
    <w:rsid w:val="0013341A"/>
    <w:rPr>
      <w:rFonts w:ascii="Segoe UI" w:hAnsi="Segoe UI" w:cs="Segoe UI"/>
      <w:sz w:val="16"/>
      <w:szCs w:val="16"/>
      <w:lang w:val="de-DE" w:eastAsia="de-DE"/>
    </w:rPr>
  </w:style>
  <w:style w:type="character" w:styleId="Emphasis">
    <w:name w:val="Emphasis"/>
    <w:basedOn w:val="DefaultParagraphFont"/>
    <w:uiPriority w:val="20"/>
    <w:rsid w:val="0013341A"/>
    <w:rPr>
      <w:i/>
      <w:iCs/>
    </w:rPr>
  </w:style>
  <w:style w:type="character" w:styleId="Strong">
    <w:name w:val="Strong"/>
    <w:basedOn w:val="DefaultParagraphFont"/>
    <w:uiPriority w:val="22"/>
    <w:rsid w:val="0013341A"/>
    <w:rPr>
      <w:b/>
      <w:bCs/>
    </w:rPr>
  </w:style>
  <w:style w:type="character" w:styleId="FollowedHyperlink">
    <w:name w:val="FollowedHyperlink"/>
    <w:basedOn w:val="DefaultParagraphFont"/>
    <w:uiPriority w:val="99"/>
    <w:semiHidden/>
    <w:unhideWhenUsed/>
    <w:rsid w:val="0013341A"/>
    <w:rPr>
      <w:color w:val="800080" w:themeColor="followedHyperlink"/>
      <w:u w:val="single"/>
    </w:rPr>
  </w:style>
  <w:style w:type="paragraph" w:styleId="BlockText">
    <w:name w:val="Block Text"/>
    <w:basedOn w:val="Normal"/>
    <w:uiPriority w:val="99"/>
    <w:semiHidden/>
    <w:unhideWhenUsed/>
    <w:rsid w:val="0013341A"/>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Indent3">
    <w:name w:val="Body Text Indent 3"/>
    <w:basedOn w:val="Normal"/>
    <w:link w:val="BodyTextIndent3Char"/>
    <w:uiPriority w:val="99"/>
    <w:semiHidden/>
    <w:unhideWhenUsed/>
    <w:rsid w:val="0013341A"/>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13341A"/>
    <w:rPr>
      <w:sz w:val="16"/>
      <w:szCs w:val="16"/>
      <w:lang w:val="de-DE" w:eastAsia="de-DE"/>
    </w:rPr>
  </w:style>
  <w:style w:type="paragraph" w:styleId="BodyTextIndent2">
    <w:name w:val="Body Text Indent 2"/>
    <w:basedOn w:val="Normal"/>
    <w:link w:val="BodyTextIndent2Char"/>
    <w:uiPriority w:val="99"/>
    <w:semiHidden/>
    <w:unhideWhenUsed/>
    <w:rsid w:val="0013341A"/>
    <w:pPr>
      <w:spacing w:after="120" w:line="480" w:lineRule="auto"/>
      <w:ind w:left="360"/>
    </w:pPr>
  </w:style>
  <w:style w:type="character" w:customStyle="1" w:styleId="BodyTextIndent2Char">
    <w:name w:val="Body Text Indent 2 Char"/>
    <w:basedOn w:val="DefaultParagraphFont"/>
    <w:link w:val="BodyTextIndent2"/>
    <w:uiPriority w:val="99"/>
    <w:semiHidden/>
    <w:rsid w:val="0013341A"/>
    <w:rPr>
      <w:sz w:val="24"/>
      <w:szCs w:val="24"/>
      <w:lang w:val="de-DE" w:eastAsia="de-DE"/>
    </w:rPr>
  </w:style>
  <w:style w:type="paragraph" w:styleId="BodyText3">
    <w:name w:val="Body Text 3"/>
    <w:basedOn w:val="Normal"/>
    <w:link w:val="BodyText3Char"/>
    <w:uiPriority w:val="99"/>
    <w:semiHidden/>
    <w:unhideWhenUsed/>
    <w:rsid w:val="0013341A"/>
    <w:pPr>
      <w:spacing w:after="120"/>
    </w:pPr>
    <w:rPr>
      <w:sz w:val="16"/>
      <w:szCs w:val="16"/>
    </w:rPr>
  </w:style>
  <w:style w:type="character" w:customStyle="1" w:styleId="BodyText3Char">
    <w:name w:val="Body Text 3 Char"/>
    <w:basedOn w:val="DefaultParagraphFont"/>
    <w:link w:val="BodyText3"/>
    <w:uiPriority w:val="99"/>
    <w:semiHidden/>
    <w:rsid w:val="0013341A"/>
    <w:rPr>
      <w:sz w:val="16"/>
      <w:szCs w:val="16"/>
      <w:lang w:val="de-DE" w:eastAsia="de-DE"/>
    </w:rPr>
  </w:style>
  <w:style w:type="paragraph" w:styleId="BodyText2">
    <w:name w:val="Body Text 2"/>
    <w:basedOn w:val="Normal"/>
    <w:link w:val="BodyText2Char"/>
    <w:uiPriority w:val="99"/>
    <w:semiHidden/>
    <w:unhideWhenUsed/>
    <w:rsid w:val="0013341A"/>
    <w:pPr>
      <w:spacing w:after="120" w:line="480" w:lineRule="auto"/>
    </w:pPr>
  </w:style>
  <w:style w:type="character" w:customStyle="1" w:styleId="BodyText2Char">
    <w:name w:val="Body Text 2 Char"/>
    <w:basedOn w:val="DefaultParagraphFont"/>
    <w:link w:val="BodyText2"/>
    <w:uiPriority w:val="99"/>
    <w:semiHidden/>
    <w:rsid w:val="0013341A"/>
    <w:rPr>
      <w:sz w:val="24"/>
      <w:szCs w:val="24"/>
      <w:lang w:val="de-DE" w:eastAsia="de-DE"/>
    </w:rPr>
  </w:style>
  <w:style w:type="paragraph" w:styleId="NoteHeading">
    <w:name w:val="Note Heading"/>
    <w:basedOn w:val="Normal"/>
    <w:next w:val="Normal"/>
    <w:link w:val="NoteHeadingChar"/>
    <w:uiPriority w:val="99"/>
    <w:semiHidden/>
    <w:unhideWhenUsed/>
    <w:rsid w:val="0013341A"/>
  </w:style>
  <w:style w:type="character" w:customStyle="1" w:styleId="NoteHeadingChar">
    <w:name w:val="Note Heading Char"/>
    <w:basedOn w:val="DefaultParagraphFont"/>
    <w:link w:val="NoteHeading"/>
    <w:uiPriority w:val="99"/>
    <w:semiHidden/>
    <w:rsid w:val="0013341A"/>
    <w:rPr>
      <w:sz w:val="24"/>
      <w:szCs w:val="24"/>
      <w:lang w:val="de-DE" w:eastAsia="de-DE"/>
    </w:rPr>
  </w:style>
  <w:style w:type="paragraph" w:styleId="BodyTextIndent">
    <w:name w:val="Body Text Indent"/>
    <w:basedOn w:val="Normal"/>
    <w:link w:val="BodyTextIndentChar"/>
    <w:uiPriority w:val="99"/>
    <w:semiHidden/>
    <w:unhideWhenUsed/>
    <w:rsid w:val="0013341A"/>
    <w:pPr>
      <w:spacing w:after="120"/>
      <w:ind w:left="360"/>
    </w:pPr>
  </w:style>
  <w:style w:type="character" w:customStyle="1" w:styleId="BodyTextIndentChar">
    <w:name w:val="Body Text Indent Char"/>
    <w:basedOn w:val="DefaultParagraphFont"/>
    <w:link w:val="BodyTextIndent"/>
    <w:uiPriority w:val="99"/>
    <w:semiHidden/>
    <w:rsid w:val="0013341A"/>
    <w:rPr>
      <w:sz w:val="24"/>
      <w:szCs w:val="24"/>
      <w:lang w:val="de-DE" w:eastAsia="de-DE"/>
    </w:rPr>
  </w:style>
  <w:style w:type="paragraph" w:styleId="BodyTextFirstIndent2">
    <w:name w:val="Body Text First Indent 2"/>
    <w:basedOn w:val="BodyTextIndent"/>
    <w:link w:val="BodyTextFirstIndent2Char"/>
    <w:uiPriority w:val="99"/>
    <w:semiHidden/>
    <w:unhideWhenUsed/>
    <w:rsid w:val="0013341A"/>
    <w:pPr>
      <w:spacing w:after="0"/>
      <w:ind w:firstLine="360"/>
    </w:pPr>
  </w:style>
  <w:style w:type="character" w:customStyle="1" w:styleId="BodyTextFirstIndent2Char">
    <w:name w:val="Body Text First Indent 2 Char"/>
    <w:basedOn w:val="BodyTextIndentChar"/>
    <w:link w:val="BodyTextFirstIndent2"/>
    <w:uiPriority w:val="99"/>
    <w:semiHidden/>
    <w:rsid w:val="0013341A"/>
    <w:rPr>
      <w:sz w:val="24"/>
      <w:szCs w:val="24"/>
      <w:lang w:val="de-DE" w:eastAsia="de-DE"/>
    </w:rPr>
  </w:style>
  <w:style w:type="paragraph" w:styleId="BodyText">
    <w:name w:val="Body Text"/>
    <w:basedOn w:val="Normal"/>
    <w:link w:val="BodyTextChar"/>
    <w:uiPriority w:val="99"/>
    <w:semiHidden/>
    <w:unhideWhenUsed/>
    <w:rsid w:val="0013341A"/>
    <w:pPr>
      <w:spacing w:after="120"/>
    </w:pPr>
  </w:style>
  <w:style w:type="character" w:customStyle="1" w:styleId="BodyTextChar">
    <w:name w:val="Body Text Char"/>
    <w:basedOn w:val="DefaultParagraphFont"/>
    <w:link w:val="BodyText"/>
    <w:uiPriority w:val="99"/>
    <w:semiHidden/>
    <w:rsid w:val="0013341A"/>
    <w:rPr>
      <w:sz w:val="24"/>
      <w:szCs w:val="24"/>
      <w:lang w:val="de-DE" w:eastAsia="de-DE"/>
    </w:rPr>
  </w:style>
  <w:style w:type="paragraph" w:styleId="BodyTextFirstIndent">
    <w:name w:val="Body Text First Indent"/>
    <w:basedOn w:val="BodyText"/>
    <w:link w:val="BodyTextFirstIndentChar"/>
    <w:uiPriority w:val="99"/>
    <w:semiHidden/>
    <w:unhideWhenUsed/>
    <w:rsid w:val="0013341A"/>
    <w:pPr>
      <w:spacing w:after="0"/>
      <w:ind w:firstLine="360"/>
    </w:pPr>
  </w:style>
  <w:style w:type="character" w:customStyle="1" w:styleId="BodyTextFirstIndentChar">
    <w:name w:val="Body Text First Indent Char"/>
    <w:basedOn w:val="BodyTextChar"/>
    <w:link w:val="BodyTextFirstIndent"/>
    <w:uiPriority w:val="99"/>
    <w:semiHidden/>
    <w:rsid w:val="0013341A"/>
    <w:rPr>
      <w:sz w:val="24"/>
      <w:szCs w:val="24"/>
      <w:lang w:val="de-DE" w:eastAsia="de-DE"/>
    </w:rPr>
  </w:style>
  <w:style w:type="paragraph" w:styleId="Date">
    <w:name w:val="Date"/>
    <w:basedOn w:val="Normal"/>
    <w:next w:val="Normal"/>
    <w:link w:val="DateChar"/>
    <w:uiPriority w:val="99"/>
    <w:semiHidden/>
    <w:unhideWhenUsed/>
    <w:rsid w:val="0013341A"/>
  </w:style>
  <w:style w:type="character" w:customStyle="1" w:styleId="DateChar">
    <w:name w:val="Date Char"/>
    <w:basedOn w:val="DefaultParagraphFont"/>
    <w:link w:val="Date"/>
    <w:uiPriority w:val="99"/>
    <w:semiHidden/>
    <w:rsid w:val="0013341A"/>
    <w:rPr>
      <w:sz w:val="24"/>
      <w:szCs w:val="24"/>
      <w:lang w:val="de-DE" w:eastAsia="de-DE"/>
    </w:rPr>
  </w:style>
  <w:style w:type="paragraph" w:styleId="Salutation">
    <w:name w:val="Salutation"/>
    <w:basedOn w:val="Normal"/>
    <w:next w:val="Normal"/>
    <w:link w:val="SalutationChar"/>
    <w:uiPriority w:val="99"/>
    <w:semiHidden/>
    <w:unhideWhenUsed/>
    <w:rsid w:val="0013341A"/>
  </w:style>
  <w:style w:type="character" w:customStyle="1" w:styleId="SalutationChar">
    <w:name w:val="Salutation Char"/>
    <w:basedOn w:val="DefaultParagraphFont"/>
    <w:link w:val="Salutation"/>
    <w:uiPriority w:val="99"/>
    <w:semiHidden/>
    <w:rsid w:val="0013341A"/>
    <w:rPr>
      <w:sz w:val="24"/>
      <w:szCs w:val="24"/>
      <w:lang w:val="de-DE" w:eastAsia="de-DE"/>
    </w:rPr>
  </w:style>
  <w:style w:type="paragraph" w:styleId="Subtitle">
    <w:name w:val="Subtitle"/>
    <w:basedOn w:val="Normal"/>
    <w:next w:val="Normal"/>
    <w:link w:val="SubtitleChar"/>
    <w:uiPriority w:val="11"/>
    <w:rsid w:val="0013341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13341A"/>
    <w:rPr>
      <w:rFonts w:asciiTheme="minorHAnsi" w:eastAsiaTheme="minorEastAsia" w:hAnsiTheme="minorHAnsi" w:cstheme="minorBidi"/>
      <w:color w:val="5A5A5A" w:themeColor="text1" w:themeTint="A5"/>
      <w:spacing w:val="15"/>
      <w:sz w:val="22"/>
      <w:szCs w:val="22"/>
      <w:lang w:val="de-DE" w:eastAsia="de-DE"/>
    </w:rPr>
  </w:style>
  <w:style w:type="paragraph" w:styleId="MessageHeader">
    <w:name w:val="Message Header"/>
    <w:basedOn w:val="Normal"/>
    <w:link w:val="MessageHeaderChar"/>
    <w:uiPriority w:val="99"/>
    <w:semiHidden/>
    <w:unhideWhenUsed/>
    <w:rsid w:val="0013341A"/>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13341A"/>
    <w:rPr>
      <w:rFonts w:asciiTheme="majorHAnsi" w:eastAsiaTheme="majorEastAsia" w:hAnsiTheme="majorHAnsi" w:cstheme="majorBidi"/>
      <w:sz w:val="24"/>
      <w:szCs w:val="24"/>
      <w:shd w:val="pct20" w:color="auto" w:fill="auto"/>
      <w:lang w:val="de-DE" w:eastAsia="de-DE"/>
    </w:rPr>
  </w:style>
  <w:style w:type="paragraph" w:styleId="ListContinue5">
    <w:name w:val="List Continue 5"/>
    <w:basedOn w:val="Normal"/>
    <w:uiPriority w:val="99"/>
    <w:semiHidden/>
    <w:unhideWhenUsed/>
    <w:rsid w:val="0013341A"/>
    <w:pPr>
      <w:spacing w:after="120"/>
      <w:ind w:left="1800"/>
      <w:contextualSpacing/>
    </w:pPr>
  </w:style>
  <w:style w:type="paragraph" w:styleId="ListContinue4">
    <w:name w:val="List Continue 4"/>
    <w:basedOn w:val="Normal"/>
    <w:uiPriority w:val="99"/>
    <w:semiHidden/>
    <w:unhideWhenUsed/>
    <w:rsid w:val="0013341A"/>
    <w:pPr>
      <w:spacing w:after="120"/>
      <w:ind w:left="1440"/>
      <w:contextualSpacing/>
    </w:pPr>
  </w:style>
  <w:style w:type="paragraph" w:styleId="ListContinue3">
    <w:name w:val="List Continue 3"/>
    <w:basedOn w:val="Normal"/>
    <w:uiPriority w:val="99"/>
    <w:semiHidden/>
    <w:unhideWhenUsed/>
    <w:rsid w:val="0013341A"/>
    <w:pPr>
      <w:spacing w:after="120"/>
      <w:ind w:left="1080"/>
      <w:contextualSpacing/>
    </w:pPr>
  </w:style>
  <w:style w:type="paragraph" w:styleId="ListContinue2">
    <w:name w:val="List Continue 2"/>
    <w:basedOn w:val="Normal"/>
    <w:uiPriority w:val="99"/>
    <w:semiHidden/>
    <w:unhideWhenUsed/>
    <w:rsid w:val="0013341A"/>
    <w:pPr>
      <w:spacing w:after="120"/>
      <w:ind w:left="720"/>
      <w:contextualSpacing/>
    </w:pPr>
  </w:style>
  <w:style w:type="paragraph" w:styleId="ListContinue">
    <w:name w:val="List Continue"/>
    <w:basedOn w:val="Normal"/>
    <w:uiPriority w:val="99"/>
    <w:semiHidden/>
    <w:unhideWhenUsed/>
    <w:rsid w:val="0013341A"/>
    <w:pPr>
      <w:spacing w:after="120"/>
      <w:ind w:left="360"/>
      <w:contextualSpacing/>
    </w:pPr>
  </w:style>
  <w:style w:type="paragraph" w:styleId="Signature">
    <w:name w:val="Signature"/>
    <w:basedOn w:val="Normal"/>
    <w:link w:val="SignatureChar"/>
    <w:uiPriority w:val="99"/>
    <w:semiHidden/>
    <w:unhideWhenUsed/>
    <w:rsid w:val="0013341A"/>
    <w:pPr>
      <w:ind w:left="4320"/>
    </w:pPr>
  </w:style>
  <w:style w:type="character" w:customStyle="1" w:styleId="SignatureChar">
    <w:name w:val="Signature Char"/>
    <w:basedOn w:val="DefaultParagraphFont"/>
    <w:link w:val="Signature"/>
    <w:uiPriority w:val="99"/>
    <w:semiHidden/>
    <w:rsid w:val="0013341A"/>
    <w:rPr>
      <w:sz w:val="24"/>
      <w:szCs w:val="24"/>
      <w:lang w:val="de-DE" w:eastAsia="de-DE"/>
    </w:rPr>
  </w:style>
  <w:style w:type="paragraph" w:styleId="Closing">
    <w:name w:val="Closing"/>
    <w:basedOn w:val="Normal"/>
    <w:link w:val="ClosingChar"/>
    <w:uiPriority w:val="99"/>
    <w:semiHidden/>
    <w:unhideWhenUsed/>
    <w:rsid w:val="0013341A"/>
    <w:pPr>
      <w:ind w:left="4320"/>
    </w:pPr>
  </w:style>
  <w:style w:type="character" w:customStyle="1" w:styleId="ClosingChar">
    <w:name w:val="Closing Char"/>
    <w:basedOn w:val="DefaultParagraphFont"/>
    <w:link w:val="Closing"/>
    <w:uiPriority w:val="99"/>
    <w:semiHidden/>
    <w:rsid w:val="0013341A"/>
    <w:rPr>
      <w:sz w:val="24"/>
      <w:szCs w:val="24"/>
      <w:lang w:val="de-DE" w:eastAsia="de-DE"/>
    </w:rPr>
  </w:style>
  <w:style w:type="paragraph" w:styleId="Title">
    <w:name w:val="Title"/>
    <w:basedOn w:val="Normal"/>
    <w:next w:val="Normal"/>
    <w:link w:val="TitleChar"/>
    <w:uiPriority w:val="10"/>
    <w:rsid w:val="0013341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341A"/>
    <w:rPr>
      <w:rFonts w:asciiTheme="majorHAnsi" w:eastAsiaTheme="majorEastAsia" w:hAnsiTheme="majorHAnsi" w:cstheme="majorBidi"/>
      <w:spacing w:val="-10"/>
      <w:kern w:val="28"/>
      <w:sz w:val="56"/>
      <w:szCs w:val="56"/>
      <w:lang w:val="de-DE" w:eastAsia="de-DE"/>
    </w:rPr>
  </w:style>
  <w:style w:type="paragraph" w:styleId="ListNumber5">
    <w:name w:val="List Number 5"/>
    <w:basedOn w:val="Normal"/>
    <w:uiPriority w:val="99"/>
    <w:semiHidden/>
    <w:unhideWhenUsed/>
    <w:rsid w:val="0013341A"/>
    <w:pPr>
      <w:numPr>
        <w:numId w:val="36"/>
      </w:numPr>
      <w:contextualSpacing/>
    </w:pPr>
  </w:style>
  <w:style w:type="paragraph" w:styleId="ListNumber4">
    <w:name w:val="List Number 4"/>
    <w:basedOn w:val="Normal"/>
    <w:uiPriority w:val="99"/>
    <w:semiHidden/>
    <w:unhideWhenUsed/>
    <w:rsid w:val="0013341A"/>
    <w:pPr>
      <w:numPr>
        <w:numId w:val="37"/>
      </w:numPr>
      <w:contextualSpacing/>
    </w:pPr>
  </w:style>
  <w:style w:type="paragraph" w:styleId="ListNumber3">
    <w:name w:val="List Number 3"/>
    <w:basedOn w:val="Normal"/>
    <w:uiPriority w:val="99"/>
    <w:semiHidden/>
    <w:unhideWhenUsed/>
    <w:rsid w:val="0013341A"/>
    <w:pPr>
      <w:numPr>
        <w:numId w:val="38"/>
      </w:numPr>
      <w:contextualSpacing/>
    </w:pPr>
  </w:style>
  <w:style w:type="paragraph" w:styleId="ListNumber2">
    <w:name w:val="List Number 2"/>
    <w:basedOn w:val="Normal"/>
    <w:uiPriority w:val="99"/>
    <w:semiHidden/>
    <w:unhideWhenUsed/>
    <w:rsid w:val="0013341A"/>
    <w:pPr>
      <w:numPr>
        <w:numId w:val="39"/>
      </w:numPr>
      <w:contextualSpacing/>
    </w:pPr>
  </w:style>
  <w:style w:type="paragraph" w:styleId="ListBullet5">
    <w:name w:val="List Bullet 5"/>
    <w:basedOn w:val="Normal"/>
    <w:uiPriority w:val="99"/>
    <w:semiHidden/>
    <w:unhideWhenUsed/>
    <w:rsid w:val="0013341A"/>
    <w:pPr>
      <w:numPr>
        <w:numId w:val="9"/>
      </w:numPr>
      <w:contextualSpacing/>
    </w:pPr>
  </w:style>
  <w:style w:type="paragraph" w:styleId="ListBullet4">
    <w:name w:val="List Bullet 4"/>
    <w:basedOn w:val="Normal"/>
    <w:uiPriority w:val="99"/>
    <w:semiHidden/>
    <w:unhideWhenUsed/>
    <w:rsid w:val="0013341A"/>
    <w:pPr>
      <w:numPr>
        <w:numId w:val="8"/>
      </w:numPr>
      <w:contextualSpacing/>
    </w:pPr>
  </w:style>
  <w:style w:type="paragraph" w:styleId="ListBullet3">
    <w:name w:val="List Bullet 3"/>
    <w:basedOn w:val="Normal"/>
    <w:uiPriority w:val="99"/>
    <w:semiHidden/>
    <w:unhideWhenUsed/>
    <w:rsid w:val="0013341A"/>
    <w:pPr>
      <w:numPr>
        <w:numId w:val="6"/>
      </w:numPr>
      <w:contextualSpacing/>
    </w:pPr>
  </w:style>
  <w:style w:type="paragraph" w:styleId="ListBullet2">
    <w:name w:val="List Bullet 2"/>
    <w:basedOn w:val="Normal"/>
    <w:uiPriority w:val="99"/>
    <w:semiHidden/>
    <w:unhideWhenUsed/>
    <w:rsid w:val="0013341A"/>
    <w:pPr>
      <w:numPr>
        <w:numId w:val="5"/>
      </w:numPr>
      <w:contextualSpacing/>
    </w:pPr>
  </w:style>
  <w:style w:type="paragraph" w:styleId="List5">
    <w:name w:val="List 5"/>
    <w:basedOn w:val="Normal"/>
    <w:uiPriority w:val="99"/>
    <w:semiHidden/>
    <w:unhideWhenUsed/>
    <w:rsid w:val="0013341A"/>
    <w:pPr>
      <w:ind w:left="1800" w:hanging="360"/>
      <w:contextualSpacing/>
    </w:pPr>
  </w:style>
  <w:style w:type="paragraph" w:styleId="List4">
    <w:name w:val="List 4"/>
    <w:basedOn w:val="Normal"/>
    <w:uiPriority w:val="99"/>
    <w:semiHidden/>
    <w:unhideWhenUsed/>
    <w:rsid w:val="0013341A"/>
    <w:pPr>
      <w:ind w:left="1440" w:hanging="360"/>
      <w:contextualSpacing/>
    </w:pPr>
  </w:style>
  <w:style w:type="paragraph" w:styleId="List3">
    <w:name w:val="List 3"/>
    <w:basedOn w:val="Normal"/>
    <w:uiPriority w:val="99"/>
    <w:semiHidden/>
    <w:unhideWhenUsed/>
    <w:rsid w:val="0013341A"/>
    <w:pPr>
      <w:ind w:left="1080" w:hanging="360"/>
      <w:contextualSpacing/>
    </w:pPr>
  </w:style>
  <w:style w:type="paragraph" w:styleId="List2">
    <w:name w:val="List 2"/>
    <w:basedOn w:val="Normal"/>
    <w:uiPriority w:val="99"/>
    <w:semiHidden/>
    <w:unhideWhenUsed/>
    <w:rsid w:val="0013341A"/>
    <w:pPr>
      <w:ind w:left="720" w:hanging="360"/>
      <w:contextualSpacing/>
    </w:pPr>
  </w:style>
  <w:style w:type="paragraph" w:styleId="ListNumber">
    <w:name w:val="List Number"/>
    <w:basedOn w:val="Normal"/>
    <w:uiPriority w:val="99"/>
    <w:semiHidden/>
    <w:unhideWhenUsed/>
    <w:rsid w:val="0013341A"/>
    <w:pPr>
      <w:numPr>
        <w:numId w:val="40"/>
      </w:numPr>
      <w:contextualSpacing/>
    </w:pPr>
  </w:style>
  <w:style w:type="paragraph" w:styleId="List">
    <w:name w:val="List"/>
    <w:basedOn w:val="Normal"/>
    <w:uiPriority w:val="99"/>
    <w:semiHidden/>
    <w:unhideWhenUsed/>
    <w:rsid w:val="0013341A"/>
    <w:pPr>
      <w:ind w:left="360" w:hanging="360"/>
      <w:contextualSpacing/>
    </w:pPr>
  </w:style>
  <w:style w:type="paragraph" w:styleId="TOAHeading">
    <w:name w:val="toa heading"/>
    <w:basedOn w:val="Normal"/>
    <w:next w:val="Normal"/>
    <w:uiPriority w:val="99"/>
    <w:semiHidden/>
    <w:unhideWhenUsed/>
    <w:rsid w:val="0013341A"/>
    <w:pPr>
      <w:spacing w:before="120"/>
    </w:pPr>
    <w:rPr>
      <w:rFonts w:asciiTheme="majorHAnsi" w:eastAsiaTheme="majorEastAsia" w:hAnsiTheme="majorHAnsi" w:cstheme="majorBidi"/>
      <w:b/>
      <w:bCs/>
    </w:rPr>
  </w:style>
  <w:style w:type="paragraph" w:styleId="MacroText">
    <w:name w:val="macro"/>
    <w:link w:val="MacroTextChar"/>
    <w:uiPriority w:val="99"/>
    <w:semiHidden/>
    <w:unhideWhenUsed/>
    <w:rsid w:val="0013341A"/>
    <w:pPr>
      <w:tabs>
        <w:tab w:val="left" w:pos="480"/>
        <w:tab w:val="left" w:pos="960"/>
        <w:tab w:val="left" w:pos="1440"/>
        <w:tab w:val="left" w:pos="1920"/>
        <w:tab w:val="left" w:pos="2400"/>
        <w:tab w:val="left" w:pos="2880"/>
        <w:tab w:val="left" w:pos="3360"/>
        <w:tab w:val="left" w:pos="3840"/>
        <w:tab w:val="left" w:pos="4320"/>
      </w:tabs>
    </w:pPr>
    <w:rPr>
      <w:rFonts w:ascii="Consolas" w:hAnsi="Consolas"/>
      <w:lang w:val="de-DE" w:eastAsia="de-DE"/>
    </w:rPr>
  </w:style>
  <w:style w:type="character" w:customStyle="1" w:styleId="MacroTextChar">
    <w:name w:val="Macro Text Char"/>
    <w:basedOn w:val="DefaultParagraphFont"/>
    <w:link w:val="MacroText"/>
    <w:uiPriority w:val="99"/>
    <w:semiHidden/>
    <w:rsid w:val="0013341A"/>
    <w:rPr>
      <w:rFonts w:ascii="Consolas" w:hAnsi="Consolas"/>
      <w:lang w:val="de-DE" w:eastAsia="de-DE"/>
    </w:rPr>
  </w:style>
  <w:style w:type="paragraph" w:styleId="TableofAuthorities">
    <w:name w:val="table of authorities"/>
    <w:basedOn w:val="Normal"/>
    <w:next w:val="Normal"/>
    <w:uiPriority w:val="99"/>
    <w:semiHidden/>
    <w:unhideWhenUsed/>
    <w:rsid w:val="0013341A"/>
    <w:pPr>
      <w:ind w:left="240" w:hanging="240"/>
    </w:pPr>
  </w:style>
  <w:style w:type="paragraph" w:styleId="EndnoteText">
    <w:name w:val="endnote text"/>
    <w:basedOn w:val="Normal"/>
    <w:link w:val="EndnoteTextChar"/>
    <w:uiPriority w:val="99"/>
    <w:semiHidden/>
    <w:unhideWhenUsed/>
    <w:rsid w:val="0013341A"/>
    <w:rPr>
      <w:sz w:val="20"/>
      <w:szCs w:val="20"/>
    </w:rPr>
  </w:style>
  <w:style w:type="character" w:customStyle="1" w:styleId="EndnoteTextChar">
    <w:name w:val="Endnote Text Char"/>
    <w:basedOn w:val="DefaultParagraphFont"/>
    <w:link w:val="EndnoteText"/>
    <w:uiPriority w:val="99"/>
    <w:semiHidden/>
    <w:rsid w:val="0013341A"/>
    <w:rPr>
      <w:lang w:val="de-DE" w:eastAsia="de-DE"/>
    </w:rPr>
  </w:style>
  <w:style w:type="character" w:styleId="EndnoteReference">
    <w:name w:val="endnote reference"/>
    <w:basedOn w:val="DefaultParagraphFont"/>
    <w:uiPriority w:val="99"/>
    <w:semiHidden/>
    <w:unhideWhenUsed/>
    <w:rsid w:val="0013341A"/>
    <w:rPr>
      <w:vertAlign w:val="superscript"/>
    </w:rPr>
  </w:style>
  <w:style w:type="character" w:styleId="PageNumber">
    <w:name w:val="page number"/>
    <w:basedOn w:val="DefaultParagraphFont"/>
    <w:uiPriority w:val="99"/>
    <w:semiHidden/>
    <w:unhideWhenUsed/>
    <w:rsid w:val="0013341A"/>
  </w:style>
  <w:style w:type="character" w:styleId="LineNumber">
    <w:name w:val="line number"/>
    <w:basedOn w:val="DefaultParagraphFont"/>
    <w:uiPriority w:val="99"/>
    <w:semiHidden/>
    <w:unhideWhenUsed/>
    <w:rsid w:val="0013341A"/>
  </w:style>
  <w:style w:type="paragraph" w:styleId="EnvelopeReturn">
    <w:name w:val="envelope return"/>
    <w:basedOn w:val="Normal"/>
    <w:uiPriority w:val="99"/>
    <w:semiHidden/>
    <w:unhideWhenUsed/>
    <w:rsid w:val="0013341A"/>
    <w:rPr>
      <w:rFonts w:asciiTheme="majorHAnsi" w:eastAsiaTheme="majorEastAsia" w:hAnsiTheme="majorHAnsi" w:cstheme="majorBidi"/>
      <w:sz w:val="20"/>
      <w:szCs w:val="20"/>
    </w:rPr>
  </w:style>
  <w:style w:type="paragraph" w:styleId="EnvelopeAddress">
    <w:name w:val="envelope address"/>
    <w:basedOn w:val="Normal"/>
    <w:uiPriority w:val="99"/>
    <w:semiHidden/>
    <w:unhideWhenUsed/>
    <w:rsid w:val="0013341A"/>
    <w:pPr>
      <w:framePr w:w="7920" w:h="1980" w:hRule="exact" w:hSpace="180" w:wrap="auto" w:hAnchor="page" w:xAlign="center" w:yAlign="bottom"/>
      <w:ind w:left="2880"/>
    </w:pPr>
    <w:rPr>
      <w:rFonts w:asciiTheme="majorHAnsi" w:eastAsiaTheme="majorEastAsia" w:hAnsiTheme="majorHAnsi" w:cstheme="majorBidi"/>
    </w:rPr>
  </w:style>
  <w:style w:type="paragraph" w:styleId="TableofFigures">
    <w:name w:val="table of figures"/>
    <w:basedOn w:val="Normal"/>
    <w:next w:val="Normal"/>
    <w:uiPriority w:val="99"/>
    <w:semiHidden/>
    <w:unhideWhenUsed/>
    <w:rsid w:val="0013341A"/>
  </w:style>
  <w:style w:type="paragraph" w:styleId="Index1">
    <w:name w:val="index 1"/>
    <w:basedOn w:val="Normal"/>
    <w:next w:val="Normal"/>
    <w:autoRedefine/>
    <w:uiPriority w:val="99"/>
    <w:semiHidden/>
    <w:unhideWhenUsed/>
    <w:rsid w:val="0013341A"/>
    <w:pPr>
      <w:ind w:left="240" w:hanging="240"/>
    </w:pPr>
  </w:style>
  <w:style w:type="paragraph" w:styleId="IndexHeading">
    <w:name w:val="index heading"/>
    <w:basedOn w:val="Normal"/>
    <w:next w:val="Index1"/>
    <w:uiPriority w:val="99"/>
    <w:semiHidden/>
    <w:unhideWhenUsed/>
    <w:rsid w:val="0013341A"/>
    <w:rPr>
      <w:rFonts w:asciiTheme="majorHAnsi" w:eastAsiaTheme="majorEastAsia" w:hAnsiTheme="majorHAnsi" w:cstheme="majorBidi"/>
      <w:b/>
      <w:bCs/>
    </w:rPr>
  </w:style>
  <w:style w:type="paragraph" w:styleId="Footer">
    <w:name w:val="footer"/>
    <w:basedOn w:val="Normal"/>
    <w:link w:val="FooterChar"/>
    <w:uiPriority w:val="99"/>
    <w:semiHidden/>
    <w:unhideWhenUsed/>
    <w:rsid w:val="0013341A"/>
    <w:pPr>
      <w:tabs>
        <w:tab w:val="center" w:pos="4703"/>
        <w:tab w:val="right" w:pos="9406"/>
      </w:tabs>
    </w:pPr>
  </w:style>
  <w:style w:type="character" w:customStyle="1" w:styleId="FooterChar">
    <w:name w:val="Footer Char"/>
    <w:basedOn w:val="DefaultParagraphFont"/>
    <w:link w:val="Footer"/>
    <w:uiPriority w:val="99"/>
    <w:semiHidden/>
    <w:rsid w:val="0013341A"/>
    <w:rPr>
      <w:sz w:val="24"/>
      <w:szCs w:val="24"/>
      <w:lang w:val="de-DE" w:eastAsia="de-DE"/>
    </w:rPr>
  </w:style>
  <w:style w:type="paragraph" w:styleId="Header">
    <w:name w:val="header"/>
    <w:basedOn w:val="Normal"/>
    <w:link w:val="HeaderChar"/>
    <w:uiPriority w:val="99"/>
    <w:semiHidden/>
    <w:unhideWhenUsed/>
    <w:rsid w:val="0013341A"/>
    <w:pPr>
      <w:tabs>
        <w:tab w:val="center" w:pos="4703"/>
        <w:tab w:val="right" w:pos="9406"/>
      </w:tabs>
    </w:pPr>
  </w:style>
  <w:style w:type="character" w:customStyle="1" w:styleId="HeaderChar">
    <w:name w:val="Header Char"/>
    <w:basedOn w:val="DefaultParagraphFont"/>
    <w:link w:val="Header"/>
    <w:uiPriority w:val="99"/>
    <w:semiHidden/>
    <w:rsid w:val="0013341A"/>
    <w:rPr>
      <w:sz w:val="24"/>
      <w:szCs w:val="24"/>
      <w:lang w:val="de-DE" w:eastAsia="de-DE"/>
    </w:rPr>
  </w:style>
  <w:style w:type="paragraph" w:styleId="NormalIndent">
    <w:name w:val="Normal Indent"/>
    <w:basedOn w:val="Normal"/>
    <w:uiPriority w:val="99"/>
    <w:semiHidden/>
    <w:unhideWhenUsed/>
    <w:rsid w:val="0013341A"/>
    <w:pPr>
      <w:ind w:left="720"/>
    </w:pPr>
  </w:style>
  <w:style w:type="paragraph" w:styleId="TOC9">
    <w:name w:val="toc 9"/>
    <w:basedOn w:val="Normal"/>
    <w:next w:val="Normal"/>
    <w:autoRedefine/>
    <w:uiPriority w:val="39"/>
    <w:semiHidden/>
    <w:unhideWhenUsed/>
    <w:rsid w:val="0013341A"/>
    <w:pPr>
      <w:spacing w:after="100"/>
      <w:ind w:left="1920"/>
    </w:pPr>
  </w:style>
  <w:style w:type="paragraph" w:styleId="TOC8">
    <w:name w:val="toc 8"/>
    <w:basedOn w:val="Normal"/>
    <w:next w:val="Normal"/>
    <w:autoRedefine/>
    <w:uiPriority w:val="39"/>
    <w:semiHidden/>
    <w:unhideWhenUsed/>
    <w:rsid w:val="0013341A"/>
    <w:pPr>
      <w:spacing w:after="100"/>
      <w:ind w:left="1680"/>
    </w:pPr>
  </w:style>
  <w:style w:type="paragraph" w:styleId="TOC7">
    <w:name w:val="toc 7"/>
    <w:basedOn w:val="Normal"/>
    <w:next w:val="Normal"/>
    <w:autoRedefine/>
    <w:uiPriority w:val="39"/>
    <w:semiHidden/>
    <w:unhideWhenUsed/>
    <w:rsid w:val="0013341A"/>
    <w:pPr>
      <w:spacing w:after="100"/>
      <w:ind w:left="1440"/>
    </w:pPr>
  </w:style>
  <w:style w:type="paragraph" w:styleId="TOC6">
    <w:name w:val="toc 6"/>
    <w:basedOn w:val="Normal"/>
    <w:next w:val="Normal"/>
    <w:autoRedefine/>
    <w:uiPriority w:val="39"/>
    <w:semiHidden/>
    <w:unhideWhenUsed/>
    <w:rsid w:val="0013341A"/>
    <w:pPr>
      <w:spacing w:after="100"/>
      <w:ind w:left="1200"/>
    </w:pPr>
  </w:style>
  <w:style w:type="paragraph" w:styleId="TOC5">
    <w:name w:val="toc 5"/>
    <w:basedOn w:val="Normal"/>
    <w:next w:val="Normal"/>
    <w:autoRedefine/>
    <w:uiPriority w:val="39"/>
    <w:semiHidden/>
    <w:unhideWhenUsed/>
    <w:rsid w:val="0013341A"/>
    <w:pPr>
      <w:spacing w:after="100"/>
      <w:ind w:left="960"/>
    </w:pPr>
  </w:style>
  <w:style w:type="paragraph" w:styleId="TOC4">
    <w:name w:val="toc 4"/>
    <w:basedOn w:val="Normal"/>
    <w:next w:val="Normal"/>
    <w:autoRedefine/>
    <w:uiPriority w:val="39"/>
    <w:semiHidden/>
    <w:unhideWhenUsed/>
    <w:rsid w:val="0013341A"/>
    <w:pPr>
      <w:spacing w:after="100"/>
      <w:ind w:left="720"/>
    </w:pPr>
  </w:style>
  <w:style w:type="paragraph" w:styleId="TOC3">
    <w:name w:val="toc 3"/>
    <w:basedOn w:val="Normal"/>
    <w:next w:val="Normal"/>
    <w:autoRedefine/>
    <w:uiPriority w:val="39"/>
    <w:semiHidden/>
    <w:unhideWhenUsed/>
    <w:rsid w:val="0013341A"/>
    <w:pPr>
      <w:spacing w:after="100"/>
      <w:ind w:left="480"/>
    </w:pPr>
  </w:style>
  <w:style w:type="paragraph" w:styleId="TOC2">
    <w:name w:val="toc 2"/>
    <w:basedOn w:val="Normal"/>
    <w:next w:val="Normal"/>
    <w:autoRedefine/>
    <w:uiPriority w:val="39"/>
    <w:semiHidden/>
    <w:unhideWhenUsed/>
    <w:rsid w:val="0013341A"/>
    <w:pPr>
      <w:spacing w:after="100"/>
      <w:ind w:left="240"/>
    </w:pPr>
  </w:style>
  <w:style w:type="paragraph" w:styleId="TOC1">
    <w:name w:val="toc 1"/>
    <w:basedOn w:val="Normal"/>
    <w:next w:val="Normal"/>
    <w:autoRedefine/>
    <w:uiPriority w:val="39"/>
    <w:semiHidden/>
    <w:unhideWhenUsed/>
    <w:rsid w:val="0013341A"/>
    <w:pPr>
      <w:spacing w:after="100"/>
    </w:pPr>
  </w:style>
  <w:style w:type="paragraph" w:styleId="Index9">
    <w:name w:val="index 9"/>
    <w:basedOn w:val="Normal"/>
    <w:next w:val="Normal"/>
    <w:autoRedefine/>
    <w:uiPriority w:val="99"/>
    <w:semiHidden/>
    <w:unhideWhenUsed/>
    <w:rsid w:val="0013341A"/>
    <w:pPr>
      <w:ind w:left="2160" w:hanging="240"/>
    </w:pPr>
  </w:style>
  <w:style w:type="paragraph" w:styleId="Index8">
    <w:name w:val="index 8"/>
    <w:basedOn w:val="Normal"/>
    <w:next w:val="Normal"/>
    <w:autoRedefine/>
    <w:uiPriority w:val="99"/>
    <w:semiHidden/>
    <w:unhideWhenUsed/>
    <w:rsid w:val="0013341A"/>
    <w:pPr>
      <w:ind w:left="1920" w:hanging="240"/>
    </w:pPr>
  </w:style>
  <w:style w:type="paragraph" w:styleId="Index7">
    <w:name w:val="index 7"/>
    <w:basedOn w:val="Normal"/>
    <w:next w:val="Normal"/>
    <w:autoRedefine/>
    <w:uiPriority w:val="99"/>
    <w:semiHidden/>
    <w:unhideWhenUsed/>
    <w:rsid w:val="0013341A"/>
    <w:pPr>
      <w:ind w:left="1680" w:hanging="240"/>
    </w:pPr>
  </w:style>
  <w:style w:type="paragraph" w:styleId="Index6">
    <w:name w:val="index 6"/>
    <w:basedOn w:val="Normal"/>
    <w:next w:val="Normal"/>
    <w:autoRedefine/>
    <w:uiPriority w:val="99"/>
    <w:semiHidden/>
    <w:unhideWhenUsed/>
    <w:rsid w:val="0013341A"/>
    <w:pPr>
      <w:ind w:left="1440" w:hanging="240"/>
    </w:pPr>
  </w:style>
  <w:style w:type="paragraph" w:styleId="Index5">
    <w:name w:val="index 5"/>
    <w:basedOn w:val="Normal"/>
    <w:next w:val="Normal"/>
    <w:autoRedefine/>
    <w:uiPriority w:val="99"/>
    <w:semiHidden/>
    <w:unhideWhenUsed/>
    <w:rsid w:val="0013341A"/>
    <w:pPr>
      <w:ind w:left="1200" w:hanging="240"/>
    </w:pPr>
  </w:style>
  <w:style w:type="paragraph" w:styleId="Index4">
    <w:name w:val="index 4"/>
    <w:basedOn w:val="Normal"/>
    <w:next w:val="Normal"/>
    <w:autoRedefine/>
    <w:uiPriority w:val="99"/>
    <w:semiHidden/>
    <w:unhideWhenUsed/>
    <w:rsid w:val="0013341A"/>
    <w:pPr>
      <w:ind w:left="960" w:hanging="240"/>
    </w:pPr>
  </w:style>
  <w:style w:type="paragraph" w:styleId="Index3">
    <w:name w:val="index 3"/>
    <w:basedOn w:val="Normal"/>
    <w:next w:val="Normal"/>
    <w:autoRedefine/>
    <w:uiPriority w:val="99"/>
    <w:semiHidden/>
    <w:unhideWhenUsed/>
    <w:rsid w:val="0013341A"/>
    <w:pPr>
      <w:ind w:left="720" w:hanging="240"/>
    </w:pPr>
  </w:style>
  <w:style w:type="paragraph" w:styleId="Index2">
    <w:name w:val="index 2"/>
    <w:basedOn w:val="Normal"/>
    <w:next w:val="Normal"/>
    <w:autoRedefine/>
    <w:uiPriority w:val="99"/>
    <w:semiHidden/>
    <w:unhideWhenUsed/>
    <w:rsid w:val="0013341A"/>
    <w:pPr>
      <w:ind w:left="480" w:hanging="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309765">
      <w:bodyDiv w:val="1"/>
      <w:marLeft w:val="0"/>
      <w:marRight w:val="0"/>
      <w:marTop w:val="0"/>
      <w:marBottom w:val="0"/>
      <w:divBdr>
        <w:top w:val="none" w:sz="0" w:space="0" w:color="auto"/>
        <w:left w:val="none" w:sz="0" w:space="0" w:color="auto"/>
        <w:bottom w:val="none" w:sz="0" w:space="0" w:color="auto"/>
        <w:right w:val="none" w:sz="0" w:space="0" w:color="auto"/>
      </w:divBdr>
    </w:div>
    <w:div w:id="176190240">
      <w:bodyDiv w:val="1"/>
      <w:marLeft w:val="0"/>
      <w:marRight w:val="0"/>
      <w:marTop w:val="0"/>
      <w:marBottom w:val="0"/>
      <w:divBdr>
        <w:top w:val="none" w:sz="0" w:space="0" w:color="auto"/>
        <w:left w:val="none" w:sz="0" w:space="0" w:color="auto"/>
        <w:bottom w:val="none" w:sz="0" w:space="0" w:color="auto"/>
        <w:right w:val="none" w:sz="0" w:space="0" w:color="auto"/>
      </w:divBdr>
    </w:div>
    <w:div w:id="331110080">
      <w:bodyDiv w:val="1"/>
      <w:marLeft w:val="0"/>
      <w:marRight w:val="0"/>
      <w:marTop w:val="0"/>
      <w:marBottom w:val="0"/>
      <w:divBdr>
        <w:top w:val="none" w:sz="0" w:space="0" w:color="auto"/>
        <w:left w:val="none" w:sz="0" w:space="0" w:color="auto"/>
        <w:bottom w:val="none" w:sz="0" w:space="0" w:color="auto"/>
        <w:right w:val="none" w:sz="0" w:space="0" w:color="auto"/>
      </w:divBdr>
    </w:div>
    <w:div w:id="411702602">
      <w:bodyDiv w:val="1"/>
      <w:marLeft w:val="0"/>
      <w:marRight w:val="0"/>
      <w:marTop w:val="0"/>
      <w:marBottom w:val="0"/>
      <w:divBdr>
        <w:top w:val="none" w:sz="0" w:space="0" w:color="auto"/>
        <w:left w:val="none" w:sz="0" w:space="0" w:color="auto"/>
        <w:bottom w:val="none" w:sz="0" w:space="0" w:color="auto"/>
        <w:right w:val="none" w:sz="0" w:space="0" w:color="auto"/>
      </w:divBdr>
    </w:div>
    <w:div w:id="419909505">
      <w:bodyDiv w:val="1"/>
      <w:marLeft w:val="0"/>
      <w:marRight w:val="0"/>
      <w:marTop w:val="0"/>
      <w:marBottom w:val="0"/>
      <w:divBdr>
        <w:top w:val="none" w:sz="0" w:space="0" w:color="auto"/>
        <w:left w:val="none" w:sz="0" w:space="0" w:color="auto"/>
        <w:bottom w:val="none" w:sz="0" w:space="0" w:color="auto"/>
        <w:right w:val="none" w:sz="0" w:space="0" w:color="auto"/>
      </w:divBdr>
    </w:div>
    <w:div w:id="501697987">
      <w:bodyDiv w:val="1"/>
      <w:marLeft w:val="0"/>
      <w:marRight w:val="0"/>
      <w:marTop w:val="0"/>
      <w:marBottom w:val="0"/>
      <w:divBdr>
        <w:top w:val="none" w:sz="0" w:space="0" w:color="auto"/>
        <w:left w:val="none" w:sz="0" w:space="0" w:color="auto"/>
        <w:bottom w:val="none" w:sz="0" w:space="0" w:color="auto"/>
        <w:right w:val="none" w:sz="0" w:space="0" w:color="auto"/>
      </w:divBdr>
    </w:div>
    <w:div w:id="696807049">
      <w:bodyDiv w:val="1"/>
      <w:marLeft w:val="0"/>
      <w:marRight w:val="0"/>
      <w:marTop w:val="0"/>
      <w:marBottom w:val="0"/>
      <w:divBdr>
        <w:top w:val="none" w:sz="0" w:space="0" w:color="auto"/>
        <w:left w:val="none" w:sz="0" w:space="0" w:color="auto"/>
        <w:bottom w:val="none" w:sz="0" w:space="0" w:color="auto"/>
        <w:right w:val="none" w:sz="0" w:space="0" w:color="auto"/>
      </w:divBdr>
    </w:div>
    <w:div w:id="705980703">
      <w:bodyDiv w:val="1"/>
      <w:marLeft w:val="0"/>
      <w:marRight w:val="0"/>
      <w:marTop w:val="0"/>
      <w:marBottom w:val="0"/>
      <w:divBdr>
        <w:top w:val="none" w:sz="0" w:space="0" w:color="auto"/>
        <w:left w:val="none" w:sz="0" w:space="0" w:color="auto"/>
        <w:bottom w:val="none" w:sz="0" w:space="0" w:color="auto"/>
        <w:right w:val="none" w:sz="0" w:space="0" w:color="auto"/>
      </w:divBdr>
    </w:div>
    <w:div w:id="728573436">
      <w:bodyDiv w:val="1"/>
      <w:marLeft w:val="0"/>
      <w:marRight w:val="0"/>
      <w:marTop w:val="0"/>
      <w:marBottom w:val="0"/>
      <w:divBdr>
        <w:top w:val="none" w:sz="0" w:space="0" w:color="auto"/>
        <w:left w:val="none" w:sz="0" w:space="0" w:color="auto"/>
        <w:bottom w:val="none" w:sz="0" w:space="0" w:color="auto"/>
        <w:right w:val="none" w:sz="0" w:space="0" w:color="auto"/>
      </w:divBdr>
    </w:div>
    <w:div w:id="1024207873">
      <w:bodyDiv w:val="1"/>
      <w:marLeft w:val="0"/>
      <w:marRight w:val="0"/>
      <w:marTop w:val="0"/>
      <w:marBottom w:val="0"/>
      <w:divBdr>
        <w:top w:val="none" w:sz="0" w:space="0" w:color="auto"/>
        <w:left w:val="none" w:sz="0" w:space="0" w:color="auto"/>
        <w:bottom w:val="none" w:sz="0" w:space="0" w:color="auto"/>
        <w:right w:val="none" w:sz="0" w:space="0" w:color="auto"/>
      </w:divBdr>
    </w:div>
    <w:div w:id="1193349183">
      <w:bodyDiv w:val="1"/>
      <w:marLeft w:val="0"/>
      <w:marRight w:val="0"/>
      <w:marTop w:val="0"/>
      <w:marBottom w:val="0"/>
      <w:divBdr>
        <w:top w:val="none" w:sz="0" w:space="0" w:color="auto"/>
        <w:left w:val="none" w:sz="0" w:space="0" w:color="auto"/>
        <w:bottom w:val="none" w:sz="0" w:space="0" w:color="auto"/>
        <w:right w:val="none" w:sz="0" w:space="0" w:color="auto"/>
      </w:divBdr>
    </w:div>
    <w:div w:id="1331372044">
      <w:bodyDiv w:val="1"/>
      <w:marLeft w:val="0"/>
      <w:marRight w:val="0"/>
      <w:marTop w:val="0"/>
      <w:marBottom w:val="0"/>
      <w:divBdr>
        <w:top w:val="none" w:sz="0" w:space="0" w:color="auto"/>
        <w:left w:val="none" w:sz="0" w:space="0" w:color="auto"/>
        <w:bottom w:val="none" w:sz="0" w:space="0" w:color="auto"/>
        <w:right w:val="none" w:sz="0" w:space="0" w:color="auto"/>
      </w:divBdr>
    </w:div>
    <w:div w:id="1400667850">
      <w:bodyDiv w:val="1"/>
      <w:marLeft w:val="0"/>
      <w:marRight w:val="0"/>
      <w:marTop w:val="0"/>
      <w:marBottom w:val="0"/>
      <w:divBdr>
        <w:top w:val="none" w:sz="0" w:space="0" w:color="auto"/>
        <w:left w:val="none" w:sz="0" w:space="0" w:color="auto"/>
        <w:bottom w:val="none" w:sz="0" w:space="0" w:color="auto"/>
        <w:right w:val="none" w:sz="0" w:space="0" w:color="auto"/>
      </w:divBdr>
    </w:div>
    <w:div w:id="1506895569">
      <w:bodyDiv w:val="1"/>
      <w:marLeft w:val="0"/>
      <w:marRight w:val="0"/>
      <w:marTop w:val="0"/>
      <w:marBottom w:val="0"/>
      <w:divBdr>
        <w:top w:val="none" w:sz="0" w:space="0" w:color="auto"/>
        <w:left w:val="none" w:sz="0" w:space="0" w:color="auto"/>
        <w:bottom w:val="none" w:sz="0" w:space="0" w:color="auto"/>
        <w:right w:val="none" w:sz="0" w:space="0" w:color="auto"/>
      </w:divBdr>
    </w:div>
    <w:div w:id="1594780445">
      <w:bodyDiv w:val="1"/>
      <w:marLeft w:val="0"/>
      <w:marRight w:val="0"/>
      <w:marTop w:val="0"/>
      <w:marBottom w:val="0"/>
      <w:divBdr>
        <w:top w:val="none" w:sz="0" w:space="0" w:color="auto"/>
        <w:left w:val="none" w:sz="0" w:space="0" w:color="auto"/>
        <w:bottom w:val="none" w:sz="0" w:space="0" w:color="auto"/>
        <w:right w:val="none" w:sz="0" w:space="0" w:color="auto"/>
      </w:divBdr>
    </w:div>
    <w:div w:id="1663194667">
      <w:bodyDiv w:val="1"/>
      <w:marLeft w:val="0"/>
      <w:marRight w:val="0"/>
      <w:marTop w:val="0"/>
      <w:marBottom w:val="0"/>
      <w:divBdr>
        <w:top w:val="none" w:sz="0" w:space="0" w:color="auto"/>
        <w:left w:val="none" w:sz="0" w:space="0" w:color="auto"/>
        <w:bottom w:val="none" w:sz="0" w:space="0" w:color="auto"/>
        <w:right w:val="none" w:sz="0" w:space="0" w:color="auto"/>
      </w:divBdr>
    </w:div>
    <w:div w:id="1778716187">
      <w:bodyDiv w:val="1"/>
      <w:marLeft w:val="0"/>
      <w:marRight w:val="0"/>
      <w:marTop w:val="0"/>
      <w:marBottom w:val="0"/>
      <w:divBdr>
        <w:top w:val="none" w:sz="0" w:space="0" w:color="auto"/>
        <w:left w:val="none" w:sz="0" w:space="0" w:color="auto"/>
        <w:bottom w:val="none" w:sz="0" w:space="0" w:color="auto"/>
        <w:right w:val="none" w:sz="0" w:space="0" w:color="auto"/>
      </w:divBdr>
    </w:div>
    <w:div w:id="1989045864">
      <w:bodyDiv w:val="1"/>
      <w:marLeft w:val="0"/>
      <w:marRight w:val="0"/>
      <w:marTop w:val="0"/>
      <w:marBottom w:val="0"/>
      <w:divBdr>
        <w:top w:val="none" w:sz="0" w:space="0" w:color="auto"/>
        <w:left w:val="none" w:sz="0" w:space="0" w:color="auto"/>
        <w:bottom w:val="none" w:sz="0" w:space="0" w:color="auto"/>
        <w:right w:val="none" w:sz="0" w:space="0" w:color="auto"/>
      </w:divBdr>
    </w:div>
    <w:div w:id="2078353583">
      <w:bodyDiv w:val="1"/>
      <w:marLeft w:val="0"/>
      <w:marRight w:val="0"/>
      <w:marTop w:val="0"/>
      <w:marBottom w:val="0"/>
      <w:divBdr>
        <w:top w:val="none" w:sz="0" w:space="0" w:color="auto"/>
        <w:left w:val="none" w:sz="0" w:space="0" w:color="auto"/>
        <w:bottom w:val="none" w:sz="0" w:space="0" w:color="auto"/>
        <w:right w:val="none" w:sz="0" w:space="0" w:color="auto"/>
      </w:divBdr>
    </w:div>
    <w:div w:id="212588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maps/place/data=!4m2!3m1!1s0x47b07496648a6e85:0x3f59132428b4c5b8?sa=X&amp;ved=1t:8290&amp;ictx=111" TargetMode="External"/><Relationship Id="rId13" Type="http://schemas.openxmlformats.org/officeDocument/2006/relationships/image" Target="media/image5.emf"/><Relationship Id="rId18" Type="http://schemas.openxmlformats.org/officeDocument/2006/relationships/image" Target="media/image10.emf"/><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9.emf"/><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32BDDC2187C4238AE8F02EDB2F9CF44"/>
        <w:category>
          <w:name w:val="General"/>
          <w:gallery w:val="placeholder"/>
        </w:category>
        <w:types>
          <w:type w:val="bbPlcHdr"/>
        </w:types>
        <w:behaviors>
          <w:behavior w:val="content"/>
        </w:behaviors>
        <w:guid w:val="{7FB71F12-1676-448B-A149-0F44E58C28C0}"/>
      </w:docPartPr>
      <w:docPartBody>
        <w:p w:rsidR="00645673" w:rsidRDefault="00645673" w:rsidP="00645673">
          <w:pPr>
            <w:pStyle w:val="B32BDDC2187C4238AE8F02EDB2F9CF44"/>
          </w:pPr>
          <w:r w:rsidRPr="00F73260">
            <w:rPr>
              <w:rStyle w:val="PlaceholderText"/>
            </w:rPr>
            <w:t>Click or tap here to enter text.</w:t>
          </w:r>
        </w:p>
      </w:docPartBody>
    </w:docPart>
    <w:docPart>
      <w:docPartPr>
        <w:name w:val="ED307EA99E8A46F8836378268BD77326"/>
        <w:category>
          <w:name w:val="General"/>
          <w:gallery w:val="placeholder"/>
        </w:category>
        <w:types>
          <w:type w:val="bbPlcHdr"/>
        </w:types>
        <w:behaviors>
          <w:behavior w:val="content"/>
        </w:behaviors>
        <w:guid w:val="{F4481F4F-722B-4E70-BE9B-130C4392B766}"/>
      </w:docPartPr>
      <w:docPartBody>
        <w:p w:rsidR="00645673" w:rsidRDefault="00645673" w:rsidP="00645673">
          <w:pPr>
            <w:pStyle w:val="ED307EA99E8A46F8836378268BD77326"/>
          </w:pPr>
          <w:r w:rsidRPr="00F73260">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8676478A-2A27-488A-8A70-CFF2C281DD35}"/>
      </w:docPartPr>
      <w:docPartBody>
        <w:p w:rsidR="00645673" w:rsidRDefault="00645673">
          <w:r w:rsidRPr="00054CA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673"/>
    <w:rsid w:val="00085141"/>
    <w:rsid w:val="00190370"/>
    <w:rsid w:val="00201369"/>
    <w:rsid w:val="002565C3"/>
    <w:rsid w:val="00490F87"/>
    <w:rsid w:val="004A0AFA"/>
    <w:rsid w:val="004E224B"/>
    <w:rsid w:val="0061506E"/>
    <w:rsid w:val="00645673"/>
    <w:rsid w:val="006B5972"/>
    <w:rsid w:val="007630CB"/>
    <w:rsid w:val="00777E08"/>
    <w:rsid w:val="00AF2F43"/>
    <w:rsid w:val="00C06D69"/>
    <w:rsid w:val="00D9486E"/>
    <w:rsid w:val="00DB1CEC"/>
    <w:rsid w:val="00E054A5"/>
    <w:rsid w:val="00E412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77E08"/>
    <w:rPr>
      <w:color w:val="808080"/>
    </w:rPr>
  </w:style>
  <w:style w:type="paragraph" w:customStyle="1" w:styleId="B32BDDC2187C4238AE8F02EDB2F9CF44">
    <w:name w:val="B32BDDC2187C4238AE8F02EDB2F9CF44"/>
    <w:rsid w:val="00645673"/>
  </w:style>
  <w:style w:type="paragraph" w:customStyle="1" w:styleId="ED307EA99E8A46F8836378268BD77326">
    <w:name w:val="ED307EA99E8A46F8836378268BD77326"/>
    <w:rsid w:val="006456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1120B9-5E11-4501-BC15-0944A9EB2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2833</Words>
  <Characters>62677</Characters>
  <Application>Microsoft Office Word</Application>
  <DocSecurity>0</DocSecurity>
  <Lines>522</Lines>
  <Paragraphs>130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ISES SWC2015 – Paper Formatting Guidelines</vt:lpstr>
      <vt:lpstr>ISES SWC2015 – Paper Formatting Guidelines</vt:lpstr>
    </vt:vector>
  </TitlesOfParts>
  <Company>Oxford Brookes University</Company>
  <LinksUpToDate>false</LinksUpToDate>
  <CharactersWithSpaces>65380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creator>ISES</dc:creator>
  <cp:lastModifiedBy>Bharat Chhugani</cp:lastModifiedBy>
  <cp:revision>7</cp:revision>
  <cp:lastPrinted>2026-09-09T13:20:00Z</cp:lastPrinted>
  <dcterms:created xsi:type="dcterms:W3CDTF">2026-09-09T12:58:00Z</dcterms:created>
  <dcterms:modified xsi:type="dcterms:W3CDTF">2026-09-09T13:20:00Z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GrammarlyDocumentId">
    <vt:lpwstr>947a832a-7062-48fd-858a-d0185407339e</vt:lpwstr>
  </property>
  <property fmtid="{D5CDD505-2E9C-101B-9397-08002B2CF9AE}" pid="4" name="CitaviDocumentProperty_8">
    <vt:lpwstr>C:\Users\b.chhugani\Documents\Citavi 7\Projects\Chhugani_literature\Chhugani_literature.ctv6</vt:lpwstr>
  </property>
  <property fmtid="{D5CDD505-2E9C-101B-9397-08002B2CF9AE}" pid="5" name="CitaviDocumentProperty_7">
    <vt:lpwstr>Chhugani_literature</vt:lpwstr>
  </property>
  <property fmtid="{D5CDD505-2E9C-101B-9397-08002B2CF9AE}" pid="6" name="CitaviDocumentProperty_0">
    <vt:lpwstr>a8d4b123-ee27-4674-8e28-4b629923c8d4</vt:lpwstr>
  </property>
  <property fmtid="{D5CDD505-2E9C-101B-9397-08002B2CF9AE}" pid="7" name="CitaviDocumentProperty_11">
    <vt:lpwstr>Heading 1</vt:lpwstr>
  </property>
  <property fmtid="{D5CDD505-2E9C-101B-9397-08002B2CF9AE}" pid="8" name="CitaviDocumentProperty_12">
    <vt:lpwstr>Normal</vt:lpwstr>
  </property>
  <property fmtid="{D5CDD505-2E9C-101B-9397-08002B2CF9AE}" pid="9" name="CitaviDocumentProperty_16">
    <vt:lpwstr>Subtitle</vt:lpwstr>
  </property>
  <property fmtid="{D5CDD505-2E9C-101B-9397-08002B2CF9AE}" pid="10" name="CitaviDocumentProperty_13">
    <vt:lpwstr>Normal</vt:lpwstr>
  </property>
  <property fmtid="{D5CDD505-2E9C-101B-9397-08002B2CF9AE}" pid="11" name="CitaviDocumentProperty_15">
    <vt:lpwstr>Normal</vt:lpwstr>
  </property>
  <property fmtid="{D5CDD505-2E9C-101B-9397-08002B2CF9AE}" pid="12" name="CitaviDocumentProperty_17">
    <vt:lpwstr>Normal</vt:lpwstr>
  </property>
  <property fmtid="{D5CDD505-2E9C-101B-9397-08002B2CF9AE}" pid="13" name="CitaviDocumentProperty_25">
    <vt:lpwstr>False</vt:lpwstr>
  </property>
  <property fmtid="{D5CDD505-2E9C-101B-9397-08002B2CF9AE}" pid="14" name="CitaviDocumentProperty_27">
    <vt:lpwstr>True</vt:lpwstr>
  </property>
  <property fmtid="{D5CDD505-2E9C-101B-9397-08002B2CF9AE}" pid="15" name="CitaviDocumentProperty_26">
    <vt:lpwstr>References</vt:lpwstr>
  </property>
  <property fmtid="{D5CDD505-2E9C-101B-9397-08002B2CF9AE}" pid="16" name="CitaviDocumentProperty_1">
    <vt:lpwstr>7.2.0.41</vt:lpwstr>
  </property>
  <property fmtid="{D5CDD505-2E9C-101B-9397-08002B2CF9AE}" pid="17" name="CitaviDocumentProperty_6">
    <vt:lpwstr>True</vt:lpwstr>
  </property>
</Properties>
</file>