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673855DA" w:rsidR="00D32EF0" w:rsidRDefault="00250442" w:rsidP="00B32703">
      <w:pPr>
        <w:pStyle w:val="SWCTitle"/>
        <w:rPr>
          <w:sz w:val="28"/>
          <w:szCs w:val="28"/>
        </w:rPr>
      </w:pPr>
      <w:r w:rsidRPr="001519A2">
        <w:rPr>
          <w:sz w:val="28"/>
          <w:szCs w:val="28"/>
        </w:rPr>
        <w:t>TAXONOMY-BASED MAPPING OF EXISTING TES DATABASES: COVERAGE GAPS AND INTEROPERABILITY OPPORTUNITIES</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439AF83" w14:textId="774273D1" w:rsidR="00F81F48" w:rsidRPr="00610E9E" w:rsidRDefault="00C626C8" w:rsidP="00E917F8">
      <w:pPr>
        <w:pStyle w:val="SWCTitle"/>
        <w:spacing w:before="0" w:after="0"/>
        <w:jc w:val="left"/>
        <w:rPr>
          <w:rFonts w:ascii="Times New Roman" w:hAnsi="Times New Roman"/>
          <w:b w:val="0"/>
          <w:bCs/>
          <w:sz w:val="20"/>
          <w:szCs w:val="20"/>
          <w:vertAlign w:val="superscript"/>
        </w:rPr>
      </w:pPr>
      <w:r w:rsidRPr="00610E9E">
        <w:rPr>
          <w:rFonts w:ascii="Times New Roman" w:hAnsi="Times New Roman"/>
          <w:b w:val="0"/>
          <w:sz w:val="20"/>
          <w:szCs w:val="20"/>
        </w:rPr>
        <w:t>Fabrizia Giordano</w:t>
      </w:r>
      <w:r w:rsidR="00843DDF" w:rsidRPr="00610E9E">
        <w:rPr>
          <w:rFonts w:ascii="Times New Roman" w:hAnsi="Times New Roman"/>
          <w:b w:val="0"/>
          <w:bCs/>
          <w:sz w:val="20"/>
          <w:szCs w:val="20"/>
          <w:vertAlign w:val="superscript"/>
        </w:rPr>
        <w:t>1</w:t>
      </w:r>
      <w:r w:rsidR="00B65FBF" w:rsidRPr="00610E9E">
        <w:rPr>
          <w:rFonts w:ascii="Times New Roman" w:hAnsi="Times New Roman"/>
          <w:b w:val="0"/>
          <w:sz w:val="20"/>
          <w:szCs w:val="20"/>
        </w:rPr>
        <w:t xml:space="preserve"> (corresponding author),</w:t>
      </w:r>
      <w:r w:rsidRPr="00610E9E">
        <w:rPr>
          <w:rFonts w:ascii="Times New Roman" w:hAnsi="Times New Roman"/>
          <w:b w:val="0"/>
          <w:sz w:val="20"/>
          <w:szCs w:val="20"/>
        </w:rPr>
        <w:t xml:space="preserve"> Alenka Ristić</w:t>
      </w:r>
      <w:r w:rsidR="00843DDF" w:rsidRPr="00610E9E">
        <w:rPr>
          <w:rFonts w:ascii="Times New Roman" w:hAnsi="Times New Roman"/>
          <w:b w:val="0"/>
          <w:bCs/>
          <w:sz w:val="20"/>
          <w:szCs w:val="20"/>
          <w:vertAlign w:val="superscript"/>
        </w:rPr>
        <w:t>2</w:t>
      </w:r>
      <w:r w:rsidRPr="00610E9E">
        <w:rPr>
          <w:rFonts w:ascii="Times New Roman" w:hAnsi="Times New Roman"/>
          <w:b w:val="0"/>
          <w:sz w:val="20"/>
          <w:szCs w:val="20"/>
        </w:rPr>
        <w:t>, Stefan Gschwander</w:t>
      </w:r>
      <w:r w:rsidR="00843DDF" w:rsidRPr="00610E9E">
        <w:rPr>
          <w:rFonts w:ascii="Times New Roman" w:hAnsi="Times New Roman"/>
          <w:b w:val="0"/>
          <w:bCs/>
          <w:sz w:val="20"/>
          <w:szCs w:val="20"/>
          <w:vertAlign w:val="superscript"/>
        </w:rPr>
        <w:t>3</w:t>
      </w:r>
      <w:r w:rsidRPr="00610E9E">
        <w:rPr>
          <w:rFonts w:ascii="Times New Roman" w:hAnsi="Times New Roman"/>
          <w:b w:val="0"/>
          <w:sz w:val="20"/>
          <w:szCs w:val="20"/>
        </w:rPr>
        <w:t>, Tilman Barz</w:t>
      </w:r>
      <w:r w:rsidR="00843DDF" w:rsidRPr="00610E9E">
        <w:rPr>
          <w:rFonts w:ascii="Times New Roman" w:hAnsi="Times New Roman"/>
          <w:b w:val="0"/>
          <w:bCs/>
          <w:sz w:val="20"/>
          <w:szCs w:val="20"/>
          <w:vertAlign w:val="superscript"/>
        </w:rPr>
        <w:t>1</w:t>
      </w:r>
      <w:r w:rsidRPr="00610E9E">
        <w:rPr>
          <w:rFonts w:ascii="Times New Roman" w:hAnsi="Times New Roman"/>
          <w:b w:val="0"/>
          <w:sz w:val="20"/>
          <w:szCs w:val="20"/>
        </w:rPr>
        <w:t>,</w:t>
      </w:r>
      <w:r w:rsidR="00843DDF" w:rsidRPr="00610E9E">
        <w:rPr>
          <w:rFonts w:ascii="Times New Roman" w:hAnsi="Times New Roman"/>
          <w:b w:val="0"/>
          <w:sz w:val="20"/>
          <w:szCs w:val="20"/>
        </w:rPr>
        <w:t xml:space="preserve"> </w:t>
      </w:r>
      <w:r w:rsidRPr="00610E9E">
        <w:rPr>
          <w:rFonts w:ascii="Times New Roman" w:hAnsi="Times New Roman"/>
          <w:b w:val="0"/>
          <w:sz w:val="20"/>
          <w:szCs w:val="20"/>
        </w:rPr>
        <w:t>Christoph Rathgeber</w:t>
      </w:r>
      <w:r w:rsidR="00843DDF" w:rsidRPr="00610E9E">
        <w:rPr>
          <w:rFonts w:ascii="Times New Roman" w:hAnsi="Times New Roman"/>
          <w:b w:val="0"/>
          <w:bCs/>
          <w:sz w:val="20"/>
          <w:szCs w:val="20"/>
          <w:vertAlign w:val="superscript"/>
        </w:rPr>
        <w:t>4</w:t>
      </w:r>
    </w:p>
    <w:p w14:paraId="325FAFF8" w14:textId="6E7AA6D3" w:rsidR="007575A9" w:rsidRPr="00AE7066" w:rsidRDefault="007575A9" w:rsidP="00610E9E">
      <w:pPr>
        <w:pStyle w:val="Afiliation"/>
        <w:spacing w:line="276" w:lineRule="auto"/>
        <w:jc w:val="left"/>
        <w:rPr>
          <w:lang w:val="en-US"/>
        </w:rPr>
      </w:pPr>
      <w:r w:rsidRPr="00610E9E">
        <w:rPr>
          <w:vertAlign w:val="superscript"/>
          <w:lang w:val="en-US"/>
        </w:rPr>
        <w:t>1</w:t>
      </w:r>
      <w:r>
        <w:rPr>
          <w:lang w:val="en-US"/>
        </w:rPr>
        <w:t xml:space="preserve"> </w:t>
      </w:r>
      <w:r w:rsidRPr="00C83EA0">
        <w:rPr>
          <w:lang w:val="en-US"/>
        </w:rPr>
        <w:t>AIT Austrian Institute of Technology GmbH, Center for Energy, Gie</w:t>
      </w:r>
      <w:r w:rsidRPr="00AF0822">
        <w:t>ﬁ</w:t>
      </w:r>
      <w:proofErr w:type="spellStart"/>
      <w:r w:rsidRPr="00C83EA0">
        <w:rPr>
          <w:lang w:val="en-US"/>
        </w:rPr>
        <w:t>nggasse</w:t>
      </w:r>
      <w:proofErr w:type="spellEnd"/>
      <w:r w:rsidRPr="00C83EA0">
        <w:rPr>
          <w:lang w:val="en-US"/>
        </w:rPr>
        <w:t xml:space="preserve"> 2, 1210 Vienna, Austria, </w:t>
      </w:r>
      <w:hyperlink r:id="rId8" w:history="1">
        <w:r w:rsidR="00C727F2" w:rsidRPr="00C83EA0">
          <w:rPr>
            <w:rStyle w:val="Hyperlink"/>
            <w:lang w:val="en-US"/>
          </w:rPr>
          <w:t>fabrizia.giordano@ait.ac.at</w:t>
        </w:r>
      </w:hyperlink>
      <w:r w:rsidR="00C727F2">
        <w:rPr>
          <w:lang w:val="en-US"/>
        </w:rPr>
        <w:t xml:space="preserve">, </w:t>
      </w:r>
      <w:hyperlink r:id="rId9" w:history="1">
        <w:r w:rsidR="00C727F2" w:rsidRPr="00C83EA0">
          <w:rPr>
            <w:rStyle w:val="Hyperlink"/>
            <w:lang w:val="en-US"/>
          </w:rPr>
          <w:t>tilman.barz@ait.ac.at</w:t>
        </w:r>
      </w:hyperlink>
    </w:p>
    <w:p w14:paraId="1BEE8780" w14:textId="0D50812B" w:rsidR="007575A9" w:rsidRPr="00C83EA0" w:rsidRDefault="007575A9" w:rsidP="00610E9E">
      <w:pPr>
        <w:pStyle w:val="Afiliation"/>
        <w:spacing w:line="276" w:lineRule="auto"/>
        <w:jc w:val="left"/>
        <w:rPr>
          <w:rStyle w:val="Hyperlink"/>
          <w:lang w:val="en-US"/>
        </w:rPr>
      </w:pPr>
      <w:r w:rsidRPr="32BC0F8D">
        <w:rPr>
          <w:vertAlign w:val="superscript"/>
          <w:lang w:val="en-US"/>
        </w:rPr>
        <w:t>2</w:t>
      </w:r>
      <w:r w:rsidRPr="32BC0F8D">
        <w:rPr>
          <w:lang w:val="en-US"/>
        </w:rPr>
        <w:t xml:space="preserve"> </w:t>
      </w:r>
      <w:r w:rsidRPr="00C83EA0">
        <w:rPr>
          <w:lang w:val="en-US"/>
        </w:rPr>
        <w:t>National Institute of Chemistry Slovenia, Department of Inorganic Chemistry and Technology, Laboratory for Adsorbents,</w:t>
      </w:r>
      <w:r w:rsidRPr="00C83EA0">
        <w:rPr>
          <w:rFonts w:ascii="Gill Sans MT" w:hAnsi="Gill Sans MT" w:cs="Calibri"/>
          <w:color w:val="808080" w:themeColor="background1" w:themeShade="80"/>
          <w:sz w:val="24"/>
          <w:szCs w:val="24"/>
          <w:lang w:val="en-US" w:eastAsia="sl-SI"/>
        </w:rPr>
        <w:t xml:space="preserve"> </w:t>
      </w:r>
      <w:proofErr w:type="spellStart"/>
      <w:r w:rsidRPr="00C83EA0">
        <w:rPr>
          <w:lang w:val="en-US"/>
        </w:rPr>
        <w:t>Hajdrihova</w:t>
      </w:r>
      <w:proofErr w:type="spellEnd"/>
      <w:r w:rsidRPr="00C83EA0">
        <w:rPr>
          <w:lang w:val="en-US"/>
        </w:rPr>
        <w:t xml:space="preserve"> 19, SI-1001 Ljubljana, Slovenia</w:t>
      </w:r>
      <w:r w:rsidR="00C81903">
        <w:rPr>
          <w:lang w:val="en-US"/>
        </w:rPr>
        <w:t xml:space="preserve">, </w:t>
      </w:r>
      <w:r w:rsidR="00C81903" w:rsidRPr="00C83EA0">
        <w:rPr>
          <w:rStyle w:val="Hyperlink"/>
          <w:lang w:val="en-US"/>
        </w:rPr>
        <w:t>alenka.ristic@ki.si</w:t>
      </w:r>
    </w:p>
    <w:p w14:paraId="127EAC31" w14:textId="77777777" w:rsidR="00C86C20" w:rsidRPr="00DB4104" w:rsidRDefault="007575A9" w:rsidP="00610E9E">
      <w:pPr>
        <w:pStyle w:val="Afiliation"/>
        <w:spacing w:line="276" w:lineRule="auto"/>
        <w:jc w:val="left"/>
        <w:rPr>
          <w:rStyle w:val="Hyperlink"/>
          <w:lang w:val="en-US"/>
        </w:rPr>
      </w:pPr>
      <w:r w:rsidRPr="00DB4104">
        <w:rPr>
          <w:vertAlign w:val="superscript"/>
          <w:lang w:val="en-US"/>
        </w:rPr>
        <w:t>3</w:t>
      </w:r>
      <w:r w:rsidRPr="00DB4104">
        <w:rPr>
          <w:lang w:val="en-US"/>
        </w:rPr>
        <w:t xml:space="preserve"> Fraunhofer </w:t>
      </w:r>
      <w:r w:rsidRPr="00C83EA0">
        <w:rPr>
          <w:lang w:val="en-US"/>
        </w:rPr>
        <w:t xml:space="preserve">Institute for Solar Energy Systems ISE, </w:t>
      </w:r>
      <w:r w:rsidRPr="00DB4104">
        <w:rPr>
          <w:lang w:val="en-US"/>
        </w:rPr>
        <w:t xml:space="preserve">Heat and Cold Storage, </w:t>
      </w:r>
      <w:proofErr w:type="spellStart"/>
      <w:r w:rsidRPr="00DB4104">
        <w:rPr>
          <w:lang w:val="en-US"/>
        </w:rPr>
        <w:t>Heidenhofstr</w:t>
      </w:r>
      <w:proofErr w:type="spellEnd"/>
      <w:r w:rsidRPr="00DB4104">
        <w:rPr>
          <w:lang w:val="en-US"/>
        </w:rPr>
        <w:t>. 2, 79110 Freiburg, Germany</w:t>
      </w:r>
      <w:r w:rsidR="00176A53">
        <w:rPr>
          <w:lang w:val="en-US"/>
        </w:rPr>
        <w:t>,</w:t>
      </w:r>
      <w:r w:rsidR="00176A53" w:rsidRPr="00DB4104">
        <w:rPr>
          <w:lang w:val="en-US"/>
        </w:rPr>
        <w:t xml:space="preserve"> </w:t>
      </w:r>
      <w:hyperlink r:id="rId10">
        <w:r w:rsidR="00176A53" w:rsidRPr="00DB4104">
          <w:rPr>
            <w:rStyle w:val="Hyperlink"/>
            <w:lang w:val="en-US"/>
          </w:rPr>
          <w:t>stefan.gschwander@ise.fraunhofer.de</w:t>
        </w:r>
      </w:hyperlink>
      <w:r w:rsidRPr="00C83EA0">
        <w:rPr>
          <w:lang w:val="en-US"/>
        </w:rPr>
        <w:br/>
      </w:r>
      <w:r w:rsidRPr="00DB4104">
        <w:rPr>
          <w:vertAlign w:val="superscript"/>
          <w:lang w:val="en-US"/>
        </w:rPr>
        <w:t>4</w:t>
      </w:r>
      <w:r w:rsidRPr="00DB4104">
        <w:rPr>
          <w:lang w:val="en-US"/>
        </w:rPr>
        <w:t xml:space="preserve"> Bavarian Center for Applied Energy Research (ZAE Bayern), Walther-Meißner-Straße 6, 85748 </w:t>
      </w:r>
      <w:proofErr w:type="spellStart"/>
      <w:r w:rsidRPr="00DB4104">
        <w:rPr>
          <w:lang w:val="en-US"/>
        </w:rPr>
        <w:t>Garching</w:t>
      </w:r>
      <w:proofErr w:type="spellEnd"/>
      <w:r w:rsidRPr="00DB4104">
        <w:rPr>
          <w:lang w:val="en-US"/>
        </w:rPr>
        <w:t>, Germany</w:t>
      </w:r>
      <w:r w:rsidR="00C86C20" w:rsidRPr="00DB4104">
        <w:rPr>
          <w:lang w:val="en-US"/>
        </w:rPr>
        <w:t xml:space="preserve">, </w:t>
      </w:r>
      <w:hyperlink r:id="rId11">
        <w:r w:rsidR="00C86C20" w:rsidRPr="00DB4104">
          <w:rPr>
            <w:rStyle w:val="Hyperlink"/>
            <w:lang w:val="en-US"/>
          </w:rPr>
          <w:t>christoph.rathgeber@zae-bayern.de</w:t>
        </w:r>
      </w:hyperlink>
    </w:p>
    <w:p w14:paraId="3A7DF4B5" w14:textId="6F51DBA9" w:rsidR="001A775B" w:rsidRDefault="0C3545CD" w:rsidP="0C3545CD">
      <w:pPr>
        <w:pStyle w:val="SWCSummary"/>
        <w:pBdr>
          <w:bottom w:val="single" w:sz="6" w:space="1" w:color="auto"/>
        </w:pBdr>
      </w:pPr>
      <w:r>
        <w:t>Summary</w:t>
      </w:r>
    </w:p>
    <w:p w14:paraId="6F333647" w14:textId="56EE9BEB" w:rsidR="00A630B8" w:rsidRPr="00A325F9" w:rsidRDefault="003025DB" w:rsidP="001A775B">
      <w:pPr>
        <w:pStyle w:val="SWCText"/>
        <w:pBdr>
          <w:bottom w:val="single" w:sz="6" w:space="1" w:color="auto"/>
        </w:pBdr>
      </w:pPr>
      <w:r w:rsidRPr="003025DB">
        <w:t xml:space="preserve">A systematic mapping and characterization of the TES database landscape is proposed using a taxonomy. The framework is organized by data-generation pathway and level of </w:t>
      </w:r>
      <w:proofErr w:type="gramStart"/>
      <w:r w:rsidRPr="003025DB">
        <w:t>abstraction, and</w:t>
      </w:r>
      <w:proofErr w:type="gramEnd"/>
      <w:r w:rsidRPr="003025DB">
        <w:t xml:space="preserve"> coupled with a hierarchical structure </w:t>
      </w:r>
      <w:r w:rsidRPr="00A325F9">
        <w:t>that maps internal data dependencies and data-flow logic. Based on a survey of 30 databases, diversity across key analytical dimensions – namely scope, methodology, data types, provenance representation, and quality assurance – is quantified, and recurring trends are identified. The findings are further disaggregated by thermal energy storage</w:t>
      </w:r>
      <w:r w:rsidR="007A5FFF" w:rsidRPr="00A325F9">
        <w:t xml:space="preserve"> (TES)</w:t>
      </w:r>
      <w:r w:rsidRPr="00A325F9">
        <w:t xml:space="preserve"> methods, revealing well-populated and underrepresented </w:t>
      </w:r>
      <w:proofErr w:type="gramStart"/>
      <w:r w:rsidRPr="00A325F9">
        <w:t>knowledge areas</w:t>
      </w:r>
      <w:proofErr w:type="gramEnd"/>
      <w:r w:rsidRPr="00A325F9">
        <w:t xml:space="preserve"> across sensible, latent, and thermochemical heat storage technologies. </w:t>
      </w:r>
      <w:r w:rsidR="00A630B8" w:rsidRPr="00A325F9">
        <w:t xml:space="preserve">The analysis reveals a strong concentration of resources at the </w:t>
      </w:r>
      <w:r w:rsidR="00865D6D" w:rsidRPr="00A325F9">
        <w:t>“Material”</w:t>
      </w:r>
      <w:r w:rsidR="00A630B8" w:rsidRPr="00A325F9">
        <w:t xml:space="preserve"> level and comparatively limited coverage at </w:t>
      </w:r>
      <w:r w:rsidR="00711AB6" w:rsidRPr="00A325F9">
        <w:t>“Fundamental”, “Component”</w:t>
      </w:r>
      <w:r w:rsidR="00A630B8" w:rsidRPr="00A325F9">
        <w:t xml:space="preserve"> and </w:t>
      </w:r>
      <w:r w:rsidR="00711AB6" w:rsidRPr="00A325F9">
        <w:t>“System”</w:t>
      </w:r>
      <w:r w:rsidR="00A630B8" w:rsidRPr="00A325F9">
        <w:t xml:space="preserve"> levels, indicating persistent aggregation and interoperability gaps. </w:t>
      </w:r>
      <w:r w:rsidR="00065DBE" w:rsidRPr="00A325F9">
        <w:t xml:space="preserve">The uneven distribution of existing databases among </w:t>
      </w:r>
      <w:r w:rsidR="00C80A8E" w:rsidRPr="00A325F9">
        <w:t>TES</w:t>
      </w:r>
      <w:r w:rsidR="00065DBE" w:rsidRPr="00A325F9">
        <w:t xml:space="preserve"> methods further </w:t>
      </w:r>
      <w:r w:rsidR="001A6742" w:rsidRPr="00A325F9">
        <w:t>suggests</w:t>
      </w:r>
      <w:r w:rsidR="00065DBE" w:rsidRPr="00A325F9">
        <w:t xml:space="preserve"> differences in technological maturity and in the degree of standardization of data acquisition and reporting across different storage technologies</w:t>
      </w:r>
      <w:r w:rsidR="0030141F" w:rsidRPr="00A325F9">
        <w:t>. The results highlight the need for harmonized data generation, reporting, and interoperability practices to advance a more connected and reusable TES data ecosystem.</w:t>
      </w:r>
    </w:p>
    <w:p w14:paraId="74EEAE75" w14:textId="2A75405F" w:rsidR="00487C74" w:rsidRPr="00A325F9" w:rsidRDefault="0077401B" w:rsidP="001A775B">
      <w:pPr>
        <w:pStyle w:val="SWCText"/>
        <w:pBdr>
          <w:bottom w:val="single" w:sz="6" w:space="1" w:color="auto"/>
        </w:pBdr>
        <w:rPr>
          <w:i/>
          <w:iCs/>
        </w:rPr>
      </w:pPr>
      <w:r w:rsidRPr="00A325F9">
        <w:rPr>
          <w:i/>
          <w:iCs/>
        </w:rPr>
        <w:t xml:space="preserve">Keywords: </w:t>
      </w:r>
      <w:r w:rsidR="00487C74" w:rsidRPr="00A325F9">
        <w:rPr>
          <w:i/>
          <w:iCs/>
        </w:rPr>
        <w:t>Thermal storage materials, database taxonomy, knowledge mapping, interoperability</w:t>
      </w:r>
    </w:p>
    <w:p w14:paraId="01458796" w14:textId="5C868E9C" w:rsidR="00FA4DF8" w:rsidRPr="00A325F9" w:rsidRDefault="002C089D" w:rsidP="001A775B">
      <w:pPr>
        <w:pStyle w:val="SWCText"/>
        <w:pBdr>
          <w:bottom w:val="single" w:sz="6" w:space="1" w:color="auto"/>
        </w:pBdr>
        <w:rPr>
          <w:i/>
          <w:iCs/>
        </w:rPr>
      </w:pPr>
      <w:r w:rsidRPr="00A325F9">
        <w:rPr>
          <w:i/>
          <w:iCs/>
        </w:rPr>
        <w:t>Field of application for the findings:</w:t>
      </w:r>
      <w:r w:rsidR="00B83EF0" w:rsidRPr="00A325F9">
        <w:rPr>
          <w:i/>
          <w:iCs/>
        </w:rPr>
        <w:t xml:space="preserve"> </w:t>
      </w:r>
      <w:r w:rsidR="0052515B">
        <w:rPr>
          <w:i/>
          <w:iCs/>
        </w:rPr>
        <w:t>Sensible, latent and thermochemical</w:t>
      </w:r>
      <w:r w:rsidR="00EB731E">
        <w:rPr>
          <w:i/>
          <w:iCs/>
        </w:rPr>
        <w:t xml:space="preserve"> energy storage databases</w:t>
      </w:r>
    </w:p>
    <w:p w14:paraId="185A319D" w14:textId="45032FA0" w:rsidR="002C089D" w:rsidRPr="00A325F9" w:rsidRDefault="00CC3B0C" w:rsidP="001A775B">
      <w:pPr>
        <w:pStyle w:val="SWCText"/>
        <w:pBdr>
          <w:bottom w:val="single" w:sz="6" w:space="1" w:color="auto"/>
        </w:pBdr>
        <w:rPr>
          <w:i/>
          <w:iCs/>
        </w:rPr>
      </w:pPr>
      <w:r w:rsidRPr="00A325F9">
        <w:rPr>
          <w:i/>
          <w:iCs/>
        </w:rPr>
        <w:t>Addressed audience:</w:t>
      </w:r>
      <w:r w:rsidR="00487C74" w:rsidRPr="00A325F9">
        <w:rPr>
          <w:i/>
          <w:iCs/>
        </w:rPr>
        <w:t xml:space="preserve"> </w:t>
      </w:r>
      <w:r w:rsidR="0096724E" w:rsidRPr="0096724E">
        <w:rPr>
          <w:i/>
          <w:iCs/>
        </w:rPr>
        <w:t>Theme 08. Thermal Energy Storage</w:t>
      </w:r>
    </w:p>
    <w:p w14:paraId="378F0C31" w14:textId="6C2C2A59" w:rsidR="00D32EF0" w:rsidRPr="00A325F9" w:rsidRDefault="00161DAA" w:rsidP="00381B08">
      <w:pPr>
        <w:pStyle w:val="SWCHeading1"/>
        <w:ind w:left="714" w:hanging="357"/>
      </w:pPr>
      <w:r w:rsidRPr="00A325F9">
        <w:t>Introduction</w:t>
      </w:r>
    </w:p>
    <w:p w14:paraId="795EBCF1" w14:textId="66240579" w:rsidR="00B431EE" w:rsidRPr="00A325F9" w:rsidRDefault="00B431EE" w:rsidP="00B431EE">
      <w:pPr>
        <w:pStyle w:val="SWCText"/>
      </w:pPr>
      <w:r w:rsidRPr="00A325F9">
        <w:t xml:space="preserve">Over the last decades, thermal energy storage (TES) has gained increasing prominence as a key technology for decarbonizing the energy system. This has accelerated research and innovation efforts, resulting in the generation of large volumes of data. However, despite the growing number of TES databases and repositories, the overall structure of the available data landscape remains only partially characterized, particularly with respect to coverage across database (DB) classes, gaps in the representation of specific knowledge domains, and the potential interoperability among existing resources. Systematic mapping of database coverage across TES technologies can provide a basis for identifying which knowledge domains, data types, and methodological approaches have been most extensively developed and curated, while also revealing areas that remain fragmented or underrepresented. When further resolved by storage method – such as sensible heat storage (e.g., water), latent heat storage with phase change materials (PCMs), and thermochemical storage including sorption technologies and thermochemical materials (TCMs) – the analysis may also reveal opportunities for transferring knowledge and methodological approaches. In this regard, the current TES data space is inherently multidimensional, spanning multiple levels of abstraction and descriptor types. It ranges from “material” properties – such as structural attributes available, e.g., </w:t>
      </w:r>
      <w:r w:rsidRPr="00A325F9">
        <w:lastRenderedPageBreak/>
        <w:t>in IZA Database of Zeolite Structures</w:t>
      </w:r>
      <w:r w:rsidR="008E3037" w:rsidRPr="00A325F9">
        <w:t xml:space="preserve"> </w:t>
      </w:r>
      <w:r w:rsidR="00492458" w:rsidRPr="00A325F9">
        <w:fldChar w:fldCharType="begin"/>
      </w:r>
      <w:r w:rsidR="001751F2" w:rsidRPr="00A325F9">
        <w:instrText xml:space="preserve"> ADDIN ZOTERO_ITEM CSL_CITATION {"citationID":"tPKROUaR","properties":{"formattedCitation":"(International Zeolite Association, 1996)","plainCitation":"(International Zeolite Association, 1996)","noteIndex":0},"citationItems":[{"id":701,"uris":["http://zotero.org/groups/6377877/items/S3GXEAMH"],"itemData":{"id":701,"type":"webpage","title":"IZA Database of Zeolite Structures","URL":"https://www.iza-structure.org/databases/","author":[{"literal":"International Zeolite Association"}],"issued":{"date-parts":[["1996"]]}}}],"schema":"https://github.com/citation-style-language/schema/raw/master/csl-citation.json"} </w:instrText>
      </w:r>
      <w:r w:rsidR="00492458" w:rsidRPr="00A325F9">
        <w:fldChar w:fldCharType="separate"/>
      </w:r>
      <w:r w:rsidR="009A124D" w:rsidRPr="009A124D">
        <w:t>(International Zeolite Association, 1996)</w:t>
      </w:r>
      <w:r w:rsidR="00492458" w:rsidRPr="00A325F9">
        <w:fldChar w:fldCharType="end"/>
      </w:r>
      <w:r w:rsidRPr="00A325F9">
        <w:t xml:space="preserve">; chemical thermodynamics and kinetics parameters reported, among others, in NIST/ARPA-E Database of Novel and Emerging Adsorbent Materials (ISODB) </w:t>
      </w:r>
      <w:r w:rsidR="00492458" w:rsidRPr="00A325F9">
        <w:fldChar w:fldCharType="begin"/>
      </w:r>
      <w:r w:rsidR="001751F2" w:rsidRPr="00A325F9">
        <w:instrText xml:space="preserve"> ADDIN ZOTERO_ITEM CSL_CITATION {"citationID":"7Kaq13px","properties":{"formattedCitation":"(National Institute of Standards and Technology, 2016)","plainCitation":"(National Institute of Standards and Technology, 2016)","noteIndex":0},"citationItems":[{"id":698,"uris":["http://zotero.org/groups/6377877/items/2S77YCCH"],"itemData":{"id":698,"type":"webpage","title":"NIST/ARPA-E Database of Novel and Emerging Adsorbent Materials (ISODB)","URL":"https://adsorption.nist.gov/isodb/","author":[{"literal":"National Institute of Standards and Technology"}],"issued":{"date-parts":[["2016"]]}}}],"schema":"https://github.com/citation-style-language/schema/raw/master/csl-citation.json"} </w:instrText>
      </w:r>
      <w:r w:rsidR="00492458" w:rsidRPr="00A325F9">
        <w:fldChar w:fldCharType="separate"/>
      </w:r>
      <w:r w:rsidR="009A124D" w:rsidRPr="009A124D">
        <w:t>(National Institute of Standards and Technology, 2016)</w:t>
      </w:r>
      <w:r w:rsidR="00492458" w:rsidRPr="00A325F9">
        <w:fldChar w:fldCharType="end"/>
      </w:r>
      <w:r w:rsidRPr="00A325F9">
        <w:t xml:space="preserve">; and thermophysical properties, for example in the NIST Chemistry </w:t>
      </w:r>
      <w:proofErr w:type="spellStart"/>
      <w:r w:rsidRPr="00A325F9">
        <w:t>WebBook</w:t>
      </w:r>
      <w:proofErr w:type="spellEnd"/>
      <w:r w:rsidRPr="00A325F9">
        <w:t xml:space="preserve"> (SRD 69) </w:t>
      </w:r>
      <w:r w:rsidR="00EB3A0B" w:rsidRPr="00A325F9">
        <w:fldChar w:fldCharType="begin"/>
      </w:r>
      <w:r w:rsidR="001751F2" w:rsidRPr="00A325F9">
        <w:instrText xml:space="preserve"> ADDIN ZOTERO_ITEM CSL_CITATION {"citationID":"tNa8GlBy","properties":{"formattedCitation":"(National Institute of Standards and Technology, 1996)","plainCitation":"(National Institute of Standards and Technology, 1996)","noteIndex":0},"citationItems":[{"id":695,"uris":["http://zotero.org/groups/6377877/items/8QXG6YZW"],"itemData":{"id":695,"type":"webpage","title":"NIST Chemistry WebBook (SRD 69)","URL":"https://webbook.nist.gov/chemistry/","author":[{"literal":"National Institute of Standards and Technology"}],"issued":{"date-parts":[["1996"]]}}}],"schema":"https://github.com/citation-style-language/schema/raw/master/csl-citation.json"} </w:instrText>
      </w:r>
      <w:r w:rsidR="00EB3A0B" w:rsidRPr="00A325F9">
        <w:fldChar w:fldCharType="separate"/>
      </w:r>
      <w:r w:rsidR="009A124D" w:rsidRPr="009A124D">
        <w:t>(National Institute of Standards and Technology, 1996)</w:t>
      </w:r>
      <w:r w:rsidR="00EB3A0B" w:rsidRPr="00A325F9">
        <w:fldChar w:fldCharType="end"/>
      </w:r>
      <w:r w:rsidRPr="00A325F9">
        <w:t xml:space="preserve"> – to “TES system” metrics, as in the Thermal Energy Storage Technologies Dataset</w:t>
      </w:r>
      <w:r w:rsidR="004F4505" w:rsidRPr="00A325F9">
        <w:t xml:space="preserve"> </w:t>
      </w:r>
      <w:r w:rsidR="004F4505" w:rsidRPr="00A325F9">
        <w:fldChar w:fldCharType="begin"/>
      </w:r>
      <w:r w:rsidR="001751F2" w:rsidRPr="00A325F9">
        <w:instrText xml:space="preserve"> ADDIN ZOTERO_ITEM CSL_CITATION {"citationID":"ml6LDpeW","properties":{"formattedCitation":"(ECHO Project, 2024)","plainCitation":"(ECHO Project, 2024)","noteIndex":0},"citationItems":[{"id":697,"uris":["http://zotero.org/groups/6377877/items/R2DHSWXQ"],"itemData":{"id":697,"type":"webpage","title":"Thermal Energy Storage Technologies Dataset","URL":"https://lookerstudio.google.com/reporting/1dd662a1-938f-4dd8-91a9-ef70ccdd72ab/","author":[{"literal":"ECHO Project"}],"issued":{"date-parts":[["2024"]]}}}],"schema":"https://github.com/citation-style-language/schema/raw/master/csl-citation.json"} </w:instrText>
      </w:r>
      <w:r w:rsidR="004F4505" w:rsidRPr="00A325F9">
        <w:fldChar w:fldCharType="separate"/>
      </w:r>
      <w:r w:rsidR="009A124D" w:rsidRPr="009A124D">
        <w:t>(ECHO Project, 2024)</w:t>
      </w:r>
      <w:r w:rsidR="004F4505" w:rsidRPr="00A325F9">
        <w:fldChar w:fldCharType="end"/>
      </w:r>
      <w:r w:rsidRPr="00A325F9">
        <w:t xml:space="preserve">, including thermal efficiency, system lifetime, together with other techno-economic metrics. In addition, currently available TES data are generated through heterogeneous, often non-standardized methodological pathways, including experimental campaigns, correlation-derived approaches, and physics-based modelling. This methodological heterogeneity propagates directly to the database level, where differences in definitions, testing conditions, calibration protocols, and uncertainty quantification practices often limit comparability and hinder data reuse. </w:t>
      </w:r>
    </w:p>
    <w:p w14:paraId="3C276402" w14:textId="615552B6" w:rsidR="00453296" w:rsidRPr="00A325F9" w:rsidRDefault="00B431EE" w:rsidP="007C1632">
      <w:pPr>
        <w:pStyle w:val="SWCText"/>
      </w:pPr>
      <w:r w:rsidRPr="00A325F9">
        <w:t>This contribution surveys 30 TES databases that are, to the best of the authors’ knowledge, among the most relevant and widely used in research projects. It applies a taxonomy framework to map database coverage across storage technologies, knowledge domains, and database classes, thereby revealing both well-populated and underrepresented areas of the TES data</w:t>
      </w:r>
      <w:r w:rsidR="00AC12B3" w:rsidRPr="00A325F9">
        <w:t>base</w:t>
      </w:r>
      <w:r w:rsidRPr="00A325F9">
        <w:t xml:space="preserve"> landscape. On this basis, the study also identifies interoperability opportunities among existing resources, particularly where complementary coverage, shared descriptors, or partially aligned data structures could support stronger cross-database collaboration. To illustrate the practical </w:t>
      </w:r>
      <w:r w:rsidR="00515C0A" w:rsidRPr="00A325F9">
        <w:t>application</w:t>
      </w:r>
      <w:r w:rsidRPr="00A325F9">
        <w:t xml:space="preserve"> of the proposed framework, two DBs – the IEA Energy Storage TCP Task 48 “Thermal Materials Database” and the AIT’s “</w:t>
      </w:r>
      <w:proofErr w:type="spellStart"/>
      <w:r w:rsidRPr="00A325F9">
        <w:t>slPCMlib</w:t>
      </w:r>
      <w:proofErr w:type="spellEnd"/>
      <w:r w:rsidRPr="00A325F9">
        <w:t xml:space="preserve"> solid-liquid Phase Change Materials library” – are discussed in detail.</w:t>
      </w:r>
    </w:p>
    <w:p w14:paraId="2D5C517B" w14:textId="14A26CF7" w:rsidR="00C56300" w:rsidRPr="00A325F9" w:rsidRDefault="00C56300" w:rsidP="00C56300">
      <w:pPr>
        <w:pStyle w:val="SWCHeading1"/>
      </w:pPr>
      <w:r w:rsidRPr="00A325F9">
        <w:t>Taxonomy and Domain Mapping of TES Databases</w:t>
      </w:r>
    </w:p>
    <w:p w14:paraId="57946C45" w14:textId="26CB8651" w:rsidR="00232370" w:rsidRPr="00A325F9" w:rsidRDefault="00232370" w:rsidP="00610E9E">
      <w:pPr>
        <w:pStyle w:val="SWCText"/>
      </w:pPr>
      <w:r w:rsidRPr="00A325F9">
        <w:t>A preliminary taxonomy framework is proposed to classify TES databases according to the primary mode of data generation</w:t>
      </w:r>
      <w:r w:rsidR="00295855" w:rsidRPr="00A325F9">
        <w:t xml:space="preserve"> (Fig. 1)</w:t>
      </w:r>
      <w:r w:rsidRPr="00A325F9">
        <w:t xml:space="preserve">: “Fundamental” if derived from first-principles governing equations and constitutive relations; “Simulation” if generated by physics-based computational models that numerically solve mathematical/physical formulations to predict system properties and behavior across operating conditions; “Correlation-based” if learned from experimental and/or theory-informed datasets via correlation/regression/ML; “Experimental” if obtained under controlled laboratory testing or measurements protocols; “Application-oriented” if generated from field performance evidence, potentially including indicators such as technology readiness level (TRL) or economic metrics relevant to a specific market-ready technology. Furthermore, database classes are hierarchically distributed across the following abstraction levels: “L0: Fundamental” (e.g., first-principles-derived properties or representations), “L1: Material” (e.g., PCM), “L2: Component” (e.g., PCM integrated in tank), “L3: System” (e.g., PCM storage tank integrated in solar thermal system). Moreover, material-level data can be further classified according to the provenance of the underlying domain knowledge into “Structural” (e.g., crystallinity, pore structure, morphology), “Chemical” (e.g., chemical composition, corrosion stability), and “Thermophysical” (e.g., specific heat capacity, thermal conductivity, density) categories. Notably, database classes may span different levels of abstraction; for instance, simulation data may be generated at the material level (e.g., via MD simulations), as well as at the component level (e.g., via CFD-based simulations of component-scale heat transfer), and at the system level (e.g., via </w:t>
      </w:r>
      <w:proofErr w:type="spellStart"/>
      <w:r w:rsidRPr="00A325F9">
        <w:t>multiphysics</w:t>
      </w:r>
      <w:proofErr w:type="spellEnd"/>
      <w:r w:rsidRPr="00A325F9">
        <w:t xml:space="preserve"> simulations of overall system operation). The resulting matrix highlights potential interconnections among different storage technologies, as well as opportunities for knowledge and methodological transfer between them. The presentation will provide a visual mapping of these relationships, further complemented by representative examples of typical descriptors and their underlying data-generation pathways, resolved by storage method, i.e., sensible, latent, and thermochemical heat storage.  </w:t>
      </w:r>
    </w:p>
    <w:p w14:paraId="7ED113BA" w14:textId="7CD026FC" w:rsidR="001A29B9" w:rsidRPr="00A325F9" w:rsidRDefault="001A29B9" w:rsidP="00232370">
      <w:pPr>
        <w:pStyle w:val="SWCText"/>
      </w:pPr>
      <w:r w:rsidRPr="00A325F9">
        <w:t xml:space="preserve">In terms of interoperability and data reuse across existing resources, the arrows in Fig. 1 indicate possible data and parameter dependencies between database classes. Notably, “Fundamental”, “Experimental”, and “Application-oriented” databases can be considered comparatively independent and self-contained resources, whereas “Correlation-based” and “Simulation” databases inherently depend on other data sources. For instance, the latter typically require underlying experimental and/or theory-informed </w:t>
      </w:r>
      <w:proofErr w:type="gramStart"/>
      <w:r w:rsidRPr="00A325F9">
        <w:t>datasets</w:t>
      </w:r>
      <w:proofErr w:type="gramEnd"/>
      <w:r w:rsidRPr="00A325F9">
        <w:t xml:space="preserve"> to derive empirical, regression-based, or ML </w:t>
      </w:r>
      <w:r w:rsidR="005772F5" w:rsidRPr="00A325F9">
        <w:t>models</w:t>
      </w:r>
      <w:r w:rsidRPr="00A325F9">
        <w:t xml:space="preserve">, or to parameterize and perform numerical simulations. </w:t>
      </w:r>
      <w:r w:rsidR="007755C2" w:rsidRPr="00A325F9">
        <w:t xml:space="preserve">Moreover, “Correlation-based” and “Simulation” databases may be mutually connected, </w:t>
      </w:r>
      <w:r w:rsidR="00C7151B" w:rsidRPr="00A325F9">
        <w:t xml:space="preserve">i.e., </w:t>
      </w:r>
      <w:r w:rsidR="007755C2" w:rsidRPr="00A325F9">
        <w:t xml:space="preserve">simulation outputs can </w:t>
      </w:r>
      <w:r w:rsidR="00C7151B" w:rsidRPr="00A325F9">
        <w:t>be used to train</w:t>
      </w:r>
      <w:r w:rsidR="007755C2" w:rsidRPr="00A325F9">
        <w:t xml:space="preserve"> surrogate models that, in turn, </w:t>
      </w:r>
      <w:r w:rsidR="00CF27F7" w:rsidRPr="00A325F9">
        <w:t xml:space="preserve">can </w:t>
      </w:r>
      <w:r w:rsidR="007755C2" w:rsidRPr="00A325F9">
        <w:t xml:space="preserve">accelerate or complement computationally intensive simulations. </w:t>
      </w:r>
      <w:r w:rsidRPr="00A325F9">
        <w:t>Hence, given these dependencies, the identification and characterization of currently available data resources is of particular importance, as it can support cross-database interoperability and, when enabled by common controlled terminologies, standardized data formats, and harmonized metadata schemas, facilitate data reuse.</w:t>
      </w:r>
    </w:p>
    <w:p w14:paraId="1AADE209" w14:textId="3D3D2F7A" w:rsidR="00046EBC" w:rsidRPr="00A325F9" w:rsidRDefault="00E94079" w:rsidP="00046EBC">
      <w:pPr>
        <w:pStyle w:val="SWCText"/>
        <w:keepNext/>
      </w:pPr>
      <w:r w:rsidRPr="00A325F9">
        <w:rPr>
          <w:noProof/>
        </w:rPr>
        <w:lastRenderedPageBreak/>
        <w:drawing>
          <wp:inline distT="0" distB="0" distL="0" distR="0" wp14:anchorId="6F532F8A" wp14:editId="0B5C1F92">
            <wp:extent cx="5761990" cy="6639005"/>
            <wp:effectExtent l="0" t="0" r="0" b="9525"/>
            <wp:docPr id="92706190"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6190" name="Picture 9" descr="A screenshot of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6439" cy="6644131"/>
                    </a:xfrm>
                    <a:prstGeom prst="rect">
                      <a:avLst/>
                    </a:prstGeom>
                  </pic:spPr>
                </pic:pic>
              </a:graphicData>
            </a:graphic>
          </wp:inline>
        </w:drawing>
      </w:r>
    </w:p>
    <w:p w14:paraId="477CD70A" w14:textId="2DF5EFC5" w:rsidR="00046EBC" w:rsidRPr="00D663EF" w:rsidRDefault="00046EBC" w:rsidP="003A7D9D">
      <w:pPr>
        <w:pStyle w:val="Caption"/>
        <w:jc w:val="center"/>
        <w:rPr>
          <w:b/>
          <w:i w:val="0"/>
          <w:iCs w:val="0"/>
          <w:color w:val="000000" w:themeColor="text1"/>
          <w:sz w:val="16"/>
          <w:szCs w:val="20"/>
          <w:lang w:val="en-US"/>
        </w:rPr>
      </w:pPr>
      <w:r w:rsidRPr="00A325F9">
        <w:rPr>
          <w:b/>
          <w:i w:val="0"/>
          <w:iCs w:val="0"/>
          <w:color w:val="000000"/>
          <w:sz w:val="16"/>
          <w:szCs w:val="20"/>
          <w:lang w:val="en-US"/>
        </w:rPr>
        <w:t xml:space="preserve">Figure </w:t>
      </w:r>
      <w:r w:rsidRPr="00A325F9">
        <w:rPr>
          <w:b/>
          <w:i w:val="0"/>
          <w:iCs w:val="0"/>
          <w:color w:val="000000"/>
          <w:sz w:val="16"/>
          <w:szCs w:val="20"/>
          <w:lang w:val="en-US"/>
        </w:rPr>
        <w:fldChar w:fldCharType="begin"/>
      </w:r>
      <w:r w:rsidRPr="00A325F9">
        <w:rPr>
          <w:b/>
          <w:i w:val="0"/>
          <w:iCs w:val="0"/>
          <w:color w:val="000000"/>
          <w:sz w:val="16"/>
          <w:szCs w:val="20"/>
          <w:lang w:val="en-US"/>
        </w:rPr>
        <w:instrText xml:space="preserve"> SEQ Figure \* ARABIC </w:instrText>
      </w:r>
      <w:r w:rsidRPr="00A325F9">
        <w:rPr>
          <w:b/>
          <w:i w:val="0"/>
          <w:iCs w:val="0"/>
          <w:color w:val="000000"/>
          <w:sz w:val="16"/>
          <w:szCs w:val="20"/>
          <w:lang w:val="en-US"/>
        </w:rPr>
        <w:fldChar w:fldCharType="separate"/>
      </w:r>
      <w:r w:rsidR="0013472E">
        <w:rPr>
          <w:b/>
          <w:i w:val="0"/>
          <w:iCs w:val="0"/>
          <w:noProof/>
          <w:color w:val="000000"/>
          <w:sz w:val="16"/>
          <w:szCs w:val="20"/>
          <w:lang w:val="en-US"/>
        </w:rPr>
        <w:t>1</w:t>
      </w:r>
      <w:r w:rsidRPr="00A325F9">
        <w:rPr>
          <w:b/>
          <w:i w:val="0"/>
          <w:iCs w:val="0"/>
          <w:color w:val="000000"/>
          <w:sz w:val="16"/>
          <w:szCs w:val="20"/>
          <w:lang w:val="en-US"/>
        </w:rPr>
        <w:fldChar w:fldCharType="end"/>
      </w:r>
      <w:r w:rsidRPr="00A325F9">
        <w:rPr>
          <w:b/>
          <w:i w:val="0"/>
          <w:iCs w:val="0"/>
          <w:color w:val="000000"/>
          <w:sz w:val="16"/>
          <w:szCs w:val="20"/>
          <w:lang w:val="en-US"/>
        </w:rPr>
        <w:t>: Taxonomy of database classes, indexed by abstraction level. Experimental, correlation-based, and simulation databases span Levels 1 to 3. Red</w:t>
      </w:r>
      <w:r w:rsidR="00A66AE7" w:rsidRPr="00A325F9">
        <w:rPr>
          <w:b/>
          <w:i w:val="0"/>
          <w:iCs w:val="0"/>
          <w:color w:val="000000"/>
          <w:sz w:val="16"/>
          <w:szCs w:val="20"/>
          <w:lang w:val="en-US"/>
        </w:rPr>
        <w:t xml:space="preserve"> solid</w:t>
      </w:r>
      <w:r w:rsidRPr="00A325F9">
        <w:rPr>
          <w:b/>
          <w:i w:val="0"/>
          <w:iCs w:val="0"/>
          <w:color w:val="000000"/>
          <w:sz w:val="16"/>
          <w:szCs w:val="20"/>
          <w:lang w:val="en-US"/>
        </w:rPr>
        <w:t xml:space="preserve"> arrows indicate cross-level dependencies for parameter and data transfer, calibration and validation among </w:t>
      </w:r>
      <w:r w:rsidRPr="00D663EF">
        <w:rPr>
          <w:b/>
          <w:i w:val="0"/>
          <w:iCs w:val="0"/>
          <w:color w:val="000000" w:themeColor="text1"/>
          <w:sz w:val="16"/>
          <w:szCs w:val="20"/>
          <w:lang w:val="en-US"/>
        </w:rPr>
        <w:t>databases</w:t>
      </w:r>
      <w:r w:rsidR="00455012" w:rsidRPr="00D663EF">
        <w:rPr>
          <w:b/>
          <w:i w:val="0"/>
          <w:iCs w:val="0"/>
          <w:color w:val="000000" w:themeColor="text1"/>
          <w:sz w:val="16"/>
          <w:szCs w:val="20"/>
          <w:lang w:val="en-US"/>
        </w:rPr>
        <w:t xml:space="preserve"> </w:t>
      </w:r>
      <w:r w:rsidR="00455012" w:rsidRPr="00D663EF">
        <w:rPr>
          <w:b/>
          <w:i w:val="0"/>
          <w:iCs w:val="0"/>
          <w:color w:val="000000" w:themeColor="text1"/>
          <w:sz w:val="16"/>
          <w:szCs w:val="20"/>
          <w:lang w:val="en-US"/>
        </w:rPr>
        <w:fldChar w:fldCharType="begin"/>
      </w:r>
      <w:r w:rsidR="009A124D" w:rsidRPr="00D663EF">
        <w:rPr>
          <w:b/>
          <w:i w:val="0"/>
          <w:iCs w:val="0"/>
          <w:color w:val="000000" w:themeColor="text1"/>
          <w:sz w:val="16"/>
          <w:szCs w:val="20"/>
          <w:lang w:val="en-US"/>
        </w:rPr>
        <w:instrText xml:space="preserve"> ADDIN ZOTERO_ITEM CSL_CITATION {"citationID":"OG3TxCP5","properties":{"formattedCitation":"(Giordano et al., 2026)","plainCitation":"(Giordano et al., 2026)","noteIndex":0},"citationItems":[{"id":714,"uris":["http://zotero.org/groups/6377877/items/4JYHAULG"],"itemData":{"id":714,"type":"paper-conference","abstract":"A taxonomy of TES databases is proposed, organized by data-generation pathway and level of abstraction, and coupled with a hierarchical framework that maps internal data dependencies and data-flow logic. Based on a survey of 30 databases, diversity across key analytical dimensions – namely scope, methodology, data types, provenance representation, and quality assurance – is quantified, and recurring trends are identified. Together, these contributions aim to foster discussion on more effective cross-database interoperability and to accelerate collaboration within the TES research community.","DOI":"10.21001/eurotherm2026.042","event-title":"Eurotherm seminar #119: Contribution of thermal energy storage towards decarbonization","source":"DOI.org (Crossref)","title":"Toward a Taxonomy of TES Materials Databases: Insights from the IEA ES TCP Task 48 Thermal Materials Database and AIT slPCMlib","title-short":"Toward a Taxonomy of TES Materials Databases","URL":"https://hdl.handle.net/10459.1/470695","author":[{"family":"Giordano","given":"Fabrizia"},{"family":"Ristić","given":"Alenka"},{"family":"Gschwander","given":"Stefan"},{"family":"Barz","given":"Tilman"},{"family":"Rathgeber","given":"Christoph"}],"accessed":{"date-parts":[["2026",8,19]]},"issued":{"date-parts":[["2026"]]}}}],"schema":"https://github.com/citation-style-language/schema/raw/master/csl-citation.json"} </w:instrText>
      </w:r>
      <w:r w:rsidR="00455012" w:rsidRPr="00D663EF">
        <w:rPr>
          <w:b/>
          <w:i w:val="0"/>
          <w:iCs w:val="0"/>
          <w:color w:val="000000" w:themeColor="text1"/>
          <w:sz w:val="16"/>
          <w:szCs w:val="20"/>
          <w:lang w:val="en-US"/>
        </w:rPr>
        <w:fldChar w:fldCharType="separate"/>
      </w:r>
      <w:r w:rsidR="009A124D" w:rsidRPr="00D663EF">
        <w:rPr>
          <w:b/>
          <w:i w:val="0"/>
          <w:iCs w:val="0"/>
          <w:color w:val="000000" w:themeColor="text1"/>
          <w:sz w:val="16"/>
          <w:lang w:val="en-US"/>
        </w:rPr>
        <w:t>(Giordano et al., 2026)</w:t>
      </w:r>
      <w:r w:rsidR="00455012" w:rsidRPr="00D663EF">
        <w:rPr>
          <w:b/>
          <w:i w:val="0"/>
          <w:iCs w:val="0"/>
          <w:color w:val="000000" w:themeColor="text1"/>
          <w:sz w:val="16"/>
          <w:szCs w:val="20"/>
          <w:lang w:val="en-US"/>
        </w:rPr>
        <w:fldChar w:fldCharType="end"/>
      </w:r>
      <w:r w:rsidR="00031DA7" w:rsidRPr="00D663EF">
        <w:rPr>
          <w:b/>
          <w:i w:val="0"/>
          <w:iCs w:val="0"/>
          <w:color w:val="000000" w:themeColor="text1"/>
          <w:sz w:val="16"/>
          <w:szCs w:val="20"/>
          <w:lang w:val="en-US"/>
        </w:rPr>
        <w:t>.</w:t>
      </w:r>
    </w:p>
    <w:p w14:paraId="186E1208" w14:textId="77777777" w:rsidR="007755C2" w:rsidRPr="00A325F9" w:rsidRDefault="007755C2" w:rsidP="007755C2">
      <w:pPr>
        <w:pStyle w:val="SWCText"/>
      </w:pPr>
      <w:r w:rsidRPr="00A325F9">
        <w:t xml:space="preserve">The domain mapping of the reviewed 30 TES databases according to the proposed taxonomy reveals that, allowing for non-exclusive assignment across classes and abstraction levels (i.e., databases may belong to multiple categories), the distribution is clearly dominated by material-level DBs (27 in total). </w:t>
      </w:r>
      <w:proofErr w:type="gramStart"/>
      <w:r w:rsidRPr="00A325F9">
        <w:t>In particular, thermophysical</w:t>
      </w:r>
      <w:proofErr w:type="gramEnd"/>
      <w:r w:rsidRPr="00A325F9">
        <w:t xml:space="preserve"> properties DBs represent the largest share (12 experimental, 10 correlation-based, 2 simulation), followed by chemical DBs (6 experimental, 8 correlation-based, 5 simulation) and structural DBs (6 experimental, 4 correlation-based, 3 simulation). This indicates a strong emphasis on material characterization rather than component- or system-level </w:t>
      </w:r>
      <w:proofErr w:type="gramStart"/>
      <w:r w:rsidRPr="00A325F9">
        <w:t>integration, and</w:t>
      </w:r>
      <w:proofErr w:type="gramEnd"/>
      <w:r w:rsidRPr="00A325F9">
        <w:t xml:space="preserve"> suggests that these resources are comparatively mature and largely self-contained, rather than dependent on other database types. Across these material datasets, experimental and correlation-based databases are most prevalent, denoting higher reliance on measured data and data-driven modeling over purely fundamental or simulation-based approaches. Simulation databases are found only at the material level, suggesting limited data aggregation and standardization at higher abstraction levels. Moreover, </w:t>
      </w:r>
      <w:r w:rsidRPr="00A325F9">
        <w:lastRenderedPageBreak/>
        <w:t>component and system levels (L2–L3) are underrepresented (4 in total), confirming a gap in shared, aggregated datasets addressing integrated TES components and end-to-end systems. Finally, fundamental DBs are only sparsely represented as standalone resources (2 in total). Instead, fundamental knowledge appears to be embedded indirectly within correlation-based and simulation databases.</w:t>
      </w:r>
    </w:p>
    <w:p w14:paraId="3A18C4CD" w14:textId="3589A225" w:rsidR="00CE32A1" w:rsidRPr="00A325F9" w:rsidRDefault="00E26431" w:rsidP="00232370">
      <w:pPr>
        <w:pStyle w:val="SWCText"/>
      </w:pPr>
      <w:r w:rsidRPr="00A325F9">
        <w:t xml:space="preserve">The limited aggregation </w:t>
      </w:r>
      <w:r w:rsidR="00FC19BD" w:rsidRPr="00A325F9">
        <w:t>at the</w:t>
      </w:r>
      <w:r w:rsidRPr="00A325F9">
        <w:t xml:space="preserve"> </w:t>
      </w:r>
      <w:r w:rsidR="003968E0" w:rsidRPr="00A325F9">
        <w:t>“C</w:t>
      </w:r>
      <w:r w:rsidRPr="00A325F9">
        <w:t>omponent</w:t>
      </w:r>
      <w:r w:rsidR="003968E0" w:rsidRPr="00A325F9">
        <w:t>”</w:t>
      </w:r>
      <w:r w:rsidRPr="00A325F9">
        <w:t xml:space="preserve"> and </w:t>
      </w:r>
      <w:r w:rsidR="003968E0" w:rsidRPr="00A325F9">
        <w:t>“S</w:t>
      </w:r>
      <w:r w:rsidRPr="00A325F9">
        <w:t>ystem</w:t>
      </w:r>
      <w:r w:rsidR="00147470" w:rsidRPr="00A325F9">
        <w:t>”</w:t>
      </w:r>
      <w:r w:rsidR="009C6B36" w:rsidRPr="00A325F9">
        <w:t xml:space="preserve"> </w:t>
      </w:r>
      <w:r w:rsidRPr="00A325F9">
        <w:t>level</w:t>
      </w:r>
      <w:r w:rsidR="009C6B36" w:rsidRPr="00A325F9">
        <w:t>s</w:t>
      </w:r>
      <w:r w:rsidRPr="00A325F9">
        <w:t xml:space="preserve"> partly reflect</w:t>
      </w:r>
      <w:r w:rsidR="00355DF9" w:rsidRPr="00A325F9">
        <w:t>s</w:t>
      </w:r>
      <w:r w:rsidRPr="00A325F9">
        <w:t xml:space="preserve"> the increasing </w:t>
      </w:r>
      <w:r w:rsidR="00355DF9" w:rsidRPr="00A325F9">
        <w:t>complexity</w:t>
      </w:r>
      <w:r w:rsidRPr="00A325F9">
        <w:t xml:space="preserve"> of ensuring data comparability at higher levels of abstraction. </w:t>
      </w:r>
      <w:r w:rsidR="00DE6669" w:rsidRPr="00A325F9">
        <w:t>This</w:t>
      </w:r>
      <w:r w:rsidRPr="00A325F9">
        <w:t xml:space="preserve"> requires measurement procedures, performance indicators, and reporting practices that </w:t>
      </w:r>
      <w:r w:rsidR="00E86B8B" w:rsidRPr="00A325F9">
        <w:t>harmonize</w:t>
      </w:r>
      <w:r w:rsidRPr="00A325F9">
        <w:t xml:space="preserve"> relevant sources of variability. Such challenges are already evident at the </w:t>
      </w:r>
      <w:r w:rsidR="003968E0" w:rsidRPr="00A325F9">
        <w:t>“M</w:t>
      </w:r>
      <w:r w:rsidRPr="00A325F9">
        <w:t>aterial</w:t>
      </w:r>
      <w:r w:rsidR="003968E0" w:rsidRPr="00A325F9">
        <w:t>”</w:t>
      </w:r>
      <w:r w:rsidRPr="00A325F9">
        <w:t xml:space="preserve"> level. </w:t>
      </w:r>
      <w:r w:rsidR="00830BA5" w:rsidRPr="00A325F9">
        <w:t xml:space="preserve">For the thermophysical characterization of PCMs, for example, </w:t>
      </w:r>
      <w:r w:rsidR="00F305BA" w:rsidRPr="00A325F9">
        <w:t>enthalpy</w:t>
      </w:r>
      <w:r w:rsidR="00835BEC" w:rsidRPr="00A325F9">
        <w:t>-</w:t>
      </w:r>
      <w:r w:rsidR="00F305BA" w:rsidRPr="00A325F9">
        <w:t>temperature relation</w:t>
      </w:r>
      <w:r w:rsidR="00ED27B5" w:rsidRPr="00A325F9">
        <w:t>s</w:t>
      </w:r>
      <w:r w:rsidR="00F305BA" w:rsidRPr="00A325F9">
        <w:t xml:space="preserve"> </w:t>
      </w:r>
      <w:r w:rsidRPr="00A325F9">
        <w:t xml:space="preserve">can be determined using </w:t>
      </w:r>
      <w:r w:rsidR="007E4C95" w:rsidRPr="00A325F9">
        <w:t>differential scanning calorimetry (DSC)</w:t>
      </w:r>
      <w:r w:rsidRPr="00A325F9">
        <w:t>, T-history, three-layer calorimetry, and related methods</w:t>
      </w:r>
      <w:r w:rsidR="00970ABD" w:rsidRPr="00A325F9">
        <w:t xml:space="preserve"> </w:t>
      </w:r>
      <w:r w:rsidR="00970ABD" w:rsidRPr="00A325F9">
        <w:fldChar w:fldCharType="begin"/>
      </w:r>
      <w:r w:rsidR="00970ABD" w:rsidRPr="00A325F9">
        <w:instrText xml:space="preserve"> ADDIN ZOTERO_ITEM CSL_CITATION {"citationID":"lD0xKI3P","properties":{"formattedCitation":"(Mehling and Cabeza, 2008)","plainCitation":"(Mehling and Cabeza, 2008)","noteIndex":0},"citationItems":[{"id":709,"uris":["http://zotero.org/groups/6377877/items/PVDLNXUE"],"itemData":{"id":709,"type":"book","collection-title":"Heat and Mass Transfer","event-place":"Berlin, Heidelberg","ISBN":"978-3-540-68556-2","language":"en","license":"http://www.springer.com/tdm","note":"DOI: 10.1007/978-3-540-68557-9","publisher":"Springer Berlin Heidelberg","publisher-place":"Berlin, Heidelberg","source":"DOI.org (Crossref)","title":"Heat and cold storage with PCM: An up to date introduction into basics and applications","title-short":"Heat and cold storage with PCM","URL":"http://link.springer.com/10.1007/978-3-540-68557-9","author":[{"family":"Mehling","given":"Harald"},{"family":"Cabeza","given":"Luisa F."}],"collection-editor":[{"family":"Mewes","given":"D."},{"family":"Mayinger","given":"F."}],"accessed":{"date-parts":[["2026",8,7]]},"issued":{"date-parts":[["2008"]]}}}],"schema":"https://github.com/citation-style-language/schema/raw/master/csl-citation.json"} </w:instrText>
      </w:r>
      <w:r w:rsidR="00970ABD" w:rsidRPr="00A325F9">
        <w:fldChar w:fldCharType="separate"/>
      </w:r>
      <w:r w:rsidR="009A124D" w:rsidRPr="009A124D">
        <w:t>(Mehling and Cabeza, 2008)</w:t>
      </w:r>
      <w:r w:rsidR="00970ABD" w:rsidRPr="00A325F9">
        <w:fldChar w:fldCharType="end"/>
      </w:r>
      <w:r w:rsidR="003F2787" w:rsidRPr="00A325F9">
        <w:t xml:space="preserve">. </w:t>
      </w:r>
      <w:r w:rsidR="00835BEC" w:rsidRPr="00A325F9">
        <w:t xml:space="preserve">Even </w:t>
      </w:r>
      <w:r w:rsidR="00AD0682" w:rsidRPr="00A325F9">
        <w:t xml:space="preserve">under a common measurement </w:t>
      </w:r>
      <w:r w:rsidR="00FC38FE" w:rsidRPr="00A325F9">
        <w:t>method</w:t>
      </w:r>
      <w:r w:rsidR="00AD0682" w:rsidRPr="00A325F9">
        <w:t>,</w:t>
      </w:r>
      <w:r w:rsidR="00835BEC" w:rsidRPr="00A325F9">
        <w:t xml:space="preserve"> e.g., DSC, the resulting data may still </w:t>
      </w:r>
      <w:r w:rsidR="00CB153D" w:rsidRPr="00A325F9">
        <w:t xml:space="preserve">vary </w:t>
      </w:r>
      <w:r w:rsidR="00F074A4" w:rsidRPr="00A325F9">
        <w:t>with</w:t>
      </w:r>
      <w:r w:rsidR="00835BEC" w:rsidRPr="00A325F9">
        <w:t xml:space="preserve"> measurement parameters such as heating and cooling rates, sample mass and geometry, crucible type, </w:t>
      </w:r>
      <w:r w:rsidR="00700C52" w:rsidRPr="00A325F9">
        <w:t xml:space="preserve">and purge-gas type and flow rate, </w:t>
      </w:r>
      <w:r w:rsidR="004433B5" w:rsidRPr="00A325F9">
        <w:t>among others</w:t>
      </w:r>
      <w:r w:rsidR="002D19F2" w:rsidRPr="00A325F9">
        <w:t xml:space="preserve"> </w:t>
      </w:r>
      <w:r w:rsidR="003D4861" w:rsidRPr="00A325F9">
        <w:fldChar w:fldCharType="begin"/>
      </w:r>
      <w:r w:rsidR="003D4861" w:rsidRPr="00A325F9">
        <w:instrText xml:space="preserve"> ADDIN ZOTERO_ITEM CSL_CITATION {"citationID":"xT2FOpOP","properties":{"formattedCitation":"(Lager, 2017)","plainCitation":"(Lager, 2017)","noteIndex":0},"citationItems":[{"id":711,"uris":["http://zotero.org/groups/6377877/items/NZDSWEA9"],"itemData":{"id":711,"type":"thesis","abstract":"Thermal Energy Storage (TES) is representing a promising technology for energy conservation and utilizing fluctuating renewable energy sources and waste heat. While Sensible Thermal Energy Storage (STES) systems make use of the enthalpy change due to heat capacity and temperature gradient, Latent Thermal Energy Storage (LTES) systems utilize phase change enthalpies of different phase transitions and Thermochemical Energy Storage (TCES) systems use the heat of chemical reactions or sorption of the storage material. LTES and TCES promise higher energy densities based on higher enthalpy changes during phase transitions or chemical reactions at different temperature levels compared to STES. Due to that, a detailed knowledge of the thermophysical properties is needed, in order to identify the actual energy density but also thermal transport and thermal expansion of the observed storage material. In this work, a literature review on already published TES materials and their thermophysical properties is done. Furthermore the state-of-the art in measurement methodologies for thermophysical properties is shown and applied to different Phase Change Material (PCM) and Thermochemical Material (TCM). Focusing on specific heat capacity, phase transition enthalpy, reaction enthalpy, thermal expansion, density, thermal diffusivity and thermal conductivity, different already standardized but also new measurement methodologies were conducted, compared and evaluated.","language":"en","note":"dimensions: 149 pages\nDOI: 10.34726/HSS.2017.47756\nmedium: application/pdf\npage: 149 pages","publisher":"TU Wien","source":"DOI.org (Datacite)","title":"Evaluation of thermophysical properties for thermal energy storage materials - determining factors, prospects and limitations","URL":"https://repositum.tuwien.at/handle/20.500.12708/2999","author":[{"family":"Lager","given":"Daniel"}],"contributor":[{"family":"Werner","given":"Andreas"},{"family":"Weinberger","given":"Peter"}],"accessed":{"date-parts":[["2026",8,7]]},"issued":{"date-parts":[["2017"]]}}}],"schema":"https://github.com/citation-style-language/schema/raw/master/csl-citation.json"} </w:instrText>
      </w:r>
      <w:r w:rsidR="003D4861" w:rsidRPr="00A325F9">
        <w:fldChar w:fldCharType="separate"/>
      </w:r>
      <w:r w:rsidR="009A124D" w:rsidRPr="009A124D">
        <w:t>(Lager, 2017)</w:t>
      </w:r>
      <w:r w:rsidR="003D4861" w:rsidRPr="00A325F9">
        <w:fldChar w:fldCharType="end"/>
      </w:r>
      <w:r w:rsidR="00835BEC" w:rsidRPr="00A325F9">
        <w:t xml:space="preserve">. Interlaboratory round-robin studies have therefore motivated </w:t>
      </w:r>
      <w:r w:rsidR="00D73920" w:rsidRPr="00A325F9">
        <w:t xml:space="preserve">the development of </w:t>
      </w:r>
      <w:r w:rsidR="00835BEC" w:rsidRPr="00A325F9">
        <w:t>method-specific characterization guidelines and standardized procedures, particularly for latent heat storage materials</w:t>
      </w:r>
      <w:r w:rsidR="00D73920" w:rsidRPr="00A325F9">
        <w:t xml:space="preserve"> </w:t>
      </w:r>
      <w:r w:rsidR="009F01F7" w:rsidRPr="00A325F9">
        <w:fldChar w:fldCharType="begin"/>
      </w:r>
      <w:r w:rsidR="009F01F7" w:rsidRPr="00A325F9">
        <w:instrText xml:space="preserve"> ADDIN ZOTERO_ITEM CSL_CITATION {"citationID":"7HZ38WGY","properties":{"formattedCitation":"(Gschwander et al., 2016)","plainCitation":"(Gschwander et al., 2016)","noteIndex":0},"citationItems":[{"id":683,"uris":["http://zotero.org/groups/6377877/items/L4D5VBS2"],"itemData":{"id":683,"type":"article-journal","abstract":"Differential Scanning Calorimetry (DSC) is a widely used method for the characterization of phase change materials (PCM). Comparative measurements carried out at different laboratories revealed the need for a standardized methodology to reduce the deviations between these results and to determine representative and reliable PCM characteristics data.","DOI":"http://dx.doi.org/10.18462/iir.pcm.2016.0008","language":"en","source":"Zotero","title":"Standardization of PCM Characterization via DSC","author":[{"family":"Gschwander","given":"Stefan"},{"family":"Haussmann","given":"Thomas"},{"family":"Hagelstein","given":"Georg"},{"family":"Sole","given":"Aran"},{"family":"Cabeza","given":"Luisa F"},{"family":"Diarce","given":"Gonzalo"},{"family":"Hohenauer","given":"Wolfgang"},{"family":"Lager","given":"Daniel"},{"family":"Ristic","given":"Alenka"},{"family":"Rathgeber","given":"Christoph"},{"family":"Hennemann","given":"Peter"},{"family":"Mehling","given":"Harald"},{"family":"Peñalosa","given":"Conchita"},{"family":"Lazaro","given":"Ana"}],"issued":{"date-parts":[["2016"]]}}}],"schema":"https://github.com/citation-style-language/schema/raw/master/csl-citation.json"} </w:instrText>
      </w:r>
      <w:r w:rsidR="009F01F7" w:rsidRPr="00A325F9">
        <w:fldChar w:fldCharType="separate"/>
      </w:r>
      <w:r w:rsidR="009A124D" w:rsidRPr="009A124D">
        <w:t>(Gschwander et al., 2016)</w:t>
      </w:r>
      <w:r w:rsidR="009F01F7" w:rsidRPr="00A325F9">
        <w:fldChar w:fldCharType="end"/>
      </w:r>
      <w:r w:rsidR="00835BEC" w:rsidRPr="00A325F9">
        <w:t>.</w:t>
      </w:r>
    </w:p>
    <w:p w14:paraId="7DCFFB59" w14:textId="3F1F59B6" w:rsidR="00E26431" w:rsidRPr="00A325F9" w:rsidRDefault="003F1615" w:rsidP="00232370">
      <w:pPr>
        <w:pStyle w:val="SWCText"/>
      </w:pPr>
      <w:r w:rsidRPr="00A325F9">
        <w:t xml:space="preserve">Data </w:t>
      </w:r>
      <w:r w:rsidR="008A21B6" w:rsidRPr="00A325F9">
        <w:t>comparability</w:t>
      </w:r>
      <w:r w:rsidRPr="00A325F9">
        <w:t xml:space="preserve"> at higher abstraction levels</w:t>
      </w:r>
      <w:r w:rsidR="0019439B" w:rsidRPr="00A325F9">
        <w:t xml:space="preserve"> is</w:t>
      </w:r>
      <w:r w:rsidRPr="00A325F9">
        <w:t xml:space="preserve"> further </w:t>
      </w:r>
      <w:r w:rsidR="0019439B" w:rsidRPr="00A325F9">
        <w:t>affected by</w:t>
      </w:r>
      <w:r w:rsidRPr="00A325F9">
        <w:t xml:space="preserve"> system-specific design features, including heat-exchanger configuration, tank geometry, storage</w:t>
      </w:r>
      <w:r w:rsidR="00586EB4" w:rsidRPr="00A325F9">
        <w:t xml:space="preserve"> </w:t>
      </w:r>
      <w:r w:rsidRPr="00A325F9">
        <w:t xml:space="preserve">material volume and integration, as well as the type, number and placement of sensors. </w:t>
      </w:r>
      <w:r w:rsidR="009418D5" w:rsidRPr="00A325F9">
        <w:t>Moreover, p</w:t>
      </w:r>
      <w:r w:rsidRPr="00A325F9">
        <w:t xml:space="preserve">erformance metrics are additionally influenced by application-specific operating conditions and boundary conditions. </w:t>
      </w:r>
      <w:r w:rsidR="001D383B" w:rsidRPr="00A325F9">
        <w:t>Therefore</w:t>
      </w:r>
      <w:r w:rsidR="00E26431" w:rsidRPr="00A325F9">
        <w:t xml:space="preserve">, </w:t>
      </w:r>
      <w:r w:rsidR="001D383B" w:rsidRPr="00A325F9">
        <w:t>data aggregation at L2–L3 requires not only increased data availability, but also harmonized acquisition</w:t>
      </w:r>
      <w:r w:rsidR="0059367F" w:rsidRPr="00A325F9">
        <w:t xml:space="preserve"> techniques</w:t>
      </w:r>
      <w:r w:rsidR="00C97C5E" w:rsidRPr="00A325F9">
        <w:t>, evaluation methods</w:t>
      </w:r>
      <w:r w:rsidR="0059367F" w:rsidRPr="00A325F9">
        <w:t xml:space="preserve"> and</w:t>
      </w:r>
      <w:r w:rsidR="001D383B" w:rsidRPr="00A325F9">
        <w:t xml:space="preserve"> reporting frameworks that enable meaningful comparability and reuse. </w:t>
      </w:r>
      <w:r w:rsidR="00DD19FD" w:rsidRPr="00A325F9">
        <w:t>This gap motivates ongoing efforts toward component-level testing and interlaboratory comparison</w:t>
      </w:r>
      <w:r w:rsidR="0085535F" w:rsidRPr="00A325F9">
        <w:t>s</w:t>
      </w:r>
      <w:r w:rsidR="00DD19FD" w:rsidRPr="00A325F9">
        <w:t xml:space="preserve"> within IEA ES TCP Task 47</w:t>
      </w:r>
      <w:r w:rsidR="007A4286" w:rsidRPr="00A325F9">
        <w:t xml:space="preserve"> “Components for Thermal Energy Storage”</w:t>
      </w:r>
      <w:r w:rsidR="00840F1C" w:rsidRPr="00A325F9">
        <w:t xml:space="preserve"> </w:t>
      </w:r>
      <w:r w:rsidR="00840F1C" w:rsidRPr="00A325F9">
        <w:fldChar w:fldCharType="begin"/>
      </w:r>
      <w:r w:rsidR="00840F1C" w:rsidRPr="00A325F9">
        <w:instrText xml:space="preserve"> ADDIN ZOTERO_ITEM CSL_CITATION {"citationID":"8y8mP0km","properties":{"formattedCitation":"(IEA ES TCP, 2025a)","plainCitation":"(IEA ES TCP, 2025a)","noteIndex":0},"citationItems":[{"id":712,"uris":["http://zotero.org/groups/6377877/items/YATZGUWV"],"itemData":{"id":712,"type":"webpage","container-title":"Components for Thermal Energy Storage","title":"Task 47","URL":"https://iea-es.org/task-47/","author":[{"literal":"IEA ES TCP"}],"issued":{"date-parts":[["2025"]]}}}],"schema":"https://github.com/citation-style-language/schema/raw/master/csl-citation.json"} </w:instrText>
      </w:r>
      <w:r w:rsidR="00840F1C" w:rsidRPr="00A325F9">
        <w:fldChar w:fldCharType="separate"/>
      </w:r>
      <w:r w:rsidR="009A124D" w:rsidRPr="009A124D">
        <w:t>(IEA ES TCP, 2025a)</w:t>
      </w:r>
      <w:r w:rsidR="00840F1C" w:rsidRPr="00A325F9">
        <w:fldChar w:fldCharType="end"/>
      </w:r>
      <w:r w:rsidR="00DD19FD" w:rsidRPr="00A325F9">
        <w:t>.</w:t>
      </w:r>
    </w:p>
    <w:p w14:paraId="7C35D40A" w14:textId="48F6E517" w:rsidR="00867620" w:rsidRPr="00A325F9" w:rsidRDefault="0096123E" w:rsidP="00867620">
      <w:pPr>
        <w:pStyle w:val="SWCText"/>
      </w:pPr>
      <w:r w:rsidRPr="00A325F9">
        <w:rPr>
          <w:noProof/>
        </w:rPr>
        <w:drawing>
          <wp:inline distT="0" distB="0" distL="0" distR="0" wp14:anchorId="42BF70FB" wp14:editId="54193997">
            <wp:extent cx="5761990" cy="4478020"/>
            <wp:effectExtent l="0" t="0" r="0" b="0"/>
            <wp:docPr id="1596118912" name="Picture 1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18912" name="Picture 11" descr="A screenshot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1990" cy="4478020"/>
                    </a:xfrm>
                    <a:prstGeom prst="rect">
                      <a:avLst/>
                    </a:prstGeom>
                  </pic:spPr>
                </pic:pic>
              </a:graphicData>
            </a:graphic>
          </wp:inline>
        </w:drawing>
      </w:r>
    </w:p>
    <w:p w14:paraId="38148BC7" w14:textId="520B69B3" w:rsidR="00867620" w:rsidRPr="00A325F9" w:rsidRDefault="00867620" w:rsidP="00867620">
      <w:pPr>
        <w:pStyle w:val="Caption"/>
        <w:jc w:val="center"/>
        <w:rPr>
          <w:b/>
          <w:i w:val="0"/>
          <w:iCs w:val="0"/>
          <w:color w:val="000000"/>
          <w:sz w:val="16"/>
          <w:szCs w:val="20"/>
          <w:lang w:val="en-US"/>
        </w:rPr>
      </w:pPr>
      <w:r w:rsidRPr="00A325F9">
        <w:rPr>
          <w:b/>
          <w:i w:val="0"/>
          <w:iCs w:val="0"/>
          <w:color w:val="000000"/>
          <w:sz w:val="16"/>
          <w:szCs w:val="20"/>
          <w:lang w:val="en-US"/>
        </w:rPr>
        <w:t xml:space="preserve">Figure </w:t>
      </w:r>
      <w:r w:rsidR="00147470" w:rsidRPr="00A325F9">
        <w:rPr>
          <w:b/>
          <w:i w:val="0"/>
          <w:iCs w:val="0"/>
          <w:color w:val="000000"/>
          <w:sz w:val="16"/>
          <w:szCs w:val="20"/>
          <w:lang w:val="en-US"/>
        </w:rPr>
        <w:t>2</w:t>
      </w:r>
      <w:r w:rsidRPr="00A325F9">
        <w:rPr>
          <w:b/>
          <w:i w:val="0"/>
          <w:iCs w:val="0"/>
          <w:color w:val="000000"/>
          <w:sz w:val="16"/>
          <w:szCs w:val="20"/>
          <w:lang w:val="en-US"/>
        </w:rPr>
        <w:t>: Database distribution by storage mechanism according to the taxonomy framework.</w:t>
      </w:r>
    </w:p>
    <w:p w14:paraId="1AB2116D" w14:textId="77777777" w:rsidR="00B52D38" w:rsidRPr="00A325F9" w:rsidRDefault="00B52D38" w:rsidP="00232370">
      <w:pPr>
        <w:pStyle w:val="SWCText"/>
      </w:pPr>
    </w:p>
    <w:p w14:paraId="3F29D5B0" w14:textId="05EBF018" w:rsidR="00190B80" w:rsidRPr="00A325F9" w:rsidRDefault="00232370" w:rsidP="00232370">
      <w:pPr>
        <w:pStyle w:val="SWCText"/>
      </w:pPr>
      <w:r w:rsidRPr="00A325F9">
        <w:lastRenderedPageBreak/>
        <w:t>When resolved by storage technology, the mapping reveals additional distinct patterns</w:t>
      </w:r>
      <w:r w:rsidR="00D176D9" w:rsidRPr="00A325F9">
        <w:t xml:space="preserve"> (Fig. 2)</w:t>
      </w:r>
      <w:r w:rsidRPr="00A325F9">
        <w:t xml:space="preserve">. Thermochemical storage exhibits the broadest distribution across database classes and is the only technology represented by standalone fundamental databases, reflecting the greater complexity and broader knowledge representation of the underlying physical and chemical principles. Notably, application-oriented databases at system level are observed only for sensible heat storage, consistent with </w:t>
      </w:r>
      <w:proofErr w:type="gramStart"/>
      <w:r w:rsidRPr="00A325F9">
        <w:t>the higher</w:t>
      </w:r>
      <w:proofErr w:type="gramEnd"/>
      <w:r w:rsidRPr="00A325F9">
        <w:t xml:space="preserve"> maturity, broader deployment, and greater availability of operational and in-situ performance data for these TES technologies. Latent heat storage DBs are concentrated primarily at the material thermophysical level, especially in experimental and correlation-based databases, while remaining weakly represented at both the fundamental and higher abstraction levels. This pattern aligns with the literature, which has primarily focused on calorimetric characterization of PCMs, whereas more recent studies have started addressing this gap through more fundamental thermodynamic approaches, including entropy-based analysis </w:t>
      </w:r>
      <w:r w:rsidR="003D0519" w:rsidRPr="00A325F9">
        <w:fldChar w:fldCharType="begin"/>
      </w:r>
      <w:r w:rsidR="001751F2" w:rsidRPr="00A325F9">
        <w:instrText xml:space="preserve"> ADDIN ZOTERO_ITEM CSL_CITATION {"citationID":"xDAHYKla","properties":{"formattedCitation":"(Mehling, 2025)","plainCitation":"(Mehling, 2025)","noteIndex":0},"citationItems":[{"id":706,"uris":["http://zotero.org/groups/6109278/items/USS67HW7"],"itemData":{"id":706,"type":"article-journal","abstract":"Materials that allow the storage of a significant amount of heat in a narrow temperature range by a solid–liquid or a solid–solid phase change are called Phase Change Materials (PCMs). Understanding the thermodynamics of PCMs is crucial in PCM R&amp;D for identifying candidate materials, developing new PCMs, and optimizing known PCMs. In this work, a review of the use of entropy to understand the thermodynamics of pure substances as PCMs is performed. Among pure substances, water, alkanes, alkanols, and fatty acids are well-known. Because they give valuable information, elements are also included. While phase change enthalpy and temperature are easy to comprehend and are directly used for application, the opposite holds for entropy. Thus, entropy usually receives little attention. However, as this review shows, entropy is of central importance, and even if it is not analyzed explicitly, then it is implicitly included in the data. If explicitly used, it can reveal crucial information. This is shown by a review of analysis tools and their results from analyzing typical PCMs. The review shows that if entropy is used systematically, a significant improvement in the understanding of the thermodynamics of PCMs is possible.","container-title":"Entropy","DOI":"10.3390/e27111130","ISSN":"1099-4300","issue":"11","journalAbbreviation":"Entropy","language":"en","page":"1130","source":"DOI.org (Crossref)","title":"Review of the Use of Entropy to Understand the Thermodynamics of Pure-Substance PCMs","URL":"https://www.mdpi.com/1099-4300/27/11/1130","volume":"27","author":[{"family":"Mehling","given":"Harald"}],"accessed":{"date-parts":[["2026",3,8]]},"issued":{"date-parts":[["2025",10,31]]}}}],"schema":"https://github.com/citation-style-language/schema/raw/master/csl-citation.json"} </w:instrText>
      </w:r>
      <w:r w:rsidR="003D0519" w:rsidRPr="00A325F9">
        <w:fldChar w:fldCharType="separate"/>
      </w:r>
      <w:r w:rsidR="009A124D" w:rsidRPr="009A124D">
        <w:t>(Mehling, 2025)</w:t>
      </w:r>
      <w:r w:rsidR="003D0519" w:rsidRPr="00A325F9">
        <w:fldChar w:fldCharType="end"/>
      </w:r>
      <w:r w:rsidR="008053F8" w:rsidRPr="00A325F9">
        <w:t>.</w:t>
      </w:r>
    </w:p>
    <w:p w14:paraId="3DADB53D" w14:textId="12678494" w:rsidR="005F07BA" w:rsidRPr="00A325F9" w:rsidRDefault="005F07BA" w:rsidP="005F07BA">
      <w:pPr>
        <w:pStyle w:val="SWCHeading1"/>
      </w:pPr>
      <w:r w:rsidRPr="00A325F9">
        <w:t xml:space="preserve">IEA Energy Storage TCP Task 48 Thermal Materials Database </w:t>
      </w:r>
    </w:p>
    <w:p w14:paraId="2EA6D4D6" w14:textId="618C99E4" w:rsidR="00B14652" w:rsidRPr="00A325F9" w:rsidRDefault="00B14652" w:rsidP="00610E9E">
      <w:pPr>
        <w:pStyle w:val="SWCText"/>
      </w:pPr>
      <w:r w:rsidRPr="00A325F9">
        <w:t>ES TCP Task 48</w:t>
      </w:r>
      <w:r w:rsidR="002B2E4E" w:rsidRPr="00A325F9">
        <w:t xml:space="preserve"> </w:t>
      </w:r>
      <w:r w:rsidR="00A60BEA" w:rsidRPr="00A325F9">
        <w:t>“Thermal Energy Storage Materials”</w:t>
      </w:r>
      <w:r w:rsidR="00840F1C" w:rsidRPr="00A325F9">
        <w:t xml:space="preserve"> </w:t>
      </w:r>
      <w:r w:rsidR="002B2E4E" w:rsidRPr="00A325F9">
        <w:fldChar w:fldCharType="begin"/>
      </w:r>
      <w:r w:rsidR="00840F1C" w:rsidRPr="00A325F9">
        <w:instrText xml:space="preserve"> ADDIN ZOTERO_ITEM CSL_CITATION {"citationID":"NRki9g7p","properties":{"formattedCitation":"(IEA ES TCP, 2025b, p. 48)","plainCitation":"(IEA ES TCP, 2025b, p. 48)","noteIndex":0},"citationItems":[{"id":681,"uris":["http://zotero.org/groups/6377877/items/LGG4APAW"],"itemData":{"id":681,"type":"webpage","container-title":"Thermal Energy Storage Materials","title":"Task 48","URL":"https://iea-es.org/task-48/","author":[{"literal":"IEA ES TCP"}],"issued":{"date-parts":[["2025"]]}},"locator":"48"}],"schema":"https://github.com/citation-style-language/schema/raw/master/csl-citation.json"} </w:instrText>
      </w:r>
      <w:r w:rsidR="002B2E4E" w:rsidRPr="00A325F9">
        <w:fldChar w:fldCharType="separate"/>
      </w:r>
      <w:r w:rsidR="009A124D" w:rsidRPr="009A124D">
        <w:t>(IEA ES TCP, 2025b, p. 48)</w:t>
      </w:r>
      <w:r w:rsidR="002B2E4E" w:rsidRPr="00A325F9">
        <w:fldChar w:fldCharType="end"/>
      </w:r>
      <w:r w:rsidRPr="00A325F9">
        <w:t xml:space="preserve"> aims to accelerate research and development of TES materials, and advances the field by developing robust measurement guidelines for key material properties, collecting new and innovative TES materials alongside their synthesis and production pathways, and establishing a “Thermal Materials Database” to support technology development and deployment. The DB (available under: </w:t>
      </w:r>
      <w:hyperlink r:id="rId14" w:history="1">
        <w:r w:rsidR="00546772" w:rsidRPr="00A325F9">
          <w:rPr>
            <w:rStyle w:val="Hyperlink"/>
          </w:rPr>
          <w:t>https://thermalmaterials.org/</w:t>
        </w:r>
      </w:hyperlink>
      <w:r w:rsidR="00546772" w:rsidRPr="00A325F9">
        <w:t>)</w:t>
      </w:r>
      <w:r w:rsidRPr="00A325F9">
        <w:t xml:space="preserve"> can be classified as “Experimental” at “Material” level (L1). Designed to deliver high-quality, standards-compliant thermophysical data for PCMs and TCMs, the DB aligns with established calorimetry guidelines </w:t>
      </w:r>
      <w:r w:rsidR="00546772" w:rsidRPr="00A325F9">
        <w:fldChar w:fldCharType="begin"/>
      </w:r>
      <w:r w:rsidR="001751F2" w:rsidRPr="00A325F9">
        <w:instrText xml:space="preserve"> ADDIN ZOTERO_ITEM CSL_CITATION {"citationID":"LdLc18Y2","properties":{"formattedCitation":"(Gschwander et al., 2016)","plainCitation":"(Gschwander et al., 2016)","noteIndex":0},"citationItems":[{"id":683,"uris":["http://zotero.org/groups/6377877/items/L4D5VBS2"],"itemData":{"id":683,"type":"article-journal","abstract":"Differential Scanning Calorimetry (DSC) is a widely used method for the characterization of phase change materials (PCM). Comparative measurements carried out at different laboratories revealed the need for a standardized methodology to reduce the deviations between these results and to determine representative and reliable PCM characteristics data.","DOI":"http://dx.doi.org/10.18462/iir.pcm.2016.0008","language":"en","source":"Zotero","title":"Standardization of PCM Characterization via DSC","author":[{"family":"Gschwander","given":"Stefan"},{"family":"Haussmann","given":"Thomas"},{"family":"Hagelstein","given":"Georg"},{"family":"Sole","given":"Aran"},{"family":"Cabeza","given":"Luisa F"},{"family":"Diarce","given":"Gonzalo"},{"family":"Hohenauer","given":"Wolfgang"},{"family":"Lager","given":"Daniel"},{"family":"Ristic","given":"Alenka"},{"family":"Rathgeber","given":"Christoph"},{"family":"Hennemann","given":"Peter"},{"family":"Mehling","given":"Harald"},{"family":"Peñalosa","given":"Conchita"},{"family":"Lazaro","given":"Ana"}],"issued":{"date-parts":[["2016"]]}}}],"schema":"https://github.com/citation-style-language/schema/raw/master/csl-citation.json"} </w:instrText>
      </w:r>
      <w:r w:rsidR="00546772" w:rsidRPr="00A325F9">
        <w:fldChar w:fldCharType="separate"/>
      </w:r>
      <w:r w:rsidR="009A124D" w:rsidRPr="009A124D">
        <w:t>(Gschwander et al., 2016)</w:t>
      </w:r>
      <w:r w:rsidR="00546772" w:rsidRPr="00A325F9">
        <w:fldChar w:fldCharType="end"/>
      </w:r>
      <w:r w:rsidR="00707113" w:rsidRPr="00A325F9">
        <w:t xml:space="preserve"> </w:t>
      </w:r>
      <w:r w:rsidRPr="00A325F9">
        <w:t xml:space="preserve">and reports on measurement uncertainty for the published measurement values. Database users can consult, download, and compare measurement datasets via interactive plotting and according to the FAIR principles. Covered properties include, for example: enthalpy, viscosity, and thermal conductivity (PCM), as well as gas isotherms/isobars, and density (TCM). Users are encouraged to contribute to the database expansion via a structured data submission workflow, including a step-by-step upload guide. All submissions undergo mandatory Task-member quality review prior to publication.  </w:t>
      </w:r>
    </w:p>
    <w:p w14:paraId="2A760EB5" w14:textId="4BD96F0F" w:rsidR="00592C06" w:rsidRPr="00A325F9" w:rsidRDefault="00592C06" w:rsidP="00592C06">
      <w:pPr>
        <w:pStyle w:val="SWCHeading1"/>
      </w:pPr>
      <w:r w:rsidRPr="00A325F9">
        <w:t xml:space="preserve">AIT solid-liquid Phase Change Materials library </w:t>
      </w:r>
      <w:proofErr w:type="spellStart"/>
      <w:r w:rsidRPr="00A325F9">
        <w:t>slPCMlib</w:t>
      </w:r>
      <w:proofErr w:type="spellEnd"/>
    </w:p>
    <w:p w14:paraId="3B5EEF80" w14:textId="7051A317" w:rsidR="00E876ED" w:rsidRPr="00A325F9" w:rsidRDefault="00E876ED" w:rsidP="00610E9E">
      <w:pPr>
        <w:pStyle w:val="SWCText"/>
      </w:pPr>
      <w:r w:rsidRPr="00A325F9">
        <w:t xml:space="preserve">The solid-liquid Phase Change Materials library </w:t>
      </w:r>
      <w:proofErr w:type="spellStart"/>
      <w:r w:rsidRPr="00A325F9">
        <w:t>slPCMlib</w:t>
      </w:r>
      <w:proofErr w:type="spellEnd"/>
      <w:r w:rsidRPr="00A325F9">
        <w:t xml:space="preserve"> (available under: </w:t>
      </w:r>
      <w:hyperlink r:id="rId15" w:history="1">
        <w:r w:rsidR="0008016D" w:rsidRPr="00A325F9">
          <w:rPr>
            <w:rStyle w:val="Hyperlink"/>
          </w:rPr>
          <w:t>https://slpcmlib.ait.ac.at/</w:t>
        </w:r>
      </w:hyperlink>
      <w:r w:rsidRPr="00A325F9">
        <w:t xml:space="preserve">) can be classified as “Correlation-based” database at “Material” level (L1) for latent heat storage materials. It contains data, correlations and numerical code for the computation of so-called “effective” thermal material properties of solid/liquid PCMs showing a non-isothermal phase transition behavior. Supported simulation software comprises Python, </w:t>
      </w:r>
      <w:proofErr w:type="spellStart"/>
      <w:r w:rsidRPr="00A325F9">
        <w:t>Matlab</w:t>
      </w:r>
      <w:proofErr w:type="spellEnd"/>
      <w:r w:rsidRPr="00A325F9">
        <w:t xml:space="preserve">, </w:t>
      </w:r>
      <w:proofErr w:type="spellStart"/>
      <w:r w:rsidRPr="00A325F9">
        <w:t>Modelica</w:t>
      </w:r>
      <w:proofErr w:type="spellEnd"/>
      <w:r w:rsidRPr="00A325F9">
        <w:t>/</w:t>
      </w:r>
      <w:proofErr w:type="spellStart"/>
      <w:r w:rsidRPr="00A325F9">
        <w:t>Dymola</w:t>
      </w:r>
      <w:proofErr w:type="spellEnd"/>
      <w:r w:rsidRPr="00A325F9">
        <w:t xml:space="preserve">, and Ansys Fluent, for which the computer code can be directly exported </w:t>
      </w:r>
      <w:r w:rsidRPr="00A325F9">
        <w:fldChar w:fldCharType="begin"/>
      </w:r>
      <w:r w:rsidR="001751F2" w:rsidRPr="00A325F9">
        <w:instrText xml:space="preserve"> ADDIN ZOTERO_ITEM CSL_CITATION {"citationID":"UiTN3VHj","properties":{"formattedCitation":"(Giordano et al., 2025)","plainCitation":"(Giordano et al., 2025)","noteIndex":0},"citationItems":[{"id":705,"uris":["http://zotero.org/groups/6377877/items/4WREUBRL"],"itemData":{"id":705,"type":"article-journal","container-title":"Journal of Energy Storage","DOI":"10.1016/j.est.2025.118793","ISSN":"2352152X","journalAbbreviation":"Journal of Energy Storage","language":"en","page":"118793","source":"DOI.org (Crossref)","title":"Statistical analysis of heat transfer with non-isothermal melting in 116 commercial PCMs using the apparent heat capacity method in ANSYS Fluent","URL":"https://linkinghub.elsevier.com/retrieve/pii/S2352152X25035066","volume":"140","author":[{"family":"Giordano","given":"Fabrizia"},{"family":"Buruzs","given":"Adam"},{"family":"Schieder","given":"Manuel"},{"family":"Goderis","given":"Maité"},{"family":"Beyne","given":"Wim"},{"family":"De Paepe","given":"Michel"},{"family":"Barz","given":"Tilman"}],"accessed":{"date-parts":[["2026",2,10]]},"issued":{"date-parts":[["2025",12]]}}}],"schema":"https://github.com/citation-style-language/schema/raw/master/csl-citation.json"} </w:instrText>
      </w:r>
      <w:r w:rsidRPr="00A325F9">
        <w:fldChar w:fldCharType="separate"/>
      </w:r>
      <w:r w:rsidR="009A124D" w:rsidRPr="009A124D">
        <w:t>(Giordano et al., 2025)</w:t>
      </w:r>
      <w:r w:rsidRPr="00A325F9">
        <w:fldChar w:fldCharType="end"/>
      </w:r>
      <w:r w:rsidRPr="00A325F9">
        <w:t xml:space="preserve">. The database supports interactive plotting, data search, and as additional feature numerical code generation for user-defined PCMs not contained in </w:t>
      </w:r>
      <w:proofErr w:type="spellStart"/>
      <w:r w:rsidRPr="00A325F9">
        <w:t>slPCMlib</w:t>
      </w:r>
      <w:proofErr w:type="spellEnd"/>
      <w:r w:rsidRPr="00A325F9">
        <w:t>.</w:t>
      </w:r>
    </w:p>
    <w:p w14:paraId="3D83E22A" w14:textId="2E3B122D" w:rsidR="003E1E1C" w:rsidRPr="00A325F9" w:rsidRDefault="00D8089D" w:rsidP="00D8089D">
      <w:pPr>
        <w:pStyle w:val="SWCHeading1"/>
        <w:ind w:left="714" w:hanging="357"/>
      </w:pPr>
      <w:r w:rsidRPr="00A325F9">
        <w:t>Conclusions</w:t>
      </w:r>
    </w:p>
    <w:p w14:paraId="565CF7C5" w14:textId="64F6D76F" w:rsidR="00023026" w:rsidRPr="00A325F9" w:rsidRDefault="00023026" w:rsidP="00023026">
      <w:pPr>
        <w:pStyle w:val="SWCText"/>
      </w:pPr>
      <w:r w:rsidRPr="00A325F9">
        <w:t>This study provides a first characterization of the TES data</w:t>
      </w:r>
      <w:r w:rsidR="00434348" w:rsidRPr="00A325F9">
        <w:t>base</w:t>
      </w:r>
      <w:r w:rsidRPr="00A325F9">
        <w:t xml:space="preserve"> landscape, revealing coverage gaps and opportunities for knowledge and method</w:t>
      </w:r>
      <w:r w:rsidR="00FD0A9F" w:rsidRPr="00A325F9">
        <w:t>s</w:t>
      </w:r>
      <w:r w:rsidRPr="00A325F9">
        <w:t xml:space="preserve"> transfer across TES technology domains, while resolving the emerging patterns by thermal energy storage method. </w:t>
      </w:r>
      <w:r w:rsidR="00532255" w:rsidRPr="00A325F9">
        <w:t xml:space="preserve">The proposed taxonomy distinguishes databases by the primary mode of data generation into five classes </w:t>
      </w:r>
      <w:r w:rsidR="00147470" w:rsidRPr="00A325F9">
        <w:t>–</w:t>
      </w:r>
      <w:r w:rsidR="0050392D" w:rsidRPr="00A325F9">
        <w:t xml:space="preserve"> </w:t>
      </w:r>
      <w:r w:rsidR="00532255" w:rsidRPr="00A325F9">
        <w:t>“Fundamental,” “</w:t>
      </w:r>
      <w:r w:rsidR="00DC4B24" w:rsidRPr="00A325F9">
        <w:t>Experimental</w:t>
      </w:r>
      <w:r w:rsidR="00532255" w:rsidRPr="00A325F9">
        <w:t>,” “Correlation-based,” “</w:t>
      </w:r>
      <w:r w:rsidR="00DC4B24" w:rsidRPr="00A325F9">
        <w:t>Simulation</w:t>
      </w:r>
      <w:r w:rsidR="00532255" w:rsidRPr="00A325F9">
        <w:t>,” and “Application-oriented”</w:t>
      </w:r>
      <w:r w:rsidR="00147470" w:rsidRPr="00A325F9">
        <w:rPr>
          <w:rFonts w:ascii="Arial" w:hAnsi="Arial" w:cs="Arial"/>
          <w:color w:val="0D405F"/>
          <w:sz w:val="24"/>
          <w:szCs w:val="24"/>
          <w:shd w:val="clear" w:color="auto" w:fill="FFFFFF"/>
        </w:rPr>
        <w:t xml:space="preserve"> </w:t>
      </w:r>
      <w:r w:rsidR="00147470" w:rsidRPr="00A325F9">
        <w:t xml:space="preserve">– </w:t>
      </w:r>
      <w:r w:rsidR="00532255" w:rsidRPr="00A325F9">
        <w:t xml:space="preserve">and organizes knowledge domains hierarchically according to their level of abstraction, from “Fundamental” (L0) to “Material” (L1), “Component” (L2), and “System” (L3). The </w:t>
      </w:r>
      <w:r w:rsidR="00854231" w:rsidRPr="00A325F9">
        <w:t>analysis</w:t>
      </w:r>
      <w:r w:rsidRPr="00A325F9">
        <w:t xml:space="preserve"> reveals a pronounced concentration of </w:t>
      </w:r>
      <w:r w:rsidR="00854231" w:rsidRPr="00A325F9">
        <w:t>databases</w:t>
      </w:r>
      <w:r w:rsidRPr="00A325F9">
        <w:t xml:space="preserve"> at the “Material” level, particularly for experimentally </w:t>
      </w:r>
      <w:r w:rsidR="00775B35" w:rsidRPr="00A325F9">
        <w:t>determined</w:t>
      </w:r>
      <w:r w:rsidRPr="00A325F9">
        <w:t xml:space="preserve"> thermophysical properties</w:t>
      </w:r>
      <w:r w:rsidR="006147B4" w:rsidRPr="00A325F9">
        <w:t>. For th</w:t>
      </w:r>
      <w:r w:rsidR="006770CF" w:rsidRPr="00A325F9">
        <w:t>is</w:t>
      </w:r>
      <w:r w:rsidR="006147B4" w:rsidRPr="00A325F9">
        <w:t xml:space="preserve"> data,</w:t>
      </w:r>
      <w:r w:rsidRPr="00A325F9">
        <w:t xml:space="preserve"> </w:t>
      </w:r>
      <w:r w:rsidR="0019559B" w:rsidRPr="00A325F9">
        <w:t xml:space="preserve">established characterization standards are already implemented </w:t>
      </w:r>
      <w:r w:rsidR="00DB68FF" w:rsidRPr="00A325F9">
        <w:t xml:space="preserve">in resources such as the IEA ES TCP Task 48 Thermal Materials Database. </w:t>
      </w:r>
      <w:r w:rsidR="00831C0B" w:rsidRPr="00A325F9">
        <w:t xml:space="preserve">In contrast, “Component”- and “System”-level databases remain sparse, reflecting both limited data availability and the greater difficulty of </w:t>
      </w:r>
      <w:r w:rsidR="006F77E2" w:rsidRPr="00A325F9">
        <w:t>data</w:t>
      </w:r>
      <w:r w:rsidR="00546994" w:rsidRPr="00A325F9">
        <w:t xml:space="preserve"> generation and standardization</w:t>
      </w:r>
      <w:r w:rsidR="00831C0B" w:rsidRPr="00A325F9">
        <w:t xml:space="preserve"> across system-specific designs, instrumentation, integration concepts, and operating conditions. </w:t>
      </w:r>
      <w:r w:rsidR="00EE0C02" w:rsidRPr="00A325F9">
        <w:t xml:space="preserve">Closing this aggregation gap will require harmonized measurement procedures, performance indicators, metadata, and reporting practices, supported where appropriate by interlaboratory and round-robin activities. </w:t>
      </w:r>
      <w:r w:rsidRPr="00A325F9">
        <w:t xml:space="preserve">The </w:t>
      </w:r>
      <w:r w:rsidR="00175BB0" w:rsidRPr="00A325F9">
        <w:t>mapping</w:t>
      </w:r>
      <w:r w:rsidRPr="00A325F9">
        <w:t xml:space="preserve"> </w:t>
      </w:r>
      <w:r w:rsidR="00767DFA" w:rsidRPr="00A325F9">
        <w:t>also reveals</w:t>
      </w:r>
      <w:r w:rsidRPr="00A325F9">
        <w:t xml:space="preserve"> </w:t>
      </w:r>
      <w:r w:rsidR="00632CCF" w:rsidRPr="00A325F9">
        <w:t>an uneven</w:t>
      </w:r>
      <w:r w:rsidR="00770E08" w:rsidRPr="00A325F9">
        <w:t xml:space="preserve"> distribution </w:t>
      </w:r>
      <w:r w:rsidR="00283469" w:rsidRPr="00A325F9">
        <w:t xml:space="preserve">across </w:t>
      </w:r>
      <w:r w:rsidR="00D17F0D" w:rsidRPr="00A325F9">
        <w:t xml:space="preserve">databases covering </w:t>
      </w:r>
      <w:r w:rsidR="00283469" w:rsidRPr="00A325F9">
        <w:t>different storage mechanisms</w:t>
      </w:r>
      <w:r w:rsidRPr="00A325F9">
        <w:t xml:space="preserve">. Thermochemical storage </w:t>
      </w:r>
      <w:r w:rsidR="00D54FC3" w:rsidRPr="00A325F9">
        <w:t xml:space="preserve">shows the broadest coverage across </w:t>
      </w:r>
      <w:r w:rsidR="006A5075" w:rsidRPr="00A325F9">
        <w:t xml:space="preserve">database </w:t>
      </w:r>
      <w:r w:rsidR="00507B2D" w:rsidRPr="00A325F9">
        <w:t>classes</w:t>
      </w:r>
      <w:r w:rsidR="00BA500A" w:rsidRPr="00A325F9">
        <w:t xml:space="preserve">, being the only </w:t>
      </w:r>
      <w:r w:rsidR="000A1301" w:rsidRPr="00A325F9">
        <w:t xml:space="preserve">storage </w:t>
      </w:r>
      <w:r w:rsidR="000A1301" w:rsidRPr="00A325F9">
        <w:lastRenderedPageBreak/>
        <w:t>mechanism for which</w:t>
      </w:r>
      <w:r w:rsidR="00D54FC3" w:rsidRPr="00A325F9">
        <w:t xml:space="preserve"> </w:t>
      </w:r>
      <w:r w:rsidR="002F5B39" w:rsidRPr="00A325F9">
        <w:t>“Fundamental”</w:t>
      </w:r>
      <w:r w:rsidR="00D54FC3" w:rsidRPr="00A325F9">
        <w:t xml:space="preserve"> databases</w:t>
      </w:r>
      <w:r w:rsidR="000A1301" w:rsidRPr="00A325F9">
        <w:t xml:space="preserve"> could be identified. </w:t>
      </w:r>
      <w:r w:rsidR="00BD1DF2" w:rsidRPr="00A325F9">
        <w:t>In contrast</w:t>
      </w:r>
      <w:r w:rsidRPr="00A325F9">
        <w:t>, latent</w:t>
      </w:r>
      <w:r w:rsidR="008B39B6" w:rsidRPr="00A325F9">
        <w:t xml:space="preserve"> </w:t>
      </w:r>
      <w:r w:rsidRPr="00A325F9">
        <w:t>heat</w:t>
      </w:r>
      <w:r w:rsidR="008B39B6" w:rsidRPr="00A325F9">
        <w:t xml:space="preserve"> </w:t>
      </w:r>
      <w:r w:rsidRPr="00A325F9">
        <w:t xml:space="preserve">storage </w:t>
      </w:r>
      <w:r w:rsidR="008A2512" w:rsidRPr="00A325F9">
        <w:t xml:space="preserve">databases mainly contain </w:t>
      </w:r>
      <w:r w:rsidRPr="00A325F9">
        <w:t>thermophysical PCM</w:t>
      </w:r>
      <w:r w:rsidR="00E57466" w:rsidRPr="00A325F9">
        <w:t xml:space="preserve"> data</w:t>
      </w:r>
      <w:r w:rsidR="00740F99" w:rsidRPr="00A325F9">
        <w:t xml:space="preserve">, </w:t>
      </w:r>
      <w:r w:rsidR="00E57466" w:rsidRPr="00A325F9">
        <w:t>as part of</w:t>
      </w:r>
      <w:r w:rsidR="00C65E2E" w:rsidRPr="00A325F9">
        <w:t xml:space="preserve"> experimental and correlation-based databases.</w:t>
      </w:r>
      <w:r w:rsidRPr="00A325F9">
        <w:t xml:space="preserve"> </w:t>
      </w:r>
      <w:r w:rsidR="00182958" w:rsidRPr="00A325F9">
        <w:t xml:space="preserve">Finally, </w:t>
      </w:r>
      <w:r w:rsidR="001B073B" w:rsidRPr="00A325F9">
        <w:t>“A</w:t>
      </w:r>
      <w:r w:rsidRPr="00A325F9">
        <w:t>pplication-oriented</w:t>
      </w:r>
      <w:r w:rsidR="001B073B" w:rsidRPr="00A325F9">
        <w:t>”</w:t>
      </w:r>
      <w:r w:rsidRPr="00A325F9">
        <w:t xml:space="preserve"> databases at </w:t>
      </w:r>
      <w:r w:rsidR="009A53D8" w:rsidRPr="00A325F9">
        <w:t>“System”</w:t>
      </w:r>
      <w:r w:rsidRPr="00A325F9">
        <w:t xml:space="preserve"> level are primarily associated with sensible heat storage</w:t>
      </w:r>
      <w:r w:rsidR="00B25B0B" w:rsidRPr="00A325F9">
        <w:t xml:space="preserve"> technologies</w:t>
      </w:r>
      <w:r w:rsidRPr="00A325F9">
        <w:t xml:space="preserve">, </w:t>
      </w:r>
      <w:r w:rsidR="00E16D14" w:rsidRPr="00A325F9">
        <w:t xml:space="preserve">reflecting their greater technological maturity and broader deployment, and consequently the greater availability of operational data. </w:t>
      </w:r>
      <w:r w:rsidRPr="00A325F9">
        <w:t xml:space="preserve">The proposed taxonomy provides a starting </w:t>
      </w:r>
      <w:r w:rsidR="00590F3A" w:rsidRPr="00A325F9">
        <w:t>framework</w:t>
      </w:r>
      <w:r w:rsidRPr="00A325F9">
        <w:t xml:space="preserve"> for the </w:t>
      </w:r>
      <w:r w:rsidR="00590F3A" w:rsidRPr="00A325F9">
        <w:t>systematic characterization and c</w:t>
      </w:r>
      <w:r w:rsidRPr="00A325F9">
        <w:t>oordinated development of a more connected and reusable TES data ecosystem.</w:t>
      </w:r>
      <w:r w:rsidR="008D27FF" w:rsidRPr="00A325F9">
        <w:rPr>
          <w:color w:val="auto"/>
          <w:sz w:val="24"/>
          <w:szCs w:val="24"/>
        </w:rPr>
        <w:t xml:space="preserve"> </w:t>
      </w:r>
      <w:r w:rsidR="003A41D1" w:rsidRPr="00A325F9">
        <w:t xml:space="preserve">Future work should extend the current mapping to additional and complementary </w:t>
      </w:r>
      <w:r w:rsidR="00504E0A" w:rsidRPr="00A325F9">
        <w:t xml:space="preserve">data </w:t>
      </w:r>
      <w:r w:rsidR="003A41D1" w:rsidRPr="00A325F9">
        <w:t>resources and establish clear methodologies and criteria for strengthening cross-database interoperability.</w:t>
      </w:r>
    </w:p>
    <w:p w14:paraId="6D33DB46" w14:textId="77777777" w:rsidR="0041590E" w:rsidRPr="00A325F9" w:rsidRDefault="0041590E" w:rsidP="00610E9E">
      <w:pPr>
        <w:pStyle w:val="SWCHeading1"/>
        <w:ind w:left="714" w:hanging="357"/>
      </w:pPr>
      <w:r w:rsidRPr="00A325F9">
        <w:t>Acknowledgements</w:t>
      </w:r>
    </w:p>
    <w:p w14:paraId="0335BB3A" w14:textId="067A2010" w:rsidR="0087472E" w:rsidRPr="00A325F9" w:rsidRDefault="0087472E" w:rsidP="0087472E">
      <w:pPr>
        <w:pStyle w:val="SWCText"/>
      </w:pPr>
      <w:r w:rsidRPr="00A325F9">
        <w:t xml:space="preserve">ZAE Bayern acknowledges the German Federal Ministry for Economic Affairs and Energy under the project code 03EN6047A. The National Institute of Chemistry Slovenia acknowledges the Slovenian Research and Innovation Agency through the research </w:t>
      </w:r>
      <w:proofErr w:type="spellStart"/>
      <w:r w:rsidRPr="00A325F9">
        <w:t>programme</w:t>
      </w:r>
      <w:proofErr w:type="spellEnd"/>
      <w:r w:rsidRPr="00A325F9">
        <w:t xml:space="preserve"> Nanoporous Materials (P1-0021). AIT acknowledges the European Union Horizon Europe </w:t>
      </w:r>
      <w:proofErr w:type="spellStart"/>
      <w:r w:rsidRPr="00A325F9">
        <w:t>Programme</w:t>
      </w:r>
      <w:proofErr w:type="spellEnd"/>
      <w:r w:rsidRPr="00A325F9">
        <w:t xml:space="preserve"> under grant agreement No. 101096789 (HYSTORE)</w:t>
      </w:r>
      <w:r w:rsidR="00DD60DF" w:rsidRPr="00A325F9">
        <w:t xml:space="preserve">, and </w:t>
      </w:r>
      <w:r w:rsidR="000B1CC0" w:rsidRPr="00A325F9">
        <w:t xml:space="preserve">the European Union Horizon Europe </w:t>
      </w:r>
      <w:proofErr w:type="spellStart"/>
      <w:r w:rsidR="000B1CC0" w:rsidRPr="00A325F9">
        <w:t>Programme</w:t>
      </w:r>
      <w:proofErr w:type="spellEnd"/>
      <w:r w:rsidR="000B1CC0" w:rsidRPr="00A325F9">
        <w:t xml:space="preserve"> under grant agreement No. </w:t>
      </w:r>
      <w:r w:rsidR="0075326C" w:rsidRPr="00A325F9">
        <w:t xml:space="preserve">101136100 </w:t>
      </w:r>
      <w:r w:rsidR="000B1CC0" w:rsidRPr="00A325F9">
        <w:t>(</w:t>
      </w:r>
      <w:r w:rsidR="0075326C" w:rsidRPr="00A325F9">
        <w:t>INTERSTORES</w:t>
      </w:r>
      <w:r w:rsidR="000B1CC0" w:rsidRPr="00A325F9">
        <w:t>)</w:t>
      </w:r>
      <w:r w:rsidR="0075326C" w:rsidRPr="00A325F9">
        <w:t>.</w:t>
      </w:r>
      <w:r w:rsidR="000453D3" w:rsidRPr="00A325F9">
        <w:t xml:space="preserve"> </w:t>
      </w:r>
      <w:r w:rsidR="00073382" w:rsidRPr="00A325F9">
        <w:t>Views and opinions expressed are however those of the author(s) only and do not necessarily reflect those of the European Union or Research Executive Agency. Neither the European Union nor the granting authority can be held responsible for them.</w:t>
      </w:r>
    </w:p>
    <w:p w14:paraId="26DD7C41" w14:textId="53117560" w:rsidR="00D907FB" w:rsidRPr="00A325F9" w:rsidRDefault="002D79D0" w:rsidP="0087472E">
      <w:pPr>
        <w:pStyle w:val="SWCText"/>
      </w:pPr>
      <w:r w:rsidRPr="00A325F9">
        <w:t>The</w:t>
      </w:r>
      <w:r w:rsidR="00D907FB" w:rsidRPr="00A325F9">
        <w:t xml:space="preserve"> authors further acknowledge the International Energy Agency (IEA) Energy Storage Technology Collaboration </w:t>
      </w:r>
      <w:proofErr w:type="spellStart"/>
      <w:r w:rsidR="00D907FB" w:rsidRPr="00A325F9">
        <w:t>Programme</w:t>
      </w:r>
      <w:proofErr w:type="spellEnd"/>
      <w:r w:rsidR="00D907FB" w:rsidRPr="00A325F9">
        <w:t xml:space="preserve"> (ES TCP), Task 48, for providing the framework for international collaboration and scientific exchange that supported this work.</w:t>
      </w:r>
    </w:p>
    <w:p w14:paraId="07DE1F30" w14:textId="531B71B8" w:rsidR="0087472E" w:rsidRPr="00A325F9" w:rsidRDefault="0087472E" w:rsidP="00610E9E">
      <w:pPr>
        <w:pStyle w:val="SWCHeading1"/>
        <w:ind w:left="714" w:hanging="357"/>
      </w:pPr>
      <w:r w:rsidRPr="00A325F9">
        <w:t>References</w:t>
      </w:r>
    </w:p>
    <w:p w14:paraId="0F30E693" w14:textId="77777777" w:rsidR="009A124D" w:rsidRPr="009A124D" w:rsidRDefault="0008016D" w:rsidP="009A124D">
      <w:pPr>
        <w:pStyle w:val="Bibliography"/>
        <w:rPr>
          <w:sz w:val="20"/>
          <w:lang w:val="en-US"/>
        </w:rPr>
      </w:pPr>
      <w:r w:rsidRPr="00A325F9">
        <w:rPr>
          <w:lang w:val="en-US"/>
        </w:rPr>
        <w:fldChar w:fldCharType="begin"/>
      </w:r>
      <w:r w:rsidR="009A124D">
        <w:rPr>
          <w:lang w:val="en-US"/>
        </w:rPr>
        <w:instrText xml:space="preserve"> ADDIN ZOTERO_BIBL {"uncited":[],"omitted":[],"custom":[]} CSL_BIBLIOGRAPHY </w:instrText>
      </w:r>
      <w:r w:rsidRPr="00A325F9">
        <w:rPr>
          <w:lang w:val="en-US"/>
        </w:rPr>
        <w:fldChar w:fldCharType="separate"/>
      </w:r>
      <w:r w:rsidR="009A124D" w:rsidRPr="009A124D">
        <w:rPr>
          <w:sz w:val="20"/>
          <w:lang w:val="en-US"/>
        </w:rPr>
        <w:t>ECHO Project, 2024. Thermal Energy Storage Technologies Dataset. Available at: https://lookerstudio.google.com/reporting/1dd662a1-938f-4dd8-91a9-ef70ccdd72ab/</w:t>
      </w:r>
    </w:p>
    <w:p w14:paraId="620A3C10" w14:textId="77777777" w:rsidR="009A124D" w:rsidRPr="009A124D" w:rsidRDefault="009A124D" w:rsidP="009A124D">
      <w:pPr>
        <w:pStyle w:val="Bibliography"/>
        <w:rPr>
          <w:sz w:val="20"/>
          <w:lang w:val="en-US"/>
        </w:rPr>
      </w:pPr>
      <w:r w:rsidRPr="009A124D">
        <w:rPr>
          <w:sz w:val="20"/>
        </w:rPr>
        <w:t xml:space="preserve">Giordano, F., Buruzs, A., Schieder, M., Goderis, M., Beyne, W., De Paepe, M., Barz, T., 2025. </w:t>
      </w:r>
      <w:r w:rsidRPr="009A124D">
        <w:rPr>
          <w:sz w:val="20"/>
          <w:lang w:val="en-US"/>
        </w:rPr>
        <w:t>Statistical analysis of heat transfer with non-isothermal melting in 116 commercial PCMs using the apparent heat capacity method in ANSYS Fluent. Journal of Energy Storage 140, 118793. https://doi.org/10.1016/j.est.2025.118793</w:t>
      </w:r>
    </w:p>
    <w:p w14:paraId="3DAF2786" w14:textId="77777777" w:rsidR="009A124D" w:rsidRPr="009A124D" w:rsidRDefault="009A124D" w:rsidP="009A124D">
      <w:pPr>
        <w:pStyle w:val="Bibliography"/>
        <w:rPr>
          <w:sz w:val="20"/>
          <w:lang w:val="en-US"/>
        </w:rPr>
      </w:pPr>
      <w:r w:rsidRPr="009A124D">
        <w:rPr>
          <w:sz w:val="20"/>
          <w:lang w:val="en-US"/>
        </w:rPr>
        <w:t xml:space="preserve">Giordano, F., Ristić, A., Gschwander, S., Barz, T., Rathgeber, C., 2026. Toward a Taxonomy of TES Materials Databases: Insights from the IEA ES TCP Task 48 Thermal Materials Database and AIT </w:t>
      </w:r>
      <w:proofErr w:type="spellStart"/>
      <w:r w:rsidRPr="009A124D">
        <w:rPr>
          <w:sz w:val="20"/>
          <w:lang w:val="en-US"/>
        </w:rPr>
        <w:t>slPCMlib</w:t>
      </w:r>
      <w:proofErr w:type="spellEnd"/>
      <w:r w:rsidRPr="009A124D">
        <w:rPr>
          <w:sz w:val="20"/>
          <w:lang w:val="en-US"/>
        </w:rPr>
        <w:t>. Presented at the Eurotherm seminar #119: Contribution of thermal energy storage towards decarbonization. https://doi.org/10.21001/eurotherm2026.042</w:t>
      </w:r>
    </w:p>
    <w:p w14:paraId="038C273C" w14:textId="77777777" w:rsidR="009A124D" w:rsidRPr="009A124D" w:rsidRDefault="009A124D" w:rsidP="009A124D">
      <w:pPr>
        <w:pStyle w:val="Bibliography"/>
        <w:rPr>
          <w:sz w:val="20"/>
          <w:lang w:val="en-US"/>
        </w:rPr>
      </w:pPr>
      <w:r w:rsidRPr="009A124D">
        <w:rPr>
          <w:sz w:val="20"/>
        </w:rPr>
        <w:t xml:space="preserve">Gschwander, S., Haussmann, T., Hagelstein, G., Sole, A., Cabeza, L.F., </w:t>
      </w:r>
      <w:proofErr w:type="spellStart"/>
      <w:r w:rsidRPr="009A124D">
        <w:rPr>
          <w:sz w:val="20"/>
        </w:rPr>
        <w:t>Diarce</w:t>
      </w:r>
      <w:proofErr w:type="spellEnd"/>
      <w:r w:rsidRPr="009A124D">
        <w:rPr>
          <w:sz w:val="20"/>
        </w:rPr>
        <w:t xml:space="preserve">, G., Hohenauer, W., Lager, D., Ristic, A., Rathgeber, C., Hennemann, P., Mehling, H., </w:t>
      </w:r>
      <w:proofErr w:type="spellStart"/>
      <w:r w:rsidRPr="009A124D">
        <w:rPr>
          <w:sz w:val="20"/>
        </w:rPr>
        <w:t>Peñalosa</w:t>
      </w:r>
      <w:proofErr w:type="spellEnd"/>
      <w:r w:rsidRPr="009A124D">
        <w:rPr>
          <w:sz w:val="20"/>
        </w:rPr>
        <w:t xml:space="preserve">, C., Lazaro, A., 2016. </w:t>
      </w:r>
      <w:r w:rsidRPr="009A124D">
        <w:rPr>
          <w:sz w:val="20"/>
          <w:lang w:val="en-US"/>
        </w:rPr>
        <w:t>Standardization of PCM Characterization via DSC. http://dx.doi.org/10.18462/iir.pcm.2016.0008</w:t>
      </w:r>
    </w:p>
    <w:p w14:paraId="32C9DD53" w14:textId="77777777" w:rsidR="009A124D" w:rsidRPr="009A124D" w:rsidRDefault="009A124D" w:rsidP="009A124D">
      <w:pPr>
        <w:pStyle w:val="Bibliography"/>
        <w:rPr>
          <w:sz w:val="20"/>
          <w:lang w:val="en-US"/>
        </w:rPr>
      </w:pPr>
      <w:r w:rsidRPr="009A124D">
        <w:rPr>
          <w:sz w:val="20"/>
          <w:lang w:val="en-US"/>
        </w:rPr>
        <w:t>IEA ES TCP, 2025a. Task 47. Components for Thermal Energy Storage. Available at: https://iea-es.org/task-47/</w:t>
      </w:r>
    </w:p>
    <w:p w14:paraId="053C794B" w14:textId="77777777" w:rsidR="009A124D" w:rsidRPr="009A124D" w:rsidRDefault="009A124D" w:rsidP="009A124D">
      <w:pPr>
        <w:pStyle w:val="Bibliography"/>
        <w:rPr>
          <w:sz w:val="20"/>
          <w:lang w:val="en-US"/>
        </w:rPr>
      </w:pPr>
      <w:r w:rsidRPr="009A124D">
        <w:rPr>
          <w:sz w:val="20"/>
          <w:lang w:val="en-US"/>
        </w:rPr>
        <w:t>IEA ES TCP, 2025b. Task 48. Thermal Energy Storage Materials. Available at: https://iea-es.org/task-48/</w:t>
      </w:r>
    </w:p>
    <w:p w14:paraId="7C05F84D" w14:textId="77777777" w:rsidR="009A124D" w:rsidRPr="009A124D" w:rsidRDefault="009A124D" w:rsidP="009A124D">
      <w:pPr>
        <w:pStyle w:val="Bibliography"/>
        <w:rPr>
          <w:sz w:val="20"/>
          <w:lang w:val="en-US"/>
        </w:rPr>
      </w:pPr>
      <w:r w:rsidRPr="009A124D">
        <w:rPr>
          <w:sz w:val="20"/>
          <w:lang w:val="en-US"/>
        </w:rPr>
        <w:t>International Zeolite Association, 1996. IZA Database of Zeolite Structures. Available at: https://www.iza-structure.org/databases/</w:t>
      </w:r>
    </w:p>
    <w:p w14:paraId="0C139BCF" w14:textId="77777777" w:rsidR="009A124D" w:rsidRPr="009A124D" w:rsidRDefault="009A124D" w:rsidP="009A124D">
      <w:pPr>
        <w:pStyle w:val="Bibliography"/>
        <w:rPr>
          <w:sz w:val="20"/>
          <w:lang w:val="en-US"/>
        </w:rPr>
      </w:pPr>
      <w:r w:rsidRPr="009A124D">
        <w:rPr>
          <w:sz w:val="20"/>
          <w:lang w:val="en-US"/>
        </w:rPr>
        <w:t>Lager, D., 2017. Evaluation of thermophysical properties for thermal energy storage materials - determining factors, prospects and limitations. TU Wien. https://doi.org/10.34726/HSS.2017.47756</w:t>
      </w:r>
    </w:p>
    <w:p w14:paraId="674D1529" w14:textId="77777777" w:rsidR="009A124D" w:rsidRPr="009A124D" w:rsidRDefault="009A124D" w:rsidP="009A124D">
      <w:pPr>
        <w:pStyle w:val="Bibliography"/>
        <w:rPr>
          <w:sz w:val="20"/>
          <w:lang w:val="en-US"/>
        </w:rPr>
      </w:pPr>
      <w:r w:rsidRPr="009A124D">
        <w:rPr>
          <w:sz w:val="20"/>
          <w:lang w:val="en-US"/>
        </w:rPr>
        <w:t>Mehling, H., 2025. Review of the Use of Entropy to Understand the Thermodynamics of Pure-Substance PCMs. Entropy 27, 1130. https://doi.org/10.3390/e27111130</w:t>
      </w:r>
    </w:p>
    <w:p w14:paraId="1331B23E" w14:textId="77777777" w:rsidR="009A124D" w:rsidRPr="009A124D" w:rsidRDefault="009A124D" w:rsidP="009A124D">
      <w:pPr>
        <w:pStyle w:val="Bibliography"/>
        <w:rPr>
          <w:sz w:val="20"/>
          <w:lang w:val="en-US"/>
        </w:rPr>
      </w:pPr>
      <w:r w:rsidRPr="009A124D">
        <w:rPr>
          <w:sz w:val="20"/>
          <w:lang w:val="en-US"/>
        </w:rPr>
        <w:t xml:space="preserve">Mehling, H., Cabeza, L.F., 2008. Heat and cold storage with PCM: An </w:t>
      </w:r>
      <w:proofErr w:type="gramStart"/>
      <w:r w:rsidRPr="009A124D">
        <w:rPr>
          <w:sz w:val="20"/>
          <w:lang w:val="en-US"/>
        </w:rPr>
        <w:t>up to date</w:t>
      </w:r>
      <w:proofErr w:type="gramEnd"/>
      <w:r w:rsidRPr="009A124D">
        <w:rPr>
          <w:sz w:val="20"/>
          <w:lang w:val="en-US"/>
        </w:rPr>
        <w:t xml:space="preserve"> introduction into basics and applications, Heat and Mass Transfer. Springer Berlin Heidelberg, Berlin, Heidelberg. https://doi.org/10.1007/978-3-540-68557-9</w:t>
      </w:r>
    </w:p>
    <w:p w14:paraId="748FC106" w14:textId="77777777" w:rsidR="009A124D" w:rsidRPr="009A124D" w:rsidRDefault="009A124D" w:rsidP="009A124D">
      <w:pPr>
        <w:pStyle w:val="Bibliography"/>
        <w:rPr>
          <w:sz w:val="20"/>
          <w:lang w:val="en-US"/>
        </w:rPr>
      </w:pPr>
      <w:r w:rsidRPr="009A124D">
        <w:rPr>
          <w:sz w:val="20"/>
          <w:lang w:val="en-US"/>
        </w:rPr>
        <w:t xml:space="preserve">National Institute of Standards and Technology, 1996. NIST Chemistry </w:t>
      </w:r>
      <w:proofErr w:type="spellStart"/>
      <w:r w:rsidRPr="009A124D">
        <w:rPr>
          <w:sz w:val="20"/>
          <w:lang w:val="en-US"/>
        </w:rPr>
        <w:t>WebBook</w:t>
      </w:r>
      <w:proofErr w:type="spellEnd"/>
      <w:r w:rsidRPr="009A124D">
        <w:rPr>
          <w:sz w:val="20"/>
          <w:lang w:val="en-US"/>
        </w:rPr>
        <w:t xml:space="preserve"> (SRD 69). Available at: https://webbook.nist.gov/chemistry/</w:t>
      </w:r>
    </w:p>
    <w:p w14:paraId="49ECEE7A" w14:textId="77777777" w:rsidR="009A124D" w:rsidRPr="009A124D" w:rsidRDefault="009A124D" w:rsidP="009A124D">
      <w:pPr>
        <w:pStyle w:val="Bibliography"/>
        <w:rPr>
          <w:sz w:val="20"/>
        </w:rPr>
      </w:pPr>
      <w:r w:rsidRPr="009A124D">
        <w:rPr>
          <w:sz w:val="20"/>
          <w:lang w:val="en-US"/>
        </w:rPr>
        <w:t xml:space="preserve">National Institute of Standards and Technology, 2016. NIST/ARPA-E Database of Novel and Emerging Adsorbent Materials (ISODB). </w:t>
      </w:r>
      <w:proofErr w:type="spellStart"/>
      <w:r w:rsidRPr="009A124D">
        <w:rPr>
          <w:sz w:val="20"/>
        </w:rPr>
        <w:t>Available</w:t>
      </w:r>
      <w:proofErr w:type="spellEnd"/>
      <w:r w:rsidRPr="009A124D">
        <w:rPr>
          <w:sz w:val="20"/>
        </w:rPr>
        <w:t xml:space="preserve"> at: https://adsorption.nist.gov/isodb/</w:t>
      </w:r>
    </w:p>
    <w:p w14:paraId="263188FC" w14:textId="1DCC2754" w:rsidR="008F54F8" w:rsidRPr="00F16A42" w:rsidRDefault="0008016D" w:rsidP="001751F2">
      <w:pPr>
        <w:pStyle w:val="SWCText"/>
      </w:pPr>
      <w:r w:rsidRPr="00A325F9">
        <w:fldChar w:fldCharType="end"/>
      </w:r>
    </w:p>
    <w:sectPr w:rsidR="008F54F8" w:rsidRPr="00F16A42" w:rsidSect="00610E9E">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37FCA" w14:textId="77777777" w:rsidR="007B3D1D" w:rsidRDefault="007B3D1D">
      <w:r>
        <w:separator/>
      </w:r>
    </w:p>
  </w:endnote>
  <w:endnote w:type="continuationSeparator" w:id="0">
    <w:p w14:paraId="450964DD" w14:textId="77777777" w:rsidR="007B3D1D" w:rsidRDefault="007B3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A57A" w14:textId="77777777" w:rsidR="007B3D1D" w:rsidRDefault="007B3D1D">
      <w:r>
        <w:separator/>
      </w:r>
    </w:p>
  </w:footnote>
  <w:footnote w:type="continuationSeparator" w:id="0">
    <w:p w14:paraId="650D4B75" w14:textId="77777777" w:rsidR="007B3D1D" w:rsidRDefault="007B3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5331CC"/>
    <w:multiLevelType w:val="hybridMultilevel"/>
    <w:tmpl w:val="50321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19"/>
  </w:num>
  <w:num w:numId="12" w16cid:durableId="355472642">
    <w:abstractNumId w:val="15"/>
  </w:num>
  <w:num w:numId="13" w16cid:durableId="311523580">
    <w:abstractNumId w:val="7"/>
    <w:lvlOverride w:ilvl="0">
      <w:startOverride w:val="1"/>
    </w:lvlOverride>
  </w:num>
  <w:num w:numId="14" w16cid:durableId="1496726486">
    <w:abstractNumId w:val="18"/>
  </w:num>
  <w:num w:numId="15" w16cid:durableId="1806385346">
    <w:abstractNumId w:val="8"/>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9"/>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778715988">
    <w:abstractNumId w:val="19"/>
  </w:num>
  <w:num w:numId="26" w16cid:durableId="150953143">
    <w:abstractNumId w:val="19"/>
  </w:num>
  <w:num w:numId="27" w16cid:durableId="839194678">
    <w:abstractNumId w:val="19"/>
  </w:num>
  <w:num w:numId="28" w16cid:durableId="1616599028">
    <w:abstractNumId w:val="19"/>
  </w:num>
  <w:num w:numId="29" w16cid:durableId="72091603">
    <w:abstractNumId w:val="19"/>
  </w:num>
  <w:num w:numId="30" w16cid:durableId="717125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09FA"/>
    <w:rsid w:val="00022A9E"/>
    <w:rsid w:val="00023026"/>
    <w:rsid w:val="0002379F"/>
    <w:rsid w:val="00031D49"/>
    <w:rsid w:val="00031DA7"/>
    <w:rsid w:val="00031F13"/>
    <w:rsid w:val="0004235D"/>
    <w:rsid w:val="000453D3"/>
    <w:rsid w:val="00045907"/>
    <w:rsid w:val="00046EBC"/>
    <w:rsid w:val="0005003E"/>
    <w:rsid w:val="000533E4"/>
    <w:rsid w:val="000534F5"/>
    <w:rsid w:val="00053E02"/>
    <w:rsid w:val="00055DB9"/>
    <w:rsid w:val="00057B5E"/>
    <w:rsid w:val="0006598C"/>
    <w:rsid w:val="00065DBE"/>
    <w:rsid w:val="00066B26"/>
    <w:rsid w:val="00066F72"/>
    <w:rsid w:val="000678AC"/>
    <w:rsid w:val="000712A1"/>
    <w:rsid w:val="00073382"/>
    <w:rsid w:val="00074DBF"/>
    <w:rsid w:val="0008016D"/>
    <w:rsid w:val="00085DE6"/>
    <w:rsid w:val="00087723"/>
    <w:rsid w:val="00092ED5"/>
    <w:rsid w:val="00097EAB"/>
    <w:rsid w:val="000A0ADB"/>
    <w:rsid w:val="000A1301"/>
    <w:rsid w:val="000A1CC8"/>
    <w:rsid w:val="000A30A5"/>
    <w:rsid w:val="000A36B5"/>
    <w:rsid w:val="000A52A1"/>
    <w:rsid w:val="000B04BE"/>
    <w:rsid w:val="000B09B5"/>
    <w:rsid w:val="000B1CC0"/>
    <w:rsid w:val="000B1F4D"/>
    <w:rsid w:val="000C0ED7"/>
    <w:rsid w:val="000C2344"/>
    <w:rsid w:val="000C4DD3"/>
    <w:rsid w:val="000D64B9"/>
    <w:rsid w:val="000D6E1A"/>
    <w:rsid w:val="000E1855"/>
    <w:rsid w:val="000E6CBA"/>
    <w:rsid w:val="000F1D2F"/>
    <w:rsid w:val="000F739B"/>
    <w:rsid w:val="00104A76"/>
    <w:rsid w:val="0010501A"/>
    <w:rsid w:val="00115D3B"/>
    <w:rsid w:val="0013222F"/>
    <w:rsid w:val="0013472E"/>
    <w:rsid w:val="00136177"/>
    <w:rsid w:val="00140908"/>
    <w:rsid w:val="00147470"/>
    <w:rsid w:val="0015090D"/>
    <w:rsid w:val="00150B42"/>
    <w:rsid w:val="00150C3E"/>
    <w:rsid w:val="00150FF6"/>
    <w:rsid w:val="001521A0"/>
    <w:rsid w:val="001547D5"/>
    <w:rsid w:val="00155FB8"/>
    <w:rsid w:val="00156558"/>
    <w:rsid w:val="00157CE5"/>
    <w:rsid w:val="00161DAA"/>
    <w:rsid w:val="001647D2"/>
    <w:rsid w:val="00166C42"/>
    <w:rsid w:val="00172E8C"/>
    <w:rsid w:val="001751F2"/>
    <w:rsid w:val="00175BB0"/>
    <w:rsid w:val="00176A53"/>
    <w:rsid w:val="00176EF6"/>
    <w:rsid w:val="00182958"/>
    <w:rsid w:val="001904A7"/>
    <w:rsid w:val="00190B80"/>
    <w:rsid w:val="00190C5B"/>
    <w:rsid w:val="0019232E"/>
    <w:rsid w:val="0019439B"/>
    <w:rsid w:val="00194E9A"/>
    <w:rsid w:val="0019559B"/>
    <w:rsid w:val="001968B5"/>
    <w:rsid w:val="001969B9"/>
    <w:rsid w:val="001A117A"/>
    <w:rsid w:val="001A29B9"/>
    <w:rsid w:val="001A6742"/>
    <w:rsid w:val="001A775B"/>
    <w:rsid w:val="001A7F40"/>
    <w:rsid w:val="001B073B"/>
    <w:rsid w:val="001B13D6"/>
    <w:rsid w:val="001B6BCF"/>
    <w:rsid w:val="001B7B01"/>
    <w:rsid w:val="001C3A3D"/>
    <w:rsid w:val="001C63A2"/>
    <w:rsid w:val="001D0384"/>
    <w:rsid w:val="001D383B"/>
    <w:rsid w:val="001D4912"/>
    <w:rsid w:val="001E2B93"/>
    <w:rsid w:val="001F1AAA"/>
    <w:rsid w:val="001F2881"/>
    <w:rsid w:val="001F555C"/>
    <w:rsid w:val="001F6CF6"/>
    <w:rsid w:val="00204150"/>
    <w:rsid w:val="00205626"/>
    <w:rsid w:val="00206116"/>
    <w:rsid w:val="00212628"/>
    <w:rsid w:val="0022299B"/>
    <w:rsid w:val="00225724"/>
    <w:rsid w:val="00227135"/>
    <w:rsid w:val="00232370"/>
    <w:rsid w:val="00233009"/>
    <w:rsid w:val="002331FE"/>
    <w:rsid w:val="00243214"/>
    <w:rsid w:val="00246A4A"/>
    <w:rsid w:val="002470B2"/>
    <w:rsid w:val="00247A55"/>
    <w:rsid w:val="00250442"/>
    <w:rsid w:val="002647A0"/>
    <w:rsid w:val="00266E47"/>
    <w:rsid w:val="00270E75"/>
    <w:rsid w:val="0027288C"/>
    <w:rsid w:val="00273341"/>
    <w:rsid w:val="00273F38"/>
    <w:rsid w:val="002812EE"/>
    <w:rsid w:val="00281D0B"/>
    <w:rsid w:val="00283469"/>
    <w:rsid w:val="002877CB"/>
    <w:rsid w:val="00291A6E"/>
    <w:rsid w:val="00291E86"/>
    <w:rsid w:val="00295855"/>
    <w:rsid w:val="002972D1"/>
    <w:rsid w:val="002A04A9"/>
    <w:rsid w:val="002A0FE4"/>
    <w:rsid w:val="002A39BB"/>
    <w:rsid w:val="002A6A8A"/>
    <w:rsid w:val="002B2E4E"/>
    <w:rsid w:val="002B417A"/>
    <w:rsid w:val="002C089D"/>
    <w:rsid w:val="002C101B"/>
    <w:rsid w:val="002C68AD"/>
    <w:rsid w:val="002D19F2"/>
    <w:rsid w:val="002D322C"/>
    <w:rsid w:val="002D4864"/>
    <w:rsid w:val="002D698C"/>
    <w:rsid w:val="002D79D0"/>
    <w:rsid w:val="002E46F4"/>
    <w:rsid w:val="002E5D62"/>
    <w:rsid w:val="002E7439"/>
    <w:rsid w:val="002E7E0F"/>
    <w:rsid w:val="002F1386"/>
    <w:rsid w:val="002F1D87"/>
    <w:rsid w:val="002F376E"/>
    <w:rsid w:val="002F5B39"/>
    <w:rsid w:val="002F6B87"/>
    <w:rsid w:val="0030141F"/>
    <w:rsid w:val="003025DB"/>
    <w:rsid w:val="00303345"/>
    <w:rsid w:val="0031685E"/>
    <w:rsid w:val="00326DC4"/>
    <w:rsid w:val="00333BE5"/>
    <w:rsid w:val="003347E0"/>
    <w:rsid w:val="003357AC"/>
    <w:rsid w:val="0035079D"/>
    <w:rsid w:val="003552A3"/>
    <w:rsid w:val="00355DF9"/>
    <w:rsid w:val="0035638A"/>
    <w:rsid w:val="003605B9"/>
    <w:rsid w:val="003609A8"/>
    <w:rsid w:val="00362122"/>
    <w:rsid w:val="00364A52"/>
    <w:rsid w:val="003730CF"/>
    <w:rsid w:val="00373F97"/>
    <w:rsid w:val="0037406D"/>
    <w:rsid w:val="00374216"/>
    <w:rsid w:val="0037432A"/>
    <w:rsid w:val="00381B08"/>
    <w:rsid w:val="00383BA7"/>
    <w:rsid w:val="0038545D"/>
    <w:rsid w:val="003869E8"/>
    <w:rsid w:val="00391288"/>
    <w:rsid w:val="00393777"/>
    <w:rsid w:val="00395E5A"/>
    <w:rsid w:val="00395F5E"/>
    <w:rsid w:val="003968E0"/>
    <w:rsid w:val="0039742D"/>
    <w:rsid w:val="003A3A38"/>
    <w:rsid w:val="003A41D1"/>
    <w:rsid w:val="003A486E"/>
    <w:rsid w:val="003A4E49"/>
    <w:rsid w:val="003A7D9D"/>
    <w:rsid w:val="003A7DB9"/>
    <w:rsid w:val="003B2055"/>
    <w:rsid w:val="003C0806"/>
    <w:rsid w:val="003C18DE"/>
    <w:rsid w:val="003C1B31"/>
    <w:rsid w:val="003C2B1A"/>
    <w:rsid w:val="003C2B7F"/>
    <w:rsid w:val="003C39C6"/>
    <w:rsid w:val="003C7E95"/>
    <w:rsid w:val="003D0519"/>
    <w:rsid w:val="003D0C22"/>
    <w:rsid w:val="003D1FC1"/>
    <w:rsid w:val="003D4861"/>
    <w:rsid w:val="003D6941"/>
    <w:rsid w:val="003D71E7"/>
    <w:rsid w:val="003E1E1C"/>
    <w:rsid w:val="003F0403"/>
    <w:rsid w:val="003F1615"/>
    <w:rsid w:val="003F2787"/>
    <w:rsid w:val="003F5530"/>
    <w:rsid w:val="003F5B99"/>
    <w:rsid w:val="004019FD"/>
    <w:rsid w:val="00403E6A"/>
    <w:rsid w:val="004053B5"/>
    <w:rsid w:val="0040615A"/>
    <w:rsid w:val="00411E29"/>
    <w:rsid w:val="004127FA"/>
    <w:rsid w:val="00413B55"/>
    <w:rsid w:val="0041590E"/>
    <w:rsid w:val="004171D5"/>
    <w:rsid w:val="0042033E"/>
    <w:rsid w:val="00423AF6"/>
    <w:rsid w:val="00427719"/>
    <w:rsid w:val="00434348"/>
    <w:rsid w:val="004357AD"/>
    <w:rsid w:val="00437D88"/>
    <w:rsid w:val="004433B5"/>
    <w:rsid w:val="00446FFD"/>
    <w:rsid w:val="00453296"/>
    <w:rsid w:val="00455012"/>
    <w:rsid w:val="00456421"/>
    <w:rsid w:val="00460A51"/>
    <w:rsid w:val="00467DFD"/>
    <w:rsid w:val="00476879"/>
    <w:rsid w:val="00487C74"/>
    <w:rsid w:val="00490F10"/>
    <w:rsid w:val="00492241"/>
    <w:rsid w:val="00492458"/>
    <w:rsid w:val="00493C81"/>
    <w:rsid w:val="00494006"/>
    <w:rsid w:val="004A14C9"/>
    <w:rsid w:val="004A3506"/>
    <w:rsid w:val="004B0CD4"/>
    <w:rsid w:val="004C39AD"/>
    <w:rsid w:val="004C4EE9"/>
    <w:rsid w:val="004C6BF3"/>
    <w:rsid w:val="004D3BFD"/>
    <w:rsid w:val="004E5D79"/>
    <w:rsid w:val="004E7A1B"/>
    <w:rsid w:val="004F4505"/>
    <w:rsid w:val="004F4904"/>
    <w:rsid w:val="004F5FF9"/>
    <w:rsid w:val="00500640"/>
    <w:rsid w:val="00500D7D"/>
    <w:rsid w:val="0050392D"/>
    <w:rsid w:val="00504E0A"/>
    <w:rsid w:val="005067AC"/>
    <w:rsid w:val="00507B2D"/>
    <w:rsid w:val="00514890"/>
    <w:rsid w:val="0051584D"/>
    <w:rsid w:val="00515C0A"/>
    <w:rsid w:val="00521A24"/>
    <w:rsid w:val="00522A16"/>
    <w:rsid w:val="0052515B"/>
    <w:rsid w:val="0053048D"/>
    <w:rsid w:val="00532138"/>
    <w:rsid w:val="00532255"/>
    <w:rsid w:val="005329F1"/>
    <w:rsid w:val="0053532A"/>
    <w:rsid w:val="00536B07"/>
    <w:rsid w:val="005404F1"/>
    <w:rsid w:val="00540930"/>
    <w:rsid w:val="00543092"/>
    <w:rsid w:val="00544D85"/>
    <w:rsid w:val="00546772"/>
    <w:rsid w:val="00546994"/>
    <w:rsid w:val="00547CDD"/>
    <w:rsid w:val="00550776"/>
    <w:rsid w:val="00556004"/>
    <w:rsid w:val="00566460"/>
    <w:rsid w:val="0057075C"/>
    <w:rsid w:val="005721F8"/>
    <w:rsid w:val="00573875"/>
    <w:rsid w:val="005772F5"/>
    <w:rsid w:val="005836C7"/>
    <w:rsid w:val="00586EB4"/>
    <w:rsid w:val="00587B8A"/>
    <w:rsid w:val="00590F3A"/>
    <w:rsid w:val="00591E31"/>
    <w:rsid w:val="00592C06"/>
    <w:rsid w:val="0059367F"/>
    <w:rsid w:val="005A43DF"/>
    <w:rsid w:val="005B041E"/>
    <w:rsid w:val="005B3E86"/>
    <w:rsid w:val="005B6F55"/>
    <w:rsid w:val="005D1066"/>
    <w:rsid w:val="005D3549"/>
    <w:rsid w:val="005D5CF6"/>
    <w:rsid w:val="005E04EA"/>
    <w:rsid w:val="005E0D7D"/>
    <w:rsid w:val="005E7208"/>
    <w:rsid w:val="005F07BA"/>
    <w:rsid w:val="005F106F"/>
    <w:rsid w:val="006014AF"/>
    <w:rsid w:val="00607C4E"/>
    <w:rsid w:val="00610E9E"/>
    <w:rsid w:val="00613AF9"/>
    <w:rsid w:val="006147B4"/>
    <w:rsid w:val="0061732F"/>
    <w:rsid w:val="0062257E"/>
    <w:rsid w:val="00625BC2"/>
    <w:rsid w:val="00625FC8"/>
    <w:rsid w:val="00627E34"/>
    <w:rsid w:val="006309AA"/>
    <w:rsid w:val="00632CCF"/>
    <w:rsid w:val="00633473"/>
    <w:rsid w:val="006379BD"/>
    <w:rsid w:val="0064403B"/>
    <w:rsid w:val="006500EC"/>
    <w:rsid w:val="00652071"/>
    <w:rsid w:val="00652D7E"/>
    <w:rsid w:val="00653551"/>
    <w:rsid w:val="0065563B"/>
    <w:rsid w:val="0066264E"/>
    <w:rsid w:val="00665471"/>
    <w:rsid w:val="00667F94"/>
    <w:rsid w:val="006722C6"/>
    <w:rsid w:val="006770CF"/>
    <w:rsid w:val="006926C5"/>
    <w:rsid w:val="00692A0F"/>
    <w:rsid w:val="00692D7F"/>
    <w:rsid w:val="00693265"/>
    <w:rsid w:val="006A0AE2"/>
    <w:rsid w:val="006A2F10"/>
    <w:rsid w:val="006A46AB"/>
    <w:rsid w:val="006A5075"/>
    <w:rsid w:val="006A77D0"/>
    <w:rsid w:val="006B3D49"/>
    <w:rsid w:val="006B4C9F"/>
    <w:rsid w:val="006C22B5"/>
    <w:rsid w:val="006C756C"/>
    <w:rsid w:val="006D19E1"/>
    <w:rsid w:val="006D4A96"/>
    <w:rsid w:val="006E5994"/>
    <w:rsid w:val="006F3259"/>
    <w:rsid w:val="006F5B85"/>
    <w:rsid w:val="006F77E2"/>
    <w:rsid w:val="00700C52"/>
    <w:rsid w:val="00702AE0"/>
    <w:rsid w:val="00707113"/>
    <w:rsid w:val="00711AB6"/>
    <w:rsid w:val="00714306"/>
    <w:rsid w:val="007174DA"/>
    <w:rsid w:val="007219BC"/>
    <w:rsid w:val="00722B51"/>
    <w:rsid w:val="00725ED2"/>
    <w:rsid w:val="007400DF"/>
    <w:rsid w:val="00740F99"/>
    <w:rsid w:val="00745A90"/>
    <w:rsid w:val="0075326C"/>
    <w:rsid w:val="007535ED"/>
    <w:rsid w:val="0075406E"/>
    <w:rsid w:val="00756702"/>
    <w:rsid w:val="007575A9"/>
    <w:rsid w:val="00762EA3"/>
    <w:rsid w:val="00764645"/>
    <w:rsid w:val="00767DFA"/>
    <w:rsid w:val="00770E08"/>
    <w:rsid w:val="00771BA5"/>
    <w:rsid w:val="0077401B"/>
    <w:rsid w:val="007755C2"/>
    <w:rsid w:val="00775A44"/>
    <w:rsid w:val="00775B35"/>
    <w:rsid w:val="007763CB"/>
    <w:rsid w:val="00777231"/>
    <w:rsid w:val="007804A7"/>
    <w:rsid w:val="007908F6"/>
    <w:rsid w:val="007954D9"/>
    <w:rsid w:val="007A4286"/>
    <w:rsid w:val="007A5FFF"/>
    <w:rsid w:val="007A7952"/>
    <w:rsid w:val="007B0BDB"/>
    <w:rsid w:val="007B33DF"/>
    <w:rsid w:val="007B3D1D"/>
    <w:rsid w:val="007C11BD"/>
    <w:rsid w:val="007C1632"/>
    <w:rsid w:val="007C36EF"/>
    <w:rsid w:val="007C6BDE"/>
    <w:rsid w:val="007C7F6A"/>
    <w:rsid w:val="007D0678"/>
    <w:rsid w:val="007D1C2C"/>
    <w:rsid w:val="007D79DF"/>
    <w:rsid w:val="007E226D"/>
    <w:rsid w:val="007E4C95"/>
    <w:rsid w:val="007E7634"/>
    <w:rsid w:val="00800E25"/>
    <w:rsid w:val="00801634"/>
    <w:rsid w:val="0080537B"/>
    <w:rsid w:val="008053F8"/>
    <w:rsid w:val="0080689D"/>
    <w:rsid w:val="00812BA8"/>
    <w:rsid w:val="008219CF"/>
    <w:rsid w:val="00823869"/>
    <w:rsid w:val="00830BA5"/>
    <w:rsid w:val="008314FC"/>
    <w:rsid w:val="00831C0B"/>
    <w:rsid w:val="00833E73"/>
    <w:rsid w:val="00834062"/>
    <w:rsid w:val="00835BEC"/>
    <w:rsid w:val="00837104"/>
    <w:rsid w:val="00840E8F"/>
    <w:rsid w:val="00840F1C"/>
    <w:rsid w:val="0084100F"/>
    <w:rsid w:val="00843AC9"/>
    <w:rsid w:val="00843DDF"/>
    <w:rsid w:val="00844F36"/>
    <w:rsid w:val="0084543A"/>
    <w:rsid w:val="00845AE3"/>
    <w:rsid w:val="00854231"/>
    <w:rsid w:val="0085535F"/>
    <w:rsid w:val="00865606"/>
    <w:rsid w:val="00865D6D"/>
    <w:rsid w:val="00867620"/>
    <w:rsid w:val="0087241B"/>
    <w:rsid w:val="0087472E"/>
    <w:rsid w:val="008861AD"/>
    <w:rsid w:val="00893500"/>
    <w:rsid w:val="00896BAB"/>
    <w:rsid w:val="00896D2F"/>
    <w:rsid w:val="008A0437"/>
    <w:rsid w:val="008A21B6"/>
    <w:rsid w:val="008A2512"/>
    <w:rsid w:val="008B39B6"/>
    <w:rsid w:val="008B618F"/>
    <w:rsid w:val="008C4063"/>
    <w:rsid w:val="008D27DC"/>
    <w:rsid w:val="008D27FF"/>
    <w:rsid w:val="008D3E38"/>
    <w:rsid w:val="008D44C5"/>
    <w:rsid w:val="008D7E85"/>
    <w:rsid w:val="008E19FF"/>
    <w:rsid w:val="008E3037"/>
    <w:rsid w:val="008E53FF"/>
    <w:rsid w:val="008E5DA6"/>
    <w:rsid w:val="008E6870"/>
    <w:rsid w:val="008F249D"/>
    <w:rsid w:val="008F54F8"/>
    <w:rsid w:val="008F69E0"/>
    <w:rsid w:val="009011AA"/>
    <w:rsid w:val="009015EF"/>
    <w:rsid w:val="00904774"/>
    <w:rsid w:val="00906CC3"/>
    <w:rsid w:val="00917531"/>
    <w:rsid w:val="00917D56"/>
    <w:rsid w:val="009249ED"/>
    <w:rsid w:val="0092795F"/>
    <w:rsid w:val="00931C9D"/>
    <w:rsid w:val="00933A00"/>
    <w:rsid w:val="00933BFD"/>
    <w:rsid w:val="00941691"/>
    <w:rsid w:val="009418D5"/>
    <w:rsid w:val="00942AED"/>
    <w:rsid w:val="00944E25"/>
    <w:rsid w:val="00953F15"/>
    <w:rsid w:val="00957D6A"/>
    <w:rsid w:val="0096123E"/>
    <w:rsid w:val="009642AB"/>
    <w:rsid w:val="0096724E"/>
    <w:rsid w:val="00970ABD"/>
    <w:rsid w:val="00976A7F"/>
    <w:rsid w:val="00982BCB"/>
    <w:rsid w:val="00982D4F"/>
    <w:rsid w:val="00993F03"/>
    <w:rsid w:val="0099435F"/>
    <w:rsid w:val="00996BC5"/>
    <w:rsid w:val="009A124D"/>
    <w:rsid w:val="009A53D8"/>
    <w:rsid w:val="009A6D34"/>
    <w:rsid w:val="009B4816"/>
    <w:rsid w:val="009B48C1"/>
    <w:rsid w:val="009C1BA8"/>
    <w:rsid w:val="009C2D0D"/>
    <w:rsid w:val="009C3098"/>
    <w:rsid w:val="009C3492"/>
    <w:rsid w:val="009C49C6"/>
    <w:rsid w:val="009C5AA4"/>
    <w:rsid w:val="009C6B36"/>
    <w:rsid w:val="009D02D4"/>
    <w:rsid w:val="009D60E3"/>
    <w:rsid w:val="009E0D67"/>
    <w:rsid w:val="009E3DC3"/>
    <w:rsid w:val="009E4985"/>
    <w:rsid w:val="009E5295"/>
    <w:rsid w:val="009E5D3A"/>
    <w:rsid w:val="009F01F7"/>
    <w:rsid w:val="009F16C5"/>
    <w:rsid w:val="009F3E11"/>
    <w:rsid w:val="009F6AF8"/>
    <w:rsid w:val="009F6E78"/>
    <w:rsid w:val="009F7A4B"/>
    <w:rsid w:val="009F7C7E"/>
    <w:rsid w:val="00A01148"/>
    <w:rsid w:val="00A02A69"/>
    <w:rsid w:val="00A10A57"/>
    <w:rsid w:val="00A208D6"/>
    <w:rsid w:val="00A23ED5"/>
    <w:rsid w:val="00A31DC5"/>
    <w:rsid w:val="00A325F9"/>
    <w:rsid w:val="00A32CF9"/>
    <w:rsid w:val="00A40C81"/>
    <w:rsid w:val="00A42C35"/>
    <w:rsid w:val="00A436CD"/>
    <w:rsid w:val="00A5180B"/>
    <w:rsid w:val="00A557F7"/>
    <w:rsid w:val="00A55E36"/>
    <w:rsid w:val="00A60BEA"/>
    <w:rsid w:val="00A630B8"/>
    <w:rsid w:val="00A6457C"/>
    <w:rsid w:val="00A66AE7"/>
    <w:rsid w:val="00A8223C"/>
    <w:rsid w:val="00A86A38"/>
    <w:rsid w:val="00A8757B"/>
    <w:rsid w:val="00A92044"/>
    <w:rsid w:val="00A9727D"/>
    <w:rsid w:val="00AA16B9"/>
    <w:rsid w:val="00AA47DC"/>
    <w:rsid w:val="00AB624E"/>
    <w:rsid w:val="00AC12B3"/>
    <w:rsid w:val="00AC2C09"/>
    <w:rsid w:val="00AC6B6F"/>
    <w:rsid w:val="00AD0682"/>
    <w:rsid w:val="00AD5767"/>
    <w:rsid w:val="00AE11FC"/>
    <w:rsid w:val="00AE4256"/>
    <w:rsid w:val="00AE6354"/>
    <w:rsid w:val="00AF0416"/>
    <w:rsid w:val="00AF15AF"/>
    <w:rsid w:val="00AF6EB4"/>
    <w:rsid w:val="00B01141"/>
    <w:rsid w:val="00B02E33"/>
    <w:rsid w:val="00B04CF2"/>
    <w:rsid w:val="00B06851"/>
    <w:rsid w:val="00B1189C"/>
    <w:rsid w:val="00B12803"/>
    <w:rsid w:val="00B14652"/>
    <w:rsid w:val="00B17BF5"/>
    <w:rsid w:val="00B214A1"/>
    <w:rsid w:val="00B22D5C"/>
    <w:rsid w:val="00B25B0B"/>
    <w:rsid w:val="00B263F0"/>
    <w:rsid w:val="00B2716E"/>
    <w:rsid w:val="00B30F22"/>
    <w:rsid w:val="00B31661"/>
    <w:rsid w:val="00B31DDD"/>
    <w:rsid w:val="00B31E96"/>
    <w:rsid w:val="00B32703"/>
    <w:rsid w:val="00B431EE"/>
    <w:rsid w:val="00B47522"/>
    <w:rsid w:val="00B5097B"/>
    <w:rsid w:val="00B52D38"/>
    <w:rsid w:val="00B54313"/>
    <w:rsid w:val="00B561EA"/>
    <w:rsid w:val="00B607E3"/>
    <w:rsid w:val="00B60B5F"/>
    <w:rsid w:val="00B631D3"/>
    <w:rsid w:val="00B6496F"/>
    <w:rsid w:val="00B65FBF"/>
    <w:rsid w:val="00B8064D"/>
    <w:rsid w:val="00B80F06"/>
    <w:rsid w:val="00B827C6"/>
    <w:rsid w:val="00B83EF0"/>
    <w:rsid w:val="00B84CEB"/>
    <w:rsid w:val="00B86327"/>
    <w:rsid w:val="00B93F09"/>
    <w:rsid w:val="00B948B8"/>
    <w:rsid w:val="00BA23FC"/>
    <w:rsid w:val="00BA3036"/>
    <w:rsid w:val="00BA500A"/>
    <w:rsid w:val="00BB1390"/>
    <w:rsid w:val="00BB78C9"/>
    <w:rsid w:val="00BC738E"/>
    <w:rsid w:val="00BD0576"/>
    <w:rsid w:val="00BD0E1F"/>
    <w:rsid w:val="00BD1DF2"/>
    <w:rsid w:val="00BE50D0"/>
    <w:rsid w:val="00BF16FE"/>
    <w:rsid w:val="00C00523"/>
    <w:rsid w:val="00C00D2F"/>
    <w:rsid w:val="00C012F5"/>
    <w:rsid w:val="00C05AD8"/>
    <w:rsid w:val="00C068BC"/>
    <w:rsid w:val="00C17081"/>
    <w:rsid w:val="00C17AFC"/>
    <w:rsid w:val="00C20A85"/>
    <w:rsid w:val="00C24EF0"/>
    <w:rsid w:val="00C27FD4"/>
    <w:rsid w:val="00C365E2"/>
    <w:rsid w:val="00C44EFB"/>
    <w:rsid w:val="00C55264"/>
    <w:rsid w:val="00C558A8"/>
    <w:rsid w:val="00C56300"/>
    <w:rsid w:val="00C626C8"/>
    <w:rsid w:val="00C65538"/>
    <w:rsid w:val="00C65E2E"/>
    <w:rsid w:val="00C6695C"/>
    <w:rsid w:val="00C7151B"/>
    <w:rsid w:val="00C727F2"/>
    <w:rsid w:val="00C80A8E"/>
    <w:rsid w:val="00C81903"/>
    <w:rsid w:val="00C86C20"/>
    <w:rsid w:val="00C96884"/>
    <w:rsid w:val="00C97946"/>
    <w:rsid w:val="00C97C5E"/>
    <w:rsid w:val="00CA4F91"/>
    <w:rsid w:val="00CA67F7"/>
    <w:rsid w:val="00CA6A18"/>
    <w:rsid w:val="00CA7ABB"/>
    <w:rsid w:val="00CB07B8"/>
    <w:rsid w:val="00CB153D"/>
    <w:rsid w:val="00CB57E5"/>
    <w:rsid w:val="00CB7EE8"/>
    <w:rsid w:val="00CC0BDA"/>
    <w:rsid w:val="00CC3B0C"/>
    <w:rsid w:val="00CC445A"/>
    <w:rsid w:val="00CD4EFC"/>
    <w:rsid w:val="00CE32A1"/>
    <w:rsid w:val="00CE432C"/>
    <w:rsid w:val="00CE6DBB"/>
    <w:rsid w:val="00CE6DDE"/>
    <w:rsid w:val="00CF27F7"/>
    <w:rsid w:val="00CF393F"/>
    <w:rsid w:val="00CF5388"/>
    <w:rsid w:val="00D05160"/>
    <w:rsid w:val="00D0520C"/>
    <w:rsid w:val="00D07448"/>
    <w:rsid w:val="00D13A36"/>
    <w:rsid w:val="00D14555"/>
    <w:rsid w:val="00D176D9"/>
    <w:rsid w:val="00D17DCC"/>
    <w:rsid w:val="00D17F0D"/>
    <w:rsid w:val="00D21331"/>
    <w:rsid w:val="00D31359"/>
    <w:rsid w:val="00D32EF0"/>
    <w:rsid w:val="00D34665"/>
    <w:rsid w:val="00D35E52"/>
    <w:rsid w:val="00D36FA6"/>
    <w:rsid w:val="00D41E9A"/>
    <w:rsid w:val="00D43557"/>
    <w:rsid w:val="00D44F99"/>
    <w:rsid w:val="00D53F31"/>
    <w:rsid w:val="00D54FC3"/>
    <w:rsid w:val="00D5584D"/>
    <w:rsid w:val="00D62269"/>
    <w:rsid w:val="00D62EDC"/>
    <w:rsid w:val="00D63D44"/>
    <w:rsid w:val="00D64DEC"/>
    <w:rsid w:val="00D663EF"/>
    <w:rsid w:val="00D6781F"/>
    <w:rsid w:val="00D67A41"/>
    <w:rsid w:val="00D73920"/>
    <w:rsid w:val="00D8089D"/>
    <w:rsid w:val="00D830CB"/>
    <w:rsid w:val="00D907FB"/>
    <w:rsid w:val="00D90A1A"/>
    <w:rsid w:val="00D976DC"/>
    <w:rsid w:val="00DA244B"/>
    <w:rsid w:val="00DA7F88"/>
    <w:rsid w:val="00DB3C6D"/>
    <w:rsid w:val="00DB52E7"/>
    <w:rsid w:val="00DB68FF"/>
    <w:rsid w:val="00DC0318"/>
    <w:rsid w:val="00DC4B24"/>
    <w:rsid w:val="00DD19FD"/>
    <w:rsid w:val="00DD1D5F"/>
    <w:rsid w:val="00DD60DF"/>
    <w:rsid w:val="00DE0269"/>
    <w:rsid w:val="00DE2395"/>
    <w:rsid w:val="00DE6669"/>
    <w:rsid w:val="00DF297D"/>
    <w:rsid w:val="00E012C5"/>
    <w:rsid w:val="00E023A9"/>
    <w:rsid w:val="00E04E6D"/>
    <w:rsid w:val="00E07D1B"/>
    <w:rsid w:val="00E1006D"/>
    <w:rsid w:val="00E16C94"/>
    <w:rsid w:val="00E16D14"/>
    <w:rsid w:val="00E218E2"/>
    <w:rsid w:val="00E23899"/>
    <w:rsid w:val="00E23FEE"/>
    <w:rsid w:val="00E26431"/>
    <w:rsid w:val="00E31CA6"/>
    <w:rsid w:val="00E402AF"/>
    <w:rsid w:val="00E51F91"/>
    <w:rsid w:val="00E53F82"/>
    <w:rsid w:val="00E548A7"/>
    <w:rsid w:val="00E54BB5"/>
    <w:rsid w:val="00E57466"/>
    <w:rsid w:val="00E57E49"/>
    <w:rsid w:val="00E61C50"/>
    <w:rsid w:val="00E65D4A"/>
    <w:rsid w:val="00E7237D"/>
    <w:rsid w:val="00E86B8B"/>
    <w:rsid w:val="00E86D78"/>
    <w:rsid w:val="00E876ED"/>
    <w:rsid w:val="00E917F8"/>
    <w:rsid w:val="00E9249A"/>
    <w:rsid w:val="00E94079"/>
    <w:rsid w:val="00EA34C6"/>
    <w:rsid w:val="00EA50D7"/>
    <w:rsid w:val="00EA56BF"/>
    <w:rsid w:val="00EB3A0B"/>
    <w:rsid w:val="00EB45B6"/>
    <w:rsid w:val="00EB731E"/>
    <w:rsid w:val="00EB7D17"/>
    <w:rsid w:val="00EC3533"/>
    <w:rsid w:val="00EC3E33"/>
    <w:rsid w:val="00ED27B5"/>
    <w:rsid w:val="00ED7123"/>
    <w:rsid w:val="00EE0C02"/>
    <w:rsid w:val="00EE40FA"/>
    <w:rsid w:val="00EF2F33"/>
    <w:rsid w:val="00EF548E"/>
    <w:rsid w:val="00EF596C"/>
    <w:rsid w:val="00EF70A3"/>
    <w:rsid w:val="00EF79A2"/>
    <w:rsid w:val="00F0298C"/>
    <w:rsid w:val="00F06DFE"/>
    <w:rsid w:val="00F074A4"/>
    <w:rsid w:val="00F07750"/>
    <w:rsid w:val="00F07D65"/>
    <w:rsid w:val="00F10047"/>
    <w:rsid w:val="00F16A42"/>
    <w:rsid w:val="00F16D5C"/>
    <w:rsid w:val="00F305BA"/>
    <w:rsid w:val="00F30A77"/>
    <w:rsid w:val="00F4393F"/>
    <w:rsid w:val="00F46A3A"/>
    <w:rsid w:val="00F50875"/>
    <w:rsid w:val="00F5375D"/>
    <w:rsid w:val="00F54415"/>
    <w:rsid w:val="00F5454E"/>
    <w:rsid w:val="00F715C3"/>
    <w:rsid w:val="00F718BD"/>
    <w:rsid w:val="00F71F42"/>
    <w:rsid w:val="00F77F3D"/>
    <w:rsid w:val="00F80296"/>
    <w:rsid w:val="00F80507"/>
    <w:rsid w:val="00F81F48"/>
    <w:rsid w:val="00F83CD3"/>
    <w:rsid w:val="00F85F61"/>
    <w:rsid w:val="00F94BC5"/>
    <w:rsid w:val="00F95487"/>
    <w:rsid w:val="00F95DEF"/>
    <w:rsid w:val="00FA1553"/>
    <w:rsid w:val="00FA4DF8"/>
    <w:rsid w:val="00FB0A35"/>
    <w:rsid w:val="00FB18FC"/>
    <w:rsid w:val="00FB45FB"/>
    <w:rsid w:val="00FC09A1"/>
    <w:rsid w:val="00FC1374"/>
    <w:rsid w:val="00FC1781"/>
    <w:rsid w:val="00FC19BD"/>
    <w:rsid w:val="00FC244F"/>
    <w:rsid w:val="00FC38FE"/>
    <w:rsid w:val="00FD0A9F"/>
    <w:rsid w:val="00FD170F"/>
    <w:rsid w:val="00FD79DA"/>
    <w:rsid w:val="00FE2ADC"/>
    <w:rsid w:val="00FE5997"/>
    <w:rsid w:val="00FF0950"/>
    <w:rsid w:val="00FF5484"/>
    <w:rsid w:val="00FF5A1D"/>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uiPriority w:val="99"/>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customStyle="1" w:styleId="Afiliation">
    <w:name w:val="Afiliation"/>
    <w:basedOn w:val="Normal"/>
    <w:uiPriority w:val="99"/>
    <w:rsid w:val="007575A9"/>
    <w:pPr>
      <w:jc w:val="center"/>
    </w:pPr>
    <w:rPr>
      <w:rFonts w:eastAsia="Calibri"/>
      <w:sz w:val="20"/>
      <w:szCs w:val="20"/>
      <w:lang w:val="es-ES" w:eastAsia="es-ES"/>
    </w:rPr>
  </w:style>
  <w:style w:type="paragraph" w:styleId="Caption">
    <w:name w:val="caption"/>
    <w:basedOn w:val="Normal"/>
    <w:next w:val="Normal"/>
    <w:uiPriority w:val="35"/>
    <w:unhideWhenUsed/>
    <w:qFormat/>
    <w:rsid w:val="00295855"/>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546772"/>
    <w:rPr>
      <w:color w:val="605E5C"/>
      <w:shd w:val="clear" w:color="auto" w:fill="E1DFDD"/>
    </w:rPr>
  </w:style>
  <w:style w:type="paragraph" w:styleId="Bibliography">
    <w:name w:val="Bibliography"/>
    <w:basedOn w:val="Normal"/>
    <w:next w:val="Normal"/>
    <w:uiPriority w:val="37"/>
    <w:unhideWhenUsed/>
    <w:rsid w:val="0008016D"/>
    <w:pPr>
      <w:ind w:left="720" w:hanging="720"/>
    </w:pPr>
  </w:style>
  <w:style w:type="paragraph" w:styleId="NormalWeb">
    <w:name w:val="Normal (Web)"/>
    <w:basedOn w:val="Normal"/>
    <w:uiPriority w:val="99"/>
    <w:semiHidden/>
    <w:unhideWhenUsed/>
    <w:rsid w:val="00301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385">
      <w:bodyDiv w:val="1"/>
      <w:marLeft w:val="0"/>
      <w:marRight w:val="0"/>
      <w:marTop w:val="0"/>
      <w:marBottom w:val="0"/>
      <w:divBdr>
        <w:top w:val="none" w:sz="0" w:space="0" w:color="auto"/>
        <w:left w:val="none" w:sz="0" w:space="0" w:color="auto"/>
        <w:bottom w:val="none" w:sz="0" w:space="0" w:color="auto"/>
        <w:right w:val="none" w:sz="0" w:space="0" w:color="auto"/>
      </w:divBdr>
    </w:div>
    <w:div w:id="266737050">
      <w:bodyDiv w:val="1"/>
      <w:marLeft w:val="0"/>
      <w:marRight w:val="0"/>
      <w:marTop w:val="0"/>
      <w:marBottom w:val="0"/>
      <w:divBdr>
        <w:top w:val="none" w:sz="0" w:space="0" w:color="auto"/>
        <w:left w:val="none" w:sz="0" w:space="0" w:color="auto"/>
        <w:bottom w:val="none" w:sz="0" w:space="0" w:color="auto"/>
        <w:right w:val="none" w:sz="0" w:space="0" w:color="auto"/>
      </w:divBdr>
    </w:div>
    <w:div w:id="492070105">
      <w:bodyDiv w:val="1"/>
      <w:marLeft w:val="0"/>
      <w:marRight w:val="0"/>
      <w:marTop w:val="0"/>
      <w:marBottom w:val="0"/>
      <w:divBdr>
        <w:top w:val="none" w:sz="0" w:space="0" w:color="auto"/>
        <w:left w:val="none" w:sz="0" w:space="0" w:color="auto"/>
        <w:bottom w:val="none" w:sz="0" w:space="0" w:color="auto"/>
        <w:right w:val="none" w:sz="0" w:space="0" w:color="auto"/>
      </w:divBdr>
      <w:divsChild>
        <w:div w:id="1822846421">
          <w:marLeft w:val="0"/>
          <w:marRight w:val="0"/>
          <w:marTop w:val="0"/>
          <w:marBottom w:val="0"/>
          <w:divBdr>
            <w:top w:val="none" w:sz="0" w:space="0" w:color="auto"/>
            <w:left w:val="none" w:sz="0" w:space="0" w:color="auto"/>
            <w:bottom w:val="none" w:sz="0" w:space="0" w:color="auto"/>
            <w:right w:val="none" w:sz="0" w:space="0" w:color="auto"/>
          </w:divBdr>
          <w:divsChild>
            <w:div w:id="2138058278">
              <w:marLeft w:val="0"/>
              <w:marRight w:val="0"/>
              <w:marTop w:val="0"/>
              <w:marBottom w:val="0"/>
              <w:divBdr>
                <w:top w:val="none" w:sz="0" w:space="0" w:color="auto"/>
                <w:left w:val="none" w:sz="0" w:space="0" w:color="auto"/>
                <w:bottom w:val="none" w:sz="0" w:space="0" w:color="auto"/>
                <w:right w:val="none" w:sz="0" w:space="0" w:color="auto"/>
              </w:divBdr>
              <w:divsChild>
                <w:div w:id="1657999958">
                  <w:marLeft w:val="0"/>
                  <w:marRight w:val="0"/>
                  <w:marTop w:val="0"/>
                  <w:marBottom w:val="0"/>
                  <w:divBdr>
                    <w:top w:val="none" w:sz="0" w:space="0" w:color="auto"/>
                    <w:left w:val="none" w:sz="0" w:space="0" w:color="auto"/>
                    <w:bottom w:val="none" w:sz="0" w:space="0" w:color="auto"/>
                    <w:right w:val="none" w:sz="0" w:space="0" w:color="auto"/>
                  </w:divBdr>
                  <w:divsChild>
                    <w:div w:id="1098913990">
                      <w:marLeft w:val="0"/>
                      <w:marRight w:val="0"/>
                      <w:marTop w:val="0"/>
                      <w:marBottom w:val="0"/>
                      <w:divBdr>
                        <w:top w:val="none" w:sz="0" w:space="0" w:color="auto"/>
                        <w:left w:val="none" w:sz="0" w:space="0" w:color="auto"/>
                        <w:bottom w:val="none" w:sz="0" w:space="0" w:color="auto"/>
                        <w:right w:val="none" w:sz="0" w:space="0" w:color="auto"/>
                      </w:divBdr>
                      <w:divsChild>
                        <w:div w:id="27218498">
                          <w:marLeft w:val="0"/>
                          <w:marRight w:val="0"/>
                          <w:marTop w:val="0"/>
                          <w:marBottom w:val="0"/>
                          <w:divBdr>
                            <w:top w:val="none" w:sz="0" w:space="0" w:color="auto"/>
                            <w:left w:val="none" w:sz="0" w:space="0" w:color="auto"/>
                            <w:bottom w:val="none" w:sz="0" w:space="0" w:color="auto"/>
                            <w:right w:val="none" w:sz="0" w:space="0" w:color="auto"/>
                          </w:divBdr>
                          <w:divsChild>
                            <w:div w:id="957175494">
                              <w:marLeft w:val="0"/>
                              <w:marRight w:val="0"/>
                              <w:marTop w:val="0"/>
                              <w:marBottom w:val="0"/>
                              <w:divBdr>
                                <w:top w:val="none" w:sz="0" w:space="0" w:color="auto"/>
                                <w:left w:val="none" w:sz="0" w:space="0" w:color="auto"/>
                                <w:bottom w:val="none" w:sz="0" w:space="0" w:color="auto"/>
                                <w:right w:val="none" w:sz="0" w:space="0" w:color="auto"/>
                              </w:divBdr>
                              <w:divsChild>
                                <w:div w:id="172261326">
                                  <w:marLeft w:val="0"/>
                                  <w:marRight w:val="0"/>
                                  <w:marTop w:val="0"/>
                                  <w:marBottom w:val="0"/>
                                  <w:divBdr>
                                    <w:top w:val="none" w:sz="0" w:space="0" w:color="auto"/>
                                    <w:left w:val="none" w:sz="0" w:space="0" w:color="auto"/>
                                    <w:bottom w:val="none" w:sz="0" w:space="0" w:color="auto"/>
                                    <w:right w:val="none" w:sz="0" w:space="0" w:color="auto"/>
                                  </w:divBdr>
                                  <w:divsChild>
                                    <w:div w:id="6600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177532">
      <w:bodyDiv w:val="1"/>
      <w:marLeft w:val="0"/>
      <w:marRight w:val="0"/>
      <w:marTop w:val="0"/>
      <w:marBottom w:val="0"/>
      <w:divBdr>
        <w:top w:val="none" w:sz="0" w:space="0" w:color="auto"/>
        <w:left w:val="none" w:sz="0" w:space="0" w:color="auto"/>
        <w:bottom w:val="none" w:sz="0" w:space="0" w:color="auto"/>
        <w:right w:val="none" w:sz="0" w:space="0" w:color="auto"/>
      </w:divBdr>
    </w:div>
    <w:div w:id="776948368">
      <w:bodyDiv w:val="1"/>
      <w:marLeft w:val="0"/>
      <w:marRight w:val="0"/>
      <w:marTop w:val="0"/>
      <w:marBottom w:val="0"/>
      <w:divBdr>
        <w:top w:val="none" w:sz="0" w:space="0" w:color="auto"/>
        <w:left w:val="none" w:sz="0" w:space="0" w:color="auto"/>
        <w:bottom w:val="none" w:sz="0" w:space="0" w:color="auto"/>
        <w:right w:val="none" w:sz="0" w:space="0" w:color="auto"/>
      </w:divBdr>
      <w:divsChild>
        <w:div w:id="1566640944">
          <w:marLeft w:val="0"/>
          <w:marRight w:val="0"/>
          <w:marTop w:val="0"/>
          <w:marBottom w:val="0"/>
          <w:divBdr>
            <w:top w:val="none" w:sz="0" w:space="0" w:color="auto"/>
            <w:left w:val="none" w:sz="0" w:space="0" w:color="auto"/>
            <w:bottom w:val="none" w:sz="0" w:space="0" w:color="auto"/>
            <w:right w:val="none" w:sz="0" w:space="0" w:color="auto"/>
          </w:divBdr>
          <w:divsChild>
            <w:div w:id="1100639362">
              <w:marLeft w:val="0"/>
              <w:marRight w:val="0"/>
              <w:marTop w:val="0"/>
              <w:marBottom w:val="0"/>
              <w:divBdr>
                <w:top w:val="none" w:sz="0" w:space="0" w:color="auto"/>
                <w:left w:val="none" w:sz="0" w:space="0" w:color="auto"/>
                <w:bottom w:val="none" w:sz="0" w:space="0" w:color="auto"/>
                <w:right w:val="none" w:sz="0" w:space="0" w:color="auto"/>
              </w:divBdr>
              <w:divsChild>
                <w:div w:id="184290063">
                  <w:marLeft w:val="0"/>
                  <w:marRight w:val="0"/>
                  <w:marTop w:val="0"/>
                  <w:marBottom w:val="0"/>
                  <w:divBdr>
                    <w:top w:val="none" w:sz="0" w:space="0" w:color="auto"/>
                    <w:left w:val="none" w:sz="0" w:space="0" w:color="auto"/>
                    <w:bottom w:val="none" w:sz="0" w:space="0" w:color="auto"/>
                    <w:right w:val="none" w:sz="0" w:space="0" w:color="auto"/>
                  </w:divBdr>
                  <w:divsChild>
                    <w:div w:id="588974958">
                      <w:marLeft w:val="0"/>
                      <w:marRight w:val="0"/>
                      <w:marTop w:val="0"/>
                      <w:marBottom w:val="0"/>
                      <w:divBdr>
                        <w:top w:val="none" w:sz="0" w:space="0" w:color="auto"/>
                        <w:left w:val="none" w:sz="0" w:space="0" w:color="auto"/>
                        <w:bottom w:val="none" w:sz="0" w:space="0" w:color="auto"/>
                        <w:right w:val="none" w:sz="0" w:space="0" w:color="auto"/>
                      </w:divBdr>
                      <w:divsChild>
                        <w:div w:id="1413310369">
                          <w:marLeft w:val="0"/>
                          <w:marRight w:val="0"/>
                          <w:marTop w:val="0"/>
                          <w:marBottom w:val="0"/>
                          <w:divBdr>
                            <w:top w:val="none" w:sz="0" w:space="0" w:color="auto"/>
                            <w:left w:val="none" w:sz="0" w:space="0" w:color="auto"/>
                            <w:bottom w:val="none" w:sz="0" w:space="0" w:color="auto"/>
                            <w:right w:val="none" w:sz="0" w:space="0" w:color="auto"/>
                          </w:divBdr>
                          <w:divsChild>
                            <w:div w:id="351611015">
                              <w:marLeft w:val="0"/>
                              <w:marRight w:val="0"/>
                              <w:marTop w:val="0"/>
                              <w:marBottom w:val="0"/>
                              <w:divBdr>
                                <w:top w:val="none" w:sz="0" w:space="0" w:color="auto"/>
                                <w:left w:val="none" w:sz="0" w:space="0" w:color="auto"/>
                                <w:bottom w:val="none" w:sz="0" w:space="0" w:color="auto"/>
                                <w:right w:val="none" w:sz="0" w:space="0" w:color="auto"/>
                              </w:divBdr>
                              <w:divsChild>
                                <w:div w:id="1765955320">
                                  <w:marLeft w:val="0"/>
                                  <w:marRight w:val="0"/>
                                  <w:marTop w:val="0"/>
                                  <w:marBottom w:val="0"/>
                                  <w:divBdr>
                                    <w:top w:val="none" w:sz="0" w:space="0" w:color="auto"/>
                                    <w:left w:val="none" w:sz="0" w:space="0" w:color="auto"/>
                                    <w:bottom w:val="none" w:sz="0" w:space="0" w:color="auto"/>
                                    <w:right w:val="none" w:sz="0" w:space="0" w:color="auto"/>
                                  </w:divBdr>
                                  <w:divsChild>
                                    <w:div w:id="8620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979982">
      <w:bodyDiv w:val="1"/>
      <w:marLeft w:val="0"/>
      <w:marRight w:val="0"/>
      <w:marTop w:val="0"/>
      <w:marBottom w:val="0"/>
      <w:divBdr>
        <w:top w:val="none" w:sz="0" w:space="0" w:color="auto"/>
        <w:left w:val="none" w:sz="0" w:space="0" w:color="auto"/>
        <w:bottom w:val="none" w:sz="0" w:space="0" w:color="auto"/>
        <w:right w:val="none" w:sz="0" w:space="0" w:color="auto"/>
      </w:divBdr>
      <w:divsChild>
        <w:div w:id="774524588">
          <w:marLeft w:val="0"/>
          <w:marRight w:val="0"/>
          <w:marTop w:val="0"/>
          <w:marBottom w:val="0"/>
          <w:divBdr>
            <w:top w:val="none" w:sz="0" w:space="0" w:color="auto"/>
            <w:left w:val="none" w:sz="0" w:space="0" w:color="auto"/>
            <w:bottom w:val="none" w:sz="0" w:space="0" w:color="auto"/>
            <w:right w:val="none" w:sz="0" w:space="0" w:color="auto"/>
          </w:divBdr>
          <w:divsChild>
            <w:div w:id="1535120790">
              <w:marLeft w:val="0"/>
              <w:marRight w:val="0"/>
              <w:marTop w:val="0"/>
              <w:marBottom w:val="0"/>
              <w:divBdr>
                <w:top w:val="none" w:sz="0" w:space="0" w:color="auto"/>
                <w:left w:val="none" w:sz="0" w:space="0" w:color="auto"/>
                <w:bottom w:val="none" w:sz="0" w:space="0" w:color="auto"/>
                <w:right w:val="none" w:sz="0" w:space="0" w:color="auto"/>
              </w:divBdr>
              <w:divsChild>
                <w:div w:id="1522738007">
                  <w:marLeft w:val="0"/>
                  <w:marRight w:val="0"/>
                  <w:marTop w:val="0"/>
                  <w:marBottom w:val="0"/>
                  <w:divBdr>
                    <w:top w:val="none" w:sz="0" w:space="0" w:color="auto"/>
                    <w:left w:val="none" w:sz="0" w:space="0" w:color="auto"/>
                    <w:bottom w:val="none" w:sz="0" w:space="0" w:color="auto"/>
                    <w:right w:val="none" w:sz="0" w:space="0" w:color="auto"/>
                  </w:divBdr>
                  <w:divsChild>
                    <w:div w:id="690765994">
                      <w:marLeft w:val="0"/>
                      <w:marRight w:val="0"/>
                      <w:marTop w:val="0"/>
                      <w:marBottom w:val="0"/>
                      <w:divBdr>
                        <w:top w:val="none" w:sz="0" w:space="0" w:color="auto"/>
                        <w:left w:val="none" w:sz="0" w:space="0" w:color="auto"/>
                        <w:bottom w:val="none" w:sz="0" w:space="0" w:color="auto"/>
                        <w:right w:val="none" w:sz="0" w:space="0" w:color="auto"/>
                      </w:divBdr>
                      <w:divsChild>
                        <w:div w:id="721637699">
                          <w:marLeft w:val="0"/>
                          <w:marRight w:val="0"/>
                          <w:marTop w:val="0"/>
                          <w:marBottom w:val="0"/>
                          <w:divBdr>
                            <w:top w:val="none" w:sz="0" w:space="0" w:color="auto"/>
                            <w:left w:val="none" w:sz="0" w:space="0" w:color="auto"/>
                            <w:bottom w:val="none" w:sz="0" w:space="0" w:color="auto"/>
                            <w:right w:val="none" w:sz="0" w:space="0" w:color="auto"/>
                          </w:divBdr>
                          <w:divsChild>
                            <w:div w:id="1407846008">
                              <w:marLeft w:val="0"/>
                              <w:marRight w:val="0"/>
                              <w:marTop w:val="0"/>
                              <w:marBottom w:val="0"/>
                              <w:divBdr>
                                <w:top w:val="none" w:sz="0" w:space="0" w:color="auto"/>
                                <w:left w:val="none" w:sz="0" w:space="0" w:color="auto"/>
                                <w:bottom w:val="none" w:sz="0" w:space="0" w:color="auto"/>
                                <w:right w:val="none" w:sz="0" w:space="0" w:color="auto"/>
                              </w:divBdr>
                              <w:divsChild>
                                <w:div w:id="531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293564">
      <w:bodyDiv w:val="1"/>
      <w:marLeft w:val="0"/>
      <w:marRight w:val="0"/>
      <w:marTop w:val="0"/>
      <w:marBottom w:val="0"/>
      <w:divBdr>
        <w:top w:val="none" w:sz="0" w:space="0" w:color="auto"/>
        <w:left w:val="none" w:sz="0" w:space="0" w:color="auto"/>
        <w:bottom w:val="none" w:sz="0" w:space="0" w:color="auto"/>
        <w:right w:val="none" w:sz="0" w:space="0" w:color="auto"/>
      </w:divBdr>
      <w:divsChild>
        <w:div w:id="637999708">
          <w:marLeft w:val="0"/>
          <w:marRight w:val="0"/>
          <w:marTop w:val="0"/>
          <w:marBottom w:val="0"/>
          <w:divBdr>
            <w:top w:val="none" w:sz="0" w:space="0" w:color="auto"/>
            <w:left w:val="none" w:sz="0" w:space="0" w:color="auto"/>
            <w:bottom w:val="none" w:sz="0" w:space="0" w:color="auto"/>
            <w:right w:val="none" w:sz="0" w:space="0" w:color="auto"/>
          </w:divBdr>
          <w:divsChild>
            <w:div w:id="1746223857">
              <w:marLeft w:val="0"/>
              <w:marRight w:val="0"/>
              <w:marTop w:val="0"/>
              <w:marBottom w:val="0"/>
              <w:divBdr>
                <w:top w:val="none" w:sz="0" w:space="0" w:color="auto"/>
                <w:left w:val="none" w:sz="0" w:space="0" w:color="auto"/>
                <w:bottom w:val="none" w:sz="0" w:space="0" w:color="auto"/>
                <w:right w:val="none" w:sz="0" w:space="0" w:color="auto"/>
              </w:divBdr>
              <w:divsChild>
                <w:div w:id="850072276">
                  <w:marLeft w:val="0"/>
                  <w:marRight w:val="0"/>
                  <w:marTop w:val="0"/>
                  <w:marBottom w:val="0"/>
                  <w:divBdr>
                    <w:top w:val="none" w:sz="0" w:space="0" w:color="auto"/>
                    <w:left w:val="none" w:sz="0" w:space="0" w:color="auto"/>
                    <w:bottom w:val="none" w:sz="0" w:space="0" w:color="auto"/>
                    <w:right w:val="none" w:sz="0" w:space="0" w:color="auto"/>
                  </w:divBdr>
                  <w:divsChild>
                    <w:div w:id="515073015">
                      <w:marLeft w:val="0"/>
                      <w:marRight w:val="0"/>
                      <w:marTop w:val="0"/>
                      <w:marBottom w:val="0"/>
                      <w:divBdr>
                        <w:top w:val="none" w:sz="0" w:space="0" w:color="auto"/>
                        <w:left w:val="none" w:sz="0" w:space="0" w:color="auto"/>
                        <w:bottom w:val="none" w:sz="0" w:space="0" w:color="auto"/>
                        <w:right w:val="none" w:sz="0" w:space="0" w:color="auto"/>
                      </w:divBdr>
                      <w:divsChild>
                        <w:div w:id="1122991637">
                          <w:marLeft w:val="0"/>
                          <w:marRight w:val="0"/>
                          <w:marTop w:val="0"/>
                          <w:marBottom w:val="0"/>
                          <w:divBdr>
                            <w:top w:val="none" w:sz="0" w:space="0" w:color="auto"/>
                            <w:left w:val="none" w:sz="0" w:space="0" w:color="auto"/>
                            <w:bottom w:val="none" w:sz="0" w:space="0" w:color="auto"/>
                            <w:right w:val="none" w:sz="0" w:space="0" w:color="auto"/>
                          </w:divBdr>
                          <w:divsChild>
                            <w:div w:id="176699197">
                              <w:marLeft w:val="0"/>
                              <w:marRight w:val="0"/>
                              <w:marTop w:val="0"/>
                              <w:marBottom w:val="0"/>
                              <w:divBdr>
                                <w:top w:val="none" w:sz="0" w:space="0" w:color="auto"/>
                                <w:left w:val="none" w:sz="0" w:space="0" w:color="auto"/>
                                <w:bottom w:val="none" w:sz="0" w:space="0" w:color="auto"/>
                                <w:right w:val="none" w:sz="0" w:space="0" w:color="auto"/>
                              </w:divBdr>
                              <w:divsChild>
                                <w:div w:id="43498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691887">
      <w:bodyDiv w:val="1"/>
      <w:marLeft w:val="0"/>
      <w:marRight w:val="0"/>
      <w:marTop w:val="0"/>
      <w:marBottom w:val="0"/>
      <w:divBdr>
        <w:top w:val="none" w:sz="0" w:space="0" w:color="auto"/>
        <w:left w:val="none" w:sz="0" w:space="0" w:color="auto"/>
        <w:bottom w:val="none" w:sz="0" w:space="0" w:color="auto"/>
        <w:right w:val="none" w:sz="0" w:space="0" w:color="auto"/>
      </w:divBdr>
    </w:div>
    <w:div w:id="1758403387">
      <w:bodyDiv w:val="1"/>
      <w:marLeft w:val="0"/>
      <w:marRight w:val="0"/>
      <w:marTop w:val="0"/>
      <w:marBottom w:val="0"/>
      <w:divBdr>
        <w:top w:val="none" w:sz="0" w:space="0" w:color="auto"/>
        <w:left w:val="none" w:sz="0" w:space="0" w:color="auto"/>
        <w:bottom w:val="none" w:sz="0" w:space="0" w:color="auto"/>
        <w:right w:val="none" w:sz="0" w:space="0" w:color="auto"/>
      </w:divBdr>
    </w:div>
    <w:div w:id="1867063337">
      <w:bodyDiv w:val="1"/>
      <w:marLeft w:val="0"/>
      <w:marRight w:val="0"/>
      <w:marTop w:val="0"/>
      <w:marBottom w:val="0"/>
      <w:divBdr>
        <w:top w:val="none" w:sz="0" w:space="0" w:color="auto"/>
        <w:left w:val="none" w:sz="0" w:space="0" w:color="auto"/>
        <w:bottom w:val="none" w:sz="0" w:space="0" w:color="auto"/>
        <w:right w:val="none" w:sz="0" w:space="0" w:color="auto"/>
      </w:divBdr>
    </w:div>
    <w:div w:id="2043170687">
      <w:bodyDiv w:val="1"/>
      <w:marLeft w:val="0"/>
      <w:marRight w:val="0"/>
      <w:marTop w:val="0"/>
      <w:marBottom w:val="0"/>
      <w:divBdr>
        <w:top w:val="none" w:sz="0" w:space="0" w:color="auto"/>
        <w:left w:val="none" w:sz="0" w:space="0" w:color="auto"/>
        <w:bottom w:val="none" w:sz="0" w:space="0" w:color="auto"/>
        <w:right w:val="none" w:sz="0" w:space="0" w:color="auto"/>
      </w:divBdr>
    </w:div>
    <w:div w:id="214233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brizia.giordano@ait.ac.at"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oph.rathgeber@zae-bayern.de" TargetMode="External"/><Relationship Id="rId5" Type="http://schemas.openxmlformats.org/officeDocument/2006/relationships/webSettings" Target="webSettings.xml"/><Relationship Id="rId15" Type="http://schemas.openxmlformats.org/officeDocument/2006/relationships/hyperlink" Target="https://slpcmlib.ait.ac.at/" TargetMode="External"/><Relationship Id="rId10" Type="http://schemas.openxmlformats.org/officeDocument/2006/relationships/hyperlink" Target="mailto:stefan.gschwander@ise.fraunhofer.de" TargetMode="External"/><Relationship Id="rId4" Type="http://schemas.openxmlformats.org/officeDocument/2006/relationships/settings" Target="settings.xml"/><Relationship Id="rId9" Type="http://schemas.openxmlformats.org/officeDocument/2006/relationships/hyperlink" Target="mailto:tilman.barz@ait.ac.at" TargetMode="External"/><Relationship Id="rId14" Type="http://schemas.openxmlformats.org/officeDocument/2006/relationships/hyperlink" Target="https://thermalmaterials.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2822</Words>
  <Characters>35352</Characters>
  <Application>Microsoft Office Word</Application>
  <DocSecurity>0</DocSecurity>
  <Lines>294</Lines>
  <Paragraphs>76</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Giordano Fabrizia</cp:lastModifiedBy>
  <cp:revision>284</cp:revision>
  <cp:lastPrinted>2026-08-14T11:37:00Z</cp:lastPrinted>
  <dcterms:created xsi:type="dcterms:W3CDTF">2026-08-06T14:01:00Z</dcterms:created>
  <dcterms:modified xsi:type="dcterms:W3CDTF">2026-08-19T11:02:00Z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zotero-version="6.0.36"&gt;&lt;session id="5d3yUWpo"/&gt;&lt;style id="http://www.zotero.org/styles/elsevier-harvard-fg-no-www-document" hasBibliography="1" bibliographyStyleHasBeenSet="1"/&gt;&lt;prefs&gt;&lt;pref name="fieldType" value="Field"/&gt;&lt;/prefs&gt;&lt;</vt:lpwstr>
  </property>
  <property fmtid="{D5CDD505-2E9C-101B-9397-08002B2CF9AE}" pid="4" name="ZOTERO_PREF_2">
    <vt:lpwstr>/data&gt;</vt:lpwstr>
  </property>
</Properties>
</file>