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6FC622" w14:textId="2244B01D" w:rsidR="00DB52E7" w:rsidRPr="00F207B4" w:rsidRDefault="004053B5" w:rsidP="00B32703">
      <w:pPr>
        <w:pStyle w:val="SWCTitle"/>
        <w:rPr>
          <w:sz w:val="28"/>
          <w:szCs w:val="28"/>
          <w:lang w:val="en-GB"/>
        </w:rPr>
      </w:pPr>
      <w:r w:rsidRPr="00F207B4">
        <w:rPr>
          <w:sz w:val="28"/>
          <w:szCs w:val="28"/>
          <w:lang w:val="en-GB"/>
        </w:rPr>
        <w:t>EuroSun</w:t>
      </w:r>
      <w:r w:rsidR="00FC1781" w:rsidRPr="00F207B4">
        <w:rPr>
          <w:sz w:val="28"/>
          <w:szCs w:val="28"/>
          <w:lang w:val="en-GB"/>
        </w:rPr>
        <w:t>202</w:t>
      </w:r>
      <w:r w:rsidR="00FA4DF8" w:rsidRPr="00F207B4">
        <w:rPr>
          <w:sz w:val="28"/>
          <w:szCs w:val="28"/>
          <w:lang w:val="en-GB"/>
        </w:rPr>
        <w:t>6</w:t>
      </w:r>
    </w:p>
    <w:p w14:paraId="7A120083" w14:textId="77777777" w:rsidR="00A73EC6" w:rsidRPr="00F207B4" w:rsidRDefault="00A73EC6" w:rsidP="00A73EC6">
      <w:pPr>
        <w:pStyle w:val="SWCTitle"/>
        <w:rPr>
          <w:sz w:val="14"/>
          <w:szCs w:val="28"/>
          <w:lang w:val="en-GB"/>
        </w:rPr>
      </w:pPr>
      <w:r w:rsidRPr="00F207B4">
        <w:rPr>
          <w:sz w:val="28"/>
          <w:szCs w:val="28"/>
          <w:lang w:val="en-GB"/>
        </w:rPr>
        <w:t>ENERGY SIMULATION OF SHALLOW UNDERGROUND THERMAL ENERGY STORAGE TO RECOVER SOLAR ENERGY</w:t>
      </w:r>
    </w:p>
    <w:p w14:paraId="007347FA" w14:textId="6C19B3E4" w:rsidR="00A73EC6" w:rsidRPr="003B1FAA" w:rsidRDefault="00A73EC6" w:rsidP="00A73EC6">
      <w:pPr>
        <w:pStyle w:val="SWCTitle"/>
        <w:spacing w:before="0" w:after="0"/>
        <w:rPr>
          <w:rFonts w:ascii="Times New Roman" w:hAnsi="Times New Roman"/>
          <w:b w:val="0"/>
          <w:sz w:val="20"/>
          <w:szCs w:val="22"/>
          <w:lang w:val="fr-FR"/>
        </w:rPr>
      </w:pPr>
      <w:r w:rsidRPr="003B1FAA">
        <w:rPr>
          <w:rFonts w:ascii="Times New Roman" w:hAnsi="Times New Roman"/>
          <w:b w:val="0"/>
          <w:sz w:val="20"/>
          <w:szCs w:val="22"/>
          <w:lang w:val="fr-FR"/>
        </w:rPr>
        <w:t>Diane Le Roux*, Thibaut Colinart</w:t>
      </w:r>
    </w:p>
    <w:p w14:paraId="194762EF" w14:textId="5D11BAFA" w:rsidR="00A73EC6" w:rsidRPr="00F207B4" w:rsidRDefault="00A73EC6" w:rsidP="00A73EC6">
      <w:pPr>
        <w:pStyle w:val="SWCTitle"/>
        <w:spacing w:before="0" w:after="0"/>
        <w:rPr>
          <w:rFonts w:ascii="Times New Roman" w:hAnsi="Times New Roman"/>
          <w:b w:val="0"/>
          <w:sz w:val="20"/>
          <w:szCs w:val="22"/>
          <w:lang w:val="en-GB"/>
        </w:rPr>
      </w:pPr>
      <w:r w:rsidRPr="003B1FAA">
        <w:rPr>
          <w:rFonts w:ascii="Times New Roman" w:hAnsi="Times New Roman"/>
          <w:b w:val="0"/>
          <w:sz w:val="20"/>
          <w:szCs w:val="22"/>
          <w:lang w:val="fr-FR"/>
        </w:rPr>
        <w:t xml:space="preserve">IRDL, UMR CNRS 6027, Univ. Bretagne Sud, Bretagne INP, ENSTA, Institut Polytechnique de Paris, Univ. </w:t>
      </w:r>
      <w:r w:rsidRPr="00F207B4">
        <w:rPr>
          <w:rFonts w:ascii="Times New Roman" w:hAnsi="Times New Roman"/>
          <w:b w:val="0"/>
          <w:sz w:val="20"/>
          <w:szCs w:val="22"/>
          <w:lang w:val="en-GB"/>
        </w:rPr>
        <w:t>Brest, Lorient, France</w:t>
      </w:r>
    </w:p>
    <w:p w14:paraId="5A7BB8D0" w14:textId="63DC0EFF" w:rsidR="00A73EC6" w:rsidRPr="00F207B4" w:rsidRDefault="00A73EC6" w:rsidP="00A73EC6">
      <w:pPr>
        <w:pStyle w:val="SWCTitle"/>
        <w:spacing w:before="0" w:after="0"/>
        <w:rPr>
          <w:rFonts w:ascii="Times New Roman" w:hAnsi="Times New Roman"/>
          <w:b w:val="0"/>
          <w:sz w:val="20"/>
          <w:szCs w:val="22"/>
          <w:lang w:val="en-GB"/>
        </w:rPr>
      </w:pPr>
      <w:r w:rsidRPr="00F207B4">
        <w:rPr>
          <w:rFonts w:ascii="Times New Roman" w:hAnsi="Times New Roman"/>
          <w:b w:val="0"/>
          <w:sz w:val="20"/>
          <w:szCs w:val="22"/>
          <w:lang w:val="en-GB"/>
        </w:rPr>
        <w:t xml:space="preserve">* corresponding author: </w:t>
      </w:r>
      <w:hyperlink r:id="rId8" w:history="1">
        <w:r w:rsidRPr="00F207B4">
          <w:rPr>
            <w:rStyle w:val="Lienhypertexte"/>
            <w:rFonts w:ascii="Times New Roman" w:hAnsi="Times New Roman"/>
            <w:b w:val="0"/>
            <w:sz w:val="20"/>
            <w:szCs w:val="22"/>
            <w:lang w:val="en-GB"/>
          </w:rPr>
          <w:t>diane.le-roux@univ-ubs.fr</w:t>
        </w:r>
      </w:hyperlink>
      <w:r w:rsidRPr="00F207B4">
        <w:rPr>
          <w:rFonts w:ascii="Times New Roman" w:hAnsi="Times New Roman"/>
          <w:b w:val="0"/>
          <w:sz w:val="20"/>
          <w:szCs w:val="22"/>
          <w:lang w:val="en-GB"/>
        </w:rPr>
        <w:t xml:space="preserve"> </w:t>
      </w:r>
    </w:p>
    <w:p w14:paraId="2B536CB4" w14:textId="77777777" w:rsidR="001A775B" w:rsidRPr="00F207B4" w:rsidRDefault="001A775B" w:rsidP="009F7C7E">
      <w:pPr>
        <w:pStyle w:val="SWCTitle"/>
        <w:pBdr>
          <w:bottom w:val="single" w:sz="6" w:space="1" w:color="auto"/>
        </w:pBdr>
        <w:rPr>
          <w:lang w:val="en-GB"/>
        </w:rPr>
      </w:pPr>
    </w:p>
    <w:p w14:paraId="3A7DF4B5" w14:textId="77777777" w:rsidR="001A775B" w:rsidRPr="00F207B4" w:rsidRDefault="001A775B" w:rsidP="001A775B">
      <w:pPr>
        <w:pStyle w:val="SWCSummary"/>
        <w:rPr>
          <w:lang w:val="en-GB"/>
        </w:rPr>
      </w:pPr>
      <w:r w:rsidRPr="00F207B4">
        <w:rPr>
          <w:lang w:val="en-GB"/>
        </w:rPr>
        <w:t>Summary</w:t>
      </w:r>
    </w:p>
    <w:p w14:paraId="0F5674D1" w14:textId="5D3E6B19" w:rsidR="00A01B7F" w:rsidRPr="00F207B4" w:rsidRDefault="00A01B7F" w:rsidP="00A73EC6">
      <w:pPr>
        <w:pStyle w:val="SWCText"/>
        <w:pBdr>
          <w:bottom w:val="single" w:sz="6" w:space="1" w:color="auto"/>
        </w:pBdr>
        <w:rPr>
          <w:b/>
          <w:lang w:val="en-GB"/>
        </w:rPr>
      </w:pPr>
      <w:bookmarkStart w:id="0" w:name="_Hlk233798296"/>
      <w:r w:rsidRPr="00F207B4">
        <w:rPr>
          <w:rStyle w:val="lev"/>
          <w:b w:val="0"/>
          <w:lang w:val="en-GB"/>
        </w:rPr>
        <w:t>This study investigates the performance of a Horizontal Underground Thermal Energy Storage (HUTES) using natural materials (water and sand) and a horizontal buried heat exchanger to recover excess low-temperature solar thermal energy for seasonal storage. A dynamic TRNSYS model</w:t>
      </w:r>
      <w:r w:rsidR="00B86D95" w:rsidRPr="00F207B4">
        <w:rPr>
          <w:rStyle w:val="lev"/>
          <w:b w:val="0"/>
          <w:lang w:val="en-GB"/>
        </w:rPr>
        <w:t>,</w:t>
      </w:r>
      <w:r w:rsidRPr="00F207B4">
        <w:rPr>
          <w:rStyle w:val="lev"/>
          <w:b w:val="0"/>
          <w:lang w:val="en-GB"/>
        </w:rPr>
        <w:t xml:space="preserve"> combined with </w:t>
      </w:r>
      <w:r w:rsidR="00B86D95" w:rsidRPr="00F207B4">
        <w:rPr>
          <w:rStyle w:val="lev"/>
          <w:b w:val="0"/>
          <w:lang w:val="en-GB"/>
        </w:rPr>
        <w:t xml:space="preserve">a </w:t>
      </w:r>
      <w:r w:rsidRPr="00F207B4">
        <w:rPr>
          <w:rStyle w:val="lev"/>
          <w:b w:val="0"/>
          <w:lang w:val="en-GB"/>
        </w:rPr>
        <w:t>sensitivity analys</w:t>
      </w:r>
      <w:r w:rsidR="00DA6618" w:rsidRPr="00F207B4">
        <w:rPr>
          <w:rStyle w:val="lev"/>
          <w:b w:val="0"/>
          <w:lang w:val="en-GB"/>
        </w:rPr>
        <w:t>is</w:t>
      </w:r>
      <w:r w:rsidRPr="00F207B4">
        <w:rPr>
          <w:rStyle w:val="lev"/>
          <w:b w:val="0"/>
          <w:lang w:val="en-GB"/>
        </w:rPr>
        <w:t xml:space="preserve"> based on the Morris and </w:t>
      </w:r>
      <w:proofErr w:type="spellStart"/>
      <w:r w:rsidRPr="00F207B4">
        <w:rPr>
          <w:rStyle w:val="lev"/>
          <w:b w:val="0"/>
          <w:lang w:val="en-GB"/>
        </w:rPr>
        <w:t>Sobol</w:t>
      </w:r>
      <w:proofErr w:type="spellEnd"/>
      <w:r w:rsidRPr="00F207B4">
        <w:rPr>
          <w:rStyle w:val="lev"/>
          <w:b w:val="0"/>
          <w:lang w:val="en-GB"/>
        </w:rPr>
        <w:t xml:space="preserve"> methods</w:t>
      </w:r>
      <w:r w:rsidR="00B86D95" w:rsidRPr="00F207B4">
        <w:rPr>
          <w:rStyle w:val="lev"/>
          <w:b w:val="0"/>
          <w:lang w:val="en-GB"/>
        </w:rPr>
        <w:t>,</w:t>
      </w:r>
      <w:r w:rsidRPr="00F207B4">
        <w:rPr>
          <w:rStyle w:val="lev"/>
          <w:b w:val="0"/>
          <w:lang w:val="en-GB"/>
        </w:rPr>
        <w:t xml:space="preserve"> was developed to identify the most influential design and operati</w:t>
      </w:r>
      <w:r w:rsidR="007E6526" w:rsidRPr="00F207B4">
        <w:rPr>
          <w:rStyle w:val="lev"/>
          <w:b w:val="0"/>
          <w:lang w:val="en-GB"/>
        </w:rPr>
        <w:t>o</w:t>
      </w:r>
      <w:r w:rsidRPr="00F207B4">
        <w:rPr>
          <w:rStyle w:val="lev"/>
          <w:b w:val="0"/>
          <w:lang w:val="en-GB"/>
        </w:rPr>
        <w:t>n</w:t>
      </w:r>
      <w:r w:rsidR="007E6526" w:rsidRPr="00F207B4">
        <w:rPr>
          <w:rStyle w:val="lev"/>
          <w:b w:val="0"/>
          <w:lang w:val="en-GB"/>
        </w:rPr>
        <w:t>al</w:t>
      </w:r>
      <w:r w:rsidRPr="00F207B4">
        <w:rPr>
          <w:rStyle w:val="lev"/>
          <w:b w:val="0"/>
          <w:lang w:val="en-GB"/>
        </w:rPr>
        <w:t xml:space="preserve"> parameters. Three operati</w:t>
      </w:r>
      <w:r w:rsidR="007E6526" w:rsidRPr="00F207B4">
        <w:rPr>
          <w:rStyle w:val="lev"/>
          <w:b w:val="0"/>
          <w:lang w:val="en-GB"/>
        </w:rPr>
        <w:t>o</w:t>
      </w:r>
      <w:r w:rsidRPr="00F207B4">
        <w:rPr>
          <w:rStyle w:val="lev"/>
          <w:b w:val="0"/>
          <w:lang w:val="en-GB"/>
        </w:rPr>
        <w:t>n</w:t>
      </w:r>
      <w:r w:rsidR="007E6526" w:rsidRPr="00F207B4">
        <w:rPr>
          <w:rStyle w:val="lev"/>
          <w:b w:val="0"/>
          <w:lang w:val="en-GB"/>
        </w:rPr>
        <w:t>al</w:t>
      </w:r>
      <w:r w:rsidRPr="00F207B4">
        <w:rPr>
          <w:rStyle w:val="lev"/>
          <w:b w:val="0"/>
          <w:lang w:val="en-GB"/>
        </w:rPr>
        <w:t xml:space="preserve"> scenarios, combining charg</w:t>
      </w:r>
      <w:r w:rsidR="00B86D95" w:rsidRPr="00F207B4">
        <w:rPr>
          <w:rStyle w:val="lev"/>
          <w:b w:val="0"/>
          <w:lang w:val="en-GB"/>
        </w:rPr>
        <w:t>e</w:t>
      </w:r>
      <w:r w:rsidRPr="00F207B4">
        <w:rPr>
          <w:rStyle w:val="lev"/>
          <w:b w:val="0"/>
          <w:lang w:val="en-GB"/>
        </w:rPr>
        <w:t xml:space="preserve"> and discharg</w:t>
      </w:r>
      <w:r w:rsidR="00B86D95" w:rsidRPr="00F207B4">
        <w:rPr>
          <w:rStyle w:val="lev"/>
          <w:b w:val="0"/>
          <w:lang w:val="en-GB"/>
        </w:rPr>
        <w:t>e</w:t>
      </w:r>
      <w:r w:rsidRPr="00F207B4">
        <w:rPr>
          <w:rStyle w:val="lev"/>
          <w:b w:val="0"/>
          <w:lang w:val="en-GB"/>
        </w:rPr>
        <w:t xml:space="preserve"> </w:t>
      </w:r>
      <w:r w:rsidR="00B86D95" w:rsidRPr="00F207B4">
        <w:rPr>
          <w:rStyle w:val="lev"/>
          <w:b w:val="0"/>
          <w:lang w:val="en-GB"/>
        </w:rPr>
        <w:t>of</w:t>
      </w:r>
      <w:r w:rsidRPr="00F207B4">
        <w:rPr>
          <w:rStyle w:val="lev"/>
          <w:b w:val="0"/>
          <w:lang w:val="en-GB"/>
        </w:rPr>
        <w:t xml:space="preserve"> 3 to 6 months</w:t>
      </w:r>
      <w:r w:rsidR="00B86D95" w:rsidRPr="00F207B4">
        <w:rPr>
          <w:rStyle w:val="lev"/>
          <w:b w:val="0"/>
          <w:lang w:val="en-GB"/>
        </w:rPr>
        <w:t>,</w:t>
      </w:r>
      <w:r w:rsidRPr="00F207B4">
        <w:rPr>
          <w:rStyle w:val="lev"/>
          <w:b w:val="0"/>
          <w:lang w:val="en-GB"/>
        </w:rPr>
        <w:t xml:space="preserve"> either </w:t>
      </w:r>
      <w:r w:rsidR="00B86D95" w:rsidRPr="00F207B4">
        <w:rPr>
          <w:rStyle w:val="lev"/>
          <w:b w:val="0"/>
          <w:lang w:val="en-GB"/>
        </w:rPr>
        <w:t xml:space="preserve">under </w:t>
      </w:r>
      <w:r w:rsidRPr="00F207B4">
        <w:rPr>
          <w:rStyle w:val="lev"/>
          <w:b w:val="0"/>
          <w:lang w:val="en-GB"/>
        </w:rPr>
        <w:t xml:space="preserve">fixed boundary conditions or </w:t>
      </w:r>
      <w:r w:rsidR="00B86D95" w:rsidRPr="00F207B4">
        <w:rPr>
          <w:rStyle w:val="lev"/>
          <w:b w:val="0"/>
          <w:lang w:val="en-GB"/>
        </w:rPr>
        <w:t xml:space="preserve">based on </w:t>
      </w:r>
      <w:r w:rsidRPr="00F207B4">
        <w:rPr>
          <w:rStyle w:val="lev"/>
          <w:b w:val="0"/>
          <w:lang w:val="en-GB"/>
        </w:rPr>
        <w:t xml:space="preserve">real weather data, were investigated. The results </w:t>
      </w:r>
      <w:r w:rsidR="00B86D95" w:rsidRPr="00F207B4">
        <w:rPr>
          <w:rStyle w:val="lev"/>
          <w:b w:val="0"/>
          <w:lang w:val="en-GB"/>
        </w:rPr>
        <w:t>show</w:t>
      </w:r>
      <w:r w:rsidRPr="00F207B4">
        <w:rPr>
          <w:rStyle w:val="lev"/>
          <w:b w:val="0"/>
          <w:lang w:val="en-GB"/>
        </w:rPr>
        <w:t xml:space="preserve"> that conductive heat transfer governs the thermal behaviour of the HUTES</w:t>
      </w:r>
      <w:r w:rsidR="00B86D95" w:rsidRPr="00F207B4">
        <w:rPr>
          <w:rStyle w:val="lev"/>
          <w:b w:val="0"/>
          <w:lang w:val="en-GB"/>
        </w:rPr>
        <w:t>. As a result, the</w:t>
      </w:r>
      <w:r w:rsidRPr="00F207B4">
        <w:rPr>
          <w:rStyle w:val="lev"/>
          <w:b w:val="0"/>
          <w:lang w:val="en-GB"/>
        </w:rPr>
        <w:t xml:space="preserve"> insulation properties and the thickness of the soil cover </w:t>
      </w:r>
      <w:r w:rsidR="00B86D95" w:rsidRPr="00F207B4">
        <w:rPr>
          <w:rStyle w:val="lev"/>
          <w:b w:val="0"/>
          <w:lang w:val="en-GB"/>
        </w:rPr>
        <w:t>are the</w:t>
      </w:r>
      <w:r w:rsidRPr="00F207B4">
        <w:rPr>
          <w:rStyle w:val="lev"/>
          <w:b w:val="0"/>
          <w:lang w:val="en-GB"/>
        </w:rPr>
        <w:t xml:space="preserve"> dominant parameters </w:t>
      </w:r>
      <w:r w:rsidR="00B86D95" w:rsidRPr="00F207B4">
        <w:rPr>
          <w:rStyle w:val="lev"/>
          <w:b w:val="0"/>
          <w:lang w:val="en-GB"/>
        </w:rPr>
        <w:t>determining</w:t>
      </w:r>
      <w:r w:rsidRPr="00F207B4">
        <w:rPr>
          <w:rStyle w:val="lev"/>
          <w:b w:val="0"/>
          <w:lang w:val="en-GB"/>
        </w:rPr>
        <w:t xml:space="preserve"> storage performance. In contrast, the internal diameter of the heat exchanger has a negligible influence, while tube spacing and charging/discharging temperatures require a compromise between thermal performance and hydraulic constraints. These findings provide practical design recommendations for optimising seasonal HUTES coupled with solar thermal systems.</w:t>
      </w:r>
    </w:p>
    <w:bookmarkEnd w:id="0"/>
    <w:p w14:paraId="7931DD1C" w14:textId="77777777" w:rsidR="00A73EC6" w:rsidRPr="00F207B4" w:rsidRDefault="00A73EC6" w:rsidP="00A73EC6">
      <w:pPr>
        <w:pStyle w:val="SWCText"/>
        <w:pBdr>
          <w:bottom w:val="single" w:sz="6" w:space="1" w:color="auto"/>
        </w:pBdr>
        <w:rPr>
          <w:i/>
          <w:iCs/>
          <w:lang w:val="en-GB"/>
        </w:rPr>
      </w:pPr>
      <w:r w:rsidRPr="00F207B4">
        <w:rPr>
          <w:i/>
          <w:iCs/>
          <w:lang w:val="en-GB"/>
        </w:rPr>
        <w:t>Keywords: Horizontal Underground Thermal Energy Storage, seasonal storage, sensitivity analysis, dynamic numerical modelling, solar thermal collectors</w:t>
      </w:r>
    </w:p>
    <w:p w14:paraId="08FC7456" w14:textId="77777777" w:rsidR="00A73EC6" w:rsidRPr="00F207B4" w:rsidRDefault="00A73EC6" w:rsidP="00A73EC6">
      <w:pPr>
        <w:pStyle w:val="SWCText"/>
        <w:pBdr>
          <w:bottom w:val="single" w:sz="6" w:space="1" w:color="auto"/>
        </w:pBdr>
        <w:rPr>
          <w:i/>
          <w:iCs/>
          <w:lang w:val="en-GB"/>
        </w:rPr>
      </w:pPr>
      <w:r w:rsidRPr="00F207B4">
        <w:rPr>
          <w:i/>
          <w:iCs/>
          <w:lang w:val="en-GB"/>
        </w:rPr>
        <w:t>Field of application for the findings: 08 Thermal Energy Storage</w:t>
      </w:r>
    </w:p>
    <w:p w14:paraId="185A319D" w14:textId="20F572D7" w:rsidR="002C089D" w:rsidRPr="00F207B4" w:rsidRDefault="00CC3B0C" w:rsidP="001A775B">
      <w:pPr>
        <w:pStyle w:val="SWCText"/>
        <w:pBdr>
          <w:bottom w:val="single" w:sz="6" w:space="1" w:color="auto"/>
        </w:pBdr>
        <w:rPr>
          <w:i/>
          <w:iCs/>
          <w:lang w:val="en-GB"/>
        </w:rPr>
      </w:pPr>
      <w:r w:rsidRPr="00F207B4">
        <w:rPr>
          <w:i/>
          <w:iCs/>
          <w:lang w:val="en-GB"/>
        </w:rPr>
        <w:t>Addressed audience:</w:t>
      </w:r>
      <w:r w:rsidR="009C21FE" w:rsidRPr="00F207B4">
        <w:rPr>
          <w:i/>
          <w:iCs/>
          <w:lang w:val="en-GB"/>
        </w:rPr>
        <w:t xml:space="preserve"> scientific community</w:t>
      </w:r>
    </w:p>
    <w:p w14:paraId="532BC5A7" w14:textId="77777777" w:rsidR="0053048D" w:rsidRPr="00F207B4" w:rsidRDefault="0053048D" w:rsidP="001A775B">
      <w:pPr>
        <w:pStyle w:val="SWCText"/>
        <w:pBdr>
          <w:bottom w:val="single" w:sz="6" w:space="1" w:color="auto"/>
        </w:pBdr>
        <w:rPr>
          <w:lang w:val="en-GB"/>
        </w:rPr>
      </w:pPr>
    </w:p>
    <w:p w14:paraId="51CD8377" w14:textId="29657B2C" w:rsidR="00D32EF0" w:rsidRPr="00F207B4" w:rsidRDefault="00D32EF0" w:rsidP="004C4EE9">
      <w:pPr>
        <w:pStyle w:val="SWCHeading1"/>
        <w:rPr>
          <w:lang w:val="en-GB"/>
        </w:rPr>
      </w:pPr>
      <w:r w:rsidRPr="00F207B4">
        <w:rPr>
          <w:lang w:val="en-GB"/>
        </w:rPr>
        <w:t>Introduction</w:t>
      </w:r>
    </w:p>
    <w:p w14:paraId="43F065C9" w14:textId="6F4634B4" w:rsidR="00A61EAC" w:rsidRPr="00F207B4" w:rsidRDefault="003E7951" w:rsidP="00A61EAC">
      <w:pPr>
        <w:pStyle w:val="SWCText"/>
        <w:rPr>
          <w:lang w:val="en-GB"/>
        </w:rPr>
      </w:pPr>
      <w:r w:rsidRPr="00F207B4">
        <w:rPr>
          <w:lang w:val="en-GB"/>
        </w:rPr>
        <w:t>The</w:t>
      </w:r>
      <w:r w:rsidR="00A61EAC" w:rsidRPr="00F207B4">
        <w:rPr>
          <w:lang w:val="en-GB"/>
        </w:rPr>
        <w:t xml:space="preserve"> agricultural sector</w:t>
      </w:r>
      <w:r w:rsidRPr="00F207B4">
        <w:rPr>
          <w:lang w:val="en-GB"/>
        </w:rPr>
        <w:t xml:space="preserve">, particularly </w:t>
      </w:r>
      <w:r w:rsidR="00A61EAC" w:rsidRPr="00F207B4">
        <w:rPr>
          <w:lang w:val="en-GB"/>
        </w:rPr>
        <w:t>livestock buildings</w:t>
      </w:r>
      <w:r w:rsidRPr="00F207B4">
        <w:rPr>
          <w:lang w:val="en-GB"/>
        </w:rPr>
        <w:t xml:space="preserve"> and</w:t>
      </w:r>
      <w:r w:rsidR="00A61EAC" w:rsidRPr="00F207B4">
        <w:rPr>
          <w:lang w:val="en-GB"/>
        </w:rPr>
        <w:t xml:space="preserve"> greenhouses, </w:t>
      </w:r>
      <w:r w:rsidRPr="00F207B4">
        <w:rPr>
          <w:lang w:val="en-GB"/>
        </w:rPr>
        <w:t xml:space="preserve">requires substantial amount of thermal energy for space heating and </w:t>
      </w:r>
      <w:r w:rsidR="00A61EAC" w:rsidRPr="00F207B4">
        <w:rPr>
          <w:lang w:val="en-GB"/>
        </w:rPr>
        <w:t>domestic hot water</w:t>
      </w:r>
      <w:r w:rsidRPr="00F207B4">
        <w:rPr>
          <w:lang w:val="en-GB"/>
        </w:rPr>
        <w:t>. This demand is still predominantly met</w:t>
      </w:r>
      <w:r w:rsidR="00A61EAC" w:rsidRPr="00F207B4">
        <w:rPr>
          <w:lang w:val="en-GB"/>
        </w:rPr>
        <w:t xml:space="preserve"> by fossil fuels</w:t>
      </w:r>
      <w:r w:rsidRPr="00F207B4">
        <w:rPr>
          <w:lang w:val="en-GB"/>
        </w:rPr>
        <w:t>, contributing significantly to greenhouse gas emissions</w:t>
      </w:r>
      <w:r w:rsidR="00A61EAC" w:rsidRPr="00F207B4">
        <w:rPr>
          <w:lang w:val="en-GB"/>
        </w:rPr>
        <w:t>. Solar thermal energy has a key role to play in decarbonising this sector</w:t>
      </w:r>
      <w:r w:rsidRPr="00F207B4">
        <w:rPr>
          <w:lang w:val="en-GB"/>
        </w:rPr>
        <w:t>, thanks to its maturity, reliability and high thermal conversion</w:t>
      </w:r>
      <w:r w:rsidR="00C97E88" w:rsidRPr="00F207B4">
        <w:rPr>
          <w:lang w:val="en-GB"/>
        </w:rPr>
        <w:t xml:space="preserve"> </w:t>
      </w:r>
      <w:r w:rsidR="00C97E88" w:rsidRPr="00F207B4">
        <w:rPr>
          <w:lang w:val="en-GB"/>
        </w:rPr>
        <w:fldChar w:fldCharType="begin"/>
      </w:r>
      <w:r w:rsidR="00C97E88" w:rsidRPr="00F207B4">
        <w:rPr>
          <w:lang w:val="en-GB"/>
        </w:rPr>
        <w:instrText xml:space="preserve"> ADDIN ZOTERO_ITEM CSL_CITATION {"citationID":"iJ9SdITu","properties":{"unsorted":false,"formattedCitation":"(Gambade et al., 2022)","plainCitation":"(Gambade et al., 2022)","noteIndex":0},"citationItems":[{"id":4022,"uris":["http://zotero.org/users/3532167/items/AWPHTJ9E"],"itemData":{"id":4022,"type":"article-journal","abstract":"In order to improve the contribution of solar thermal energy in moderately insolated regions, solar installations have to be optimized and their heating capacity has to be proven. In this aim, an in-situ thermal performance investigation was carried out on a solar installation of 24 “Water-in-Glass” evacuated tube collectors coupled to their storage unit in a northwest European climate. The aim of the installation is to provide a calf-breeding farm with an intermittent supply of water at 80 °C. The particularity of this solar installation is the specific arrangement of this kind of solar water heater in series and in parallel. Instrumentation was implemented to understand and establish energy balances. An analysis was carried out on four sequences representative of each season. The results show that despite mostly unfavorable sky conditions, the solar installation was capable of providing from 12 to 67% of energy needs for these four sequences.","collection-title":"2022 The 5th International Conference on Renewable Energy and Environment Engineering","container-title":"Energy Reports","DOI":"10.1016/j.egyr.2022.10.160","ISSN":"2352-4847","journalAbbreviation":"Energy Reports","page":"605-615","source":"ScienceDirect","title":"In-situ assessment of a solar vacuum tube collectors installation dedicated to hot water production","volume":"8","author":[{"family":"Gambade","given":"Julien"},{"family":"Noël","given":"Hervé"},{"family":"Glouannec","given":"Patrick"},{"family":"Magueresse","given":"Anthony"}],"issued":{"date-parts":[["2022",11,1]]}}}],"schema":"https://github.com/citation-style-language/schema/raw/master/csl-citation.json"} </w:instrText>
      </w:r>
      <w:r w:rsidR="00C97E88" w:rsidRPr="00F207B4">
        <w:rPr>
          <w:lang w:val="en-GB"/>
        </w:rPr>
        <w:fldChar w:fldCharType="separate"/>
      </w:r>
      <w:r w:rsidR="00C97E88" w:rsidRPr="00F207B4">
        <w:rPr>
          <w:lang w:val="en-GB"/>
        </w:rPr>
        <w:t>(Gambade et al., 2022)</w:t>
      </w:r>
      <w:r w:rsidR="00C97E88" w:rsidRPr="00F207B4">
        <w:rPr>
          <w:lang w:val="en-GB"/>
        </w:rPr>
        <w:fldChar w:fldCharType="end"/>
      </w:r>
      <w:r w:rsidR="00A61EAC" w:rsidRPr="00F207B4">
        <w:rPr>
          <w:lang w:val="en-GB"/>
        </w:rPr>
        <w:t xml:space="preserve">. However, its </w:t>
      </w:r>
      <w:r w:rsidRPr="00F207B4">
        <w:rPr>
          <w:lang w:val="en-GB"/>
        </w:rPr>
        <w:t>large-scale deployment remains limited</w:t>
      </w:r>
      <w:r w:rsidR="00A61EAC" w:rsidRPr="00F207B4">
        <w:rPr>
          <w:lang w:val="en-GB"/>
        </w:rPr>
        <w:t xml:space="preserve"> by i</w:t>
      </w:r>
      <w:r w:rsidRPr="00F207B4">
        <w:rPr>
          <w:lang w:val="en-GB"/>
        </w:rPr>
        <w:t xml:space="preserve">ts </w:t>
      </w:r>
      <w:r w:rsidR="00A61EAC" w:rsidRPr="00F207B4">
        <w:rPr>
          <w:lang w:val="en-GB"/>
        </w:rPr>
        <w:t>intermittent nature</w:t>
      </w:r>
      <w:r w:rsidRPr="00F207B4">
        <w:rPr>
          <w:lang w:val="en-GB"/>
        </w:rPr>
        <w:t xml:space="preserve"> and the mismatch between solar energy availability and heat demand</w:t>
      </w:r>
      <w:r w:rsidR="00A61EAC" w:rsidRPr="00F207B4">
        <w:rPr>
          <w:lang w:val="en-GB"/>
        </w:rPr>
        <w:t xml:space="preserve">, which limits its efficiency and reliability. </w:t>
      </w:r>
      <w:r w:rsidRPr="00F207B4">
        <w:rPr>
          <w:lang w:val="en-GB"/>
        </w:rPr>
        <w:t>While heating needs are highest during autumn and winter, solar energy production reaches its maximum during summer, leading to frequent periods of excess heat that cannot be directly utilised</w:t>
      </w:r>
      <w:r w:rsidR="00A61EAC" w:rsidRPr="00F207B4">
        <w:rPr>
          <w:lang w:val="en-GB"/>
        </w:rPr>
        <w:t>, representing a significant energy loss.</w:t>
      </w:r>
    </w:p>
    <w:p w14:paraId="2BA01413" w14:textId="710AB7B6" w:rsidR="00866745" w:rsidRPr="00F207B4" w:rsidRDefault="009653B6" w:rsidP="009653B6">
      <w:pPr>
        <w:pStyle w:val="SWCText"/>
        <w:rPr>
          <w:lang w:val="en-GB"/>
        </w:rPr>
      </w:pPr>
      <w:r w:rsidRPr="00F207B4">
        <w:rPr>
          <w:lang w:val="en-GB"/>
        </w:rPr>
        <w:t xml:space="preserve">Thermal Energy Storage (TES) </w:t>
      </w:r>
      <w:r w:rsidR="00866745" w:rsidRPr="00F207B4">
        <w:rPr>
          <w:lang w:val="en-GB"/>
        </w:rPr>
        <w:t xml:space="preserve">is widely recognised as an effective solution for overcoming this mismatch </w:t>
      </w:r>
      <w:r w:rsidRPr="00F207B4">
        <w:rPr>
          <w:lang w:val="en-GB"/>
        </w:rPr>
        <w:t>by decoupling supply and demand</w:t>
      </w:r>
      <w:r w:rsidR="00866745" w:rsidRPr="00F207B4">
        <w:rPr>
          <w:lang w:val="en-GB"/>
        </w:rPr>
        <w:t xml:space="preserve"> over timescales ranging from a few hours to several months. Thereby, the use of TES increases both the utilisation rate of renewable energy and the flexibility of thermal systems</w:t>
      </w:r>
      <w:r w:rsidRPr="00F207B4">
        <w:rPr>
          <w:lang w:val="en-GB"/>
        </w:rPr>
        <w:t xml:space="preserve"> </w:t>
      </w:r>
      <w:r w:rsidRPr="00F207B4">
        <w:rPr>
          <w:lang w:val="en-GB"/>
        </w:rPr>
        <w:fldChar w:fldCharType="begin"/>
      </w:r>
      <w:r w:rsidR="00271ACA">
        <w:rPr>
          <w:lang w:val="en-GB"/>
        </w:rPr>
        <w:instrText xml:space="preserve"> ADDIN ZOTERO_ITEM CSL_CITATION {"citationID":"HiQ32mOG","properties":{"unsorted":false,"formattedCitation":"(Kalogirou, 2009; Rahman et al., 2020)","plainCitation":"(Kalogirou, 2009; Rahman et al., 2020)","noteIndex":0},"citationItems":[{"id":3870,"uris":["http://zotero.org/users/3532167/items/GKAE5MK5"],"itemData":{"id":3870,"type":"article-journal","abstract":"Errata pdf inserted. Η βιβλιοθήκη διαθέτει αντίτυπο του βιβλίου σε έντυπη μορφή με ταξινομικό αριθμό: TJ810 .K35 2009 With the threat of global warming, and the gradual depletion of petroleum supplies, solar electric power is rapidly becoming significant part of our energy mix. The range of solar cells spans different materials and different structures in the quest to extract maximum power from the device while keeping the cost to a minimum. Devices with efficiency exceeding 30% have been demonstrated in the laboratory. Solar Energy Engineering: Processes and Systems. Solar Energy Processes and Systems includes all areas of solar energy engineering. All subjects are presented from the fundamental level to the highest level of current research. The book includes subjects such as energy related environmental problems, solar collectors, solar water heating, solar space heating and cooling, industrial process heat, solar desalination, photovoltaics, solar thermal power systems and modelling of solar systems including the use of artificial intelligence systems in solar energy systems modelling and performance prediction.","container-title":"Solar Energy Engineering: Processes and Systems: Second Edition","journalAbbreviation":"Solar Energy Engineering: Processes and Systems: Second Edition","source":"ResearchGate","title":"Solar Energy Engineering: Processes and Systems: Second Edition","title-short":"Solar Energy Engineering","author":[{"family":"Kalogirou","given":"Soteris"}],"issued":{"date-parts":[["2009",1,1]]}}},{"id":264,"uris":["http://zotero.org/users/3532167/items/UZLUEV8K","http://zotero.org/users/3532167/items/I2FABK8J"],"itemData":{"id":264,"type":"article-journal","abstract":"Incorporating renewables in the power grid has challenges in terms of the stability, reliability, and acceptable operation of the power system network. One possible solution is to integrate an energy storage system with the power network to manage unpredictable loads. The implementation of an energy storage system depends on the site, the source of electrical energy, and its associated costs and the environmental impacts. Moreover, an up-to-date database with cost numbers, energy use, and resulting emissions is required for decision-making purposes. This paper reviews the techno-economic and environmental assessments of mechanical, electro-chemical, chemical, and thermal to give an update on recent developments and generate a relevant database for costs and emissions. We reviewed 91 publications, 58 on techno-economic assessment and 33 on life cycle assessment. We found that, because of economies of scale, the levelized cost of energy decreases with an increase in storage duration. In addition, performance parameters such as round-trip efficiency, cycle life, and cycle length highly influence the final costs and environmental footprints of various storage technologies. However, further research is required to build a bottom-up model that can handle all the technical parameters to quantify the levelized cost of energy and environmental footprints of the storage systems simultaneously.","container-title":"Energy Conversion and Management","DOI":"10.1016/j.enconman.2020.113295","ISSN":"0196-8904","journalAbbreviation":"Energy Conversion and Management","language":"en","page":"113295","source":"ScienceDirect","title":"Assessment of energy storage technologies: A review","title-short":"Assessment of energy storage technologies","volume":"223","author":[{"family":"Rahman","given":"Md Mustafizur"},{"family":"Oni","given":"Abayomi Olufemi"},{"family":"Gemechu","given":"Eskinder"},{"family":"Kumar","given":"Amit"}],"issued":{"date-parts":[["2020",11,1]]}}}],"schema":"https://github.com/citation-style-language/schema/raw/master/csl-citation.json"} </w:instrText>
      </w:r>
      <w:r w:rsidRPr="00F207B4">
        <w:rPr>
          <w:lang w:val="en-GB"/>
        </w:rPr>
        <w:fldChar w:fldCharType="separate"/>
      </w:r>
      <w:r w:rsidR="00A4667A" w:rsidRPr="00F207B4">
        <w:rPr>
          <w:lang w:val="en-GB"/>
        </w:rPr>
        <w:t>(</w:t>
      </w:r>
      <w:proofErr w:type="spellStart"/>
      <w:r w:rsidR="00A4667A" w:rsidRPr="00F207B4">
        <w:rPr>
          <w:lang w:val="en-GB"/>
        </w:rPr>
        <w:t>Kalogirou</w:t>
      </w:r>
      <w:proofErr w:type="spellEnd"/>
      <w:r w:rsidR="00A4667A" w:rsidRPr="00F207B4">
        <w:rPr>
          <w:lang w:val="en-GB"/>
        </w:rPr>
        <w:t>, 2009; Rahman et al., 2020)</w:t>
      </w:r>
      <w:r w:rsidRPr="00F207B4">
        <w:rPr>
          <w:lang w:val="en-GB"/>
        </w:rPr>
        <w:fldChar w:fldCharType="end"/>
      </w:r>
      <w:r w:rsidRPr="00F207B4">
        <w:rPr>
          <w:lang w:val="en-GB"/>
        </w:rPr>
        <w:t xml:space="preserve">. </w:t>
      </w:r>
      <w:r w:rsidR="00866745" w:rsidRPr="00F207B4">
        <w:rPr>
          <w:lang w:val="en-GB"/>
        </w:rPr>
        <w:t xml:space="preserve">Among existing TES technologies, sensible heat storage using water tanks remains the most widely implemented because of water's favourable thermophysical properties, technological maturity and relatively low investment cost </w:t>
      </w:r>
      <w:r w:rsidRPr="00F207B4">
        <w:rPr>
          <w:lang w:val="en-GB"/>
        </w:rPr>
        <w:fldChar w:fldCharType="begin"/>
      </w:r>
      <w:r w:rsidR="00271ACA">
        <w:rPr>
          <w:lang w:val="en-GB"/>
        </w:rPr>
        <w:instrText xml:space="preserve"> ADDIN ZOTERO_ITEM CSL_CITATION {"citationID":"bmZVgnri","properties":{"formattedCitation":"(Li et al., 2018)","plainCitation":"(Li et al., 2018)","noteIndex":0},"citationItems":[{"id":"C0kd0dF9/sYKr6XC2","uris":["http://zotero.org/users/3532167/items/AKP7ICVB"],"itemData":{"id":13,"type":"article-journal","abstract":"A solar heating system in greenhouse driven by Fresnel lens concentrator is built in this study. This system uses a soil thermal storage for greenhouse to supply heat in the absence of sunlight, ensuring the safety of the growth of crops. The structure and working principle of the device are introduced in this paper. The underground soil temperature was tested, compared with the indoor and outdoor temperature. The experimental testing result is given. A research shows that when the heating pipe buried 1.65 m underground, the time of heat transfer to the ground is about 5 days. The overall temperature rise of the soil is about 4 °C. In the condition of the coldest weather without additional energy supplement, the greenhouse's temperature is guaranteed above 8 °C, which can ensure the minimum temperature requirements of crop growth. According to the structural parameters of the existing system, the simulation of underground soil heat transfer and heat storage performance was carried out. Then, the temperature curves of different buried depths of the tube are given. The soil temperature steady time in different pipe-buried depths of heat storage temperature is theoretically calculated. It is proved that, to achieve the seasonal thermal storage in this system, the buried depth of the pipe should be over 2.5 m.","container-title":"Journal of Solar Energy Engineering","DOI":"10.1115/1.4040839","ISSN":"0199-6231","issue":"011004","journalAbbreviation":"Journal of Solar Energy Engineering","source":"Silverchair","title":"Study on the Performance of a Curved Fresnel Solar Concentrated System With Seasonal Underground Heat Storage for the Greenhouse Application","URL":"https://doi.org/10.1115/1.4040839","volume":"141","author":[{"family":"Li","given":"Zhiyong"},{"family":"Ma","given":"Xinglong"},{"family":"Zhao","given":"Yunsheng"},{"family":"Zheng","given":"Hongfei"}],"accessed":{"date-parts":[["2024",10,18]]},"issued":{"date-parts":[["2018",8,20]]}}}],"schema":"https://github.com/citation-style-language/schema/raw/master/csl-citation.json"} </w:instrText>
      </w:r>
      <w:r w:rsidRPr="00F207B4">
        <w:rPr>
          <w:lang w:val="en-GB"/>
        </w:rPr>
        <w:fldChar w:fldCharType="separate"/>
      </w:r>
      <w:r w:rsidRPr="00F207B4">
        <w:rPr>
          <w:lang w:val="en-GB"/>
        </w:rPr>
        <w:t>(Li et al., 2018)</w:t>
      </w:r>
      <w:r w:rsidRPr="00F207B4">
        <w:rPr>
          <w:lang w:val="en-GB"/>
        </w:rPr>
        <w:fldChar w:fldCharType="end"/>
      </w:r>
      <w:r w:rsidR="00866745" w:rsidRPr="00F207B4">
        <w:rPr>
          <w:lang w:val="en-GB"/>
        </w:rPr>
        <w:t>. Nevertheless, seasonal storage applications require very large storage volumes, resulting in increased capital costs, land occupation and integration constraints that may limit their deployment in agricultural environments.</w:t>
      </w:r>
    </w:p>
    <w:p w14:paraId="4E43DA10" w14:textId="2AE69DAA" w:rsidR="00A06C22" w:rsidRPr="00F207B4" w:rsidRDefault="001A78B7" w:rsidP="009653B6">
      <w:pPr>
        <w:pStyle w:val="SWCText"/>
        <w:rPr>
          <w:lang w:val="en-GB"/>
        </w:rPr>
      </w:pPr>
      <w:r w:rsidRPr="00F207B4">
        <w:rPr>
          <w:lang w:val="en-GB"/>
        </w:rPr>
        <w:lastRenderedPageBreak/>
        <w:t>Underground Thermal Energy Storage (UTES) systems constitute an attractive alternative for large-scale and seasonal applications by exploiting the ground as a natural storage medium. Several UTES technologies have been investigated, including Borehole Thermal Energy Storage (BTES), Aquifer Thermal Energy Storage (ATES) and Pit Thermal Energy Storage (PTES), each presenting specific advantages and geographical constraints</w:t>
      </w:r>
      <w:r w:rsidR="00E51232" w:rsidRPr="00F207B4">
        <w:rPr>
          <w:lang w:val="en-GB"/>
        </w:rPr>
        <w:t xml:space="preserve"> </w:t>
      </w:r>
      <w:r w:rsidR="00E51232" w:rsidRPr="00F207B4">
        <w:rPr>
          <w:lang w:val="en-GB"/>
        </w:rPr>
        <w:fldChar w:fldCharType="begin"/>
      </w:r>
      <w:r w:rsidR="008C1D76" w:rsidRPr="00F207B4">
        <w:rPr>
          <w:lang w:val="en-GB"/>
        </w:rPr>
        <w:instrText xml:space="preserve"> ADDIN ZOTERO_ITEM CSL_CITATION {"citationID":"yxdDBhd2","properties":{"unsorted":false,"formattedCitation":"(Nordell, 2000)","plainCitation":"(Nordell, 2000)","noteIndex":0},"citationItems":[{"id":3427,"uris":["http://zotero.org/users/3532167/items/45YU6P4U"],"itemData":{"id":3427,"type":"paper-conference","abstract":"Renewable thermal energy is usually available when the energy demand is low. This mismatch can be balanced by seasonal storage of energy in Underground Thermal Energy Storage (UTES) systems. The most common technologies are aquifer storage (ATES), borehole storage (BTES) and rock cavern storage (CTES). It is not possible, for geological or geo-hydrological reasons, to construct all these systems at any location but one of them can in most cases be realised. ATES is most favourable in large-scale applications, BTES is the most general system because it has applications in all scales. CTES are most favourable when loading/unloading powers are strongly varying or extremely high. This paper gives a brief summary of seasonal thermal storage technologies and its necessity for the large-scale utilisation of renewables.","source":"Semantic Scholar","title":"Large-scale Thermal Energy Storage","URL":"https://www.semanticscholar.org/paper/Large-scale-Thermal-Energy-Storage-Nordell/b4c37fba00827aeaee019eaf72bf84385f5892bb","author":[{"family":"Nordell","given":"B."}],"accessed":{"date-parts":[["2025",7,9]]},"issued":{"date-parts":[["2000"]]}}}],"schema":"https://github.com/citation-style-language/schema/raw/master/csl-citation.json"} </w:instrText>
      </w:r>
      <w:r w:rsidR="00E51232" w:rsidRPr="00F207B4">
        <w:rPr>
          <w:lang w:val="en-GB"/>
        </w:rPr>
        <w:fldChar w:fldCharType="separate"/>
      </w:r>
      <w:r w:rsidR="008C1D76" w:rsidRPr="00F207B4">
        <w:rPr>
          <w:lang w:val="en-GB"/>
        </w:rPr>
        <w:t>(Nordell, 2000)</w:t>
      </w:r>
      <w:r w:rsidR="00E51232" w:rsidRPr="00F207B4">
        <w:rPr>
          <w:lang w:val="en-GB"/>
        </w:rPr>
        <w:fldChar w:fldCharType="end"/>
      </w:r>
      <w:r w:rsidRPr="00F207B4">
        <w:rPr>
          <w:lang w:val="en-GB"/>
        </w:rPr>
        <w:t xml:space="preserve">. Among these concepts, </w:t>
      </w:r>
      <w:r w:rsidR="009653B6" w:rsidRPr="00F207B4">
        <w:rPr>
          <w:lang w:val="en-GB"/>
        </w:rPr>
        <w:t xml:space="preserve">Horizontal Underground Thermal Energy Storage (HUTES) stores </w:t>
      </w:r>
      <w:r w:rsidR="00A06C22" w:rsidRPr="00F207B4">
        <w:rPr>
          <w:lang w:val="en-GB"/>
        </w:rPr>
        <w:t>thermal energy within a shallow insulated soil volume through buried horizontal heat exchangers</w:t>
      </w:r>
      <w:r w:rsidR="00A4667A" w:rsidRPr="00F207B4">
        <w:rPr>
          <w:lang w:val="en-GB"/>
        </w:rPr>
        <w:t xml:space="preserve"> </w:t>
      </w:r>
      <w:r w:rsidR="00A4667A" w:rsidRPr="00F207B4">
        <w:rPr>
          <w:lang w:val="en-GB"/>
        </w:rPr>
        <w:fldChar w:fldCharType="begin"/>
      </w:r>
      <w:r w:rsidR="00A4667A" w:rsidRPr="00F207B4">
        <w:rPr>
          <w:lang w:val="en-GB"/>
        </w:rPr>
        <w:instrText xml:space="preserve"> ADDIN ZOTERO_ITEM CSL_CITATION {"citationID":"WPeFtyK3","properties":{"unsorted":false,"formattedCitation":"(Le Roux et al., 2026)","plainCitation":"(Le Roux et al., 2026)","noteIndex":0},"citationItems":[{"id":3854,"uris":["http://zotero.org/users/3532167/items/ZU8LLQPZ","http://zotero.org/users/3532167/items/LENZYE3Q"],"itemData":{"id":3854,"type":"article-journal","abstract":"Underground thermal energy storage (UTES) are widely recognised as one of the most promising technologies for building applications due to their high energy efficiency and low operating costs. In recent years, horizontal underground thermal energy storage (HUTES) have gained recognition as effective solutions for storing intermittent renewable energy. In these systems, heat exchangers play a crucial role as heat-conducting media, with a predominantly horizontal distribution. Many notable studies have been conducted in recent years. However, most existing reviews have focused on vertical UTES, addressing their design, performance and applications, as well as horizontal ground heat exchangers integrated into geothermal heat pump systems, named as Horizontal Ground source Heat Pump. A systematic synthesis analysing the thermodynamic performance of HUTES, enabling the use of energy from renewable resources, is therefore essential. This review aims to summarise the experimental benches and analytical and numerical models of shallow HUTES with linear, spring and spiral loops, as well as their advantages and disadvantages. Evaluations and comparisons between different configurations of HUTES are presented. Particular attention is paid to the various internal and external factors influencing the thermal properties of HUTES: geometric parameters, thermophysical properties of different materials, operating and climatic conditions. Finally, conclusions are drawn on the choices to be made in order to develop the most efficient HUTES. Finally, this review offers suggestions for future developments and recommendations for research directions related to HUTES, providing avenues for further research.","container-title":"Journal of Energy Storage","DOI":"10.1016/j.est.2025.119927","ISSN":"2352-152X","journalAbbreviation":"Journal of Energy Storage","page":"119927","source":"ScienceDirect","title":"Review on horizontal underground thermal energy storage (HUTES)","volume":"147","author":[{"family":"Le Roux","given":"Diane"},{"family":"Noël","given":"Hervé"},{"family":"Fuentes","given":"Adrien"},{"family":"Colinart","given":"Thibaut"}],"issued":{"date-parts":[["2026",2,20]]}}}],"schema":"https://github.com/citation-style-language/schema/raw/master/csl-citation.json"} </w:instrText>
      </w:r>
      <w:r w:rsidR="00A4667A" w:rsidRPr="00F207B4">
        <w:rPr>
          <w:lang w:val="en-GB"/>
        </w:rPr>
        <w:fldChar w:fldCharType="separate"/>
      </w:r>
      <w:r w:rsidR="00A4667A" w:rsidRPr="00F207B4">
        <w:rPr>
          <w:lang w:val="en-GB"/>
        </w:rPr>
        <w:t>(Le Roux et al., 2026)</w:t>
      </w:r>
      <w:r w:rsidR="00A4667A" w:rsidRPr="00F207B4">
        <w:rPr>
          <w:lang w:val="en-GB"/>
        </w:rPr>
        <w:fldChar w:fldCharType="end"/>
      </w:r>
      <w:r w:rsidR="00A06C22" w:rsidRPr="00F207B4">
        <w:rPr>
          <w:lang w:val="en-GB"/>
        </w:rPr>
        <w:t xml:space="preserve">. </w:t>
      </w:r>
      <w:r w:rsidR="00271F67" w:rsidRPr="00F207B4">
        <w:rPr>
          <w:lang w:val="en-GB"/>
        </w:rPr>
        <w:t>Locating the storage directly beneath the solar collector field considerably reduces the additional land requirement while offering a simple and potentially cost-effective solution for agricultural installations. However, the thermal performance of HUTES strongly depends on the coupled effects of ground heat transfer, soil thermophysical properties, insulation strategy, heat exchanger geometry and operati</w:t>
      </w:r>
      <w:r w:rsidR="007E6526" w:rsidRPr="00F207B4">
        <w:rPr>
          <w:lang w:val="en-GB"/>
        </w:rPr>
        <w:t>o</w:t>
      </w:r>
      <w:r w:rsidR="00271F67" w:rsidRPr="00F207B4">
        <w:rPr>
          <w:lang w:val="en-GB"/>
        </w:rPr>
        <w:t>n</w:t>
      </w:r>
      <w:r w:rsidR="007E6526" w:rsidRPr="00F207B4">
        <w:rPr>
          <w:lang w:val="en-GB"/>
        </w:rPr>
        <w:t>al</w:t>
      </w:r>
      <w:r w:rsidR="00271F67" w:rsidRPr="00F207B4">
        <w:rPr>
          <w:lang w:val="en-GB"/>
        </w:rPr>
        <w:t xml:space="preserve"> conditions. These interactions remain insufficiently documented, particularly for long-term storage applications exceeding several weeks</w:t>
      </w:r>
    </w:p>
    <w:p w14:paraId="64F9B6E1" w14:textId="43E14928" w:rsidR="009653B6" w:rsidRPr="00F207B4" w:rsidRDefault="00271F67" w:rsidP="00A61EAC">
      <w:pPr>
        <w:pStyle w:val="SWCText"/>
        <w:rPr>
          <w:lang w:val="en-GB"/>
        </w:rPr>
      </w:pPr>
      <w:r w:rsidRPr="00F207B4">
        <w:rPr>
          <w:lang w:val="en-GB"/>
        </w:rPr>
        <w:t>To support the design and optimal sizing of such systems, reliable numerical models capable of predicting transient thermal behaviour under realistic operati</w:t>
      </w:r>
      <w:r w:rsidR="007E6526" w:rsidRPr="00F207B4">
        <w:rPr>
          <w:lang w:val="en-GB"/>
        </w:rPr>
        <w:t>o</w:t>
      </w:r>
      <w:r w:rsidRPr="00F207B4">
        <w:rPr>
          <w:lang w:val="en-GB"/>
        </w:rPr>
        <w:t>n</w:t>
      </w:r>
      <w:r w:rsidR="007E6526" w:rsidRPr="00F207B4">
        <w:rPr>
          <w:lang w:val="en-GB"/>
        </w:rPr>
        <w:t>al</w:t>
      </w:r>
      <w:r w:rsidRPr="00F207B4">
        <w:rPr>
          <w:lang w:val="en-GB"/>
        </w:rPr>
        <w:t xml:space="preserve"> conditions are required. In this context, the present work develops a dynamic HUTES model using TRNSYS and investigates the influence of both design and operational parameters through a comprehensive sensitivity analysis. The proposed </w:t>
      </w:r>
      <w:r w:rsidR="0096329F" w:rsidRPr="00F207B4">
        <w:rPr>
          <w:lang w:val="en-GB"/>
        </w:rPr>
        <w:t>HUTES</w:t>
      </w:r>
      <w:r w:rsidRPr="00F207B4">
        <w:rPr>
          <w:lang w:val="en-GB"/>
        </w:rPr>
        <w:t xml:space="preserve"> is intended to preserve excess solar heat for periods exceeding two months and subsequently preheat the </w:t>
      </w:r>
      <w:r w:rsidR="00C97E88" w:rsidRPr="00F207B4">
        <w:rPr>
          <w:lang w:val="en-GB"/>
        </w:rPr>
        <w:t>Heat Transfer Fluid (</w:t>
      </w:r>
      <w:r w:rsidR="00870C10" w:rsidRPr="00F207B4">
        <w:rPr>
          <w:lang w:val="en-GB"/>
        </w:rPr>
        <w:t>HTF</w:t>
      </w:r>
      <w:r w:rsidR="00C97E88" w:rsidRPr="00F207B4">
        <w:rPr>
          <w:lang w:val="en-GB"/>
        </w:rPr>
        <w:t>)</w:t>
      </w:r>
      <w:r w:rsidRPr="00F207B4">
        <w:rPr>
          <w:lang w:val="en-GB"/>
        </w:rPr>
        <w:t xml:space="preserve"> supplied to the solar thermal collectors during periods of lower solar availability. By reducing summer overheating</w:t>
      </w:r>
      <w:r w:rsidR="002314FE" w:rsidRPr="00F207B4">
        <w:rPr>
          <w:lang w:val="en-GB"/>
        </w:rPr>
        <w:t xml:space="preserve"> risks</w:t>
      </w:r>
      <w:r w:rsidRPr="00F207B4">
        <w:rPr>
          <w:lang w:val="en-GB"/>
        </w:rPr>
        <w:t>, increasing annual solar utilisation and decreasing fossil fuel consumption, this approach aims to improve the overall performance of solar thermal systems dedicated to agricultural applications.</w:t>
      </w:r>
      <w:r w:rsidR="00A57E85" w:rsidRPr="00F207B4">
        <w:rPr>
          <w:lang w:val="en-GB"/>
        </w:rPr>
        <w:t xml:space="preserve"> </w:t>
      </w:r>
      <w:r w:rsidR="009653B6" w:rsidRPr="00F207B4">
        <w:rPr>
          <w:lang w:val="en-GB"/>
        </w:rPr>
        <w:t xml:space="preserve">A multi-step methodology, including a literature review </w:t>
      </w:r>
      <w:r w:rsidR="009653B6" w:rsidRPr="00F207B4">
        <w:rPr>
          <w:lang w:val="en-GB"/>
        </w:rPr>
        <w:fldChar w:fldCharType="begin"/>
      </w:r>
      <w:r w:rsidR="009653B6" w:rsidRPr="00F207B4">
        <w:rPr>
          <w:lang w:val="en-GB"/>
        </w:rPr>
        <w:instrText xml:space="preserve"> ADDIN ZOTERO_ITEM CSL_CITATION {"citationID":"QuqX4oOW","properties":{"formattedCitation":"(Le Roux et al., 2026)","plainCitation":"(Le Roux et al., 2026)","noteIndex":0},"citationItems":[{"id":3854,"uris":["http://zotero.org/users/3532167/items/ZU8LLQPZ","http://zotero.org/users/3532167/items/LENZYE3Q"],"itemData":{"id":3854,"type":"article-journal","abstract":"Underground thermal energy storage (UTES) are widely recognised as one of the most promising technologies for building applications due to their high energy efficiency and low operating costs. In recent years, horizontal underground thermal energy storage (HUTES) have gained recognition as effective solutions for storing intermittent renewable energy. In these systems, heat exchangers play a crucial role as heat-conducting media, with a predominantly horizontal distribution. Many notable studies have been conducted in recent years. However, most existing reviews have focused on vertical UTES, addressing their design, performance and applications, as well as horizontal ground heat exchangers integrated into geothermal heat pump systems, named as Horizontal Ground source Heat Pump. A systematic synthesis analysing the thermodynamic performance of HUTES, enabling the use of energy from renewable resources, is therefore essential. This review aims to summarise the experimental benches and analytical and numerical models of shallow HUTES with linear, spring and spiral loops, as well as their advantages and disadvantages. Evaluations and comparisons between different configurations of HUTES are presented. Particular attention is paid to the various internal and external factors influencing the thermal properties of HUTES: geometric parameters, thermophysical properties of different materials, operating and climatic conditions. Finally, conclusions are drawn on the choices to be made in order to develop the most efficient HUTES. Finally, this review offers suggestions for future developments and recommendations for research directions related to HUTES, providing avenues for further research.","container-title":"Journal of Energy Storage","DOI":"10.1016/j.est.2025.119927","ISSN":"2352-152X","journalAbbreviation":"Journal of Energy Storage","page":"119927","source":"ScienceDirect","title":"Review on horizontal underground thermal energy storage (HUTES)","volume":"147","author":[{"family":"Le Roux","given":"Diane"},{"family":"Noël","given":"Hervé"},{"family":"Fuentes","given":"Adrien"},{"family":"Colinart","given":"Thibaut"}],"issued":{"date-parts":[["2026",2,20]]}}}],"schema":"https://github.com/citation-style-language/schema/raw/master/csl-citation.json"} </w:instrText>
      </w:r>
      <w:r w:rsidR="009653B6" w:rsidRPr="00F207B4">
        <w:rPr>
          <w:lang w:val="en-GB"/>
        </w:rPr>
        <w:fldChar w:fldCharType="separate"/>
      </w:r>
      <w:r w:rsidR="009653B6" w:rsidRPr="00F207B4">
        <w:rPr>
          <w:lang w:val="en-GB"/>
        </w:rPr>
        <w:t>(Le Roux et al., 2026)</w:t>
      </w:r>
      <w:r w:rsidR="009653B6" w:rsidRPr="00F207B4">
        <w:rPr>
          <w:lang w:val="en-GB"/>
        </w:rPr>
        <w:fldChar w:fldCharType="end"/>
      </w:r>
      <w:r w:rsidR="0093254C" w:rsidRPr="00F207B4">
        <w:rPr>
          <w:lang w:val="en-GB"/>
        </w:rPr>
        <w:t>,</w:t>
      </w:r>
      <w:r w:rsidR="009653B6" w:rsidRPr="00F207B4">
        <w:rPr>
          <w:lang w:val="en-GB"/>
        </w:rPr>
        <w:t xml:space="preserve"> was adopted to assess feasibility. </w:t>
      </w:r>
      <w:r w:rsidR="00870C10" w:rsidRPr="00F207B4">
        <w:rPr>
          <w:lang w:val="en-GB"/>
        </w:rPr>
        <w:t>In this study, the</w:t>
      </w:r>
      <w:r w:rsidR="009653B6" w:rsidRPr="00F207B4">
        <w:rPr>
          <w:lang w:val="en-GB"/>
        </w:rPr>
        <w:t xml:space="preserve"> numerical work identifies influential parameters, defines operational scenarios and </w:t>
      </w:r>
      <w:r w:rsidR="003E7951" w:rsidRPr="00F207B4">
        <w:rPr>
          <w:lang w:val="en-GB"/>
        </w:rPr>
        <w:t>performs</w:t>
      </w:r>
      <w:r w:rsidR="009653B6" w:rsidRPr="00F207B4">
        <w:rPr>
          <w:lang w:val="en-GB"/>
        </w:rPr>
        <w:t xml:space="preserve"> sensitivity studies to evaluate the impact of design and operational parameters.</w:t>
      </w:r>
      <w:r w:rsidR="00A57E85" w:rsidRPr="00F207B4">
        <w:rPr>
          <w:lang w:val="en-GB"/>
        </w:rPr>
        <w:t xml:space="preserve"> The results are intended to provide design guidelines for future optimisation and experimental validation of HUTES.</w:t>
      </w:r>
    </w:p>
    <w:p w14:paraId="0F01D2CD" w14:textId="041231F5" w:rsidR="00894F5A" w:rsidRPr="00F207B4" w:rsidRDefault="00894F5A" w:rsidP="00870C10">
      <w:pPr>
        <w:pStyle w:val="SWCText"/>
        <w:rPr>
          <w:lang w:val="en-GB"/>
        </w:rPr>
      </w:pPr>
      <w:r w:rsidRPr="00F207B4">
        <w:rPr>
          <w:lang w:val="en-GB"/>
        </w:rPr>
        <w:t>This paper is organised as follows. First, the HUTES concept, the numerical model and the operati</w:t>
      </w:r>
      <w:r w:rsidR="007E6526" w:rsidRPr="00F207B4">
        <w:rPr>
          <w:lang w:val="en-GB"/>
        </w:rPr>
        <w:t>onal</w:t>
      </w:r>
      <w:r w:rsidRPr="00F207B4">
        <w:rPr>
          <w:lang w:val="en-GB"/>
        </w:rPr>
        <w:t xml:space="preserve"> scenarios are presented, together with the sensitivity analysis methodology, including the investigated parameters, the Morris and </w:t>
      </w:r>
      <w:proofErr w:type="spellStart"/>
      <w:r w:rsidRPr="00F207B4">
        <w:rPr>
          <w:lang w:val="en-GB"/>
        </w:rPr>
        <w:t>Sobol</w:t>
      </w:r>
      <w:proofErr w:type="spellEnd"/>
      <w:r w:rsidRPr="00F207B4">
        <w:rPr>
          <w:lang w:val="en-GB"/>
        </w:rPr>
        <w:t xml:space="preserve"> methods, and the performance criteria. Next, the results of the parametric study are discussed, and the transient temperature fields within the HUTES are analysed for two representative scenarios to highlight the governing heat transfer mechanisms. Finally, the main conclusions are summarised and perspectives for future work are outlined.</w:t>
      </w:r>
    </w:p>
    <w:p w14:paraId="378F0C31" w14:textId="0F004463" w:rsidR="00D32EF0" w:rsidRPr="00F207B4" w:rsidRDefault="00A61EAC" w:rsidP="00490F10">
      <w:pPr>
        <w:pStyle w:val="SWCHeading1"/>
        <w:rPr>
          <w:lang w:val="en-GB"/>
        </w:rPr>
      </w:pPr>
      <w:r w:rsidRPr="00F207B4">
        <w:rPr>
          <w:lang w:val="en-GB"/>
        </w:rPr>
        <w:t>Materials &amp; Methods</w:t>
      </w:r>
    </w:p>
    <w:p w14:paraId="72EC040F" w14:textId="1E162AA8" w:rsidR="00D02AB4" w:rsidRPr="00F207B4" w:rsidRDefault="001A78B7" w:rsidP="00D02AB4">
      <w:pPr>
        <w:pStyle w:val="SWCHeading11"/>
        <w:numPr>
          <w:ilvl w:val="1"/>
          <w:numId w:val="36"/>
        </w:numPr>
      </w:pPr>
      <w:r w:rsidRPr="00F207B4">
        <w:t>Modelling</w:t>
      </w:r>
      <w:r w:rsidR="00A61EAC" w:rsidRPr="00F207B4">
        <w:t xml:space="preserve"> of the HUTES on TRNSYS</w:t>
      </w:r>
    </w:p>
    <w:p w14:paraId="18F7B370" w14:textId="77777777" w:rsidR="00894F5A" w:rsidRPr="00F207B4" w:rsidRDefault="00A61EAC" w:rsidP="00A61EAC">
      <w:pPr>
        <w:pStyle w:val="SWCText"/>
        <w:rPr>
          <w:lang w:val="en-GB"/>
        </w:rPr>
      </w:pPr>
      <w:r w:rsidRPr="00F207B4">
        <w:rPr>
          <w:lang w:val="en-GB"/>
        </w:rPr>
        <w:t xml:space="preserve">An experimental bench, recently installed on a farm in </w:t>
      </w:r>
      <w:proofErr w:type="spellStart"/>
      <w:r w:rsidRPr="00F207B4">
        <w:rPr>
          <w:lang w:val="en-GB"/>
        </w:rPr>
        <w:t>Mayenne</w:t>
      </w:r>
      <w:proofErr w:type="spellEnd"/>
      <w:r w:rsidR="003E7951" w:rsidRPr="00F207B4">
        <w:rPr>
          <w:lang w:val="en-GB"/>
        </w:rPr>
        <w:t xml:space="preserve"> (Northwest of France)</w:t>
      </w:r>
      <w:r w:rsidRPr="00F207B4">
        <w:rPr>
          <w:lang w:val="en-GB"/>
        </w:rPr>
        <w:t xml:space="preserve">, serves as the inspiration for this case study. </w:t>
      </w:r>
      <w:r w:rsidR="002C130A" w:rsidRPr="00F207B4">
        <w:rPr>
          <w:lang w:val="en-GB"/>
        </w:rPr>
        <w:t xml:space="preserve">The aim is to assess the potential of such a system for utilising heat from a solar field across different seasons. </w:t>
      </w:r>
      <w:r w:rsidRPr="00F207B4">
        <w:rPr>
          <w:lang w:val="en-GB"/>
        </w:rPr>
        <w:t>Fig.1 shows a side view (X-Z plane) and a vertical cross-section (Y-Z plane) of the HUTES.</w:t>
      </w:r>
    </w:p>
    <w:p w14:paraId="501539B3" w14:textId="6794B30C" w:rsidR="00495C0A" w:rsidRPr="00F207B4" w:rsidRDefault="00495C0A" w:rsidP="00894F5A">
      <w:pPr>
        <w:rPr>
          <w:lang w:val="en-GB"/>
        </w:rPr>
      </w:pPr>
      <w:r w:rsidRPr="00495C0A">
        <w:drawing>
          <wp:inline distT="0" distB="0" distL="0" distR="0" wp14:anchorId="4EA5BDFB" wp14:editId="2C3FF67F">
            <wp:extent cx="5749192" cy="1953491"/>
            <wp:effectExtent l="0" t="0" r="4445" b="8890"/>
            <wp:docPr id="11" name="Image 10">
              <a:extLst xmlns:a="http://schemas.openxmlformats.org/drawingml/2006/main">
                <a:ext uri="{FF2B5EF4-FFF2-40B4-BE49-F238E27FC236}">
                  <a16:creationId xmlns:a16="http://schemas.microsoft.com/office/drawing/2014/main" id="{E557060F-B5BA-417E-A124-539453BE0E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0">
                      <a:extLst>
                        <a:ext uri="{FF2B5EF4-FFF2-40B4-BE49-F238E27FC236}">
                          <a16:creationId xmlns:a16="http://schemas.microsoft.com/office/drawing/2014/main" id="{E557060F-B5BA-417E-A124-539453BE0E28}"/>
                        </a:ext>
                      </a:extLst>
                    </pic:cNvPr>
                    <pic:cNvPicPr>
                      <a:picLocks noChangeAspect="1"/>
                    </pic:cNvPicPr>
                  </pic:nvPicPr>
                  <pic:blipFill rotWithShape="1">
                    <a:blip r:embed="rId9"/>
                    <a:srcRect l="1322" r="669" b="3733"/>
                    <a:stretch/>
                  </pic:blipFill>
                  <pic:spPr bwMode="auto">
                    <a:xfrm>
                      <a:off x="0" y="0"/>
                      <a:ext cx="5749192" cy="1953491"/>
                    </a:xfrm>
                    <a:prstGeom prst="rect">
                      <a:avLst/>
                    </a:prstGeom>
                    <a:ln>
                      <a:noFill/>
                    </a:ln>
                    <a:extLst>
                      <a:ext uri="{53640926-AAD7-44D8-BBD7-CCE9431645EC}">
                        <a14:shadowObscured xmlns:a14="http://schemas.microsoft.com/office/drawing/2010/main"/>
                      </a:ext>
                    </a:extLst>
                  </pic:spPr>
                </pic:pic>
              </a:graphicData>
            </a:graphic>
          </wp:inline>
        </w:drawing>
      </w:r>
    </w:p>
    <w:p w14:paraId="5E6E95ED" w14:textId="77777777" w:rsidR="00894F5A" w:rsidRPr="00F207B4" w:rsidRDefault="00894F5A" w:rsidP="00894F5A">
      <w:pPr>
        <w:rPr>
          <w:sz w:val="10"/>
          <w:szCs w:val="10"/>
          <w:lang w:val="en-GB"/>
        </w:rPr>
      </w:pPr>
    </w:p>
    <w:p w14:paraId="537A81A2" w14:textId="5CB1F3D9" w:rsidR="00894F5A" w:rsidRPr="00F207B4" w:rsidRDefault="00894F5A" w:rsidP="00894F5A">
      <w:pPr>
        <w:pStyle w:val="SWCTableFigureCaption"/>
        <w:rPr>
          <w:lang w:val="en-GB"/>
        </w:rPr>
      </w:pPr>
      <w:r w:rsidRPr="00F207B4">
        <w:rPr>
          <w:lang w:val="en-GB"/>
        </w:rPr>
        <w:t>Fig. 1: Simplified diagram of the side view (X-Z plane) (a) and the vertical section (Y-Z plane) (b)</w:t>
      </w:r>
    </w:p>
    <w:p w14:paraId="31E4C6A4" w14:textId="30A55041" w:rsidR="00777ED4" w:rsidRPr="00F207B4" w:rsidRDefault="00777ED4" w:rsidP="00894F5A">
      <w:pPr>
        <w:pStyle w:val="SWCTableFigureCaption"/>
        <w:rPr>
          <w:b w:val="0"/>
          <w:lang w:val="en-GB"/>
        </w:rPr>
      </w:pPr>
    </w:p>
    <w:p w14:paraId="41064114" w14:textId="58F2A72B" w:rsidR="00A61EAC" w:rsidRPr="00F207B4" w:rsidRDefault="002C2B84" w:rsidP="00A61EAC">
      <w:pPr>
        <w:pStyle w:val="SWCText"/>
        <w:rPr>
          <w:lang w:val="en-GB"/>
        </w:rPr>
      </w:pPr>
      <w:r w:rsidRPr="00F207B4">
        <w:rPr>
          <w:lang w:val="en-GB"/>
        </w:rPr>
        <w:t xml:space="preserve">These two views show the main dimensions of the test bench. </w:t>
      </w:r>
      <w:r w:rsidR="00A61EAC" w:rsidRPr="00F207B4">
        <w:rPr>
          <w:lang w:val="en-GB"/>
        </w:rPr>
        <w:t>The main characteristics of this HUTES are:</w:t>
      </w:r>
    </w:p>
    <w:p w14:paraId="1FDC4887" w14:textId="4D2EAB28" w:rsidR="00A61EAC" w:rsidRPr="00F207B4" w:rsidRDefault="00A61EAC" w:rsidP="00A61EAC">
      <w:pPr>
        <w:pStyle w:val="SWCText"/>
        <w:numPr>
          <w:ilvl w:val="0"/>
          <w:numId w:val="25"/>
        </w:numPr>
        <w:rPr>
          <w:lang w:val="en-GB"/>
        </w:rPr>
      </w:pPr>
      <w:r w:rsidRPr="00F207B4">
        <w:rPr>
          <w:b/>
          <w:lang w:val="en-GB"/>
        </w:rPr>
        <w:lastRenderedPageBreak/>
        <w:t>Heat exchanger geometry</w:t>
      </w:r>
      <w:r w:rsidRPr="00F207B4">
        <w:rPr>
          <w:lang w:val="en-GB"/>
        </w:rPr>
        <w:t>: 1 linear tube</w:t>
      </w:r>
      <w:r w:rsidR="00C97E88" w:rsidRPr="00F207B4">
        <w:rPr>
          <w:lang w:val="en-GB"/>
        </w:rPr>
        <w:t>, 27 m long and 0.032 m in diameter,</w:t>
      </w:r>
      <w:r w:rsidRPr="00F207B4">
        <w:rPr>
          <w:lang w:val="en-GB"/>
        </w:rPr>
        <w:t xml:space="preserve"> on 1 horizontal layer,</w:t>
      </w:r>
    </w:p>
    <w:p w14:paraId="0F2F4432" w14:textId="6BD80973" w:rsidR="00A61EAC" w:rsidRPr="00F207B4" w:rsidRDefault="00A61EAC" w:rsidP="00A61EAC">
      <w:pPr>
        <w:pStyle w:val="SWCText"/>
        <w:numPr>
          <w:ilvl w:val="0"/>
          <w:numId w:val="25"/>
        </w:numPr>
        <w:rPr>
          <w:lang w:val="en-GB"/>
        </w:rPr>
      </w:pPr>
      <w:r w:rsidRPr="00F207B4">
        <w:rPr>
          <w:b/>
          <w:lang w:val="en-GB"/>
        </w:rPr>
        <w:t>Insulation</w:t>
      </w:r>
      <w:r w:rsidRPr="00F207B4">
        <w:rPr>
          <w:lang w:val="en-GB"/>
        </w:rPr>
        <w:t>: top/side/bottom surfaces made of straw</w:t>
      </w:r>
      <w:r w:rsidR="00C97E88" w:rsidRPr="00F207B4">
        <w:rPr>
          <w:lang w:val="en-GB"/>
        </w:rPr>
        <w:t xml:space="preserve"> with a thickness of 0.32 m</w:t>
      </w:r>
      <w:r w:rsidRPr="00F207B4">
        <w:rPr>
          <w:lang w:val="en-GB"/>
        </w:rPr>
        <w:t>,</w:t>
      </w:r>
    </w:p>
    <w:p w14:paraId="23B6A49A" w14:textId="5501B6E7" w:rsidR="00A61EAC" w:rsidRPr="00F207B4" w:rsidRDefault="00A61EAC" w:rsidP="00A61EAC">
      <w:pPr>
        <w:pStyle w:val="SWCText"/>
        <w:numPr>
          <w:ilvl w:val="0"/>
          <w:numId w:val="25"/>
        </w:numPr>
        <w:rPr>
          <w:lang w:val="en-GB"/>
        </w:rPr>
      </w:pPr>
      <w:r w:rsidRPr="00F207B4">
        <w:rPr>
          <w:b/>
          <w:lang w:val="en-GB"/>
        </w:rPr>
        <w:t>Materials</w:t>
      </w:r>
      <w:r w:rsidRPr="00F207B4">
        <w:rPr>
          <w:lang w:val="en-GB"/>
        </w:rPr>
        <w:t>: sand (storage material</w:t>
      </w:r>
      <w:r w:rsidR="00C97E88" w:rsidRPr="00F207B4">
        <w:rPr>
          <w:lang w:val="en-GB"/>
        </w:rPr>
        <w:t xml:space="preserve"> with a theoretical volume of 11.8 m</w:t>
      </w:r>
      <w:r w:rsidR="00C97E88" w:rsidRPr="00F207B4">
        <w:rPr>
          <w:vertAlign w:val="superscript"/>
          <w:lang w:val="en-GB"/>
        </w:rPr>
        <w:t>3</w:t>
      </w:r>
      <w:r w:rsidRPr="00F207B4">
        <w:rPr>
          <w:lang w:val="en-GB"/>
        </w:rPr>
        <w:t>), multilayer tubes and water (</w:t>
      </w:r>
      <w:r w:rsidR="0092128B" w:rsidRPr="00F207B4">
        <w:rPr>
          <w:lang w:val="en-GB"/>
        </w:rPr>
        <w:t>H</w:t>
      </w:r>
      <w:r w:rsidRPr="00F207B4">
        <w:rPr>
          <w:lang w:val="en-GB"/>
        </w:rPr>
        <w:t xml:space="preserve">eat </w:t>
      </w:r>
      <w:r w:rsidR="0092128B" w:rsidRPr="00F207B4">
        <w:rPr>
          <w:lang w:val="en-GB"/>
        </w:rPr>
        <w:t>T</w:t>
      </w:r>
      <w:r w:rsidRPr="00F207B4">
        <w:rPr>
          <w:lang w:val="en-GB"/>
        </w:rPr>
        <w:t xml:space="preserve">ransfer </w:t>
      </w:r>
      <w:r w:rsidR="0092128B" w:rsidRPr="00F207B4">
        <w:rPr>
          <w:lang w:val="en-GB"/>
        </w:rPr>
        <w:t>F</w:t>
      </w:r>
      <w:r w:rsidRPr="00F207B4">
        <w:rPr>
          <w:lang w:val="en-GB"/>
        </w:rPr>
        <w:t>luid</w:t>
      </w:r>
      <w:r w:rsidR="0092128B" w:rsidRPr="00F207B4">
        <w:rPr>
          <w:lang w:val="en-GB"/>
        </w:rPr>
        <w:t xml:space="preserve"> (HTF)</w:t>
      </w:r>
      <w:r w:rsidRPr="00F207B4">
        <w:rPr>
          <w:lang w:val="en-GB"/>
        </w:rPr>
        <w:t>), the thermophysical properties of which are listed in Tab.1.</w:t>
      </w:r>
    </w:p>
    <w:p w14:paraId="2022DCD8" w14:textId="295E9ED2" w:rsidR="00A61EAC" w:rsidRPr="00F207B4" w:rsidRDefault="00DE45FB" w:rsidP="00DE45FB">
      <w:pPr>
        <w:pStyle w:val="SWCTableFigureCaption"/>
        <w:rPr>
          <w:lang w:val="en-GB" w:eastAsia="zh-CN"/>
        </w:rPr>
      </w:pPr>
      <w:r w:rsidRPr="00F207B4">
        <w:rPr>
          <w:lang w:val="en-GB" w:eastAsia="zh-CN"/>
        </w:rPr>
        <w:t>Tab.1: Thermophysical properties of the HUTES materials under investigation</w:t>
      </w:r>
    </w:p>
    <w:tbl>
      <w:tblPr>
        <w:tblStyle w:val="Grilledutableau"/>
        <w:tblW w:w="9104" w:type="dxa"/>
        <w:tblLook w:val="04A0" w:firstRow="1" w:lastRow="0" w:firstColumn="1" w:lastColumn="0" w:noHBand="0" w:noVBand="1"/>
      </w:tblPr>
      <w:tblGrid>
        <w:gridCol w:w="1980"/>
        <w:gridCol w:w="1276"/>
        <w:gridCol w:w="1559"/>
        <w:gridCol w:w="2268"/>
        <w:gridCol w:w="2021"/>
      </w:tblGrid>
      <w:tr w:rsidR="00A61EAC" w:rsidRPr="00F207B4" w14:paraId="2B48A75E" w14:textId="77777777" w:rsidTr="0019743C">
        <w:tc>
          <w:tcPr>
            <w:tcW w:w="1980" w:type="dxa"/>
          </w:tcPr>
          <w:p w14:paraId="0393F48A" w14:textId="77777777" w:rsidR="00A61EAC" w:rsidRPr="00F207B4" w:rsidRDefault="00A61EAC" w:rsidP="00DB3157">
            <w:pPr>
              <w:spacing w:after="100" w:afterAutospacing="1"/>
              <w:jc w:val="center"/>
              <w:rPr>
                <w:sz w:val="20"/>
                <w:szCs w:val="20"/>
                <w:lang w:val="en-GB"/>
              </w:rPr>
            </w:pPr>
          </w:p>
        </w:tc>
        <w:tc>
          <w:tcPr>
            <w:tcW w:w="1276" w:type="dxa"/>
          </w:tcPr>
          <w:p w14:paraId="5E18FCFE" w14:textId="66181BC0" w:rsidR="00A61EAC" w:rsidRPr="00F207B4" w:rsidRDefault="00C135BB" w:rsidP="00DB3157">
            <w:pPr>
              <w:spacing w:after="100" w:afterAutospacing="1"/>
              <w:jc w:val="center"/>
              <w:rPr>
                <w:sz w:val="20"/>
                <w:szCs w:val="20"/>
                <w:lang w:val="en-GB"/>
              </w:rPr>
            </w:pPr>
            <w:r w:rsidRPr="00F207B4">
              <w:rPr>
                <w:sz w:val="20"/>
                <w:szCs w:val="20"/>
                <w:lang w:val="en-GB"/>
              </w:rPr>
              <w:t>Density</w:t>
            </w:r>
            <w:r w:rsidR="0093254C" w:rsidRPr="00F207B4">
              <w:rPr>
                <w:sz w:val="20"/>
                <w:szCs w:val="20"/>
                <w:lang w:val="en-GB"/>
              </w:rPr>
              <w:br/>
            </w:r>
            <w:r w:rsidR="00A61EAC" w:rsidRPr="00F207B4">
              <w:rPr>
                <w:sz w:val="20"/>
                <w:szCs w:val="20"/>
                <w:lang w:val="en-GB"/>
              </w:rPr>
              <w:t>(kg.m</w:t>
            </w:r>
            <w:r w:rsidR="00A61EAC" w:rsidRPr="00F207B4">
              <w:rPr>
                <w:sz w:val="20"/>
                <w:szCs w:val="20"/>
                <w:vertAlign w:val="superscript"/>
                <w:lang w:val="en-GB"/>
              </w:rPr>
              <w:t>-3</w:t>
            </w:r>
            <w:r w:rsidR="00A61EAC" w:rsidRPr="00F207B4">
              <w:rPr>
                <w:sz w:val="20"/>
                <w:szCs w:val="20"/>
                <w:lang w:val="en-GB"/>
              </w:rPr>
              <w:t>)</w:t>
            </w:r>
          </w:p>
        </w:tc>
        <w:tc>
          <w:tcPr>
            <w:tcW w:w="1559" w:type="dxa"/>
          </w:tcPr>
          <w:p w14:paraId="7FAE7236" w14:textId="41426252" w:rsidR="00A61EAC" w:rsidRPr="00F207B4" w:rsidRDefault="00C135BB" w:rsidP="00DB3157">
            <w:pPr>
              <w:spacing w:after="100" w:afterAutospacing="1"/>
              <w:jc w:val="center"/>
              <w:rPr>
                <w:sz w:val="20"/>
                <w:szCs w:val="20"/>
                <w:lang w:val="en-GB"/>
              </w:rPr>
            </w:pPr>
            <w:r w:rsidRPr="00F207B4">
              <w:rPr>
                <w:sz w:val="20"/>
                <w:szCs w:val="20"/>
                <w:lang w:val="en-GB"/>
              </w:rPr>
              <w:t>Heat capacity</w:t>
            </w:r>
            <w:r w:rsidR="0093254C" w:rsidRPr="00F207B4">
              <w:rPr>
                <w:sz w:val="20"/>
                <w:szCs w:val="20"/>
                <w:lang w:val="en-GB"/>
              </w:rPr>
              <w:br/>
            </w:r>
            <w:r w:rsidR="00A61EAC" w:rsidRPr="00F207B4">
              <w:rPr>
                <w:sz w:val="20"/>
                <w:szCs w:val="20"/>
                <w:lang w:val="en-GB"/>
              </w:rPr>
              <w:t>(kJ.kg</w:t>
            </w:r>
            <w:r w:rsidR="00A61EAC" w:rsidRPr="00F207B4">
              <w:rPr>
                <w:sz w:val="20"/>
                <w:szCs w:val="20"/>
                <w:vertAlign w:val="superscript"/>
                <w:lang w:val="en-GB"/>
              </w:rPr>
              <w:t>-</w:t>
            </w:r>
            <w:proofErr w:type="gramStart"/>
            <w:r w:rsidR="00A61EAC" w:rsidRPr="00F207B4">
              <w:rPr>
                <w:sz w:val="20"/>
                <w:szCs w:val="20"/>
                <w:vertAlign w:val="superscript"/>
                <w:lang w:val="en-GB"/>
              </w:rPr>
              <w:t>1</w:t>
            </w:r>
            <w:r w:rsidR="00A61EAC" w:rsidRPr="00F207B4">
              <w:rPr>
                <w:sz w:val="20"/>
                <w:szCs w:val="20"/>
                <w:lang w:val="en-GB"/>
              </w:rPr>
              <w:t>.K</w:t>
            </w:r>
            <w:proofErr w:type="gramEnd"/>
            <w:r w:rsidR="00A61EAC" w:rsidRPr="00F207B4">
              <w:rPr>
                <w:sz w:val="20"/>
                <w:szCs w:val="20"/>
                <w:vertAlign w:val="superscript"/>
                <w:lang w:val="en-GB"/>
              </w:rPr>
              <w:t>-1</w:t>
            </w:r>
            <w:r w:rsidR="00A61EAC" w:rsidRPr="00F207B4">
              <w:rPr>
                <w:sz w:val="20"/>
                <w:szCs w:val="20"/>
                <w:lang w:val="en-GB"/>
              </w:rPr>
              <w:t>)</w:t>
            </w:r>
          </w:p>
        </w:tc>
        <w:tc>
          <w:tcPr>
            <w:tcW w:w="2268" w:type="dxa"/>
          </w:tcPr>
          <w:p w14:paraId="62608EEE" w14:textId="0AFA6649" w:rsidR="00A61EAC" w:rsidRPr="00F207B4" w:rsidRDefault="00A61EAC" w:rsidP="00DB3157">
            <w:pPr>
              <w:spacing w:after="100" w:afterAutospacing="1"/>
              <w:jc w:val="center"/>
              <w:rPr>
                <w:sz w:val="20"/>
                <w:szCs w:val="20"/>
                <w:lang w:val="en-GB"/>
              </w:rPr>
            </w:pPr>
            <w:r w:rsidRPr="00F207B4">
              <w:rPr>
                <w:sz w:val="20"/>
                <w:szCs w:val="20"/>
                <w:lang w:val="en-GB"/>
              </w:rPr>
              <w:t>Thermal conductivity</w:t>
            </w:r>
            <w:r w:rsidR="0093254C" w:rsidRPr="00F207B4">
              <w:rPr>
                <w:sz w:val="20"/>
                <w:szCs w:val="20"/>
                <w:lang w:val="en-GB"/>
              </w:rPr>
              <w:br/>
            </w:r>
            <w:r w:rsidRPr="00F207B4">
              <w:rPr>
                <w:sz w:val="20"/>
                <w:szCs w:val="20"/>
                <w:lang w:val="en-GB"/>
              </w:rPr>
              <w:t>(W.m</w:t>
            </w:r>
            <w:r w:rsidRPr="00F207B4">
              <w:rPr>
                <w:sz w:val="20"/>
                <w:szCs w:val="20"/>
                <w:vertAlign w:val="superscript"/>
                <w:lang w:val="en-GB"/>
              </w:rPr>
              <w:t>-</w:t>
            </w:r>
            <w:proofErr w:type="gramStart"/>
            <w:r w:rsidRPr="00F207B4">
              <w:rPr>
                <w:sz w:val="20"/>
                <w:szCs w:val="20"/>
                <w:vertAlign w:val="superscript"/>
                <w:lang w:val="en-GB"/>
              </w:rPr>
              <w:t>1</w:t>
            </w:r>
            <w:r w:rsidRPr="00F207B4">
              <w:rPr>
                <w:sz w:val="20"/>
                <w:szCs w:val="20"/>
                <w:lang w:val="en-GB"/>
              </w:rPr>
              <w:t>.K</w:t>
            </w:r>
            <w:proofErr w:type="gramEnd"/>
            <w:r w:rsidRPr="00F207B4">
              <w:rPr>
                <w:sz w:val="20"/>
                <w:szCs w:val="20"/>
                <w:vertAlign w:val="superscript"/>
                <w:lang w:val="en-GB"/>
              </w:rPr>
              <w:t>-1</w:t>
            </w:r>
            <w:r w:rsidRPr="00F207B4">
              <w:rPr>
                <w:sz w:val="20"/>
                <w:szCs w:val="20"/>
                <w:lang w:val="en-GB"/>
              </w:rPr>
              <w:t>)</w:t>
            </w:r>
          </w:p>
        </w:tc>
        <w:tc>
          <w:tcPr>
            <w:tcW w:w="2021" w:type="dxa"/>
          </w:tcPr>
          <w:p w14:paraId="2D58307B" w14:textId="58327821" w:rsidR="00A61EAC" w:rsidRPr="00F207B4" w:rsidRDefault="00A61EAC" w:rsidP="00DB3157">
            <w:pPr>
              <w:spacing w:after="100" w:afterAutospacing="1"/>
              <w:jc w:val="center"/>
              <w:rPr>
                <w:sz w:val="20"/>
                <w:szCs w:val="20"/>
                <w:lang w:val="en-GB"/>
              </w:rPr>
            </w:pPr>
            <w:r w:rsidRPr="00F207B4">
              <w:rPr>
                <w:sz w:val="20"/>
                <w:szCs w:val="20"/>
                <w:lang w:val="en-GB"/>
              </w:rPr>
              <w:t xml:space="preserve">Dynamic </w:t>
            </w:r>
            <w:r w:rsidR="008C5EBC" w:rsidRPr="00F207B4">
              <w:rPr>
                <w:sz w:val="20"/>
                <w:szCs w:val="20"/>
                <w:lang w:val="en-GB"/>
              </w:rPr>
              <w:t>viscosity</w:t>
            </w:r>
            <w:r w:rsidR="0093254C" w:rsidRPr="00F207B4">
              <w:rPr>
                <w:sz w:val="20"/>
                <w:szCs w:val="20"/>
                <w:lang w:val="en-GB"/>
              </w:rPr>
              <w:br/>
            </w:r>
            <w:r w:rsidRPr="00F207B4">
              <w:rPr>
                <w:sz w:val="20"/>
                <w:szCs w:val="20"/>
                <w:lang w:val="en-GB"/>
              </w:rPr>
              <w:t>(kg.m</w:t>
            </w:r>
            <w:r w:rsidRPr="00F207B4">
              <w:rPr>
                <w:sz w:val="20"/>
                <w:szCs w:val="20"/>
                <w:vertAlign w:val="superscript"/>
                <w:lang w:val="en-GB"/>
              </w:rPr>
              <w:t>-1</w:t>
            </w:r>
            <w:r w:rsidRPr="00F207B4">
              <w:rPr>
                <w:sz w:val="20"/>
                <w:szCs w:val="20"/>
                <w:lang w:val="en-GB"/>
              </w:rPr>
              <w:t>.h</w:t>
            </w:r>
            <w:r w:rsidRPr="00F207B4">
              <w:rPr>
                <w:sz w:val="20"/>
                <w:szCs w:val="20"/>
                <w:vertAlign w:val="superscript"/>
                <w:lang w:val="en-GB"/>
              </w:rPr>
              <w:t>-1</w:t>
            </w:r>
            <w:r w:rsidRPr="00F207B4">
              <w:rPr>
                <w:sz w:val="20"/>
                <w:szCs w:val="20"/>
                <w:lang w:val="en-GB"/>
              </w:rPr>
              <w:t>)</w:t>
            </w:r>
          </w:p>
        </w:tc>
      </w:tr>
      <w:tr w:rsidR="00A61EAC" w:rsidRPr="00F207B4" w14:paraId="07E809F7" w14:textId="77777777" w:rsidTr="0019743C">
        <w:tc>
          <w:tcPr>
            <w:tcW w:w="1980" w:type="dxa"/>
          </w:tcPr>
          <w:p w14:paraId="1D497BF8" w14:textId="0359F664" w:rsidR="00A61EAC" w:rsidRPr="00F207B4" w:rsidRDefault="00A61EAC" w:rsidP="00DB3157">
            <w:pPr>
              <w:spacing w:after="100" w:afterAutospacing="1"/>
              <w:jc w:val="center"/>
              <w:rPr>
                <w:sz w:val="20"/>
                <w:szCs w:val="20"/>
                <w:lang w:val="en-GB"/>
              </w:rPr>
            </w:pPr>
            <w:r w:rsidRPr="00F207B4">
              <w:rPr>
                <w:sz w:val="20"/>
                <w:szCs w:val="20"/>
                <w:lang w:val="en-GB"/>
              </w:rPr>
              <w:t>Sand</w:t>
            </w:r>
          </w:p>
        </w:tc>
        <w:tc>
          <w:tcPr>
            <w:tcW w:w="1276" w:type="dxa"/>
          </w:tcPr>
          <w:p w14:paraId="2725A320" w14:textId="77777777" w:rsidR="00A61EAC" w:rsidRPr="00F207B4" w:rsidRDefault="00A61EAC" w:rsidP="00DB3157">
            <w:pPr>
              <w:spacing w:after="100" w:afterAutospacing="1"/>
              <w:jc w:val="center"/>
              <w:rPr>
                <w:sz w:val="20"/>
                <w:szCs w:val="20"/>
                <w:lang w:val="en-GB"/>
              </w:rPr>
            </w:pPr>
            <w:r w:rsidRPr="00F207B4">
              <w:rPr>
                <w:sz w:val="20"/>
                <w:szCs w:val="20"/>
                <w:lang w:val="en-GB"/>
              </w:rPr>
              <w:t>2500</w:t>
            </w:r>
          </w:p>
        </w:tc>
        <w:tc>
          <w:tcPr>
            <w:tcW w:w="1559" w:type="dxa"/>
          </w:tcPr>
          <w:p w14:paraId="69EFC7C8" w14:textId="77777777" w:rsidR="00A61EAC" w:rsidRPr="00F207B4" w:rsidRDefault="00A61EAC" w:rsidP="00DB3157">
            <w:pPr>
              <w:spacing w:after="100" w:afterAutospacing="1"/>
              <w:jc w:val="center"/>
              <w:rPr>
                <w:sz w:val="20"/>
                <w:szCs w:val="20"/>
                <w:lang w:val="en-GB"/>
              </w:rPr>
            </w:pPr>
            <w:r w:rsidRPr="00F207B4">
              <w:rPr>
                <w:sz w:val="20"/>
                <w:szCs w:val="20"/>
                <w:lang w:val="en-GB"/>
              </w:rPr>
              <w:t>1</w:t>
            </w:r>
          </w:p>
        </w:tc>
        <w:tc>
          <w:tcPr>
            <w:tcW w:w="2268" w:type="dxa"/>
          </w:tcPr>
          <w:p w14:paraId="2ED03699" w14:textId="183D4915" w:rsidR="00A61EAC" w:rsidRPr="00F207B4" w:rsidRDefault="00A61EAC" w:rsidP="00DB3157">
            <w:pPr>
              <w:spacing w:after="100" w:afterAutospacing="1"/>
              <w:jc w:val="center"/>
              <w:rPr>
                <w:sz w:val="20"/>
                <w:szCs w:val="20"/>
                <w:lang w:val="en-GB"/>
              </w:rPr>
            </w:pPr>
            <w:r w:rsidRPr="00F207B4">
              <w:rPr>
                <w:sz w:val="20"/>
                <w:szCs w:val="20"/>
                <w:lang w:val="en-GB"/>
              </w:rPr>
              <w:t>2</w:t>
            </w:r>
            <w:r w:rsidR="00C135BB" w:rsidRPr="00F207B4">
              <w:rPr>
                <w:sz w:val="20"/>
                <w:szCs w:val="20"/>
                <w:lang w:val="en-GB"/>
              </w:rPr>
              <w:t>.</w:t>
            </w:r>
            <w:r w:rsidRPr="00F207B4">
              <w:rPr>
                <w:sz w:val="20"/>
                <w:szCs w:val="20"/>
                <w:lang w:val="en-GB"/>
              </w:rPr>
              <w:t>42</w:t>
            </w:r>
          </w:p>
        </w:tc>
        <w:tc>
          <w:tcPr>
            <w:tcW w:w="2021" w:type="dxa"/>
          </w:tcPr>
          <w:p w14:paraId="04CB577D" w14:textId="77777777" w:rsidR="00A61EAC" w:rsidRPr="00F207B4" w:rsidRDefault="00A61EAC" w:rsidP="00DB3157">
            <w:pPr>
              <w:spacing w:after="100" w:afterAutospacing="1"/>
              <w:jc w:val="center"/>
              <w:rPr>
                <w:sz w:val="20"/>
                <w:szCs w:val="20"/>
                <w:lang w:val="en-GB"/>
              </w:rPr>
            </w:pPr>
            <w:r w:rsidRPr="00F207B4">
              <w:rPr>
                <w:sz w:val="20"/>
                <w:szCs w:val="20"/>
                <w:lang w:val="en-GB"/>
              </w:rPr>
              <w:t>-</w:t>
            </w:r>
          </w:p>
        </w:tc>
      </w:tr>
      <w:tr w:rsidR="00A61EAC" w:rsidRPr="00F207B4" w14:paraId="0220D00D" w14:textId="77777777" w:rsidTr="0019743C">
        <w:tc>
          <w:tcPr>
            <w:tcW w:w="1980" w:type="dxa"/>
          </w:tcPr>
          <w:p w14:paraId="6BD2FB01" w14:textId="25ACE24F" w:rsidR="00A61EAC" w:rsidRPr="00F207B4" w:rsidRDefault="00A61EAC" w:rsidP="00DB3157">
            <w:pPr>
              <w:spacing w:after="100" w:afterAutospacing="1"/>
              <w:jc w:val="center"/>
              <w:rPr>
                <w:sz w:val="20"/>
                <w:szCs w:val="20"/>
                <w:lang w:val="en-GB"/>
              </w:rPr>
            </w:pPr>
            <w:r w:rsidRPr="00F207B4">
              <w:rPr>
                <w:sz w:val="20"/>
                <w:szCs w:val="20"/>
                <w:lang w:val="en-GB"/>
              </w:rPr>
              <w:t>Water</w:t>
            </w:r>
          </w:p>
        </w:tc>
        <w:tc>
          <w:tcPr>
            <w:tcW w:w="1276" w:type="dxa"/>
          </w:tcPr>
          <w:p w14:paraId="17F450FF" w14:textId="77777777" w:rsidR="00A61EAC" w:rsidRPr="00F207B4" w:rsidRDefault="00A61EAC" w:rsidP="00DB3157">
            <w:pPr>
              <w:spacing w:after="100" w:afterAutospacing="1"/>
              <w:jc w:val="center"/>
              <w:rPr>
                <w:sz w:val="20"/>
                <w:szCs w:val="20"/>
                <w:lang w:val="en-GB"/>
              </w:rPr>
            </w:pPr>
            <w:r w:rsidRPr="00F207B4">
              <w:rPr>
                <w:sz w:val="20"/>
                <w:szCs w:val="20"/>
                <w:lang w:val="en-GB"/>
              </w:rPr>
              <w:t>1000</w:t>
            </w:r>
          </w:p>
        </w:tc>
        <w:tc>
          <w:tcPr>
            <w:tcW w:w="1559" w:type="dxa"/>
          </w:tcPr>
          <w:p w14:paraId="12D41564" w14:textId="503A7124" w:rsidR="00A61EAC" w:rsidRPr="00F207B4" w:rsidRDefault="00A61EAC" w:rsidP="00DB3157">
            <w:pPr>
              <w:spacing w:after="100" w:afterAutospacing="1"/>
              <w:jc w:val="center"/>
              <w:rPr>
                <w:sz w:val="20"/>
                <w:szCs w:val="20"/>
                <w:lang w:val="en-GB"/>
              </w:rPr>
            </w:pPr>
            <w:r w:rsidRPr="00F207B4">
              <w:rPr>
                <w:sz w:val="20"/>
                <w:szCs w:val="20"/>
                <w:lang w:val="en-GB"/>
              </w:rPr>
              <w:t>4</w:t>
            </w:r>
            <w:r w:rsidR="00C135BB" w:rsidRPr="00F207B4">
              <w:rPr>
                <w:sz w:val="20"/>
                <w:szCs w:val="20"/>
                <w:lang w:val="en-GB"/>
              </w:rPr>
              <w:t>.</w:t>
            </w:r>
            <w:r w:rsidRPr="00F207B4">
              <w:rPr>
                <w:sz w:val="20"/>
                <w:szCs w:val="20"/>
                <w:lang w:val="en-GB"/>
              </w:rPr>
              <w:t>19</w:t>
            </w:r>
          </w:p>
        </w:tc>
        <w:tc>
          <w:tcPr>
            <w:tcW w:w="2268" w:type="dxa"/>
          </w:tcPr>
          <w:p w14:paraId="6D454D21" w14:textId="07318D50" w:rsidR="00A61EAC" w:rsidRPr="00F207B4" w:rsidRDefault="00A61EAC" w:rsidP="00DB3157">
            <w:pPr>
              <w:spacing w:after="100" w:afterAutospacing="1"/>
              <w:jc w:val="center"/>
              <w:rPr>
                <w:sz w:val="20"/>
                <w:szCs w:val="20"/>
                <w:lang w:val="en-GB"/>
              </w:rPr>
            </w:pPr>
            <w:r w:rsidRPr="00F207B4">
              <w:rPr>
                <w:sz w:val="20"/>
                <w:szCs w:val="20"/>
                <w:lang w:val="en-GB"/>
              </w:rPr>
              <w:t>0</w:t>
            </w:r>
            <w:r w:rsidR="00C135BB" w:rsidRPr="00F207B4">
              <w:rPr>
                <w:sz w:val="20"/>
                <w:szCs w:val="20"/>
                <w:lang w:val="en-GB"/>
              </w:rPr>
              <w:t>.</w:t>
            </w:r>
            <w:r w:rsidRPr="00F207B4">
              <w:rPr>
                <w:sz w:val="20"/>
                <w:szCs w:val="20"/>
                <w:lang w:val="en-GB"/>
              </w:rPr>
              <w:t>55</w:t>
            </w:r>
          </w:p>
        </w:tc>
        <w:tc>
          <w:tcPr>
            <w:tcW w:w="2021" w:type="dxa"/>
          </w:tcPr>
          <w:p w14:paraId="16ACE6D9" w14:textId="426A964B" w:rsidR="00A61EAC" w:rsidRPr="00F207B4" w:rsidRDefault="00A61EAC" w:rsidP="00DB3157">
            <w:pPr>
              <w:spacing w:after="100" w:afterAutospacing="1"/>
              <w:jc w:val="center"/>
              <w:rPr>
                <w:sz w:val="20"/>
                <w:szCs w:val="20"/>
                <w:lang w:val="en-GB"/>
              </w:rPr>
            </w:pPr>
            <w:r w:rsidRPr="00F207B4">
              <w:rPr>
                <w:sz w:val="20"/>
                <w:szCs w:val="20"/>
                <w:lang w:val="en-GB"/>
              </w:rPr>
              <w:t>3</w:t>
            </w:r>
            <w:r w:rsidR="00C135BB" w:rsidRPr="00F207B4">
              <w:rPr>
                <w:sz w:val="20"/>
                <w:szCs w:val="20"/>
                <w:lang w:val="en-GB"/>
              </w:rPr>
              <w:t>.</w:t>
            </w:r>
            <w:r w:rsidRPr="00F207B4">
              <w:rPr>
                <w:sz w:val="20"/>
                <w:szCs w:val="20"/>
                <w:lang w:val="en-GB"/>
              </w:rPr>
              <w:t>0</w:t>
            </w:r>
          </w:p>
        </w:tc>
      </w:tr>
      <w:tr w:rsidR="00A61EAC" w:rsidRPr="00F207B4" w14:paraId="723F5849" w14:textId="77777777" w:rsidTr="0019743C">
        <w:tc>
          <w:tcPr>
            <w:tcW w:w="1980" w:type="dxa"/>
          </w:tcPr>
          <w:p w14:paraId="3FDA458F" w14:textId="0AF71486" w:rsidR="00A61EAC" w:rsidRPr="00F207B4" w:rsidRDefault="00A61EAC" w:rsidP="00DB3157">
            <w:pPr>
              <w:spacing w:after="100" w:afterAutospacing="1"/>
              <w:jc w:val="center"/>
              <w:rPr>
                <w:sz w:val="20"/>
                <w:szCs w:val="20"/>
                <w:lang w:val="en-GB"/>
              </w:rPr>
            </w:pPr>
            <w:r w:rsidRPr="00F207B4">
              <w:rPr>
                <w:sz w:val="20"/>
                <w:szCs w:val="20"/>
                <w:lang w:val="en-GB"/>
              </w:rPr>
              <w:t>Multilayer tubes</w:t>
            </w:r>
          </w:p>
        </w:tc>
        <w:tc>
          <w:tcPr>
            <w:tcW w:w="1276" w:type="dxa"/>
          </w:tcPr>
          <w:p w14:paraId="33AB59B1" w14:textId="77777777" w:rsidR="00A61EAC" w:rsidRPr="00F207B4" w:rsidRDefault="00A61EAC" w:rsidP="00DB3157">
            <w:pPr>
              <w:spacing w:after="100" w:afterAutospacing="1"/>
              <w:jc w:val="center"/>
              <w:rPr>
                <w:sz w:val="20"/>
                <w:szCs w:val="20"/>
                <w:lang w:val="en-GB"/>
              </w:rPr>
            </w:pPr>
            <w:r w:rsidRPr="00F207B4">
              <w:rPr>
                <w:sz w:val="20"/>
                <w:szCs w:val="20"/>
                <w:lang w:val="en-GB"/>
              </w:rPr>
              <w:t>-</w:t>
            </w:r>
          </w:p>
        </w:tc>
        <w:tc>
          <w:tcPr>
            <w:tcW w:w="1559" w:type="dxa"/>
          </w:tcPr>
          <w:p w14:paraId="4F9CA481" w14:textId="77777777" w:rsidR="00A61EAC" w:rsidRPr="00F207B4" w:rsidRDefault="00A61EAC" w:rsidP="00DB3157">
            <w:pPr>
              <w:spacing w:after="100" w:afterAutospacing="1"/>
              <w:jc w:val="center"/>
              <w:rPr>
                <w:sz w:val="20"/>
                <w:szCs w:val="20"/>
                <w:lang w:val="en-GB"/>
              </w:rPr>
            </w:pPr>
            <w:r w:rsidRPr="00F207B4">
              <w:rPr>
                <w:sz w:val="20"/>
                <w:szCs w:val="20"/>
                <w:lang w:val="en-GB"/>
              </w:rPr>
              <w:t>-</w:t>
            </w:r>
          </w:p>
        </w:tc>
        <w:tc>
          <w:tcPr>
            <w:tcW w:w="2268" w:type="dxa"/>
          </w:tcPr>
          <w:p w14:paraId="475FD476" w14:textId="0C1A71B7" w:rsidR="00A61EAC" w:rsidRPr="00F207B4" w:rsidRDefault="00A61EAC" w:rsidP="00DB3157">
            <w:pPr>
              <w:spacing w:after="100" w:afterAutospacing="1"/>
              <w:jc w:val="center"/>
              <w:rPr>
                <w:sz w:val="20"/>
                <w:szCs w:val="20"/>
                <w:lang w:val="en-GB"/>
              </w:rPr>
            </w:pPr>
            <w:r w:rsidRPr="00F207B4">
              <w:rPr>
                <w:sz w:val="20"/>
                <w:szCs w:val="20"/>
                <w:lang w:val="en-GB"/>
              </w:rPr>
              <w:t>0</w:t>
            </w:r>
            <w:r w:rsidR="00C135BB" w:rsidRPr="00F207B4">
              <w:rPr>
                <w:sz w:val="20"/>
                <w:szCs w:val="20"/>
                <w:lang w:val="en-GB"/>
              </w:rPr>
              <w:t>.</w:t>
            </w:r>
            <w:r w:rsidRPr="00F207B4">
              <w:rPr>
                <w:sz w:val="20"/>
                <w:szCs w:val="20"/>
                <w:lang w:val="en-GB"/>
              </w:rPr>
              <w:t>42</w:t>
            </w:r>
          </w:p>
        </w:tc>
        <w:tc>
          <w:tcPr>
            <w:tcW w:w="2021" w:type="dxa"/>
          </w:tcPr>
          <w:p w14:paraId="4266866A" w14:textId="77777777" w:rsidR="00A61EAC" w:rsidRPr="00F207B4" w:rsidRDefault="00A61EAC" w:rsidP="00DB3157">
            <w:pPr>
              <w:keepNext/>
              <w:spacing w:after="100" w:afterAutospacing="1"/>
              <w:jc w:val="center"/>
              <w:rPr>
                <w:sz w:val="20"/>
                <w:szCs w:val="20"/>
                <w:lang w:val="en-GB"/>
              </w:rPr>
            </w:pPr>
            <w:r w:rsidRPr="00F207B4">
              <w:rPr>
                <w:sz w:val="20"/>
                <w:szCs w:val="20"/>
                <w:lang w:val="en-GB"/>
              </w:rPr>
              <w:t>-</w:t>
            </w:r>
          </w:p>
        </w:tc>
      </w:tr>
    </w:tbl>
    <w:p w14:paraId="426F73F2" w14:textId="2FEDE409" w:rsidR="00A61EAC" w:rsidRPr="00F207B4" w:rsidRDefault="00A61EAC" w:rsidP="007C1632">
      <w:pPr>
        <w:pStyle w:val="SWCText"/>
        <w:rPr>
          <w:lang w:val="en-GB"/>
        </w:rPr>
      </w:pPr>
    </w:p>
    <w:p w14:paraId="321D406D" w14:textId="54D3F483" w:rsidR="00DE45FB" w:rsidRPr="00F207B4" w:rsidRDefault="00DE45FB" w:rsidP="00DE45FB">
      <w:pPr>
        <w:pStyle w:val="SWCText"/>
        <w:rPr>
          <w:lang w:val="en-GB"/>
        </w:rPr>
      </w:pPr>
      <w:r w:rsidRPr="00F207B4">
        <w:rPr>
          <w:lang w:val="en-GB"/>
        </w:rPr>
        <w:t xml:space="preserve">This HUTES is modelled in TRNSYS using Type 999. Based on an implicit three-dimensional finite-difference approach, this Type models heat transfer by conduction through the ground and convection within the pipes, </w:t>
      </w:r>
      <w:r w:rsidR="0011507A" w:rsidRPr="00F207B4">
        <w:rPr>
          <w:lang w:val="en-GB"/>
        </w:rPr>
        <w:t>considering</w:t>
      </w:r>
      <w:r w:rsidRPr="00F207B4">
        <w:rPr>
          <w:lang w:val="en-GB"/>
        </w:rPr>
        <w:t xml:space="preserve"> a multi-layered structure (pipes and ground) with </w:t>
      </w:r>
      <w:r w:rsidR="0011507A" w:rsidRPr="00F207B4">
        <w:rPr>
          <w:lang w:val="en-GB"/>
        </w:rPr>
        <w:t xml:space="preserve">thermophysical </w:t>
      </w:r>
      <w:r w:rsidRPr="00F207B4">
        <w:rPr>
          <w:lang w:val="en-GB"/>
        </w:rPr>
        <w:t xml:space="preserve">properties that vary with depth. The main assumptions of this model are: homogeneous, isotropic and porous soil with constant thermophysical properties (independent of moisture); </w:t>
      </w:r>
      <w:r w:rsidR="009F10B3" w:rsidRPr="00F207B4">
        <w:rPr>
          <w:lang w:val="en-GB"/>
        </w:rPr>
        <w:t xml:space="preserve">HTF </w:t>
      </w:r>
      <w:r w:rsidRPr="00F207B4">
        <w:rPr>
          <w:lang w:val="en-GB"/>
        </w:rPr>
        <w:t xml:space="preserve">(water) and insulation with </w:t>
      </w:r>
      <w:r w:rsidR="00563F37" w:rsidRPr="00F207B4">
        <w:rPr>
          <w:lang w:val="en-GB"/>
        </w:rPr>
        <w:t>constant</w:t>
      </w:r>
      <w:r w:rsidRPr="00F207B4">
        <w:rPr>
          <w:lang w:val="en-GB"/>
        </w:rPr>
        <w:t xml:space="preserve"> </w:t>
      </w:r>
      <w:r w:rsidR="00563F37" w:rsidRPr="00F207B4">
        <w:rPr>
          <w:lang w:val="en-GB"/>
        </w:rPr>
        <w:t xml:space="preserve">thermophysical </w:t>
      </w:r>
      <w:r w:rsidRPr="00F207B4">
        <w:rPr>
          <w:lang w:val="en-GB"/>
        </w:rPr>
        <w:t>properties. During the solution, the model distinguishes (see Fig.1):</w:t>
      </w:r>
    </w:p>
    <w:p w14:paraId="273D5A15" w14:textId="7EE59E34" w:rsidR="00DE45FB" w:rsidRPr="00F207B4" w:rsidRDefault="00DE45FB" w:rsidP="00DE45FB">
      <w:pPr>
        <w:pStyle w:val="SWCText"/>
        <w:numPr>
          <w:ilvl w:val="0"/>
          <w:numId w:val="26"/>
        </w:numPr>
        <w:rPr>
          <w:lang w:val="en-GB"/>
        </w:rPr>
      </w:pPr>
      <w:r w:rsidRPr="00F207B4">
        <w:rPr>
          <w:lang w:val="en-GB"/>
        </w:rPr>
        <w:t>Near field: an insulated zone around the pipes, thermally active.</w:t>
      </w:r>
    </w:p>
    <w:p w14:paraId="77B5B237" w14:textId="25B5FDB4" w:rsidR="00DE45FB" w:rsidRPr="00F207B4" w:rsidRDefault="00DE45FB" w:rsidP="00DE45FB">
      <w:pPr>
        <w:pStyle w:val="SWCText"/>
        <w:numPr>
          <w:ilvl w:val="0"/>
          <w:numId w:val="26"/>
        </w:numPr>
        <w:rPr>
          <w:lang w:val="en-GB"/>
        </w:rPr>
      </w:pPr>
      <w:r w:rsidRPr="00F207B4">
        <w:rPr>
          <w:lang w:val="en-GB"/>
        </w:rPr>
        <w:t>Far field: a boundary zone at constant temperature, limiting edge effects.</w:t>
      </w:r>
    </w:p>
    <w:p w14:paraId="5451F400" w14:textId="1651524C" w:rsidR="00DE45FB" w:rsidRPr="00F207B4" w:rsidRDefault="00DE45FB" w:rsidP="00DE45FB">
      <w:pPr>
        <w:pStyle w:val="SWCText"/>
        <w:rPr>
          <w:lang w:val="en-GB"/>
        </w:rPr>
      </w:pPr>
      <w:r w:rsidRPr="00F207B4">
        <w:rPr>
          <w:lang w:val="en-GB"/>
        </w:rPr>
        <w:t xml:space="preserve">Boundary conditions are defined at the boundaries: a conduction condition is set with a fixed temperature in the far field (10°C on the side faces and meteorological data on the top face), and an adiabatic condition is imposed on the bottom face (as it is not possible to explicitly account for the insulation on this face). The initial conditions assume a homogeneous temperature of 10°C for the ground and the </w:t>
      </w:r>
      <w:r w:rsidR="009F10B3" w:rsidRPr="00F207B4">
        <w:rPr>
          <w:lang w:val="en-GB"/>
        </w:rPr>
        <w:t>HTF</w:t>
      </w:r>
      <w:r w:rsidRPr="00F207B4">
        <w:rPr>
          <w:lang w:val="en-GB"/>
        </w:rPr>
        <w:t>.</w:t>
      </w:r>
    </w:p>
    <w:p w14:paraId="13453124" w14:textId="77CB98D1" w:rsidR="009653B6" w:rsidRPr="00F207B4" w:rsidRDefault="009653B6" w:rsidP="009653B6">
      <w:pPr>
        <w:pStyle w:val="SWCText"/>
        <w:rPr>
          <w:lang w:val="en-GB"/>
        </w:rPr>
      </w:pPr>
      <w:r w:rsidRPr="00F207B4">
        <w:rPr>
          <w:lang w:val="en-GB"/>
        </w:rPr>
        <w:t>The functional architecture of the model (HUTES with a pump) is illustrated in Fig. 2. The model’s core (</w:t>
      </w:r>
      <w:r w:rsidRPr="00F207B4">
        <w:rPr>
          <w:color w:val="FFC000"/>
          <w:lang w:val="en-GB"/>
        </w:rPr>
        <w:t>yellow main block</w:t>
      </w:r>
      <w:r w:rsidRPr="00F207B4">
        <w:rPr>
          <w:lang w:val="en-GB"/>
        </w:rPr>
        <w:t xml:space="preserve">) integrates </w:t>
      </w:r>
      <w:r w:rsidR="00563F37" w:rsidRPr="00F207B4">
        <w:rPr>
          <w:lang w:val="en-GB"/>
        </w:rPr>
        <w:t>3</w:t>
      </w:r>
      <w:r w:rsidRPr="00F207B4">
        <w:rPr>
          <w:lang w:val="en-GB"/>
        </w:rPr>
        <w:t xml:space="preserve"> </w:t>
      </w:r>
      <w:r w:rsidR="0011507A" w:rsidRPr="00F207B4">
        <w:rPr>
          <w:lang w:val="en-GB"/>
        </w:rPr>
        <w:t xml:space="preserve">main </w:t>
      </w:r>
      <w:r w:rsidRPr="00F207B4">
        <w:rPr>
          <w:lang w:val="en-GB"/>
        </w:rPr>
        <w:t>elements: a weather file for outside temperature and solar radiation (</w:t>
      </w:r>
      <w:r w:rsidRPr="00F207B4">
        <w:rPr>
          <w:i/>
          <w:lang w:val="en-GB"/>
        </w:rPr>
        <w:t>Data</w:t>
      </w:r>
      <w:r w:rsidRPr="00F207B4">
        <w:rPr>
          <w:lang w:val="en-GB"/>
        </w:rPr>
        <w:t>), a circulation pump (</w:t>
      </w:r>
      <w:r w:rsidRPr="00F207B4">
        <w:rPr>
          <w:i/>
          <w:lang w:val="en-GB"/>
        </w:rPr>
        <w:t>Pump</w:t>
      </w:r>
      <w:r w:rsidRPr="00F207B4">
        <w:rPr>
          <w:lang w:val="en-GB"/>
        </w:rPr>
        <w:t xml:space="preserve">) and </w:t>
      </w:r>
      <w:r w:rsidR="0011507A" w:rsidRPr="00F207B4">
        <w:rPr>
          <w:lang w:val="en-GB"/>
        </w:rPr>
        <w:t xml:space="preserve">the </w:t>
      </w:r>
      <w:r w:rsidRPr="00F207B4">
        <w:rPr>
          <w:lang w:val="en-GB"/>
        </w:rPr>
        <w:t>Type 999 (</w:t>
      </w:r>
      <w:r w:rsidRPr="00F207B4">
        <w:rPr>
          <w:i/>
          <w:lang w:val="en-GB"/>
        </w:rPr>
        <w:t>HUTES</w:t>
      </w:r>
      <w:r w:rsidRPr="00F207B4">
        <w:rPr>
          <w:lang w:val="en-GB"/>
        </w:rPr>
        <w:t>). These are managed by a central calculator (</w:t>
      </w:r>
      <w:r w:rsidRPr="00F207B4">
        <w:rPr>
          <w:i/>
          <w:lang w:val="en-GB"/>
        </w:rPr>
        <w:t>Variables</w:t>
      </w:r>
      <w:r w:rsidRPr="00F207B4">
        <w:rPr>
          <w:lang w:val="en-GB"/>
        </w:rPr>
        <w:t xml:space="preserve">) that consolidates key parameters, such as HUTES geometry and </w:t>
      </w:r>
      <w:r w:rsidR="0011507A" w:rsidRPr="00F207B4">
        <w:rPr>
          <w:lang w:val="en-GB"/>
        </w:rPr>
        <w:t xml:space="preserve">thermophysical </w:t>
      </w:r>
      <w:r w:rsidRPr="00F207B4">
        <w:rPr>
          <w:lang w:val="en-GB"/>
        </w:rPr>
        <w:t>properties</w:t>
      </w:r>
      <w:r w:rsidR="0011507A" w:rsidRPr="00F207B4">
        <w:rPr>
          <w:lang w:val="en-GB"/>
        </w:rPr>
        <w:t xml:space="preserve"> of materials</w:t>
      </w:r>
      <w:r w:rsidRPr="00F207B4">
        <w:rPr>
          <w:lang w:val="en-GB"/>
        </w:rPr>
        <w:t>. This setup enables Python integration to automate sensitivity studies and explore various operational scenarios. Downstream (</w:t>
      </w:r>
      <w:r w:rsidRPr="00F207B4">
        <w:rPr>
          <w:color w:val="FF0000"/>
          <w:lang w:val="en-GB"/>
        </w:rPr>
        <w:t>red block</w:t>
      </w:r>
      <w:r w:rsidRPr="00F207B4">
        <w:rPr>
          <w:lang w:val="en-GB"/>
        </w:rPr>
        <w:t>), an integrator, calculator and printer process results, convert units and record data. A control subsystem (</w:t>
      </w:r>
      <w:r w:rsidRPr="00F207B4">
        <w:rPr>
          <w:color w:val="0070C0"/>
          <w:lang w:val="en-GB"/>
        </w:rPr>
        <w:t>blue block</w:t>
      </w:r>
      <w:r w:rsidRPr="00F207B4">
        <w:rPr>
          <w:lang w:val="en-GB"/>
        </w:rPr>
        <w:t>) manages the six-month charge and standby steps, using solar field output data (</w:t>
      </w:r>
      <w:r w:rsidRPr="00F207B4">
        <w:rPr>
          <w:i/>
          <w:lang w:val="en-GB"/>
        </w:rPr>
        <w:t>Data</w:t>
      </w:r>
      <w:r w:rsidRPr="00F207B4">
        <w:rPr>
          <w:lang w:val="en-GB"/>
        </w:rPr>
        <w:t xml:space="preserve">) to control pump operation based on the following </w:t>
      </w:r>
      <w:r w:rsidR="00EF7AF0" w:rsidRPr="00F207B4">
        <w:rPr>
          <w:lang w:val="en-GB"/>
        </w:rPr>
        <w:t xml:space="preserve">temperature-based </w:t>
      </w:r>
      <w:r w:rsidRPr="00F207B4">
        <w:rPr>
          <w:lang w:val="en-GB"/>
        </w:rPr>
        <w:t>rules:</w:t>
      </w:r>
    </w:p>
    <w:p w14:paraId="607AEF4B" w14:textId="32E6EF1F" w:rsidR="009653B6" w:rsidRPr="00F207B4" w:rsidRDefault="009653B6" w:rsidP="009653B6">
      <w:pPr>
        <w:pStyle w:val="SWCText"/>
        <w:numPr>
          <w:ilvl w:val="0"/>
          <w:numId w:val="32"/>
        </w:numPr>
        <w:rPr>
          <w:lang w:val="en-GB"/>
        </w:rPr>
      </w:pPr>
      <w:r w:rsidRPr="00F207B4">
        <w:rPr>
          <w:lang w:val="en-GB"/>
        </w:rPr>
        <w:t xml:space="preserve">ON if </w:t>
      </w:r>
      <m:oMath>
        <m:d>
          <m:dPr>
            <m:begChr m:val="{"/>
            <m:endChr m:val=""/>
            <m:ctrlPr>
              <w:rPr>
                <w:rFonts w:ascii="Cambria Math" w:hAnsi="Cambria Math"/>
                <w:i/>
                <w:lang w:val="en-GB"/>
              </w:rPr>
            </m:ctrlPr>
          </m:dPr>
          <m:e>
            <m:m>
              <m:mPr>
                <m:mcs>
                  <m:mc>
                    <m:mcPr>
                      <m:count m:val="1"/>
                      <m:mcJc m:val="center"/>
                    </m:mcPr>
                  </m:mc>
                </m:mcs>
                <m:ctrlPr>
                  <w:rPr>
                    <w:rFonts w:ascii="Cambria Math" w:hAnsi="Cambria Math"/>
                    <w:i/>
                    <w:lang w:val="en-GB"/>
                  </w:rPr>
                </m:ctrlPr>
              </m:mPr>
              <m:mr>
                <m:e>
                  <m:sSub>
                    <m:sSubPr>
                      <m:ctrlPr>
                        <w:rPr>
                          <w:rFonts w:ascii="Cambria Math" w:hAnsi="Cambria Math"/>
                          <w:i/>
                          <w:szCs w:val="24"/>
                          <w:lang w:val="en-GB"/>
                        </w:rPr>
                      </m:ctrlPr>
                    </m:sSubPr>
                    <m:e>
                      <m:r>
                        <w:rPr>
                          <w:rFonts w:ascii="Cambria Math" w:hAnsi="Cambria Math"/>
                          <w:szCs w:val="24"/>
                          <w:lang w:val="en-GB" w:eastAsia="fr-FR"/>
                        </w:rPr>
                        <m:t>T</m:t>
                      </m:r>
                    </m:e>
                    <m:sub>
                      <m:r>
                        <w:rPr>
                          <w:rFonts w:ascii="Cambria Math" w:hAnsi="Cambria Math"/>
                          <w:szCs w:val="24"/>
                          <w:lang w:val="en-GB" w:eastAsia="fr-FR"/>
                        </w:rPr>
                        <m:t>out,solar field</m:t>
                      </m:r>
                    </m:sub>
                  </m:sSub>
                  <m:r>
                    <w:rPr>
                      <w:rFonts w:ascii="Cambria Math" w:hAnsi="Cambria Math"/>
                      <w:szCs w:val="24"/>
                      <w:lang w:val="en-GB" w:eastAsia="fr-FR"/>
                    </w:rPr>
                    <m:t>-</m:t>
                  </m:r>
                  <m:sSub>
                    <m:sSubPr>
                      <m:ctrlPr>
                        <w:rPr>
                          <w:rFonts w:ascii="Cambria Math" w:hAnsi="Cambria Math"/>
                          <w:i/>
                          <w:szCs w:val="24"/>
                          <w:lang w:val="en-GB"/>
                        </w:rPr>
                      </m:ctrlPr>
                    </m:sSubPr>
                    <m:e>
                      <m:r>
                        <w:rPr>
                          <w:rFonts w:ascii="Cambria Math" w:hAnsi="Cambria Math"/>
                          <w:szCs w:val="24"/>
                          <w:lang w:val="en-GB" w:eastAsia="fr-FR"/>
                        </w:rPr>
                        <m:t>T</m:t>
                      </m:r>
                    </m:e>
                    <m:sub>
                      <m:r>
                        <w:rPr>
                          <w:rFonts w:ascii="Cambria Math" w:hAnsi="Cambria Math"/>
                          <w:szCs w:val="24"/>
                          <w:lang w:val="en-GB" w:eastAsia="fr-FR"/>
                        </w:rPr>
                        <m:t>out,HUTES</m:t>
                      </m:r>
                    </m:sub>
                  </m:sSub>
                  <m:r>
                    <w:rPr>
                      <w:rFonts w:ascii="Cambria Math" w:hAnsi="Cambria Math"/>
                      <w:szCs w:val="24"/>
                      <w:lang w:val="en-GB" w:eastAsia="fr-FR"/>
                    </w:rPr>
                    <m:t xml:space="preserve">&gt;5 K </m:t>
                  </m:r>
                  <m:r>
                    <m:rPr>
                      <m:sty m:val="p"/>
                    </m:rPr>
                    <w:rPr>
                      <w:rFonts w:ascii="Cambria Math" w:hAnsi="Cambria Math"/>
                      <w:lang w:val="en-GB"/>
                    </w:rPr>
                    <m:t>and OFF at the previous time step</m:t>
                  </m:r>
                </m:e>
              </m:mr>
              <m:mr>
                <m:e>
                  <m:sSub>
                    <m:sSubPr>
                      <m:ctrlPr>
                        <w:rPr>
                          <w:rFonts w:ascii="Cambria Math" w:hAnsi="Cambria Math"/>
                          <w:i/>
                          <w:szCs w:val="24"/>
                          <w:lang w:val="en-GB"/>
                        </w:rPr>
                      </m:ctrlPr>
                    </m:sSubPr>
                    <m:e>
                      <m:r>
                        <w:rPr>
                          <w:rFonts w:ascii="Cambria Math" w:hAnsi="Cambria Math"/>
                          <w:szCs w:val="24"/>
                          <w:lang w:val="en-GB" w:eastAsia="fr-FR"/>
                        </w:rPr>
                        <m:t>T</m:t>
                      </m:r>
                    </m:e>
                    <m:sub>
                      <m:r>
                        <w:rPr>
                          <w:rFonts w:ascii="Cambria Math" w:hAnsi="Cambria Math"/>
                          <w:szCs w:val="24"/>
                          <w:lang w:val="en-GB" w:eastAsia="fr-FR"/>
                        </w:rPr>
                        <m:t>out,solar field</m:t>
                      </m:r>
                    </m:sub>
                  </m:sSub>
                  <m:r>
                    <w:rPr>
                      <w:rFonts w:ascii="Cambria Math" w:hAnsi="Cambria Math"/>
                      <w:szCs w:val="24"/>
                      <w:lang w:val="en-GB" w:eastAsia="fr-FR"/>
                    </w:rPr>
                    <m:t>-</m:t>
                  </m:r>
                  <m:sSub>
                    <m:sSubPr>
                      <m:ctrlPr>
                        <w:rPr>
                          <w:rFonts w:ascii="Cambria Math" w:hAnsi="Cambria Math"/>
                          <w:i/>
                          <w:szCs w:val="24"/>
                          <w:lang w:val="en-GB"/>
                        </w:rPr>
                      </m:ctrlPr>
                    </m:sSubPr>
                    <m:e>
                      <m:r>
                        <w:rPr>
                          <w:rFonts w:ascii="Cambria Math" w:hAnsi="Cambria Math"/>
                          <w:szCs w:val="24"/>
                          <w:lang w:val="en-GB" w:eastAsia="fr-FR"/>
                        </w:rPr>
                        <m:t>T</m:t>
                      </m:r>
                    </m:e>
                    <m:sub>
                      <m:r>
                        <w:rPr>
                          <w:rFonts w:ascii="Cambria Math" w:hAnsi="Cambria Math"/>
                          <w:szCs w:val="24"/>
                          <w:lang w:val="en-GB" w:eastAsia="fr-FR"/>
                        </w:rPr>
                        <m:t>out,HUTES</m:t>
                      </m:r>
                    </m:sub>
                  </m:sSub>
                  <m:r>
                    <w:rPr>
                      <w:rFonts w:ascii="Cambria Math" w:hAnsi="Cambria Math"/>
                      <w:szCs w:val="24"/>
                      <w:lang w:val="en-GB" w:eastAsia="fr-FR"/>
                    </w:rPr>
                    <m:t>&gt;1 K</m:t>
                  </m:r>
                  <m:r>
                    <m:rPr>
                      <m:sty m:val="p"/>
                    </m:rPr>
                    <w:rPr>
                      <w:rFonts w:ascii="Cambria Math" w:hAnsi="Cambria Math"/>
                      <w:lang w:val="en-GB"/>
                    </w:rPr>
                    <m:t xml:space="preserve"> and ON at the previous time step</m:t>
                  </m:r>
                </m:e>
              </m:mr>
            </m:m>
          </m:e>
        </m:d>
      </m:oMath>
      <w:r w:rsidRPr="00F207B4">
        <w:rPr>
          <w:lang w:val="en-GB"/>
        </w:rPr>
        <w:t>, OFF otherwise</w:t>
      </w:r>
    </w:p>
    <w:p w14:paraId="657A2F8A" w14:textId="54066F97" w:rsidR="00EF7AF0" w:rsidRPr="00F207B4" w:rsidRDefault="00EF7AF0" w:rsidP="00EF7AF0">
      <w:pPr>
        <w:pStyle w:val="SWCText"/>
        <w:rPr>
          <w:lang w:val="en-GB"/>
        </w:rPr>
      </w:pPr>
      <w:r w:rsidRPr="00F207B4">
        <w:rPr>
          <w:lang w:val="en-GB"/>
        </w:rPr>
        <w:t>The two temperature thresholds introduce a hysteresis effect to prevent frequent pump ON/OFF cycling caused by short-term fluctuations in solar irradiance and temperature. T</w:t>
      </w:r>
      <w:r w:rsidR="009C21FE" w:rsidRPr="00F207B4">
        <w:rPr>
          <w:lang w:val="en-GB"/>
        </w:rPr>
        <w:t>herefore, t</w:t>
      </w:r>
      <w:r w:rsidRPr="00F207B4">
        <w:rPr>
          <w:lang w:val="en-GB"/>
        </w:rPr>
        <w:t xml:space="preserve">his control strategy improves the stability of pump operation and limits excessive switching. In practice, it is only effective in </w:t>
      </w:r>
      <w:r w:rsidR="00D25A70" w:rsidRPr="00F207B4">
        <w:rPr>
          <w:lang w:val="en-GB"/>
        </w:rPr>
        <w:t>s</w:t>
      </w:r>
      <w:r w:rsidRPr="00F207B4">
        <w:rPr>
          <w:lang w:val="en-GB"/>
        </w:rPr>
        <w:t>cenario 3. In</w:t>
      </w:r>
      <w:r w:rsidR="00D25A70" w:rsidRPr="00F207B4">
        <w:rPr>
          <w:lang w:val="en-GB"/>
        </w:rPr>
        <w:t>deed, in</w:t>
      </w:r>
      <w:r w:rsidRPr="00F207B4">
        <w:rPr>
          <w:lang w:val="en-GB"/>
        </w:rPr>
        <w:t xml:space="preserve"> </w:t>
      </w:r>
      <w:r w:rsidR="00D25A70" w:rsidRPr="00F207B4">
        <w:rPr>
          <w:lang w:val="en-GB"/>
        </w:rPr>
        <w:t>s</w:t>
      </w:r>
      <w:r w:rsidRPr="00F207B4">
        <w:rPr>
          <w:lang w:val="en-GB"/>
        </w:rPr>
        <w:t>cenarios 1 and 2, the inlet temperatures are prescribed and the system operation is therefore independent of this control law.</w:t>
      </w:r>
    </w:p>
    <w:p w14:paraId="178A914A" w14:textId="77777777" w:rsidR="001B35A7" w:rsidRPr="00F207B4" w:rsidRDefault="001B35A7" w:rsidP="001B35A7">
      <w:pPr>
        <w:pStyle w:val="SWCText"/>
        <w:rPr>
          <w:sz w:val="2"/>
          <w:lang w:val="en-GB"/>
        </w:rPr>
      </w:pPr>
    </w:p>
    <w:p w14:paraId="0B632B18" w14:textId="39BD4F04" w:rsidR="008B02CB" w:rsidRPr="00F207B4" w:rsidRDefault="008B02CB" w:rsidP="00212A5E">
      <w:pPr>
        <w:pStyle w:val="SWCText"/>
        <w:jc w:val="center"/>
        <w:rPr>
          <w:lang w:val="en-GB"/>
        </w:rPr>
      </w:pPr>
      <w:r w:rsidRPr="00F207B4">
        <w:rPr>
          <w:noProof/>
          <w:lang w:val="en-GB"/>
        </w:rPr>
        <w:drawing>
          <wp:inline distT="0" distB="0" distL="0" distR="0" wp14:anchorId="2E8D2E63" wp14:editId="3F0B7CBE">
            <wp:extent cx="4017818" cy="1660254"/>
            <wp:effectExtent l="0" t="0" r="1905" b="0"/>
            <wp:docPr id="26" name="Image 25">
              <a:extLst xmlns:a="http://schemas.openxmlformats.org/drawingml/2006/main">
                <a:ext uri="{FF2B5EF4-FFF2-40B4-BE49-F238E27FC236}">
                  <a16:creationId xmlns:a16="http://schemas.microsoft.com/office/drawing/2014/main" id="{7201C315-E552-4797-9B59-E5C03C5B5B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5">
                      <a:extLst>
                        <a:ext uri="{FF2B5EF4-FFF2-40B4-BE49-F238E27FC236}">
                          <a16:creationId xmlns:a16="http://schemas.microsoft.com/office/drawing/2014/main" id="{7201C315-E552-4797-9B59-E5C03C5B5BDD}"/>
                        </a:ext>
                      </a:extLst>
                    </pic:cNvPr>
                    <pic:cNvPicPr>
                      <a:picLocks noChangeAspect="1"/>
                    </pic:cNvPicPr>
                  </pic:nvPicPr>
                  <pic:blipFill>
                    <a:blip r:embed="rId10"/>
                    <a:stretch>
                      <a:fillRect/>
                    </a:stretch>
                  </pic:blipFill>
                  <pic:spPr>
                    <a:xfrm>
                      <a:off x="0" y="0"/>
                      <a:ext cx="4061772" cy="1678417"/>
                    </a:xfrm>
                    <a:prstGeom prst="rect">
                      <a:avLst/>
                    </a:prstGeom>
                  </pic:spPr>
                </pic:pic>
              </a:graphicData>
            </a:graphic>
          </wp:inline>
        </w:drawing>
      </w:r>
    </w:p>
    <w:p w14:paraId="239B89B0" w14:textId="35657A93" w:rsidR="00DE45FB" w:rsidRPr="00F207B4" w:rsidRDefault="00DE45FB" w:rsidP="00DE45FB">
      <w:pPr>
        <w:pStyle w:val="SWCTableFigureCaption"/>
        <w:rPr>
          <w:lang w:val="en-GB"/>
        </w:rPr>
      </w:pPr>
      <w:r w:rsidRPr="00F207B4">
        <w:rPr>
          <w:lang w:val="en-GB"/>
        </w:rPr>
        <w:t>Fig.2: TRNSYS modelling of a HUTES (scenario 3)</w:t>
      </w:r>
    </w:p>
    <w:p w14:paraId="54D00CA3" w14:textId="011A7E67" w:rsidR="00DE45FB" w:rsidRPr="00F207B4" w:rsidRDefault="00DE45FB" w:rsidP="00DE45FB">
      <w:pPr>
        <w:pStyle w:val="SWCHeading11"/>
        <w:jc w:val="both"/>
        <w:rPr>
          <w:rFonts w:ascii="Times New Roman" w:hAnsi="Times New Roman"/>
          <w:i w:val="0"/>
        </w:rPr>
      </w:pPr>
      <w:r w:rsidRPr="00F207B4">
        <w:rPr>
          <w:rFonts w:ascii="Times New Roman" w:hAnsi="Times New Roman"/>
          <w:i w:val="0"/>
        </w:rPr>
        <w:lastRenderedPageBreak/>
        <w:t xml:space="preserve">Configured in this way, the model </w:t>
      </w:r>
      <w:r w:rsidR="00AC5D04" w:rsidRPr="00F207B4">
        <w:rPr>
          <w:rFonts w:ascii="Times New Roman" w:hAnsi="Times New Roman"/>
          <w:i w:val="0"/>
        </w:rPr>
        <w:t>calculates</w:t>
      </w:r>
      <w:r w:rsidRPr="00F207B4">
        <w:rPr>
          <w:rFonts w:ascii="Times New Roman" w:hAnsi="Times New Roman"/>
          <w:i w:val="0"/>
        </w:rPr>
        <w:t xml:space="preserve"> surface and subsurface soil temperatures</w:t>
      </w:r>
      <w:r w:rsidR="00AC5D04" w:rsidRPr="00F207B4">
        <w:rPr>
          <w:rFonts w:ascii="Times New Roman" w:hAnsi="Times New Roman"/>
          <w:i w:val="0"/>
        </w:rPr>
        <w:t xml:space="preserve">, </w:t>
      </w:r>
      <w:r w:rsidRPr="00F207B4">
        <w:rPr>
          <w:rFonts w:ascii="Times New Roman" w:hAnsi="Times New Roman"/>
          <w:i w:val="0"/>
        </w:rPr>
        <w:t>the outlet temperature</w:t>
      </w:r>
      <w:r w:rsidR="0011507A" w:rsidRPr="00F207B4">
        <w:rPr>
          <w:rFonts w:ascii="Times New Roman" w:hAnsi="Times New Roman"/>
          <w:i w:val="0"/>
        </w:rPr>
        <w:t xml:space="preserve"> of the HTF</w:t>
      </w:r>
      <w:r w:rsidRPr="00F207B4">
        <w:rPr>
          <w:rFonts w:ascii="Times New Roman" w:hAnsi="Times New Roman"/>
          <w:i w:val="0"/>
        </w:rPr>
        <w:t xml:space="preserve">, the thermal energy transferred between the </w:t>
      </w:r>
      <w:r w:rsidR="0011507A" w:rsidRPr="00F207B4">
        <w:rPr>
          <w:rFonts w:ascii="Times New Roman" w:hAnsi="Times New Roman"/>
          <w:i w:val="0"/>
        </w:rPr>
        <w:t>HTF</w:t>
      </w:r>
      <w:r w:rsidRPr="00F207B4">
        <w:rPr>
          <w:rFonts w:ascii="Times New Roman" w:hAnsi="Times New Roman"/>
          <w:i w:val="0"/>
        </w:rPr>
        <w:t xml:space="preserve"> and the soil and </w:t>
      </w:r>
      <w:r w:rsidR="00AC5D04" w:rsidRPr="00F207B4">
        <w:rPr>
          <w:rFonts w:ascii="Times New Roman" w:hAnsi="Times New Roman"/>
          <w:i w:val="0"/>
        </w:rPr>
        <w:t>the thermal energy</w:t>
      </w:r>
      <w:r w:rsidRPr="00F207B4">
        <w:rPr>
          <w:rFonts w:ascii="Times New Roman" w:hAnsi="Times New Roman"/>
          <w:i w:val="0"/>
        </w:rPr>
        <w:t xml:space="preserve"> stored in the soil, based on various input parameters:</w:t>
      </w:r>
    </w:p>
    <w:p w14:paraId="4C81A886" w14:textId="2177834E" w:rsidR="00DE45FB" w:rsidRPr="00F207B4" w:rsidRDefault="00DE45FB" w:rsidP="00DE45FB">
      <w:pPr>
        <w:pStyle w:val="SWCText"/>
        <w:numPr>
          <w:ilvl w:val="0"/>
          <w:numId w:val="26"/>
        </w:numPr>
        <w:rPr>
          <w:lang w:val="en-GB"/>
        </w:rPr>
      </w:pPr>
      <w:r w:rsidRPr="00F207B4">
        <w:rPr>
          <w:b/>
          <w:lang w:val="en-GB"/>
        </w:rPr>
        <w:t>Geometric</w:t>
      </w:r>
      <w:r w:rsidRPr="00F207B4">
        <w:rPr>
          <w:lang w:val="en-GB"/>
        </w:rPr>
        <w:t xml:space="preserve">: number of pipes, spacing between pipes, </w:t>
      </w:r>
      <w:r w:rsidR="00AC5D04" w:rsidRPr="00F207B4">
        <w:rPr>
          <w:lang w:val="en-GB"/>
        </w:rPr>
        <w:t xml:space="preserve">burial </w:t>
      </w:r>
      <w:r w:rsidRPr="00F207B4">
        <w:rPr>
          <w:lang w:val="en-GB"/>
        </w:rPr>
        <w:t xml:space="preserve">depth, </w:t>
      </w:r>
      <w:r w:rsidR="00F40159" w:rsidRPr="00F207B4">
        <w:rPr>
          <w:lang w:val="en-GB"/>
        </w:rPr>
        <w:t>internal and external</w:t>
      </w:r>
      <w:r w:rsidR="00AC5D04" w:rsidRPr="00F207B4">
        <w:rPr>
          <w:lang w:val="en-GB"/>
        </w:rPr>
        <w:t xml:space="preserve"> diameters</w:t>
      </w:r>
      <w:r w:rsidR="00F40159" w:rsidRPr="00F207B4">
        <w:rPr>
          <w:lang w:val="en-GB"/>
        </w:rPr>
        <w:t xml:space="preserve">, </w:t>
      </w:r>
      <w:r w:rsidR="00AC5D04" w:rsidRPr="00F207B4">
        <w:rPr>
          <w:lang w:val="en-GB"/>
        </w:rPr>
        <w:t xml:space="preserve">and </w:t>
      </w:r>
      <w:r w:rsidR="00F40159" w:rsidRPr="00F207B4">
        <w:rPr>
          <w:lang w:val="en-GB"/>
        </w:rPr>
        <w:t>number of layers of pipes</w:t>
      </w:r>
      <w:r w:rsidRPr="00F207B4">
        <w:rPr>
          <w:lang w:val="en-GB"/>
        </w:rPr>
        <w:t>,</w:t>
      </w:r>
    </w:p>
    <w:p w14:paraId="252AF852" w14:textId="1A7D149F" w:rsidR="00DE45FB" w:rsidRPr="00F207B4" w:rsidRDefault="00DE45FB" w:rsidP="00DE45FB">
      <w:pPr>
        <w:pStyle w:val="SWCText"/>
        <w:numPr>
          <w:ilvl w:val="0"/>
          <w:numId w:val="26"/>
        </w:numPr>
        <w:rPr>
          <w:lang w:val="en-GB"/>
        </w:rPr>
      </w:pPr>
      <w:r w:rsidRPr="00F207B4">
        <w:rPr>
          <w:b/>
          <w:lang w:val="en-GB"/>
        </w:rPr>
        <w:t>Thermophysical properties</w:t>
      </w:r>
      <w:r w:rsidRPr="00F207B4">
        <w:rPr>
          <w:lang w:val="en-GB"/>
        </w:rPr>
        <w:t xml:space="preserve">: soil, </w:t>
      </w:r>
      <w:r w:rsidR="009F10B3" w:rsidRPr="00F207B4">
        <w:rPr>
          <w:lang w:val="en-GB"/>
        </w:rPr>
        <w:t xml:space="preserve">HTF </w:t>
      </w:r>
      <w:r w:rsidRPr="00F207B4">
        <w:rPr>
          <w:lang w:val="en-GB"/>
        </w:rPr>
        <w:t>and insulation,</w:t>
      </w:r>
    </w:p>
    <w:p w14:paraId="7C851AE2" w14:textId="0E8B3B49" w:rsidR="00DE45FB" w:rsidRPr="00F207B4" w:rsidRDefault="00DE45FB" w:rsidP="00DE45FB">
      <w:pPr>
        <w:pStyle w:val="SWCText"/>
        <w:numPr>
          <w:ilvl w:val="0"/>
          <w:numId w:val="26"/>
        </w:numPr>
        <w:rPr>
          <w:lang w:val="en-GB"/>
        </w:rPr>
      </w:pPr>
      <w:r w:rsidRPr="00F207B4">
        <w:rPr>
          <w:b/>
          <w:lang w:val="en-GB"/>
        </w:rPr>
        <w:t>Climatic</w:t>
      </w:r>
      <w:r w:rsidRPr="00F207B4">
        <w:rPr>
          <w:lang w:val="en-GB"/>
        </w:rPr>
        <w:t>: surface temperature</w:t>
      </w:r>
      <w:r w:rsidR="00AC5D04" w:rsidRPr="00F207B4">
        <w:rPr>
          <w:lang w:val="en-GB"/>
        </w:rPr>
        <w:t xml:space="preserve"> and</w:t>
      </w:r>
      <w:r w:rsidRPr="00F207B4">
        <w:rPr>
          <w:lang w:val="en-GB"/>
        </w:rPr>
        <w:t xml:space="preserve"> solar radiation,</w:t>
      </w:r>
    </w:p>
    <w:p w14:paraId="02651D82" w14:textId="6144460D" w:rsidR="00DE45FB" w:rsidRPr="00F207B4" w:rsidRDefault="00DE45FB" w:rsidP="00DE45FB">
      <w:pPr>
        <w:pStyle w:val="SWCText"/>
        <w:numPr>
          <w:ilvl w:val="0"/>
          <w:numId w:val="26"/>
        </w:numPr>
        <w:rPr>
          <w:lang w:val="en-GB"/>
        </w:rPr>
      </w:pPr>
      <w:r w:rsidRPr="00F207B4">
        <w:rPr>
          <w:b/>
          <w:lang w:val="en-GB"/>
        </w:rPr>
        <w:t>Operational</w:t>
      </w:r>
      <w:r w:rsidRPr="00F207B4">
        <w:rPr>
          <w:lang w:val="en-GB"/>
        </w:rPr>
        <w:t xml:space="preserve">: temperature and flow rate of the </w:t>
      </w:r>
      <w:r w:rsidR="009F10B3" w:rsidRPr="00F207B4">
        <w:rPr>
          <w:lang w:val="en-GB"/>
        </w:rPr>
        <w:t>HTF</w:t>
      </w:r>
      <w:r w:rsidRPr="00F207B4">
        <w:rPr>
          <w:lang w:val="en-GB"/>
        </w:rPr>
        <w:t xml:space="preserve">, duration of the charging/discharging </w:t>
      </w:r>
      <w:r w:rsidR="008A4E20" w:rsidRPr="00F207B4">
        <w:rPr>
          <w:lang w:val="en-GB"/>
        </w:rPr>
        <w:t>steps</w:t>
      </w:r>
      <w:r w:rsidRPr="00F207B4">
        <w:rPr>
          <w:lang w:val="en-GB"/>
        </w:rPr>
        <w:t>.</w:t>
      </w:r>
    </w:p>
    <w:p w14:paraId="7EC002C1" w14:textId="00F215BB" w:rsidR="00FD6120" w:rsidRPr="00F207B4" w:rsidRDefault="00FD6120" w:rsidP="00FD6120">
      <w:pPr>
        <w:pStyle w:val="SWCText"/>
        <w:rPr>
          <w:lang w:val="en-GB"/>
        </w:rPr>
      </w:pPr>
      <w:r w:rsidRPr="00F207B4">
        <w:rPr>
          <w:lang w:val="en-GB"/>
        </w:rPr>
        <w:t xml:space="preserve">The thermal energy </w:t>
      </w:r>
      <w:r w:rsidR="00AC5D04" w:rsidRPr="00F207B4">
        <w:rPr>
          <w:lang w:val="en-GB"/>
        </w:rPr>
        <w:t>exchanged</w:t>
      </w:r>
      <w:r w:rsidRPr="00F207B4">
        <w:rPr>
          <w:lang w:val="en-GB"/>
        </w:rPr>
        <w:t xml:space="preserve"> between the HTF and the soil</w:t>
      </w:r>
      <w:r w:rsidR="00AC5D04" w:rsidRPr="00F207B4">
        <w:rPr>
          <w:lang w:val="en-GB"/>
        </w:rPr>
        <w:t>,</w:t>
      </w:r>
      <w:r w:rsidR="00BF5BB0" w:rsidRPr="00F207B4">
        <w:rPr>
          <w:lang w:val="en-GB"/>
        </w:rPr>
        <w:t xml:space="preserve"> and the</w:t>
      </w:r>
      <w:r w:rsidRPr="00F207B4">
        <w:rPr>
          <w:lang w:val="en-GB"/>
        </w:rPr>
        <w:t xml:space="preserve"> </w:t>
      </w:r>
      <w:r w:rsidR="00BF5BB0" w:rsidRPr="00F207B4">
        <w:rPr>
          <w:lang w:val="en-GB"/>
        </w:rPr>
        <w:t>thermal energy stored in the soil are</w:t>
      </w:r>
      <w:r w:rsidRPr="00F207B4">
        <w:rPr>
          <w:lang w:val="en-GB"/>
        </w:rPr>
        <w:t xml:space="preserve"> determined as</w:t>
      </w:r>
      <w:r w:rsidR="00BF5BB0" w:rsidRPr="00F207B4">
        <w:rPr>
          <w:lang w:val="en-GB"/>
        </w:rPr>
        <w:t xml:space="preserve"> follows</w:t>
      </w:r>
      <w:r w:rsidRPr="00F207B4">
        <w:rPr>
          <w:lang w:val="en-GB"/>
        </w:rPr>
        <w:t>:</w:t>
      </w:r>
    </w:p>
    <w:p w14:paraId="349DDFA1" w14:textId="34B1E05B" w:rsidR="00FD6120" w:rsidRPr="00F207B4" w:rsidRDefault="00BA3390" w:rsidP="00A06F20">
      <w:pPr>
        <w:pStyle w:val="SWCText"/>
        <w:ind w:left="2160" w:hanging="2302"/>
        <w:jc w:val="center"/>
        <w:rPr>
          <w:lang w:val="en-GB"/>
        </w:rPr>
      </w:pPr>
      <m:oMath>
        <m:sSub>
          <m:sSubPr>
            <m:ctrlPr>
              <w:rPr>
                <w:rFonts w:ascii="Cambria Math" w:hAnsi="Cambria Math"/>
                <w:i/>
                <w:szCs w:val="24"/>
                <w:lang w:val="en-GB"/>
              </w:rPr>
            </m:ctrlPr>
          </m:sSubPr>
          <m:e>
            <m:r>
              <w:rPr>
                <w:rFonts w:ascii="Cambria Math" w:hAnsi="Cambria Math"/>
                <w:szCs w:val="24"/>
                <w:lang w:val="en-GB"/>
              </w:rPr>
              <m:t>E</m:t>
            </m:r>
          </m:e>
          <m:sub>
            <m:r>
              <w:rPr>
                <w:rFonts w:ascii="Cambria Math" w:hAnsi="Cambria Math"/>
                <w:szCs w:val="24"/>
                <w:lang w:val="en-GB"/>
              </w:rPr>
              <m:t>HTF-soil</m:t>
            </m:r>
          </m:sub>
        </m:sSub>
        <m:r>
          <w:rPr>
            <w:rFonts w:ascii="Cambria Math" w:hAnsi="Cambria Math"/>
            <w:szCs w:val="24"/>
            <w:lang w:val="en-GB" w:eastAsia="fr-FR"/>
          </w:rPr>
          <m:t>=</m:t>
        </m:r>
        <m:nary>
          <m:naryPr>
            <m:limLoc m:val="undOvr"/>
            <m:subHide m:val="1"/>
            <m:supHide m:val="1"/>
            <m:ctrlPr>
              <w:rPr>
                <w:rFonts w:ascii="Cambria Math" w:hAnsi="Cambria Math"/>
                <w:i/>
                <w:szCs w:val="24"/>
                <w:lang w:val="en-GB" w:eastAsia="fr-FR"/>
              </w:rPr>
            </m:ctrlPr>
          </m:naryPr>
          <m:sub/>
          <m:sup/>
          <m:e>
            <m:sSub>
              <m:sSubPr>
                <m:ctrlPr>
                  <w:rPr>
                    <w:rFonts w:ascii="Cambria Math" w:hAnsi="Cambria Math"/>
                    <w:i/>
                    <w:szCs w:val="24"/>
                    <w:lang w:val="en-GB"/>
                  </w:rPr>
                </m:ctrlPr>
              </m:sSubPr>
              <m:e>
                <m:acc>
                  <m:accPr>
                    <m:chr m:val="̇"/>
                    <m:ctrlPr>
                      <w:rPr>
                        <w:rFonts w:ascii="Cambria Math" w:hAnsi="Cambria Math"/>
                        <w:i/>
                        <w:szCs w:val="24"/>
                        <w:lang w:val="en-GB"/>
                      </w:rPr>
                    </m:ctrlPr>
                  </m:accPr>
                  <m:e>
                    <m:r>
                      <w:rPr>
                        <w:rFonts w:ascii="Cambria Math" w:hAnsi="Cambria Math"/>
                        <w:szCs w:val="24"/>
                        <w:lang w:val="en-GB"/>
                      </w:rPr>
                      <m:t>m</m:t>
                    </m:r>
                  </m:e>
                </m:acc>
              </m:e>
              <m:sub>
                <m:r>
                  <w:rPr>
                    <w:rFonts w:ascii="Cambria Math" w:hAnsi="Cambria Math"/>
                    <w:szCs w:val="24"/>
                    <w:lang w:val="en-GB"/>
                  </w:rPr>
                  <m:t>HTF</m:t>
                </m:r>
              </m:sub>
            </m:sSub>
            <m:r>
              <w:rPr>
                <w:rFonts w:ascii="Cambria Math" w:hAnsi="Cambria Math"/>
                <w:szCs w:val="24"/>
                <w:lang w:val="en-GB"/>
              </w:rPr>
              <m:t>⋅</m:t>
            </m:r>
            <m:sSub>
              <m:sSubPr>
                <m:ctrlPr>
                  <w:rPr>
                    <w:rFonts w:ascii="Cambria Math" w:hAnsi="Cambria Math"/>
                    <w:i/>
                    <w:szCs w:val="24"/>
                    <w:lang w:val="en-GB"/>
                  </w:rPr>
                </m:ctrlPr>
              </m:sSubPr>
              <m:e>
                <m:r>
                  <w:rPr>
                    <w:rFonts w:ascii="Cambria Math" w:hAnsi="Cambria Math"/>
                    <w:szCs w:val="24"/>
                    <w:lang w:val="en-GB"/>
                  </w:rPr>
                  <m:t>c</m:t>
                </m:r>
              </m:e>
              <m:sub>
                <m:r>
                  <w:rPr>
                    <w:rFonts w:ascii="Cambria Math" w:hAnsi="Cambria Math"/>
                    <w:szCs w:val="24"/>
                    <w:lang w:val="en-GB"/>
                  </w:rPr>
                  <m:t>p,HTF</m:t>
                </m:r>
              </m:sub>
            </m:sSub>
            <m:r>
              <w:rPr>
                <w:rFonts w:ascii="Cambria Math" w:hAnsi="Cambria Math"/>
                <w:szCs w:val="24"/>
                <w:lang w:val="en-GB"/>
              </w:rPr>
              <m:t>⋅</m:t>
            </m:r>
            <m:d>
              <m:dPr>
                <m:ctrlPr>
                  <w:rPr>
                    <w:rFonts w:ascii="Cambria Math" w:hAnsi="Cambria Math"/>
                    <w:i/>
                    <w:szCs w:val="24"/>
                    <w:lang w:val="en-GB"/>
                  </w:rPr>
                </m:ctrlPr>
              </m:dPr>
              <m:e>
                <m:sSub>
                  <m:sSubPr>
                    <m:ctrlPr>
                      <w:rPr>
                        <w:rFonts w:ascii="Cambria Math" w:hAnsi="Cambria Math"/>
                        <w:i/>
                        <w:szCs w:val="24"/>
                        <w:lang w:val="en-GB"/>
                      </w:rPr>
                    </m:ctrlPr>
                  </m:sSubPr>
                  <m:e>
                    <m:r>
                      <w:rPr>
                        <w:rFonts w:ascii="Cambria Math" w:hAnsi="Cambria Math"/>
                        <w:szCs w:val="24"/>
                        <w:lang w:val="en-GB"/>
                      </w:rPr>
                      <m:t>T</m:t>
                    </m:r>
                  </m:e>
                  <m:sub>
                    <m:r>
                      <w:rPr>
                        <w:rFonts w:ascii="Cambria Math" w:hAnsi="Cambria Math"/>
                        <w:szCs w:val="24"/>
                        <w:lang w:val="en-GB"/>
                      </w:rPr>
                      <m:t>in,HUTES</m:t>
                    </m:r>
                  </m:sub>
                </m:sSub>
                <m:r>
                  <w:rPr>
                    <w:rFonts w:ascii="Cambria Math" w:hAnsi="Cambria Math"/>
                    <w:szCs w:val="24"/>
                    <w:lang w:val="en-GB"/>
                  </w:rPr>
                  <m:t>-</m:t>
                </m:r>
                <m:sSub>
                  <m:sSubPr>
                    <m:ctrlPr>
                      <w:rPr>
                        <w:rFonts w:ascii="Cambria Math" w:hAnsi="Cambria Math"/>
                        <w:i/>
                        <w:szCs w:val="24"/>
                        <w:lang w:val="en-GB"/>
                      </w:rPr>
                    </m:ctrlPr>
                  </m:sSubPr>
                  <m:e>
                    <m:r>
                      <w:rPr>
                        <w:rFonts w:ascii="Cambria Math" w:hAnsi="Cambria Math"/>
                        <w:szCs w:val="24"/>
                        <w:lang w:val="en-GB"/>
                      </w:rPr>
                      <m:t>T</m:t>
                    </m:r>
                  </m:e>
                  <m:sub>
                    <m:r>
                      <w:rPr>
                        <w:rFonts w:ascii="Cambria Math" w:hAnsi="Cambria Math"/>
                        <w:szCs w:val="24"/>
                        <w:lang w:val="en-GB"/>
                      </w:rPr>
                      <m:t>out,HUTES</m:t>
                    </m:r>
                  </m:sub>
                </m:sSub>
              </m:e>
            </m:d>
          </m:e>
        </m:nary>
      </m:oMath>
      <w:r w:rsidR="00A06F20" w:rsidRPr="00F207B4">
        <w:rPr>
          <w:szCs w:val="24"/>
          <w:lang w:val="en-GB" w:eastAsia="fr-FR"/>
        </w:rPr>
        <w:t xml:space="preserve">                        </w:t>
      </w:r>
      <w:r w:rsidR="00FD6120" w:rsidRPr="00F207B4">
        <w:rPr>
          <w:lang w:val="en-GB"/>
        </w:rPr>
        <w:t>(eq. 1)</w:t>
      </w:r>
    </w:p>
    <w:p w14:paraId="33D4717F" w14:textId="3CB170BD" w:rsidR="00F351BF" w:rsidRPr="00F207B4" w:rsidRDefault="00BA3390" w:rsidP="00A06F20">
      <w:pPr>
        <w:pStyle w:val="SWCText"/>
        <w:ind w:left="2160" w:hanging="2160"/>
        <w:jc w:val="center"/>
        <w:rPr>
          <w:lang w:val="en-GB"/>
        </w:rPr>
      </w:pPr>
      <m:oMath>
        <m:sSub>
          <m:sSubPr>
            <m:ctrlPr>
              <w:rPr>
                <w:rFonts w:ascii="Cambria Math" w:hAnsi="Cambria Math"/>
                <w:i/>
                <w:szCs w:val="24"/>
                <w:lang w:val="en-GB"/>
              </w:rPr>
            </m:ctrlPr>
          </m:sSubPr>
          <m:e>
            <m:r>
              <w:rPr>
                <w:rFonts w:ascii="Cambria Math" w:hAnsi="Cambria Math"/>
                <w:szCs w:val="24"/>
                <w:lang w:val="en-GB"/>
              </w:rPr>
              <m:t>E</m:t>
            </m:r>
          </m:e>
          <m:sub>
            <m:r>
              <w:rPr>
                <w:rFonts w:ascii="Cambria Math" w:hAnsi="Cambria Math"/>
                <w:szCs w:val="24"/>
                <w:lang w:val="en-GB"/>
              </w:rPr>
              <m:t>soil</m:t>
            </m:r>
          </m:sub>
        </m:sSub>
        <m:r>
          <w:rPr>
            <w:rFonts w:ascii="Cambria Math" w:hAnsi="Cambria Math"/>
            <w:szCs w:val="24"/>
            <w:lang w:val="en-GB" w:eastAsia="fr-FR"/>
          </w:rPr>
          <m:t>=</m:t>
        </m:r>
        <m:nary>
          <m:naryPr>
            <m:limLoc m:val="undOvr"/>
            <m:subHide m:val="1"/>
            <m:supHide m:val="1"/>
            <m:ctrlPr>
              <w:rPr>
                <w:rFonts w:ascii="Cambria Math" w:hAnsi="Cambria Math"/>
                <w:i/>
                <w:szCs w:val="24"/>
                <w:lang w:val="en-GB" w:eastAsia="fr-FR"/>
              </w:rPr>
            </m:ctrlPr>
          </m:naryPr>
          <m:sub/>
          <m:sup/>
          <m:e>
            <m:nary>
              <m:naryPr>
                <m:chr m:val="∑"/>
                <m:limLoc m:val="undOvr"/>
                <m:supHide m:val="1"/>
                <m:ctrlPr>
                  <w:rPr>
                    <w:rFonts w:ascii="Cambria Math" w:hAnsi="Cambria Math"/>
                    <w:i/>
                    <w:szCs w:val="24"/>
                    <w:lang w:val="en-GB" w:eastAsia="fr-FR"/>
                  </w:rPr>
                </m:ctrlPr>
              </m:naryPr>
              <m:sub>
                <m:r>
                  <w:rPr>
                    <w:rFonts w:ascii="Cambria Math" w:hAnsi="Cambria Math"/>
                    <w:szCs w:val="24"/>
                    <w:lang w:val="en-GB" w:eastAsia="fr-FR"/>
                  </w:rPr>
                  <m:t>i</m:t>
                </m:r>
              </m:sub>
              <m:sup/>
              <m:e>
                <m:sSub>
                  <m:sSubPr>
                    <m:ctrlPr>
                      <w:rPr>
                        <w:rFonts w:ascii="Cambria Math" w:hAnsi="Cambria Math"/>
                        <w:i/>
                        <w:szCs w:val="24"/>
                        <w:lang w:val="en-GB"/>
                      </w:rPr>
                    </m:ctrlPr>
                  </m:sSubPr>
                  <m:e>
                    <m:r>
                      <w:rPr>
                        <w:rFonts w:ascii="Cambria Math" w:hAnsi="Cambria Math"/>
                        <w:szCs w:val="24"/>
                        <w:lang w:val="en-GB"/>
                      </w:rPr>
                      <m:t>ρ</m:t>
                    </m:r>
                  </m:e>
                  <m:sub>
                    <m:r>
                      <w:rPr>
                        <w:rFonts w:ascii="Cambria Math" w:hAnsi="Cambria Math"/>
                        <w:szCs w:val="24"/>
                        <w:lang w:val="en-GB"/>
                      </w:rPr>
                      <m:t>soil,i</m:t>
                    </m:r>
                  </m:sub>
                </m:sSub>
                <m:r>
                  <w:rPr>
                    <w:rFonts w:ascii="Cambria Math" w:hAnsi="Cambria Math"/>
                    <w:szCs w:val="24"/>
                    <w:lang w:val="en-GB"/>
                  </w:rPr>
                  <m:t>⋅</m:t>
                </m:r>
                <m:sSub>
                  <m:sSubPr>
                    <m:ctrlPr>
                      <w:rPr>
                        <w:rFonts w:ascii="Cambria Math" w:hAnsi="Cambria Math"/>
                        <w:i/>
                        <w:szCs w:val="24"/>
                        <w:lang w:val="en-GB"/>
                      </w:rPr>
                    </m:ctrlPr>
                  </m:sSubPr>
                  <m:e>
                    <m:r>
                      <w:rPr>
                        <w:rFonts w:ascii="Cambria Math" w:hAnsi="Cambria Math"/>
                        <w:szCs w:val="24"/>
                        <w:lang w:val="en-GB"/>
                      </w:rPr>
                      <m:t>c</m:t>
                    </m:r>
                  </m:e>
                  <m:sub>
                    <m:r>
                      <w:rPr>
                        <w:rFonts w:ascii="Cambria Math" w:hAnsi="Cambria Math"/>
                        <w:szCs w:val="24"/>
                        <w:lang w:val="en-GB"/>
                      </w:rPr>
                      <m:t>p,soil</m:t>
                    </m:r>
                  </m:sub>
                </m:sSub>
                <m:r>
                  <w:rPr>
                    <w:rFonts w:ascii="Cambria Math" w:hAnsi="Cambria Math"/>
                    <w:szCs w:val="24"/>
                    <w:lang w:val="en-GB"/>
                  </w:rPr>
                  <m:t>⋅</m:t>
                </m:r>
                <m:sSub>
                  <m:sSubPr>
                    <m:ctrlPr>
                      <w:rPr>
                        <w:rFonts w:ascii="Cambria Math" w:hAnsi="Cambria Math"/>
                        <w:i/>
                        <w:szCs w:val="24"/>
                        <w:lang w:val="en-GB"/>
                      </w:rPr>
                    </m:ctrlPr>
                  </m:sSubPr>
                  <m:e>
                    <m:r>
                      <w:rPr>
                        <w:rFonts w:ascii="Cambria Math" w:hAnsi="Cambria Math"/>
                        <w:szCs w:val="24"/>
                        <w:lang w:val="en-GB"/>
                      </w:rPr>
                      <m:t>V</m:t>
                    </m:r>
                  </m:e>
                  <m:sub>
                    <m:r>
                      <w:rPr>
                        <w:rFonts w:ascii="Cambria Math" w:hAnsi="Cambria Math"/>
                        <w:szCs w:val="24"/>
                        <w:lang w:val="en-GB"/>
                      </w:rPr>
                      <m:t>soil,i</m:t>
                    </m:r>
                  </m:sub>
                </m:sSub>
                <m:r>
                  <w:rPr>
                    <w:rFonts w:ascii="Cambria Math" w:hAnsi="Cambria Math"/>
                    <w:szCs w:val="24"/>
                    <w:lang w:val="en-GB"/>
                  </w:rPr>
                  <m:t>⋅</m:t>
                </m:r>
                <m:r>
                  <m:rPr>
                    <m:sty m:val="p"/>
                  </m:rPr>
                  <w:rPr>
                    <w:rFonts w:ascii="Cambria Math" w:hAnsi="Cambria Math"/>
                    <w:szCs w:val="24"/>
                    <w:lang w:val="en-GB"/>
                  </w:rPr>
                  <m:t>Δ</m:t>
                </m:r>
                <m:sSub>
                  <m:sSubPr>
                    <m:ctrlPr>
                      <w:rPr>
                        <w:rFonts w:ascii="Cambria Math" w:hAnsi="Cambria Math"/>
                        <w:i/>
                        <w:szCs w:val="24"/>
                        <w:lang w:val="en-GB"/>
                      </w:rPr>
                    </m:ctrlPr>
                  </m:sSubPr>
                  <m:e>
                    <m:r>
                      <w:rPr>
                        <w:rFonts w:ascii="Cambria Math" w:hAnsi="Cambria Math"/>
                        <w:szCs w:val="24"/>
                        <w:lang w:val="en-GB"/>
                      </w:rPr>
                      <m:t>T</m:t>
                    </m:r>
                  </m:e>
                  <m:sub>
                    <m:r>
                      <w:rPr>
                        <w:rFonts w:ascii="Cambria Math" w:hAnsi="Cambria Math"/>
                        <w:szCs w:val="24"/>
                        <w:lang w:val="en-GB"/>
                      </w:rPr>
                      <m:t>soil,i</m:t>
                    </m:r>
                  </m:sub>
                </m:sSub>
              </m:e>
            </m:nary>
          </m:e>
        </m:nary>
      </m:oMath>
      <w:r w:rsidR="00F351BF" w:rsidRPr="00F207B4">
        <w:rPr>
          <w:lang w:val="en-GB"/>
        </w:rPr>
        <w:tab/>
      </w:r>
      <w:r w:rsidR="00F351BF" w:rsidRPr="00F207B4">
        <w:rPr>
          <w:lang w:val="en-GB"/>
        </w:rPr>
        <w:tab/>
        <w:t>(eq. 2)</w:t>
      </w:r>
    </w:p>
    <w:p w14:paraId="7A335301" w14:textId="278E8BDA" w:rsidR="00F351BF" w:rsidRPr="00F207B4" w:rsidRDefault="000C79D2" w:rsidP="00DE45FB">
      <w:pPr>
        <w:pStyle w:val="SWCText"/>
        <w:rPr>
          <w:lang w:val="en-GB"/>
        </w:rPr>
      </w:pPr>
      <w:r w:rsidRPr="00F207B4">
        <w:rPr>
          <w:lang w:val="en-GB"/>
        </w:rPr>
        <w:t>Where</w:t>
      </w:r>
      <w:r w:rsidR="00BF5BB0" w:rsidRPr="00F207B4">
        <w:rPr>
          <w:lang w:val="en-GB"/>
        </w:rPr>
        <w:t xml:space="preserve"> </w:t>
      </w:r>
      <m:oMath>
        <m:sSub>
          <m:sSubPr>
            <m:ctrlPr>
              <w:rPr>
                <w:rFonts w:ascii="Cambria Math" w:hAnsi="Cambria Math"/>
                <w:i/>
                <w:szCs w:val="24"/>
                <w:lang w:val="en-GB"/>
              </w:rPr>
            </m:ctrlPr>
          </m:sSubPr>
          <m:e>
            <m:acc>
              <m:accPr>
                <m:chr m:val="̇"/>
                <m:ctrlPr>
                  <w:rPr>
                    <w:rFonts w:ascii="Cambria Math" w:hAnsi="Cambria Math"/>
                    <w:i/>
                    <w:szCs w:val="24"/>
                    <w:lang w:val="en-GB"/>
                  </w:rPr>
                </m:ctrlPr>
              </m:accPr>
              <m:e>
                <m:r>
                  <w:rPr>
                    <w:rFonts w:ascii="Cambria Math" w:hAnsi="Cambria Math"/>
                    <w:szCs w:val="24"/>
                    <w:lang w:val="en-GB"/>
                  </w:rPr>
                  <m:t>m</m:t>
                </m:r>
              </m:e>
            </m:acc>
          </m:e>
          <m:sub>
            <m:r>
              <w:rPr>
                <w:rFonts w:ascii="Cambria Math" w:hAnsi="Cambria Math"/>
                <w:szCs w:val="24"/>
                <w:lang w:val="en-GB"/>
              </w:rPr>
              <m:t>HTF</m:t>
            </m:r>
          </m:sub>
        </m:sSub>
      </m:oMath>
      <w:r w:rsidR="00BB5A02" w:rsidRPr="00F207B4">
        <w:rPr>
          <w:szCs w:val="24"/>
          <w:lang w:val="en-GB"/>
        </w:rPr>
        <w:t xml:space="preserve"> </w:t>
      </w:r>
      <w:r w:rsidR="00BF5BB0" w:rsidRPr="00F207B4">
        <w:rPr>
          <w:szCs w:val="24"/>
          <w:lang w:val="en-GB"/>
        </w:rPr>
        <w:t>is the  mass flow rate of the HTF (kg.</w:t>
      </w:r>
      <w:r w:rsidR="00BB5A02" w:rsidRPr="00F207B4">
        <w:rPr>
          <w:szCs w:val="24"/>
          <w:lang w:val="en-GB"/>
        </w:rPr>
        <w:t>s</w:t>
      </w:r>
      <w:r w:rsidR="00BF5BB0" w:rsidRPr="00F207B4">
        <w:rPr>
          <w:szCs w:val="24"/>
          <w:vertAlign w:val="superscript"/>
          <w:lang w:val="en-GB"/>
        </w:rPr>
        <w:t>-</w:t>
      </w:r>
      <w:r w:rsidR="00BB5A02" w:rsidRPr="00F207B4">
        <w:rPr>
          <w:szCs w:val="24"/>
          <w:vertAlign w:val="superscript"/>
          <w:lang w:val="en-GB"/>
        </w:rPr>
        <w:t>1</w:t>
      </w:r>
      <w:r w:rsidR="00BF5BB0" w:rsidRPr="00F207B4">
        <w:rPr>
          <w:szCs w:val="24"/>
          <w:lang w:val="en-GB"/>
        </w:rPr>
        <w:t xml:space="preserve">), </w:t>
      </w:r>
      <m:oMath>
        <m:sSub>
          <m:sSubPr>
            <m:ctrlPr>
              <w:rPr>
                <w:rFonts w:ascii="Cambria Math" w:hAnsi="Cambria Math"/>
                <w:i/>
                <w:szCs w:val="24"/>
                <w:lang w:val="en-GB"/>
              </w:rPr>
            </m:ctrlPr>
          </m:sSubPr>
          <m:e>
            <m:r>
              <w:rPr>
                <w:rFonts w:ascii="Cambria Math" w:hAnsi="Cambria Math"/>
                <w:szCs w:val="24"/>
                <w:lang w:val="en-GB"/>
              </w:rPr>
              <m:t>T</m:t>
            </m:r>
          </m:e>
          <m:sub>
            <m:r>
              <w:rPr>
                <w:rFonts w:ascii="Cambria Math" w:hAnsi="Cambria Math"/>
                <w:szCs w:val="24"/>
                <w:lang w:val="en-GB"/>
              </w:rPr>
              <m:t>in,HUTES</m:t>
            </m:r>
          </m:sub>
        </m:sSub>
      </m:oMath>
      <w:r w:rsidR="00BF5BB0" w:rsidRPr="00F207B4">
        <w:rPr>
          <w:szCs w:val="24"/>
          <w:lang w:val="en-GB"/>
        </w:rPr>
        <w:t xml:space="preserve"> and </w:t>
      </w:r>
      <m:oMath>
        <m:sSub>
          <m:sSubPr>
            <m:ctrlPr>
              <w:rPr>
                <w:rFonts w:ascii="Cambria Math" w:hAnsi="Cambria Math"/>
                <w:i/>
                <w:szCs w:val="24"/>
                <w:lang w:val="en-GB"/>
              </w:rPr>
            </m:ctrlPr>
          </m:sSubPr>
          <m:e>
            <m:r>
              <w:rPr>
                <w:rFonts w:ascii="Cambria Math" w:hAnsi="Cambria Math"/>
                <w:szCs w:val="24"/>
                <w:lang w:val="en-GB"/>
              </w:rPr>
              <m:t>T</m:t>
            </m:r>
          </m:e>
          <m:sub>
            <m:r>
              <w:rPr>
                <w:rFonts w:ascii="Cambria Math" w:hAnsi="Cambria Math"/>
                <w:szCs w:val="24"/>
                <w:lang w:val="en-GB"/>
              </w:rPr>
              <m:t>out,HUTES</m:t>
            </m:r>
          </m:sub>
        </m:sSub>
      </m:oMath>
      <w:r w:rsidR="00BF5BB0" w:rsidRPr="00F207B4">
        <w:rPr>
          <w:szCs w:val="24"/>
          <w:lang w:val="en-GB"/>
        </w:rPr>
        <w:t xml:space="preserve"> are the inlet and outlet temperature of the HTF in the HUTES (K),</w:t>
      </w:r>
      <w:r w:rsidRPr="00F207B4">
        <w:rPr>
          <w:lang w:val="en-GB"/>
        </w:rPr>
        <w:t xml:space="preserve"> </w:t>
      </w:r>
      <m:oMath>
        <m:sSub>
          <m:sSubPr>
            <m:ctrlPr>
              <w:rPr>
                <w:rFonts w:ascii="Cambria Math" w:hAnsi="Cambria Math"/>
                <w:i/>
                <w:szCs w:val="24"/>
                <w:lang w:val="en-GB"/>
              </w:rPr>
            </m:ctrlPr>
          </m:sSubPr>
          <m:e>
            <m:r>
              <w:rPr>
                <w:rFonts w:ascii="Cambria Math" w:hAnsi="Cambria Math"/>
                <w:szCs w:val="24"/>
                <w:lang w:val="en-GB"/>
              </w:rPr>
              <m:t>ρ</m:t>
            </m:r>
          </m:e>
          <m:sub>
            <m:r>
              <w:rPr>
                <w:rFonts w:ascii="Cambria Math" w:hAnsi="Cambria Math"/>
                <w:szCs w:val="24"/>
                <w:lang w:val="en-GB"/>
              </w:rPr>
              <m:t>soil,i</m:t>
            </m:r>
          </m:sub>
        </m:sSub>
      </m:oMath>
      <w:r w:rsidRPr="00F207B4">
        <w:rPr>
          <w:szCs w:val="24"/>
          <w:lang w:val="en-GB"/>
        </w:rPr>
        <w:t xml:space="preserve"> is the density of the </w:t>
      </w:r>
      <w:r w:rsidR="000743BB" w:rsidRPr="00F207B4">
        <w:rPr>
          <w:szCs w:val="24"/>
          <w:lang w:val="en-GB"/>
        </w:rPr>
        <w:t xml:space="preserve">soil in cell </w:t>
      </w:r>
      <m:oMath>
        <m:r>
          <w:rPr>
            <w:rFonts w:ascii="Cambria Math" w:hAnsi="Cambria Math"/>
            <w:szCs w:val="24"/>
            <w:lang w:val="en-GB"/>
          </w:rPr>
          <m:t>i</m:t>
        </m:r>
      </m:oMath>
      <w:r w:rsidR="00BF5BB0" w:rsidRPr="00F207B4">
        <w:rPr>
          <w:szCs w:val="24"/>
          <w:lang w:val="en-GB"/>
        </w:rPr>
        <w:t xml:space="preserve"> (kg.m</w:t>
      </w:r>
      <w:r w:rsidR="00BF5BB0" w:rsidRPr="00F207B4">
        <w:rPr>
          <w:szCs w:val="24"/>
          <w:vertAlign w:val="superscript"/>
          <w:lang w:val="en-GB"/>
        </w:rPr>
        <w:t>-3</w:t>
      </w:r>
      <w:r w:rsidR="00BF5BB0" w:rsidRPr="00F207B4">
        <w:rPr>
          <w:szCs w:val="24"/>
          <w:lang w:val="en-GB"/>
        </w:rPr>
        <w:t xml:space="preserve">), </w:t>
      </w:r>
      <m:oMath>
        <m:sSub>
          <m:sSubPr>
            <m:ctrlPr>
              <w:rPr>
                <w:rFonts w:ascii="Cambria Math" w:hAnsi="Cambria Math"/>
                <w:i/>
                <w:szCs w:val="24"/>
                <w:lang w:val="en-GB"/>
              </w:rPr>
            </m:ctrlPr>
          </m:sSubPr>
          <m:e>
            <m:r>
              <w:rPr>
                <w:rFonts w:ascii="Cambria Math" w:hAnsi="Cambria Math"/>
                <w:szCs w:val="24"/>
                <w:lang w:val="en-GB"/>
              </w:rPr>
              <m:t>c</m:t>
            </m:r>
          </m:e>
          <m:sub>
            <m:r>
              <w:rPr>
                <w:rFonts w:ascii="Cambria Math" w:hAnsi="Cambria Math"/>
                <w:szCs w:val="24"/>
                <w:lang w:val="en-GB"/>
              </w:rPr>
              <m:t>p,HTF</m:t>
            </m:r>
          </m:sub>
        </m:sSub>
      </m:oMath>
      <w:r w:rsidR="00BF5BB0" w:rsidRPr="00F207B4">
        <w:rPr>
          <w:szCs w:val="24"/>
          <w:lang w:val="en-GB"/>
        </w:rPr>
        <w:t xml:space="preserve"> and</w:t>
      </w:r>
      <w:r w:rsidR="000743BB" w:rsidRPr="00F207B4">
        <w:rPr>
          <w:szCs w:val="24"/>
          <w:lang w:val="en-GB"/>
        </w:rPr>
        <w:t xml:space="preserve"> </w:t>
      </w:r>
      <m:oMath>
        <m:sSub>
          <m:sSubPr>
            <m:ctrlPr>
              <w:rPr>
                <w:rFonts w:ascii="Cambria Math" w:hAnsi="Cambria Math"/>
                <w:i/>
                <w:szCs w:val="24"/>
                <w:lang w:val="en-GB"/>
              </w:rPr>
            </m:ctrlPr>
          </m:sSubPr>
          <m:e>
            <m:r>
              <w:rPr>
                <w:rFonts w:ascii="Cambria Math" w:hAnsi="Cambria Math"/>
                <w:szCs w:val="24"/>
                <w:lang w:val="en-GB"/>
              </w:rPr>
              <m:t>c</m:t>
            </m:r>
          </m:e>
          <m:sub>
            <m:r>
              <w:rPr>
                <w:rFonts w:ascii="Cambria Math" w:hAnsi="Cambria Math"/>
                <w:szCs w:val="24"/>
                <w:lang w:val="en-GB"/>
              </w:rPr>
              <m:t>p,soil</m:t>
            </m:r>
          </m:sub>
        </m:sSub>
      </m:oMath>
      <w:r w:rsidR="00BF5BB0" w:rsidRPr="00F207B4">
        <w:rPr>
          <w:szCs w:val="24"/>
          <w:lang w:val="en-GB"/>
        </w:rPr>
        <w:t xml:space="preserve"> are the heat capacit</w:t>
      </w:r>
      <w:r w:rsidR="00AC5D04" w:rsidRPr="00F207B4">
        <w:rPr>
          <w:szCs w:val="24"/>
          <w:lang w:val="en-GB"/>
        </w:rPr>
        <w:t>ies</w:t>
      </w:r>
      <w:r w:rsidR="00BF5BB0" w:rsidRPr="00F207B4">
        <w:rPr>
          <w:szCs w:val="24"/>
          <w:lang w:val="en-GB"/>
        </w:rPr>
        <w:t xml:space="preserve"> of the HTF and soil (kJ.kg</w:t>
      </w:r>
      <w:r w:rsidR="00BF5BB0" w:rsidRPr="00F207B4">
        <w:rPr>
          <w:szCs w:val="24"/>
          <w:vertAlign w:val="superscript"/>
          <w:lang w:val="en-GB"/>
        </w:rPr>
        <w:t>-1</w:t>
      </w:r>
      <w:r w:rsidR="00BF5BB0" w:rsidRPr="00F207B4">
        <w:rPr>
          <w:szCs w:val="24"/>
          <w:lang w:val="en-GB"/>
        </w:rPr>
        <w:t>.K</w:t>
      </w:r>
      <w:r w:rsidR="00BF5BB0" w:rsidRPr="00F207B4">
        <w:rPr>
          <w:szCs w:val="24"/>
          <w:vertAlign w:val="superscript"/>
          <w:lang w:val="en-GB"/>
        </w:rPr>
        <w:t>-1</w:t>
      </w:r>
      <w:r w:rsidR="00BF5BB0" w:rsidRPr="00F207B4">
        <w:rPr>
          <w:szCs w:val="24"/>
          <w:lang w:val="en-GB"/>
        </w:rPr>
        <w:t xml:space="preserve">), </w:t>
      </w:r>
      <m:oMath>
        <m:sSub>
          <m:sSubPr>
            <m:ctrlPr>
              <w:rPr>
                <w:rFonts w:ascii="Cambria Math" w:hAnsi="Cambria Math"/>
                <w:i/>
                <w:szCs w:val="24"/>
                <w:lang w:val="en-GB"/>
              </w:rPr>
            </m:ctrlPr>
          </m:sSubPr>
          <m:e>
            <m:r>
              <w:rPr>
                <w:rFonts w:ascii="Cambria Math" w:hAnsi="Cambria Math"/>
                <w:szCs w:val="24"/>
                <w:lang w:val="en-GB"/>
              </w:rPr>
              <m:t>V</m:t>
            </m:r>
          </m:e>
          <m:sub>
            <m:r>
              <w:rPr>
                <w:rFonts w:ascii="Cambria Math" w:hAnsi="Cambria Math"/>
                <w:szCs w:val="24"/>
                <w:lang w:val="en-GB"/>
              </w:rPr>
              <m:t>soil,i</m:t>
            </m:r>
          </m:sub>
        </m:sSub>
      </m:oMath>
      <w:r w:rsidR="00BF5BB0" w:rsidRPr="00F207B4">
        <w:rPr>
          <w:szCs w:val="24"/>
          <w:lang w:val="en-GB"/>
        </w:rPr>
        <w:t xml:space="preserve"> is the volume of cell </w:t>
      </w:r>
      <m:oMath>
        <m:r>
          <w:rPr>
            <w:rFonts w:ascii="Cambria Math" w:hAnsi="Cambria Math"/>
            <w:szCs w:val="24"/>
            <w:lang w:val="en-GB"/>
          </w:rPr>
          <m:t>i</m:t>
        </m:r>
      </m:oMath>
      <w:r w:rsidR="00BF5BB0" w:rsidRPr="00F207B4">
        <w:rPr>
          <w:szCs w:val="24"/>
          <w:lang w:val="en-GB"/>
        </w:rPr>
        <w:t xml:space="preserve"> (m</w:t>
      </w:r>
      <w:r w:rsidR="00BF5BB0" w:rsidRPr="00F207B4">
        <w:rPr>
          <w:szCs w:val="24"/>
          <w:vertAlign w:val="superscript"/>
          <w:lang w:val="en-GB"/>
        </w:rPr>
        <w:t>3</w:t>
      </w:r>
      <w:r w:rsidR="00BF5BB0" w:rsidRPr="00F207B4">
        <w:rPr>
          <w:szCs w:val="24"/>
          <w:lang w:val="en-GB"/>
        </w:rPr>
        <w:t xml:space="preserve">) and </w:t>
      </w:r>
      <m:oMath>
        <m:r>
          <m:rPr>
            <m:sty m:val="p"/>
          </m:rPr>
          <w:rPr>
            <w:rFonts w:ascii="Cambria Math" w:hAnsi="Cambria Math"/>
            <w:szCs w:val="24"/>
            <w:lang w:val="en-GB"/>
          </w:rPr>
          <m:t>Δ</m:t>
        </m:r>
        <m:sSub>
          <m:sSubPr>
            <m:ctrlPr>
              <w:rPr>
                <w:rFonts w:ascii="Cambria Math" w:hAnsi="Cambria Math"/>
                <w:i/>
                <w:szCs w:val="24"/>
                <w:lang w:val="en-GB"/>
              </w:rPr>
            </m:ctrlPr>
          </m:sSubPr>
          <m:e>
            <m:r>
              <w:rPr>
                <w:rFonts w:ascii="Cambria Math" w:hAnsi="Cambria Math"/>
                <w:szCs w:val="24"/>
                <w:lang w:val="en-GB"/>
              </w:rPr>
              <m:t>T</m:t>
            </m:r>
          </m:e>
          <m:sub>
            <m:r>
              <w:rPr>
                <w:rFonts w:ascii="Cambria Math" w:hAnsi="Cambria Math"/>
                <w:szCs w:val="24"/>
                <w:lang w:val="en-GB"/>
              </w:rPr>
              <m:t>soil,i</m:t>
            </m:r>
          </m:sub>
        </m:sSub>
      </m:oMath>
      <w:r w:rsidR="00BF5BB0" w:rsidRPr="00F207B4">
        <w:rPr>
          <w:szCs w:val="24"/>
          <w:lang w:val="en-GB"/>
        </w:rPr>
        <w:t xml:space="preserve"> represents the temperature </w:t>
      </w:r>
      <w:r w:rsidR="00AC5D04" w:rsidRPr="00F207B4">
        <w:rPr>
          <w:szCs w:val="24"/>
          <w:lang w:val="en-GB"/>
        </w:rPr>
        <w:t>variation</w:t>
      </w:r>
      <w:r w:rsidR="00BF5BB0" w:rsidRPr="00F207B4">
        <w:rPr>
          <w:szCs w:val="24"/>
          <w:lang w:val="en-GB"/>
        </w:rPr>
        <w:t xml:space="preserve"> of the soil in cell </w:t>
      </w:r>
      <m:oMath>
        <m:r>
          <w:rPr>
            <w:rFonts w:ascii="Cambria Math" w:hAnsi="Cambria Math"/>
            <w:szCs w:val="24"/>
            <w:lang w:val="en-GB"/>
          </w:rPr>
          <m:t>i</m:t>
        </m:r>
      </m:oMath>
      <w:r w:rsidR="00BF5BB0" w:rsidRPr="00F207B4">
        <w:rPr>
          <w:szCs w:val="24"/>
          <w:lang w:val="en-GB"/>
        </w:rPr>
        <w:t xml:space="preserve"> over the </w:t>
      </w:r>
      <w:r w:rsidR="00AC5D04" w:rsidRPr="00F207B4">
        <w:rPr>
          <w:szCs w:val="24"/>
          <w:lang w:val="en-GB"/>
        </w:rPr>
        <w:t xml:space="preserve">considered </w:t>
      </w:r>
      <w:r w:rsidR="00BF5BB0" w:rsidRPr="00F207B4">
        <w:rPr>
          <w:szCs w:val="24"/>
          <w:lang w:val="en-GB"/>
        </w:rPr>
        <w:t>period (K). The thermophysical properties of the soil</w:t>
      </w:r>
      <w:r w:rsidR="00AC5D04" w:rsidRPr="00F207B4">
        <w:rPr>
          <w:szCs w:val="24"/>
          <w:lang w:val="en-GB"/>
        </w:rPr>
        <w:t>, represented here by</w:t>
      </w:r>
      <w:r w:rsidR="00BF5BB0" w:rsidRPr="00F207B4">
        <w:rPr>
          <w:szCs w:val="24"/>
          <w:lang w:val="en-GB"/>
        </w:rPr>
        <w:t xml:space="preserve"> sand</w:t>
      </w:r>
      <w:r w:rsidR="00AC5D04" w:rsidRPr="00F207B4">
        <w:rPr>
          <w:szCs w:val="24"/>
          <w:lang w:val="en-GB"/>
        </w:rPr>
        <w:t>,</w:t>
      </w:r>
      <w:r w:rsidR="00BF5BB0" w:rsidRPr="00F207B4">
        <w:rPr>
          <w:szCs w:val="24"/>
          <w:lang w:val="en-GB"/>
        </w:rPr>
        <w:t xml:space="preserve"> and the HTF</w:t>
      </w:r>
      <w:r w:rsidR="00AC5D04" w:rsidRPr="00F207B4">
        <w:rPr>
          <w:szCs w:val="24"/>
          <w:lang w:val="en-GB"/>
        </w:rPr>
        <w:t>, represented here by</w:t>
      </w:r>
      <w:r w:rsidR="00BF5BB0" w:rsidRPr="00F207B4">
        <w:rPr>
          <w:szCs w:val="24"/>
          <w:lang w:val="en-GB"/>
        </w:rPr>
        <w:t xml:space="preserve"> wate</w:t>
      </w:r>
      <w:r w:rsidR="00AC5D04" w:rsidRPr="00F207B4">
        <w:rPr>
          <w:szCs w:val="24"/>
          <w:lang w:val="en-GB"/>
        </w:rPr>
        <w:t>r</w:t>
      </w:r>
      <w:r w:rsidR="00BF5BB0" w:rsidRPr="00F207B4">
        <w:rPr>
          <w:szCs w:val="24"/>
          <w:lang w:val="en-GB"/>
        </w:rPr>
        <w:t>) are given in Tab.1.</w:t>
      </w:r>
    </w:p>
    <w:p w14:paraId="48CE2D00" w14:textId="008B49F9" w:rsidR="00DE45FB" w:rsidRPr="00F207B4" w:rsidRDefault="0061785C" w:rsidP="00DE45FB">
      <w:pPr>
        <w:pStyle w:val="SWCText"/>
        <w:rPr>
          <w:lang w:val="en-GB"/>
        </w:rPr>
      </w:pPr>
      <w:r w:rsidRPr="00F207B4">
        <w:rPr>
          <w:lang w:val="en-GB"/>
        </w:rPr>
        <w:t xml:space="preserve">The HTF circulates through the pipes, exchanging heat with the </w:t>
      </w:r>
      <w:r w:rsidR="00746CBB" w:rsidRPr="00F207B4">
        <w:rPr>
          <w:lang w:val="en-GB"/>
        </w:rPr>
        <w:t>ground</w:t>
      </w:r>
      <w:r w:rsidRPr="00F207B4">
        <w:rPr>
          <w:lang w:val="en-GB"/>
        </w:rPr>
        <w:t xml:space="preserve"> depending on the local temperature. The charg</w:t>
      </w:r>
      <w:r w:rsidR="008A4E20" w:rsidRPr="00F207B4">
        <w:rPr>
          <w:lang w:val="en-GB"/>
        </w:rPr>
        <w:t>e</w:t>
      </w:r>
      <w:r w:rsidRPr="00F207B4">
        <w:rPr>
          <w:lang w:val="en-GB"/>
        </w:rPr>
        <w:t xml:space="preserve"> and discharg</w:t>
      </w:r>
      <w:r w:rsidR="008A4E20" w:rsidRPr="00F207B4">
        <w:rPr>
          <w:lang w:val="en-GB"/>
        </w:rPr>
        <w:t>e</w:t>
      </w:r>
      <w:r w:rsidRPr="00F207B4">
        <w:rPr>
          <w:lang w:val="en-GB"/>
        </w:rPr>
        <w:t xml:space="preserve"> are simulated using temperature and flow rate profiles defined in the </w:t>
      </w:r>
      <w:r w:rsidR="00746CBB" w:rsidRPr="00F207B4">
        <w:rPr>
          <w:lang w:val="en-GB"/>
        </w:rPr>
        <w:t>following section</w:t>
      </w:r>
      <w:r w:rsidRPr="00F207B4">
        <w:rPr>
          <w:lang w:val="en-GB"/>
        </w:rPr>
        <w:t>.</w:t>
      </w:r>
    </w:p>
    <w:p w14:paraId="4B80EBB0" w14:textId="4B68C8F8" w:rsidR="00096445" w:rsidRPr="00F207B4" w:rsidRDefault="00096445" w:rsidP="00096445">
      <w:pPr>
        <w:pStyle w:val="SWCHeading11"/>
        <w:jc w:val="both"/>
        <w:rPr>
          <w:rFonts w:ascii="Times New Roman" w:hAnsi="Times New Roman"/>
          <w:i w:val="0"/>
        </w:rPr>
      </w:pPr>
      <w:r w:rsidRPr="00F207B4">
        <w:rPr>
          <w:rFonts w:ascii="Times New Roman" w:hAnsi="Times New Roman"/>
          <w:i w:val="0"/>
        </w:rPr>
        <w:t>Two complementary performance indicators are considered:</w:t>
      </w:r>
      <w:r w:rsidR="00AC5D04" w:rsidRPr="00F207B4">
        <w:rPr>
          <w:rFonts w:ascii="Times New Roman" w:hAnsi="Times New Roman"/>
          <w:i w:val="0"/>
        </w:rPr>
        <w:t xml:space="preserve"> (</w:t>
      </w:r>
      <w:proofErr w:type="spellStart"/>
      <w:r w:rsidR="00AC5D04" w:rsidRPr="00F207B4">
        <w:rPr>
          <w:rFonts w:ascii="Times New Roman" w:hAnsi="Times New Roman"/>
          <w:i w:val="0"/>
        </w:rPr>
        <w:t>i</w:t>
      </w:r>
      <w:proofErr w:type="spellEnd"/>
      <w:r w:rsidR="00AC5D04" w:rsidRPr="00F207B4">
        <w:rPr>
          <w:rFonts w:ascii="Times New Roman" w:hAnsi="Times New Roman"/>
          <w:i w:val="0"/>
        </w:rPr>
        <w:t>)</w:t>
      </w:r>
      <w:r w:rsidRPr="00F207B4">
        <w:rPr>
          <w:rFonts w:ascii="Times New Roman" w:hAnsi="Times New Roman"/>
          <w:i w:val="0"/>
        </w:rPr>
        <w:t xml:space="preserve"> the discharged thermal energy, which quantifies the storage capacity, and (ii) the Storage Performance Factor (SPF), which evaluates the energ</w:t>
      </w:r>
      <w:r w:rsidR="00AC5D04" w:rsidRPr="00F207B4">
        <w:rPr>
          <w:rFonts w:ascii="Times New Roman" w:hAnsi="Times New Roman"/>
          <w:i w:val="0"/>
        </w:rPr>
        <w:t>y</w:t>
      </w:r>
      <w:r w:rsidRPr="00F207B4">
        <w:rPr>
          <w:rFonts w:ascii="Times New Roman" w:hAnsi="Times New Roman"/>
          <w:i w:val="0"/>
        </w:rPr>
        <w:t xml:space="preserve"> efficiency of the </w:t>
      </w:r>
      <w:r w:rsidR="00AC5D04" w:rsidRPr="00F207B4">
        <w:rPr>
          <w:rFonts w:ascii="Times New Roman" w:hAnsi="Times New Roman"/>
          <w:i w:val="0"/>
        </w:rPr>
        <w:t>HUTES</w:t>
      </w:r>
      <w:r w:rsidRPr="00F207B4">
        <w:rPr>
          <w:rFonts w:ascii="Times New Roman" w:hAnsi="Times New Roman"/>
          <w:i w:val="0"/>
        </w:rPr>
        <w:t xml:space="preserve"> by accounting for the pumping electricity consumption. The evaluation criterion is defined as the ratio of the useful thermal energy discharged to the electrical energy consumed by the circulation pump, over the entire operational scenario:</w:t>
      </w:r>
    </w:p>
    <w:p w14:paraId="2BDEA178" w14:textId="452DBC6F" w:rsidR="00096445" w:rsidRPr="00F207B4" w:rsidRDefault="00BA3390" w:rsidP="00096445">
      <w:pPr>
        <w:pStyle w:val="SWCText"/>
        <w:ind w:left="2160" w:firstLine="720"/>
        <w:rPr>
          <w:lang w:val="en-GB"/>
        </w:rPr>
      </w:pPr>
      <m:oMath>
        <m:sSub>
          <m:sSubPr>
            <m:ctrlPr>
              <w:rPr>
                <w:rFonts w:ascii="Cambria Math" w:hAnsi="Cambria Math"/>
                <w:i/>
                <w:szCs w:val="24"/>
                <w:lang w:val="en-GB"/>
              </w:rPr>
            </m:ctrlPr>
          </m:sSubPr>
          <m:e>
            <m:r>
              <w:rPr>
                <w:rFonts w:ascii="Cambria Math" w:hAnsi="Cambria Math"/>
                <w:szCs w:val="24"/>
                <w:lang w:val="en-GB" w:eastAsia="fr-FR"/>
              </w:rPr>
              <m:t>SPF</m:t>
            </m:r>
          </m:e>
          <m:sub>
            <m:r>
              <w:rPr>
                <w:rFonts w:ascii="Cambria Math" w:hAnsi="Cambria Math"/>
                <w:szCs w:val="24"/>
                <w:lang w:val="en-GB"/>
              </w:rPr>
              <m:t>HUTES</m:t>
            </m:r>
          </m:sub>
        </m:sSub>
        <m:r>
          <w:rPr>
            <w:rFonts w:ascii="Cambria Math" w:hAnsi="Cambria Math"/>
            <w:szCs w:val="24"/>
            <w:lang w:val="en-GB" w:eastAsia="fr-FR"/>
          </w:rPr>
          <m:t>=</m:t>
        </m:r>
        <m:sSub>
          <m:sSubPr>
            <m:ctrlPr>
              <w:rPr>
                <w:rFonts w:ascii="Cambria Math" w:hAnsi="Cambria Math"/>
                <w:i/>
                <w:szCs w:val="24"/>
                <w:lang w:val="en-GB"/>
              </w:rPr>
            </m:ctrlPr>
          </m:sSubPr>
          <m:e>
            <m:r>
              <w:rPr>
                <w:rFonts w:ascii="Cambria Math" w:hAnsi="Cambria Math"/>
                <w:szCs w:val="24"/>
                <w:lang w:val="en-GB" w:eastAsia="fr-FR"/>
              </w:rPr>
              <m:t>E</m:t>
            </m:r>
          </m:e>
          <m:sub>
            <m:r>
              <w:rPr>
                <w:rFonts w:ascii="Cambria Math" w:hAnsi="Cambria Math"/>
                <w:szCs w:val="24"/>
                <w:lang w:val="en-GB" w:eastAsia="fr-FR"/>
              </w:rPr>
              <m:t>dis</m:t>
            </m:r>
          </m:sub>
        </m:sSub>
        <m:r>
          <w:rPr>
            <w:rFonts w:ascii="Cambria Math" w:hAnsi="Cambria Math"/>
            <w:szCs w:val="24"/>
            <w:lang w:val="en-GB" w:eastAsia="fr-FR"/>
          </w:rPr>
          <m:t>/</m:t>
        </m:r>
        <m:sSub>
          <m:sSubPr>
            <m:ctrlPr>
              <w:rPr>
                <w:rFonts w:ascii="Cambria Math" w:hAnsi="Cambria Math"/>
                <w:i/>
                <w:szCs w:val="24"/>
                <w:lang w:val="en-GB"/>
              </w:rPr>
            </m:ctrlPr>
          </m:sSubPr>
          <m:e>
            <m:r>
              <w:rPr>
                <w:rFonts w:ascii="Cambria Math" w:hAnsi="Cambria Math"/>
                <w:szCs w:val="24"/>
                <w:lang w:val="en-GB" w:eastAsia="fr-FR"/>
              </w:rPr>
              <m:t>E</m:t>
            </m:r>
          </m:e>
          <m:sub>
            <m:r>
              <w:rPr>
                <w:rFonts w:ascii="Cambria Math" w:hAnsi="Cambria Math"/>
                <w:szCs w:val="24"/>
                <w:lang w:val="en-GB" w:eastAsia="fr-FR"/>
              </w:rPr>
              <m:t>pump</m:t>
            </m:r>
          </m:sub>
        </m:sSub>
      </m:oMath>
      <w:r w:rsidR="00096445" w:rsidRPr="00F207B4">
        <w:rPr>
          <w:lang w:val="en-GB"/>
        </w:rPr>
        <w:tab/>
      </w:r>
      <w:r w:rsidR="00096445" w:rsidRPr="00F207B4">
        <w:rPr>
          <w:lang w:val="en-GB"/>
        </w:rPr>
        <w:tab/>
        <w:t xml:space="preserve">(eq. </w:t>
      </w:r>
      <w:r w:rsidR="00FD6120" w:rsidRPr="00F207B4">
        <w:rPr>
          <w:lang w:val="en-GB"/>
        </w:rPr>
        <w:t>3</w:t>
      </w:r>
      <w:r w:rsidR="00096445" w:rsidRPr="00F207B4">
        <w:rPr>
          <w:lang w:val="en-GB"/>
        </w:rPr>
        <w:t>)</w:t>
      </w:r>
    </w:p>
    <w:p w14:paraId="16E54CF7" w14:textId="5A76F883" w:rsidR="00096445" w:rsidRPr="00F207B4" w:rsidRDefault="00096445" w:rsidP="00096445">
      <w:pPr>
        <w:pStyle w:val="SWCHeading11"/>
        <w:jc w:val="both"/>
        <w:rPr>
          <w:rFonts w:ascii="Times New Roman" w:hAnsi="Times New Roman"/>
          <w:i w:val="0"/>
        </w:rPr>
      </w:pPr>
      <w:r w:rsidRPr="00F207B4">
        <w:rPr>
          <w:rFonts w:ascii="Times New Roman" w:hAnsi="Times New Roman"/>
          <w:i w:val="0"/>
        </w:rPr>
        <w:t xml:space="preserve">Where </w:t>
      </w:r>
      <w:proofErr w:type="spellStart"/>
      <w:r w:rsidRPr="00F207B4">
        <w:rPr>
          <w:rFonts w:ascii="Times New Roman" w:hAnsi="Times New Roman"/>
          <w:i w:val="0"/>
        </w:rPr>
        <w:t>E</w:t>
      </w:r>
      <w:r w:rsidRPr="00F207B4">
        <w:rPr>
          <w:rFonts w:ascii="Times New Roman" w:hAnsi="Times New Roman"/>
          <w:i w:val="0"/>
          <w:vertAlign w:val="subscript"/>
        </w:rPr>
        <w:t>dis</w:t>
      </w:r>
      <w:proofErr w:type="spellEnd"/>
      <w:r w:rsidRPr="00F207B4">
        <w:rPr>
          <w:rFonts w:ascii="Times New Roman" w:hAnsi="Times New Roman"/>
          <w:i w:val="0"/>
        </w:rPr>
        <w:t xml:space="preserve"> is the thermal energy recovered from the HUTES (</w:t>
      </w:r>
      <w:proofErr w:type="spellStart"/>
      <w:r w:rsidRPr="00F207B4">
        <w:rPr>
          <w:rFonts w:ascii="Times New Roman" w:hAnsi="Times New Roman"/>
          <w:i w:val="0"/>
        </w:rPr>
        <w:t>kWh</w:t>
      </w:r>
      <w:r w:rsidRPr="00F207B4">
        <w:rPr>
          <w:rFonts w:ascii="Times New Roman" w:hAnsi="Times New Roman"/>
          <w:i w:val="0"/>
          <w:vertAlign w:val="subscript"/>
        </w:rPr>
        <w:t>th</w:t>
      </w:r>
      <w:proofErr w:type="spellEnd"/>
      <w:r w:rsidRPr="00F207B4">
        <w:rPr>
          <w:rFonts w:ascii="Times New Roman" w:hAnsi="Times New Roman"/>
          <w:i w:val="0"/>
        </w:rPr>
        <w:t xml:space="preserve">), and </w:t>
      </w:r>
      <w:proofErr w:type="spellStart"/>
      <w:r w:rsidRPr="00F207B4">
        <w:rPr>
          <w:rFonts w:ascii="Times New Roman" w:hAnsi="Times New Roman"/>
          <w:i w:val="0"/>
        </w:rPr>
        <w:t>E</w:t>
      </w:r>
      <w:r w:rsidRPr="00F207B4">
        <w:rPr>
          <w:rFonts w:ascii="Times New Roman" w:hAnsi="Times New Roman"/>
          <w:i w:val="0"/>
          <w:vertAlign w:val="subscript"/>
        </w:rPr>
        <w:t>pump</w:t>
      </w:r>
      <w:proofErr w:type="spellEnd"/>
      <w:r w:rsidRPr="00F207B4">
        <w:rPr>
          <w:rFonts w:ascii="Times New Roman" w:hAnsi="Times New Roman"/>
          <w:i w:val="0"/>
        </w:rPr>
        <w:t xml:space="preserve"> is the electrical energy (</w:t>
      </w:r>
      <w:proofErr w:type="spellStart"/>
      <w:r w:rsidRPr="00F207B4">
        <w:rPr>
          <w:rFonts w:ascii="Times New Roman" w:hAnsi="Times New Roman"/>
          <w:i w:val="0"/>
        </w:rPr>
        <w:t>kWh</w:t>
      </w:r>
      <w:r w:rsidRPr="00F207B4">
        <w:rPr>
          <w:rFonts w:ascii="Times New Roman" w:hAnsi="Times New Roman"/>
          <w:i w:val="0"/>
          <w:vertAlign w:val="subscript"/>
        </w:rPr>
        <w:t>e</w:t>
      </w:r>
      <w:proofErr w:type="spellEnd"/>
      <w:r w:rsidRPr="00F207B4">
        <w:rPr>
          <w:rFonts w:ascii="Times New Roman" w:hAnsi="Times New Roman"/>
          <w:i w:val="0"/>
        </w:rPr>
        <w:t xml:space="preserve">) consumed by the </w:t>
      </w:r>
      <w:r w:rsidR="005077F9" w:rsidRPr="00F207B4">
        <w:rPr>
          <w:rFonts w:ascii="Times New Roman" w:hAnsi="Times New Roman"/>
          <w:i w:val="0"/>
        </w:rPr>
        <w:t xml:space="preserve">circulation </w:t>
      </w:r>
      <w:r w:rsidRPr="00F207B4">
        <w:rPr>
          <w:rFonts w:ascii="Times New Roman" w:hAnsi="Times New Roman"/>
          <w:i w:val="0"/>
        </w:rPr>
        <w:t>pump</w:t>
      </w:r>
      <w:r w:rsidR="005077F9" w:rsidRPr="00F207B4">
        <w:rPr>
          <w:rFonts w:ascii="Times New Roman" w:hAnsi="Times New Roman"/>
          <w:i w:val="0"/>
        </w:rPr>
        <w:t>,</w:t>
      </w:r>
      <w:r w:rsidRPr="00F207B4">
        <w:rPr>
          <w:rFonts w:ascii="Times New Roman" w:hAnsi="Times New Roman"/>
          <w:i w:val="0"/>
        </w:rPr>
        <w:t xml:space="preserve"> over the entire operational scenario (charge only (scenario 1) or charging and discharging cycle (scenario 2)). This dimensionless indicator quantifies the amount of useful thermal energy discharged per unit of electrical energy required for HUTES operation, allowing a consistent comparison of HUTES configurations while accounting for both thermal performance and pumping energy consumption.</w:t>
      </w:r>
    </w:p>
    <w:p w14:paraId="07A91B57" w14:textId="251D0EEC" w:rsidR="00D02AB4" w:rsidRPr="00F207B4" w:rsidRDefault="00DE45FB" w:rsidP="00D02AB4">
      <w:pPr>
        <w:pStyle w:val="SWCHeading11"/>
        <w:numPr>
          <w:ilvl w:val="1"/>
          <w:numId w:val="11"/>
        </w:numPr>
      </w:pPr>
      <w:r w:rsidRPr="00F207B4">
        <w:t>Simulation scenarios</w:t>
      </w:r>
    </w:p>
    <w:p w14:paraId="0368DB14" w14:textId="0253BF89" w:rsidR="00D93430" w:rsidRPr="00F207B4" w:rsidRDefault="00DE45FB" w:rsidP="00587B9D">
      <w:pPr>
        <w:pStyle w:val="SWCHeading11"/>
        <w:jc w:val="both"/>
        <w:rPr>
          <w:rFonts w:ascii="Times New Roman" w:hAnsi="Times New Roman"/>
          <w:i w:val="0"/>
        </w:rPr>
      </w:pPr>
      <w:r w:rsidRPr="00F207B4">
        <w:rPr>
          <w:rFonts w:ascii="Times New Roman" w:hAnsi="Times New Roman"/>
          <w:i w:val="0"/>
        </w:rPr>
        <w:t>Three scenarios are defined in Tab</w:t>
      </w:r>
      <w:r w:rsidR="0092128B" w:rsidRPr="00F207B4">
        <w:rPr>
          <w:rFonts w:ascii="Times New Roman" w:hAnsi="Times New Roman"/>
          <w:i w:val="0"/>
        </w:rPr>
        <w:t>.</w:t>
      </w:r>
      <w:r w:rsidRPr="00F207B4">
        <w:rPr>
          <w:rFonts w:ascii="Times New Roman" w:hAnsi="Times New Roman"/>
          <w:i w:val="0"/>
        </w:rPr>
        <w:t xml:space="preserve">2 to assess the </w:t>
      </w:r>
      <w:r w:rsidR="00047E22" w:rsidRPr="00F207B4">
        <w:rPr>
          <w:rFonts w:ascii="Times New Roman" w:hAnsi="Times New Roman"/>
          <w:i w:val="0"/>
        </w:rPr>
        <w:t>r</w:t>
      </w:r>
      <w:r w:rsidRPr="00F207B4">
        <w:rPr>
          <w:rFonts w:ascii="Times New Roman" w:hAnsi="Times New Roman"/>
          <w:i w:val="0"/>
        </w:rPr>
        <w:t xml:space="preserve">obustness </w:t>
      </w:r>
      <w:r w:rsidR="00047E22" w:rsidRPr="00F207B4">
        <w:rPr>
          <w:rFonts w:ascii="Times New Roman" w:hAnsi="Times New Roman"/>
          <w:i w:val="0"/>
        </w:rPr>
        <w:t xml:space="preserve">of the model </w:t>
      </w:r>
      <w:r w:rsidRPr="00F207B4">
        <w:rPr>
          <w:rFonts w:ascii="Times New Roman" w:hAnsi="Times New Roman"/>
          <w:i w:val="0"/>
        </w:rPr>
        <w:t>and explore different operati</w:t>
      </w:r>
      <w:r w:rsidR="007E6526" w:rsidRPr="00F207B4">
        <w:rPr>
          <w:rFonts w:ascii="Times New Roman" w:hAnsi="Times New Roman"/>
          <w:i w:val="0"/>
        </w:rPr>
        <w:t>onal</w:t>
      </w:r>
      <w:r w:rsidRPr="00F207B4">
        <w:rPr>
          <w:rFonts w:ascii="Times New Roman" w:hAnsi="Times New Roman"/>
          <w:i w:val="0"/>
        </w:rPr>
        <w:t xml:space="preserve"> conditions</w:t>
      </w:r>
      <w:r w:rsidR="004269E6" w:rsidRPr="00F207B4">
        <w:rPr>
          <w:rFonts w:ascii="Times New Roman" w:hAnsi="Times New Roman"/>
          <w:i w:val="0"/>
        </w:rPr>
        <w:t xml:space="preserve"> during the sensitivity analys</w:t>
      </w:r>
      <w:r w:rsidR="00514930" w:rsidRPr="00F207B4">
        <w:rPr>
          <w:rFonts w:ascii="Times New Roman" w:hAnsi="Times New Roman"/>
          <w:i w:val="0"/>
        </w:rPr>
        <w:t>is</w:t>
      </w:r>
      <w:r w:rsidR="004269E6" w:rsidRPr="00F207B4">
        <w:rPr>
          <w:rFonts w:ascii="Times New Roman" w:hAnsi="Times New Roman"/>
          <w:i w:val="0"/>
        </w:rPr>
        <w:t>.</w:t>
      </w:r>
      <w:r w:rsidR="00FC0F30" w:rsidRPr="00F207B4">
        <w:rPr>
          <w:rFonts w:ascii="Times New Roman" w:hAnsi="Times New Roman"/>
          <w:i w:val="0"/>
        </w:rPr>
        <w:t xml:space="preserve"> </w:t>
      </w:r>
      <w:r w:rsidR="00D93430" w:rsidRPr="00F207B4">
        <w:rPr>
          <w:rFonts w:ascii="Times New Roman" w:hAnsi="Times New Roman"/>
          <w:i w:val="0"/>
        </w:rPr>
        <w:t xml:space="preserve">For </w:t>
      </w:r>
      <w:r w:rsidR="00151E57" w:rsidRPr="00F207B4">
        <w:rPr>
          <w:rFonts w:ascii="Times New Roman" w:hAnsi="Times New Roman"/>
          <w:i w:val="0"/>
        </w:rPr>
        <w:t>s</w:t>
      </w:r>
      <w:r w:rsidR="00D93430" w:rsidRPr="00F207B4">
        <w:rPr>
          <w:rFonts w:ascii="Times New Roman" w:hAnsi="Times New Roman"/>
          <w:i w:val="0"/>
        </w:rPr>
        <w:t xml:space="preserve">cenarios 1 and 2, the simulation start date </w:t>
      </w:r>
      <w:r w:rsidR="00D5212A" w:rsidRPr="00F207B4">
        <w:rPr>
          <w:rFonts w:ascii="Times New Roman" w:hAnsi="Times New Roman"/>
          <w:i w:val="0"/>
        </w:rPr>
        <w:t>has no impact on</w:t>
      </w:r>
      <w:r w:rsidR="00D93430" w:rsidRPr="00F207B4">
        <w:rPr>
          <w:rFonts w:ascii="Times New Roman" w:hAnsi="Times New Roman"/>
          <w:i w:val="0"/>
        </w:rPr>
        <w:t xml:space="preserve"> the results, as the boundary conditions are fixed throughout the simulations. In contrast, </w:t>
      </w:r>
      <w:r w:rsidR="00D5212A" w:rsidRPr="00F207B4">
        <w:rPr>
          <w:rFonts w:ascii="Times New Roman" w:hAnsi="Times New Roman"/>
          <w:i w:val="0"/>
        </w:rPr>
        <w:t>s</w:t>
      </w:r>
      <w:r w:rsidR="00D93430" w:rsidRPr="00F207B4">
        <w:rPr>
          <w:rFonts w:ascii="Times New Roman" w:hAnsi="Times New Roman"/>
          <w:i w:val="0"/>
        </w:rPr>
        <w:t xml:space="preserve">cenario 3 is driven by field and weather data and is simulated over the </w:t>
      </w:r>
      <w:r w:rsidR="00D5212A" w:rsidRPr="00F207B4">
        <w:rPr>
          <w:rFonts w:ascii="Times New Roman" w:hAnsi="Times New Roman"/>
          <w:i w:val="0"/>
        </w:rPr>
        <w:t>entire warm</w:t>
      </w:r>
      <w:r w:rsidR="00D93430" w:rsidRPr="00F207B4">
        <w:rPr>
          <w:rFonts w:ascii="Times New Roman" w:hAnsi="Times New Roman"/>
          <w:i w:val="0"/>
        </w:rPr>
        <w:t xml:space="preserve"> season</w:t>
      </w:r>
      <w:r w:rsidR="00D5212A" w:rsidRPr="00F207B4">
        <w:rPr>
          <w:rFonts w:ascii="Times New Roman" w:hAnsi="Times New Roman"/>
          <w:i w:val="0"/>
        </w:rPr>
        <w:t xml:space="preserve"> (charging period)</w:t>
      </w:r>
      <w:r w:rsidR="00D93430" w:rsidRPr="00F207B4">
        <w:rPr>
          <w:rFonts w:ascii="Times New Roman" w:hAnsi="Times New Roman"/>
          <w:i w:val="0"/>
        </w:rPr>
        <w:t>, from 15 April to 15 October.</w:t>
      </w:r>
    </w:p>
    <w:p w14:paraId="4280AA31" w14:textId="506BCDD2" w:rsidR="00DE45FB" w:rsidRPr="00F207B4" w:rsidRDefault="00DE45FB" w:rsidP="00DE45FB">
      <w:pPr>
        <w:pStyle w:val="SWCTableFigureCaption"/>
        <w:rPr>
          <w:lang w:val="en-GB"/>
        </w:rPr>
      </w:pPr>
      <w:r w:rsidRPr="00F207B4">
        <w:rPr>
          <w:lang w:val="en-GB"/>
        </w:rPr>
        <w:t>Tab.2: Characteristics of the simulation scenarios studied</w:t>
      </w:r>
    </w:p>
    <w:tbl>
      <w:tblPr>
        <w:tblStyle w:val="Grilledutableau"/>
        <w:tblW w:w="9356" w:type="dxa"/>
        <w:tblInd w:w="-147" w:type="dxa"/>
        <w:tblLook w:val="04A0" w:firstRow="1" w:lastRow="0" w:firstColumn="1" w:lastColumn="0" w:noHBand="0" w:noVBand="1"/>
      </w:tblPr>
      <w:tblGrid>
        <w:gridCol w:w="916"/>
        <w:gridCol w:w="4472"/>
        <w:gridCol w:w="1983"/>
        <w:gridCol w:w="1985"/>
      </w:tblGrid>
      <w:tr w:rsidR="00DE45FB" w:rsidRPr="00F207B4" w14:paraId="2F7FE689" w14:textId="77777777" w:rsidTr="006A2145">
        <w:tc>
          <w:tcPr>
            <w:tcW w:w="916" w:type="dxa"/>
            <w:vAlign w:val="center"/>
          </w:tcPr>
          <w:p w14:paraId="44E59384" w14:textId="45B109C9" w:rsidR="00DE45FB" w:rsidRPr="00F207B4" w:rsidRDefault="00DE45FB" w:rsidP="004474DD">
            <w:pPr>
              <w:pStyle w:val="SWCTableText"/>
            </w:pPr>
            <w:r w:rsidRPr="00F207B4">
              <w:t>Sc</w:t>
            </w:r>
            <w:r w:rsidR="00C135BB" w:rsidRPr="00F207B4">
              <w:t>e</w:t>
            </w:r>
            <w:r w:rsidRPr="00F207B4">
              <w:t>nario</w:t>
            </w:r>
          </w:p>
        </w:tc>
        <w:tc>
          <w:tcPr>
            <w:tcW w:w="4472" w:type="dxa"/>
            <w:vAlign w:val="center"/>
          </w:tcPr>
          <w:p w14:paraId="36590D37" w14:textId="48BF3B59" w:rsidR="00DE45FB" w:rsidRPr="00F207B4" w:rsidRDefault="006A2145" w:rsidP="004474DD">
            <w:pPr>
              <w:pStyle w:val="SWCTableText"/>
            </w:pPr>
            <w:r w:rsidRPr="00F207B4">
              <w:t>Operating conditions</w:t>
            </w:r>
          </w:p>
        </w:tc>
        <w:tc>
          <w:tcPr>
            <w:tcW w:w="1983" w:type="dxa"/>
            <w:vAlign w:val="center"/>
          </w:tcPr>
          <w:p w14:paraId="115CCC2D" w14:textId="2C031F50" w:rsidR="00DE45FB" w:rsidRPr="00F207B4" w:rsidRDefault="00DE45FB" w:rsidP="004474DD">
            <w:pPr>
              <w:pStyle w:val="SWCTableText"/>
            </w:pPr>
            <w:r w:rsidRPr="00F207B4">
              <w:t>Data used</w:t>
            </w:r>
          </w:p>
        </w:tc>
        <w:tc>
          <w:tcPr>
            <w:tcW w:w="1985" w:type="dxa"/>
            <w:vAlign w:val="center"/>
          </w:tcPr>
          <w:p w14:paraId="3011A1FB" w14:textId="6B54A3D0" w:rsidR="00DE45FB" w:rsidRPr="00F207B4" w:rsidRDefault="00DB3157" w:rsidP="004474DD">
            <w:pPr>
              <w:pStyle w:val="SWCTableText"/>
            </w:pPr>
            <w:r w:rsidRPr="00F207B4">
              <w:t>Objective</w:t>
            </w:r>
          </w:p>
        </w:tc>
      </w:tr>
      <w:tr w:rsidR="00DE45FB" w:rsidRPr="00F207B4" w14:paraId="48323B66" w14:textId="77777777" w:rsidTr="006A2145">
        <w:tc>
          <w:tcPr>
            <w:tcW w:w="916" w:type="dxa"/>
            <w:vAlign w:val="center"/>
          </w:tcPr>
          <w:p w14:paraId="58BBF321" w14:textId="77777777" w:rsidR="00DE45FB" w:rsidRPr="00F207B4" w:rsidRDefault="00DE45FB" w:rsidP="004474DD">
            <w:pPr>
              <w:pStyle w:val="SWCTableText"/>
            </w:pPr>
            <w:r w:rsidRPr="00F207B4">
              <w:t>1</w:t>
            </w:r>
          </w:p>
        </w:tc>
        <w:tc>
          <w:tcPr>
            <w:tcW w:w="4472" w:type="dxa"/>
            <w:vAlign w:val="center"/>
          </w:tcPr>
          <w:p w14:paraId="3D6B1F44" w14:textId="74DF71B0" w:rsidR="00DE45FB" w:rsidRPr="00F207B4" w:rsidRDefault="00862DAD" w:rsidP="004474DD">
            <w:pPr>
              <w:pStyle w:val="SWCTableText"/>
            </w:pPr>
            <w:r w:rsidRPr="00F207B4">
              <w:t>3-month c</w:t>
            </w:r>
            <w:r w:rsidR="00C135BB" w:rsidRPr="00F207B4">
              <w:t>harg</w:t>
            </w:r>
            <w:r w:rsidR="008A4E20" w:rsidRPr="00F207B4">
              <w:t>e</w:t>
            </w:r>
            <w:r w:rsidR="00C135BB" w:rsidRPr="00F207B4">
              <w:t xml:space="preserve"> (8am–5pm) under fixed flow rate </w:t>
            </w:r>
            <w:r w:rsidR="00DE45FB" w:rsidRPr="00F207B4">
              <w:t>(400 kg.h</w:t>
            </w:r>
            <w:r w:rsidR="00DE45FB" w:rsidRPr="00F207B4">
              <w:rPr>
                <w:vertAlign w:val="superscript"/>
              </w:rPr>
              <w:t>-1</w:t>
            </w:r>
            <w:r w:rsidR="00DE45FB" w:rsidRPr="00F207B4">
              <w:t>)</w:t>
            </w:r>
            <w:r w:rsidRPr="00F207B4">
              <w:t xml:space="preserve"> and temperature conditions (70°C) </w:t>
            </w:r>
          </w:p>
        </w:tc>
        <w:tc>
          <w:tcPr>
            <w:tcW w:w="1983" w:type="dxa"/>
            <w:vAlign w:val="center"/>
          </w:tcPr>
          <w:p w14:paraId="519B4B38" w14:textId="5BB47D0D" w:rsidR="00DE45FB" w:rsidRPr="00F207B4" w:rsidRDefault="00C135BB" w:rsidP="004474DD">
            <w:pPr>
              <w:pStyle w:val="SWCTableText"/>
            </w:pPr>
            <w:r w:rsidRPr="00F207B4">
              <w:t xml:space="preserve">Fixed </w:t>
            </w:r>
            <w:r w:rsidR="00862DAD" w:rsidRPr="00F207B4">
              <w:t>inputs</w:t>
            </w:r>
          </w:p>
        </w:tc>
        <w:tc>
          <w:tcPr>
            <w:tcW w:w="1985" w:type="dxa"/>
            <w:vAlign w:val="center"/>
          </w:tcPr>
          <w:p w14:paraId="4DA1832D" w14:textId="338E54C3" w:rsidR="00DE45FB" w:rsidRPr="00F207B4" w:rsidRDefault="00862DAD" w:rsidP="00D93430">
            <w:pPr>
              <w:pStyle w:val="SWCTableText"/>
            </w:pPr>
            <w:r w:rsidRPr="00F207B4">
              <w:t>Reference case: long-term charge</w:t>
            </w:r>
          </w:p>
        </w:tc>
      </w:tr>
      <w:tr w:rsidR="00DE45FB" w:rsidRPr="00F207B4" w14:paraId="6A385E0F" w14:textId="77777777" w:rsidTr="006A2145">
        <w:tc>
          <w:tcPr>
            <w:tcW w:w="916" w:type="dxa"/>
            <w:vAlign w:val="center"/>
          </w:tcPr>
          <w:p w14:paraId="4A1DA107" w14:textId="77777777" w:rsidR="00DE45FB" w:rsidRPr="00F207B4" w:rsidRDefault="00DE45FB" w:rsidP="004474DD">
            <w:pPr>
              <w:pStyle w:val="SWCTableText"/>
            </w:pPr>
            <w:r w:rsidRPr="00F207B4">
              <w:t>2</w:t>
            </w:r>
          </w:p>
        </w:tc>
        <w:tc>
          <w:tcPr>
            <w:tcW w:w="4472" w:type="dxa"/>
            <w:vAlign w:val="center"/>
          </w:tcPr>
          <w:p w14:paraId="6DB775BD" w14:textId="2583DEF8" w:rsidR="00DE45FB" w:rsidRPr="00F207B4" w:rsidRDefault="00862DAD" w:rsidP="004474DD">
            <w:pPr>
              <w:pStyle w:val="SWCTableText"/>
            </w:pPr>
            <w:r w:rsidRPr="00F207B4">
              <w:t>6-month daily c</w:t>
            </w:r>
            <w:r w:rsidR="00C135BB" w:rsidRPr="00F207B4">
              <w:t>harg</w:t>
            </w:r>
            <w:r w:rsidR="008A4E20" w:rsidRPr="00F207B4">
              <w:t>e</w:t>
            </w:r>
            <w:r w:rsidR="00C135BB" w:rsidRPr="00F207B4">
              <w:t xml:space="preserve"> (8am–5pm) / discharg</w:t>
            </w:r>
            <w:r w:rsidR="008A4E20" w:rsidRPr="00F207B4">
              <w:t>e</w:t>
            </w:r>
            <w:r w:rsidR="00C135BB" w:rsidRPr="00F207B4">
              <w:t xml:space="preserve"> (5pm–8am) with fixed temperature</w:t>
            </w:r>
            <w:r w:rsidR="005F1AED" w:rsidRPr="00F207B4">
              <w:t xml:space="preserve"> (70°C for charge</w:t>
            </w:r>
            <w:r w:rsidRPr="00F207B4">
              <w:t xml:space="preserve"> / </w:t>
            </w:r>
            <w:r w:rsidR="005F1AED" w:rsidRPr="00F207B4">
              <w:t>15°C for discharge)</w:t>
            </w:r>
            <w:r w:rsidR="00C135BB" w:rsidRPr="00F207B4">
              <w:t xml:space="preserve"> and flow rate conditions </w:t>
            </w:r>
            <w:r w:rsidR="00DE45FB" w:rsidRPr="00F207B4">
              <w:t>(400 kg.h</w:t>
            </w:r>
            <w:r w:rsidR="00DE45FB" w:rsidRPr="00F207B4">
              <w:rPr>
                <w:vertAlign w:val="superscript"/>
              </w:rPr>
              <w:t>-1</w:t>
            </w:r>
            <w:r w:rsidR="00DE45FB" w:rsidRPr="00F207B4">
              <w:t>)</w:t>
            </w:r>
          </w:p>
        </w:tc>
        <w:tc>
          <w:tcPr>
            <w:tcW w:w="1983" w:type="dxa"/>
            <w:vAlign w:val="center"/>
          </w:tcPr>
          <w:p w14:paraId="322CB897" w14:textId="00EFE41A" w:rsidR="00DE45FB" w:rsidRPr="00F207B4" w:rsidRDefault="00C135BB" w:rsidP="004474DD">
            <w:pPr>
              <w:pStyle w:val="SWCTableText"/>
            </w:pPr>
            <w:r w:rsidRPr="00F207B4">
              <w:t xml:space="preserve">Fixed </w:t>
            </w:r>
            <w:r w:rsidR="00862DAD" w:rsidRPr="00F207B4">
              <w:t>inputs</w:t>
            </w:r>
          </w:p>
        </w:tc>
        <w:tc>
          <w:tcPr>
            <w:tcW w:w="1985" w:type="dxa"/>
            <w:vAlign w:val="center"/>
          </w:tcPr>
          <w:p w14:paraId="78B2461A" w14:textId="1E771157" w:rsidR="00DE45FB" w:rsidRPr="00F207B4" w:rsidRDefault="00862DAD" w:rsidP="004474DD">
            <w:pPr>
              <w:pStyle w:val="SWCTableText"/>
            </w:pPr>
            <w:r w:rsidRPr="00F207B4">
              <w:t>Controlled daily cycle</w:t>
            </w:r>
          </w:p>
        </w:tc>
      </w:tr>
      <w:tr w:rsidR="00DE45FB" w:rsidRPr="00F207B4" w14:paraId="6E8B506A" w14:textId="77777777" w:rsidTr="006A2145">
        <w:tc>
          <w:tcPr>
            <w:tcW w:w="916" w:type="dxa"/>
            <w:vAlign w:val="center"/>
          </w:tcPr>
          <w:p w14:paraId="0F7D6727" w14:textId="77777777" w:rsidR="00DE45FB" w:rsidRPr="00F207B4" w:rsidRDefault="00DE45FB" w:rsidP="004474DD">
            <w:pPr>
              <w:pStyle w:val="SWCTableText"/>
            </w:pPr>
            <w:r w:rsidRPr="00F207B4">
              <w:t>3</w:t>
            </w:r>
          </w:p>
        </w:tc>
        <w:tc>
          <w:tcPr>
            <w:tcW w:w="4472" w:type="dxa"/>
            <w:vAlign w:val="center"/>
          </w:tcPr>
          <w:p w14:paraId="58EB06C1" w14:textId="41603280" w:rsidR="00DE45FB" w:rsidRPr="00F207B4" w:rsidRDefault="00862DAD" w:rsidP="004474DD">
            <w:pPr>
              <w:pStyle w:val="SWCTableText"/>
            </w:pPr>
            <w:r w:rsidRPr="00F207B4">
              <w:t>6-month c</w:t>
            </w:r>
            <w:r w:rsidR="00C135BB" w:rsidRPr="00F207B4">
              <w:t>harg</w:t>
            </w:r>
            <w:r w:rsidR="008A4E20" w:rsidRPr="00F207B4">
              <w:t>e</w:t>
            </w:r>
            <w:r w:rsidR="00C135BB" w:rsidRPr="00F207B4">
              <w:t xml:space="preserve"> </w:t>
            </w:r>
            <w:r w:rsidRPr="00F207B4">
              <w:t>using</w:t>
            </w:r>
            <w:r w:rsidR="00C135BB" w:rsidRPr="00F207B4">
              <w:t xml:space="preserve"> measured experimental conditions (dynamic temperature and flow rate profiles)</w:t>
            </w:r>
            <w:r w:rsidR="00C816C1" w:rsidRPr="00F207B4">
              <w:t xml:space="preserve"> *</w:t>
            </w:r>
          </w:p>
        </w:tc>
        <w:tc>
          <w:tcPr>
            <w:tcW w:w="1983" w:type="dxa"/>
            <w:vAlign w:val="center"/>
          </w:tcPr>
          <w:p w14:paraId="4B6EEDCF" w14:textId="758C27C9" w:rsidR="00DE45FB" w:rsidRPr="00F207B4" w:rsidRDefault="006A2145" w:rsidP="004474DD">
            <w:pPr>
              <w:pStyle w:val="SWCTableText"/>
            </w:pPr>
            <w:r w:rsidRPr="00F207B4">
              <w:t>Solar field and</w:t>
            </w:r>
            <w:r w:rsidR="00C135BB" w:rsidRPr="00F207B4">
              <w:t xml:space="preserve"> hourly weather data for climatic conditions</w:t>
            </w:r>
          </w:p>
        </w:tc>
        <w:tc>
          <w:tcPr>
            <w:tcW w:w="1985" w:type="dxa"/>
            <w:vAlign w:val="center"/>
          </w:tcPr>
          <w:p w14:paraId="79A5F3EA" w14:textId="52CE52C7" w:rsidR="00DE45FB" w:rsidRPr="00F207B4" w:rsidRDefault="00C135BB" w:rsidP="004474DD">
            <w:pPr>
              <w:pStyle w:val="SWCTableText"/>
            </w:pPr>
            <w:r w:rsidRPr="00F207B4">
              <w:t xml:space="preserve">Assessment </w:t>
            </w:r>
            <w:r w:rsidR="006A2145" w:rsidRPr="00F207B4">
              <w:t>under</w:t>
            </w:r>
            <w:r w:rsidRPr="00F207B4">
              <w:t xml:space="preserve"> climatic and operational variations</w:t>
            </w:r>
          </w:p>
        </w:tc>
      </w:tr>
    </w:tbl>
    <w:p w14:paraId="5435BED9" w14:textId="1905C792" w:rsidR="00C816C1" w:rsidRPr="00F207B4" w:rsidRDefault="00FF2BD2" w:rsidP="00FF2BD2">
      <w:pPr>
        <w:pStyle w:val="SWCHeading11"/>
        <w:spacing w:before="0"/>
        <w:jc w:val="both"/>
        <w:rPr>
          <w:rFonts w:ascii="Times New Roman" w:hAnsi="Times New Roman"/>
          <w:i w:val="0"/>
          <w:sz w:val="16"/>
        </w:rPr>
      </w:pPr>
      <w:r w:rsidRPr="00F207B4">
        <w:rPr>
          <w:rFonts w:ascii="Times New Roman" w:hAnsi="Times New Roman"/>
          <w:i w:val="0"/>
          <w:sz w:val="16"/>
        </w:rPr>
        <w:t>* The outlet temperature of the solar field varies approximately from 30 to 75 °C throughout the charging step</w:t>
      </w:r>
      <w:r w:rsidR="006A2145" w:rsidRPr="00F207B4">
        <w:rPr>
          <w:rFonts w:ascii="Times New Roman" w:hAnsi="Times New Roman"/>
          <w:i w:val="0"/>
          <w:sz w:val="16"/>
        </w:rPr>
        <w:t>. T</w:t>
      </w:r>
      <w:r w:rsidRPr="00F207B4">
        <w:rPr>
          <w:rFonts w:ascii="Times New Roman" w:hAnsi="Times New Roman"/>
          <w:i w:val="0"/>
          <w:sz w:val="16"/>
        </w:rPr>
        <w:t xml:space="preserve">he flow rate is 800 </w:t>
      </w:r>
      <w:r w:rsidR="00D5212A" w:rsidRPr="00F207B4">
        <w:rPr>
          <w:rFonts w:ascii="Times New Roman" w:hAnsi="Times New Roman"/>
          <w:i w:val="0"/>
          <w:sz w:val="16"/>
        </w:rPr>
        <w:t>kg.h</w:t>
      </w:r>
      <w:r w:rsidR="00D5212A" w:rsidRPr="00F207B4">
        <w:rPr>
          <w:rFonts w:ascii="Times New Roman" w:hAnsi="Times New Roman"/>
          <w:i w:val="0"/>
          <w:sz w:val="16"/>
          <w:vertAlign w:val="superscript"/>
        </w:rPr>
        <w:t xml:space="preserve">-1 </w:t>
      </w:r>
      <w:r w:rsidRPr="00F207B4">
        <w:rPr>
          <w:rFonts w:ascii="Times New Roman" w:hAnsi="Times New Roman"/>
          <w:i w:val="0"/>
          <w:sz w:val="16"/>
        </w:rPr>
        <w:t xml:space="preserve">when the circulation pump is </w:t>
      </w:r>
      <w:r w:rsidR="006A2145" w:rsidRPr="00F207B4">
        <w:rPr>
          <w:rFonts w:ascii="Times New Roman" w:hAnsi="Times New Roman"/>
          <w:i w:val="0"/>
          <w:sz w:val="16"/>
        </w:rPr>
        <w:t>operating</w:t>
      </w:r>
      <w:r w:rsidRPr="00F207B4">
        <w:rPr>
          <w:rFonts w:ascii="Times New Roman" w:hAnsi="Times New Roman"/>
          <w:i w:val="0"/>
          <w:sz w:val="16"/>
        </w:rPr>
        <w:t xml:space="preserve">. </w:t>
      </w:r>
      <w:r w:rsidR="006A2145" w:rsidRPr="00F207B4">
        <w:rPr>
          <w:rFonts w:ascii="Times New Roman" w:hAnsi="Times New Roman"/>
          <w:i w:val="0"/>
          <w:sz w:val="16"/>
        </w:rPr>
        <w:t>O</w:t>
      </w:r>
      <w:r w:rsidRPr="00F207B4">
        <w:rPr>
          <w:rFonts w:ascii="Times New Roman" w:hAnsi="Times New Roman"/>
          <w:i w:val="0"/>
          <w:sz w:val="16"/>
        </w:rPr>
        <w:t xml:space="preserve">ver the 6-month simulation period, the pump operates for </w:t>
      </w:r>
      <w:r w:rsidR="00CF4E05" w:rsidRPr="00F207B4">
        <w:rPr>
          <w:rFonts w:ascii="Times New Roman" w:hAnsi="Times New Roman"/>
          <w:i w:val="0"/>
          <w:sz w:val="16"/>
        </w:rPr>
        <w:t>3409.3</w:t>
      </w:r>
      <w:r w:rsidRPr="00F207B4">
        <w:rPr>
          <w:rFonts w:ascii="Times New Roman" w:hAnsi="Times New Roman"/>
          <w:i w:val="0"/>
          <w:sz w:val="16"/>
        </w:rPr>
        <w:t xml:space="preserve"> hours.</w:t>
      </w:r>
    </w:p>
    <w:p w14:paraId="2053E402" w14:textId="045FFB0E" w:rsidR="00D02AB4" w:rsidRPr="00F207B4" w:rsidRDefault="00DB3157" w:rsidP="00D02AB4">
      <w:pPr>
        <w:pStyle w:val="SWCHeading11"/>
        <w:numPr>
          <w:ilvl w:val="1"/>
          <w:numId w:val="11"/>
        </w:numPr>
      </w:pPr>
      <w:r w:rsidRPr="00F207B4">
        <w:lastRenderedPageBreak/>
        <w:t>Sensitivity study</w:t>
      </w:r>
    </w:p>
    <w:p w14:paraId="7F730078" w14:textId="2D535DC5" w:rsidR="00DB3157" w:rsidRPr="00F207B4" w:rsidRDefault="00DB3157" w:rsidP="00DB3157">
      <w:pPr>
        <w:pStyle w:val="SWCHeading11"/>
        <w:jc w:val="both"/>
        <w:rPr>
          <w:rFonts w:ascii="Times New Roman" w:hAnsi="Times New Roman"/>
          <w:i w:val="0"/>
        </w:rPr>
      </w:pPr>
      <w:r w:rsidRPr="00F207B4">
        <w:rPr>
          <w:rFonts w:ascii="Times New Roman" w:hAnsi="Times New Roman"/>
          <w:i w:val="0"/>
        </w:rPr>
        <w:t xml:space="preserve">A </w:t>
      </w:r>
      <w:r w:rsidR="00047E22" w:rsidRPr="00F207B4">
        <w:rPr>
          <w:rFonts w:ascii="Times New Roman" w:hAnsi="Times New Roman"/>
          <w:i w:val="0"/>
        </w:rPr>
        <w:t>parametric</w:t>
      </w:r>
      <w:r w:rsidRPr="00F207B4">
        <w:rPr>
          <w:rFonts w:ascii="Times New Roman" w:hAnsi="Times New Roman"/>
          <w:i w:val="0"/>
        </w:rPr>
        <w:t xml:space="preserve"> analysis is carried out to identify the parameters that have the greatest influence on the energy performance of the HUTES. These parameters include:</w:t>
      </w:r>
    </w:p>
    <w:p w14:paraId="79E5E89C" w14:textId="792DE3AB" w:rsidR="00DB3157" w:rsidRPr="00F207B4" w:rsidRDefault="00DB3157" w:rsidP="00DB3157">
      <w:pPr>
        <w:pStyle w:val="SWCHeading11"/>
        <w:numPr>
          <w:ilvl w:val="0"/>
          <w:numId w:val="28"/>
        </w:numPr>
        <w:jc w:val="both"/>
        <w:rPr>
          <w:rFonts w:ascii="Times New Roman" w:hAnsi="Times New Roman"/>
          <w:i w:val="0"/>
        </w:rPr>
      </w:pPr>
      <w:r w:rsidRPr="00F207B4">
        <w:rPr>
          <w:rFonts w:ascii="Times New Roman" w:hAnsi="Times New Roman"/>
          <w:i w:val="0"/>
        </w:rPr>
        <w:t>Internal diameter of the heat exchanger tubes (</w:t>
      </w:r>
      <w:r w:rsidRPr="00F207B4">
        <w:rPr>
          <w:rFonts w:ascii="Times New Roman" w:hAnsi="Times New Roman"/>
        </w:rPr>
        <w:t>D</w:t>
      </w:r>
      <w:r w:rsidRPr="00F207B4">
        <w:rPr>
          <w:rFonts w:ascii="Times New Roman" w:hAnsi="Times New Roman"/>
          <w:vertAlign w:val="subscript"/>
        </w:rPr>
        <w:t>int</w:t>
      </w:r>
      <w:r w:rsidRPr="00F207B4">
        <w:rPr>
          <w:rFonts w:ascii="Times New Roman" w:hAnsi="Times New Roman"/>
          <w:i w:val="0"/>
        </w:rPr>
        <w:t>),</w:t>
      </w:r>
    </w:p>
    <w:p w14:paraId="0419B3F8" w14:textId="397FFBE4" w:rsidR="00DB3157" w:rsidRPr="00F207B4" w:rsidRDefault="00DB3157" w:rsidP="00DB3157">
      <w:pPr>
        <w:pStyle w:val="SWCHeading11"/>
        <w:numPr>
          <w:ilvl w:val="0"/>
          <w:numId w:val="28"/>
        </w:numPr>
        <w:jc w:val="both"/>
        <w:rPr>
          <w:rFonts w:ascii="Times New Roman" w:hAnsi="Times New Roman"/>
          <w:i w:val="0"/>
        </w:rPr>
      </w:pPr>
      <w:r w:rsidRPr="00F207B4">
        <w:rPr>
          <w:rFonts w:ascii="Times New Roman" w:hAnsi="Times New Roman"/>
          <w:i w:val="0"/>
        </w:rPr>
        <w:t>Number of tubes on a single level (</w:t>
      </w:r>
      <w:proofErr w:type="spellStart"/>
      <w:r w:rsidRPr="00F207B4">
        <w:rPr>
          <w:rFonts w:ascii="Times New Roman" w:hAnsi="Times New Roman"/>
        </w:rPr>
        <w:t>N</w:t>
      </w:r>
      <w:r w:rsidRPr="00F207B4">
        <w:rPr>
          <w:rFonts w:ascii="Times New Roman" w:hAnsi="Times New Roman"/>
          <w:vertAlign w:val="subscript"/>
        </w:rPr>
        <w:t>tube</w:t>
      </w:r>
      <w:proofErr w:type="spellEnd"/>
      <w:r w:rsidRPr="00F207B4">
        <w:rPr>
          <w:rFonts w:ascii="Times New Roman" w:hAnsi="Times New Roman"/>
          <w:i w:val="0"/>
        </w:rPr>
        <w:t>)</w:t>
      </w:r>
    </w:p>
    <w:p w14:paraId="6919D7FB" w14:textId="34DED45B" w:rsidR="00DB3157" w:rsidRPr="00F207B4" w:rsidRDefault="00DB3157" w:rsidP="00DB3157">
      <w:pPr>
        <w:pStyle w:val="SWCHeading11"/>
        <w:numPr>
          <w:ilvl w:val="0"/>
          <w:numId w:val="28"/>
        </w:numPr>
        <w:jc w:val="both"/>
        <w:rPr>
          <w:rFonts w:ascii="Times New Roman" w:hAnsi="Times New Roman"/>
          <w:i w:val="0"/>
        </w:rPr>
      </w:pPr>
      <w:r w:rsidRPr="00F207B4">
        <w:rPr>
          <w:rFonts w:ascii="Times New Roman" w:hAnsi="Times New Roman"/>
          <w:i w:val="0"/>
        </w:rPr>
        <w:t>Distance between the centres of the tubes on a single level (</w:t>
      </w:r>
      <w:proofErr w:type="spellStart"/>
      <w:r w:rsidRPr="00F207B4">
        <w:rPr>
          <w:rFonts w:ascii="Times New Roman" w:hAnsi="Times New Roman"/>
        </w:rPr>
        <w:t>d</w:t>
      </w:r>
      <w:r w:rsidRPr="00F207B4">
        <w:rPr>
          <w:rFonts w:ascii="Times New Roman" w:hAnsi="Times New Roman"/>
          <w:vertAlign w:val="subscript"/>
        </w:rPr>
        <w:t>tube</w:t>
      </w:r>
      <w:proofErr w:type="spellEnd"/>
      <w:r w:rsidRPr="00F207B4">
        <w:rPr>
          <w:rFonts w:ascii="Times New Roman" w:hAnsi="Times New Roman"/>
          <w:i w:val="0"/>
        </w:rPr>
        <w:t>),</w:t>
      </w:r>
    </w:p>
    <w:p w14:paraId="1F7F9C71" w14:textId="3C57F711" w:rsidR="00DB3157" w:rsidRPr="00F207B4" w:rsidRDefault="00DB3157" w:rsidP="00DB3157">
      <w:pPr>
        <w:pStyle w:val="SWCHeading11"/>
        <w:numPr>
          <w:ilvl w:val="0"/>
          <w:numId w:val="28"/>
        </w:numPr>
        <w:jc w:val="both"/>
        <w:rPr>
          <w:rFonts w:ascii="Times New Roman" w:hAnsi="Times New Roman"/>
          <w:i w:val="0"/>
        </w:rPr>
      </w:pPr>
      <w:r w:rsidRPr="00F207B4">
        <w:rPr>
          <w:rFonts w:ascii="Times New Roman" w:hAnsi="Times New Roman"/>
          <w:i w:val="0"/>
        </w:rPr>
        <w:t>Insulation thickness (</w:t>
      </w:r>
      <w:proofErr w:type="spellStart"/>
      <w:r w:rsidRPr="00F207B4">
        <w:rPr>
          <w:rFonts w:ascii="Times New Roman" w:hAnsi="Times New Roman"/>
        </w:rPr>
        <w:t>e</w:t>
      </w:r>
      <w:r w:rsidRPr="00F207B4">
        <w:rPr>
          <w:rFonts w:ascii="Times New Roman" w:hAnsi="Times New Roman"/>
          <w:vertAlign w:val="subscript"/>
        </w:rPr>
        <w:t>ins</w:t>
      </w:r>
      <w:proofErr w:type="spellEnd"/>
      <w:r w:rsidRPr="00F207B4">
        <w:rPr>
          <w:rFonts w:ascii="Times New Roman" w:hAnsi="Times New Roman"/>
          <w:i w:val="0"/>
        </w:rPr>
        <w:t>) and insulation type (</w:t>
      </w:r>
      <w:proofErr w:type="spellStart"/>
      <w:r w:rsidRPr="00F207B4">
        <w:rPr>
          <w:rFonts w:ascii="Times New Roman" w:hAnsi="Times New Roman"/>
        </w:rPr>
        <w:t>n</w:t>
      </w:r>
      <w:r w:rsidRPr="00F207B4">
        <w:rPr>
          <w:rFonts w:ascii="Times New Roman" w:hAnsi="Times New Roman"/>
          <w:vertAlign w:val="subscript"/>
        </w:rPr>
        <w:t>ins</w:t>
      </w:r>
      <w:proofErr w:type="spellEnd"/>
      <w:r w:rsidRPr="00F207B4">
        <w:rPr>
          <w:rFonts w:ascii="Times New Roman" w:hAnsi="Times New Roman"/>
          <w:i w:val="0"/>
        </w:rPr>
        <w:t>),</w:t>
      </w:r>
    </w:p>
    <w:p w14:paraId="7DA14FDF" w14:textId="7B1EE43A" w:rsidR="00DB3157" w:rsidRPr="00F207B4" w:rsidRDefault="00DB3157" w:rsidP="00DB3157">
      <w:pPr>
        <w:pStyle w:val="SWCHeading11"/>
        <w:numPr>
          <w:ilvl w:val="0"/>
          <w:numId w:val="28"/>
        </w:numPr>
        <w:jc w:val="both"/>
        <w:rPr>
          <w:rFonts w:ascii="Times New Roman" w:hAnsi="Times New Roman"/>
          <w:i w:val="0"/>
        </w:rPr>
      </w:pPr>
      <w:r w:rsidRPr="00F207B4">
        <w:rPr>
          <w:rFonts w:ascii="Times New Roman" w:hAnsi="Times New Roman"/>
          <w:i w:val="0"/>
        </w:rPr>
        <w:t>Thickness of the floor above the top of the HUTES (</w:t>
      </w:r>
      <w:proofErr w:type="spellStart"/>
      <w:r w:rsidRPr="00F207B4">
        <w:rPr>
          <w:rFonts w:ascii="Times New Roman" w:hAnsi="Times New Roman"/>
          <w:sz w:val="22"/>
        </w:rPr>
        <w:t>e</w:t>
      </w:r>
      <w:r w:rsidRPr="00F207B4">
        <w:rPr>
          <w:rFonts w:ascii="Times New Roman" w:hAnsi="Times New Roman"/>
          <w:sz w:val="22"/>
          <w:vertAlign w:val="subscript"/>
        </w:rPr>
        <w:t>ground</w:t>
      </w:r>
      <w:proofErr w:type="spellEnd"/>
      <w:r w:rsidRPr="00F207B4">
        <w:rPr>
          <w:rFonts w:ascii="Times New Roman" w:hAnsi="Times New Roman"/>
          <w:i w:val="0"/>
        </w:rPr>
        <w:t>),</w:t>
      </w:r>
    </w:p>
    <w:p w14:paraId="30822063" w14:textId="72C7BDA6" w:rsidR="00DB3157" w:rsidRPr="00F207B4" w:rsidRDefault="00DB3157" w:rsidP="00DB3157">
      <w:pPr>
        <w:pStyle w:val="SWCHeading11"/>
        <w:numPr>
          <w:ilvl w:val="0"/>
          <w:numId w:val="28"/>
        </w:numPr>
        <w:jc w:val="both"/>
        <w:rPr>
          <w:rFonts w:ascii="Times New Roman" w:hAnsi="Times New Roman"/>
          <w:i w:val="0"/>
        </w:rPr>
      </w:pPr>
      <w:r w:rsidRPr="00F207B4">
        <w:rPr>
          <w:rFonts w:ascii="Times New Roman" w:hAnsi="Times New Roman"/>
          <w:i w:val="0"/>
        </w:rPr>
        <w:t>Temperatures at the HUTES inlet during charg</w:t>
      </w:r>
      <w:r w:rsidR="008A4E20" w:rsidRPr="00F207B4">
        <w:rPr>
          <w:rFonts w:ascii="Times New Roman" w:hAnsi="Times New Roman"/>
          <w:i w:val="0"/>
        </w:rPr>
        <w:t>e</w:t>
      </w:r>
      <w:r w:rsidRPr="00F207B4">
        <w:rPr>
          <w:rFonts w:ascii="Times New Roman" w:hAnsi="Times New Roman"/>
          <w:i w:val="0"/>
        </w:rPr>
        <w:t xml:space="preserve"> (</w:t>
      </w:r>
      <w:proofErr w:type="spellStart"/>
      <w:proofErr w:type="gramStart"/>
      <w:r w:rsidRPr="00F207B4">
        <w:rPr>
          <w:rFonts w:ascii="Times New Roman" w:hAnsi="Times New Roman"/>
        </w:rPr>
        <w:t>T</w:t>
      </w:r>
      <w:r w:rsidRPr="00F207B4">
        <w:rPr>
          <w:rFonts w:ascii="Times New Roman" w:hAnsi="Times New Roman"/>
          <w:vertAlign w:val="subscript"/>
        </w:rPr>
        <w:t>in,ch</w:t>
      </w:r>
      <w:proofErr w:type="spellEnd"/>
      <w:proofErr w:type="gramEnd"/>
      <w:r w:rsidRPr="00F207B4">
        <w:rPr>
          <w:rFonts w:ascii="Times New Roman" w:hAnsi="Times New Roman"/>
          <w:i w:val="0"/>
        </w:rPr>
        <w:t>) and discharg</w:t>
      </w:r>
      <w:r w:rsidR="008A4E20" w:rsidRPr="00F207B4">
        <w:rPr>
          <w:rFonts w:ascii="Times New Roman" w:hAnsi="Times New Roman"/>
          <w:i w:val="0"/>
        </w:rPr>
        <w:t>e</w:t>
      </w:r>
      <w:r w:rsidRPr="00F207B4">
        <w:rPr>
          <w:rFonts w:ascii="Times New Roman" w:hAnsi="Times New Roman"/>
          <w:i w:val="0"/>
        </w:rPr>
        <w:t xml:space="preserve"> (</w:t>
      </w:r>
      <w:proofErr w:type="spellStart"/>
      <w:r w:rsidRPr="00F207B4">
        <w:rPr>
          <w:rFonts w:ascii="Times New Roman" w:hAnsi="Times New Roman"/>
        </w:rPr>
        <w:t>T</w:t>
      </w:r>
      <w:r w:rsidRPr="00F207B4">
        <w:rPr>
          <w:rFonts w:ascii="Times New Roman" w:hAnsi="Times New Roman"/>
          <w:vertAlign w:val="subscript"/>
        </w:rPr>
        <w:t>in,dis</w:t>
      </w:r>
      <w:proofErr w:type="spellEnd"/>
      <w:r w:rsidRPr="00F207B4">
        <w:rPr>
          <w:rFonts w:ascii="Times New Roman" w:hAnsi="Times New Roman"/>
          <w:i w:val="0"/>
        </w:rPr>
        <w:t>).</w:t>
      </w:r>
    </w:p>
    <w:p w14:paraId="41C428BB" w14:textId="77777777" w:rsidR="001B35A7" w:rsidRPr="00F207B4" w:rsidRDefault="001B35A7" w:rsidP="00E80AB4">
      <w:pPr>
        <w:pStyle w:val="SWCText"/>
        <w:rPr>
          <w:sz w:val="8"/>
          <w:lang w:val="en-GB"/>
        </w:rPr>
      </w:pPr>
    </w:p>
    <w:p w14:paraId="734D7C8C" w14:textId="33CEF391" w:rsidR="0086758F" w:rsidRPr="00F207B4" w:rsidRDefault="00DB3157" w:rsidP="00E80AB4">
      <w:pPr>
        <w:pStyle w:val="SWCText"/>
        <w:rPr>
          <w:color w:val="auto"/>
          <w:lang w:val="en-GB"/>
        </w:rPr>
      </w:pPr>
      <w:r w:rsidRPr="00F207B4">
        <w:rPr>
          <w:lang w:val="en-GB"/>
        </w:rPr>
        <w:t xml:space="preserve">The </w:t>
      </w:r>
      <w:r w:rsidRPr="00F207B4">
        <w:rPr>
          <w:color w:val="auto"/>
          <w:lang w:val="en-GB"/>
        </w:rPr>
        <w:t xml:space="preserve">parameter ranges are detailed in Tab.3. </w:t>
      </w:r>
      <w:r w:rsidR="00317842" w:rsidRPr="00F207B4">
        <w:rPr>
          <w:color w:val="auto"/>
          <w:lang w:val="en-GB"/>
        </w:rPr>
        <w:t xml:space="preserve">In all scenarios, the internal </w:t>
      </w:r>
      <w:r w:rsidR="001455A7" w:rsidRPr="00F207B4">
        <w:rPr>
          <w:color w:val="auto"/>
          <w:lang w:val="en-GB"/>
        </w:rPr>
        <w:t xml:space="preserve">tube </w:t>
      </w:r>
      <w:r w:rsidR="00317842" w:rsidRPr="00F207B4">
        <w:rPr>
          <w:color w:val="auto"/>
          <w:lang w:val="en-GB"/>
        </w:rPr>
        <w:t xml:space="preserve">diameter </w:t>
      </w:r>
      <w:r w:rsidR="001455A7" w:rsidRPr="00F207B4">
        <w:rPr>
          <w:color w:val="auto"/>
          <w:lang w:val="en-GB"/>
        </w:rPr>
        <w:t>(D</w:t>
      </w:r>
      <w:r w:rsidR="001455A7" w:rsidRPr="00F207B4">
        <w:rPr>
          <w:color w:val="auto"/>
          <w:vertAlign w:val="subscript"/>
          <w:lang w:val="en-GB"/>
        </w:rPr>
        <w:t>int</w:t>
      </w:r>
      <w:r w:rsidR="001455A7" w:rsidRPr="00F207B4">
        <w:rPr>
          <w:color w:val="auto"/>
          <w:lang w:val="en-GB"/>
        </w:rPr>
        <w:t xml:space="preserve">) was varied between </w:t>
      </w:r>
      <w:r w:rsidR="00317842" w:rsidRPr="00F207B4">
        <w:rPr>
          <w:color w:val="auto"/>
          <w:lang w:val="en-GB"/>
        </w:rPr>
        <w:t>0.02</w:t>
      </w:r>
      <w:r w:rsidR="001455A7" w:rsidRPr="00F207B4">
        <w:rPr>
          <w:color w:val="auto"/>
          <w:lang w:val="en-GB"/>
        </w:rPr>
        <w:t xml:space="preserve">0 and </w:t>
      </w:r>
      <w:r w:rsidR="00317842" w:rsidRPr="00F207B4">
        <w:rPr>
          <w:color w:val="auto"/>
          <w:lang w:val="en-GB"/>
        </w:rPr>
        <w:t>0.026 m</w:t>
      </w:r>
      <w:r w:rsidR="00071569" w:rsidRPr="00F207B4">
        <w:rPr>
          <w:color w:val="auto"/>
          <w:lang w:val="en-GB"/>
        </w:rPr>
        <w:t>, corresponding to the largest internal diameters available for the existing multilayer pipes</w:t>
      </w:r>
      <w:r w:rsidR="00F207B4" w:rsidRPr="00F207B4">
        <w:rPr>
          <w:color w:val="auto"/>
          <w:lang w:val="en-GB"/>
        </w:rPr>
        <w:t xml:space="preserve"> in order to limit pressure losses</w:t>
      </w:r>
      <w:r w:rsidR="00071569" w:rsidRPr="00F207B4">
        <w:rPr>
          <w:color w:val="auto"/>
          <w:lang w:val="en-GB"/>
        </w:rPr>
        <w:t>.</w:t>
      </w:r>
      <w:r w:rsidR="00317842" w:rsidRPr="00F207B4">
        <w:rPr>
          <w:color w:val="auto"/>
          <w:lang w:val="en-GB"/>
        </w:rPr>
        <w:t xml:space="preserve"> </w:t>
      </w:r>
      <w:r w:rsidR="00071569" w:rsidRPr="00F207B4">
        <w:rPr>
          <w:color w:val="auto"/>
          <w:lang w:val="en-GB"/>
        </w:rPr>
        <w:t>Preliminary analyses showed that, within this range, D</w:t>
      </w:r>
      <w:r w:rsidR="00071569" w:rsidRPr="00F207B4">
        <w:rPr>
          <w:color w:val="auto"/>
          <w:vertAlign w:val="subscript"/>
          <w:lang w:val="en-GB"/>
        </w:rPr>
        <w:t>int</w:t>
      </w:r>
      <w:r w:rsidR="00071569" w:rsidRPr="00F207B4">
        <w:rPr>
          <w:color w:val="auto"/>
          <w:lang w:val="en-GB"/>
        </w:rPr>
        <w:t xml:space="preserve"> has a negligible influence on the thermal performance of the HUTES. The larger diameter (0.026 m) was therefore retained for the subsequent analyses to minimise pressure losses without compromising thermal performance.</w:t>
      </w:r>
    </w:p>
    <w:p w14:paraId="39144885" w14:textId="34012915" w:rsidR="00885DAA" w:rsidRPr="00F207B4" w:rsidRDefault="00885DAA" w:rsidP="00E80AB4">
      <w:pPr>
        <w:pStyle w:val="SWCText"/>
        <w:rPr>
          <w:color w:val="auto"/>
          <w:lang w:val="en-GB"/>
        </w:rPr>
      </w:pPr>
      <w:r w:rsidRPr="00F207B4">
        <w:rPr>
          <w:color w:val="auto"/>
          <w:lang w:val="en-GB"/>
        </w:rPr>
        <w:t xml:space="preserve">The ranges reported for </w:t>
      </w:r>
      <w:proofErr w:type="spellStart"/>
      <w:r w:rsidRPr="00F207B4">
        <w:rPr>
          <w:color w:val="auto"/>
          <w:lang w:val="en-GB"/>
        </w:rPr>
        <w:t>d</w:t>
      </w:r>
      <w:r w:rsidRPr="00F207B4">
        <w:rPr>
          <w:color w:val="auto"/>
          <w:vertAlign w:val="subscript"/>
          <w:lang w:val="en-GB"/>
        </w:rPr>
        <w:t>tube</w:t>
      </w:r>
      <w:proofErr w:type="spellEnd"/>
      <w:r w:rsidRPr="00F207B4">
        <w:rPr>
          <w:color w:val="auto"/>
          <w:lang w:val="en-GB"/>
        </w:rPr>
        <w:t xml:space="preserve"> and </w:t>
      </w:r>
      <w:proofErr w:type="spellStart"/>
      <w:r w:rsidRPr="00F207B4">
        <w:rPr>
          <w:color w:val="auto"/>
          <w:lang w:val="en-GB"/>
        </w:rPr>
        <w:t>e</w:t>
      </w:r>
      <w:r w:rsidRPr="00F207B4">
        <w:rPr>
          <w:color w:val="auto"/>
          <w:vertAlign w:val="subscript"/>
          <w:lang w:val="en-GB"/>
        </w:rPr>
        <w:t>ins</w:t>
      </w:r>
      <w:proofErr w:type="spellEnd"/>
      <w:r w:rsidRPr="00F207B4">
        <w:rPr>
          <w:color w:val="auto"/>
          <w:lang w:val="en-GB"/>
        </w:rPr>
        <w:t xml:space="preserve"> correspond to the global bounds considered across all configurations. Their actual ranges depend on the number of tubes and are adjusted to preserve the fixed overall dimensions of the HUTES (see Fig.1). Consequently, the ranges shown in the sensitivity plots may differ from </w:t>
      </w:r>
      <w:r w:rsidR="00F207B4" w:rsidRPr="00F207B4">
        <w:rPr>
          <w:color w:val="auto"/>
          <w:lang w:val="en-GB"/>
        </w:rPr>
        <w:t>those</w:t>
      </w:r>
      <w:r w:rsidRPr="00F207B4">
        <w:rPr>
          <w:color w:val="auto"/>
          <w:lang w:val="en-GB"/>
        </w:rPr>
        <w:t xml:space="preserve"> reported in Tab.3.</w:t>
      </w:r>
    </w:p>
    <w:p w14:paraId="585DD4F1" w14:textId="1CCB5B04" w:rsidR="001B35A7" w:rsidRPr="00F207B4" w:rsidRDefault="00DB3157" w:rsidP="00E80AB4">
      <w:pPr>
        <w:pStyle w:val="SWCText"/>
        <w:rPr>
          <w:lang w:val="en-GB"/>
        </w:rPr>
      </w:pPr>
      <w:r w:rsidRPr="00F207B4">
        <w:rPr>
          <w:lang w:val="en-GB"/>
        </w:rPr>
        <w:t xml:space="preserve">The insulation materials studied are: </w:t>
      </w:r>
      <w:r w:rsidR="00D50AE4" w:rsidRPr="00F207B4">
        <w:rPr>
          <w:lang w:val="en-GB"/>
        </w:rPr>
        <w:t xml:space="preserve">straw (0.048 W.m⁻¹.K⁻¹), polystyrene (0.047 W.m⁻¹.K⁻¹), </w:t>
      </w:r>
      <w:proofErr w:type="spellStart"/>
      <w:r w:rsidR="00D50AE4" w:rsidRPr="00F207B4">
        <w:rPr>
          <w:lang w:val="en-GB"/>
        </w:rPr>
        <w:t>Normalen</w:t>
      </w:r>
      <w:proofErr w:type="spellEnd"/>
      <w:r w:rsidR="00D50AE4" w:rsidRPr="00F207B4">
        <w:rPr>
          <w:lang w:val="en-GB"/>
        </w:rPr>
        <w:t>® (0.04 W.m⁻¹.K⁻¹), rubber/cotton/plastic</w:t>
      </w:r>
      <w:r w:rsidR="006A10CA" w:rsidRPr="00F207B4">
        <w:rPr>
          <w:lang w:val="en-GB"/>
        </w:rPr>
        <w:t xml:space="preserve"> mixture</w:t>
      </w:r>
      <w:r w:rsidR="00D50AE4" w:rsidRPr="00F207B4">
        <w:rPr>
          <w:lang w:val="en-GB"/>
        </w:rPr>
        <w:t xml:space="preserve"> (0.034 W.m⁻¹.K⁻¹), extruded polystyrene (0.033 W.m⁻¹.K⁻¹), expanded polystyrene (0.029 W.m⁻¹.K⁻¹), polyurethane (0.025 W.m⁻¹.K⁻¹), high-density polyurethane (0.022 W.m⁻¹.K⁻¹)</w:t>
      </w:r>
      <w:r w:rsidR="00066031" w:rsidRPr="00F207B4">
        <w:rPr>
          <w:lang w:val="en-GB"/>
        </w:rPr>
        <w:t>,</w:t>
      </w:r>
      <w:r w:rsidR="00D50AE4" w:rsidRPr="00F207B4">
        <w:rPr>
          <w:lang w:val="en-GB"/>
        </w:rPr>
        <w:t xml:space="preserve"> </w:t>
      </w:r>
      <w:r w:rsidRPr="00F207B4">
        <w:rPr>
          <w:lang w:val="en-GB"/>
        </w:rPr>
        <w:t>wood (0.15 W.m⁻¹.K⁻¹)</w:t>
      </w:r>
      <w:r w:rsidR="00066031" w:rsidRPr="00F207B4">
        <w:rPr>
          <w:lang w:val="en-GB"/>
        </w:rPr>
        <w:t xml:space="preserve"> and</w:t>
      </w:r>
      <w:r w:rsidRPr="00F207B4">
        <w:rPr>
          <w:lang w:val="en-GB"/>
        </w:rPr>
        <w:t xml:space="preserve"> </w:t>
      </w:r>
      <w:r w:rsidR="00066031" w:rsidRPr="00F207B4">
        <w:rPr>
          <w:lang w:val="en-GB"/>
        </w:rPr>
        <w:t xml:space="preserve">HDPE liners (0.43 W.m⁻¹.K⁻¹) </w:t>
      </w:r>
      <w:r w:rsidRPr="00F207B4">
        <w:rPr>
          <w:lang w:val="en-GB"/>
        </w:rPr>
        <w:t>[4].</w:t>
      </w:r>
      <w:r w:rsidR="00066031" w:rsidRPr="00F207B4">
        <w:rPr>
          <w:lang w:val="en-GB"/>
        </w:rPr>
        <w:t xml:space="preserve"> </w:t>
      </w:r>
    </w:p>
    <w:p w14:paraId="2AF91475" w14:textId="4812251F" w:rsidR="009653B6" w:rsidRPr="00F207B4" w:rsidRDefault="009653B6" w:rsidP="009653B6">
      <w:pPr>
        <w:pStyle w:val="SWCTableFigureCaption"/>
        <w:rPr>
          <w:lang w:val="en-GB"/>
        </w:rPr>
      </w:pPr>
      <w:r w:rsidRPr="00F207B4">
        <w:rPr>
          <w:lang w:val="en-GB"/>
        </w:rPr>
        <w:t>Tab.3: Parameter ranges considered for the sensitivity analysis</w:t>
      </w:r>
    </w:p>
    <w:tbl>
      <w:tblPr>
        <w:tblStyle w:val="Grilledutableau"/>
        <w:tblW w:w="9143" w:type="dxa"/>
        <w:jc w:val="center"/>
        <w:tblLayout w:type="fixed"/>
        <w:tblLook w:val="04A0" w:firstRow="1" w:lastRow="0" w:firstColumn="1" w:lastColumn="0" w:noHBand="0" w:noVBand="1"/>
      </w:tblPr>
      <w:tblGrid>
        <w:gridCol w:w="1433"/>
        <w:gridCol w:w="816"/>
        <w:gridCol w:w="1007"/>
        <w:gridCol w:w="1107"/>
        <w:gridCol w:w="1433"/>
        <w:gridCol w:w="1134"/>
        <w:gridCol w:w="1092"/>
        <w:gridCol w:w="1121"/>
      </w:tblGrid>
      <w:tr w:rsidR="00FF2BD2" w:rsidRPr="00F207B4" w14:paraId="52F34654" w14:textId="77777777" w:rsidTr="00FF2BD2">
        <w:trPr>
          <w:jc w:val="center"/>
        </w:trPr>
        <w:tc>
          <w:tcPr>
            <w:tcW w:w="1433" w:type="dxa"/>
            <w:vAlign w:val="center"/>
          </w:tcPr>
          <w:p w14:paraId="33CF2616" w14:textId="0EAFCDC1" w:rsidR="00FF2BD2" w:rsidRPr="00F207B4" w:rsidRDefault="00FF2BD2" w:rsidP="004474DD">
            <w:pPr>
              <w:pStyle w:val="SWCTableText"/>
            </w:pPr>
            <w:r w:rsidRPr="00F207B4">
              <w:t>Scenarios</w:t>
            </w:r>
          </w:p>
        </w:tc>
        <w:tc>
          <w:tcPr>
            <w:tcW w:w="816" w:type="dxa"/>
            <w:vAlign w:val="center"/>
          </w:tcPr>
          <w:p w14:paraId="4C82E0D1" w14:textId="77777777" w:rsidR="00FF2BD2" w:rsidRPr="00F207B4" w:rsidRDefault="00FF2BD2" w:rsidP="004474DD">
            <w:pPr>
              <w:pStyle w:val="SWCTableText"/>
            </w:pPr>
            <w:r w:rsidRPr="00F207B4">
              <w:t>1, 2, 3</w:t>
            </w:r>
          </w:p>
        </w:tc>
        <w:tc>
          <w:tcPr>
            <w:tcW w:w="1007" w:type="dxa"/>
            <w:vAlign w:val="center"/>
          </w:tcPr>
          <w:p w14:paraId="53F79761" w14:textId="77777777" w:rsidR="00FF2BD2" w:rsidRPr="00F207B4" w:rsidRDefault="00FF2BD2" w:rsidP="004474DD">
            <w:pPr>
              <w:pStyle w:val="SWCTableText"/>
            </w:pPr>
            <w:r w:rsidRPr="00F207B4">
              <w:t>1, 2, 3</w:t>
            </w:r>
          </w:p>
        </w:tc>
        <w:tc>
          <w:tcPr>
            <w:tcW w:w="1107" w:type="dxa"/>
            <w:vAlign w:val="center"/>
          </w:tcPr>
          <w:p w14:paraId="5C773BD4" w14:textId="77777777" w:rsidR="00FF2BD2" w:rsidRPr="00F207B4" w:rsidRDefault="00FF2BD2" w:rsidP="004474DD">
            <w:pPr>
              <w:pStyle w:val="SWCTableText"/>
            </w:pPr>
            <w:r w:rsidRPr="00F207B4">
              <w:t>1, 2, 3</w:t>
            </w:r>
          </w:p>
        </w:tc>
        <w:tc>
          <w:tcPr>
            <w:tcW w:w="1433" w:type="dxa"/>
            <w:vAlign w:val="center"/>
          </w:tcPr>
          <w:p w14:paraId="653F1AD1" w14:textId="77777777" w:rsidR="00FF2BD2" w:rsidRPr="00F207B4" w:rsidRDefault="00FF2BD2" w:rsidP="004474DD">
            <w:pPr>
              <w:pStyle w:val="SWCTableText"/>
            </w:pPr>
            <w:r w:rsidRPr="00F207B4">
              <w:t>1, 2, 3</w:t>
            </w:r>
          </w:p>
        </w:tc>
        <w:tc>
          <w:tcPr>
            <w:tcW w:w="1134" w:type="dxa"/>
            <w:vAlign w:val="center"/>
          </w:tcPr>
          <w:p w14:paraId="40F4A5DB" w14:textId="77777777" w:rsidR="00FF2BD2" w:rsidRPr="00F207B4" w:rsidRDefault="00FF2BD2" w:rsidP="004474DD">
            <w:pPr>
              <w:pStyle w:val="SWCTableText"/>
            </w:pPr>
            <w:r w:rsidRPr="00F207B4">
              <w:t>1, 2, 3</w:t>
            </w:r>
          </w:p>
        </w:tc>
        <w:tc>
          <w:tcPr>
            <w:tcW w:w="1092" w:type="dxa"/>
            <w:vAlign w:val="center"/>
          </w:tcPr>
          <w:p w14:paraId="048BABE9" w14:textId="77777777" w:rsidR="00FF2BD2" w:rsidRPr="00F207B4" w:rsidRDefault="00FF2BD2" w:rsidP="004474DD">
            <w:pPr>
              <w:pStyle w:val="SWCTableText"/>
            </w:pPr>
            <w:r w:rsidRPr="00F207B4">
              <w:t>1, 2</w:t>
            </w:r>
          </w:p>
        </w:tc>
        <w:tc>
          <w:tcPr>
            <w:tcW w:w="1121" w:type="dxa"/>
            <w:vAlign w:val="center"/>
          </w:tcPr>
          <w:p w14:paraId="7D4ECBF4" w14:textId="77777777" w:rsidR="00FF2BD2" w:rsidRPr="00F207B4" w:rsidRDefault="00FF2BD2" w:rsidP="004474DD">
            <w:pPr>
              <w:pStyle w:val="SWCTableText"/>
            </w:pPr>
            <w:r w:rsidRPr="00F207B4">
              <w:t>1, 2</w:t>
            </w:r>
          </w:p>
        </w:tc>
      </w:tr>
      <w:tr w:rsidR="00FF2BD2" w:rsidRPr="00F207B4" w14:paraId="387206F0" w14:textId="77777777" w:rsidTr="00FF2BD2">
        <w:trPr>
          <w:jc w:val="center"/>
        </w:trPr>
        <w:tc>
          <w:tcPr>
            <w:tcW w:w="1433" w:type="dxa"/>
            <w:vAlign w:val="center"/>
          </w:tcPr>
          <w:p w14:paraId="59DDD390" w14:textId="77777777" w:rsidR="00FF2BD2" w:rsidRPr="00F207B4" w:rsidRDefault="00FF2BD2" w:rsidP="004474DD">
            <w:pPr>
              <w:pStyle w:val="SWCTableText"/>
            </w:pPr>
            <w:r w:rsidRPr="00F207B4">
              <w:t>Variable</w:t>
            </w:r>
          </w:p>
        </w:tc>
        <w:tc>
          <w:tcPr>
            <w:tcW w:w="816" w:type="dxa"/>
            <w:vAlign w:val="center"/>
          </w:tcPr>
          <w:p w14:paraId="577AC111" w14:textId="77777777" w:rsidR="00FF2BD2" w:rsidRPr="00F207B4" w:rsidRDefault="00FF2BD2" w:rsidP="004474DD">
            <w:pPr>
              <w:pStyle w:val="SWCTableText"/>
              <w:rPr>
                <w:vertAlign w:val="subscript"/>
              </w:rPr>
            </w:pPr>
            <w:proofErr w:type="spellStart"/>
            <w:r w:rsidRPr="00F207B4">
              <w:t>N</w:t>
            </w:r>
            <w:r w:rsidRPr="00F207B4">
              <w:rPr>
                <w:vertAlign w:val="subscript"/>
              </w:rPr>
              <w:t>tube</w:t>
            </w:r>
            <w:proofErr w:type="spellEnd"/>
          </w:p>
        </w:tc>
        <w:tc>
          <w:tcPr>
            <w:tcW w:w="1007" w:type="dxa"/>
            <w:vAlign w:val="center"/>
          </w:tcPr>
          <w:p w14:paraId="1B4D8E2F" w14:textId="77777777" w:rsidR="00FF2BD2" w:rsidRPr="00F207B4" w:rsidRDefault="00FF2BD2" w:rsidP="004474DD">
            <w:pPr>
              <w:pStyle w:val="SWCTableText"/>
            </w:pPr>
            <w:proofErr w:type="spellStart"/>
            <w:r w:rsidRPr="00F207B4">
              <w:t>d</w:t>
            </w:r>
            <w:r w:rsidRPr="00F207B4">
              <w:rPr>
                <w:vertAlign w:val="subscript"/>
              </w:rPr>
              <w:t>tube</w:t>
            </w:r>
            <w:proofErr w:type="spellEnd"/>
            <w:r w:rsidRPr="00F207B4">
              <w:t xml:space="preserve"> (m)</w:t>
            </w:r>
          </w:p>
        </w:tc>
        <w:tc>
          <w:tcPr>
            <w:tcW w:w="1107" w:type="dxa"/>
            <w:vAlign w:val="center"/>
          </w:tcPr>
          <w:p w14:paraId="09544EDC" w14:textId="55E65FA8" w:rsidR="00FF2BD2" w:rsidRPr="00F207B4" w:rsidRDefault="00FF2BD2" w:rsidP="004474DD">
            <w:pPr>
              <w:pStyle w:val="SWCTableText"/>
            </w:pPr>
            <w:proofErr w:type="spellStart"/>
            <w:r w:rsidRPr="00F207B4">
              <w:t>e</w:t>
            </w:r>
            <w:r w:rsidRPr="00F207B4">
              <w:rPr>
                <w:vertAlign w:val="subscript"/>
              </w:rPr>
              <w:t>ins</w:t>
            </w:r>
            <w:proofErr w:type="spellEnd"/>
            <w:r w:rsidRPr="00F207B4">
              <w:t xml:space="preserve"> (m)</w:t>
            </w:r>
          </w:p>
        </w:tc>
        <w:tc>
          <w:tcPr>
            <w:tcW w:w="1433" w:type="dxa"/>
            <w:vAlign w:val="center"/>
          </w:tcPr>
          <w:p w14:paraId="026200BA" w14:textId="330CC9C9" w:rsidR="00FF2BD2" w:rsidRPr="00F207B4" w:rsidRDefault="00FF2BD2" w:rsidP="004474DD">
            <w:pPr>
              <w:pStyle w:val="SWCTableText"/>
            </w:pPr>
            <w:proofErr w:type="spellStart"/>
            <w:r w:rsidRPr="00F207B4">
              <w:t>n</w:t>
            </w:r>
            <w:r w:rsidRPr="00F207B4">
              <w:rPr>
                <w:vertAlign w:val="subscript"/>
              </w:rPr>
              <w:t>ins</w:t>
            </w:r>
            <w:proofErr w:type="spellEnd"/>
          </w:p>
        </w:tc>
        <w:tc>
          <w:tcPr>
            <w:tcW w:w="1134" w:type="dxa"/>
            <w:vAlign w:val="center"/>
          </w:tcPr>
          <w:p w14:paraId="04C298E5" w14:textId="656D485B" w:rsidR="00FF2BD2" w:rsidRPr="00F207B4" w:rsidRDefault="00FF2BD2" w:rsidP="004474DD">
            <w:pPr>
              <w:pStyle w:val="SWCTableText"/>
            </w:pPr>
            <w:proofErr w:type="spellStart"/>
            <w:r w:rsidRPr="00F207B4">
              <w:t>e</w:t>
            </w:r>
            <w:r w:rsidRPr="00F207B4">
              <w:rPr>
                <w:vertAlign w:val="subscript"/>
              </w:rPr>
              <w:t>ground</w:t>
            </w:r>
            <w:proofErr w:type="spellEnd"/>
            <w:r w:rsidRPr="00F207B4">
              <w:t xml:space="preserve"> (m)</w:t>
            </w:r>
          </w:p>
        </w:tc>
        <w:tc>
          <w:tcPr>
            <w:tcW w:w="1092" w:type="dxa"/>
            <w:vAlign w:val="center"/>
          </w:tcPr>
          <w:p w14:paraId="38703AF2" w14:textId="3D34100B" w:rsidR="00FF2BD2" w:rsidRPr="00F207B4" w:rsidRDefault="00FF2BD2" w:rsidP="004474DD">
            <w:pPr>
              <w:pStyle w:val="SWCTableText"/>
            </w:pPr>
            <w:proofErr w:type="spellStart"/>
            <w:proofErr w:type="gramStart"/>
            <w:r w:rsidRPr="00F207B4">
              <w:t>T</w:t>
            </w:r>
            <w:r w:rsidRPr="00F207B4">
              <w:rPr>
                <w:vertAlign w:val="subscript"/>
              </w:rPr>
              <w:t>in,ch</w:t>
            </w:r>
            <w:proofErr w:type="spellEnd"/>
            <w:proofErr w:type="gramEnd"/>
            <w:r w:rsidRPr="00F207B4">
              <w:t xml:space="preserve"> (°C)</w:t>
            </w:r>
          </w:p>
        </w:tc>
        <w:tc>
          <w:tcPr>
            <w:tcW w:w="1121" w:type="dxa"/>
            <w:vAlign w:val="center"/>
          </w:tcPr>
          <w:p w14:paraId="449237C3" w14:textId="1054EB17" w:rsidR="00FF2BD2" w:rsidRPr="00F207B4" w:rsidRDefault="00FF2BD2" w:rsidP="004474DD">
            <w:pPr>
              <w:pStyle w:val="SWCTableText"/>
            </w:pPr>
            <w:proofErr w:type="spellStart"/>
            <w:proofErr w:type="gramStart"/>
            <w:r w:rsidRPr="00F207B4">
              <w:t>T</w:t>
            </w:r>
            <w:r w:rsidRPr="00F207B4">
              <w:rPr>
                <w:vertAlign w:val="subscript"/>
              </w:rPr>
              <w:t>in,dis</w:t>
            </w:r>
            <w:proofErr w:type="spellEnd"/>
            <w:proofErr w:type="gramEnd"/>
            <w:r w:rsidRPr="00F207B4">
              <w:t xml:space="preserve"> (°C)</w:t>
            </w:r>
          </w:p>
        </w:tc>
      </w:tr>
      <w:tr w:rsidR="00FF2BD2" w:rsidRPr="00F207B4" w14:paraId="7FACA698" w14:textId="77777777" w:rsidTr="00FF2BD2">
        <w:trPr>
          <w:jc w:val="center"/>
        </w:trPr>
        <w:tc>
          <w:tcPr>
            <w:tcW w:w="1433" w:type="dxa"/>
            <w:vAlign w:val="center"/>
          </w:tcPr>
          <w:p w14:paraId="0980E987" w14:textId="35965CC8" w:rsidR="00FF2BD2" w:rsidRPr="00F207B4" w:rsidRDefault="00FF2BD2" w:rsidP="004474DD">
            <w:pPr>
              <w:pStyle w:val="SWCTableText"/>
            </w:pPr>
            <w:r w:rsidRPr="00F207B4">
              <w:t>Global ranges</w:t>
            </w:r>
          </w:p>
        </w:tc>
        <w:tc>
          <w:tcPr>
            <w:tcW w:w="816" w:type="dxa"/>
            <w:vAlign w:val="center"/>
          </w:tcPr>
          <w:p w14:paraId="50AD3DC0" w14:textId="5BE9046B" w:rsidR="00FF2BD2" w:rsidRPr="00F207B4" w:rsidRDefault="00FF2BD2" w:rsidP="004474DD">
            <w:pPr>
              <w:pStyle w:val="SWCTableText"/>
            </w:pPr>
            <w:r w:rsidRPr="00F207B4">
              <w:t>1 to 5</w:t>
            </w:r>
          </w:p>
        </w:tc>
        <w:tc>
          <w:tcPr>
            <w:tcW w:w="1007" w:type="dxa"/>
            <w:vAlign w:val="center"/>
          </w:tcPr>
          <w:p w14:paraId="2126C48C" w14:textId="423576A3" w:rsidR="00FF2BD2" w:rsidRPr="00F207B4" w:rsidRDefault="00FF2BD2" w:rsidP="004474DD">
            <w:pPr>
              <w:pStyle w:val="SWCTableText"/>
            </w:pPr>
            <w:r w:rsidRPr="00F207B4">
              <w:t>0.15 to 1.5 *</w:t>
            </w:r>
          </w:p>
        </w:tc>
        <w:tc>
          <w:tcPr>
            <w:tcW w:w="1107" w:type="dxa"/>
            <w:vAlign w:val="center"/>
          </w:tcPr>
          <w:p w14:paraId="674EE182" w14:textId="7BDFB6EA" w:rsidR="00FF2BD2" w:rsidRPr="00F207B4" w:rsidRDefault="00FF2BD2" w:rsidP="004474DD">
            <w:pPr>
              <w:pStyle w:val="SWCTableText"/>
            </w:pPr>
            <w:r w:rsidRPr="00F207B4">
              <w:t>0.01 to 0.35 *</w:t>
            </w:r>
          </w:p>
        </w:tc>
        <w:tc>
          <w:tcPr>
            <w:tcW w:w="1433" w:type="dxa"/>
            <w:vAlign w:val="center"/>
          </w:tcPr>
          <w:p w14:paraId="582E3056" w14:textId="647238F3" w:rsidR="00FF2BD2" w:rsidRPr="00F207B4" w:rsidRDefault="00FF2BD2" w:rsidP="004474DD">
            <w:pPr>
              <w:pStyle w:val="SWCTableText"/>
            </w:pPr>
            <w:r w:rsidRPr="00F207B4">
              <w:t>10 insulations</w:t>
            </w:r>
          </w:p>
        </w:tc>
        <w:tc>
          <w:tcPr>
            <w:tcW w:w="1134" w:type="dxa"/>
            <w:vAlign w:val="center"/>
          </w:tcPr>
          <w:p w14:paraId="7F013399" w14:textId="05911B9A" w:rsidR="00FF2BD2" w:rsidRPr="00F207B4" w:rsidRDefault="00FF2BD2" w:rsidP="004474DD">
            <w:pPr>
              <w:pStyle w:val="SWCTableText"/>
            </w:pPr>
            <w:r w:rsidRPr="00F207B4">
              <w:t>0.1 to 0.4</w:t>
            </w:r>
          </w:p>
        </w:tc>
        <w:tc>
          <w:tcPr>
            <w:tcW w:w="1092" w:type="dxa"/>
            <w:vAlign w:val="center"/>
          </w:tcPr>
          <w:p w14:paraId="6C25650C" w14:textId="69EA4D90" w:rsidR="00FF2BD2" w:rsidRPr="00F207B4" w:rsidRDefault="00FF2BD2" w:rsidP="004474DD">
            <w:pPr>
              <w:pStyle w:val="SWCTableText"/>
            </w:pPr>
            <w:r w:rsidRPr="00F207B4">
              <w:t>30 to 100</w:t>
            </w:r>
          </w:p>
        </w:tc>
        <w:tc>
          <w:tcPr>
            <w:tcW w:w="1121" w:type="dxa"/>
            <w:vAlign w:val="center"/>
          </w:tcPr>
          <w:p w14:paraId="71A26FEC" w14:textId="28EA2107" w:rsidR="00FF2BD2" w:rsidRPr="00F207B4" w:rsidRDefault="00FF2BD2" w:rsidP="004474DD">
            <w:pPr>
              <w:pStyle w:val="SWCTableText"/>
            </w:pPr>
            <w:r w:rsidRPr="00F207B4">
              <w:t>5 to 25</w:t>
            </w:r>
          </w:p>
        </w:tc>
      </w:tr>
    </w:tbl>
    <w:p w14:paraId="150838B8" w14:textId="77777777" w:rsidR="0086758F" w:rsidRPr="00F207B4" w:rsidRDefault="00885DAA" w:rsidP="00885DAA">
      <w:pPr>
        <w:pStyle w:val="SWCHeading11"/>
        <w:spacing w:before="0"/>
        <w:jc w:val="both"/>
        <w:rPr>
          <w:rFonts w:ascii="Times New Roman" w:hAnsi="Times New Roman"/>
          <w:i w:val="0"/>
          <w:sz w:val="16"/>
        </w:rPr>
      </w:pPr>
      <w:r w:rsidRPr="00F207B4">
        <w:rPr>
          <w:rFonts w:ascii="Times New Roman" w:hAnsi="Times New Roman"/>
          <w:i w:val="0"/>
          <w:sz w:val="16"/>
        </w:rPr>
        <w:t xml:space="preserve">* </w:t>
      </w:r>
      <w:r w:rsidR="0086758F" w:rsidRPr="00F207B4">
        <w:rPr>
          <w:rFonts w:ascii="Times New Roman" w:hAnsi="Times New Roman"/>
          <w:i w:val="0"/>
          <w:sz w:val="16"/>
        </w:rPr>
        <w:t xml:space="preserve">Configuration-dependent ranges adjusted according to the number of tubes and the fixed dimensions of the HUTES. Values reported in the table represent the global bounds across all configurations. </w:t>
      </w:r>
    </w:p>
    <w:p w14:paraId="066D926A" w14:textId="6B1F7796" w:rsidR="00DB3157" w:rsidRPr="00F207B4" w:rsidRDefault="00DB3157" w:rsidP="00DB3157">
      <w:pPr>
        <w:pStyle w:val="SWCHeading11"/>
        <w:jc w:val="both"/>
        <w:rPr>
          <w:rFonts w:ascii="Times New Roman" w:hAnsi="Times New Roman"/>
          <w:i w:val="0"/>
        </w:rPr>
      </w:pPr>
      <w:r w:rsidRPr="00F207B4">
        <w:rPr>
          <w:rFonts w:ascii="Times New Roman" w:hAnsi="Times New Roman"/>
          <w:i w:val="0"/>
        </w:rPr>
        <w:t>Two distinct and complementary methods, drawn from Python’s SALib library</w:t>
      </w:r>
      <w:r w:rsidR="009A6F3F" w:rsidRPr="00F207B4">
        <w:rPr>
          <w:rFonts w:ascii="Times New Roman" w:hAnsi="Times New Roman"/>
          <w:i w:val="0"/>
        </w:rPr>
        <w:t xml:space="preserve"> </w:t>
      </w:r>
      <w:r w:rsidR="009A6F3F" w:rsidRPr="00F207B4">
        <w:rPr>
          <w:rFonts w:ascii="Times New Roman" w:hAnsi="Times New Roman"/>
          <w:i w:val="0"/>
        </w:rPr>
        <w:fldChar w:fldCharType="begin"/>
      </w:r>
      <w:r w:rsidR="009A6F3F" w:rsidRPr="00F207B4">
        <w:rPr>
          <w:rFonts w:ascii="Times New Roman" w:hAnsi="Times New Roman"/>
          <w:i w:val="0"/>
        </w:rPr>
        <w:instrText xml:space="preserve"> ADDIN ZOTERO_ITEM CSL_CITATION {"citationID":"88eA2z2b","properties":{"unsorted":false,"formattedCitation":"(Iwanaga et al., 2022)","plainCitation":"(Iwanaga et al., 2022)","noteIndex":0},"citationItems":[{"id":3987,"uris":["http://zotero.org/users/3532167/items/7IUMSS78"],"itemData":{"id":3987,"type":"article-journal","abstract":"Sensitivity analysis is now considered a standard practice in environmental modeling. Several open-source libraries, such as the Sensitivity Analysis Library (SALib), have been published in the recent past aimed at simplifying the application of sensitivity analyses. Still, there remain issues in software usability and accessibility, as well as a lack of guidance in the interpretation of sensitivity analysis results. This paper describes the changes made and planned to SALib to advance the ease with which modelers may conduct sensitivity analysis and interpret results. We further offer our perspectives from the past 7 years of maintaining SALib for the consideration of those aspiring to launch their own software for sensitivity analysis, develop methodology, or those otherwise interested in becoming involved in a project like SALib. These include the value of a community of practice to foster best practices for sensitivity analysis, the potential for collaboration across different software (for sensitivity analysis) platforms, and the need to specifically support the software development that underpins computational science.","container-title":"Socio-Environmental Systems Modelling","DOI":"10.18174/sesmo.18155","ISSN":"2663-3027","language":"en","license":"Copyright (c) 2022 Takuya Iwanaga, Will Usher, Jon Herman","page":"18155-18155","source":"sesmo.org","title":"Toward SALib 2.0: Advancing the accessibility and interpretability of global sensitivity analyses","title-short":"Toward SALib 2.0","volume":"4","author":[{"family":"Iwanaga","given":"Takuya"},{"family":"Usher","given":"William"},{"family":"Herman","given":"Jonathan"}],"issued":{"date-parts":[["2022",5,31]]}}}],"schema":"https://github.com/citation-style-language/schema/raw/master/csl-citation.json"} </w:instrText>
      </w:r>
      <w:r w:rsidR="009A6F3F" w:rsidRPr="00F207B4">
        <w:rPr>
          <w:rFonts w:ascii="Times New Roman" w:hAnsi="Times New Roman"/>
          <w:i w:val="0"/>
        </w:rPr>
        <w:fldChar w:fldCharType="separate"/>
      </w:r>
      <w:r w:rsidR="009A6F3F" w:rsidRPr="00F207B4">
        <w:rPr>
          <w:rFonts w:ascii="Times New Roman" w:hAnsi="Times New Roman"/>
          <w:i w:val="0"/>
        </w:rPr>
        <w:t>(Iwanaga et al., 2022)</w:t>
      </w:r>
      <w:r w:rsidR="009A6F3F" w:rsidRPr="00F207B4">
        <w:rPr>
          <w:rFonts w:ascii="Times New Roman" w:hAnsi="Times New Roman"/>
          <w:i w:val="0"/>
        </w:rPr>
        <w:fldChar w:fldCharType="end"/>
      </w:r>
      <w:r w:rsidRPr="00F207B4">
        <w:rPr>
          <w:rFonts w:ascii="Times New Roman" w:hAnsi="Times New Roman"/>
          <w:i w:val="0"/>
        </w:rPr>
        <w:t>, were used to carry out this parametric study:</w:t>
      </w:r>
    </w:p>
    <w:p w14:paraId="7779F649" w14:textId="15AA576A" w:rsidR="00420287" w:rsidRPr="00F207B4" w:rsidRDefault="00DB3157" w:rsidP="00DB3157">
      <w:pPr>
        <w:pStyle w:val="SWCHeading11"/>
        <w:numPr>
          <w:ilvl w:val="0"/>
          <w:numId w:val="29"/>
        </w:numPr>
        <w:jc w:val="both"/>
        <w:rPr>
          <w:rFonts w:ascii="Times New Roman" w:hAnsi="Times New Roman"/>
          <w:i w:val="0"/>
        </w:rPr>
      </w:pPr>
      <w:r w:rsidRPr="00F207B4">
        <w:rPr>
          <w:rFonts w:ascii="Times New Roman" w:hAnsi="Times New Roman"/>
          <w:b/>
          <w:i w:val="0"/>
        </w:rPr>
        <w:t>Morris method</w:t>
      </w:r>
      <w:r w:rsidR="00957FE8" w:rsidRPr="00F207B4">
        <w:rPr>
          <w:rFonts w:ascii="Times New Roman" w:hAnsi="Times New Roman"/>
          <w:b/>
          <w:i w:val="0"/>
        </w:rPr>
        <w:t xml:space="preserve"> </w:t>
      </w:r>
      <w:r w:rsidR="00957FE8" w:rsidRPr="00F207B4">
        <w:rPr>
          <w:rFonts w:ascii="Times New Roman" w:hAnsi="Times New Roman"/>
          <w:b/>
          <w:i w:val="0"/>
        </w:rPr>
        <w:fldChar w:fldCharType="begin"/>
      </w:r>
      <w:r w:rsidR="00957FE8" w:rsidRPr="00F207B4">
        <w:rPr>
          <w:rFonts w:ascii="Times New Roman" w:hAnsi="Times New Roman"/>
          <w:b/>
          <w:i w:val="0"/>
        </w:rPr>
        <w:instrText xml:space="preserve"> ADDIN ZOTERO_ITEM CSL_CITATION {"citationID":"ypz9TqJW","properties":{"unsorted":false,"formattedCitation":"(Morris, 1991)","plainCitation":"(Morris, 1991)","noteIndex":0},"citationItems":[{"id":3981,"uris":["http://zotero.org/users/3532167/items/JJK2UWDH"],"itemData":{"id":3981,"type":"article-journal","abstract":"A computational model is a representation of some physical or other system of interest, first expressed mathematically and then implemented in the form of a computer program; it may be viewed as a function of inputs that, when evaluated, produces outputs. Motivation for this article comes from computational models that are deterministic, complicated enough to make classical mathematical analysis impractical and that have a moderate-to-large number of inputs. The problem of designing computational experiments to determine which inputs have important effects on an output is considered. The proposed experimental plans are composed of individually randomized one-factor-at-a-time designs, and data analysis is based on the resulting random sample of observed elementary effects, those changes in an output due solely to changes in a particular input. Advantages of this approach include a lack of reliance on assumptions of relative sparsity of important inputs, monotonicity of outputs with respect to inputs, or adequacy of a low-order polynomial as an approximation to the computational model.","container-title":"Technometrics","DOI":"10.1080/00401706.1991.10484804","ISSN":"0040-1706","issue":"2","note":"_eprint: https://www.tandfonline.com/doi/pdf/10.1080/00401706.1991.10484804","page":"161-174","publisher":"Taylor &amp; Francis","source":"Taylor and Francis+NEJM","title":"Factorial Sampling Plans for Preliminary Computational Experiments","volume":"33","author":[{"family":"Morris","given":"Max D."}],"issued":{"date-parts":[["1991",5,1]]}}}],"schema":"https://github.com/citation-style-language/schema/raw/master/csl-citation.json"} </w:instrText>
      </w:r>
      <w:r w:rsidR="00957FE8" w:rsidRPr="00F207B4">
        <w:rPr>
          <w:rFonts w:ascii="Times New Roman" w:hAnsi="Times New Roman"/>
          <w:b/>
          <w:i w:val="0"/>
        </w:rPr>
        <w:fldChar w:fldCharType="separate"/>
      </w:r>
      <w:r w:rsidR="00957FE8" w:rsidRPr="00F207B4">
        <w:rPr>
          <w:rFonts w:ascii="Times New Roman" w:hAnsi="Times New Roman"/>
          <w:i w:val="0"/>
        </w:rPr>
        <w:t>(Morris, 1991)</w:t>
      </w:r>
      <w:r w:rsidR="00957FE8" w:rsidRPr="00F207B4">
        <w:rPr>
          <w:rFonts w:ascii="Times New Roman" w:hAnsi="Times New Roman"/>
          <w:b/>
          <w:i w:val="0"/>
        </w:rPr>
        <w:fldChar w:fldCharType="end"/>
      </w:r>
      <w:r w:rsidRPr="00F207B4">
        <w:rPr>
          <w:rFonts w:ascii="Times New Roman" w:hAnsi="Times New Roman"/>
          <w:i w:val="0"/>
        </w:rPr>
        <w:t xml:space="preserve">: </w:t>
      </w:r>
      <w:r w:rsidR="003746B4" w:rsidRPr="00F207B4">
        <w:rPr>
          <w:rFonts w:ascii="Times New Roman" w:hAnsi="Times New Roman"/>
          <w:i w:val="0"/>
        </w:rPr>
        <w:t>This</w:t>
      </w:r>
      <w:r w:rsidRPr="00F207B4">
        <w:rPr>
          <w:rFonts w:ascii="Times New Roman" w:hAnsi="Times New Roman"/>
          <w:i w:val="0"/>
        </w:rPr>
        <w:t xml:space="preserve"> computationally efficient screening method </w:t>
      </w:r>
      <w:r w:rsidR="006C25C5" w:rsidRPr="00F207B4">
        <w:rPr>
          <w:rFonts w:ascii="Times New Roman" w:hAnsi="Times New Roman"/>
          <w:i w:val="0"/>
        </w:rPr>
        <w:t xml:space="preserve">is </w:t>
      </w:r>
      <w:r w:rsidR="00420287" w:rsidRPr="00F207B4">
        <w:rPr>
          <w:rFonts w:ascii="Times New Roman" w:hAnsi="Times New Roman"/>
          <w:i w:val="0"/>
        </w:rPr>
        <w:t xml:space="preserve">used </w:t>
      </w:r>
      <w:r w:rsidRPr="00F207B4">
        <w:rPr>
          <w:rFonts w:ascii="Times New Roman" w:hAnsi="Times New Roman"/>
          <w:i w:val="0"/>
        </w:rPr>
        <w:t xml:space="preserve">to identify </w:t>
      </w:r>
      <w:r w:rsidR="00420287" w:rsidRPr="00F207B4">
        <w:rPr>
          <w:rFonts w:ascii="Times New Roman" w:hAnsi="Times New Roman"/>
          <w:i w:val="0"/>
        </w:rPr>
        <w:t xml:space="preserve">the most </w:t>
      </w:r>
      <w:r w:rsidRPr="00F207B4">
        <w:rPr>
          <w:rFonts w:ascii="Times New Roman" w:hAnsi="Times New Roman"/>
          <w:i w:val="0"/>
        </w:rPr>
        <w:t xml:space="preserve">influential parameters (whether linear or non-linear) </w:t>
      </w:r>
      <w:r w:rsidR="00420287" w:rsidRPr="00F207B4">
        <w:rPr>
          <w:rFonts w:ascii="Times New Roman" w:hAnsi="Times New Roman"/>
          <w:i w:val="0"/>
        </w:rPr>
        <w:t>and eliminate those with a negligible impact on HUTES</w:t>
      </w:r>
      <w:r w:rsidR="006C25C5" w:rsidRPr="00F207B4">
        <w:rPr>
          <w:rFonts w:ascii="Times New Roman" w:hAnsi="Times New Roman"/>
          <w:i w:val="0"/>
        </w:rPr>
        <w:t xml:space="preserve"> performance</w:t>
      </w:r>
      <w:r w:rsidR="00420287" w:rsidRPr="00F207B4">
        <w:rPr>
          <w:rFonts w:ascii="Times New Roman" w:hAnsi="Times New Roman"/>
          <w:i w:val="0"/>
        </w:rPr>
        <w:t xml:space="preserve">, while limiting the number of simulations. </w:t>
      </w:r>
      <w:r w:rsidR="006C25C5" w:rsidRPr="00F207B4">
        <w:rPr>
          <w:rFonts w:ascii="Times New Roman" w:hAnsi="Times New Roman"/>
          <w:i w:val="0"/>
        </w:rPr>
        <w:t>It</w:t>
      </w:r>
      <w:r w:rsidR="00420287" w:rsidRPr="00F207B4">
        <w:rPr>
          <w:rFonts w:ascii="Times New Roman" w:hAnsi="Times New Roman"/>
          <w:i w:val="0"/>
        </w:rPr>
        <w:t xml:space="preserve"> computes elementary effects by perturbing one parameter at a time throughout the input space. The results are interpreted using two statistical indicators;</w:t>
      </w:r>
    </w:p>
    <w:p w14:paraId="4C56E9ED" w14:textId="111D9C57" w:rsidR="00420287" w:rsidRPr="00F207B4" w:rsidRDefault="00420287" w:rsidP="00420287">
      <w:pPr>
        <w:pStyle w:val="Paragraphedeliste"/>
        <w:numPr>
          <w:ilvl w:val="0"/>
          <w:numId w:val="33"/>
        </w:numPr>
        <w:rPr>
          <w:rFonts w:eastAsia="Times New Roman"/>
          <w:color w:val="000000"/>
          <w:sz w:val="20"/>
          <w:szCs w:val="22"/>
          <w:lang w:val="en-GB" w:eastAsia="de-DE"/>
        </w:rPr>
      </w:pPr>
      <w:r w:rsidRPr="00F207B4">
        <w:rPr>
          <w:rFonts w:eastAsia="Times New Roman"/>
          <w:color w:val="000000"/>
          <w:sz w:val="20"/>
          <w:szCs w:val="22"/>
          <w:lang w:val="en-GB" w:eastAsia="de-DE"/>
        </w:rPr>
        <w:t xml:space="preserve">Mean of the absolute elementary effects </w:t>
      </w:r>
      <w:r w:rsidR="001A62EB" w:rsidRPr="00F207B4">
        <w:rPr>
          <w:rFonts w:eastAsia="Times New Roman"/>
          <w:color w:val="000000"/>
          <w:sz w:val="20"/>
          <w:szCs w:val="22"/>
          <w:lang w:val="en-GB" w:eastAsia="de-DE"/>
        </w:rPr>
        <w:t>(</w:t>
      </w:r>
      <w:r w:rsidRPr="00F207B4">
        <w:rPr>
          <w:rFonts w:eastAsia="Times New Roman"/>
          <w:color w:val="000000"/>
          <w:sz w:val="20"/>
          <w:szCs w:val="22"/>
          <w:lang w:val="en-GB" w:eastAsia="de-DE"/>
        </w:rPr>
        <w:t>µ*</w:t>
      </w:r>
      <w:r w:rsidR="001A62EB" w:rsidRPr="00F207B4">
        <w:rPr>
          <w:rFonts w:eastAsia="Times New Roman"/>
          <w:color w:val="000000"/>
          <w:sz w:val="20"/>
          <w:szCs w:val="22"/>
          <w:lang w:val="en-GB" w:eastAsia="de-DE"/>
        </w:rPr>
        <w:t>)</w:t>
      </w:r>
      <w:r w:rsidRPr="00F207B4">
        <w:rPr>
          <w:rFonts w:eastAsia="Times New Roman"/>
          <w:color w:val="000000"/>
          <w:sz w:val="20"/>
          <w:szCs w:val="22"/>
          <w:lang w:val="en-GB" w:eastAsia="de-DE"/>
        </w:rPr>
        <w:t xml:space="preserve"> quantifies the overall influence of a parameter on the model output. A high µ* </w:t>
      </w:r>
      <w:r w:rsidR="000D5088" w:rsidRPr="00F207B4">
        <w:rPr>
          <w:rFonts w:eastAsia="Times New Roman"/>
          <w:color w:val="000000"/>
          <w:sz w:val="20"/>
          <w:szCs w:val="22"/>
          <w:lang w:val="en-GB" w:eastAsia="de-DE"/>
        </w:rPr>
        <w:t>indicates a strong contribution to the criterion of the sensitivity analysis.</w:t>
      </w:r>
    </w:p>
    <w:p w14:paraId="157DD1EC" w14:textId="77364D0A" w:rsidR="00420287" w:rsidRPr="00F207B4" w:rsidRDefault="000D5088" w:rsidP="00420287">
      <w:pPr>
        <w:pStyle w:val="Paragraphedeliste"/>
        <w:numPr>
          <w:ilvl w:val="0"/>
          <w:numId w:val="33"/>
        </w:numPr>
        <w:rPr>
          <w:rFonts w:eastAsia="Times New Roman"/>
          <w:color w:val="000000"/>
          <w:sz w:val="20"/>
          <w:szCs w:val="22"/>
          <w:lang w:val="en-GB" w:eastAsia="de-DE"/>
        </w:rPr>
      </w:pPr>
      <w:r w:rsidRPr="00F207B4">
        <w:rPr>
          <w:rFonts w:eastAsia="Times New Roman"/>
          <w:color w:val="000000"/>
          <w:sz w:val="20"/>
          <w:szCs w:val="22"/>
          <w:lang w:val="en-GB" w:eastAsia="de-DE"/>
        </w:rPr>
        <w:t xml:space="preserve">Standard deviation of the elementary effects </w:t>
      </w:r>
      <w:r w:rsidR="001A62EB" w:rsidRPr="00F207B4">
        <w:rPr>
          <w:rFonts w:eastAsia="Times New Roman"/>
          <w:color w:val="000000"/>
          <w:sz w:val="20"/>
          <w:szCs w:val="22"/>
          <w:lang w:val="en-GB" w:eastAsia="de-DE"/>
        </w:rPr>
        <w:t>(</w:t>
      </w:r>
      <w:r w:rsidR="00420287" w:rsidRPr="00F207B4">
        <w:rPr>
          <w:rFonts w:eastAsia="Times New Roman"/>
          <w:color w:val="000000"/>
          <w:sz w:val="20"/>
          <w:szCs w:val="22"/>
          <w:lang w:val="en-GB" w:eastAsia="de-DE"/>
        </w:rPr>
        <w:t>σ</w:t>
      </w:r>
      <w:r w:rsidR="001A62EB" w:rsidRPr="00F207B4">
        <w:rPr>
          <w:rFonts w:eastAsia="Times New Roman"/>
          <w:color w:val="000000"/>
          <w:sz w:val="20"/>
          <w:szCs w:val="22"/>
          <w:lang w:val="en-GB" w:eastAsia="de-DE"/>
        </w:rPr>
        <w:t>)</w:t>
      </w:r>
      <w:r w:rsidRPr="00F207B4">
        <w:rPr>
          <w:rFonts w:eastAsia="Times New Roman"/>
          <w:color w:val="000000"/>
          <w:sz w:val="20"/>
          <w:szCs w:val="22"/>
          <w:lang w:val="en-GB" w:eastAsia="de-DE"/>
        </w:rPr>
        <w:t xml:space="preserve"> reflects the variability of the parameter influence. A high</w:t>
      </w:r>
      <w:r w:rsidR="00420287" w:rsidRPr="00F207B4">
        <w:rPr>
          <w:rFonts w:eastAsia="Times New Roman"/>
          <w:color w:val="000000"/>
          <w:sz w:val="20"/>
          <w:szCs w:val="22"/>
          <w:lang w:val="en-GB" w:eastAsia="de-DE"/>
        </w:rPr>
        <w:t xml:space="preserve"> </w:t>
      </w:r>
      <w:r w:rsidRPr="00F207B4">
        <w:rPr>
          <w:rFonts w:eastAsia="Times New Roman"/>
          <w:color w:val="000000"/>
          <w:sz w:val="20"/>
          <w:szCs w:val="22"/>
          <w:lang w:val="en-GB" w:eastAsia="de-DE"/>
        </w:rPr>
        <w:t>σ reveals the presence of non-linear effects, interactions with over parameters, or both.</w:t>
      </w:r>
    </w:p>
    <w:p w14:paraId="2B51BBAD" w14:textId="55859E0F" w:rsidR="000D5088" w:rsidRPr="00F207B4" w:rsidRDefault="000D5088" w:rsidP="000D5088">
      <w:pPr>
        <w:pStyle w:val="Paragraphedeliste"/>
        <w:ind w:left="1080" w:firstLine="0"/>
        <w:rPr>
          <w:rFonts w:eastAsia="Times New Roman"/>
          <w:color w:val="000000"/>
          <w:sz w:val="20"/>
          <w:szCs w:val="22"/>
          <w:lang w:val="en-GB" w:eastAsia="de-DE"/>
        </w:rPr>
      </w:pPr>
      <w:r w:rsidRPr="00F207B4">
        <w:rPr>
          <w:rFonts w:eastAsia="Times New Roman"/>
          <w:color w:val="000000"/>
          <w:sz w:val="20"/>
          <w:szCs w:val="22"/>
          <w:lang w:val="en-GB" w:eastAsia="de-DE"/>
        </w:rPr>
        <w:t>Consequently, parameters exhibiting high μ* and low σ have a strong and nearly linear influence, whereas high values of both μ* and σ indicate influential parameters involved in significant non-linearities or interactions.</w:t>
      </w:r>
    </w:p>
    <w:p w14:paraId="0FA16DF3" w14:textId="23314E52" w:rsidR="00DB3157" w:rsidRPr="00F207B4" w:rsidRDefault="00DB3157" w:rsidP="00DB3157">
      <w:pPr>
        <w:pStyle w:val="SWCHeading11"/>
        <w:numPr>
          <w:ilvl w:val="0"/>
          <w:numId w:val="29"/>
        </w:numPr>
        <w:jc w:val="both"/>
        <w:rPr>
          <w:rFonts w:ascii="Times New Roman" w:hAnsi="Times New Roman"/>
          <w:i w:val="0"/>
        </w:rPr>
      </w:pPr>
      <w:proofErr w:type="spellStart"/>
      <w:r w:rsidRPr="00F207B4">
        <w:rPr>
          <w:rFonts w:ascii="Times New Roman" w:hAnsi="Times New Roman"/>
          <w:b/>
          <w:i w:val="0"/>
        </w:rPr>
        <w:t>Sobol</w:t>
      </w:r>
      <w:proofErr w:type="spellEnd"/>
      <w:r w:rsidRPr="00F207B4">
        <w:rPr>
          <w:rFonts w:ascii="Times New Roman" w:hAnsi="Times New Roman"/>
          <w:b/>
          <w:i w:val="0"/>
        </w:rPr>
        <w:t xml:space="preserve"> method</w:t>
      </w:r>
      <w:r w:rsidR="00957FE8" w:rsidRPr="00F207B4">
        <w:rPr>
          <w:rFonts w:ascii="Times New Roman" w:hAnsi="Times New Roman"/>
          <w:b/>
          <w:i w:val="0"/>
        </w:rPr>
        <w:t xml:space="preserve"> </w:t>
      </w:r>
      <w:r w:rsidR="00957FE8" w:rsidRPr="00F207B4">
        <w:rPr>
          <w:rFonts w:ascii="Times New Roman" w:hAnsi="Times New Roman"/>
          <w:b/>
          <w:i w:val="0"/>
        </w:rPr>
        <w:fldChar w:fldCharType="begin"/>
      </w:r>
      <w:r w:rsidR="00506134" w:rsidRPr="00F207B4">
        <w:rPr>
          <w:rFonts w:ascii="Times New Roman" w:hAnsi="Times New Roman"/>
          <w:b/>
          <w:i w:val="0"/>
        </w:rPr>
        <w:instrText xml:space="preserve"> ADDIN ZOTERO_ITEM CSL_CITATION {"citationID":"Nv4wzMRs","properties":{"unsorted":false,"formattedCitation":"(Sobol, 2001)","plainCitation":"(Sobol, 2001)","noteIndex":0},"citationItems":[{"id":3982,"uris":["http://zotero.org/users/3532167/items/XTW7GG6A"],"itemData":{"id":3982,"type":"article-journal","abstract":"Global sensitivity indices for rather complex mathematical models can be efficiently computed by Monte Carlo (or quasi-Monte Carlo) methods. These indices are used for estimating the influence of individual variables or groups of variables on the model output.","collection-title":"The Second IMACS Seminar on Monte Carlo Methods","container-title":"Mathematics and Computers in Simulation","DOI":"10.1016/S0378-4754(00)00270-6","ISSN":"0378-4754","issue":"1","journalAbbreviation":"Mathematics and Computers in Simulation","page":"271-280","source":"ScienceDirect","title":"Global sensitivity indices for nonlinear mathematical models and their Monte Carlo estimates","volume":"55","author":[{"family":"Sobol","given":"I. M"}],"issued":{"date-parts":[["2001",2,15]]}}}],"schema":"https://github.com/citation-style-language/schema/raw/master/csl-citation.json"} </w:instrText>
      </w:r>
      <w:r w:rsidR="00957FE8" w:rsidRPr="00F207B4">
        <w:rPr>
          <w:rFonts w:ascii="Times New Roman" w:hAnsi="Times New Roman"/>
          <w:b/>
          <w:i w:val="0"/>
        </w:rPr>
        <w:fldChar w:fldCharType="separate"/>
      </w:r>
      <w:r w:rsidR="00506134" w:rsidRPr="00F207B4">
        <w:rPr>
          <w:rFonts w:ascii="Times New Roman" w:hAnsi="Times New Roman"/>
          <w:i w:val="0"/>
        </w:rPr>
        <w:t>(Sobol, 2001)</w:t>
      </w:r>
      <w:r w:rsidR="00957FE8" w:rsidRPr="00F207B4">
        <w:rPr>
          <w:rFonts w:ascii="Times New Roman" w:hAnsi="Times New Roman"/>
          <w:b/>
          <w:i w:val="0"/>
        </w:rPr>
        <w:fldChar w:fldCharType="end"/>
      </w:r>
      <w:r w:rsidRPr="00F207B4">
        <w:rPr>
          <w:rFonts w:ascii="Times New Roman" w:hAnsi="Times New Roman"/>
          <w:i w:val="0"/>
        </w:rPr>
        <w:t xml:space="preserve">: </w:t>
      </w:r>
      <w:r w:rsidR="006C25C5" w:rsidRPr="00F207B4">
        <w:rPr>
          <w:rFonts w:ascii="Times New Roman" w:hAnsi="Times New Roman"/>
          <w:i w:val="0"/>
        </w:rPr>
        <w:t>This variance-based method quantifies the contribution of each input parameter to the output</w:t>
      </w:r>
      <w:r w:rsidR="00587B9D" w:rsidRPr="00F207B4">
        <w:rPr>
          <w:rFonts w:ascii="Times New Roman" w:hAnsi="Times New Roman"/>
          <w:i w:val="0"/>
        </w:rPr>
        <w:t xml:space="preserve"> variance and</w:t>
      </w:r>
      <w:r w:rsidR="006C25C5" w:rsidRPr="00F207B4">
        <w:rPr>
          <w:rFonts w:ascii="Times New Roman" w:hAnsi="Times New Roman"/>
          <w:i w:val="0"/>
        </w:rPr>
        <w:t xml:space="preserve"> distinguish</w:t>
      </w:r>
      <w:r w:rsidR="00587B9D" w:rsidRPr="00F207B4">
        <w:rPr>
          <w:rFonts w:ascii="Times New Roman" w:hAnsi="Times New Roman"/>
          <w:i w:val="0"/>
        </w:rPr>
        <w:t>es</w:t>
      </w:r>
      <w:r w:rsidR="006C25C5" w:rsidRPr="00F207B4">
        <w:rPr>
          <w:rFonts w:ascii="Times New Roman" w:hAnsi="Times New Roman"/>
          <w:i w:val="0"/>
        </w:rPr>
        <w:t xml:space="preserve"> individual effects from interaction effects </w:t>
      </w:r>
      <w:r w:rsidR="00587B9D" w:rsidRPr="00F207B4">
        <w:rPr>
          <w:rFonts w:ascii="Times New Roman" w:hAnsi="Times New Roman"/>
          <w:i w:val="0"/>
        </w:rPr>
        <w:t>from interactions and</w:t>
      </w:r>
      <w:r w:rsidR="006C25C5" w:rsidRPr="00F207B4">
        <w:rPr>
          <w:rFonts w:ascii="Times New Roman" w:hAnsi="Times New Roman"/>
          <w:i w:val="0"/>
        </w:rPr>
        <w:t xml:space="preserve"> non-linear </w:t>
      </w:r>
      <w:r w:rsidR="00587B9D" w:rsidRPr="00F207B4">
        <w:rPr>
          <w:rFonts w:ascii="Times New Roman" w:hAnsi="Times New Roman"/>
          <w:i w:val="0"/>
        </w:rPr>
        <w:t>effects</w:t>
      </w:r>
      <w:r w:rsidR="006C25C5" w:rsidRPr="00F207B4">
        <w:rPr>
          <w:rFonts w:ascii="Times New Roman" w:hAnsi="Times New Roman"/>
          <w:i w:val="0"/>
        </w:rPr>
        <w:t xml:space="preserve">. </w:t>
      </w:r>
      <w:r w:rsidR="001C7747" w:rsidRPr="00F207B4">
        <w:rPr>
          <w:rFonts w:ascii="Times New Roman" w:hAnsi="Times New Roman"/>
          <w:i w:val="0"/>
        </w:rPr>
        <w:t>Three complementary sensitivity indices are considered:</w:t>
      </w:r>
    </w:p>
    <w:p w14:paraId="6BBFB182" w14:textId="6C5F1435" w:rsidR="000D5088" w:rsidRPr="00F207B4" w:rsidRDefault="000D5088" w:rsidP="000D5088">
      <w:pPr>
        <w:pStyle w:val="Paragraphedeliste"/>
        <w:numPr>
          <w:ilvl w:val="0"/>
          <w:numId w:val="33"/>
        </w:numPr>
        <w:rPr>
          <w:rFonts w:eastAsia="Times New Roman"/>
          <w:color w:val="000000"/>
          <w:sz w:val="20"/>
          <w:szCs w:val="22"/>
          <w:lang w:val="en-GB" w:eastAsia="de-DE"/>
        </w:rPr>
      </w:pPr>
      <w:r w:rsidRPr="00F207B4">
        <w:rPr>
          <w:rFonts w:eastAsia="Times New Roman"/>
          <w:bCs/>
          <w:color w:val="000000"/>
          <w:sz w:val="20"/>
          <w:szCs w:val="22"/>
          <w:lang w:val="en-GB" w:eastAsia="de-DE"/>
        </w:rPr>
        <w:lastRenderedPageBreak/>
        <w:t>First-order index (S₁)</w:t>
      </w:r>
      <w:r w:rsidRPr="00F207B4">
        <w:rPr>
          <w:rFonts w:eastAsia="Times New Roman"/>
          <w:color w:val="000000"/>
          <w:sz w:val="20"/>
          <w:szCs w:val="22"/>
          <w:lang w:val="en-GB" w:eastAsia="de-DE"/>
        </w:rPr>
        <w:t xml:space="preserve"> measures the direct contribution of </w:t>
      </w:r>
      <w:r w:rsidR="006742B0" w:rsidRPr="00F207B4">
        <w:rPr>
          <w:rFonts w:eastAsia="Times New Roman"/>
          <w:color w:val="000000"/>
          <w:sz w:val="20"/>
          <w:szCs w:val="22"/>
          <w:lang w:val="en-GB" w:eastAsia="de-DE"/>
        </w:rPr>
        <w:t>a given</w:t>
      </w:r>
      <w:r w:rsidRPr="00F207B4">
        <w:rPr>
          <w:rFonts w:eastAsia="Times New Roman"/>
          <w:color w:val="000000"/>
          <w:sz w:val="20"/>
          <w:szCs w:val="22"/>
          <w:lang w:val="en-GB" w:eastAsia="de-DE"/>
        </w:rPr>
        <w:t xml:space="preserve"> parameter to the variance of the model output.</w:t>
      </w:r>
    </w:p>
    <w:p w14:paraId="3409C666" w14:textId="79365E75" w:rsidR="000D5088" w:rsidRPr="00F207B4" w:rsidRDefault="000D5088" w:rsidP="000D5088">
      <w:pPr>
        <w:pStyle w:val="Paragraphedeliste"/>
        <w:numPr>
          <w:ilvl w:val="0"/>
          <w:numId w:val="33"/>
        </w:numPr>
        <w:rPr>
          <w:rFonts w:eastAsia="Times New Roman"/>
          <w:color w:val="000000"/>
          <w:sz w:val="20"/>
          <w:szCs w:val="22"/>
          <w:lang w:val="en-GB" w:eastAsia="de-DE"/>
        </w:rPr>
      </w:pPr>
      <w:r w:rsidRPr="00F207B4">
        <w:rPr>
          <w:rFonts w:eastAsia="Times New Roman"/>
          <w:bCs/>
          <w:color w:val="000000"/>
          <w:sz w:val="20"/>
          <w:szCs w:val="22"/>
          <w:lang w:val="en-GB" w:eastAsia="de-DE"/>
        </w:rPr>
        <w:t>Second-order index (S₂)</w:t>
      </w:r>
      <w:r w:rsidRPr="00F207B4">
        <w:rPr>
          <w:rFonts w:eastAsia="Times New Roman"/>
          <w:color w:val="000000"/>
          <w:sz w:val="20"/>
          <w:szCs w:val="22"/>
          <w:lang w:val="en-GB" w:eastAsia="de-DE"/>
        </w:rPr>
        <w:t xml:space="preserve"> quantifies the interaction effects between pairs of parameters.</w:t>
      </w:r>
    </w:p>
    <w:p w14:paraId="7ACF64F1" w14:textId="4DFD1489" w:rsidR="000D5088" w:rsidRPr="00F207B4" w:rsidRDefault="000D5088" w:rsidP="000D5088">
      <w:pPr>
        <w:pStyle w:val="Paragraphedeliste"/>
        <w:numPr>
          <w:ilvl w:val="0"/>
          <w:numId w:val="33"/>
        </w:numPr>
        <w:rPr>
          <w:rFonts w:eastAsia="Times New Roman"/>
          <w:color w:val="000000"/>
          <w:sz w:val="20"/>
          <w:szCs w:val="22"/>
          <w:lang w:val="en-GB" w:eastAsia="de-DE"/>
        </w:rPr>
      </w:pPr>
      <w:r w:rsidRPr="00F207B4">
        <w:rPr>
          <w:rFonts w:eastAsia="Times New Roman"/>
          <w:bCs/>
          <w:color w:val="000000"/>
          <w:sz w:val="20"/>
          <w:szCs w:val="22"/>
          <w:lang w:val="en-GB" w:eastAsia="de-DE"/>
        </w:rPr>
        <w:t>Total-order index (ST)</w:t>
      </w:r>
      <w:r w:rsidRPr="00F207B4">
        <w:rPr>
          <w:rFonts w:eastAsia="Times New Roman"/>
          <w:color w:val="000000"/>
          <w:sz w:val="20"/>
          <w:szCs w:val="22"/>
          <w:lang w:val="en-GB" w:eastAsia="de-DE"/>
        </w:rPr>
        <w:t xml:space="preserve"> represents the overall contribution of a parameter, including both its direct effect and all </w:t>
      </w:r>
      <w:r w:rsidR="006742B0" w:rsidRPr="00F207B4">
        <w:rPr>
          <w:rFonts w:eastAsia="Times New Roman"/>
          <w:color w:val="000000"/>
          <w:sz w:val="20"/>
          <w:szCs w:val="22"/>
          <w:lang w:val="en-GB" w:eastAsia="de-DE"/>
        </w:rPr>
        <w:t xml:space="preserve">its </w:t>
      </w:r>
      <w:r w:rsidRPr="00F207B4">
        <w:rPr>
          <w:rFonts w:eastAsia="Times New Roman"/>
          <w:color w:val="000000"/>
          <w:sz w:val="20"/>
          <w:szCs w:val="22"/>
          <w:lang w:val="en-GB" w:eastAsia="de-DE"/>
        </w:rPr>
        <w:t>interaction</w:t>
      </w:r>
      <w:r w:rsidR="006742B0" w:rsidRPr="00F207B4">
        <w:rPr>
          <w:rFonts w:eastAsia="Times New Roman"/>
          <w:color w:val="000000"/>
          <w:sz w:val="20"/>
          <w:szCs w:val="22"/>
          <w:lang w:val="en-GB" w:eastAsia="de-DE"/>
        </w:rPr>
        <w:t xml:space="preserve">s </w:t>
      </w:r>
      <w:r w:rsidRPr="00F207B4">
        <w:rPr>
          <w:rFonts w:eastAsia="Times New Roman"/>
          <w:color w:val="000000"/>
          <w:sz w:val="20"/>
          <w:szCs w:val="22"/>
          <w:lang w:val="en-GB" w:eastAsia="de-DE"/>
        </w:rPr>
        <w:t>with the other parameters.</w:t>
      </w:r>
    </w:p>
    <w:p w14:paraId="76149963" w14:textId="6E4F3DEF" w:rsidR="000D5088" w:rsidRPr="00F207B4" w:rsidRDefault="000D5088" w:rsidP="000D5088">
      <w:pPr>
        <w:pStyle w:val="Paragraphedeliste"/>
        <w:ind w:left="1080" w:firstLine="0"/>
        <w:rPr>
          <w:rFonts w:eastAsia="Times New Roman"/>
          <w:color w:val="000000"/>
          <w:sz w:val="20"/>
          <w:szCs w:val="22"/>
          <w:lang w:val="en-GB" w:eastAsia="de-DE"/>
        </w:rPr>
      </w:pPr>
      <w:r w:rsidRPr="00F207B4">
        <w:rPr>
          <w:rFonts w:eastAsia="Times New Roman"/>
          <w:color w:val="000000"/>
          <w:sz w:val="20"/>
          <w:szCs w:val="22"/>
          <w:lang w:val="en-GB" w:eastAsia="de-DE"/>
        </w:rPr>
        <w:t xml:space="preserve">A </w:t>
      </w:r>
      <w:r w:rsidR="006742B0" w:rsidRPr="00F207B4">
        <w:rPr>
          <w:rFonts w:eastAsia="Times New Roman"/>
          <w:color w:val="000000"/>
          <w:sz w:val="20"/>
          <w:szCs w:val="22"/>
          <w:lang w:val="en-GB" w:eastAsia="de-DE"/>
        </w:rPr>
        <w:t>significant</w:t>
      </w:r>
      <w:r w:rsidRPr="00F207B4">
        <w:rPr>
          <w:rFonts w:eastAsia="Times New Roman"/>
          <w:color w:val="000000"/>
          <w:sz w:val="20"/>
          <w:szCs w:val="22"/>
          <w:lang w:val="en-GB" w:eastAsia="de-DE"/>
        </w:rPr>
        <w:t xml:space="preserve"> difference between </w:t>
      </w:r>
      <w:r w:rsidRPr="00F207B4">
        <w:rPr>
          <w:rFonts w:eastAsia="Times New Roman"/>
          <w:bCs/>
          <w:color w:val="000000"/>
          <w:sz w:val="20"/>
          <w:szCs w:val="22"/>
          <w:lang w:val="en-GB" w:eastAsia="de-DE"/>
        </w:rPr>
        <w:t>ST</w:t>
      </w:r>
      <w:r w:rsidRPr="00F207B4">
        <w:rPr>
          <w:rFonts w:eastAsia="Times New Roman"/>
          <w:color w:val="000000"/>
          <w:sz w:val="20"/>
          <w:szCs w:val="22"/>
          <w:lang w:val="en-GB" w:eastAsia="de-DE"/>
        </w:rPr>
        <w:t xml:space="preserve"> and </w:t>
      </w:r>
      <w:r w:rsidRPr="00F207B4">
        <w:rPr>
          <w:rFonts w:eastAsia="Times New Roman"/>
          <w:bCs/>
          <w:color w:val="000000"/>
          <w:sz w:val="20"/>
          <w:szCs w:val="22"/>
          <w:lang w:val="en-GB" w:eastAsia="de-DE"/>
        </w:rPr>
        <w:t>S₁</w:t>
      </w:r>
      <w:r w:rsidRPr="00F207B4">
        <w:rPr>
          <w:rFonts w:eastAsia="Times New Roman"/>
          <w:color w:val="000000"/>
          <w:sz w:val="20"/>
          <w:szCs w:val="22"/>
          <w:lang w:val="en-GB" w:eastAsia="de-DE"/>
        </w:rPr>
        <w:t xml:space="preserve"> indicates that the parameter mainly affects the model through interactions with other variables.</w:t>
      </w:r>
    </w:p>
    <w:p w14:paraId="00EFFC60" w14:textId="77777777" w:rsidR="00793001" w:rsidRPr="00F207B4" w:rsidRDefault="00793001" w:rsidP="00793001">
      <w:pPr>
        <w:rPr>
          <w:color w:val="000000"/>
          <w:sz w:val="20"/>
          <w:szCs w:val="22"/>
          <w:lang w:val="en-GB"/>
        </w:rPr>
      </w:pPr>
    </w:p>
    <w:p w14:paraId="2FF00AC7" w14:textId="351B1187" w:rsidR="00A46FCD" w:rsidRPr="00F207B4" w:rsidRDefault="00DB3157" w:rsidP="00E80AB4">
      <w:pPr>
        <w:pStyle w:val="SWCText"/>
        <w:rPr>
          <w:lang w:val="en-GB"/>
        </w:rPr>
      </w:pPr>
      <w:r w:rsidRPr="00F207B4">
        <w:rPr>
          <w:lang w:val="en-GB"/>
        </w:rPr>
        <w:t>The</w:t>
      </w:r>
      <w:r w:rsidR="00A46FCD" w:rsidRPr="00F207B4">
        <w:rPr>
          <w:lang w:val="en-GB"/>
        </w:rPr>
        <w:t xml:space="preserve"> sensitivity</w:t>
      </w:r>
      <w:r w:rsidRPr="00F207B4">
        <w:rPr>
          <w:lang w:val="en-GB"/>
        </w:rPr>
        <w:t xml:space="preserve"> analyses were automated using Python scripts</w:t>
      </w:r>
      <w:r w:rsidR="00A46FCD" w:rsidRPr="00F207B4">
        <w:rPr>
          <w:lang w:val="en-GB"/>
        </w:rPr>
        <w:t xml:space="preserve">. For each </w:t>
      </w:r>
      <w:r w:rsidR="007E6526" w:rsidRPr="00F207B4">
        <w:rPr>
          <w:lang w:val="en-GB"/>
        </w:rPr>
        <w:t xml:space="preserve">operational </w:t>
      </w:r>
      <w:r w:rsidR="00A46FCD" w:rsidRPr="00F207B4">
        <w:rPr>
          <w:lang w:val="en-GB"/>
        </w:rPr>
        <w:t xml:space="preserve">scenario, the number of simulations was determined according to a predefined </w:t>
      </w:r>
      <w:r w:rsidR="005D7E11" w:rsidRPr="00F207B4">
        <w:rPr>
          <w:lang w:val="en-GB"/>
        </w:rPr>
        <w:t xml:space="preserve">computational </w:t>
      </w:r>
      <w:r w:rsidR="00A46FCD" w:rsidRPr="00F207B4">
        <w:rPr>
          <w:lang w:val="en-GB"/>
        </w:rPr>
        <w:t xml:space="preserve">time budget, considering the average duration of a TRNSYS simulation and the available parallel </w:t>
      </w:r>
      <w:r w:rsidR="005D7E11" w:rsidRPr="00F207B4">
        <w:rPr>
          <w:lang w:val="en-GB"/>
        </w:rPr>
        <w:t xml:space="preserve">computational </w:t>
      </w:r>
      <w:r w:rsidR="00A46FCD" w:rsidRPr="00F207B4">
        <w:rPr>
          <w:lang w:val="en-GB"/>
        </w:rPr>
        <w:t xml:space="preserve">resources. Consequently, the sample size was </w:t>
      </w:r>
      <w:r w:rsidR="000D6754" w:rsidRPr="00F207B4">
        <w:rPr>
          <w:lang w:val="en-GB"/>
        </w:rPr>
        <w:t>adjusted for</w:t>
      </w:r>
      <w:r w:rsidR="00A46FCD" w:rsidRPr="00F207B4">
        <w:rPr>
          <w:lang w:val="en-GB"/>
        </w:rPr>
        <w:t xml:space="preserve"> each sensitivity </w:t>
      </w:r>
      <w:r w:rsidR="000D6754" w:rsidRPr="00F207B4">
        <w:rPr>
          <w:lang w:val="en-GB"/>
        </w:rPr>
        <w:t>method</w:t>
      </w:r>
      <w:r w:rsidR="00A46FCD" w:rsidRPr="00F207B4">
        <w:rPr>
          <w:lang w:val="en-GB"/>
        </w:rPr>
        <w:t xml:space="preserve"> </w:t>
      </w:r>
      <w:r w:rsidR="000D6754" w:rsidRPr="00F207B4">
        <w:rPr>
          <w:lang w:val="en-GB"/>
        </w:rPr>
        <w:t>whilst</w:t>
      </w:r>
      <w:r w:rsidR="00A46FCD" w:rsidRPr="00F207B4">
        <w:rPr>
          <w:lang w:val="en-GB"/>
        </w:rPr>
        <w:t xml:space="preserve"> respecting its theoretical sampling requirements. For the Morris method, the number of trajectories (r) was selected such that the total number of simulations </w:t>
      </w:r>
      <w:r w:rsidR="000D6754" w:rsidRPr="00F207B4">
        <w:rPr>
          <w:lang w:val="en-GB"/>
        </w:rPr>
        <w:t xml:space="preserve">was </w:t>
      </w:r>
      <w:r w:rsidR="00A46FCD" w:rsidRPr="00F207B4">
        <w:rPr>
          <w:lang w:val="en-GB"/>
        </w:rPr>
        <w:t>equal</w:t>
      </w:r>
      <w:r w:rsidR="000D6754" w:rsidRPr="00F207B4">
        <w:rPr>
          <w:lang w:val="en-GB"/>
        </w:rPr>
        <w:t xml:space="preserve"> to</w:t>
      </w:r>
      <w:r w:rsidR="00A46FCD" w:rsidRPr="00F207B4">
        <w:rPr>
          <w:lang w:val="en-GB"/>
        </w:rPr>
        <w:t xml:space="preserve"> ((k+</w:t>
      </w:r>
      <w:proofErr w:type="gramStart"/>
      <w:r w:rsidR="00A46FCD" w:rsidRPr="00F207B4">
        <w:rPr>
          <w:lang w:val="en-GB"/>
        </w:rPr>
        <w:t>1)</w:t>
      </w:r>
      <w:r w:rsidR="003D5433" w:rsidRPr="00F207B4">
        <w:rPr>
          <w:lang w:val="en-GB"/>
        </w:rPr>
        <w:t>*</w:t>
      </w:r>
      <w:proofErr w:type="gramEnd"/>
      <w:r w:rsidR="00A46FCD" w:rsidRPr="00F207B4">
        <w:rPr>
          <w:lang w:val="en-GB"/>
        </w:rPr>
        <w:t xml:space="preserve">r), where (k=8) is the number of input parameters. For the </w:t>
      </w:r>
      <w:proofErr w:type="spellStart"/>
      <w:r w:rsidR="00A46FCD" w:rsidRPr="00F207B4">
        <w:rPr>
          <w:lang w:val="en-GB"/>
        </w:rPr>
        <w:t>Sobol</w:t>
      </w:r>
      <w:proofErr w:type="spellEnd"/>
      <w:r w:rsidR="00A46FCD" w:rsidRPr="00F207B4">
        <w:rPr>
          <w:lang w:val="en-GB"/>
        </w:rPr>
        <w:t xml:space="preserve"> </w:t>
      </w:r>
      <w:r w:rsidR="000D6754" w:rsidRPr="00F207B4">
        <w:rPr>
          <w:lang w:val="en-GB"/>
        </w:rPr>
        <w:t>method</w:t>
      </w:r>
      <w:r w:rsidR="00A46FCD" w:rsidRPr="00F207B4">
        <w:rPr>
          <w:lang w:val="en-GB"/>
        </w:rPr>
        <w:t xml:space="preserve">, the base sample size (N) was chosen as the largest power of two compatible with the available </w:t>
      </w:r>
      <w:r w:rsidR="005D7E11" w:rsidRPr="00F207B4">
        <w:rPr>
          <w:lang w:val="en-GB"/>
        </w:rPr>
        <w:t xml:space="preserve">computational </w:t>
      </w:r>
      <w:r w:rsidR="00A46FCD" w:rsidRPr="00F207B4">
        <w:rPr>
          <w:lang w:val="en-GB"/>
        </w:rPr>
        <w:t>budget</w:t>
      </w:r>
      <w:r w:rsidR="00CC201E" w:rsidRPr="00F207B4">
        <w:rPr>
          <w:lang w:val="en-GB"/>
        </w:rPr>
        <w:t>. A</w:t>
      </w:r>
      <w:r w:rsidR="00A46FCD" w:rsidRPr="00F207B4">
        <w:rPr>
          <w:lang w:val="en-GB"/>
        </w:rPr>
        <w:t xml:space="preserve"> total of (N</w:t>
      </w:r>
      <w:r w:rsidR="003D5433" w:rsidRPr="00F207B4">
        <w:rPr>
          <w:lang w:val="en-GB"/>
        </w:rPr>
        <w:t>*</w:t>
      </w:r>
      <w:r w:rsidR="00A46FCD" w:rsidRPr="00F207B4">
        <w:rPr>
          <w:lang w:val="en-GB"/>
        </w:rPr>
        <w:t xml:space="preserve">(2k+2)) model </w:t>
      </w:r>
      <w:r w:rsidR="00CC201E" w:rsidRPr="00F207B4">
        <w:rPr>
          <w:lang w:val="en-GB"/>
        </w:rPr>
        <w:t>were evaluated</w:t>
      </w:r>
      <w:r w:rsidR="00A46FCD" w:rsidRPr="00F207B4">
        <w:rPr>
          <w:lang w:val="en-GB"/>
        </w:rPr>
        <w:t xml:space="preserve">, as required by </w:t>
      </w:r>
      <w:proofErr w:type="spellStart"/>
      <w:r w:rsidR="00A46FCD" w:rsidRPr="00F207B4">
        <w:rPr>
          <w:lang w:val="en-GB"/>
        </w:rPr>
        <w:t>Saltelli</w:t>
      </w:r>
      <w:proofErr w:type="spellEnd"/>
      <w:r w:rsidR="00A46FCD" w:rsidRPr="00F207B4">
        <w:rPr>
          <w:lang w:val="en-GB"/>
        </w:rPr>
        <w:t xml:space="preserve"> sampling scheme</w:t>
      </w:r>
      <w:r w:rsidR="003D5433" w:rsidRPr="00F207B4">
        <w:rPr>
          <w:lang w:val="en-GB"/>
        </w:rPr>
        <w:t xml:space="preserve"> </w:t>
      </w:r>
      <w:r w:rsidR="003D5433" w:rsidRPr="00F207B4">
        <w:rPr>
          <w:lang w:val="en-GB"/>
        </w:rPr>
        <w:fldChar w:fldCharType="begin"/>
      </w:r>
      <w:r w:rsidR="003D5433" w:rsidRPr="00F207B4">
        <w:rPr>
          <w:lang w:val="en-GB"/>
        </w:rPr>
        <w:instrText xml:space="preserve"> ADDIN ZOTERO_ITEM CSL_CITATION {"citationID":"a2zT8JGg","properties":{"unsorted":false,"formattedCitation":"(Saltelli, 2002)","plainCitation":"(Saltelli, 2002)","noteIndex":0},"citationItems":[{"id":3976,"uris":["http://zotero.org/users/3532167/items/HMHWFTVA"],"itemData":{"id":3976,"type":"article-journal","abstract":"This paper deals with computations of sensitivity indices in sensitivity analysis. Given a mathematical or computational model y=f(x1,x2,…,xk), where the input factors xi's are uncorrelated with one another, one can see y as the realization of a stochastic process obtained by sampling each of the xi from its marginal distribution. The sensitivity indices are related to the decomposition of the variance of y into terms either due to each xi taken singularly (first order indices), as well as into terms due to the cooperative effects of more than one xi. In this paper we assume that one has computed the full set of first order sensitivity indices as well as the full set of total-order sensitivity indices (a fairly common strategy in sensitivity analysis), and show that in this case the same set of model evaluations can be used to compute double estimates of: &amp;#x02022;the total effect of two factors taken together, for all such k2 couples, where k is the dimensionality of the model;&amp;#x02022;the total effect of k−2 factors taken together, for all k2 such (k−2) ples. We further introduce a new strategy for the computation of the full sets of first plus total order sensitivity indices that is about 50% cheaper in terms of model evaluations with respect to previously published works. We discuss separately the case where the input factors xi's are not independent from each other.","container-title":"Computer Physics Communications","DOI":"10.1016/S0010-4655(02)00280-1","ISSN":"0010-4655","issue":"2","journalAbbreviation":"Computer Physics Communications","page":"280-297","source":"ScienceDirect","title":"Making best use of model evaluations to compute sensitivity indices","volume":"145","author":[{"family":"Saltelli","given":"Andrea"}],"issued":{"date-parts":[["2002",5,15]]}}}],"schema":"https://github.com/citation-style-language/schema/raw/master/csl-citation.json"} </w:instrText>
      </w:r>
      <w:r w:rsidR="003D5433" w:rsidRPr="00F207B4">
        <w:rPr>
          <w:lang w:val="en-GB"/>
        </w:rPr>
        <w:fldChar w:fldCharType="separate"/>
      </w:r>
      <w:r w:rsidR="003D5433" w:rsidRPr="00F207B4">
        <w:rPr>
          <w:lang w:val="en-GB"/>
        </w:rPr>
        <w:t>(Saltelli, 2002)</w:t>
      </w:r>
      <w:r w:rsidR="003D5433" w:rsidRPr="00F207B4">
        <w:rPr>
          <w:lang w:val="en-GB"/>
        </w:rPr>
        <w:fldChar w:fldCharType="end"/>
      </w:r>
      <w:r w:rsidR="00A46FCD" w:rsidRPr="00F207B4">
        <w:rPr>
          <w:lang w:val="en-GB"/>
        </w:rPr>
        <w:t xml:space="preserve">. This strategy ensures </w:t>
      </w:r>
      <w:r w:rsidR="005D7E11" w:rsidRPr="00F207B4">
        <w:rPr>
          <w:lang w:val="en-GB"/>
        </w:rPr>
        <w:t>the</w:t>
      </w:r>
      <w:r w:rsidR="00A46FCD" w:rsidRPr="00F207B4">
        <w:rPr>
          <w:lang w:val="en-GB"/>
        </w:rPr>
        <w:t xml:space="preserve"> efficient use of available computational resources </w:t>
      </w:r>
      <w:r w:rsidR="005D7E11" w:rsidRPr="00F207B4">
        <w:rPr>
          <w:lang w:val="en-GB"/>
        </w:rPr>
        <w:t>whilst</w:t>
      </w:r>
      <w:r w:rsidR="00A46FCD" w:rsidRPr="00F207B4">
        <w:rPr>
          <w:lang w:val="en-GB"/>
        </w:rPr>
        <w:t xml:space="preserve"> providing statistically sensitivity indices.</w:t>
      </w:r>
    </w:p>
    <w:p w14:paraId="6D005280" w14:textId="7EB718AE" w:rsidR="00BC1171" w:rsidRPr="00F207B4" w:rsidRDefault="00BC1171" w:rsidP="00BC1171">
      <w:pPr>
        <w:pStyle w:val="SWCHeading1"/>
        <w:rPr>
          <w:lang w:val="en-GB"/>
        </w:rPr>
      </w:pPr>
      <w:r w:rsidRPr="00F207B4">
        <w:rPr>
          <w:lang w:val="en-GB"/>
        </w:rPr>
        <w:t>Results &amp; Discussions</w:t>
      </w:r>
    </w:p>
    <w:p w14:paraId="34E26D99" w14:textId="46F2BA41" w:rsidR="00D02AB4" w:rsidRPr="00F207B4" w:rsidRDefault="00B666F4" w:rsidP="00D02AB4">
      <w:pPr>
        <w:pStyle w:val="SWCHeading11"/>
        <w:numPr>
          <w:ilvl w:val="1"/>
          <w:numId w:val="37"/>
        </w:numPr>
      </w:pPr>
      <w:r w:rsidRPr="00F207B4">
        <w:t>Thermal behaviour of the HUTES</w:t>
      </w:r>
    </w:p>
    <w:p w14:paraId="2601D47B" w14:textId="559E3D51" w:rsidR="0084100F" w:rsidRPr="00F207B4" w:rsidRDefault="00AB5179" w:rsidP="0084100F">
      <w:pPr>
        <w:pStyle w:val="SWCHeading11"/>
      </w:pPr>
      <w:r w:rsidRPr="00F207B4">
        <w:t xml:space="preserve">3.1.1. </w:t>
      </w:r>
      <w:r w:rsidR="00BC1171" w:rsidRPr="00F207B4">
        <w:t>Daily simulation for charging/discharging</w:t>
      </w:r>
      <w:r w:rsidR="008A4E20" w:rsidRPr="00F207B4">
        <w:t xml:space="preserve"> cycle</w:t>
      </w:r>
      <w:r w:rsidR="002E5B46" w:rsidRPr="00F207B4">
        <w:t xml:space="preserve"> (scenario 2)</w:t>
      </w:r>
    </w:p>
    <w:p w14:paraId="4BE49B85" w14:textId="4FDC0624" w:rsidR="00704F60" w:rsidRPr="00F207B4" w:rsidRDefault="00BC1171" w:rsidP="00704F60">
      <w:pPr>
        <w:pStyle w:val="SWCText"/>
        <w:rPr>
          <w:lang w:val="en-GB"/>
        </w:rPr>
      </w:pPr>
      <w:r w:rsidRPr="00F207B4">
        <w:rPr>
          <w:lang w:val="en-GB"/>
        </w:rPr>
        <w:t xml:space="preserve">The results presented in this section </w:t>
      </w:r>
      <w:r w:rsidR="00234FDB" w:rsidRPr="00F207B4">
        <w:rPr>
          <w:lang w:val="en-GB"/>
        </w:rPr>
        <w:t>correspond</w:t>
      </w:r>
      <w:r w:rsidRPr="00F207B4">
        <w:rPr>
          <w:lang w:val="en-GB"/>
        </w:rPr>
        <w:t xml:space="preserve"> to </w:t>
      </w:r>
      <w:r w:rsidR="00FD6DAB" w:rsidRPr="00F207B4">
        <w:rPr>
          <w:lang w:val="en-GB"/>
        </w:rPr>
        <w:t>s</w:t>
      </w:r>
      <w:r w:rsidRPr="00F207B4">
        <w:rPr>
          <w:lang w:val="en-GB"/>
        </w:rPr>
        <w:t xml:space="preserve">cenario 2 and to the </w:t>
      </w:r>
      <w:r w:rsidR="00234FDB" w:rsidRPr="00F207B4">
        <w:rPr>
          <w:lang w:val="en-GB"/>
        </w:rPr>
        <w:t>reference HUTES geometry currently installed</w:t>
      </w:r>
      <w:r w:rsidRPr="00F207B4">
        <w:rPr>
          <w:lang w:val="en-GB"/>
        </w:rPr>
        <w:t xml:space="preserve"> in </w:t>
      </w:r>
      <w:proofErr w:type="spellStart"/>
      <w:r w:rsidRPr="00F207B4">
        <w:rPr>
          <w:lang w:val="en-GB"/>
        </w:rPr>
        <w:t>Mayenne</w:t>
      </w:r>
      <w:proofErr w:type="spellEnd"/>
      <w:r w:rsidRPr="00F207B4">
        <w:rPr>
          <w:lang w:val="en-GB"/>
        </w:rPr>
        <w:t xml:space="preserve"> (see Fig.1). The storage geometry consists of a single</w:t>
      </w:r>
      <w:r w:rsidR="00FD6DAB" w:rsidRPr="00F207B4">
        <w:rPr>
          <w:lang w:val="en-GB"/>
        </w:rPr>
        <w:t xml:space="preserve"> linear buried heat exchanger, with an internal</w:t>
      </w:r>
      <w:r w:rsidRPr="00F207B4">
        <w:rPr>
          <w:lang w:val="en-GB"/>
        </w:rPr>
        <w:t xml:space="preserve"> diameter of 0.026 m, </w:t>
      </w:r>
      <w:r w:rsidR="00FD6DAB" w:rsidRPr="00F207B4">
        <w:rPr>
          <w:lang w:val="en-GB"/>
        </w:rPr>
        <w:t xml:space="preserve">surrounded by </w:t>
      </w:r>
      <w:r w:rsidRPr="00F207B4">
        <w:rPr>
          <w:lang w:val="en-GB"/>
        </w:rPr>
        <w:t xml:space="preserve">0.32 m of straw insulation, and </w:t>
      </w:r>
      <w:r w:rsidR="00FD6DAB" w:rsidRPr="00F207B4">
        <w:rPr>
          <w:lang w:val="en-GB"/>
        </w:rPr>
        <w:t xml:space="preserve">covered by </w:t>
      </w:r>
      <w:r w:rsidRPr="00F207B4">
        <w:rPr>
          <w:lang w:val="en-GB"/>
        </w:rPr>
        <w:t>0.4</w:t>
      </w:r>
      <w:r w:rsidR="00FD6DAB" w:rsidRPr="00F207B4">
        <w:rPr>
          <w:lang w:val="en-GB"/>
        </w:rPr>
        <w:t>0</w:t>
      </w:r>
      <w:r w:rsidRPr="00F207B4">
        <w:rPr>
          <w:lang w:val="en-GB"/>
        </w:rPr>
        <w:t xml:space="preserve"> m of soil. The </w:t>
      </w:r>
      <w:r w:rsidR="00FD6DAB" w:rsidRPr="00F207B4">
        <w:rPr>
          <w:lang w:val="en-GB"/>
        </w:rPr>
        <w:t xml:space="preserve">inlet </w:t>
      </w:r>
      <w:r w:rsidRPr="00F207B4">
        <w:rPr>
          <w:lang w:val="en-GB"/>
        </w:rPr>
        <w:t xml:space="preserve">charging and discharging temperatures are </w:t>
      </w:r>
      <w:r w:rsidR="00B705CE" w:rsidRPr="00F207B4">
        <w:rPr>
          <w:lang w:val="en-GB"/>
        </w:rPr>
        <w:t>set</w:t>
      </w:r>
      <w:r w:rsidR="00FD6DAB" w:rsidRPr="00F207B4">
        <w:rPr>
          <w:lang w:val="en-GB"/>
        </w:rPr>
        <w:t xml:space="preserve"> at </w:t>
      </w:r>
      <w:r w:rsidRPr="00F207B4">
        <w:rPr>
          <w:lang w:val="en-GB"/>
        </w:rPr>
        <w:t xml:space="preserve">70°C and 15°C respectively. </w:t>
      </w:r>
      <w:r w:rsidR="00FD6DAB" w:rsidRPr="00F207B4">
        <w:rPr>
          <w:lang w:val="en-GB"/>
        </w:rPr>
        <w:t>Fig.3 shows the temperature evolution in the median horizontal section</w:t>
      </w:r>
      <w:r w:rsidR="00FF4D57" w:rsidRPr="00F207B4">
        <w:rPr>
          <w:lang w:val="en-GB"/>
        </w:rPr>
        <w:t xml:space="preserve"> X-Y</w:t>
      </w:r>
      <w:r w:rsidR="00FD6DAB" w:rsidRPr="00F207B4">
        <w:rPr>
          <w:lang w:val="en-GB"/>
        </w:rPr>
        <w:t xml:space="preserve"> of the HUTES during one representative daily charging </w:t>
      </w:r>
      <w:r w:rsidR="003F0BFD" w:rsidRPr="00F207B4">
        <w:rPr>
          <w:lang w:val="en-GB"/>
        </w:rPr>
        <w:t>step</w:t>
      </w:r>
      <w:r w:rsidR="00FD6DAB" w:rsidRPr="00F207B4">
        <w:rPr>
          <w:lang w:val="en-GB"/>
        </w:rPr>
        <w:t xml:space="preserve"> (Fig. 3a) and the subsequent discharging </w:t>
      </w:r>
      <w:r w:rsidR="003F0BFD" w:rsidRPr="00F207B4">
        <w:rPr>
          <w:lang w:val="en-GB"/>
        </w:rPr>
        <w:t>step</w:t>
      </w:r>
      <w:r w:rsidR="00FD6DAB" w:rsidRPr="00F207B4">
        <w:rPr>
          <w:lang w:val="en-GB"/>
        </w:rPr>
        <w:t xml:space="preserve"> (Fig. 3b).</w:t>
      </w:r>
      <w:r w:rsidR="00AA6C9A" w:rsidRPr="00F207B4">
        <w:rPr>
          <w:lang w:val="en-GB"/>
        </w:rPr>
        <w:t xml:space="preserve"> </w:t>
      </w:r>
      <w:r w:rsidR="00FD6DAB" w:rsidRPr="00F207B4">
        <w:rPr>
          <w:lang w:val="en-GB"/>
        </w:rPr>
        <w:t>During char</w:t>
      </w:r>
      <w:r w:rsidR="008A4E20" w:rsidRPr="00F207B4">
        <w:rPr>
          <w:lang w:val="en-GB"/>
        </w:rPr>
        <w:t>ge</w:t>
      </w:r>
      <w:r w:rsidR="00FD6DAB" w:rsidRPr="00F207B4">
        <w:rPr>
          <w:lang w:val="en-GB"/>
        </w:rPr>
        <w:t xml:space="preserve">, heat is progressively transferred from the HTF to the sand, </w:t>
      </w:r>
      <w:r w:rsidR="000C793A" w:rsidRPr="00F207B4">
        <w:rPr>
          <w:lang w:val="en-GB"/>
        </w:rPr>
        <w:t>leading to the propagation of a thermal front</w:t>
      </w:r>
      <w:r w:rsidR="00FD6DAB" w:rsidRPr="00F207B4">
        <w:rPr>
          <w:lang w:val="en-GB"/>
        </w:rPr>
        <w:t xml:space="preserve"> from the inlet towards the outlet of the heat exchanger.</w:t>
      </w:r>
      <w:r w:rsidR="00704F60" w:rsidRPr="00F207B4">
        <w:rPr>
          <w:lang w:val="en-GB"/>
        </w:rPr>
        <w:t xml:space="preserve"> </w:t>
      </w:r>
    </w:p>
    <w:p w14:paraId="1C2F1283" w14:textId="77777777" w:rsidR="00704F60" w:rsidRPr="00F207B4" w:rsidRDefault="00704F60" w:rsidP="00704F60">
      <w:pPr>
        <w:keepNext/>
        <w:ind w:left="-142"/>
        <w:jc w:val="center"/>
        <w:rPr>
          <w:lang w:val="en-GB"/>
        </w:rPr>
      </w:pPr>
      <w:r w:rsidRPr="00F207B4">
        <w:rPr>
          <w:noProof/>
          <w:lang w:val="en-GB"/>
        </w:rPr>
        <w:drawing>
          <wp:inline distT="0" distB="0" distL="0" distR="0" wp14:anchorId="14B09E10" wp14:editId="0DC425F0">
            <wp:extent cx="5223164" cy="2241459"/>
            <wp:effectExtent l="0" t="0" r="0" b="6985"/>
            <wp:docPr id="2" name="Image 1">
              <a:extLst xmlns:a="http://schemas.openxmlformats.org/drawingml/2006/main">
                <a:ext uri="{FF2B5EF4-FFF2-40B4-BE49-F238E27FC236}">
                  <a16:creationId xmlns:a16="http://schemas.microsoft.com/office/drawing/2014/main" id="{E30E9745-1DD7-4BF4-A25C-12126E9342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a:extLst>
                        <a:ext uri="{FF2B5EF4-FFF2-40B4-BE49-F238E27FC236}">
                          <a16:creationId xmlns:a16="http://schemas.microsoft.com/office/drawing/2014/main" id="{E30E9745-1DD7-4BF4-A25C-12126E93423A}"/>
                        </a:ext>
                      </a:extLst>
                    </pic:cNvPr>
                    <pic:cNvPicPr>
                      <a:picLocks noChangeAspect="1"/>
                    </pic:cNvPicPr>
                  </pic:nvPicPr>
                  <pic:blipFill>
                    <a:blip r:embed="rId11"/>
                    <a:stretch>
                      <a:fillRect/>
                    </a:stretch>
                  </pic:blipFill>
                  <pic:spPr>
                    <a:xfrm>
                      <a:off x="0" y="0"/>
                      <a:ext cx="5285625" cy="2268264"/>
                    </a:xfrm>
                    <a:prstGeom prst="rect">
                      <a:avLst/>
                    </a:prstGeom>
                  </pic:spPr>
                </pic:pic>
              </a:graphicData>
            </a:graphic>
          </wp:inline>
        </w:drawing>
      </w:r>
    </w:p>
    <w:p w14:paraId="54E5F338" w14:textId="36BF1828" w:rsidR="00704F60" w:rsidRPr="00F207B4" w:rsidRDefault="00704F60" w:rsidP="00704F60">
      <w:pPr>
        <w:pStyle w:val="SWCTableFigureCaption"/>
        <w:rPr>
          <w:lang w:val="en-GB"/>
        </w:rPr>
      </w:pPr>
      <w:r w:rsidRPr="00F207B4">
        <w:rPr>
          <w:rFonts w:eastAsia="SimSun"/>
          <w:lang w:val="en-GB" w:eastAsia="zh-CN"/>
        </w:rPr>
        <w:t xml:space="preserve">Fig.3: </w:t>
      </w:r>
      <w:r w:rsidR="00C311EB" w:rsidRPr="00F207B4">
        <w:rPr>
          <w:rFonts w:eastAsia="SimSun"/>
          <w:lang w:val="en-GB" w:eastAsia="zh-CN"/>
        </w:rPr>
        <w:t>Temperature evolution in the m</w:t>
      </w:r>
      <w:r w:rsidR="00FF4D57" w:rsidRPr="00F207B4">
        <w:rPr>
          <w:rFonts w:eastAsia="SimSun"/>
          <w:lang w:val="en-GB" w:eastAsia="zh-CN"/>
        </w:rPr>
        <w:t xml:space="preserve">edian </w:t>
      </w:r>
      <w:r w:rsidR="001C1559" w:rsidRPr="00F207B4">
        <w:rPr>
          <w:rFonts w:eastAsia="SimSun"/>
          <w:lang w:val="en-GB" w:eastAsia="zh-CN"/>
        </w:rPr>
        <w:t xml:space="preserve">X-Y </w:t>
      </w:r>
      <w:r w:rsidR="00FF4D57" w:rsidRPr="00F207B4">
        <w:rPr>
          <w:rFonts w:eastAsia="SimSun"/>
          <w:lang w:val="en-GB" w:eastAsia="zh-CN"/>
        </w:rPr>
        <w:t xml:space="preserve">section </w:t>
      </w:r>
      <w:r w:rsidR="001C1559" w:rsidRPr="00F207B4">
        <w:rPr>
          <w:rFonts w:eastAsia="SimSun"/>
          <w:lang w:val="en-GB" w:eastAsia="zh-CN"/>
        </w:rPr>
        <w:t>of the HUTES during one representative daily operati</w:t>
      </w:r>
      <w:r w:rsidR="007E6526" w:rsidRPr="00F207B4">
        <w:rPr>
          <w:rFonts w:eastAsia="SimSun"/>
          <w:lang w:val="en-GB" w:eastAsia="zh-CN"/>
        </w:rPr>
        <w:t>o</w:t>
      </w:r>
      <w:r w:rsidR="001C1559" w:rsidRPr="00F207B4">
        <w:rPr>
          <w:rFonts w:eastAsia="SimSun"/>
          <w:lang w:val="en-GB" w:eastAsia="zh-CN"/>
        </w:rPr>
        <w:t>n</w:t>
      </w:r>
      <w:r w:rsidR="007E6526" w:rsidRPr="00F207B4">
        <w:rPr>
          <w:rFonts w:eastAsia="SimSun"/>
          <w:lang w:val="en-GB" w:eastAsia="zh-CN"/>
        </w:rPr>
        <w:t xml:space="preserve">al </w:t>
      </w:r>
      <w:r w:rsidR="001C1559" w:rsidRPr="00F207B4">
        <w:rPr>
          <w:rFonts w:eastAsia="SimSun"/>
          <w:lang w:val="en-GB" w:eastAsia="zh-CN"/>
        </w:rPr>
        <w:t>cycle (scenario 2): (a) charge (8 am to 5 pm) and (b) discharge (5 pm to 8 am)</w:t>
      </w:r>
    </w:p>
    <w:p w14:paraId="3C22246A" w14:textId="0AD61DC5" w:rsidR="00FD6DAB" w:rsidRPr="00F207B4" w:rsidRDefault="00704F60" w:rsidP="00FD6DAB">
      <w:pPr>
        <w:pStyle w:val="SWCText"/>
        <w:rPr>
          <w:lang w:val="en-GB"/>
        </w:rPr>
      </w:pPr>
      <w:r w:rsidRPr="00F207B4">
        <w:rPr>
          <w:lang w:val="en-GB"/>
        </w:rPr>
        <w:t>Starting from an initial uniform temperature of 10°C, the sand surrounding the inlet section reaches approximately 20°C after 6h of charg</w:t>
      </w:r>
      <w:r w:rsidR="008A4E20" w:rsidRPr="00F207B4">
        <w:rPr>
          <w:lang w:val="en-GB"/>
        </w:rPr>
        <w:t>e</w:t>
      </w:r>
      <w:r w:rsidRPr="00F207B4">
        <w:rPr>
          <w:lang w:val="en-GB"/>
        </w:rPr>
        <w:t>, corresponding to a local temperature increase of about 10 K. At the end of the 9h charg</w:t>
      </w:r>
      <w:r w:rsidR="008A4E20" w:rsidRPr="00F207B4">
        <w:rPr>
          <w:lang w:val="en-GB"/>
        </w:rPr>
        <w:t>e</w:t>
      </w:r>
      <w:r w:rsidRPr="00F207B4">
        <w:rPr>
          <w:lang w:val="en-GB"/>
        </w:rPr>
        <w:t xml:space="preserve">, the temperature reaches approximately 32°C close to the inlet tube, corresponding to a temperature rise of 22 K, whereas the outlet region remains close to 20°C (ΔT ≈ 10 K). This pronounced longitudinal temperature gradient illustrates the progressive cooling of the HTF as thermal energy is transferred to the surrounding soil. </w:t>
      </w:r>
      <w:r w:rsidR="00FD6DAB" w:rsidRPr="00F207B4">
        <w:rPr>
          <w:lang w:val="en-GB"/>
        </w:rPr>
        <w:t xml:space="preserve">Only a limited </w:t>
      </w:r>
      <w:r w:rsidR="00F9715D" w:rsidRPr="00F207B4">
        <w:rPr>
          <w:lang w:val="en-GB"/>
        </w:rPr>
        <w:t>amount of heat reaches</w:t>
      </w:r>
      <w:r w:rsidR="00FD6DAB" w:rsidRPr="00F207B4">
        <w:rPr>
          <w:lang w:val="en-GB"/>
        </w:rPr>
        <w:t xml:space="preserve"> the insulation </w:t>
      </w:r>
      <w:r w:rsidR="00F9715D" w:rsidRPr="00F207B4">
        <w:rPr>
          <w:lang w:val="en-GB"/>
        </w:rPr>
        <w:t xml:space="preserve">layer </w:t>
      </w:r>
      <w:r w:rsidR="00FD6DAB" w:rsidRPr="00F207B4">
        <w:rPr>
          <w:lang w:val="en-GB"/>
        </w:rPr>
        <w:t xml:space="preserve">during a single charging </w:t>
      </w:r>
      <w:r w:rsidR="00A0300C" w:rsidRPr="00F207B4">
        <w:rPr>
          <w:lang w:val="en-GB"/>
        </w:rPr>
        <w:t>step</w:t>
      </w:r>
      <w:r w:rsidR="00FD6DAB" w:rsidRPr="00F207B4">
        <w:rPr>
          <w:lang w:val="en-GB"/>
        </w:rPr>
        <w:t xml:space="preserve">. This behaviour indicates that most of the injected thermal energy remains concentrated around the </w:t>
      </w:r>
      <w:r w:rsidR="00A0300C" w:rsidRPr="00F207B4">
        <w:rPr>
          <w:lang w:val="en-GB"/>
        </w:rPr>
        <w:t>tubes</w:t>
      </w:r>
      <w:r w:rsidR="00FD6DAB" w:rsidRPr="00F207B4">
        <w:rPr>
          <w:lang w:val="en-GB"/>
        </w:rPr>
        <w:t xml:space="preserve">, while </w:t>
      </w:r>
      <w:r w:rsidR="00793001" w:rsidRPr="00F207B4">
        <w:rPr>
          <w:lang w:val="en-GB"/>
        </w:rPr>
        <w:t>conductive heat transfer</w:t>
      </w:r>
      <w:r w:rsidR="00FD6DAB" w:rsidRPr="00F207B4">
        <w:rPr>
          <w:lang w:val="en-GB"/>
        </w:rPr>
        <w:t xml:space="preserve"> through </w:t>
      </w:r>
      <w:r w:rsidR="00E25CB5" w:rsidRPr="00F207B4">
        <w:rPr>
          <w:lang w:val="en-GB"/>
        </w:rPr>
        <w:t xml:space="preserve">the surrounding sand </w:t>
      </w:r>
      <w:r w:rsidR="00FD6DAB" w:rsidRPr="00F207B4">
        <w:rPr>
          <w:lang w:val="en-GB"/>
        </w:rPr>
        <w:t xml:space="preserve">is </w:t>
      </w:r>
      <w:r w:rsidR="00E25CB5" w:rsidRPr="00F207B4">
        <w:rPr>
          <w:lang w:val="en-GB"/>
        </w:rPr>
        <w:t>relatively slow because of its low thermal conductivity</w:t>
      </w:r>
      <w:r w:rsidR="00FD6DAB" w:rsidRPr="00F207B4">
        <w:rPr>
          <w:lang w:val="en-GB"/>
        </w:rPr>
        <w:t xml:space="preserve">. Consequently, the thermal mass of the HUTES cannot be fully </w:t>
      </w:r>
      <w:r w:rsidR="00E4437D" w:rsidRPr="00F207B4">
        <w:rPr>
          <w:lang w:val="en-GB"/>
        </w:rPr>
        <w:t>thermally activated</w:t>
      </w:r>
      <w:r w:rsidR="00FD6DAB" w:rsidRPr="00F207B4">
        <w:rPr>
          <w:lang w:val="en-GB"/>
        </w:rPr>
        <w:t xml:space="preserve"> over a single day, confirming that the storage is inherently suited </w:t>
      </w:r>
      <w:r w:rsidR="00FD6DAB" w:rsidRPr="00F207B4">
        <w:rPr>
          <w:lang w:val="en-GB"/>
        </w:rPr>
        <w:lastRenderedPageBreak/>
        <w:t xml:space="preserve">to medium and long-term </w:t>
      </w:r>
      <w:r w:rsidR="00736B1B" w:rsidRPr="00F207B4">
        <w:rPr>
          <w:lang w:val="en-GB"/>
        </w:rPr>
        <w:t>TES</w:t>
      </w:r>
      <w:r w:rsidR="00FD6DAB" w:rsidRPr="00F207B4">
        <w:rPr>
          <w:lang w:val="en-GB"/>
        </w:rPr>
        <w:t xml:space="preserve"> rather than short-duration cycling.</w:t>
      </w:r>
    </w:p>
    <w:p w14:paraId="4443148A" w14:textId="5773E4A1" w:rsidR="00704F60" w:rsidRPr="00F207B4" w:rsidRDefault="00FD6DAB" w:rsidP="00BC1171">
      <w:pPr>
        <w:pStyle w:val="SWCText"/>
        <w:rPr>
          <w:lang w:val="en-GB"/>
        </w:rPr>
      </w:pPr>
      <w:r w:rsidRPr="00F207B4">
        <w:rPr>
          <w:lang w:val="en-GB"/>
        </w:rPr>
        <w:t>During the discharg</w:t>
      </w:r>
      <w:r w:rsidR="008A4E20" w:rsidRPr="00F207B4">
        <w:rPr>
          <w:lang w:val="en-GB"/>
        </w:rPr>
        <w:t>e</w:t>
      </w:r>
      <w:r w:rsidRPr="00F207B4">
        <w:rPr>
          <w:lang w:val="en-GB"/>
        </w:rPr>
        <w:t xml:space="preserve">, the opposite behaviour is observed. Heat is rapidly extracted from the sand surrounding the inlet section of the heat exchanger, where temperatures decrease </w:t>
      </w:r>
      <w:r w:rsidR="00704F60" w:rsidRPr="00F207B4">
        <w:rPr>
          <w:lang w:val="en-GB"/>
        </w:rPr>
        <w:t xml:space="preserve">from approximately 28°C after 1h to 21°C after 9h, indicating </w:t>
      </w:r>
      <w:r w:rsidR="001C1559" w:rsidRPr="00F207B4">
        <w:rPr>
          <w:lang w:val="en-GB"/>
        </w:rPr>
        <w:t xml:space="preserve">that </w:t>
      </w:r>
      <w:r w:rsidR="00E4437D" w:rsidRPr="00F207B4">
        <w:rPr>
          <w:lang w:val="en-GB"/>
        </w:rPr>
        <w:t>the</w:t>
      </w:r>
      <w:r w:rsidR="00704F60" w:rsidRPr="00F207B4">
        <w:rPr>
          <w:lang w:val="en-GB"/>
        </w:rPr>
        <w:t xml:space="preserve"> heat previously accumulated around the heat exchanger</w:t>
      </w:r>
      <w:r w:rsidR="00E4437D" w:rsidRPr="00F207B4">
        <w:rPr>
          <w:lang w:val="en-GB"/>
        </w:rPr>
        <w:t xml:space="preserve"> in progressively recovered</w:t>
      </w:r>
      <w:r w:rsidR="00704F60" w:rsidRPr="00F207B4">
        <w:rPr>
          <w:lang w:val="en-GB"/>
        </w:rPr>
        <w:t>.</w:t>
      </w:r>
      <w:r w:rsidRPr="00F207B4">
        <w:rPr>
          <w:lang w:val="en-GB"/>
        </w:rPr>
        <w:t xml:space="preserve"> </w:t>
      </w:r>
      <w:r w:rsidR="00C5016C" w:rsidRPr="00F207B4">
        <w:rPr>
          <w:lang w:val="en-GB"/>
        </w:rPr>
        <w:t>By</w:t>
      </w:r>
      <w:r w:rsidRPr="00F207B4">
        <w:rPr>
          <w:lang w:val="en-GB"/>
        </w:rPr>
        <w:t xml:space="preserve"> contrast, the </w:t>
      </w:r>
      <w:r w:rsidR="00C5016C" w:rsidRPr="00F207B4">
        <w:rPr>
          <w:lang w:val="en-GB"/>
        </w:rPr>
        <w:t xml:space="preserve">outlet </w:t>
      </w:r>
      <w:r w:rsidRPr="00F207B4">
        <w:rPr>
          <w:lang w:val="en-GB"/>
        </w:rPr>
        <w:t xml:space="preserve">temperature remains almost constant at </w:t>
      </w:r>
      <w:r w:rsidR="00C5016C" w:rsidRPr="00F207B4">
        <w:rPr>
          <w:lang w:val="en-GB"/>
        </w:rPr>
        <w:t>around</w:t>
      </w:r>
      <w:r w:rsidRPr="00F207B4">
        <w:rPr>
          <w:lang w:val="en-GB"/>
        </w:rPr>
        <w:t xml:space="preserve"> 19°C, indicating that the HTF continuously recovers </w:t>
      </w:r>
      <w:r w:rsidR="008E0E03" w:rsidRPr="00F207B4">
        <w:rPr>
          <w:lang w:val="en-GB"/>
        </w:rPr>
        <w:t xml:space="preserve">the </w:t>
      </w:r>
      <w:r w:rsidRPr="00F207B4">
        <w:rPr>
          <w:lang w:val="en-GB"/>
        </w:rPr>
        <w:t xml:space="preserve">heat accumulated along the entire </w:t>
      </w:r>
      <w:r w:rsidR="00C5016C" w:rsidRPr="00F207B4">
        <w:rPr>
          <w:lang w:val="en-GB"/>
        </w:rPr>
        <w:t>l</w:t>
      </w:r>
      <w:r w:rsidRPr="00F207B4">
        <w:rPr>
          <w:lang w:val="en-GB"/>
        </w:rPr>
        <w:t>ength</w:t>
      </w:r>
      <w:r w:rsidR="00C5016C" w:rsidRPr="00F207B4">
        <w:rPr>
          <w:lang w:val="en-GB"/>
        </w:rPr>
        <w:t xml:space="preserve"> of the tube</w:t>
      </w:r>
      <w:r w:rsidRPr="00F207B4">
        <w:rPr>
          <w:lang w:val="en-GB"/>
        </w:rPr>
        <w:t xml:space="preserve">. This relatively uniform outlet temperature </w:t>
      </w:r>
      <w:r w:rsidR="00C5016C" w:rsidRPr="00F207B4">
        <w:rPr>
          <w:lang w:val="en-GB"/>
        </w:rPr>
        <w:t>reflects</w:t>
      </w:r>
      <w:r w:rsidRPr="00F207B4">
        <w:rPr>
          <w:lang w:val="en-GB"/>
        </w:rPr>
        <w:t xml:space="preserve"> the </w:t>
      </w:r>
      <w:r w:rsidR="00C5016C" w:rsidRPr="00F207B4">
        <w:rPr>
          <w:lang w:val="en-GB"/>
        </w:rPr>
        <w:t>gradual</w:t>
      </w:r>
      <w:r w:rsidRPr="00F207B4">
        <w:rPr>
          <w:lang w:val="en-GB"/>
        </w:rPr>
        <w:t xml:space="preserve"> extraction of the stored thermal energy.</w:t>
      </w:r>
      <w:r w:rsidR="00F25418" w:rsidRPr="00F207B4">
        <w:rPr>
          <w:lang w:val="en-GB"/>
        </w:rPr>
        <w:t xml:space="preserve"> </w:t>
      </w:r>
      <w:r w:rsidR="005C76A8">
        <w:rPr>
          <w:lang w:val="en-GB"/>
        </w:rPr>
        <w:t>During the first daily cycle, t</w:t>
      </w:r>
      <w:r w:rsidR="00F25418" w:rsidRPr="00F207B4">
        <w:rPr>
          <w:lang w:val="en-GB"/>
        </w:rPr>
        <w:t xml:space="preserve">he charged and discharged energies amount </w:t>
      </w:r>
      <w:r w:rsidR="00F25418" w:rsidRPr="00846510">
        <w:rPr>
          <w:lang w:val="en-GB"/>
        </w:rPr>
        <w:t xml:space="preserve">to </w:t>
      </w:r>
      <w:r w:rsidR="00032492" w:rsidRPr="00846510">
        <w:rPr>
          <w:lang w:val="en-GB"/>
        </w:rPr>
        <w:t>165.6 and 53.3</w:t>
      </w:r>
      <w:r w:rsidR="00F25418" w:rsidRPr="00846510">
        <w:rPr>
          <w:lang w:val="en-GB"/>
        </w:rPr>
        <w:t xml:space="preserve"> </w:t>
      </w:r>
      <w:proofErr w:type="spellStart"/>
      <w:r w:rsidR="00F25418" w:rsidRPr="00846510">
        <w:rPr>
          <w:lang w:val="en-GB"/>
        </w:rPr>
        <w:t>kWh</w:t>
      </w:r>
      <w:r w:rsidR="00F25418" w:rsidRPr="00846510">
        <w:rPr>
          <w:vertAlign w:val="subscript"/>
          <w:lang w:val="en-GB"/>
        </w:rPr>
        <w:t>th</w:t>
      </w:r>
      <w:proofErr w:type="spellEnd"/>
      <w:r w:rsidR="00F25418" w:rsidRPr="00846510">
        <w:rPr>
          <w:lang w:val="en-GB"/>
        </w:rPr>
        <w:t xml:space="preserve">. At the end of the </w:t>
      </w:r>
      <w:r w:rsidR="0086758F" w:rsidRPr="00846510">
        <w:rPr>
          <w:lang w:val="en-GB"/>
        </w:rPr>
        <w:t>three</w:t>
      </w:r>
      <w:r w:rsidR="00F25418" w:rsidRPr="00846510">
        <w:rPr>
          <w:lang w:val="en-GB"/>
        </w:rPr>
        <w:t xml:space="preserve">-month simulation, these </w:t>
      </w:r>
      <w:r w:rsidR="005C76A8" w:rsidRPr="00846510">
        <w:rPr>
          <w:lang w:val="en-GB"/>
        </w:rPr>
        <w:t xml:space="preserve">corresponding </w:t>
      </w:r>
      <w:r w:rsidR="00F25418" w:rsidRPr="00846510">
        <w:rPr>
          <w:lang w:val="en-GB"/>
        </w:rPr>
        <w:t xml:space="preserve">energies reach </w:t>
      </w:r>
      <w:r w:rsidR="00032492" w:rsidRPr="00846510">
        <w:rPr>
          <w:lang w:val="en-GB"/>
        </w:rPr>
        <w:t>8374.4 and 9257.9</w:t>
      </w:r>
      <w:r w:rsidR="00F25418" w:rsidRPr="00846510">
        <w:rPr>
          <w:lang w:val="en-GB"/>
        </w:rPr>
        <w:t xml:space="preserve"> </w:t>
      </w:r>
      <w:proofErr w:type="spellStart"/>
      <w:r w:rsidR="00F25418" w:rsidRPr="00846510">
        <w:rPr>
          <w:lang w:val="en-GB"/>
        </w:rPr>
        <w:t>kWh</w:t>
      </w:r>
      <w:r w:rsidR="00F25418" w:rsidRPr="00846510">
        <w:rPr>
          <w:vertAlign w:val="subscript"/>
          <w:lang w:val="en-GB"/>
        </w:rPr>
        <w:t>th</w:t>
      </w:r>
      <w:proofErr w:type="spellEnd"/>
      <w:r w:rsidR="00F25418" w:rsidRPr="00F207B4">
        <w:rPr>
          <w:lang w:val="en-GB"/>
        </w:rPr>
        <w:t>.</w:t>
      </w:r>
    </w:p>
    <w:p w14:paraId="4133C47E" w14:textId="2853A786" w:rsidR="00BC1171" w:rsidRDefault="00704F60" w:rsidP="00704F60">
      <w:pPr>
        <w:pStyle w:val="SWCText"/>
        <w:rPr>
          <w:lang w:val="en-GB"/>
        </w:rPr>
      </w:pPr>
      <w:r w:rsidRPr="007979A8">
        <w:rPr>
          <w:bCs/>
          <w:lang w:val="en-GB"/>
        </w:rPr>
        <w:t xml:space="preserve">Overall, </w:t>
      </w:r>
      <w:r w:rsidR="000568EA" w:rsidRPr="007979A8">
        <w:rPr>
          <w:lang w:val="en-GB"/>
        </w:rPr>
        <w:t xml:space="preserve">these results demonstrate that </w:t>
      </w:r>
      <w:r w:rsidR="005D4031" w:rsidRPr="007979A8">
        <w:rPr>
          <w:lang w:val="en-GB"/>
        </w:rPr>
        <w:t>conducti</w:t>
      </w:r>
      <w:r w:rsidR="001C1559" w:rsidRPr="007979A8">
        <w:rPr>
          <w:lang w:val="en-GB"/>
        </w:rPr>
        <w:t>ve heat transfer</w:t>
      </w:r>
      <w:r w:rsidR="000568EA" w:rsidRPr="007979A8">
        <w:rPr>
          <w:lang w:val="en-GB"/>
        </w:rPr>
        <w:t xml:space="preserve"> through the sand governs the transient thermal behaviour of the HUTES</w:t>
      </w:r>
      <w:r w:rsidRPr="007979A8">
        <w:rPr>
          <w:bCs/>
          <w:lang w:val="en-GB"/>
        </w:rPr>
        <w:t xml:space="preserve">. As a result, only a limited portion of the storage volume </w:t>
      </w:r>
      <w:r w:rsidR="008E0E03" w:rsidRPr="007979A8">
        <w:rPr>
          <w:lang w:val="en-GB"/>
        </w:rPr>
        <w:t>is involved</w:t>
      </w:r>
      <w:r w:rsidR="005D4031" w:rsidRPr="007979A8">
        <w:rPr>
          <w:lang w:val="en-GB"/>
        </w:rPr>
        <w:t xml:space="preserve"> in heat exchange during a </w:t>
      </w:r>
      <w:r w:rsidRPr="007979A8">
        <w:rPr>
          <w:bCs/>
          <w:lang w:val="en-GB"/>
        </w:rPr>
        <w:t xml:space="preserve">single daily </w:t>
      </w:r>
      <w:r w:rsidR="00DF3618" w:rsidRPr="007979A8">
        <w:rPr>
          <w:bCs/>
          <w:lang w:val="en-GB"/>
        </w:rPr>
        <w:t>charge</w:t>
      </w:r>
      <w:r w:rsidRPr="007979A8">
        <w:rPr>
          <w:bCs/>
          <w:lang w:val="en-GB"/>
        </w:rPr>
        <w:t>, whereas successive charg</w:t>
      </w:r>
      <w:r w:rsidR="008E0E03" w:rsidRPr="007979A8">
        <w:rPr>
          <w:bCs/>
          <w:lang w:val="en-GB"/>
        </w:rPr>
        <w:t>e</w:t>
      </w:r>
      <w:r w:rsidR="006C25C5" w:rsidRPr="007979A8">
        <w:rPr>
          <w:bCs/>
          <w:lang w:val="en-GB"/>
        </w:rPr>
        <w:t>s</w:t>
      </w:r>
      <w:r w:rsidRPr="007979A8">
        <w:rPr>
          <w:bCs/>
          <w:lang w:val="en-GB"/>
        </w:rPr>
        <w:t xml:space="preserve"> progressively extend the heated zone. </w:t>
      </w:r>
      <w:r w:rsidR="005C76A8" w:rsidRPr="007979A8">
        <w:rPr>
          <w:lang w:val="en-GB"/>
        </w:rPr>
        <w:t>After approximately one month of operation, the difference between the cumulative charged and discharged energies becomes limited, indicating the establishment of a quasi-periodic thermal regime.</w:t>
      </w:r>
      <w:r w:rsidR="0092480E">
        <w:rPr>
          <w:lang w:val="en-GB"/>
        </w:rPr>
        <w:t xml:space="preserve"> </w:t>
      </w:r>
      <w:r w:rsidR="005C76A8">
        <w:t>The HUTES outlet temperature subsequently remains within a range of approximately 25–32°C.</w:t>
      </w:r>
      <w:r w:rsidR="007979A8">
        <w:t xml:space="preserve"> </w:t>
      </w:r>
      <w:r w:rsidRPr="00F207B4">
        <w:rPr>
          <w:bCs/>
          <w:lang w:val="en-GB"/>
        </w:rPr>
        <w:t xml:space="preserve">This behaviour is </w:t>
      </w:r>
      <w:r w:rsidR="0007137A" w:rsidRPr="00F207B4">
        <w:rPr>
          <w:bCs/>
          <w:lang w:val="en-GB"/>
        </w:rPr>
        <w:t xml:space="preserve">consistent with the intended operation of the HUTES, </w:t>
      </w:r>
      <w:r w:rsidR="00F86A98">
        <w:rPr>
          <w:bCs/>
          <w:lang w:val="en-GB"/>
        </w:rPr>
        <w:t>in which</w:t>
      </w:r>
      <w:r w:rsidR="0007137A" w:rsidRPr="00F207B4">
        <w:rPr>
          <w:bCs/>
          <w:lang w:val="en-GB"/>
        </w:rPr>
        <w:t xml:space="preserve"> heat is gradually accumulated </w:t>
      </w:r>
      <w:r w:rsidR="00F86A98">
        <w:rPr>
          <w:bCs/>
          <w:lang w:val="en-GB"/>
        </w:rPr>
        <w:t>and</w:t>
      </w:r>
      <w:r w:rsidR="0007137A" w:rsidRPr="00F207B4">
        <w:rPr>
          <w:bCs/>
          <w:lang w:val="en-GB"/>
        </w:rPr>
        <w:t xml:space="preserve"> recovered </w:t>
      </w:r>
      <w:r w:rsidR="00F86A98">
        <w:rPr>
          <w:bCs/>
          <w:lang w:val="en-GB"/>
        </w:rPr>
        <w:t>over successive cycles</w:t>
      </w:r>
      <w:r w:rsidRPr="00F207B4">
        <w:rPr>
          <w:bCs/>
          <w:lang w:val="en-GB"/>
        </w:rPr>
        <w:t xml:space="preserve">. </w:t>
      </w:r>
      <w:r w:rsidR="00DF3618" w:rsidRPr="00F207B4">
        <w:rPr>
          <w:lang w:val="en-GB"/>
        </w:rPr>
        <w:t>The slow propagation of the thermal front also indicates that increasing the heat exchange surface may be more effective than increasing the storage volume when improving short-term charging performance.</w:t>
      </w:r>
    </w:p>
    <w:p w14:paraId="2C4E7B79" w14:textId="2C20B1E3" w:rsidR="0092480E" w:rsidRPr="003466E8" w:rsidRDefault="002732CF" w:rsidP="00704F60">
      <w:pPr>
        <w:pStyle w:val="SWCText"/>
        <w:rPr>
          <w:bCs/>
          <w:highlight w:val="yellow"/>
          <w:lang w:val="en-GB"/>
        </w:rPr>
      </w:pPr>
      <w:r w:rsidRPr="003466E8">
        <w:rPr>
          <w:bCs/>
          <w:lang w:val="en-GB"/>
        </w:rPr>
        <w:t>Th</w:t>
      </w:r>
      <w:r w:rsidR="003466E8" w:rsidRPr="003466E8">
        <w:rPr>
          <w:bCs/>
          <w:lang w:val="en-GB"/>
        </w:rPr>
        <w:t>e SPF</w:t>
      </w:r>
      <w:r w:rsidR="0092480E" w:rsidRPr="003466E8">
        <w:rPr>
          <w:bCs/>
          <w:lang w:val="en-GB"/>
        </w:rPr>
        <w:t xml:space="preserve"> </w:t>
      </w:r>
      <w:r w:rsidR="00846510" w:rsidRPr="003466E8">
        <w:rPr>
          <w:bCs/>
          <w:lang w:val="en-GB"/>
        </w:rPr>
        <w:t>in</w:t>
      </w:r>
      <w:r w:rsidR="0092480E" w:rsidRPr="003466E8">
        <w:rPr>
          <w:bCs/>
          <w:lang w:val="en-GB"/>
        </w:rPr>
        <w:t xml:space="preserve">creases from </w:t>
      </w:r>
      <w:r w:rsidR="00846510" w:rsidRPr="003466E8">
        <w:rPr>
          <w:bCs/>
          <w:lang w:val="en-GB"/>
        </w:rPr>
        <w:t>19.3</w:t>
      </w:r>
      <w:r w:rsidR="0092480E" w:rsidRPr="003466E8">
        <w:rPr>
          <w:bCs/>
          <w:lang w:val="en-GB"/>
        </w:rPr>
        <w:t xml:space="preserve"> after one day to </w:t>
      </w:r>
      <w:r w:rsidR="00846510" w:rsidRPr="003466E8">
        <w:rPr>
          <w:bCs/>
          <w:lang w:val="en-GB"/>
        </w:rPr>
        <w:t>41.2</w:t>
      </w:r>
      <w:r w:rsidR="0092480E" w:rsidRPr="003466E8">
        <w:rPr>
          <w:bCs/>
          <w:lang w:val="en-GB"/>
        </w:rPr>
        <w:t xml:space="preserve"> after 10 days, </w:t>
      </w:r>
      <w:r w:rsidR="00846510" w:rsidRPr="003466E8">
        <w:rPr>
          <w:bCs/>
          <w:lang w:val="en-GB"/>
        </w:rPr>
        <w:t>47.3</w:t>
      </w:r>
      <w:r w:rsidR="0092480E" w:rsidRPr="003466E8">
        <w:rPr>
          <w:bCs/>
          <w:lang w:val="en-GB"/>
        </w:rPr>
        <w:t xml:space="preserve"> after one month and </w:t>
      </w:r>
      <w:r w:rsidR="00846510" w:rsidRPr="003466E8">
        <w:rPr>
          <w:bCs/>
          <w:lang w:val="en-GB"/>
        </w:rPr>
        <w:t>51.2</w:t>
      </w:r>
      <w:r w:rsidR="0092480E" w:rsidRPr="003466E8">
        <w:rPr>
          <w:bCs/>
          <w:lang w:val="en-GB"/>
        </w:rPr>
        <w:t xml:space="preserve"> after three months</w:t>
      </w:r>
      <w:r w:rsidRPr="003466E8">
        <w:rPr>
          <w:bCs/>
          <w:lang w:val="en-GB"/>
        </w:rPr>
        <w:t>,</w:t>
      </w:r>
      <w:r w:rsidR="00A24F1B" w:rsidRPr="003466E8">
        <w:rPr>
          <w:bCs/>
          <w:lang w:val="en-GB"/>
        </w:rPr>
        <w:t xml:space="preserve"> </w:t>
      </w:r>
      <w:r w:rsidR="00A24F1B" w:rsidRPr="003466E8">
        <w:rPr>
          <w:lang w:val="en-GB"/>
        </w:rPr>
        <w:t>reflecting the increasing recovery of stored thermal energy relative to the electricity consumed for pumping</w:t>
      </w:r>
      <w:r w:rsidR="00A24F1B" w:rsidRPr="003466E8">
        <w:rPr>
          <w:lang w:val="en-GB"/>
        </w:rPr>
        <w:t>.</w:t>
      </w:r>
      <w:r w:rsidR="003466E8" w:rsidRPr="003466E8">
        <w:rPr>
          <w:bCs/>
          <w:lang w:val="en-GB"/>
        </w:rPr>
        <w:t xml:space="preserve"> </w:t>
      </w:r>
      <w:r w:rsidR="003466E8" w:rsidRPr="003466E8">
        <w:rPr>
          <w:bCs/>
          <w:lang w:val="en-GB"/>
        </w:rPr>
        <w:t>The evolution of the SPF further supports the establishment of this quasi-periodic regime.</w:t>
      </w:r>
      <w:r w:rsidR="003466E8" w:rsidRPr="003466E8">
        <w:rPr>
          <w:bCs/>
          <w:lang w:val="en-GB"/>
        </w:rPr>
        <w:t xml:space="preserve"> Indeed, </w:t>
      </w:r>
      <w:r w:rsidR="003466E8" w:rsidRPr="003466E8">
        <w:rPr>
          <w:lang w:val="en-GB"/>
        </w:rPr>
        <w:t>the increase in SPF progressively decreases after 10 days, as the storage temperature stabilises over successive cycles.</w:t>
      </w:r>
    </w:p>
    <w:p w14:paraId="5E3C6DC4" w14:textId="0C9B2E61" w:rsidR="00AB5179" w:rsidRPr="00F207B4" w:rsidRDefault="00AB5179" w:rsidP="00AB5179">
      <w:pPr>
        <w:pStyle w:val="SWCHeading11"/>
      </w:pPr>
      <w:r w:rsidRPr="00F207B4">
        <w:t>3.1.2. Discharge after long-term charg</w:t>
      </w:r>
      <w:r w:rsidR="008A4E20" w:rsidRPr="00F207B4">
        <w:t>e</w:t>
      </w:r>
      <w:r w:rsidRPr="00F207B4">
        <w:t xml:space="preserve"> (scenario 1)</w:t>
      </w:r>
    </w:p>
    <w:p w14:paraId="128E8B01" w14:textId="46E6E147" w:rsidR="00AB5179" w:rsidRPr="00F207B4" w:rsidRDefault="00AB5179" w:rsidP="00024A74">
      <w:pPr>
        <w:pStyle w:val="SWCText"/>
        <w:rPr>
          <w:lang w:val="en-GB"/>
        </w:rPr>
      </w:pPr>
      <w:r w:rsidRPr="00F207B4">
        <w:rPr>
          <w:lang w:val="en-GB"/>
        </w:rPr>
        <w:t>To illustrate the seasonal operati</w:t>
      </w:r>
      <w:r w:rsidR="007E6526" w:rsidRPr="00F207B4">
        <w:rPr>
          <w:lang w:val="en-GB"/>
        </w:rPr>
        <w:t>onal</w:t>
      </w:r>
      <w:r w:rsidRPr="00F207B4">
        <w:rPr>
          <w:lang w:val="en-GB"/>
        </w:rPr>
        <w:t xml:space="preserve"> principle of the HUTES, Fig.</w:t>
      </w:r>
      <w:r w:rsidR="000C73E2" w:rsidRPr="00F207B4">
        <w:rPr>
          <w:lang w:val="en-GB"/>
        </w:rPr>
        <w:t xml:space="preserve">4 </w:t>
      </w:r>
      <w:r w:rsidRPr="00F207B4">
        <w:rPr>
          <w:lang w:val="en-GB"/>
        </w:rPr>
        <w:t xml:space="preserve">presents the temperature distribution in the median </w:t>
      </w:r>
      <w:r w:rsidR="00E07915" w:rsidRPr="00F207B4">
        <w:rPr>
          <w:lang w:val="en-GB"/>
        </w:rPr>
        <w:t>vertical</w:t>
      </w:r>
      <w:r w:rsidRPr="00F207B4">
        <w:rPr>
          <w:lang w:val="en-GB"/>
        </w:rPr>
        <w:t xml:space="preserve"> section</w:t>
      </w:r>
      <w:r w:rsidR="00E07915" w:rsidRPr="00F207B4">
        <w:rPr>
          <w:lang w:val="en-GB"/>
        </w:rPr>
        <w:t xml:space="preserve"> X-Z</w:t>
      </w:r>
      <w:r w:rsidRPr="00F207B4">
        <w:rPr>
          <w:lang w:val="en-GB"/>
        </w:rPr>
        <w:t xml:space="preserve"> after </w:t>
      </w:r>
      <w:r w:rsidR="000C73E2" w:rsidRPr="00F207B4">
        <w:rPr>
          <w:lang w:val="en-GB"/>
        </w:rPr>
        <w:t>6</w:t>
      </w:r>
      <w:r w:rsidRPr="00F207B4">
        <w:rPr>
          <w:lang w:val="en-GB"/>
        </w:rPr>
        <w:t xml:space="preserve"> months of </w:t>
      </w:r>
      <w:r w:rsidR="007A7812" w:rsidRPr="00F207B4">
        <w:rPr>
          <w:lang w:val="en-GB"/>
        </w:rPr>
        <w:t xml:space="preserve">repeated daily </w:t>
      </w:r>
      <w:r w:rsidRPr="00F207B4">
        <w:rPr>
          <w:lang w:val="en-GB"/>
        </w:rPr>
        <w:t>charg</w:t>
      </w:r>
      <w:r w:rsidR="007A7812" w:rsidRPr="00F207B4">
        <w:rPr>
          <w:lang w:val="en-GB"/>
        </w:rPr>
        <w:t>es</w:t>
      </w:r>
      <w:r w:rsidR="00E07915" w:rsidRPr="00F207B4">
        <w:rPr>
          <w:lang w:val="en-GB"/>
        </w:rPr>
        <w:t xml:space="preserve"> (</w:t>
      </w:r>
      <w:r w:rsidR="005F1AED" w:rsidRPr="00F207B4">
        <w:rPr>
          <w:lang w:val="en-GB"/>
        </w:rPr>
        <w:t>see Fig.4a</w:t>
      </w:r>
      <w:r w:rsidR="00E07915" w:rsidRPr="00F207B4">
        <w:rPr>
          <w:lang w:val="en-GB"/>
        </w:rPr>
        <w:t>)</w:t>
      </w:r>
      <w:r w:rsidRPr="00F207B4">
        <w:rPr>
          <w:lang w:val="en-GB"/>
        </w:rPr>
        <w:t xml:space="preserve"> and during the first </w:t>
      </w:r>
      <w:r w:rsidR="00E07915" w:rsidRPr="00F207B4">
        <w:rPr>
          <w:lang w:val="en-GB"/>
        </w:rPr>
        <w:t>10 day</w:t>
      </w:r>
      <w:r w:rsidR="001C1559" w:rsidRPr="00F207B4">
        <w:rPr>
          <w:lang w:val="en-GB"/>
        </w:rPr>
        <w:t>s</w:t>
      </w:r>
      <w:r w:rsidR="00E07915" w:rsidRPr="00F207B4">
        <w:rPr>
          <w:lang w:val="en-GB"/>
        </w:rPr>
        <w:t xml:space="preserve"> of </w:t>
      </w:r>
      <w:r w:rsidR="007A7812" w:rsidRPr="00F207B4">
        <w:rPr>
          <w:lang w:val="en-GB"/>
        </w:rPr>
        <w:t>seasonal discharge</w:t>
      </w:r>
      <w:r w:rsidR="005F1AED" w:rsidRPr="00F207B4">
        <w:rPr>
          <w:lang w:val="en-GB"/>
        </w:rPr>
        <w:t xml:space="preserve"> (see Fig.4b-i)</w:t>
      </w:r>
      <w:r w:rsidRPr="00F207B4">
        <w:rPr>
          <w:lang w:val="en-GB"/>
        </w:rPr>
        <w:t>. In contrast to the daily cycle analysed previously</w:t>
      </w:r>
      <w:r w:rsidR="00E07915" w:rsidRPr="00F207B4">
        <w:rPr>
          <w:lang w:val="en-GB"/>
        </w:rPr>
        <w:t xml:space="preserve"> (scenario 2)</w:t>
      </w:r>
      <w:r w:rsidRPr="00F207B4">
        <w:rPr>
          <w:lang w:val="en-GB"/>
        </w:rPr>
        <w:t>, the storage volume has progressively accumulated heat over several months, resulting in a much more homogeneous temperature field</w:t>
      </w:r>
      <w:r w:rsidR="007F3907" w:rsidRPr="00F207B4">
        <w:rPr>
          <w:lang w:val="en-GB"/>
        </w:rPr>
        <w:t xml:space="preserve"> (average </w:t>
      </w:r>
      <w:r w:rsidR="001F70BE" w:rsidRPr="00F207B4">
        <w:rPr>
          <w:lang w:val="en-GB"/>
        </w:rPr>
        <w:t>temperature</w:t>
      </w:r>
      <w:r w:rsidR="007F3907" w:rsidRPr="00F207B4">
        <w:rPr>
          <w:lang w:val="en-GB"/>
        </w:rPr>
        <w:t xml:space="preserve"> of the sand of </w:t>
      </w:r>
      <w:r w:rsidR="001F70BE" w:rsidRPr="00F207B4">
        <w:rPr>
          <w:lang w:val="en-GB"/>
        </w:rPr>
        <w:t>5</w:t>
      </w:r>
      <w:r w:rsidR="009D3AF6" w:rsidRPr="00F207B4">
        <w:rPr>
          <w:lang w:val="en-GB"/>
        </w:rPr>
        <w:t>1</w:t>
      </w:r>
      <w:r w:rsidR="001F70BE" w:rsidRPr="00F207B4">
        <w:rPr>
          <w:lang w:val="en-GB"/>
        </w:rPr>
        <w:t>°C – yellow zone in Fig.4a)</w:t>
      </w:r>
      <w:r w:rsidRPr="00F207B4">
        <w:rPr>
          <w:lang w:val="en-GB"/>
        </w:rPr>
        <w:t xml:space="preserve">. The thermal front has propagated far beyond the vicinity of the buried heat exchanger, demonstrating that </w:t>
      </w:r>
      <w:r w:rsidR="00E07915" w:rsidRPr="00F207B4">
        <w:rPr>
          <w:lang w:val="en-GB"/>
        </w:rPr>
        <w:t>conducti</w:t>
      </w:r>
      <w:r w:rsidR="001C1559" w:rsidRPr="00F207B4">
        <w:rPr>
          <w:lang w:val="en-GB"/>
        </w:rPr>
        <w:t xml:space="preserve">ve heat transfer </w:t>
      </w:r>
      <w:r w:rsidRPr="00F207B4">
        <w:rPr>
          <w:lang w:val="en-GB"/>
        </w:rPr>
        <w:t xml:space="preserve">has gradually mobilised a large fraction of the </w:t>
      </w:r>
      <w:r w:rsidR="007A7812" w:rsidRPr="00F207B4">
        <w:rPr>
          <w:lang w:val="en-GB"/>
        </w:rPr>
        <w:t>storage</w:t>
      </w:r>
      <w:r w:rsidRPr="00F207B4">
        <w:rPr>
          <w:lang w:val="en-GB"/>
        </w:rPr>
        <w:t xml:space="preserve"> volume.</w:t>
      </w:r>
    </w:p>
    <w:p w14:paraId="4B30DDAE" w14:textId="7E753274" w:rsidR="0035100B" w:rsidRPr="00F207B4" w:rsidRDefault="00F86A98" w:rsidP="00AB5179">
      <w:pPr>
        <w:pStyle w:val="SWCText"/>
        <w:jc w:val="center"/>
        <w:rPr>
          <w:lang w:val="en-GB"/>
        </w:rPr>
      </w:pPr>
      <w:r w:rsidRPr="00F86A98">
        <w:rPr>
          <w:noProof/>
          <w:lang w:val="de-DE"/>
        </w:rPr>
        <w:drawing>
          <wp:inline distT="0" distB="0" distL="0" distR="0" wp14:anchorId="7535C3DF" wp14:editId="01B98DA3">
            <wp:extent cx="4087091" cy="3241696"/>
            <wp:effectExtent l="0" t="0" r="8890" b="0"/>
            <wp:docPr id="6" name="Image 5">
              <a:extLst xmlns:a="http://schemas.openxmlformats.org/drawingml/2006/main">
                <a:ext uri="{FF2B5EF4-FFF2-40B4-BE49-F238E27FC236}">
                  <a16:creationId xmlns:a16="http://schemas.microsoft.com/office/drawing/2014/main" id="{ABA90975-0B88-4CFA-BB34-4BFEA9DF66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a:extLst>
                        <a:ext uri="{FF2B5EF4-FFF2-40B4-BE49-F238E27FC236}">
                          <a16:creationId xmlns:a16="http://schemas.microsoft.com/office/drawing/2014/main" id="{ABA90975-0B88-4CFA-BB34-4BFEA9DF66F0}"/>
                        </a:ext>
                      </a:extLst>
                    </pic:cNvPr>
                    <pic:cNvPicPr>
                      <a:picLocks noChangeAspect="1"/>
                    </pic:cNvPicPr>
                  </pic:nvPicPr>
                  <pic:blipFill>
                    <a:blip r:embed="rId12"/>
                    <a:stretch>
                      <a:fillRect/>
                    </a:stretch>
                  </pic:blipFill>
                  <pic:spPr>
                    <a:xfrm>
                      <a:off x="0" y="0"/>
                      <a:ext cx="4087091" cy="3241696"/>
                    </a:xfrm>
                    <a:prstGeom prst="rect">
                      <a:avLst/>
                    </a:prstGeom>
                  </pic:spPr>
                </pic:pic>
              </a:graphicData>
            </a:graphic>
          </wp:inline>
        </w:drawing>
      </w:r>
    </w:p>
    <w:p w14:paraId="5D0D4D65" w14:textId="3DABDEAB" w:rsidR="00AB5179" w:rsidRPr="00F207B4" w:rsidRDefault="00AB5179" w:rsidP="00AB5179">
      <w:pPr>
        <w:pStyle w:val="SWCTableFigureCaption"/>
        <w:rPr>
          <w:rFonts w:eastAsia="SimSun"/>
          <w:lang w:val="en-GB" w:eastAsia="zh-CN"/>
        </w:rPr>
      </w:pPr>
      <w:r w:rsidRPr="00F207B4">
        <w:rPr>
          <w:rFonts w:eastAsia="SimSun"/>
          <w:lang w:val="en-GB" w:eastAsia="zh-CN"/>
        </w:rPr>
        <w:t xml:space="preserve">Fig.4: </w:t>
      </w:r>
      <w:r w:rsidR="001C1559" w:rsidRPr="00F207B4">
        <w:rPr>
          <w:rFonts w:eastAsia="SimSun"/>
          <w:lang w:val="en-GB" w:eastAsia="zh-CN"/>
        </w:rPr>
        <w:t>T</w:t>
      </w:r>
      <w:r w:rsidR="001C1559" w:rsidRPr="00F207B4">
        <w:rPr>
          <w:lang w:val="en-GB"/>
        </w:rPr>
        <w:t>emperature evolution in the median X–Z section during the first 10 days of seasonal discharge (5 pm to 8 am) following six months of repeated daily charge (8 am to 5 pm) (scenario 1)</w:t>
      </w:r>
    </w:p>
    <w:p w14:paraId="6885A7E1" w14:textId="2F374479" w:rsidR="00024A74" w:rsidRPr="00F207B4" w:rsidRDefault="00024A74" w:rsidP="00024A74">
      <w:pPr>
        <w:pStyle w:val="SWCText"/>
        <w:rPr>
          <w:lang w:val="en-GB"/>
        </w:rPr>
      </w:pPr>
      <w:r w:rsidRPr="00F207B4">
        <w:rPr>
          <w:lang w:val="en-GB"/>
        </w:rPr>
        <w:lastRenderedPageBreak/>
        <w:t>At the end of the charg</w:t>
      </w:r>
      <w:r w:rsidR="00B90B55" w:rsidRPr="00F207B4">
        <w:rPr>
          <w:lang w:val="en-GB"/>
        </w:rPr>
        <w:t>e</w:t>
      </w:r>
      <w:r w:rsidRPr="00F207B4">
        <w:rPr>
          <w:lang w:val="en-GB"/>
        </w:rPr>
        <w:t xml:space="preserve"> (see Fig.4a), the highest temperatures remain located close to the heat exchanger</w:t>
      </w:r>
      <w:r w:rsidR="005F1AED" w:rsidRPr="00F207B4">
        <w:rPr>
          <w:lang w:val="en-GB"/>
        </w:rPr>
        <w:t>, and, more specifically, just above it</w:t>
      </w:r>
      <w:r w:rsidR="007E10E9" w:rsidRPr="00F207B4">
        <w:rPr>
          <w:lang w:val="en-GB"/>
        </w:rPr>
        <w:t>. T</w:t>
      </w:r>
      <w:r w:rsidRPr="00F207B4">
        <w:rPr>
          <w:lang w:val="en-GB"/>
        </w:rPr>
        <w:t>he surrounding sand also reaches elevated temperatures owing to the cumulative effect of successive charg</w:t>
      </w:r>
      <w:r w:rsidR="008A4E20" w:rsidRPr="00F207B4">
        <w:rPr>
          <w:lang w:val="en-GB"/>
        </w:rPr>
        <w:t>e</w:t>
      </w:r>
      <w:r w:rsidR="007E10E9" w:rsidRPr="00F207B4">
        <w:rPr>
          <w:lang w:val="en-GB"/>
        </w:rPr>
        <w:t>s</w:t>
      </w:r>
      <w:r w:rsidRPr="00F207B4">
        <w:rPr>
          <w:lang w:val="en-GB"/>
        </w:rPr>
        <w:t xml:space="preserve">. The insulation effectively limits heat losses to the sides, preserving a large amount of thermal energy within the </w:t>
      </w:r>
      <w:r w:rsidR="007E10E9" w:rsidRPr="00F207B4">
        <w:rPr>
          <w:lang w:val="en-GB"/>
        </w:rPr>
        <w:t>HUTES</w:t>
      </w:r>
      <w:r w:rsidRPr="00F207B4">
        <w:rPr>
          <w:lang w:val="en-GB"/>
        </w:rPr>
        <w:t>. Consequently, the stored energy is distributed over a significantly larger volume than during a single daily charge (see Fig.3a).</w:t>
      </w:r>
    </w:p>
    <w:p w14:paraId="617F75C2" w14:textId="33DA80A0" w:rsidR="00B97E0A" w:rsidRPr="00F207B4" w:rsidRDefault="00C6733A" w:rsidP="00024A74">
      <w:pPr>
        <w:pStyle w:val="SWCText"/>
        <w:rPr>
          <w:lang w:val="en-GB"/>
        </w:rPr>
      </w:pPr>
      <w:r w:rsidRPr="00F207B4">
        <w:rPr>
          <w:lang w:val="en-GB"/>
        </w:rPr>
        <w:t>During the first hours of discharge (</w:t>
      </w:r>
      <w:r w:rsidR="00B97E0A" w:rsidRPr="00F207B4">
        <w:rPr>
          <w:lang w:val="en-GB"/>
        </w:rPr>
        <w:t xml:space="preserve">see </w:t>
      </w:r>
      <w:r w:rsidRPr="00F207B4">
        <w:rPr>
          <w:lang w:val="en-GB"/>
        </w:rPr>
        <w:t>Fig. 4a</w:t>
      </w:r>
      <w:r w:rsidR="001C1559" w:rsidRPr="00F207B4">
        <w:rPr>
          <w:lang w:val="en-GB"/>
        </w:rPr>
        <w:t xml:space="preserve"> to d</w:t>
      </w:r>
      <w:r w:rsidRPr="00F207B4">
        <w:rPr>
          <w:lang w:val="en-GB"/>
        </w:rPr>
        <w:t>), cooling remains confined to the vicinity of the heat exchanger. As the discharge progresses, the cooled region gradually expands into the storage while the surrounding warm sand continuously replenishes the heat extracted by the HTF through conductive heat transfer.</w:t>
      </w:r>
      <w:r w:rsidR="00B97E0A" w:rsidRPr="00F207B4">
        <w:rPr>
          <w:lang w:val="en-GB"/>
        </w:rPr>
        <w:t xml:space="preserve"> The average temperature</w:t>
      </w:r>
      <w:r w:rsidR="009D3AF6" w:rsidRPr="00F207B4">
        <w:rPr>
          <w:lang w:val="en-GB"/>
        </w:rPr>
        <w:t xml:space="preserve"> of the sand</w:t>
      </w:r>
      <w:r w:rsidR="00B97E0A" w:rsidRPr="00F207B4">
        <w:rPr>
          <w:lang w:val="en-GB"/>
        </w:rPr>
        <w:t xml:space="preserve"> decreases from approximately 5</w:t>
      </w:r>
      <w:r w:rsidR="006F2C6F" w:rsidRPr="00F207B4">
        <w:rPr>
          <w:lang w:val="en-GB"/>
        </w:rPr>
        <w:t>1</w:t>
      </w:r>
      <w:r w:rsidR="00B97E0A" w:rsidRPr="00F207B4">
        <w:rPr>
          <w:lang w:val="en-GB"/>
        </w:rPr>
        <w:t>°C at the beginning of the discharge to about 4</w:t>
      </w:r>
      <w:r w:rsidR="006F2C6F" w:rsidRPr="00F207B4">
        <w:rPr>
          <w:lang w:val="en-GB"/>
        </w:rPr>
        <w:t>6</w:t>
      </w:r>
      <w:r w:rsidR="00B97E0A" w:rsidRPr="00F207B4">
        <w:rPr>
          <w:lang w:val="en-GB"/>
        </w:rPr>
        <w:t>°C after 43h (3 days) (see Fig.4f), highlighting the progressive release of the stored thermal energ</w:t>
      </w:r>
      <w:r w:rsidR="009D3AF6" w:rsidRPr="00F207B4">
        <w:rPr>
          <w:lang w:val="en-GB"/>
        </w:rPr>
        <w:t>y</w:t>
      </w:r>
      <w:r w:rsidR="00B97E0A" w:rsidRPr="00F207B4">
        <w:rPr>
          <w:lang w:val="en-GB"/>
        </w:rPr>
        <w:t xml:space="preserve">. Even after 85h of cumulative discharge (10 days), a significant portion of the </w:t>
      </w:r>
      <w:r w:rsidR="009D3AF6" w:rsidRPr="00F207B4">
        <w:rPr>
          <w:lang w:val="en-GB"/>
        </w:rPr>
        <w:t>HUTES</w:t>
      </w:r>
      <w:r w:rsidR="00B97E0A" w:rsidRPr="00F207B4">
        <w:rPr>
          <w:lang w:val="en-GB"/>
        </w:rPr>
        <w:t xml:space="preserve"> remains at temperatures above 3</w:t>
      </w:r>
      <w:r w:rsidR="00473E0D" w:rsidRPr="00F207B4">
        <w:rPr>
          <w:lang w:val="en-GB"/>
        </w:rPr>
        <w:t>5</w:t>
      </w:r>
      <w:r w:rsidR="00B97E0A" w:rsidRPr="00F207B4">
        <w:rPr>
          <w:lang w:val="en-GB"/>
        </w:rPr>
        <w:t xml:space="preserve">°C (see Fig.4i), demonstrating </w:t>
      </w:r>
      <w:r w:rsidR="009D3AF6" w:rsidRPr="00F207B4">
        <w:rPr>
          <w:lang w:val="en-GB"/>
        </w:rPr>
        <w:t>its</w:t>
      </w:r>
      <w:r w:rsidR="00B97E0A" w:rsidRPr="00F207B4">
        <w:rPr>
          <w:lang w:val="en-GB"/>
        </w:rPr>
        <w:t xml:space="preserve"> high thermal inertia and its ability to deliver useful thermal energy for several weeks.</w:t>
      </w:r>
    </w:p>
    <w:p w14:paraId="619B8C46" w14:textId="66E68B4D" w:rsidR="0073505B" w:rsidRPr="00F207B4" w:rsidRDefault="008E0E03" w:rsidP="00024A74">
      <w:pPr>
        <w:pStyle w:val="SWCText"/>
        <w:rPr>
          <w:b/>
          <w:color w:val="auto"/>
          <w:lang w:val="en-GB"/>
        </w:rPr>
      </w:pPr>
      <w:r w:rsidRPr="00F207B4">
        <w:rPr>
          <w:color w:val="auto"/>
          <w:lang w:val="en-GB"/>
        </w:rPr>
        <w:t>In addition to</w:t>
      </w:r>
      <w:r w:rsidR="005229A8" w:rsidRPr="00F207B4">
        <w:rPr>
          <w:color w:val="auto"/>
          <w:lang w:val="en-GB"/>
        </w:rPr>
        <w:t xml:space="preserve"> the temperature field analysis, the corresponding energy balance confirms the seasonal capability of the HUTES. After </w:t>
      </w:r>
      <w:r w:rsidR="009820BC" w:rsidRPr="00F207B4">
        <w:rPr>
          <w:color w:val="auto"/>
          <w:lang w:val="en-GB"/>
        </w:rPr>
        <w:t>3</w:t>
      </w:r>
      <w:r w:rsidRPr="00F207B4">
        <w:rPr>
          <w:color w:val="auto"/>
          <w:lang w:val="en-GB"/>
        </w:rPr>
        <w:t xml:space="preserve"> </w:t>
      </w:r>
      <w:r w:rsidR="005229A8" w:rsidRPr="00F207B4">
        <w:rPr>
          <w:color w:val="auto"/>
          <w:lang w:val="en-GB"/>
        </w:rPr>
        <w:t>month</w:t>
      </w:r>
      <w:r w:rsidRPr="00F207B4">
        <w:rPr>
          <w:color w:val="auto"/>
          <w:lang w:val="en-GB"/>
        </w:rPr>
        <w:t>s of</w:t>
      </w:r>
      <w:r w:rsidR="005229A8" w:rsidRPr="00F207B4">
        <w:rPr>
          <w:color w:val="auto"/>
          <w:lang w:val="en-GB"/>
        </w:rPr>
        <w:t xml:space="preserve"> charg</w:t>
      </w:r>
      <w:r w:rsidR="009820BC" w:rsidRPr="00F207B4">
        <w:rPr>
          <w:color w:val="auto"/>
          <w:lang w:val="en-GB"/>
        </w:rPr>
        <w:t>e</w:t>
      </w:r>
      <w:r w:rsidR="005229A8" w:rsidRPr="00F207B4">
        <w:rPr>
          <w:color w:val="auto"/>
          <w:lang w:val="en-GB"/>
        </w:rPr>
        <w:t xml:space="preserve">, approximately </w:t>
      </w:r>
      <w:r w:rsidR="00674762" w:rsidRPr="00F207B4">
        <w:rPr>
          <w:rStyle w:val="lev"/>
          <w:b w:val="0"/>
          <w:color w:val="auto"/>
          <w:lang w:val="en-GB"/>
        </w:rPr>
        <w:t>39</w:t>
      </w:r>
      <w:r w:rsidR="00A0692E" w:rsidRPr="00F207B4">
        <w:rPr>
          <w:rStyle w:val="lev"/>
          <w:b w:val="0"/>
          <w:color w:val="auto"/>
          <w:lang w:val="en-GB"/>
        </w:rPr>
        <w:t>9</w:t>
      </w:r>
      <w:r w:rsidR="00674762" w:rsidRPr="00F207B4">
        <w:rPr>
          <w:rStyle w:val="lev"/>
          <w:b w:val="0"/>
          <w:color w:val="auto"/>
          <w:lang w:val="en-GB"/>
        </w:rPr>
        <w:t>0</w:t>
      </w:r>
      <w:r w:rsidR="005229A8" w:rsidRPr="00F207B4">
        <w:rPr>
          <w:rStyle w:val="lev"/>
          <w:b w:val="0"/>
          <w:color w:val="auto"/>
          <w:lang w:val="en-GB"/>
        </w:rPr>
        <w:t xml:space="preserve"> </w:t>
      </w:r>
      <w:proofErr w:type="spellStart"/>
      <w:r w:rsidR="00810DA6" w:rsidRPr="00F207B4">
        <w:rPr>
          <w:rStyle w:val="lev"/>
          <w:b w:val="0"/>
          <w:color w:val="auto"/>
          <w:lang w:val="en-GB"/>
        </w:rPr>
        <w:t>k</w:t>
      </w:r>
      <w:r w:rsidR="005229A8" w:rsidRPr="00F207B4">
        <w:rPr>
          <w:rStyle w:val="lev"/>
          <w:b w:val="0"/>
          <w:color w:val="auto"/>
          <w:lang w:val="en-GB"/>
        </w:rPr>
        <w:t>Wh</w:t>
      </w:r>
      <w:r w:rsidR="005229A8" w:rsidRPr="00F207B4">
        <w:rPr>
          <w:rStyle w:val="lev"/>
          <w:b w:val="0"/>
          <w:color w:val="auto"/>
          <w:vertAlign w:val="subscript"/>
          <w:lang w:val="en-GB"/>
        </w:rPr>
        <w:t>th</w:t>
      </w:r>
      <w:proofErr w:type="spellEnd"/>
      <w:r w:rsidR="005229A8" w:rsidRPr="00F207B4">
        <w:rPr>
          <w:color w:val="auto"/>
          <w:lang w:val="en-GB"/>
        </w:rPr>
        <w:t xml:space="preserve"> are stored </w:t>
      </w:r>
      <w:r w:rsidRPr="00F207B4">
        <w:rPr>
          <w:color w:val="auto"/>
          <w:lang w:val="en-GB"/>
        </w:rPr>
        <w:t>in</w:t>
      </w:r>
      <w:r w:rsidR="005229A8" w:rsidRPr="00F207B4">
        <w:rPr>
          <w:color w:val="auto"/>
          <w:lang w:val="en-GB"/>
        </w:rPr>
        <w:t xml:space="preserve"> the system. </w:t>
      </w:r>
      <w:r w:rsidR="00F86A98">
        <w:t xml:space="preserve">During this period, </w:t>
      </w:r>
      <w:r w:rsidR="00151B23" w:rsidRPr="00F207B4">
        <w:rPr>
          <w:color w:val="auto"/>
          <w:lang w:val="en-GB"/>
        </w:rPr>
        <w:t>approximately</w:t>
      </w:r>
      <w:r w:rsidR="00A0692E" w:rsidRPr="00F207B4">
        <w:rPr>
          <w:color w:val="auto"/>
          <w:lang w:val="en-GB"/>
        </w:rPr>
        <w:t xml:space="preserve"> 115</w:t>
      </w:r>
      <w:r w:rsidR="0098474D">
        <w:rPr>
          <w:color w:val="auto"/>
          <w:lang w:val="en-GB"/>
        </w:rPr>
        <w:t>8</w:t>
      </w:r>
      <w:r w:rsidR="00A0692E" w:rsidRPr="00F207B4">
        <w:rPr>
          <w:color w:val="auto"/>
          <w:lang w:val="en-GB"/>
        </w:rPr>
        <w:t xml:space="preserve"> </w:t>
      </w:r>
      <w:proofErr w:type="spellStart"/>
      <w:r w:rsidR="00A0692E" w:rsidRPr="00F207B4">
        <w:rPr>
          <w:color w:val="auto"/>
          <w:lang w:val="en-GB"/>
        </w:rPr>
        <w:t>kWh</w:t>
      </w:r>
      <w:r w:rsidR="00A0692E" w:rsidRPr="00F207B4">
        <w:rPr>
          <w:rStyle w:val="lev"/>
          <w:b w:val="0"/>
          <w:color w:val="auto"/>
          <w:vertAlign w:val="subscript"/>
          <w:lang w:val="en-GB"/>
        </w:rPr>
        <w:t>th</w:t>
      </w:r>
      <w:proofErr w:type="spellEnd"/>
      <w:r w:rsidR="00A0692E" w:rsidRPr="00F207B4">
        <w:rPr>
          <w:color w:val="auto"/>
          <w:lang w:val="en-GB"/>
        </w:rPr>
        <w:t xml:space="preserve"> are lost through the </w:t>
      </w:r>
      <w:r w:rsidR="00F86A98">
        <w:t>upper boundary</w:t>
      </w:r>
      <w:r w:rsidR="00D543FF">
        <w:t xml:space="preserve"> </w:t>
      </w:r>
      <w:r w:rsidR="00A0692E" w:rsidRPr="00F207B4">
        <w:rPr>
          <w:color w:val="auto"/>
          <w:lang w:val="en-GB"/>
        </w:rPr>
        <w:t>into the surrounding ground</w:t>
      </w:r>
      <w:r w:rsidR="00F86A98">
        <w:rPr>
          <w:color w:val="auto"/>
          <w:lang w:val="en-GB"/>
        </w:rPr>
        <w:t>,</w:t>
      </w:r>
      <w:r w:rsidR="00A0692E" w:rsidRPr="00F207B4">
        <w:rPr>
          <w:color w:val="auto"/>
          <w:lang w:val="en-GB"/>
        </w:rPr>
        <w:t xml:space="preserve"> </w:t>
      </w:r>
      <w:r w:rsidR="00F86A98">
        <w:t>while heat losses through the side and bottom boundaries are negligible</w:t>
      </w:r>
      <w:r w:rsidR="00A0692E" w:rsidRPr="00F207B4">
        <w:rPr>
          <w:color w:val="auto"/>
          <w:lang w:val="en-GB"/>
        </w:rPr>
        <w:t xml:space="preserve">. </w:t>
      </w:r>
      <w:r w:rsidR="005229A8" w:rsidRPr="00F207B4">
        <w:rPr>
          <w:color w:val="auto"/>
          <w:lang w:val="en-GB"/>
        </w:rPr>
        <w:t xml:space="preserve">During the first </w:t>
      </w:r>
      <w:r w:rsidR="009820BC" w:rsidRPr="00F207B4">
        <w:rPr>
          <w:color w:val="auto"/>
          <w:lang w:val="en-GB"/>
        </w:rPr>
        <w:t>10</w:t>
      </w:r>
      <w:r w:rsidR="005229A8" w:rsidRPr="00F207B4">
        <w:rPr>
          <w:color w:val="auto"/>
          <w:lang w:val="en-GB"/>
        </w:rPr>
        <w:t xml:space="preserve"> days of seasonal discharge, nearly </w:t>
      </w:r>
      <w:r w:rsidR="001C15C5" w:rsidRPr="00F207B4">
        <w:rPr>
          <w:rStyle w:val="lev"/>
          <w:b w:val="0"/>
          <w:color w:val="auto"/>
          <w:lang w:val="en-GB"/>
        </w:rPr>
        <w:t>980</w:t>
      </w:r>
      <w:r w:rsidR="0098474D">
        <w:rPr>
          <w:rStyle w:val="lev"/>
          <w:b w:val="0"/>
          <w:color w:val="auto"/>
          <w:lang w:val="en-GB"/>
        </w:rPr>
        <w:t> </w:t>
      </w:r>
      <w:proofErr w:type="spellStart"/>
      <w:r w:rsidR="00810DA6" w:rsidRPr="00F207B4">
        <w:rPr>
          <w:rStyle w:val="lev"/>
          <w:b w:val="0"/>
          <w:color w:val="auto"/>
          <w:lang w:val="en-GB"/>
        </w:rPr>
        <w:t>k</w:t>
      </w:r>
      <w:r w:rsidR="00674762" w:rsidRPr="00F207B4">
        <w:rPr>
          <w:rStyle w:val="lev"/>
          <w:b w:val="0"/>
          <w:color w:val="auto"/>
          <w:lang w:val="en-GB"/>
        </w:rPr>
        <w:t>Wh</w:t>
      </w:r>
      <w:r w:rsidR="00674762" w:rsidRPr="00F207B4">
        <w:rPr>
          <w:rStyle w:val="lev"/>
          <w:b w:val="0"/>
          <w:color w:val="auto"/>
          <w:vertAlign w:val="subscript"/>
          <w:lang w:val="en-GB"/>
        </w:rPr>
        <w:t>th</w:t>
      </w:r>
      <w:proofErr w:type="spellEnd"/>
      <w:r w:rsidR="00674762" w:rsidRPr="00F207B4">
        <w:rPr>
          <w:color w:val="auto"/>
          <w:lang w:val="en-GB"/>
        </w:rPr>
        <w:t xml:space="preserve"> </w:t>
      </w:r>
      <w:r w:rsidR="005229A8" w:rsidRPr="00F207B4">
        <w:rPr>
          <w:color w:val="auto"/>
          <w:lang w:val="en-GB"/>
        </w:rPr>
        <w:t>are recovered, correspond</w:t>
      </w:r>
      <w:r w:rsidR="00F86A98">
        <w:rPr>
          <w:color w:val="auto"/>
          <w:lang w:val="en-GB"/>
        </w:rPr>
        <w:t>ing</w:t>
      </w:r>
      <w:r w:rsidR="005229A8" w:rsidRPr="00F207B4">
        <w:rPr>
          <w:color w:val="auto"/>
          <w:lang w:val="en-GB"/>
        </w:rPr>
        <w:t xml:space="preserve"> to </w:t>
      </w:r>
      <w:r w:rsidR="001C15C5" w:rsidRPr="00F207B4">
        <w:rPr>
          <w:rStyle w:val="lev"/>
          <w:b w:val="0"/>
          <w:color w:val="auto"/>
          <w:lang w:val="en-GB"/>
        </w:rPr>
        <w:t>25</w:t>
      </w:r>
      <w:r w:rsidR="005229A8" w:rsidRPr="00F207B4">
        <w:rPr>
          <w:rStyle w:val="lev"/>
          <w:b w:val="0"/>
          <w:color w:val="auto"/>
          <w:lang w:val="en-GB"/>
        </w:rPr>
        <w:t>% of the energy initially stored</w:t>
      </w:r>
      <w:r w:rsidR="005229A8" w:rsidRPr="00F207B4">
        <w:rPr>
          <w:b/>
          <w:color w:val="auto"/>
          <w:lang w:val="en-GB"/>
        </w:rPr>
        <w:t xml:space="preserve">. </w:t>
      </w:r>
      <w:r w:rsidR="009820BC" w:rsidRPr="00F207B4">
        <w:rPr>
          <w:rStyle w:val="lev"/>
          <w:b w:val="0"/>
          <w:color w:val="auto"/>
          <w:lang w:val="en-GB"/>
        </w:rPr>
        <w:t>This high recovery rate during the initial discharg</w:t>
      </w:r>
      <w:r w:rsidRPr="00F207B4">
        <w:rPr>
          <w:rStyle w:val="lev"/>
          <w:b w:val="0"/>
          <w:color w:val="auto"/>
          <w:lang w:val="en-GB"/>
        </w:rPr>
        <w:t>e</w:t>
      </w:r>
      <w:r w:rsidR="009820BC" w:rsidRPr="00F207B4">
        <w:rPr>
          <w:rStyle w:val="lev"/>
          <w:b w:val="0"/>
          <w:color w:val="auto"/>
          <w:lang w:val="en-GB"/>
        </w:rPr>
        <w:t xml:space="preserve"> demonstrates that a substantial </w:t>
      </w:r>
      <w:r w:rsidRPr="00F207B4">
        <w:rPr>
          <w:rStyle w:val="lev"/>
          <w:b w:val="0"/>
          <w:color w:val="auto"/>
          <w:lang w:val="en-GB"/>
        </w:rPr>
        <w:t>proportion</w:t>
      </w:r>
      <w:r w:rsidR="009820BC" w:rsidRPr="00F207B4">
        <w:rPr>
          <w:rStyle w:val="lev"/>
          <w:b w:val="0"/>
          <w:color w:val="auto"/>
          <w:lang w:val="en-GB"/>
        </w:rPr>
        <w:t xml:space="preserve"> of the stored energy can be delivered </w:t>
      </w:r>
      <w:r w:rsidRPr="00F207B4">
        <w:rPr>
          <w:rStyle w:val="lev"/>
          <w:b w:val="0"/>
          <w:color w:val="auto"/>
          <w:lang w:val="en-GB"/>
        </w:rPr>
        <w:t>whilst</w:t>
      </w:r>
      <w:r w:rsidR="009820BC" w:rsidRPr="00F207B4">
        <w:rPr>
          <w:rStyle w:val="lev"/>
          <w:b w:val="0"/>
          <w:color w:val="auto"/>
          <w:lang w:val="en-GB"/>
        </w:rPr>
        <w:t xml:space="preserve"> maintaining a significant thermal reserve within the </w:t>
      </w:r>
      <w:r w:rsidR="0073505B" w:rsidRPr="00F207B4">
        <w:rPr>
          <w:rStyle w:val="lev"/>
          <w:b w:val="0"/>
          <w:color w:val="auto"/>
          <w:lang w:val="en-GB"/>
        </w:rPr>
        <w:t>HUTES</w:t>
      </w:r>
      <w:r w:rsidRPr="00F207B4">
        <w:rPr>
          <w:rStyle w:val="lev"/>
          <w:b w:val="0"/>
          <w:color w:val="auto"/>
          <w:lang w:val="en-GB"/>
        </w:rPr>
        <w:t>. Thus, this reserve ensures a continuous supply of heat.</w:t>
      </w:r>
    </w:p>
    <w:p w14:paraId="7ECFB7B0" w14:textId="6CDDA4E5" w:rsidR="00AB5179" w:rsidRPr="00F207B4" w:rsidRDefault="00B97E0A" w:rsidP="00B97E0A">
      <w:pPr>
        <w:pStyle w:val="SWCText"/>
        <w:rPr>
          <w:lang w:val="en-GB"/>
        </w:rPr>
      </w:pPr>
      <w:r w:rsidRPr="00F207B4">
        <w:rPr>
          <w:lang w:val="en-GB"/>
        </w:rPr>
        <w:t>Overall, the results demonstrate that the HUTES behaves as a true seasonal TES, where the characteristic conducti</w:t>
      </w:r>
      <w:r w:rsidR="001C1559" w:rsidRPr="00F207B4">
        <w:rPr>
          <w:lang w:val="en-GB"/>
        </w:rPr>
        <w:t>ve heat transfer</w:t>
      </w:r>
      <w:r w:rsidRPr="00F207B4">
        <w:rPr>
          <w:lang w:val="en-GB"/>
        </w:rPr>
        <w:t xml:space="preserve"> time greatly exceeds the duration of a daily operati</w:t>
      </w:r>
      <w:r w:rsidR="007E6526" w:rsidRPr="00F207B4">
        <w:rPr>
          <w:lang w:val="en-GB"/>
        </w:rPr>
        <w:t>o</w:t>
      </w:r>
      <w:r w:rsidRPr="00F207B4">
        <w:rPr>
          <w:lang w:val="en-GB"/>
        </w:rPr>
        <w:t>n</w:t>
      </w:r>
      <w:r w:rsidR="007E6526" w:rsidRPr="00F207B4">
        <w:rPr>
          <w:lang w:val="en-GB"/>
        </w:rPr>
        <w:t>al</w:t>
      </w:r>
      <w:r w:rsidRPr="00F207B4">
        <w:rPr>
          <w:lang w:val="en-GB"/>
        </w:rPr>
        <w:t xml:space="preserve"> cycle. This behaviour confirms the suitability of the proposed design for seasonal TES applications and explains why parameters controlling conductive heat losses (particularly insulation properties and ground cover thickness) play a dominant role in the sensitivity analysis, which will be discussed in the next section.</w:t>
      </w:r>
    </w:p>
    <w:p w14:paraId="7B2132FA" w14:textId="60180034" w:rsidR="00A0692E" w:rsidRPr="00F207B4" w:rsidRDefault="00A0692E" w:rsidP="00A0692E">
      <w:pPr>
        <w:pStyle w:val="SWCHeading11"/>
      </w:pPr>
      <w:r w:rsidRPr="00F207B4">
        <w:t xml:space="preserve">3.1.3. Energy balance </w:t>
      </w:r>
      <w:r w:rsidR="007A18A9">
        <w:t>and</w:t>
      </w:r>
      <w:r w:rsidRPr="00F207B4">
        <w:t xml:space="preserve"> performance </w:t>
      </w:r>
      <w:r w:rsidR="007A18A9">
        <w:t xml:space="preserve">of the HUTES </w:t>
      </w:r>
      <w:r w:rsidRPr="00F207B4">
        <w:t>across the three scenarios</w:t>
      </w:r>
    </w:p>
    <w:p w14:paraId="0E0BE6F8" w14:textId="0DFE2EBA" w:rsidR="00A0692E" w:rsidRPr="00F207B4" w:rsidRDefault="00A0692E" w:rsidP="00B97E0A">
      <w:pPr>
        <w:pStyle w:val="SWCText"/>
        <w:rPr>
          <w:lang w:val="en-GB"/>
        </w:rPr>
      </w:pPr>
      <w:r w:rsidRPr="007725C3">
        <w:rPr>
          <w:lang w:val="en-GB"/>
        </w:rPr>
        <w:t xml:space="preserve">Table </w:t>
      </w:r>
      <w:r w:rsidR="00D56155" w:rsidRPr="007725C3">
        <w:rPr>
          <w:lang w:val="en-GB"/>
        </w:rPr>
        <w:t>4</w:t>
      </w:r>
      <w:r w:rsidRPr="007725C3">
        <w:rPr>
          <w:lang w:val="en-GB"/>
        </w:rPr>
        <w:t xml:space="preserve"> </w:t>
      </w:r>
      <w:r w:rsidR="00F86A98" w:rsidRPr="007725C3">
        <w:rPr>
          <w:lang w:val="en-GB"/>
        </w:rPr>
        <w:t xml:space="preserve">summarises the main energy performance indicators of the HUTES for the three operating scenarios. </w:t>
      </w:r>
      <w:r w:rsidR="005723D6">
        <w:rPr>
          <w:lang w:val="en-GB"/>
        </w:rPr>
        <w:t>H</w:t>
      </w:r>
      <w:r w:rsidR="00F86A98" w:rsidRPr="007725C3">
        <w:rPr>
          <w:lang w:val="en-GB"/>
        </w:rPr>
        <w:t>eat losses</w:t>
      </w:r>
      <w:r w:rsidR="005C4399">
        <w:rPr>
          <w:lang w:val="en-GB"/>
        </w:rPr>
        <w:t xml:space="preserve"> occur primarily </w:t>
      </w:r>
      <w:r w:rsidR="00F86A98" w:rsidRPr="007725C3">
        <w:rPr>
          <w:lang w:val="en-GB"/>
        </w:rPr>
        <w:t>through the</w:t>
      </w:r>
      <w:r w:rsidR="007C6B99">
        <w:rPr>
          <w:lang w:val="en-GB"/>
        </w:rPr>
        <w:t xml:space="preserve"> upper boundary, whiles losses through the</w:t>
      </w:r>
      <w:r w:rsidR="00F86A98" w:rsidRPr="007725C3">
        <w:rPr>
          <w:lang w:val="en-GB"/>
        </w:rPr>
        <w:t xml:space="preserve"> side and bottom boundaries are negligible.</w:t>
      </w:r>
      <w:r w:rsidR="007C6B99">
        <w:rPr>
          <w:lang w:val="en-GB"/>
        </w:rPr>
        <w:t xml:space="preserve"> </w:t>
      </w:r>
      <w:r w:rsidR="00F86A98" w:rsidRPr="007725C3">
        <w:rPr>
          <w:lang w:val="en-GB"/>
        </w:rPr>
        <w:t xml:space="preserve">After three months, upper </w:t>
      </w:r>
      <w:r w:rsidR="007C6B99">
        <w:rPr>
          <w:lang w:val="en-GB"/>
        </w:rPr>
        <w:t>heat losses</w:t>
      </w:r>
      <w:r w:rsidR="00F86A98" w:rsidRPr="007725C3">
        <w:rPr>
          <w:lang w:val="en-GB"/>
        </w:rPr>
        <w:t xml:space="preserve"> account for approximately one-third of the </w:t>
      </w:r>
      <w:r w:rsidR="007C6B99" w:rsidRPr="007725C3">
        <w:rPr>
          <w:lang w:val="en-GB"/>
        </w:rPr>
        <w:t xml:space="preserve">stored </w:t>
      </w:r>
      <w:r w:rsidR="00F86A98" w:rsidRPr="007725C3">
        <w:rPr>
          <w:lang w:val="en-GB"/>
        </w:rPr>
        <w:t xml:space="preserve">energy </w:t>
      </w:r>
      <w:r w:rsidR="000D74BA" w:rsidRPr="007725C3">
        <w:rPr>
          <w:lang w:val="en-GB"/>
        </w:rPr>
        <w:t>in scenarios 1 and 3</w:t>
      </w:r>
      <w:r w:rsidR="007C6B99">
        <w:rPr>
          <w:lang w:val="en-GB"/>
        </w:rPr>
        <w:t xml:space="preserve">, which reach </w:t>
      </w:r>
      <w:r w:rsidR="005723D6" w:rsidRPr="007725C3">
        <w:rPr>
          <w:lang w:val="en-GB"/>
        </w:rPr>
        <w:t xml:space="preserve">respectively </w:t>
      </w:r>
      <w:r w:rsidR="00F86A98" w:rsidRPr="007725C3">
        <w:rPr>
          <w:lang w:val="en-GB"/>
        </w:rPr>
        <w:t>3990</w:t>
      </w:r>
      <w:r w:rsidR="00EA0953">
        <w:rPr>
          <w:lang w:val="en-GB"/>
        </w:rPr>
        <w:t xml:space="preserve"> </w:t>
      </w:r>
      <w:r w:rsidR="00F86A98" w:rsidRPr="007725C3">
        <w:rPr>
          <w:lang w:val="en-GB"/>
        </w:rPr>
        <w:t xml:space="preserve">and 7235 </w:t>
      </w:r>
      <w:proofErr w:type="spellStart"/>
      <w:r w:rsidR="00F86A98" w:rsidRPr="007725C3">
        <w:rPr>
          <w:lang w:val="en-GB"/>
        </w:rPr>
        <w:t>kWh</w:t>
      </w:r>
      <w:r w:rsidR="00F86A98" w:rsidRPr="007725C3">
        <w:rPr>
          <w:vertAlign w:val="subscript"/>
          <w:lang w:val="en-GB"/>
        </w:rPr>
        <w:t>th</w:t>
      </w:r>
      <w:proofErr w:type="spellEnd"/>
      <w:r w:rsidR="00F86A98" w:rsidRPr="007725C3">
        <w:rPr>
          <w:lang w:val="en-GB"/>
        </w:rPr>
        <w:t>.</w:t>
      </w:r>
      <w:r w:rsidR="008664F9">
        <w:rPr>
          <w:lang w:val="en-GB"/>
        </w:rPr>
        <w:t xml:space="preserve"> </w:t>
      </w:r>
      <w:r w:rsidR="000D74BA" w:rsidRPr="007725C3">
        <w:rPr>
          <w:lang w:val="en-GB"/>
        </w:rPr>
        <w:t>In contrast, scenario 2 exhibits a different behaviour</w:t>
      </w:r>
      <w:r w:rsidR="000D74BA">
        <w:rPr>
          <w:lang w:val="en-GB"/>
        </w:rPr>
        <w:t>, as the</w:t>
      </w:r>
      <w:r w:rsidR="000D74BA" w:rsidRPr="007725C3">
        <w:rPr>
          <w:lang w:val="en-GB"/>
        </w:rPr>
        <w:t xml:space="preserve"> stored energy </w:t>
      </w:r>
      <w:r w:rsidR="000D74BA">
        <w:rPr>
          <w:lang w:val="en-GB"/>
        </w:rPr>
        <w:t>stabilises</w:t>
      </w:r>
      <w:r w:rsidR="000D74BA" w:rsidRPr="007725C3">
        <w:rPr>
          <w:lang w:val="en-GB"/>
        </w:rPr>
        <w:t xml:space="preserve"> after approximately one month. This indicates </w:t>
      </w:r>
      <w:r w:rsidR="000D74BA">
        <w:rPr>
          <w:lang w:val="en-GB"/>
        </w:rPr>
        <w:t xml:space="preserve">the establishment of </w:t>
      </w:r>
      <w:r w:rsidR="000D74BA" w:rsidRPr="007725C3">
        <w:rPr>
          <w:lang w:val="en-GB"/>
        </w:rPr>
        <w:t xml:space="preserve">a quasi-periodic thermal regime, in which the </w:t>
      </w:r>
      <w:r w:rsidR="000D74BA">
        <w:rPr>
          <w:lang w:val="en-GB"/>
        </w:rPr>
        <w:t xml:space="preserve">charged </w:t>
      </w:r>
      <w:r w:rsidR="000D74BA" w:rsidRPr="007725C3">
        <w:rPr>
          <w:lang w:val="en-GB"/>
        </w:rPr>
        <w:t xml:space="preserve">energy is progressively balanced by the </w:t>
      </w:r>
      <w:r w:rsidR="000D74BA">
        <w:rPr>
          <w:lang w:val="en-GB"/>
        </w:rPr>
        <w:t xml:space="preserve">discharged </w:t>
      </w:r>
      <w:r w:rsidR="000D74BA" w:rsidRPr="007725C3">
        <w:rPr>
          <w:lang w:val="en-GB"/>
        </w:rPr>
        <w:t>energy and thermal losses</w:t>
      </w:r>
      <w:r w:rsidR="000D74BA">
        <w:rPr>
          <w:lang w:val="en-GB"/>
        </w:rPr>
        <w:t xml:space="preserve">, thereby limiting </w:t>
      </w:r>
      <w:r w:rsidR="000D74BA" w:rsidRPr="007725C3">
        <w:rPr>
          <w:lang w:val="en-GB"/>
        </w:rPr>
        <w:t xml:space="preserve">net </w:t>
      </w:r>
      <w:r w:rsidR="000D74BA">
        <w:rPr>
          <w:lang w:val="en-GB"/>
        </w:rPr>
        <w:t xml:space="preserve">energy </w:t>
      </w:r>
      <w:r w:rsidR="000D74BA" w:rsidRPr="007725C3">
        <w:rPr>
          <w:lang w:val="en-GB"/>
        </w:rPr>
        <w:t>accumulatio</w:t>
      </w:r>
      <w:r w:rsidR="000D74BA">
        <w:rPr>
          <w:lang w:val="en-GB"/>
        </w:rPr>
        <w:t>n</w:t>
      </w:r>
      <w:r w:rsidR="000D74BA" w:rsidRPr="007725C3">
        <w:rPr>
          <w:lang w:val="en-GB"/>
        </w:rPr>
        <w:t>.</w:t>
      </w:r>
      <w:r w:rsidR="000D74BA">
        <w:rPr>
          <w:lang w:val="en-GB"/>
        </w:rPr>
        <w:t xml:space="preserve"> </w:t>
      </w:r>
      <w:r w:rsidR="007C6B99">
        <w:rPr>
          <w:lang w:val="en-GB"/>
        </w:rPr>
        <w:t>In s</w:t>
      </w:r>
      <w:r w:rsidR="007725C3" w:rsidRPr="007725C3">
        <w:rPr>
          <w:lang w:val="en-GB"/>
        </w:rPr>
        <w:t>cenario 3</w:t>
      </w:r>
      <w:r w:rsidR="007C6B99">
        <w:rPr>
          <w:lang w:val="en-GB"/>
        </w:rPr>
        <w:t xml:space="preserve">, the cumulative pump operating time reaches </w:t>
      </w:r>
      <w:r w:rsidR="007725C3" w:rsidRPr="007725C3">
        <w:rPr>
          <w:lang w:val="en-GB"/>
        </w:rPr>
        <w:t>67.6 days</w:t>
      </w:r>
      <w:r w:rsidR="007C6B99">
        <w:rPr>
          <w:lang w:val="en-GB"/>
        </w:rPr>
        <w:t xml:space="preserve"> over the 92-day simulation period</w:t>
      </w:r>
      <w:r w:rsidR="007725C3" w:rsidRPr="007725C3">
        <w:rPr>
          <w:lang w:val="en-GB"/>
        </w:rPr>
        <w:t>, corresponding to about 73% of the total period. This intermittent operation reflects the variability of the solar resource and the temperature-dependent control strategy.</w:t>
      </w:r>
    </w:p>
    <w:p w14:paraId="790C53FC" w14:textId="580A16D0" w:rsidR="000103AD" w:rsidRPr="00F207B4" w:rsidRDefault="000103AD" w:rsidP="000103AD">
      <w:pPr>
        <w:pStyle w:val="SWCTableFigureCaption"/>
        <w:rPr>
          <w:lang w:val="en-GB"/>
        </w:rPr>
      </w:pPr>
      <w:r w:rsidRPr="00F207B4">
        <w:rPr>
          <w:lang w:val="en-GB"/>
        </w:rPr>
        <w:t xml:space="preserve">Tab.4: </w:t>
      </w:r>
      <w:r w:rsidR="007725C3">
        <w:t>Pumping energy consumption, stored thermal energy and heat losses through the upper boundary for the three scenarios</w:t>
      </w:r>
    </w:p>
    <w:tbl>
      <w:tblPr>
        <w:tblStyle w:val="Grilledutableau"/>
        <w:tblW w:w="9365" w:type="dxa"/>
        <w:jc w:val="center"/>
        <w:tblLook w:val="04A0" w:firstRow="1" w:lastRow="0" w:firstColumn="1" w:lastColumn="0" w:noHBand="0" w:noVBand="1"/>
      </w:tblPr>
      <w:tblGrid>
        <w:gridCol w:w="1271"/>
        <w:gridCol w:w="1276"/>
        <w:gridCol w:w="1364"/>
        <w:gridCol w:w="2466"/>
        <w:gridCol w:w="1429"/>
        <w:gridCol w:w="1559"/>
      </w:tblGrid>
      <w:tr w:rsidR="00F14533" w:rsidRPr="00F207B4" w14:paraId="4EF66857" w14:textId="77777777" w:rsidTr="005B4F5F">
        <w:trPr>
          <w:jc w:val="center"/>
        </w:trPr>
        <w:tc>
          <w:tcPr>
            <w:tcW w:w="1271" w:type="dxa"/>
            <w:vAlign w:val="bottom"/>
          </w:tcPr>
          <w:p w14:paraId="45588E68" w14:textId="77777777" w:rsidR="00F14533" w:rsidRPr="00F207B4" w:rsidRDefault="00F14533" w:rsidP="000103AD">
            <w:pPr>
              <w:pStyle w:val="SWCTableText"/>
            </w:pPr>
          </w:p>
        </w:tc>
        <w:tc>
          <w:tcPr>
            <w:tcW w:w="1276" w:type="dxa"/>
            <w:vAlign w:val="bottom"/>
          </w:tcPr>
          <w:p w14:paraId="715BF38F" w14:textId="04FDDE2D" w:rsidR="00F14533" w:rsidRPr="00F207B4" w:rsidRDefault="00F14533" w:rsidP="000103AD">
            <w:pPr>
              <w:pStyle w:val="SWCTableText"/>
            </w:pPr>
            <w:r w:rsidRPr="00F207B4">
              <w:t>Duration</w:t>
            </w:r>
          </w:p>
        </w:tc>
        <w:tc>
          <w:tcPr>
            <w:tcW w:w="1364" w:type="dxa"/>
            <w:vAlign w:val="bottom"/>
          </w:tcPr>
          <w:p w14:paraId="6F9BB599" w14:textId="1CB73B37" w:rsidR="00F14533" w:rsidRPr="00F207B4" w:rsidRDefault="00F14533" w:rsidP="000103AD">
            <w:pPr>
              <w:pStyle w:val="SWCTableText"/>
            </w:pPr>
            <w:proofErr w:type="spellStart"/>
            <w:r w:rsidRPr="00F207B4">
              <w:t>E</w:t>
            </w:r>
            <w:r w:rsidRPr="00F207B4">
              <w:rPr>
                <w:vertAlign w:val="subscript"/>
              </w:rPr>
              <w:t>pump</w:t>
            </w:r>
            <w:proofErr w:type="spellEnd"/>
            <w:r w:rsidRPr="00F207B4">
              <w:t xml:space="preserve"> (</w:t>
            </w:r>
            <w:proofErr w:type="spellStart"/>
            <w:r w:rsidRPr="00F207B4">
              <w:t>kWh</w:t>
            </w:r>
            <w:r w:rsidRPr="00F207B4">
              <w:rPr>
                <w:vertAlign w:val="subscript"/>
              </w:rPr>
              <w:t>e</w:t>
            </w:r>
            <w:proofErr w:type="spellEnd"/>
            <w:r w:rsidRPr="00F207B4">
              <w:t>)</w:t>
            </w:r>
          </w:p>
        </w:tc>
        <w:tc>
          <w:tcPr>
            <w:tcW w:w="2466" w:type="dxa"/>
          </w:tcPr>
          <w:p w14:paraId="0961D5AC" w14:textId="2A6024ED" w:rsidR="00F14533" w:rsidRPr="00F207B4" w:rsidRDefault="005B4F5F" w:rsidP="000103AD">
            <w:pPr>
              <w:pStyle w:val="SWCTableText"/>
            </w:pPr>
            <w:r w:rsidRPr="00F207B4">
              <w:t>Pump operating time (day)</w:t>
            </w:r>
          </w:p>
        </w:tc>
        <w:tc>
          <w:tcPr>
            <w:tcW w:w="1429" w:type="dxa"/>
            <w:vAlign w:val="bottom"/>
          </w:tcPr>
          <w:p w14:paraId="4392AA24" w14:textId="345704D9" w:rsidR="00F14533" w:rsidRPr="00F207B4" w:rsidRDefault="00F14533" w:rsidP="000103AD">
            <w:pPr>
              <w:pStyle w:val="SWCTableText"/>
            </w:pPr>
            <w:proofErr w:type="spellStart"/>
            <w:r w:rsidRPr="00F207B4">
              <w:t>E</w:t>
            </w:r>
            <w:r w:rsidRPr="00F207B4">
              <w:rPr>
                <w:vertAlign w:val="subscript"/>
              </w:rPr>
              <w:t>stored</w:t>
            </w:r>
            <w:proofErr w:type="spellEnd"/>
            <w:r w:rsidRPr="00F207B4">
              <w:t xml:space="preserve"> (</w:t>
            </w:r>
            <w:proofErr w:type="spellStart"/>
            <w:r w:rsidRPr="00F207B4">
              <w:t>kWh</w:t>
            </w:r>
            <w:r w:rsidRPr="00F207B4">
              <w:rPr>
                <w:vertAlign w:val="subscript"/>
              </w:rPr>
              <w:t>th</w:t>
            </w:r>
            <w:proofErr w:type="spellEnd"/>
            <w:r w:rsidRPr="00F207B4">
              <w:t>)</w:t>
            </w:r>
          </w:p>
        </w:tc>
        <w:tc>
          <w:tcPr>
            <w:tcW w:w="1559" w:type="dxa"/>
            <w:vAlign w:val="bottom"/>
          </w:tcPr>
          <w:p w14:paraId="6C95EEC8" w14:textId="6E3715FC" w:rsidR="00F14533" w:rsidRPr="00F207B4" w:rsidRDefault="00F14533" w:rsidP="000103AD">
            <w:pPr>
              <w:pStyle w:val="SWCTableText"/>
            </w:pPr>
            <w:proofErr w:type="spellStart"/>
            <w:proofErr w:type="gramStart"/>
            <w:r w:rsidRPr="00F207B4">
              <w:t>E</w:t>
            </w:r>
            <w:r w:rsidRPr="00F207B4">
              <w:rPr>
                <w:vertAlign w:val="subscript"/>
              </w:rPr>
              <w:t>loss,top</w:t>
            </w:r>
            <w:proofErr w:type="spellEnd"/>
            <w:proofErr w:type="gramEnd"/>
            <w:r w:rsidRPr="00F207B4">
              <w:t xml:space="preserve"> (</w:t>
            </w:r>
            <w:proofErr w:type="spellStart"/>
            <w:r w:rsidRPr="00F207B4">
              <w:t>kWh</w:t>
            </w:r>
            <w:r w:rsidRPr="00F207B4">
              <w:rPr>
                <w:vertAlign w:val="subscript"/>
              </w:rPr>
              <w:t>th</w:t>
            </w:r>
            <w:proofErr w:type="spellEnd"/>
            <w:r w:rsidRPr="00F207B4">
              <w:t>)</w:t>
            </w:r>
          </w:p>
        </w:tc>
      </w:tr>
      <w:tr w:rsidR="00F14533" w:rsidRPr="00F207B4" w14:paraId="30354E4B" w14:textId="77777777" w:rsidTr="005B4F5F">
        <w:trPr>
          <w:jc w:val="center"/>
        </w:trPr>
        <w:tc>
          <w:tcPr>
            <w:tcW w:w="1271" w:type="dxa"/>
            <w:vMerge w:val="restart"/>
            <w:vAlign w:val="center"/>
          </w:tcPr>
          <w:p w14:paraId="5E0DAAD8" w14:textId="3DA4A304" w:rsidR="00F14533" w:rsidRPr="00F207B4" w:rsidRDefault="00F14533" w:rsidP="000103AD">
            <w:pPr>
              <w:pStyle w:val="SWCTableText"/>
            </w:pPr>
            <w:r w:rsidRPr="00F207B4">
              <w:t>Scenario 1</w:t>
            </w:r>
          </w:p>
        </w:tc>
        <w:tc>
          <w:tcPr>
            <w:tcW w:w="1276" w:type="dxa"/>
            <w:vAlign w:val="bottom"/>
          </w:tcPr>
          <w:p w14:paraId="4D60071F" w14:textId="74BF7BA2" w:rsidR="00F14533" w:rsidRPr="00F207B4" w:rsidRDefault="00F14533" w:rsidP="000103AD">
            <w:pPr>
              <w:pStyle w:val="SWCTableText"/>
            </w:pPr>
            <w:r w:rsidRPr="00F207B4">
              <w:t>1 day</w:t>
            </w:r>
          </w:p>
        </w:tc>
        <w:tc>
          <w:tcPr>
            <w:tcW w:w="1364" w:type="dxa"/>
            <w:vAlign w:val="bottom"/>
          </w:tcPr>
          <w:p w14:paraId="77FE0441" w14:textId="4CAB19C5" w:rsidR="00F14533" w:rsidRPr="00F207B4" w:rsidRDefault="00F14533" w:rsidP="000103AD">
            <w:pPr>
              <w:pStyle w:val="SWCTableText"/>
            </w:pPr>
            <w:r w:rsidRPr="00F207B4">
              <w:t>1.5</w:t>
            </w:r>
          </w:p>
        </w:tc>
        <w:tc>
          <w:tcPr>
            <w:tcW w:w="2466" w:type="dxa"/>
          </w:tcPr>
          <w:p w14:paraId="31807D8C" w14:textId="184AD9A2" w:rsidR="00F14533" w:rsidRPr="00F207B4" w:rsidRDefault="000A6A23" w:rsidP="000103AD">
            <w:pPr>
              <w:pStyle w:val="SWCTableText"/>
            </w:pPr>
            <w:r w:rsidRPr="00F207B4">
              <w:t>1</w:t>
            </w:r>
          </w:p>
        </w:tc>
        <w:tc>
          <w:tcPr>
            <w:tcW w:w="1429" w:type="dxa"/>
            <w:vAlign w:val="bottom"/>
          </w:tcPr>
          <w:p w14:paraId="66F62334" w14:textId="2C491636" w:rsidR="00F14533" w:rsidRPr="00F207B4" w:rsidRDefault="0036342C" w:rsidP="000103AD">
            <w:pPr>
              <w:pStyle w:val="SWCTableText"/>
            </w:pPr>
            <w:r>
              <w:t>167.9</w:t>
            </w:r>
          </w:p>
        </w:tc>
        <w:tc>
          <w:tcPr>
            <w:tcW w:w="1559" w:type="dxa"/>
            <w:vAlign w:val="bottom"/>
          </w:tcPr>
          <w:p w14:paraId="0BB169D2" w14:textId="27CD93B7" w:rsidR="00F14533" w:rsidRPr="00F207B4" w:rsidRDefault="00F14533" w:rsidP="000103AD">
            <w:pPr>
              <w:pStyle w:val="SWCTableText"/>
            </w:pPr>
            <w:r w:rsidRPr="00F207B4">
              <w:t>0.0</w:t>
            </w:r>
          </w:p>
        </w:tc>
      </w:tr>
      <w:tr w:rsidR="00F14533" w:rsidRPr="00F207B4" w14:paraId="6914D054" w14:textId="77777777" w:rsidTr="005B4F5F">
        <w:trPr>
          <w:jc w:val="center"/>
        </w:trPr>
        <w:tc>
          <w:tcPr>
            <w:tcW w:w="1271" w:type="dxa"/>
            <w:vMerge/>
            <w:vAlign w:val="center"/>
          </w:tcPr>
          <w:p w14:paraId="08096525" w14:textId="77777777" w:rsidR="00F14533" w:rsidRPr="00F207B4" w:rsidRDefault="00F14533" w:rsidP="000103AD">
            <w:pPr>
              <w:pStyle w:val="SWCTableText"/>
            </w:pPr>
          </w:p>
        </w:tc>
        <w:tc>
          <w:tcPr>
            <w:tcW w:w="1276" w:type="dxa"/>
            <w:vAlign w:val="bottom"/>
          </w:tcPr>
          <w:p w14:paraId="6B7A045F" w14:textId="70F6FDC5" w:rsidR="00F14533" w:rsidRPr="00F207B4" w:rsidRDefault="00F14533" w:rsidP="000103AD">
            <w:pPr>
              <w:pStyle w:val="SWCTableText"/>
            </w:pPr>
            <w:r w:rsidRPr="00F207B4">
              <w:t>10 days</w:t>
            </w:r>
          </w:p>
        </w:tc>
        <w:tc>
          <w:tcPr>
            <w:tcW w:w="1364" w:type="dxa"/>
            <w:vAlign w:val="bottom"/>
          </w:tcPr>
          <w:p w14:paraId="430698BD" w14:textId="5B088603" w:rsidR="00F14533" w:rsidRPr="00F207B4" w:rsidRDefault="00F14533" w:rsidP="000103AD">
            <w:pPr>
              <w:pStyle w:val="SWCTableText"/>
            </w:pPr>
            <w:r w:rsidRPr="00F207B4">
              <w:t>19.5</w:t>
            </w:r>
          </w:p>
        </w:tc>
        <w:tc>
          <w:tcPr>
            <w:tcW w:w="2466" w:type="dxa"/>
          </w:tcPr>
          <w:p w14:paraId="799627E0" w14:textId="56EFDD00" w:rsidR="00F14533" w:rsidRPr="00F207B4" w:rsidRDefault="000A6A23" w:rsidP="000103AD">
            <w:pPr>
              <w:pStyle w:val="SWCTableText"/>
            </w:pPr>
            <w:r w:rsidRPr="00F207B4">
              <w:t>10</w:t>
            </w:r>
          </w:p>
        </w:tc>
        <w:tc>
          <w:tcPr>
            <w:tcW w:w="1429" w:type="dxa"/>
            <w:vAlign w:val="bottom"/>
          </w:tcPr>
          <w:p w14:paraId="6F1E579C" w14:textId="295D4112" w:rsidR="00F14533" w:rsidRPr="00F207B4" w:rsidRDefault="00F14533" w:rsidP="000103AD">
            <w:pPr>
              <w:pStyle w:val="SWCTableText"/>
            </w:pPr>
            <w:r w:rsidRPr="00F207B4">
              <w:t>1001</w:t>
            </w:r>
          </w:p>
        </w:tc>
        <w:tc>
          <w:tcPr>
            <w:tcW w:w="1559" w:type="dxa"/>
            <w:vAlign w:val="bottom"/>
          </w:tcPr>
          <w:p w14:paraId="7A13EA6A" w14:textId="6E9E0328" w:rsidR="00F14533" w:rsidRPr="00F207B4" w:rsidRDefault="00F14533" w:rsidP="000103AD">
            <w:pPr>
              <w:pStyle w:val="SWCTableText"/>
            </w:pPr>
            <w:r w:rsidRPr="00F207B4">
              <w:t>9.5</w:t>
            </w:r>
          </w:p>
        </w:tc>
      </w:tr>
      <w:tr w:rsidR="00F14533" w:rsidRPr="00F207B4" w14:paraId="459956EA" w14:textId="77777777" w:rsidTr="005B4F5F">
        <w:trPr>
          <w:jc w:val="center"/>
        </w:trPr>
        <w:tc>
          <w:tcPr>
            <w:tcW w:w="1271" w:type="dxa"/>
            <w:vMerge/>
            <w:vAlign w:val="center"/>
          </w:tcPr>
          <w:p w14:paraId="5E890F0A" w14:textId="77777777" w:rsidR="00F14533" w:rsidRPr="00F207B4" w:rsidRDefault="00F14533" w:rsidP="000103AD">
            <w:pPr>
              <w:pStyle w:val="SWCTableText"/>
            </w:pPr>
          </w:p>
        </w:tc>
        <w:tc>
          <w:tcPr>
            <w:tcW w:w="1276" w:type="dxa"/>
            <w:vAlign w:val="bottom"/>
          </w:tcPr>
          <w:p w14:paraId="4B12DB62" w14:textId="4E725B96" w:rsidR="00F14533" w:rsidRPr="00F207B4" w:rsidRDefault="00F14533" w:rsidP="000103AD">
            <w:pPr>
              <w:pStyle w:val="SWCTableText"/>
            </w:pPr>
            <w:r w:rsidRPr="00F207B4">
              <w:t>1 month</w:t>
            </w:r>
          </w:p>
        </w:tc>
        <w:tc>
          <w:tcPr>
            <w:tcW w:w="1364" w:type="dxa"/>
            <w:vAlign w:val="bottom"/>
          </w:tcPr>
          <w:p w14:paraId="2D7715E5" w14:textId="710A0D0F" w:rsidR="00F14533" w:rsidRPr="00F207B4" w:rsidRDefault="00F14533" w:rsidP="000103AD">
            <w:pPr>
              <w:pStyle w:val="SWCTableText"/>
            </w:pPr>
            <w:r w:rsidRPr="00F207B4">
              <w:t>61.5</w:t>
            </w:r>
          </w:p>
        </w:tc>
        <w:tc>
          <w:tcPr>
            <w:tcW w:w="2466" w:type="dxa"/>
          </w:tcPr>
          <w:p w14:paraId="5026615F" w14:textId="5DF10257" w:rsidR="00F14533" w:rsidRPr="00F207B4" w:rsidRDefault="000A6A23" w:rsidP="000103AD">
            <w:pPr>
              <w:pStyle w:val="SWCTableText"/>
            </w:pPr>
            <w:r w:rsidRPr="00F207B4">
              <w:t>31</w:t>
            </w:r>
          </w:p>
        </w:tc>
        <w:tc>
          <w:tcPr>
            <w:tcW w:w="1429" w:type="dxa"/>
            <w:vAlign w:val="bottom"/>
          </w:tcPr>
          <w:p w14:paraId="4C8FBD1F" w14:textId="1084C280" w:rsidR="00F14533" w:rsidRPr="00F207B4" w:rsidRDefault="00F14533" w:rsidP="000103AD">
            <w:pPr>
              <w:pStyle w:val="SWCTableText"/>
            </w:pPr>
            <w:r w:rsidRPr="00F207B4">
              <w:t>2091</w:t>
            </w:r>
          </w:p>
        </w:tc>
        <w:tc>
          <w:tcPr>
            <w:tcW w:w="1559" w:type="dxa"/>
            <w:vAlign w:val="bottom"/>
          </w:tcPr>
          <w:p w14:paraId="41571A50" w14:textId="1A513C72" w:rsidR="00F14533" w:rsidRPr="00F207B4" w:rsidRDefault="00F14533" w:rsidP="000103AD">
            <w:pPr>
              <w:pStyle w:val="SWCTableText"/>
            </w:pPr>
            <w:r w:rsidRPr="00F207B4">
              <w:t>143.4</w:t>
            </w:r>
          </w:p>
        </w:tc>
      </w:tr>
      <w:tr w:rsidR="00F14533" w:rsidRPr="00F207B4" w14:paraId="5F3233B0" w14:textId="77777777" w:rsidTr="005B4F5F">
        <w:trPr>
          <w:jc w:val="center"/>
        </w:trPr>
        <w:tc>
          <w:tcPr>
            <w:tcW w:w="1271" w:type="dxa"/>
            <w:vMerge/>
            <w:vAlign w:val="center"/>
          </w:tcPr>
          <w:p w14:paraId="26A81F68" w14:textId="77777777" w:rsidR="00F14533" w:rsidRPr="00F207B4" w:rsidRDefault="00F14533" w:rsidP="000103AD">
            <w:pPr>
              <w:pStyle w:val="SWCTableText"/>
            </w:pPr>
          </w:p>
        </w:tc>
        <w:tc>
          <w:tcPr>
            <w:tcW w:w="1276" w:type="dxa"/>
            <w:vAlign w:val="bottom"/>
          </w:tcPr>
          <w:p w14:paraId="1AC9AECD" w14:textId="14306E6C" w:rsidR="00F14533" w:rsidRPr="00F207B4" w:rsidRDefault="00F14533" w:rsidP="000103AD">
            <w:pPr>
              <w:pStyle w:val="SWCTableText"/>
            </w:pPr>
            <w:r w:rsidRPr="00F207B4">
              <w:t>3 months</w:t>
            </w:r>
          </w:p>
        </w:tc>
        <w:tc>
          <w:tcPr>
            <w:tcW w:w="1364" w:type="dxa"/>
            <w:vAlign w:val="bottom"/>
          </w:tcPr>
          <w:p w14:paraId="4643B607" w14:textId="29A3EED6" w:rsidR="00F14533" w:rsidRPr="00F207B4" w:rsidRDefault="00F14533" w:rsidP="000103AD">
            <w:pPr>
              <w:pStyle w:val="SWCTableText"/>
            </w:pPr>
            <w:r w:rsidRPr="00F207B4">
              <w:t>179.5</w:t>
            </w:r>
          </w:p>
        </w:tc>
        <w:tc>
          <w:tcPr>
            <w:tcW w:w="2466" w:type="dxa"/>
          </w:tcPr>
          <w:p w14:paraId="1B2E1E4B" w14:textId="3C0D5C5B" w:rsidR="00F14533" w:rsidRPr="00F207B4" w:rsidRDefault="000A6A23" w:rsidP="000103AD">
            <w:pPr>
              <w:pStyle w:val="SWCTableText"/>
            </w:pPr>
            <w:r w:rsidRPr="00F207B4">
              <w:t>90</w:t>
            </w:r>
          </w:p>
        </w:tc>
        <w:tc>
          <w:tcPr>
            <w:tcW w:w="1429" w:type="dxa"/>
            <w:vAlign w:val="bottom"/>
          </w:tcPr>
          <w:p w14:paraId="2EAB164B" w14:textId="6B724E2E" w:rsidR="00F14533" w:rsidRPr="000D74BA" w:rsidRDefault="00F14533" w:rsidP="000103AD">
            <w:pPr>
              <w:pStyle w:val="SWCTableText"/>
            </w:pPr>
            <w:r w:rsidRPr="000D74BA">
              <w:t>3990</w:t>
            </w:r>
          </w:p>
        </w:tc>
        <w:tc>
          <w:tcPr>
            <w:tcW w:w="1559" w:type="dxa"/>
            <w:vAlign w:val="bottom"/>
          </w:tcPr>
          <w:p w14:paraId="7482F65D" w14:textId="33116615" w:rsidR="00F14533" w:rsidRPr="000D74BA" w:rsidRDefault="00F14533" w:rsidP="000103AD">
            <w:pPr>
              <w:pStyle w:val="SWCTableText"/>
            </w:pPr>
            <w:r w:rsidRPr="000D74BA">
              <w:t>1158</w:t>
            </w:r>
          </w:p>
        </w:tc>
      </w:tr>
      <w:tr w:rsidR="0036342C" w:rsidRPr="00F207B4" w14:paraId="3617BFD0" w14:textId="77777777" w:rsidTr="005B4F5F">
        <w:trPr>
          <w:jc w:val="center"/>
        </w:trPr>
        <w:tc>
          <w:tcPr>
            <w:tcW w:w="1271" w:type="dxa"/>
            <w:vMerge w:val="restart"/>
            <w:vAlign w:val="center"/>
          </w:tcPr>
          <w:p w14:paraId="23F5C1FA" w14:textId="3D860287" w:rsidR="0036342C" w:rsidRPr="00F207B4" w:rsidRDefault="0036342C" w:rsidP="0036342C">
            <w:pPr>
              <w:pStyle w:val="SWCTableText"/>
            </w:pPr>
            <w:r w:rsidRPr="00F207B4">
              <w:t>Scenario 2</w:t>
            </w:r>
          </w:p>
        </w:tc>
        <w:tc>
          <w:tcPr>
            <w:tcW w:w="1276" w:type="dxa"/>
            <w:vAlign w:val="bottom"/>
          </w:tcPr>
          <w:p w14:paraId="261F61E6" w14:textId="7469E28E" w:rsidR="0036342C" w:rsidRPr="00F207B4" w:rsidRDefault="0036342C" w:rsidP="0036342C">
            <w:pPr>
              <w:pStyle w:val="SWCTableText"/>
            </w:pPr>
            <w:r w:rsidRPr="00F207B4">
              <w:t>1 day</w:t>
            </w:r>
          </w:p>
        </w:tc>
        <w:tc>
          <w:tcPr>
            <w:tcW w:w="1364" w:type="dxa"/>
            <w:vAlign w:val="bottom"/>
          </w:tcPr>
          <w:p w14:paraId="1CFB725F" w14:textId="1C66540F" w:rsidR="0036342C" w:rsidRPr="00F207B4" w:rsidRDefault="0036342C" w:rsidP="0036342C">
            <w:pPr>
              <w:pStyle w:val="SWCTableText"/>
            </w:pPr>
            <w:r w:rsidRPr="00F207B4">
              <w:t>2.75</w:t>
            </w:r>
          </w:p>
        </w:tc>
        <w:tc>
          <w:tcPr>
            <w:tcW w:w="2466" w:type="dxa"/>
          </w:tcPr>
          <w:p w14:paraId="48266E3D" w14:textId="1CE4D754" w:rsidR="0036342C" w:rsidRPr="00F207B4" w:rsidRDefault="0036342C" w:rsidP="0036342C">
            <w:pPr>
              <w:pStyle w:val="SWCTableText"/>
            </w:pPr>
            <w:r w:rsidRPr="00F207B4">
              <w:t>1</w:t>
            </w:r>
          </w:p>
        </w:tc>
        <w:tc>
          <w:tcPr>
            <w:tcW w:w="1429" w:type="dxa"/>
            <w:vAlign w:val="bottom"/>
          </w:tcPr>
          <w:p w14:paraId="755F7ABA" w14:textId="517CEC54" w:rsidR="0036342C" w:rsidRPr="000D74BA" w:rsidRDefault="0036342C" w:rsidP="0036342C">
            <w:pPr>
              <w:pStyle w:val="SWCTableText"/>
            </w:pPr>
            <w:r>
              <w:t>167.9</w:t>
            </w:r>
          </w:p>
        </w:tc>
        <w:tc>
          <w:tcPr>
            <w:tcW w:w="1559" w:type="dxa"/>
            <w:vAlign w:val="bottom"/>
          </w:tcPr>
          <w:p w14:paraId="6AF43810" w14:textId="7FCA4D4B" w:rsidR="0036342C" w:rsidRPr="000D74BA" w:rsidRDefault="0036342C" w:rsidP="0036342C">
            <w:pPr>
              <w:pStyle w:val="SWCTableText"/>
            </w:pPr>
            <w:r w:rsidRPr="000D74BA">
              <w:t>0</w:t>
            </w:r>
          </w:p>
        </w:tc>
      </w:tr>
      <w:tr w:rsidR="000A6A23" w:rsidRPr="00F207B4" w14:paraId="78F41D3F" w14:textId="77777777" w:rsidTr="005B4F5F">
        <w:trPr>
          <w:jc w:val="center"/>
        </w:trPr>
        <w:tc>
          <w:tcPr>
            <w:tcW w:w="1271" w:type="dxa"/>
            <w:vMerge/>
            <w:vAlign w:val="center"/>
          </w:tcPr>
          <w:p w14:paraId="48266E19" w14:textId="77777777" w:rsidR="000A6A23" w:rsidRPr="00F207B4" w:rsidRDefault="000A6A23" w:rsidP="000A6A23">
            <w:pPr>
              <w:pStyle w:val="SWCTableText"/>
            </w:pPr>
          </w:p>
        </w:tc>
        <w:tc>
          <w:tcPr>
            <w:tcW w:w="1276" w:type="dxa"/>
            <w:vAlign w:val="bottom"/>
          </w:tcPr>
          <w:p w14:paraId="055A7F44" w14:textId="3A17A2E4" w:rsidR="000A6A23" w:rsidRPr="00F207B4" w:rsidRDefault="000A6A23" w:rsidP="000A6A23">
            <w:pPr>
              <w:pStyle w:val="SWCTableText"/>
            </w:pPr>
            <w:r w:rsidRPr="00F207B4">
              <w:t>10 days</w:t>
            </w:r>
          </w:p>
        </w:tc>
        <w:tc>
          <w:tcPr>
            <w:tcW w:w="1364" w:type="dxa"/>
            <w:vAlign w:val="bottom"/>
          </w:tcPr>
          <w:p w14:paraId="7BD1006F" w14:textId="065E426B" w:rsidR="000A6A23" w:rsidRPr="00F207B4" w:rsidRDefault="000A6A23" w:rsidP="000A6A23">
            <w:pPr>
              <w:pStyle w:val="SWCTableText"/>
            </w:pPr>
            <w:r w:rsidRPr="00F207B4">
              <w:t>20.75</w:t>
            </w:r>
          </w:p>
        </w:tc>
        <w:tc>
          <w:tcPr>
            <w:tcW w:w="2466" w:type="dxa"/>
          </w:tcPr>
          <w:p w14:paraId="4C517EFC" w14:textId="4240D7AF" w:rsidR="000A6A23" w:rsidRPr="00F207B4" w:rsidRDefault="000A6A23" w:rsidP="000A6A23">
            <w:pPr>
              <w:pStyle w:val="SWCTableText"/>
            </w:pPr>
            <w:r w:rsidRPr="00F207B4">
              <w:t>10</w:t>
            </w:r>
          </w:p>
        </w:tc>
        <w:tc>
          <w:tcPr>
            <w:tcW w:w="1429" w:type="dxa"/>
            <w:vAlign w:val="bottom"/>
          </w:tcPr>
          <w:p w14:paraId="1C0A8D06" w14:textId="1DF67B16" w:rsidR="000A6A23" w:rsidRPr="000D74BA" w:rsidRDefault="000D74BA" w:rsidP="000A6A23">
            <w:pPr>
              <w:pStyle w:val="SWCTableText"/>
            </w:pPr>
            <w:r w:rsidRPr="000D74BA">
              <w:t>1364.2</w:t>
            </w:r>
          </w:p>
        </w:tc>
        <w:tc>
          <w:tcPr>
            <w:tcW w:w="1559" w:type="dxa"/>
            <w:vAlign w:val="bottom"/>
          </w:tcPr>
          <w:p w14:paraId="5BD0EBD4" w14:textId="4BEB8431" w:rsidR="000A6A23" w:rsidRPr="000D74BA" w:rsidRDefault="000D74BA" w:rsidP="000A6A23">
            <w:pPr>
              <w:pStyle w:val="SWCTableText"/>
            </w:pPr>
            <w:r w:rsidRPr="000D74BA">
              <w:t>3.6</w:t>
            </w:r>
          </w:p>
        </w:tc>
      </w:tr>
      <w:tr w:rsidR="000A6A23" w:rsidRPr="00F207B4" w14:paraId="3E81B042" w14:textId="77777777" w:rsidTr="005B4F5F">
        <w:trPr>
          <w:jc w:val="center"/>
        </w:trPr>
        <w:tc>
          <w:tcPr>
            <w:tcW w:w="1271" w:type="dxa"/>
            <w:vMerge/>
            <w:vAlign w:val="center"/>
          </w:tcPr>
          <w:p w14:paraId="26BB9FC6" w14:textId="77777777" w:rsidR="000A6A23" w:rsidRPr="00F207B4" w:rsidRDefault="000A6A23" w:rsidP="000A6A23">
            <w:pPr>
              <w:pStyle w:val="SWCTableText"/>
            </w:pPr>
          </w:p>
        </w:tc>
        <w:tc>
          <w:tcPr>
            <w:tcW w:w="1276" w:type="dxa"/>
            <w:vAlign w:val="bottom"/>
          </w:tcPr>
          <w:p w14:paraId="06ED3331" w14:textId="63BBAF20" w:rsidR="000A6A23" w:rsidRPr="00F207B4" w:rsidRDefault="000A6A23" w:rsidP="000A6A23">
            <w:pPr>
              <w:pStyle w:val="SWCTableText"/>
            </w:pPr>
            <w:r w:rsidRPr="00F207B4">
              <w:t>1 month</w:t>
            </w:r>
          </w:p>
        </w:tc>
        <w:tc>
          <w:tcPr>
            <w:tcW w:w="1364" w:type="dxa"/>
            <w:vAlign w:val="bottom"/>
          </w:tcPr>
          <w:p w14:paraId="54D1A47C" w14:textId="435EF629" w:rsidR="000A6A23" w:rsidRPr="00F207B4" w:rsidRDefault="000A6A23" w:rsidP="000A6A23">
            <w:pPr>
              <w:pStyle w:val="SWCTableText"/>
            </w:pPr>
            <w:r w:rsidRPr="00F207B4">
              <w:t>62.75</w:t>
            </w:r>
          </w:p>
        </w:tc>
        <w:tc>
          <w:tcPr>
            <w:tcW w:w="2466" w:type="dxa"/>
          </w:tcPr>
          <w:p w14:paraId="16367101" w14:textId="7A42D068" w:rsidR="000A6A23" w:rsidRPr="00F207B4" w:rsidRDefault="000A6A23" w:rsidP="000A6A23">
            <w:pPr>
              <w:pStyle w:val="SWCTableText"/>
            </w:pPr>
            <w:r w:rsidRPr="00F207B4">
              <w:t>31</w:t>
            </w:r>
          </w:p>
        </w:tc>
        <w:tc>
          <w:tcPr>
            <w:tcW w:w="1429" w:type="dxa"/>
            <w:vAlign w:val="bottom"/>
          </w:tcPr>
          <w:p w14:paraId="09A0000B" w14:textId="13935180" w:rsidR="000A6A23" w:rsidRPr="000D74BA" w:rsidRDefault="000D74BA" w:rsidP="000A6A23">
            <w:pPr>
              <w:pStyle w:val="SWCTableText"/>
            </w:pPr>
            <w:r w:rsidRPr="000D74BA">
              <w:t>3993.9</w:t>
            </w:r>
          </w:p>
        </w:tc>
        <w:tc>
          <w:tcPr>
            <w:tcW w:w="1559" w:type="dxa"/>
            <w:vAlign w:val="bottom"/>
          </w:tcPr>
          <w:p w14:paraId="5A2E550D" w14:textId="6BE0861B" w:rsidR="000A6A23" w:rsidRPr="000D74BA" w:rsidRDefault="000D74BA" w:rsidP="000A6A23">
            <w:pPr>
              <w:pStyle w:val="SWCTableText"/>
            </w:pPr>
            <w:r w:rsidRPr="000D74BA">
              <w:t>48.6</w:t>
            </w:r>
          </w:p>
        </w:tc>
      </w:tr>
      <w:tr w:rsidR="000A6A23" w:rsidRPr="00F207B4" w14:paraId="5F486DC1" w14:textId="77777777" w:rsidTr="005B4F5F">
        <w:trPr>
          <w:jc w:val="center"/>
        </w:trPr>
        <w:tc>
          <w:tcPr>
            <w:tcW w:w="1271" w:type="dxa"/>
            <w:vMerge/>
            <w:vAlign w:val="center"/>
          </w:tcPr>
          <w:p w14:paraId="55952F3D" w14:textId="77777777" w:rsidR="000A6A23" w:rsidRPr="00F207B4" w:rsidRDefault="000A6A23" w:rsidP="000A6A23">
            <w:pPr>
              <w:pStyle w:val="SWCTableText"/>
            </w:pPr>
          </w:p>
        </w:tc>
        <w:tc>
          <w:tcPr>
            <w:tcW w:w="1276" w:type="dxa"/>
            <w:vAlign w:val="bottom"/>
          </w:tcPr>
          <w:p w14:paraId="57422621" w14:textId="03212A88" w:rsidR="000A6A23" w:rsidRPr="00F207B4" w:rsidRDefault="000A6A23" w:rsidP="000A6A23">
            <w:pPr>
              <w:pStyle w:val="SWCTableText"/>
            </w:pPr>
            <w:r w:rsidRPr="00F207B4">
              <w:t>3 months</w:t>
            </w:r>
          </w:p>
        </w:tc>
        <w:tc>
          <w:tcPr>
            <w:tcW w:w="1364" w:type="dxa"/>
            <w:vAlign w:val="bottom"/>
          </w:tcPr>
          <w:p w14:paraId="1FBD9A34" w14:textId="4AE7B1B4" w:rsidR="000A6A23" w:rsidRPr="00F207B4" w:rsidRDefault="000A6A23" w:rsidP="000A6A23">
            <w:pPr>
              <w:pStyle w:val="SWCTableText"/>
            </w:pPr>
            <w:r w:rsidRPr="00F207B4">
              <w:t>180.75</w:t>
            </w:r>
          </w:p>
        </w:tc>
        <w:tc>
          <w:tcPr>
            <w:tcW w:w="2466" w:type="dxa"/>
          </w:tcPr>
          <w:p w14:paraId="499E07BE" w14:textId="3475E932" w:rsidR="000A6A23" w:rsidRPr="00F207B4" w:rsidRDefault="000A6A23" w:rsidP="000A6A23">
            <w:pPr>
              <w:pStyle w:val="SWCTableText"/>
            </w:pPr>
            <w:r w:rsidRPr="00F207B4">
              <w:t>90</w:t>
            </w:r>
          </w:p>
        </w:tc>
        <w:tc>
          <w:tcPr>
            <w:tcW w:w="1429" w:type="dxa"/>
            <w:vAlign w:val="bottom"/>
          </w:tcPr>
          <w:p w14:paraId="47D18B0A" w14:textId="01E315DC" w:rsidR="000A6A23" w:rsidRPr="000D74BA" w:rsidRDefault="000D74BA" w:rsidP="000A6A23">
            <w:pPr>
              <w:pStyle w:val="SWCTableText"/>
            </w:pPr>
            <w:r w:rsidRPr="000D74BA">
              <w:t>11169.7</w:t>
            </w:r>
          </w:p>
        </w:tc>
        <w:tc>
          <w:tcPr>
            <w:tcW w:w="1559" w:type="dxa"/>
            <w:vAlign w:val="bottom"/>
          </w:tcPr>
          <w:p w14:paraId="4CCFE9C8" w14:textId="3D2A68AE" w:rsidR="000A6A23" w:rsidRPr="000D74BA" w:rsidRDefault="000D74BA" w:rsidP="000A6A23">
            <w:pPr>
              <w:pStyle w:val="SWCTableText"/>
            </w:pPr>
            <w:r w:rsidRPr="000D74BA">
              <w:t>334</w:t>
            </w:r>
          </w:p>
        </w:tc>
      </w:tr>
      <w:tr w:rsidR="00F14533" w:rsidRPr="00F207B4" w14:paraId="3D26F5FF" w14:textId="77777777" w:rsidTr="005B4F5F">
        <w:trPr>
          <w:jc w:val="center"/>
        </w:trPr>
        <w:tc>
          <w:tcPr>
            <w:tcW w:w="1271" w:type="dxa"/>
            <w:vMerge w:val="restart"/>
            <w:vAlign w:val="center"/>
          </w:tcPr>
          <w:p w14:paraId="246AA8ED" w14:textId="2C68F6F1" w:rsidR="00F14533" w:rsidRPr="00F207B4" w:rsidRDefault="00F14533" w:rsidP="000103AD">
            <w:pPr>
              <w:pStyle w:val="SWCTableText"/>
            </w:pPr>
            <w:r w:rsidRPr="00F207B4">
              <w:t>Scenario 3</w:t>
            </w:r>
          </w:p>
        </w:tc>
        <w:tc>
          <w:tcPr>
            <w:tcW w:w="1276" w:type="dxa"/>
            <w:vAlign w:val="bottom"/>
          </w:tcPr>
          <w:p w14:paraId="2ADF5049" w14:textId="6EFA0803" w:rsidR="00F14533" w:rsidRPr="00F207B4" w:rsidRDefault="00F14533" w:rsidP="000103AD">
            <w:pPr>
              <w:pStyle w:val="SWCTableText"/>
            </w:pPr>
            <w:r w:rsidRPr="00F207B4">
              <w:t>1 day</w:t>
            </w:r>
          </w:p>
        </w:tc>
        <w:tc>
          <w:tcPr>
            <w:tcW w:w="1364" w:type="dxa"/>
            <w:vAlign w:val="bottom"/>
          </w:tcPr>
          <w:p w14:paraId="5417BF3C" w14:textId="2651B21B" w:rsidR="00F14533" w:rsidRPr="00F207B4" w:rsidRDefault="00F14533" w:rsidP="000103AD">
            <w:pPr>
              <w:pStyle w:val="SWCTableText"/>
            </w:pPr>
            <w:r w:rsidRPr="00F207B4">
              <w:t>2</w:t>
            </w:r>
          </w:p>
        </w:tc>
        <w:tc>
          <w:tcPr>
            <w:tcW w:w="2466" w:type="dxa"/>
          </w:tcPr>
          <w:p w14:paraId="4AB28EF1" w14:textId="5C0CB5D7" w:rsidR="00F14533" w:rsidRPr="00F207B4" w:rsidRDefault="005B4F5F" w:rsidP="000103AD">
            <w:pPr>
              <w:pStyle w:val="SWCTableText"/>
            </w:pPr>
            <w:r w:rsidRPr="00F207B4">
              <w:t>1</w:t>
            </w:r>
          </w:p>
        </w:tc>
        <w:tc>
          <w:tcPr>
            <w:tcW w:w="1429" w:type="dxa"/>
            <w:vAlign w:val="bottom"/>
          </w:tcPr>
          <w:p w14:paraId="2E103BE9" w14:textId="4E9BD120" w:rsidR="00F14533" w:rsidRPr="00F207B4" w:rsidRDefault="00F14533" w:rsidP="000103AD">
            <w:pPr>
              <w:pStyle w:val="SWCTableText"/>
            </w:pPr>
            <w:r w:rsidRPr="00F207B4">
              <w:t>150.6</w:t>
            </w:r>
          </w:p>
        </w:tc>
        <w:tc>
          <w:tcPr>
            <w:tcW w:w="1559" w:type="dxa"/>
            <w:vAlign w:val="bottom"/>
          </w:tcPr>
          <w:p w14:paraId="3FD72EB0" w14:textId="245781B0" w:rsidR="00F14533" w:rsidRPr="00F207B4" w:rsidRDefault="00F14533" w:rsidP="000103AD">
            <w:pPr>
              <w:pStyle w:val="SWCTableText"/>
            </w:pPr>
            <w:r w:rsidRPr="00F207B4">
              <w:t>0.0</w:t>
            </w:r>
          </w:p>
        </w:tc>
      </w:tr>
      <w:tr w:rsidR="00F14533" w:rsidRPr="00F207B4" w14:paraId="049C10D8" w14:textId="77777777" w:rsidTr="005B4F5F">
        <w:trPr>
          <w:jc w:val="center"/>
        </w:trPr>
        <w:tc>
          <w:tcPr>
            <w:tcW w:w="1271" w:type="dxa"/>
            <w:vMerge/>
            <w:vAlign w:val="center"/>
          </w:tcPr>
          <w:p w14:paraId="17B0A420" w14:textId="77777777" w:rsidR="00F14533" w:rsidRPr="00F207B4" w:rsidRDefault="00F14533" w:rsidP="000103AD">
            <w:pPr>
              <w:pStyle w:val="SWCTableText"/>
            </w:pPr>
          </w:p>
        </w:tc>
        <w:tc>
          <w:tcPr>
            <w:tcW w:w="1276" w:type="dxa"/>
            <w:vAlign w:val="bottom"/>
          </w:tcPr>
          <w:p w14:paraId="6E9523F5" w14:textId="1F64F39F" w:rsidR="00F14533" w:rsidRPr="00F207B4" w:rsidRDefault="00F14533" w:rsidP="000103AD">
            <w:pPr>
              <w:pStyle w:val="SWCTableText"/>
            </w:pPr>
            <w:r w:rsidRPr="00F207B4">
              <w:t>10 days</w:t>
            </w:r>
          </w:p>
        </w:tc>
        <w:tc>
          <w:tcPr>
            <w:tcW w:w="1364" w:type="dxa"/>
            <w:vAlign w:val="bottom"/>
          </w:tcPr>
          <w:p w14:paraId="6A916104" w14:textId="2BE02CD4" w:rsidR="00F14533" w:rsidRPr="00F207B4" w:rsidRDefault="00F14533" w:rsidP="000103AD">
            <w:pPr>
              <w:pStyle w:val="SWCTableText"/>
            </w:pPr>
            <w:r w:rsidRPr="00F207B4">
              <w:t>18</w:t>
            </w:r>
          </w:p>
        </w:tc>
        <w:tc>
          <w:tcPr>
            <w:tcW w:w="2466" w:type="dxa"/>
          </w:tcPr>
          <w:p w14:paraId="2D06F673" w14:textId="597797F0" w:rsidR="00F14533" w:rsidRPr="00F207B4" w:rsidRDefault="005B4F5F" w:rsidP="000103AD">
            <w:pPr>
              <w:pStyle w:val="SWCTableText"/>
            </w:pPr>
            <w:r w:rsidRPr="00F207B4">
              <w:t>10</w:t>
            </w:r>
          </w:p>
        </w:tc>
        <w:tc>
          <w:tcPr>
            <w:tcW w:w="1429" w:type="dxa"/>
            <w:vAlign w:val="bottom"/>
          </w:tcPr>
          <w:p w14:paraId="6643CFC3" w14:textId="3F2296FB" w:rsidR="00F14533" w:rsidRPr="00F207B4" w:rsidRDefault="00F14533" w:rsidP="000103AD">
            <w:pPr>
              <w:pStyle w:val="SWCTableText"/>
            </w:pPr>
            <w:r w:rsidRPr="00F207B4">
              <w:t>1987</w:t>
            </w:r>
          </w:p>
        </w:tc>
        <w:tc>
          <w:tcPr>
            <w:tcW w:w="1559" w:type="dxa"/>
            <w:vAlign w:val="bottom"/>
          </w:tcPr>
          <w:p w14:paraId="5286489A" w14:textId="6166D474" w:rsidR="00F14533" w:rsidRPr="00F207B4" w:rsidRDefault="00F14533" w:rsidP="000103AD">
            <w:pPr>
              <w:pStyle w:val="SWCTableText"/>
            </w:pPr>
            <w:r w:rsidRPr="00F207B4">
              <w:t>12.3</w:t>
            </w:r>
          </w:p>
        </w:tc>
      </w:tr>
      <w:tr w:rsidR="00F14533" w:rsidRPr="00F207B4" w14:paraId="2A8A08A9" w14:textId="77777777" w:rsidTr="005B4F5F">
        <w:trPr>
          <w:jc w:val="center"/>
        </w:trPr>
        <w:tc>
          <w:tcPr>
            <w:tcW w:w="1271" w:type="dxa"/>
            <w:vMerge/>
            <w:vAlign w:val="center"/>
          </w:tcPr>
          <w:p w14:paraId="5E3D00DE" w14:textId="77777777" w:rsidR="00F14533" w:rsidRPr="00F207B4" w:rsidRDefault="00F14533" w:rsidP="000103AD">
            <w:pPr>
              <w:pStyle w:val="SWCTableText"/>
            </w:pPr>
          </w:p>
        </w:tc>
        <w:tc>
          <w:tcPr>
            <w:tcW w:w="1276" w:type="dxa"/>
            <w:vAlign w:val="bottom"/>
          </w:tcPr>
          <w:p w14:paraId="65572B73" w14:textId="610E494D" w:rsidR="00F14533" w:rsidRPr="00F207B4" w:rsidRDefault="00F14533" w:rsidP="000103AD">
            <w:pPr>
              <w:pStyle w:val="SWCTableText"/>
            </w:pPr>
            <w:r w:rsidRPr="00F207B4">
              <w:t>1 month</w:t>
            </w:r>
          </w:p>
        </w:tc>
        <w:tc>
          <w:tcPr>
            <w:tcW w:w="1364" w:type="dxa"/>
            <w:vAlign w:val="bottom"/>
          </w:tcPr>
          <w:p w14:paraId="5C2ABCB5" w14:textId="042A3B19" w:rsidR="00F14533" w:rsidRPr="00F207B4" w:rsidRDefault="00F14533" w:rsidP="000103AD">
            <w:pPr>
              <w:pStyle w:val="SWCTableText"/>
            </w:pPr>
            <w:r w:rsidRPr="00F207B4">
              <w:t>57.85</w:t>
            </w:r>
          </w:p>
        </w:tc>
        <w:tc>
          <w:tcPr>
            <w:tcW w:w="2466" w:type="dxa"/>
          </w:tcPr>
          <w:p w14:paraId="6FE43881" w14:textId="21445DCA" w:rsidR="00F14533" w:rsidRPr="00F207B4" w:rsidRDefault="005B4F5F" w:rsidP="000103AD">
            <w:pPr>
              <w:pStyle w:val="SWCTableText"/>
            </w:pPr>
            <w:r w:rsidRPr="00F207B4">
              <w:t>28.9</w:t>
            </w:r>
          </w:p>
        </w:tc>
        <w:tc>
          <w:tcPr>
            <w:tcW w:w="1429" w:type="dxa"/>
            <w:vAlign w:val="bottom"/>
          </w:tcPr>
          <w:p w14:paraId="6E96551A" w14:textId="7F295664" w:rsidR="00F14533" w:rsidRPr="00F207B4" w:rsidRDefault="00F14533" w:rsidP="000103AD">
            <w:pPr>
              <w:pStyle w:val="SWCTableText"/>
            </w:pPr>
            <w:r w:rsidRPr="00F207B4">
              <w:t>4337</w:t>
            </w:r>
          </w:p>
        </w:tc>
        <w:tc>
          <w:tcPr>
            <w:tcW w:w="1559" w:type="dxa"/>
            <w:vAlign w:val="bottom"/>
          </w:tcPr>
          <w:p w14:paraId="184BAF1F" w14:textId="5937B730" w:rsidR="00F14533" w:rsidRPr="00F207B4" w:rsidRDefault="00F14533" w:rsidP="000103AD">
            <w:pPr>
              <w:pStyle w:val="SWCTableText"/>
            </w:pPr>
            <w:r w:rsidRPr="00F207B4">
              <w:t>269.6</w:t>
            </w:r>
          </w:p>
        </w:tc>
      </w:tr>
      <w:tr w:rsidR="00F14533" w:rsidRPr="00F207B4" w14:paraId="1A471AB9" w14:textId="77777777" w:rsidTr="005B4F5F">
        <w:trPr>
          <w:jc w:val="center"/>
        </w:trPr>
        <w:tc>
          <w:tcPr>
            <w:tcW w:w="1271" w:type="dxa"/>
            <w:vMerge/>
            <w:vAlign w:val="center"/>
          </w:tcPr>
          <w:p w14:paraId="4812F60B" w14:textId="77777777" w:rsidR="00F14533" w:rsidRPr="00F207B4" w:rsidRDefault="00F14533" w:rsidP="000103AD">
            <w:pPr>
              <w:pStyle w:val="SWCTableText"/>
            </w:pPr>
          </w:p>
        </w:tc>
        <w:tc>
          <w:tcPr>
            <w:tcW w:w="1276" w:type="dxa"/>
            <w:vAlign w:val="bottom"/>
          </w:tcPr>
          <w:p w14:paraId="1A75DD17" w14:textId="4A9C70CD" w:rsidR="00F14533" w:rsidRPr="00F207B4" w:rsidRDefault="00F14533" w:rsidP="000103AD">
            <w:pPr>
              <w:pStyle w:val="SWCTableText"/>
            </w:pPr>
            <w:r w:rsidRPr="00F207B4">
              <w:t>3 months</w:t>
            </w:r>
          </w:p>
        </w:tc>
        <w:tc>
          <w:tcPr>
            <w:tcW w:w="1364" w:type="dxa"/>
            <w:vAlign w:val="bottom"/>
          </w:tcPr>
          <w:p w14:paraId="36AF6DB5" w14:textId="259883E9" w:rsidR="00F14533" w:rsidRPr="00F207B4" w:rsidRDefault="00F14533" w:rsidP="000103AD">
            <w:pPr>
              <w:pStyle w:val="SWCTableText"/>
            </w:pPr>
            <w:r w:rsidRPr="00F207B4">
              <w:t>134.5</w:t>
            </w:r>
          </w:p>
        </w:tc>
        <w:tc>
          <w:tcPr>
            <w:tcW w:w="2466" w:type="dxa"/>
          </w:tcPr>
          <w:p w14:paraId="6147BEAE" w14:textId="22055093" w:rsidR="00F14533" w:rsidRPr="00F207B4" w:rsidRDefault="005B4F5F" w:rsidP="000103AD">
            <w:pPr>
              <w:pStyle w:val="SWCTableText"/>
            </w:pPr>
            <w:r w:rsidRPr="00F207B4">
              <w:t>67.6</w:t>
            </w:r>
          </w:p>
        </w:tc>
        <w:tc>
          <w:tcPr>
            <w:tcW w:w="1429" w:type="dxa"/>
            <w:vAlign w:val="bottom"/>
          </w:tcPr>
          <w:p w14:paraId="031094FF" w14:textId="2158A892" w:rsidR="00F14533" w:rsidRPr="00F207B4" w:rsidRDefault="00F14533" w:rsidP="000103AD">
            <w:pPr>
              <w:pStyle w:val="SWCTableText"/>
            </w:pPr>
            <w:r w:rsidRPr="00F207B4">
              <w:t>7235</w:t>
            </w:r>
          </w:p>
        </w:tc>
        <w:tc>
          <w:tcPr>
            <w:tcW w:w="1559" w:type="dxa"/>
            <w:vAlign w:val="bottom"/>
          </w:tcPr>
          <w:p w14:paraId="2E309EC1" w14:textId="6BBFC476" w:rsidR="00F14533" w:rsidRPr="00F207B4" w:rsidRDefault="00F14533" w:rsidP="000103AD">
            <w:pPr>
              <w:pStyle w:val="SWCTableText"/>
            </w:pPr>
            <w:r w:rsidRPr="00F207B4">
              <w:t>2381</w:t>
            </w:r>
          </w:p>
        </w:tc>
      </w:tr>
    </w:tbl>
    <w:p w14:paraId="0D451BC6" w14:textId="77777777" w:rsidR="003E1D22" w:rsidRPr="003E1D22" w:rsidRDefault="003E1D22" w:rsidP="003E1D22">
      <w:pPr>
        <w:rPr>
          <w:lang w:val="en-GB"/>
        </w:rPr>
      </w:pPr>
    </w:p>
    <w:p w14:paraId="79CA5812" w14:textId="57E51B01" w:rsidR="00BC1171" w:rsidRPr="00F207B4" w:rsidRDefault="00BC1171" w:rsidP="00D02AB4">
      <w:pPr>
        <w:pStyle w:val="SWCHeading11"/>
        <w:numPr>
          <w:ilvl w:val="1"/>
          <w:numId w:val="11"/>
        </w:numPr>
      </w:pPr>
      <w:r w:rsidRPr="00F207B4">
        <w:t>Sensitivity study</w:t>
      </w:r>
    </w:p>
    <w:p w14:paraId="70FEDF61" w14:textId="464B52DF" w:rsidR="00236114" w:rsidRPr="00F207B4" w:rsidRDefault="00236114" w:rsidP="00236114">
      <w:pPr>
        <w:pStyle w:val="SWCHeading11"/>
      </w:pPr>
      <w:r w:rsidRPr="00F207B4">
        <w:t xml:space="preserve">3.2.1 </w:t>
      </w:r>
      <w:r w:rsidR="005569C4" w:rsidRPr="00F207B4">
        <w:t>General trends and parameter screening</w:t>
      </w:r>
    </w:p>
    <w:p w14:paraId="0972CC5B" w14:textId="7E824221" w:rsidR="00327144" w:rsidRDefault="005569C4" w:rsidP="00161358">
      <w:pPr>
        <w:pStyle w:val="SWCText"/>
        <w:rPr>
          <w:lang w:val="en-GB"/>
        </w:rPr>
      </w:pPr>
      <w:r w:rsidRPr="00F207B4">
        <w:rPr>
          <w:lang w:val="en-GB"/>
        </w:rPr>
        <w:t>Fi</w:t>
      </w:r>
      <w:r w:rsidR="005809B3" w:rsidRPr="00F207B4">
        <w:rPr>
          <w:lang w:val="en-GB"/>
        </w:rPr>
        <w:t>g.</w:t>
      </w:r>
      <w:r w:rsidR="00CF60CC" w:rsidRPr="00F207B4">
        <w:rPr>
          <w:lang w:val="en-GB"/>
        </w:rPr>
        <w:t>5</w:t>
      </w:r>
      <w:r w:rsidR="006B5F2C" w:rsidRPr="00F207B4">
        <w:rPr>
          <w:lang w:val="en-GB"/>
        </w:rPr>
        <w:t xml:space="preserve"> highlights the variability of the performance indicator for the </w:t>
      </w:r>
      <w:r w:rsidR="00476BFB" w:rsidRPr="00F207B4">
        <w:rPr>
          <w:lang w:val="en-GB"/>
        </w:rPr>
        <w:t>5</w:t>
      </w:r>
      <w:r w:rsidR="006B5F2C" w:rsidRPr="00F207B4">
        <w:rPr>
          <w:lang w:val="en-GB"/>
        </w:rPr>
        <w:t>-tube configuration as a function of the main input parameters</w:t>
      </w:r>
      <w:r w:rsidRPr="00F207B4">
        <w:rPr>
          <w:lang w:val="en-GB"/>
        </w:rPr>
        <w:t xml:space="preserve">. Scenarios </w:t>
      </w:r>
      <w:r w:rsidR="00476BFB" w:rsidRPr="00F207B4">
        <w:rPr>
          <w:lang w:val="en-GB"/>
        </w:rPr>
        <w:t>2 and</w:t>
      </w:r>
      <w:r w:rsidRPr="00F207B4">
        <w:rPr>
          <w:lang w:val="en-GB"/>
        </w:rPr>
        <w:t xml:space="preserve"> 3 are represented respectively by orange and green markers.</w:t>
      </w:r>
      <w:r w:rsidR="00A152F7" w:rsidRPr="00F207B4">
        <w:rPr>
          <w:lang w:val="en-GB"/>
        </w:rPr>
        <w:t xml:space="preserve"> </w:t>
      </w:r>
      <w:r w:rsidR="00327144" w:rsidRPr="00F207B4">
        <w:rPr>
          <w:lang w:val="en-GB"/>
        </w:rPr>
        <w:t>Scenario 1 is not shown because no energy is extracted from the HUTES.</w:t>
      </w:r>
      <w:r w:rsidR="00327144">
        <w:rPr>
          <w:lang w:val="en-GB"/>
        </w:rPr>
        <w:t xml:space="preserve"> </w:t>
      </w:r>
      <w:r w:rsidR="006B5F2C" w:rsidRPr="00F207B4">
        <w:rPr>
          <w:lang w:val="en-GB"/>
        </w:rPr>
        <w:t>Distinct behavioural patterns emerge among the</w:t>
      </w:r>
      <w:r w:rsidR="00327144">
        <w:rPr>
          <w:lang w:val="en-GB"/>
        </w:rPr>
        <w:t xml:space="preserve"> two</w:t>
      </w:r>
      <w:r w:rsidR="006B5F2C" w:rsidRPr="00F207B4">
        <w:rPr>
          <w:lang w:val="en-GB"/>
        </w:rPr>
        <w:t xml:space="preserve"> scenarios.</w:t>
      </w:r>
      <w:r w:rsidR="007F787C">
        <w:rPr>
          <w:lang w:val="en-GB"/>
        </w:rPr>
        <w:t xml:space="preserve"> </w:t>
      </w:r>
      <w:r w:rsidR="00A455BC" w:rsidRPr="00F207B4">
        <w:rPr>
          <w:lang w:val="en-GB"/>
        </w:rPr>
        <w:t>S</w:t>
      </w:r>
      <w:r w:rsidRPr="00F207B4">
        <w:rPr>
          <w:lang w:val="en-GB"/>
        </w:rPr>
        <w:t xml:space="preserve">cenario 2 shows significantly </w:t>
      </w:r>
      <w:r w:rsidR="0061793D" w:rsidRPr="00F207B4">
        <w:rPr>
          <w:lang w:val="en-GB"/>
        </w:rPr>
        <w:t>greater</w:t>
      </w:r>
      <w:r w:rsidRPr="00F207B4">
        <w:rPr>
          <w:lang w:val="en-GB"/>
        </w:rPr>
        <w:t xml:space="preserve"> dispersion, reflecting the influence </w:t>
      </w:r>
      <w:r w:rsidR="007F787C">
        <w:rPr>
          <w:lang w:val="en-GB"/>
        </w:rPr>
        <w:t xml:space="preserve">and interactions </w:t>
      </w:r>
      <w:r w:rsidRPr="00F207B4">
        <w:rPr>
          <w:lang w:val="en-GB"/>
        </w:rPr>
        <w:t xml:space="preserve">of </w:t>
      </w:r>
      <w:r w:rsidR="007F787C">
        <w:rPr>
          <w:lang w:val="en-GB"/>
        </w:rPr>
        <w:t xml:space="preserve">the </w:t>
      </w:r>
      <w:r w:rsidR="00327144">
        <w:rPr>
          <w:lang w:val="en-GB"/>
        </w:rPr>
        <w:t>design</w:t>
      </w:r>
      <w:r w:rsidRPr="00F207B4">
        <w:rPr>
          <w:lang w:val="en-GB"/>
        </w:rPr>
        <w:t xml:space="preserve"> parameters</w:t>
      </w:r>
      <w:r w:rsidR="008E0E03" w:rsidRPr="00F207B4">
        <w:rPr>
          <w:lang w:val="en-GB"/>
        </w:rPr>
        <w:t>,</w:t>
      </w:r>
      <w:r w:rsidRPr="00F207B4">
        <w:rPr>
          <w:lang w:val="en-GB"/>
        </w:rPr>
        <w:t xml:space="preserve"> such as </w:t>
      </w:r>
      <w:r w:rsidR="00A455BC" w:rsidRPr="00F207B4">
        <w:rPr>
          <w:lang w:val="en-GB"/>
        </w:rPr>
        <w:t>the thickness and type of insulation</w:t>
      </w:r>
      <w:r w:rsidRPr="00F207B4">
        <w:rPr>
          <w:lang w:val="en-GB"/>
        </w:rPr>
        <w:t xml:space="preserve">. </w:t>
      </w:r>
      <w:r w:rsidR="00327144">
        <w:rPr>
          <w:lang w:val="en-GB"/>
        </w:rPr>
        <w:t>In contrast, s</w:t>
      </w:r>
      <w:r w:rsidRPr="00F207B4">
        <w:rPr>
          <w:lang w:val="en-GB"/>
        </w:rPr>
        <w:t xml:space="preserve">cenario 3 presents </w:t>
      </w:r>
      <w:r w:rsidR="00A455BC" w:rsidRPr="00F207B4">
        <w:rPr>
          <w:lang w:val="en-GB"/>
        </w:rPr>
        <w:t>l</w:t>
      </w:r>
      <w:r w:rsidR="00327144">
        <w:rPr>
          <w:lang w:val="en-GB"/>
        </w:rPr>
        <w:t>ower</w:t>
      </w:r>
      <w:r w:rsidR="00A455BC" w:rsidRPr="00F207B4">
        <w:rPr>
          <w:lang w:val="en-GB"/>
        </w:rPr>
        <w:t xml:space="preserve"> dispersion</w:t>
      </w:r>
      <w:r w:rsidRPr="00F207B4">
        <w:rPr>
          <w:lang w:val="en-GB"/>
        </w:rPr>
        <w:t xml:space="preserve">, with variability primarily </w:t>
      </w:r>
      <w:r w:rsidR="0061793D" w:rsidRPr="00F207B4">
        <w:rPr>
          <w:lang w:val="en-GB"/>
        </w:rPr>
        <w:t xml:space="preserve">governed </w:t>
      </w:r>
      <w:r w:rsidRPr="00F207B4">
        <w:rPr>
          <w:lang w:val="en-GB"/>
        </w:rPr>
        <w:t>by climat</w:t>
      </w:r>
      <w:r w:rsidR="0061793D" w:rsidRPr="00F207B4">
        <w:rPr>
          <w:lang w:val="en-GB"/>
        </w:rPr>
        <w:t>e</w:t>
      </w:r>
      <w:r w:rsidRPr="00F207B4">
        <w:rPr>
          <w:lang w:val="en-GB"/>
        </w:rPr>
        <w:t xml:space="preserve"> forcing and </w:t>
      </w:r>
      <w:r w:rsidR="0061793D" w:rsidRPr="00F207B4">
        <w:rPr>
          <w:lang w:val="en-GB"/>
        </w:rPr>
        <w:t xml:space="preserve">coupling with the </w:t>
      </w:r>
      <w:r w:rsidRPr="00F207B4">
        <w:rPr>
          <w:lang w:val="en-GB"/>
        </w:rPr>
        <w:t>solar field.</w:t>
      </w:r>
    </w:p>
    <w:p w14:paraId="332B3DBB" w14:textId="77777777" w:rsidR="00C874E5" w:rsidRPr="00F207B4" w:rsidRDefault="00C874E5" w:rsidP="00C874E5">
      <w:pPr>
        <w:pStyle w:val="SWCText"/>
        <w:rPr>
          <w:lang w:val="en-GB"/>
        </w:rPr>
      </w:pPr>
      <w:r w:rsidRPr="00F207B4">
        <w:rPr>
          <w:lang w:val="en-GB"/>
        </w:rPr>
        <w:t>The spacing between tubes (</w:t>
      </w:r>
      <w:proofErr w:type="spellStart"/>
      <w:r w:rsidRPr="00F207B4">
        <w:rPr>
          <w:lang w:val="en-GB"/>
        </w:rPr>
        <w:t>d</w:t>
      </w:r>
      <w:r w:rsidRPr="00F207B4">
        <w:rPr>
          <w:vertAlign w:val="subscript"/>
          <w:lang w:val="en-GB"/>
        </w:rPr>
        <w:t>tube</w:t>
      </w:r>
      <w:proofErr w:type="spellEnd"/>
      <w:r w:rsidRPr="00F207B4">
        <w:rPr>
          <w:lang w:val="en-GB"/>
        </w:rPr>
        <w:t>) exhibits a weak but non-negligible influence, with a tendency towards optimal intermediate values depending on the number of parallel tubes. This behaviour reflects a trade-off between conductive thermal interaction in the soil and hydraulic compactness constraints. The optimal distances between tubes, determined to comply with the overall dimensions of the HUTES (see Fig.1), are 0.7–0.8m, 0.42m, 0.3m and 0.22m respectively for 2, 3, 4 and 5 tubes in parallel.</w:t>
      </w:r>
    </w:p>
    <w:p w14:paraId="6F90C6B3" w14:textId="74E3721D" w:rsidR="00161358" w:rsidRPr="00F207B4" w:rsidRDefault="00327144" w:rsidP="00161358">
      <w:pPr>
        <w:pStyle w:val="SWCText"/>
        <w:rPr>
          <w:lang w:val="en-GB"/>
        </w:rPr>
      </w:pPr>
      <w:r>
        <w:rPr>
          <w:lang w:val="en-GB"/>
        </w:rPr>
        <w:t>Similarly, a ground cover</w:t>
      </w:r>
      <w:r w:rsidR="00A455BC" w:rsidRPr="00F207B4">
        <w:rPr>
          <w:lang w:val="en-GB"/>
        </w:rPr>
        <w:t xml:space="preserve"> </w:t>
      </w:r>
      <w:r w:rsidR="00161358" w:rsidRPr="00F207B4">
        <w:rPr>
          <w:lang w:val="en-GB"/>
        </w:rPr>
        <w:t xml:space="preserve">thickness </w:t>
      </w:r>
      <w:r w:rsidR="00C874E5">
        <w:rPr>
          <w:lang w:val="en-GB"/>
        </w:rPr>
        <w:t>(</w:t>
      </w:r>
      <w:proofErr w:type="spellStart"/>
      <w:r w:rsidR="00C874E5">
        <w:rPr>
          <w:lang w:val="en-GB"/>
        </w:rPr>
        <w:t>e</w:t>
      </w:r>
      <w:r w:rsidR="00C874E5" w:rsidRPr="00C874E5">
        <w:rPr>
          <w:vertAlign w:val="subscript"/>
          <w:lang w:val="en-GB"/>
        </w:rPr>
        <w:t>groun</w:t>
      </w:r>
      <w:r w:rsidR="00C874E5">
        <w:rPr>
          <w:vertAlign w:val="subscript"/>
          <w:lang w:val="en-GB"/>
        </w:rPr>
        <w:t>d</w:t>
      </w:r>
      <w:proofErr w:type="spellEnd"/>
      <w:r w:rsidR="00C874E5">
        <w:rPr>
          <w:lang w:val="en-GB"/>
        </w:rPr>
        <w:t xml:space="preserve">) </w:t>
      </w:r>
      <w:r>
        <w:rPr>
          <w:lang w:val="en-GB"/>
        </w:rPr>
        <w:t>of at least</w:t>
      </w:r>
      <w:r w:rsidR="00A455BC" w:rsidRPr="00F207B4">
        <w:rPr>
          <w:lang w:val="en-GB"/>
        </w:rPr>
        <w:t xml:space="preserve"> 0.2</w:t>
      </w:r>
      <w:r w:rsidR="00954539">
        <w:rPr>
          <w:lang w:val="en-GB"/>
        </w:rPr>
        <w:t>5</w:t>
      </w:r>
      <w:bookmarkStart w:id="1" w:name="_GoBack"/>
      <w:bookmarkEnd w:id="1"/>
      <w:r w:rsidR="00A455BC" w:rsidRPr="00F207B4">
        <w:rPr>
          <w:lang w:val="en-GB"/>
        </w:rPr>
        <w:t xml:space="preserve"> m appears to </w:t>
      </w:r>
      <w:r>
        <w:rPr>
          <w:lang w:val="en-GB"/>
        </w:rPr>
        <w:t xml:space="preserve">provide a suitable compromise between limiting </w:t>
      </w:r>
      <w:r w:rsidR="00C874E5">
        <w:rPr>
          <w:lang w:val="en-GB"/>
        </w:rPr>
        <w:t xml:space="preserve">surface </w:t>
      </w:r>
      <w:r>
        <w:rPr>
          <w:lang w:val="en-GB"/>
        </w:rPr>
        <w:t xml:space="preserve">heat losses and excavation </w:t>
      </w:r>
      <w:r w:rsidR="00A455BC" w:rsidRPr="00F207B4">
        <w:rPr>
          <w:lang w:val="en-GB"/>
        </w:rPr>
        <w:t xml:space="preserve">costs. </w:t>
      </w:r>
      <w:r>
        <w:rPr>
          <w:lang w:val="en-GB"/>
        </w:rPr>
        <w:t>The effect of insulation</w:t>
      </w:r>
      <w:r w:rsidR="00A455BC" w:rsidRPr="00F207B4">
        <w:rPr>
          <w:lang w:val="en-GB"/>
        </w:rPr>
        <w:t xml:space="preserve"> thickness and </w:t>
      </w:r>
      <w:r>
        <w:rPr>
          <w:lang w:val="en-GB"/>
        </w:rPr>
        <w:t>material</w:t>
      </w:r>
      <w:r w:rsidR="00A455BC" w:rsidRPr="00F207B4">
        <w:rPr>
          <w:lang w:val="en-GB"/>
        </w:rPr>
        <w:t xml:space="preserve"> are </w:t>
      </w:r>
      <w:r>
        <w:rPr>
          <w:lang w:val="en-GB"/>
        </w:rPr>
        <w:t xml:space="preserve">strongly coupled, making their individual influence difficult to isolate. </w:t>
      </w:r>
      <w:r w:rsidR="00C874E5">
        <w:rPr>
          <w:lang w:val="en-GB"/>
        </w:rPr>
        <w:t>However</w:t>
      </w:r>
      <w:r w:rsidR="00A455BC" w:rsidRPr="00F207B4">
        <w:rPr>
          <w:lang w:val="en-GB"/>
        </w:rPr>
        <w:t>,</w:t>
      </w:r>
      <w:r>
        <w:rPr>
          <w:lang w:val="en-GB"/>
        </w:rPr>
        <w:t xml:space="preserve"> </w:t>
      </w:r>
      <w:r w:rsidR="00A455BC" w:rsidRPr="00F207B4">
        <w:rPr>
          <w:lang w:val="en-GB"/>
        </w:rPr>
        <w:t xml:space="preserve">polystyrene, polyurethane (standard </w:t>
      </w:r>
      <w:r w:rsidR="00AB21F4">
        <w:rPr>
          <w:lang w:val="en-GB"/>
        </w:rPr>
        <w:t>and</w:t>
      </w:r>
      <w:r w:rsidR="00A455BC" w:rsidRPr="00F207B4">
        <w:rPr>
          <w:lang w:val="en-GB"/>
        </w:rPr>
        <w:t xml:space="preserve"> high-density) and the rubber/cotton/plastic mix </w:t>
      </w:r>
      <w:r w:rsidR="00C874E5">
        <w:rPr>
          <w:lang w:val="en-GB"/>
        </w:rPr>
        <w:t>result in</w:t>
      </w:r>
      <w:r w:rsidR="00AB21F4">
        <w:rPr>
          <w:lang w:val="en-GB"/>
        </w:rPr>
        <w:t xml:space="preserve"> lower</w:t>
      </w:r>
      <w:r w:rsidR="00A455BC" w:rsidRPr="00F207B4">
        <w:rPr>
          <w:lang w:val="en-GB"/>
        </w:rPr>
        <w:t xml:space="preserve"> HUTES performance</w:t>
      </w:r>
      <w:r w:rsidR="00AB21F4">
        <w:rPr>
          <w:lang w:val="en-GB"/>
        </w:rPr>
        <w:t xml:space="preserve"> within the </w:t>
      </w:r>
      <w:r w:rsidR="00C874E5">
        <w:rPr>
          <w:lang w:val="en-GB"/>
        </w:rPr>
        <w:t xml:space="preserve">investigated </w:t>
      </w:r>
      <w:r w:rsidR="00AB21F4">
        <w:rPr>
          <w:lang w:val="en-GB"/>
        </w:rPr>
        <w:t>range</w:t>
      </w:r>
      <w:r w:rsidR="00A455BC" w:rsidRPr="00F207B4">
        <w:rPr>
          <w:lang w:val="en-GB"/>
        </w:rPr>
        <w:t>.</w:t>
      </w:r>
    </w:p>
    <w:p w14:paraId="4F2B0F07" w14:textId="77777777" w:rsidR="003E1D22" w:rsidRPr="003E1D22" w:rsidRDefault="00AD085A" w:rsidP="003E1D22">
      <w:pPr>
        <w:pStyle w:val="SWCText"/>
        <w:rPr>
          <w:sz w:val="6"/>
          <w:lang w:val="en-GB"/>
        </w:rPr>
      </w:pPr>
      <w:r w:rsidRPr="00F207B4">
        <w:rPr>
          <w:lang w:val="en-GB"/>
        </w:rPr>
        <w:t xml:space="preserve">The </w:t>
      </w:r>
      <w:r w:rsidR="00C874E5" w:rsidRPr="00F207B4">
        <w:rPr>
          <w:lang w:val="en-GB"/>
        </w:rPr>
        <w:t xml:space="preserve">parameter </w:t>
      </w:r>
      <w:r w:rsidRPr="00F207B4">
        <w:rPr>
          <w:lang w:val="en-GB"/>
        </w:rPr>
        <w:t>distribution</w:t>
      </w:r>
      <w:r w:rsidR="00C874E5">
        <w:rPr>
          <w:lang w:val="en-GB"/>
        </w:rPr>
        <w:t>s</w:t>
      </w:r>
      <w:r w:rsidRPr="00F207B4">
        <w:rPr>
          <w:lang w:val="en-GB"/>
        </w:rPr>
        <w:t xml:space="preserve"> </w:t>
      </w:r>
      <w:r w:rsidR="00C874E5">
        <w:rPr>
          <w:lang w:val="en-GB"/>
        </w:rPr>
        <w:t xml:space="preserve">confirm a uniform sampling of the ranges defined in </w:t>
      </w:r>
      <w:r w:rsidRPr="00F207B4">
        <w:rPr>
          <w:lang w:val="en-GB"/>
        </w:rPr>
        <w:t xml:space="preserve">Tab.3 for </w:t>
      </w:r>
      <w:r w:rsidR="00C874E5">
        <w:rPr>
          <w:lang w:val="en-GB"/>
        </w:rPr>
        <w:t>both</w:t>
      </w:r>
      <w:r w:rsidRPr="00F207B4">
        <w:rPr>
          <w:lang w:val="en-GB"/>
        </w:rPr>
        <w:t xml:space="preserve"> methods</w:t>
      </w:r>
      <w:r w:rsidR="00C874E5">
        <w:rPr>
          <w:lang w:val="en-GB"/>
        </w:rPr>
        <w:t>. T</w:t>
      </w:r>
      <w:r w:rsidRPr="00F207B4">
        <w:rPr>
          <w:lang w:val="en-GB"/>
        </w:rPr>
        <w:t xml:space="preserve">he Morris method </w:t>
      </w:r>
      <w:r w:rsidR="00C874E5">
        <w:rPr>
          <w:lang w:val="en-GB"/>
        </w:rPr>
        <w:t>requires</w:t>
      </w:r>
      <w:r w:rsidRPr="00F207B4">
        <w:rPr>
          <w:lang w:val="en-GB"/>
        </w:rPr>
        <w:t xml:space="preserve"> fewer </w:t>
      </w:r>
      <w:r w:rsidR="00C874E5">
        <w:rPr>
          <w:lang w:val="en-GB"/>
        </w:rPr>
        <w:t>simulations</w:t>
      </w:r>
      <w:r w:rsidRPr="00F207B4">
        <w:rPr>
          <w:lang w:val="en-GB"/>
        </w:rPr>
        <w:t xml:space="preserve">, allowing parameters with little influence to be quickly eliminated. The </w:t>
      </w:r>
      <w:proofErr w:type="spellStart"/>
      <w:r w:rsidRPr="00F207B4">
        <w:rPr>
          <w:lang w:val="en-GB"/>
        </w:rPr>
        <w:t>Sobol</w:t>
      </w:r>
      <w:proofErr w:type="spellEnd"/>
      <w:r w:rsidRPr="00F207B4">
        <w:rPr>
          <w:lang w:val="en-GB"/>
        </w:rPr>
        <w:t xml:space="preserve"> method covers a wide range of values, confirming a thorough exploration of the parameter space. </w:t>
      </w:r>
      <w:r w:rsidR="00C874E5">
        <w:rPr>
          <w:lang w:val="en-GB"/>
        </w:rPr>
        <w:t>Similar distributions are obtained for all</w:t>
      </w:r>
      <w:r w:rsidRPr="00F207B4">
        <w:rPr>
          <w:lang w:val="en-GB"/>
        </w:rPr>
        <w:t xml:space="preserve"> sensitivity analyses.</w:t>
      </w:r>
    </w:p>
    <w:p w14:paraId="0753AC42" w14:textId="57B829DE" w:rsidR="00822369" w:rsidRPr="00F207B4" w:rsidRDefault="000A4E1F" w:rsidP="003E1D22">
      <w:pPr>
        <w:pStyle w:val="SWCText"/>
        <w:ind w:left="-426"/>
        <w:rPr>
          <w:lang w:val="en-GB"/>
        </w:rPr>
      </w:pPr>
      <w:r w:rsidRPr="003E1D22">
        <w:rPr>
          <w:noProof/>
          <w:sz w:val="6"/>
          <w:lang w:val="en-GB"/>
        </w:rPr>
        <w:t xml:space="preserve"> </w:t>
      </w:r>
      <w:r w:rsidRPr="00F207B4">
        <w:rPr>
          <w:noProof/>
          <w:lang w:val="en-GB"/>
        </w:rPr>
        <w:drawing>
          <wp:inline distT="0" distB="0" distL="0" distR="0" wp14:anchorId="008E8C70" wp14:editId="6EFF12D8">
            <wp:extent cx="6269182" cy="4444528"/>
            <wp:effectExtent l="0" t="0" r="0" b="0"/>
            <wp:docPr id="12" name="Image 11">
              <a:extLst xmlns:a="http://schemas.openxmlformats.org/drawingml/2006/main">
                <a:ext uri="{FF2B5EF4-FFF2-40B4-BE49-F238E27FC236}">
                  <a16:creationId xmlns:a16="http://schemas.microsoft.com/office/drawing/2014/main" id="{2ED15656-B519-4A5A-B097-4734536FCB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1">
                      <a:extLst>
                        <a:ext uri="{FF2B5EF4-FFF2-40B4-BE49-F238E27FC236}">
                          <a16:creationId xmlns:a16="http://schemas.microsoft.com/office/drawing/2014/main" id="{2ED15656-B519-4A5A-B097-4734536FCB44}"/>
                        </a:ext>
                      </a:extLst>
                    </pic:cNvPr>
                    <pic:cNvPicPr>
                      <a:picLocks noChangeAspect="1"/>
                    </pic:cNvPicPr>
                  </pic:nvPicPr>
                  <pic:blipFill>
                    <a:blip r:embed="rId13"/>
                    <a:stretch>
                      <a:fillRect/>
                    </a:stretch>
                  </pic:blipFill>
                  <pic:spPr>
                    <a:xfrm>
                      <a:off x="0" y="0"/>
                      <a:ext cx="6339782" cy="4494580"/>
                    </a:xfrm>
                    <a:prstGeom prst="rect">
                      <a:avLst/>
                    </a:prstGeom>
                  </pic:spPr>
                </pic:pic>
              </a:graphicData>
            </a:graphic>
          </wp:inline>
        </w:drawing>
      </w:r>
    </w:p>
    <w:p w14:paraId="2B17A0DE" w14:textId="0FCA185A" w:rsidR="00BC1171" w:rsidRPr="00F207B4" w:rsidRDefault="00BC1171" w:rsidP="00AB5179">
      <w:pPr>
        <w:pStyle w:val="SWCTableFigureCaption"/>
        <w:rPr>
          <w:rFonts w:eastAsia="SimSun"/>
          <w:lang w:val="en-GB" w:eastAsia="zh-CN"/>
        </w:rPr>
      </w:pPr>
      <w:r w:rsidRPr="00F207B4">
        <w:rPr>
          <w:rFonts w:eastAsia="SimSun"/>
          <w:lang w:val="en-GB" w:eastAsia="zh-CN"/>
        </w:rPr>
        <w:t>Fig.</w:t>
      </w:r>
      <w:r w:rsidR="00AB5179" w:rsidRPr="00F207B4">
        <w:rPr>
          <w:rFonts w:eastAsia="SimSun"/>
          <w:lang w:val="en-GB" w:eastAsia="zh-CN"/>
        </w:rPr>
        <w:t>5</w:t>
      </w:r>
      <w:r w:rsidRPr="00F207B4">
        <w:rPr>
          <w:rFonts w:eastAsia="SimSun"/>
          <w:lang w:val="en-GB" w:eastAsia="zh-CN"/>
        </w:rPr>
        <w:t xml:space="preserve">: Distribution of the </w:t>
      </w:r>
      <w:r w:rsidR="001C1559" w:rsidRPr="00F207B4">
        <w:rPr>
          <w:rFonts w:eastAsia="SimSun"/>
          <w:lang w:val="en-GB" w:eastAsia="zh-CN"/>
        </w:rPr>
        <w:t xml:space="preserve">performance indicator as a function of the </w:t>
      </w:r>
      <w:r w:rsidRPr="00F207B4">
        <w:rPr>
          <w:rFonts w:eastAsia="SimSun"/>
          <w:lang w:val="en-GB" w:eastAsia="zh-CN"/>
        </w:rPr>
        <w:t xml:space="preserve">sensitivity parameters </w:t>
      </w:r>
      <w:r w:rsidR="001C1559" w:rsidRPr="00F207B4">
        <w:rPr>
          <w:rFonts w:eastAsia="SimSun"/>
          <w:lang w:val="en-GB" w:eastAsia="zh-CN"/>
        </w:rPr>
        <w:t xml:space="preserve">for the </w:t>
      </w:r>
      <w:r w:rsidR="00F509CF" w:rsidRPr="00F207B4">
        <w:rPr>
          <w:rFonts w:eastAsia="SimSun"/>
          <w:lang w:val="en-GB" w:eastAsia="zh-CN"/>
        </w:rPr>
        <w:t>5</w:t>
      </w:r>
      <w:r w:rsidRPr="00F207B4">
        <w:rPr>
          <w:rFonts w:eastAsia="SimSun"/>
          <w:lang w:val="en-GB" w:eastAsia="zh-CN"/>
        </w:rPr>
        <w:t>-tube c</w:t>
      </w:r>
      <w:r w:rsidR="001C1559" w:rsidRPr="00F207B4">
        <w:rPr>
          <w:rFonts w:eastAsia="SimSun"/>
          <w:lang w:val="en-GB" w:eastAsia="zh-CN"/>
        </w:rPr>
        <w:t>onfiguration</w:t>
      </w:r>
    </w:p>
    <w:p w14:paraId="29DE0230" w14:textId="77777777" w:rsidR="00EE10E4" w:rsidRPr="00F207B4" w:rsidRDefault="00EE10E4" w:rsidP="00EE10E4">
      <w:pPr>
        <w:pStyle w:val="SWCHeading11"/>
      </w:pPr>
      <w:r w:rsidRPr="00F207B4">
        <w:lastRenderedPageBreak/>
        <w:t xml:space="preserve">3.2.2 Morris and </w:t>
      </w:r>
      <w:proofErr w:type="spellStart"/>
      <w:r w:rsidRPr="00F207B4">
        <w:t>Sobol</w:t>
      </w:r>
      <w:proofErr w:type="spellEnd"/>
      <w:r w:rsidRPr="00F207B4">
        <w:t xml:space="preserve"> comparison</w:t>
      </w:r>
    </w:p>
    <w:p w14:paraId="24CE431B" w14:textId="2188E794" w:rsidR="00E72A0C" w:rsidRPr="00F207B4" w:rsidRDefault="00EE10E4" w:rsidP="00E72A0C">
      <w:pPr>
        <w:pStyle w:val="SWCText"/>
        <w:rPr>
          <w:lang w:val="en-GB"/>
        </w:rPr>
      </w:pPr>
      <w:r w:rsidRPr="00F207B4">
        <w:rPr>
          <w:lang w:val="en-GB"/>
        </w:rPr>
        <w:t xml:space="preserve">The Morris and </w:t>
      </w:r>
      <w:proofErr w:type="spellStart"/>
      <w:r w:rsidRPr="00F207B4">
        <w:rPr>
          <w:lang w:val="en-GB"/>
        </w:rPr>
        <w:t>Sobol</w:t>
      </w:r>
      <w:proofErr w:type="spellEnd"/>
      <w:r w:rsidRPr="00F207B4">
        <w:rPr>
          <w:lang w:val="en-GB"/>
        </w:rPr>
        <w:t xml:space="preserve"> analyses provide complementary insights into the governing mechanisms of the HUTES. </w:t>
      </w:r>
      <w:r w:rsidR="009E0783" w:rsidRPr="00F207B4">
        <w:rPr>
          <w:lang w:val="en-GB"/>
        </w:rPr>
        <w:t>Both</w:t>
      </w:r>
      <w:r w:rsidRPr="00F207B4">
        <w:rPr>
          <w:lang w:val="en-GB"/>
        </w:rPr>
        <w:t xml:space="preserve"> methods identified three parameters that have a particularly significant influence on the performance of the HUTES: the type of insulation (</w:t>
      </w:r>
      <w:proofErr w:type="spellStart"/>
      <w:r w:rsidRPr="00F207B4">
        <w:rPr>
          <w:lang w:val="en-GB"/>
        </w:rPr>
        <w:t>n</w:t>
      </w:r>
      <w:r w:rsidRPr="00F207B4">
        <w:rPr>
          <w:vertAlign w:val="subscript"/>
          <w:lang w:val="en-GB"/>
        </w:rPr>
        <w:t>ins</w:t>
      </w:r>
      <w:proofErr w:type="spellEnd"/>
      <w:r w:rsidRPr="00F207B4">
        <w:rPr>
          <w:lang w:val="en-GB"/>
        </w:rPr>
        <w:t>), its thickness (</w:t>
      </w:r>
      <w:proofErr w:type="spellStart"/>
      <w:r w:rsidRPr="00F207B4">
        <w:rPr>
          <w:lang w:val="en-GB"/>
        </w:rPr>
        <w:t>e</w:t>
      </w:r>
      <w:r w:rsidRPr="00F207B4">
        <w:rPr>
          <w:vertAlign w:val="subscript"/>
          <w:lang w:val="en-GB"/>
        </w:rPr>
        <w:t>ins</w:t>
      </w:r>
      <w:proofErr w:type="spellEnd"/>
      <w:r w:rsidRPr="00F207B4">
        <w:rPr>
          <w:lang w:val="en-GB"/>
        </w:rPr>
        <w:t>) and the thickness of the overlying soil (</w:t>
      </w:r>
      <w:proofErr w:type="spellStart"/>
      <w:r w:rsidRPr="00F207B4">
        <w:rPr>
          <w:lang w:val="en-GB"/>
        </w:rPr>
        <w:t>e</w:t>
      </w:r>
      <w:r w:rsidRPr="00F207B4">
        <w:rPr>
          <w:vertAlign w:val="subscript"/>
          <w:lang w:val="en-GB"/>
        </w:rPr>
        <w:t>ground</w:t>
      </w:r>
      <w:proofErr w:type="spellEnd"/>
      <w:r w:rsidRPr="00F207B4">
        <w:rPr>
          <w:lang w:val="en-GB"/>
        </w:rPr>
        <w:t>). Fig.</w:t>
      </w:r>
      <w:r w:rsidR="00AB5179" w:rsidRPr="00F207B4">
        <w:rPr>
          <w:lang w:val="en-GB"/>
        </w:rPr>
        <w:t>6</w:t>
      </w:r>
      <w:r w:rsidRPr="00F207B4">
        <w:rPr>
          <w:lang w:val="en-GB"/>
        </w:rPr>
        <w:t xml:space="preserve"> presents the Morris indices (σ and µ*) for the scenarios 1 (a), 2 (b) and 3 (c).</w:t>
      </w:r>
      <w:r w:rsidR="00E72A0C" w:rsidRPr="00F207B4">
        <w:rPr>
          <w:lang w:val="en-GB"/>
        </w:rPr>
        <w:t xml:space="preserve"> </w:t>
      </w:r>
    </w:p>
    <w:p w14:paraId="45C23E87" w14:textId="27E765AA" w:rsidR="00B666F4" w:rsidRPr="00F207B4" w:rsidRDefault="00B666F4" w:rsidP="00B666F4">
      <w:pPr>
        <w:keepNext/>
        <w:tabs>
          <w:tab w:val="left" w:pos="-284"/>
        </w:tabs>
        <w:spacing w:before="100" w:beforeAutospacing="1" w:after="100" w:afterAutospacing="1"/>
        <w:ind w:left="-284" w:hanging="283"/>
        <w:rPr>
          <w:lang w:val="en-GB"/>
        </w:rPr>
      </w:pPr>
      <w:r w:rsidRPr="00F207B4">
        <w:rPr>
          <w:noProof/>
          <w:lang w:val="en-GB"/>
        </w:rPr>
        <w:drawing>
          <wp:inline distT="0" distB="0" distL="0" distR="0" wp14:anchorId="7333F768" wp14:editId="23BC6F84">
            <wp:extent cx="6449291" cy="1901951"/>
            <wp:effectExtent l="0" t="0" r="8890" b="3175"/>
            <wp:docPr id="24" name="Image 23">
              <a:extLst xmlns:a="http://schemas.openxmlformats.org/drawingml/2006/main">
                <a:ext uri="{FF2B5EF4-FFF2-40B4-BE49-F238E27FC236}">
                  <a16:creationId xmlns:a16="http://schemas.microsoft.com/office/drawing/2014/main" id="{D4A93F86-9F36-476E-9E2D-58C5E83932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3">
                      <a:extLst>
                        <a:ext uri="{FF2B5EF4-FFF2-40B4-BE49-F238E27FC236}">
                          <a16:creationId xmlns:a16="http://schemas.microsoft.com/office/drawing/2014/main" id="{D4A93F86-9F36-476E-9E2D-58C5E8393271}"/>
                        </a:ext>
                      </a:extLst>
                    </pic:cNvPr>
                    <pic:cNvPicPr>
                      <a:picLocks noChangeAspect="1"/>
                    </pic:cNvPicPr>
                  </pic:nvPicPr>
                  <pic:blipFill>
                    <a:blip r:embed="rId14"/>
                    <a:stretch>
                      <a:fillRect/>
                    </a:stretch>
                  </pic:blipFill>
                  <pic:spPr>
                    <a:xfrm>
                      <a:off x="0" y="0"/>
                      <a:ext cx="6495424" cy="1915556"/>
                    </a:xfrm>
                    <a:prstGeom prst="rect">
                      <a:avLst/>
                    </a:prstGeom>
                  </pic:spPr>
                </pic:pic>
              </a:graphicData>
            </a:graphic>
          </wp:inline>
        </w:drawing>
      </w:r>
    </w:p>
    <w:p w14:paraId="1A1B5BB9" w14:textId="56EC5690" w:rsidR="00E72A0C" w:rsidRPr="00F207B4" w:rsidRDefault="00E72A0C" w:rsidP="00E72A0C">
      <w:pPr>
        <w:pStyle w:val="SWCTableFigureCaption"/>
        <w:rPr>
          <w:lang w:val="en-GB"/>
        </w:rPr>
      </w:pPr>
      <w:r w:rsidRPr="00F207B4">
        <w:rPr>
          <w:rFonts w:eastAsia="SimSun"/>
          <w:lang w:val="en-GB" w:eastAsia="zh-CN"/>
        </w:rPr>
        <w:t>Fig.</w:t>
      </w:r>
      <w:r w:rsidR="00AB5179" w:rsidRPr="00F207B4">
        <w:rPr>
          <w:rFonts w:eastAsia="SimSun"/>
          <w:lang w:val="en-GB" w:eastAsia="zh-CN"/>
        </w:rPr>
        <w:t>6</w:t>
      </w:r>
      <w:r w:rsidRPr="00F207B4">
        <w:rPr>
          <w:rFonts w:eastAsia="SimSun"/>
          <w:lang w:val="en-GB" w:eastAsia="zh-CN"/>
        </w:rPr>
        <w:t xml:space="preserve">: </w:t>
      </w:r>
      <w:r w:rsidR="001C1559" w:rsidRPr="00F207B4">
        <w:rPr>
          <w:rFonts w:eastAsia="SimSun"/>
          <w:lang w:val="en-GB" w:eastAsia="zh-CN"/>
        </w:rPr>
        <w:t>Morris sensitivity indices (</w:t>
      </w:r>
      <w:r w:rsidR="001C1559" w:rsidRPr="00F207B4">
        <w:rPr>
          <w:lang w:val="en-GB"/>
        </w:rPr>
        <w:t>μ* and σ</w:t>
      </w:r>
      <w:r w:rsidR="001C1559" w:rsidRPr="00F207B4">
        <w:rPr>
          <w:rFonts w:eastAsia="SimSun"/>
          <w:lang w:val="en-GB" w:eastAsia="zh-CN"/>
        </w:rPr>
        <w:t>) for the 3 operati</w:t>
      </w:r>
      <w:r w:rsidR="007E6526" w:rsidRPr="00F207B4">
        <w:rPr>
          <w:rFonts w:eastAsia="SimSun"/>
          <w:lang w:val="en-GB" w:eastAsia="zh-CN"/>
        </w:rPr>
        <w:t>o</w:t>
      </w:r>
      <w:r w:rsidR="001C1559" w:rsidRPr="00F207B4">
        <w:rPr>
          <w:rFonts w:eastAsia="SimSun"/>
          <w:lang w:val="en-GB" w:eastAsia="zh-CN"/>
        </w:rPr>
        <w:t>n</w:t>
      </w:r>
      <w:r w:rsidR="007E6526" w:rsidRPr="00F207B4">
        <w:rPr>
          <w:rFonts w:eastAsia="SimSun"/>
          <w:lang w:val="en-GB" w:eastAsia="zh-CN"/>
        </w:rPr>
        <w:t>al</w:t>
      </w:r>
      <w:r w:rsidR="001C1559" w:rsidRPr="00F207B4">
        <w:rPr>
          <w:rFonts w:eastAsia="SimSun"/>
          <w:lang w:val="en-GB" w:eastAsia="zh-CN"/>
        </w:rPr>
        <w:t xml:space="preserve"> s</w:t>
      </w:r>
      <w:r w:rsidRPr="00F207B4">
        <w:rPr>
          <w:rFonts w:eastAsia="SimSun"/>
          <w:lang w:val="en-GB" w:eastAsia="zh-CN"/>
        </w:rPr>
        <w:t>cenarios</w:t>
      </w:r>
      <w:r w:rsidR="001C1559" w:rsidRPr="00F207B4">
        <w:rPr>
          <w:rFonts w:eastAsia="SimSun"/>
          <w:lang w:val="en-GB" w:eastAsia="zh-CN"/>
        </w:rPr>
        <w:t>:</w:t>
      </w:r>
      <w:r w:rsidRPr="00F207B4">
        <w:rPr>
          <w:rFonts w:eastAsia="SimSun"/>
          <w:lang w:val="en-GB" w:eastAsia="zh-CN"/>
        </w:rPr>
        <w:t xml:space="preserve"> (a)</w:t>
      </w:r>
      <w:r w:rsidR="001C1559" w:rsidRPr="00F207B4">
        <w:rPr>
          <w:rFonts w:eastAsia="SimSun"/>
          <w:lang w:val="en-GB" w:eastAsia="zh-CN"/>
        </w:rPr>
        <w:t xml:space="preserve"> scenario 1,</w:t>
      </w:r>
      <w:r w:rsidRPr="00F207B4">
        <w:rPr>
          <w:rFonts w:eastAsia="SimSun"/>
          <w:lang w:val="en-GB" w:eastAsia="zh-CN"/>
        </w:rPr>
        <w:t xml:space="preserve"> (b)</w:t>
      </w:r>
      <w:r w:rsidR="001C1559" w:rsidRPr="00F207B4">
        <w:rPr>
          <w:rFonts w:eastAsia="SimSun"/>
          <w:lang w:val="en-GB" w:eastAsia="zh-CN"/>
        </w:rPr>
        <w:t xml:space="preserve"> scenario 2 and</w:t>
      </w:r>
      <w:r w:rsidRPr="00F207B4">
        <w:rPr>
          <w:rFonts w:eastAsia="SimSun"/>
          <w:lang w:val="en-GB" w:eastAsia="zh-CN"/>
        </w:rPr>
        <w:t xml:space="preserve"> (c)</w:t>
      </w:r>
      <w:r w:rsidR="001C1559" w:rsidRPr="00F207B4">
        <w:rPr>
          <w:rFonts w:eastAsia="SimSun"/>
          <w:lang w:val="en-GB" w:eastAsia="zh-CN"/>
        </w:rPr>
        <w:t xml:space="preserve"> scenario 3</w:t>
      </w:r>
    </w:p>
    <w:p w14:paraId="2D7AE11B" w14:textId="598C2490" w:rsidR="00EE10E4" w:rsidRPr="00F207B4" w:rsidRDefault="00EE10E4" w:rsidP="00EE10E4">
      <w:pPr>
        <w:pStyle w:val="SWCText"/>
        <w:rPr>
          <w:lang w:val="en-GB"/>
        </w:rPr>
      </w:pPr>
      <w:r w:rsidRPr="00F207B4">
        <w:rPr>
          <w:lang w:val="en-GB"/>
        </w:rPr>
        <w:t xml:space="preserve">These most influential parameters consistently exhibit high μ* values, confirming their strong first-order influence on system performance. In addition, elevated σ values for these parameters indicate significant non-linear effects and/or interactions with other </w:t>
      </w:r>
      <w:r w:rsidR="009E0783" w:rsidRPr="00F207B4">
        <w:rPr>
          <w:lang w:val="en-GB"/>
        </w:rPr>
        <w:t>parameters</w:t>
      </w:r>
      <w:r w:rsidRPr="00F207B4">
        <w:rPr>
          <w:lang w:val="en-GB"/>
        </w:rPr>
        <w:t xml:space="preserve">. In most cases, the ratio σ/μ* exceeds unity, </w:t>
      </w:r>
      <w:r w:rsidR="001C1559" w:rsidRPr="00F207B4">
        <w:rPr>
          <w:lang w:val="en-GB"/>
        </w:rPr>
        <w:t>suggesting</w:t>
      </w:r>
      <w:r w:rsidRPr="00F207B4">
        <w:rPr>
          <w:lang w:val="en-GB"/>
        </w:rPr>
        <w:t xml:space="preserve"> that the system response is </w:t>
      </w:r>
      <w:r w:rsidR="001C1559" w:rsidRPr="00F207B4">
        <w:rPr>
          <w:lang w:val="en-GB"/>
        </w:rPr>
        <w:t>governed by significant</w:t>
      </w:r>
      <w:r w:rsidRPr="00F207B4">
        <w:rPr>
          <w:lang w:val="en-GB"/>
        </w:rPr>
        <w:t xml:space="preserve"> non-linear</w:t>
      </w:r>
      <w:r w:rsidR="001C1559" w:rsidRPr="00F207B4">
        <w:rPr>
          <w:lang w:val="en-GB"/>
        </w:rPr>
        <w:t xml:space="preserve"> effects and parameter interactions</w:t>
      </w:r>
      <w:r w:rsidRPr="00F207B4">
        <w:rPr>
          <w:lang w:val="en-GB"/>
        </w:rPr>
        <w:t xml:space="preserve">, in agreement with the previous observations of </w:t>
      </w:r>
      <w:r w:rsidRPr="00F207B4">
        <w:rPr>
          <w:lang w:val="en-GB"/>
        </w:rPr>
        <w:fldChar w:fldCharType="begin"/>
      </w:r>
      <w:r w:rsidRPr="00F207B4">
        <w:rPr>
          <w:lang w:val="en-GB"/>
        </w:rPr>
        <w:instrText xml:space="preserve"> ADDIN ZOTERO_ITEM CSL_CITATION {"citationID":"Sgzhnhnv","properties":{"unsorted":false,"formattedCitation":"(Garcia Sanchez et al., 2014)","plainCitation":"(Garcia Sanchez et al., 2014)","noteIndex":0},"citationItems":[{"id":3859,"uris":["http://zotero.org/users/3532167/items/343INW9T"],"itemData":{"id":3859,"type":"article-journal","abstract":"Sensitivity analysis plays an important role in the understanding of complex models. It helps to identify the influence of input parameters in relation to the outputs. It can also be a tool to understand the behavior of the model and can then facilitate its development stage. This study aims to analyze and illustrate the potential usefulness of combining first and second-order sensitivity analysis, applied to a building energy model (ESP-r). Through the example of an apartment building, a sensitivity analysis is performed using the method of elementary effects (also known as the Morris method), including an analysis of the interactions between the input parameters (second-order analysis). The usefulness of higher-order analysis is highlighted to support the results of the first-order analysis better. Several aspects are tackled to implement the multi-order sensitivity analysis efficiently: interval size of the variables, the management of non-linearity and the usefulness of various outputs.","container-title":"Energy and Buildings","DOI":"10.1016/j.enbuild.2012.08.048","ISSN":"0378-7788","journalAbbreviation":"Energy and Buildings","page":"741-750","source":"ScienceDirect","title":"Application of sensitivity analysis in building energy simulations: Combining first- and second-order elementary effects methods","title-short":"Application of sensitivity analysis in building energy simulations","volume":"68","author":[{"family":"Garcia Sanchez","given":"D."},{"family":"Lacarrière","given":"B."},{"family":"Musy","given":"M."},{"family":"Bourges","given":"B."}],"issued":{"date-parts":[["2014",1,1]]}}}],"schema":"https://github.com/citation-style-language/schema/raw/master/csl-citation.json"} </w:instrText>
      </w:r>
      <w:r w:rsidRPr="00F207B4">
        <w:rPr>
          <w:lang w:val="en-GB"/>
        </w:rPr>
        <w:fldChar w:fldCharType="separate"/>
      </w:r>
      <w:r w:rsidRPr="00F207B4">
        <w:rPr>
          <w:lang w:val="en-GB"/>
        </w:rPr>
        <w:t>(Garcia Sanchez et al., 2014)</w:t>
      </w:r>
      <w:r w:rsidRPr="00F207B4">
        <w:rPr>
          <w:lang w:val="en-GB"/>
        </w:rPr>
        <w:fldChar w:fldCharType="end"/>
      </w:r>
      <w:r w:rsidRPr="00F207B4">
        <w:rPr>
          <w:lang w:val="en-GB"/>
        </w:rPr>
        <w:t>.</w:t>
      </w:r>
    </w:p>
    <w:p w14:paraId="5EE2259C" w14:textId="58428E87" w:rsidR="00A83B0F" w:rsidRDefault="00EE10E4" w:rsidP="00EE10E4">
      <w:pPr>
        <w:pStyle w:val="SWCText"/>
      </w:pPr>
      <w:r w:rsidRPr="00F207B4">
        <w:rPr>
          <w:lang w:val="en-GB"/>
        </w:rPr>
        <w:t xml:space="preserve">These </w:t>
      </w:r>
      <w:r w:rsidR="009E0783" w:rsidRPr="00F207B4">
        <w:rPr>
          <w:lang w:val="en-GB"/>
        </w:rPr>
        <w:t>findings</w:t>
      </w:r>
      <w:r w:rsidRPr="00F207B4">
        <w:rPr>
          <w:lang w:val="en-GB"/>
        </w:rPr>
        <w:t xml:space="preserve"> are further confirmed by the </w:t>
      </w:r>
      <w:proofErr w:type="spellStart"/>
      <w:r w:rsidRPr="00F207B4">
        <w:rPr>
          <w:lang w:val="en-GB"/>
        </w:rPr>
        <w:t>Sobol</w:t>
      </w:r>
      <w:proofErr w:type="spellEnd"/>
      <w:r w:rsidRPr="00F207B4">
        <w:rPr>
          <w:lang w:val="en-GB"/>
        </w:rPr>
        <w:t xml:space="preserve"> indices. The </w:t>
      </w:r>
      <w:r w:rsidR="00E24586">
        <w:rPr>
          <w:lang w:val="en-GB"/>
        </w:rPr>
        <w:t>differences</w:t>
      </w:r>
      <w:r w:rsidRPr="00F207B4">
        <w:rPr>
          <w:lang w:val="en-GB"/>
        </w:rPr>
        <w:t xml:space="preserve"> between first-order (S1) and </w:t>
      </w:r>
      <w:r w:rsidR="00A83B0F">
        <w:rPr>
          <w:lang w:val="en-GB"/>
        </w:rPr>
        <w:t>t</w:t>
      </w:r>
      <w:r w:rsidRPr="00F207B4">
        <w:rPr>
          <w:lang w:val="en-GB"/>
        </w:rPr>
        <w:t xml:space="preserve">otal-order (ST) indices </w:t>
      </w:r>
      <w:r w:rsidR="00A83B0F">
        <w:rPr>
          <w:lang w:val="en-GB"/>
        </w:rPr>
        <w:t xml:space="preserve">highlight the importance of interaction effects. </w:t>
      </w:r>
      <w:r w:rsidR="00A83B0F">
        <w:t>For the most influential parameters (</w:t>
      </w:r>
      <w:proofErr w:type="spellStart"/>
      <w:r w:rsidR="00A83B0F" w:rsidRPr="00F207B4">
        <w:rPr>
          <w:lang w:val="en-GB"/>
        </w:rPr>
        <w:t>n</w:t>
      </w:r>
      <w:r w:rsidR="00A83B0F" w:rsidRPr="00F207B4">
        <w:rPr>
          <w:vertAlign w:val="subscript"/>
          <w:lang w:val="en-GB"/>
        </w:rPr>
        <w:t>ins</w:t>
      </w:r>
      <w:proofErr w:type="spellEnd"/>
      <w:r w:rsidR="00A83B0F" w:rsidRPr="00F207B4">
        <w:rPr>
          <w:lang w:val="en-GB"/>
        </w:rPr>
        <w:t xml:space="preserve">, </w:t>
      </w:r>
      <w:proofErr w:type="spellStart"/>
      <w:r w:rsidR="00A83B0F" w:rsidRPr="00F207B4">
        <w:rPr>
          <w:lang w:val="en-GB"/>
        </w:rPr>
        <w:t>e</w:t>
      </w:r>
      <w:r w:rsidR="00A83B0F" w:rsidRPr="00F207B4">
        <w:rPr>
          <w:vertAlign w:val="subscript"/>
          <w:lang w:val="en-GB"/>
        </w:rPr>
        <w:t>ins</w:t>
      </w:r>
      <w:proofErr w:type="spellEnd"/>
      <w:r w:rsidR="00A83B0F" w:rsidRPr="00F207B4">
        <w:rPr>
          <w:lang w:val="en-GB"/>
        </w:rPr>
        <w:t xml:space="preserve">, and </w:t>
      </w:r>
      <w:proofErr w:type="spellStart"/>
      <w:r w:rsidR="00A83B0F" w:rsidRPr="00F207B4">
        <w:rPr>
          <w:lang w:val="en-GB"/>
        </w:rPr>
        <w:t>e</w:t>
      </w:r>
      <w:r w:rsidR="00A83B0F" w:rsidRPr="00F207B4">
        <w:rPr>
          <w:vertAlign w:val="subscript"/>
          <w:lang w:val="en-GB"/>
        </w:rPr>
        <w:t>ground</w:t>
      </w:r>
      <w:proofErr w:type="spellEnd"/>
      <w:r w:rsidR="00A83B0F">
        <w:t xml:space="preserve">), the relative differences between S1 and ST reach approximately 97%, 58% and 446% in scenarios 1, 2 and 3, respectively. These differences indicate that a substantial proportion of the output variance cannot be attributed solely to the individual effects of the parameters, but also results from their interactions. This </w:t>
      </w:r>
      <w:proofErr w:type="spellStart"/>
      <w:r w:rsidR="00A83B0F">
        <w:t>behaviour</w:t>
      </w:r>
      <w:proofErr w:type="spellEnd"/>
      <w:r w:rsidR="00A83B0F">
        <w:t xml:space="preserve"> reflects</w:t>
      </w:r>
      <w:r w:rsidR="00A83B0F" w:rsidRPr="00F207B4">
        <w:rPr>
          <w:lang w:val="en-GB"/>
        </w:rPr>
        <w:t xml:space="preserve"> the strongly coupled nature of conductive heat transfer in the soil and thermal losses through insulation layers.</w:t>
      </w:r>
      <w:r w:rsidR="00A83B0F">
        <w:t xml:space="preserve"> </w:t>
      </w:r>
    </w:p>
    <w:p w14:paraId="5E1AA724" w14:textId="71A99D5C" w:rsidR="00EE10E4" w:rsidRPr="00F207B4" w:rsidRDefault="002A78E6" w:rsidP="00EE10E4">
      <w:pPr>
        <w:pStyle w:val="SWCText"/>
        <w:rPr>
          <w:b/>
          <w:lang w:val="en-GB"/>
        </w:rPr>
      </w:pPr>
      <w:r w:rsidRPr="00F207B4">
        <w:rPr>
          <w:rStyle w:val="lev"/>
          <w:b w:val="0"/>
          <w:lang w:val="en-GB"/>
        </w:rPr>
        <w:t>Th</w:t>
      </w:r>
      <w:r w:rsidR="00240B7E" w:rsidRPr="00F207B4">
        <w:rPr>
          <w:rStyle w:val="lev"/>
          <w:b w:val="0"/>
          <w:lang w:val="en-GB"/>
        </w:rPr>
        <w:t>is interpretation is</w:t>
      </w:r>
      <w:r w:rsidRPr="00F207B4">
        <w:rPr>
          <w:rStyle w:val="lev"/>
          <w:b w:val="0"/>
          <w:lang w:val="en-GB"/>
        </w:rPr>
        <w:t xml:space="preserve"> fully consistent with the thermal behaviour observed in Fig.3 and Fig.4, where conductive heat transfer through the surrounding sand, rather than heat transfer within the circulating HTF, governs the propagation of the thermal front and the long-term storage dynamics.</w:t>
      </w:r>
    </w:p>
    <w:p w14:paraId="36421F12" w14:textId="13EF166C" w:rsidR="00EE10E4" w:rsidRPr="00F207B4" w:rsidRDefault="00EE10E4" w:rsidP="00EE10E4">
      <w:pPr>
        <w:pStyle w:val="SWCHeading11"/>
      </w:pPr>
      <w:r w:rsidRPr="00F207B4">
        <w:t>3.2.</w:t>
      </w:r>
      <w:r w:rsidR="006B5F2C" w:rsidRPr="00F207B4">
        <w:t>3</w:t>
      </w:r>
      <w:r w:rsidRPr="00F207B4">
        <w:t xml:space="preserve"> Scenario-dependent </w:t>
      </w:r>
      <w:r w:rsidR="00B03E30" w:rsidRPr="00F207B4">
        <w:t>behaviour</w:t>
      </w:r>
    </w:p>
    <w:p w14:paraId="0237A777" w14:textId="56EDCE07" w:rsidR="00BC1171" w:rsidRPr="00F207B4" w:rsidRDefault="00BC1171" w:rsidP="00BC1171">
      <w:pPr>
        <w:pStyle w:val="SWCHeading11"/>
        <w:rPr>
          <w:rFonts w:ascii="Times New Roman" w:hAnsi="Times New Roman"/>
          <w:b/>
          <w:i w:val="0"/>
        </w:rPr>
      </w:pPr>
      <w:r w:rsidRPr="00F207B4">
        <w:rPr>
          <w:rFonts w:ascii="Times New Roman" w:hAnsi="Times New Roman"/>
          <w:b/>
          <w:i w:val="0"/>
        </w:rPr>
        <w:t xml:space="preserve">Scenario 1: 3-month </w:t>
      </w:r>
      <w:r w:rsidR="00680DE2" w:rsidRPr="00F207B4">
        <w:rPr>
          <w:rFonts w:ascii="Times New Roman" w:hAnsi="Times New Roman"/>
          <w:b/>
          <w:i w:val="0"/>
        </w:rPr>
        <w:t>steady charge</w:t>
      </w:r>
      <w:r w:rsidRPr="00F207B4">
        <w:rPr>
          <w:rFonts w:ascii="Times New Roman" w:hAnsi="Times New Roman"/>
          <w:b/>
          <w:i w:val="0"/>
        </w:rPr>
        <w:t xml:space="preserve"> </w:t>
      </w:r>
      <w:r w:rsidR="00012921" w:rsidRPr="00F207B4">
        <w:rPr>
          <w:rFonts w:ascii="Times New Roman" w:hAnsi="Times New Roman"/>
          <w:b/>
          <w:i w:val="0"/>
        </w:rPr>
        <w:t>under</w:t>
      </w:r>
      <w:r w:rsidRPr="00F207B4">
        <w:rPr>
          <w:rFonts w:ascii="Times New Roman" w:hAnsi="Times New Roman"/>
          <w:b/>
          <w:i w:val="0"/>
        </w:rPr>
        <w:t xml:space="preserve"> fixed conditions</w:t>
      </w:r>
    </w:p>
    <w:p w14:paraId="57387877" w14:textId="45BC22AC" w:rsidR="00BC1171" w:rsidRPr="00F207B4" w:rsidRDefault="00680DE2" w:rsidP="00E72A0C">
      <w:pPr>
        <w:pStyle w:val="SWCText"/>
        <w:rPr>
          <w:lang w:val="en-GB"/>
        </w:rPr>
      </w:pPr>
      <w:r w:rsidRPr="00F207B4">
        <w:rPr>
          <w:lang w:val="en-GB"/>
        </w:rPr>
        <w:t xml:space="preserve">Under simplified and steady boundary conditions, the HUTES exhibits a relatively linear response. </w:t>
      </w:r>
      <w:r w:rsidR="0061793D" w:rsidRPr="00F207B4">
        <w:rPr>
          <w:lang w:val="en-GB"/>
        </w:rPr>
        <w:t xml:space="preserve">The </w:t>
      </w:r>
      <w:r w:rsidRPr="00F207B4">
        <w:rPr>
          <w:lang w:val="en-GB"/>
        </w:rPr>
        <w:t xml:space="preserve">Morris and </w:t>
      </w:r>
      <w:proofErr w:type="spellStart"/>
      <w:r w:rsidRPr="00F207B4">
        <w:rPr>
          <w:lang w:val="en-GB"/>
        </w:rPr>
        <w:t>Sobol</w:t>
      </w:r>
      <w:proofErr w:type="spellEnd"/>
      <w:r w:rsidRPr="00F207B4">
        <w:rPr>
          <w:lang w:val="en-GB"/>
        </w:rPr>
        <w:t xml:space="preserve"> </w:t>
      </w:r>
      <w:r w:rsidR="0061793D" w:rsidRPr="00F207B4">
        <w:rPr>
          <w:lang w:val="en-GB"/>
        </w:rPr>
        <w:t>methods</w:t>
      </w:r>
      <w:r w:rsidRPr="00F207B4">
        <w:rPr>
          <w:lang w:val="en-GB"/>
        </w:rPr>
        <w:t xml:space="preserve"> consistently identify</w:t>
      </w:r>
      <w:r w:rsidR="0061793D" w:rsidRPr="00F207B4">
        <w:rPr>
          <w:lang w:val="en-GB"/>
        </w:rPr>
        <w:t xml:space="preserve"> the</w:t>
      </w:r>
      <w:r w:rsidRPr="00F207B4">
        <w:rPr>
          <w:lang w:val="en-GB"/>
        </w:rPr>
        <w:t xml:space="preserve"> insulation properties and ground cover thickness as the </w:t>
      </w:r>
      <w:r w:rsidR="0061793D" w:rsidRPr="00F207B4">
        <w:rPr>
          <w:lang w:val="en-GB"/>
        </w:rPr>
        <w:t>main factors determining</w:t>
      </w:r>
      <w:r w:rsidRPr="00F207B4">
        <w:rPr>
          <w:lang w:val="en-GB"/>
        </w:rPr>
        <w:t xml:space="preserve"> performance</w:t>
      </w:r>
      <w:r w:rsidR="0061793D" w:rsidRPr="00F207B4">
        <w:rPr>
          <w:lang w:val="en-GB"/>
        </w:rPr>
        <w:t>. The i</w:t>
      </w:r>
      <w:r w:rsidRPr="00F207B4">
        <w:rPr>
          <w:lang w:val="en-GB"/>
        </w:rPr>
        <w:t>nteraction</w:t>
      </w:r>
      <w:r w:rsidR="00161314" w:rsidRPr="00F207B4">
        <w:rPr>
          <w:lang w:val="en-GB"/>
        </w:rPr>
        <w:t xml:space="preserve">s </w:t>
      </w:r>
      <w:r w:rsidR="0061793D" w:rsidRPr="00F207B4">
        <w:rPr>
          <w:lang w:val="en-GB"/>
        </w:rPr>
        <w:t xml:space="preserve">between parameters </w:t>
      </w:r>
      <w:r w:rsidRPr="00F207B4">
        <w:rPr>
          <w:lang w:val="en-GB"/>
        </w:rPr>
        <w:t>remain moderate. The limited variability in Fig.4 is consistent with the operati</w:t>
      </w:r>
      <w:r w:rsidR="007E6526" w:rsidRPr="00F207B4">
        <w:rPr>
          <w:lang w:val="en-GB"/>
        </w:rPr>
        <w:t>o</w:t>
      </w:r>
      <w:r w:rsidRPr="00F207B4">
        <w:rPr>
          <w:lang w:val="en-GB"/>
        </w:rPr>
        <w:t>n</w:t>
      </w:r>
      <w:r w:rsidR="007E6526" w:rsidRPr="00F207B4">
        <w:rPr>
          <w:lang w:val="en-GB"/>
        </w:rPr>
        <w:t xml:space="preserve">al </w:t>
      </w:r>
      <w:r w:rsidRPr="00F207B4">
        <w:rPr>
          <w:lang w:val="en-GB"/>
        </w:rPr>
        <w:t>conditions, where dynamic coupling effects are reduced.</w:t>
      </w:r>
    </w:p>
    <w:p w14:paraId="075D678C" w14:textId="474E1EE6" w:rsidR="00BC1171" w:rsidRPr="00F207B4" w:rsidRDefault="00BC1171" w:rsidP="009653B6">
      <w:pPr>
        <w:pStyle w:val="SWCHeading11"/>
        <w:rPr>
          <w:rFonts w:ascii="Times New Roman" w:hAnsi="Times New Roman"/>
          <w:b/>
          <w:i w:val="0"/>
        </w:rPr>
      </w:pPr>
      <w:r w:rsidRPr="00F207B4">
        <w:rPr>
          <w:rFonts w:ascii="Times New Roman" w:hAnsi="Times New Roman"/>
          <w:b/>
          <w:i w:val="0"/>
        </w:rPr>
        <w:t xml:space="preserve">Scenario 2: Daily charging/discharging </w:t>
      </w:r>
      <w:r w:rsidR="008A4E20" w:rsidRPr="00F207B4">
        <w:rPr>
          <w:rFonts w:ascii="Times New Roman" w:hAnsi="Times New Roman"/>
          <w:b/>
          <w:i w:val="0"/>
        </w:rPr>
        <w:t xml:space="preserve">cycles </w:t>
      </w:r>
      <w:r w:rsidRPr="00F207B4">
        <w:rPr>
          <w:rFonts w:ascii="Times New Roman" w:hAnsi="Times New Roman"/>
          <w:b/>
          <w:i w:val="0"/>
        </w:rPr>
        <w:t xml:space="preserve">over 6 months </w:t>
      </w:r>
      <w:r w:rsidR="00012921" w:rsidRPr="00F207B4">
        <w:rPr>
          <w:rFonts w:ascii="Times New Roman" w:hAnsi="Times New Roman"/>
          <w:b/>
          <w:i w:val="0"/>
        </w:rPr>
        <w:t>under</w:t>
      </w:r>
      <w:r w:rsidRPr="00F207B4">
        <w:rPr>
          <w:rFonts w:ascii="Times New Roman" w:hAnsi="Times New Roman"/>
          <w:b/>
          <w:i w:val="0"/>
        </w:rPr>
        <w:t xml:space="preserve"> fixed conditions</w:t>
      </w:r>
    </w:p>
    <w:p w14:paraId="3C2C2369" w14:textId="080A2333" w:rsidR="00972DC1" w:rsidRPr="00F207B4" w:rsidRDefault="000F7196" w:rsidP="00972DC1">
      <w:pPr>
        <w:pStyle w:val="SWCText"/>
        <w:rPr>
          <w:lang w:val="en-GB"/>
        </w:rPr>
      </w:pPr>
      <w:r w:rsidRPr="00F207B4">
        <w:rPr>
          <w:lang w:val="en-GB"/>
        </w:rPr>
        <w:t>During a cycle (charge/discharge)</w:t>
      </w:r>
      <w:r w:rsidR="00972DC1" w:rsidRPr="00F207B4">
        <w:rPr>
          <w:lang w:val="en-GB"/>
        </w:rPr>
        <w:t xml:space="preserve">, </w:t>
      </w:r>
      <w:r w:rsidR="00012921" w:rsidRPr="00F207B4">
        <w:rPr>
          <w:lang w:val="en-GB"/>
        </w:rPr>
        <w:t xml:space="preserve">the </w:t>
      </w:r>
      <w:r w:rsidR="006F3E15" w:rsidRPr="00F207B4">
        <w:rPr>
          <w:lang w:val="en-GB"/>
        </w:rPr>
        <w:t>thermal</w:t>
      </w:r>
      <w:r w:rsidR="00972DC1" w:rsidRPr="00F207B4">
        <w:rPr>
          <w:lang w:val="en-GB"/>
        </w:rPr>
        <w:t xml:space="preserve"> behaviour becomes significantly more complex. </w:t>
      </w:r>
      <w:r w:rsidR="006F3E15" w:rsidRPr="00F207B4">
        <w:rPr>
          <w:lang w:val="en-GB"/>
        </w:rPr>
        <w:t>Indeed</w:t>
      </w:r>
      <w:r w:rsidR="00972DC1" w:rsidRPr="00F207B4">
        <w:rPr>
          <w:lang w:val="en-GB"/>
        </w:rPr>
        <w:t xml:space="preserve">, </w:t>
      </w:r>
      <w:r w:rsidR="00012921" w:rsidRPr="00F207B4">
        <w:rPr>
          <w:lang w:val="en-GB"/>
        </w:rPr>
        <w:t xml:space="preserve">the </w:t>
      </w:r>
      <w:proofErr w:type="spellStart"/>
      <w:r w:rsidR="00972DC1" w:rsidRPr="00F207B4">
        <w:rPr>
          <w:lang w:val="en-GB"/>
        </w:rPr>
        <w:t>Sobol</w:t>
      </w:r>
      <w:proofErr w:type="spellEnd"/>
      <w:r w:rsidR="00972DC1" w:rsidRPr="00F207B4">
        <w:rPr>
          <w:lang w:val="en-GB"/>
        </w:rPr>
        <w:t xml:space="preserve"> indices reveal a strong influence of inlet temperatures during both charg</w:t>
      </w:r>
      <w:r w:rsidR="008A4E20" w:rsidRPr="00F207B4">
        <w:rPr>
          <w:lang w:val="en-GB"/>
        </w:rPr>
        <w:t>e</w:t>
      </w:r>
      <w:r w:rsidR="00972DC1" w:rsidRPr="00F207B4">
        <w:rPr>
          <w:lang w:val="en-GB"/>
        </w:rPr>
        <w:t xml:space="preserve"> and discharg</w:t>
      </w:r>
      <w:r w:rsidR="008A4E20" w:rsidRPr="00F207B4">
        <w:rPr>
          <w:lang w:val="en-GB"/>
        </w:rPr>
        <w:t>e</w:t>
      </w:r>
      <w:r w:rsidR="00972DC1" w:rsidRPr="00F207B4">
        <w:rPr>
          <w:lang w:val="en-GB"/>
        </w:rPr>
        <w:t xml:space="preserve">. These variables directly control the thermal driving force, thereby amplifying </w:t>
      </w:r>
      <w:r w:rsidR="00012921" w:rsidRPr="00F207B4">
        <w:rPr>
          <w:lang w:val="en-GB"/>
        </w:rPr>
        <w:t xml:space="preserve">the </w:t>
      </w:r>
      <w:r w:rsidR="00972DC1" w:rsidRPr="00F207B4">
        <w:rPr>
          <w:lang w:val="en-GB"/>
        </w:rPr>
        <w:t xml:space="preserve">non-linear interactions with </w:t>
      </w:r>
      <w:r w:rsidR="006F3E15" w:rsidRPr="00F207B4">
        <w:rPr>
          <w:lang w:val="en-GB"/>
        </w:rPr>
        <w:t xml:space="preserve">the </w:t>
      </w:r>
      <w:r w:rsidR="00972DC1" w:rsidRPr="00F207B4">
        <w:rPr>
          <w:lang w:val="en-GB"/>
        </w:rPr>
        <w:t>storage conditions.</w:t>
      </w:r>
    </w:p>
    <w:p w14:paraId="0457390E" w14:textId="4893824A" w:rsidR="00972DC1" w:rsidRPr="00F207B4" w:rsidRDefault="00972DC1" w:rsidP="00972DC1">
      <w:pPr>
        <w:pStyle w:val="SWCText"/>
        <w:rPr>
          <w:lang w:val="en-GB"/>
        </w:rPr>
      </w:pPr>
      <w:r w:rsidRPr="00F207B4">
        <w:rPr>
          <w:lang w:val="en-GB"/>
        </w:rPr>
        <w:t xml:space="preserve">The increase in σ/μ* ratios </w:t>
      </w:r>
      <w:r w:rsidR="004250CC" w:rsidRPr="00F207B4">
        <w:rPr>
          <w:lang w:val="en-GB"/>
        </w:rPr>
        <w:t xml:space="preserve">(&gt; 1) </w:t>
      </w:r>
      <w:r w:rsidRPr="00F207B4">
        <w:rPr>
          <w:lang w:val="en-GB"/>
        </w:rPr>
        <w:t xml:space="preserve">for most parameters </w:t>
      </w:r>
      <w:r w:rsidR="009E0783" w:rsidRPr="00F207B4">
        <w:rPr>
          <w:lang w:val="en-GB"/>
        </w:rPr>
        <w:t>suggests</w:t>
      </w:r>
      <w:r w:rsidRPr="00F207B4">
        <w:rPr>
          <w:lang w:val="en-GB"/>
        </w:rPr>
        <w:t xml:space="preserve"> stronger coupling effects </w:t>
      </w:r>
      <w:r w:rsidR="00012921" w:rsidRPr="00F207B4">
        <w:rPr>
          <w:lang w:val="en-GB"/>
        </w:rPr>
        <w:t>during</w:t>
      </w:r>
      <w:r w:rsidRPr="00F207B4">
        <w:rPr>
          <w:lang w:val="en-GB"/>
        </w:rPr>
        <w:t xml:space="preserve"> dynamic operation</w:t>
      </w:r>
      <w:r w:rsidR="004250CC" w:rsidRPr="00F207B4">
        <w:rPr>
          <w:lang w:val="en-GB"/>
        </w:rPr>
        <w:t xml:space="preserve"> (see Fig.</w:t>
      </w:r>
      <w:r w:rsidR="00AB5179" w:rsidRPr="00F207B4">
        <w:rPr>
          <w:lang w:val="en-GB"/>
        </w:rPr>
        <w:t>6</w:t>
      </w:r>
      <w:r w:rsidR="004250CC" w:rsidRPr="00F207B4">
        <w:rPr>
          <w:lang w:val="en-GB"/>
        </w:rPr>
        <w:t>b)</w:t>
      </w:r>
      <w:r w:rsidRPr="00F207B4">
        <w:rPr>
          <w:lang w:val="en-GB"/>
        </w:rPr>
        <w:t xml:space="preserve">. </w:t>
      </w:r>
      <w:r w:rsidR="006F3E15" w:rsidRPr="00F207B4">
        <w:rPr>
          <w:lang w:val="en-GB"/>
        </w:rPr>
        <w:t>The</w:t>
      </w:r>
      <w:r w:rsidRPr="00F207B4">
        <w:rPr>
          <w:lang w:val="en-GB"/>
        </w:rPr>
        <w:t xml:space="preserve"> thermal gradients induced by cyclic operation </w:t>
      </w:r>
      <w:r w:rsidR="00012921" w:rsidRPr="00F207B4">
        <w:rPr>
          <w:lang w:val="en-GB"/>
        </w:rPr>
        <w:t>accentuate</w:t>
      </w:r>
      <w:r w:rsidRPr="00F207B4">
        <w:rPr>
          <w:lang w:val="en-GB"/>
        </w:rPr>
        <w:t xml:space="preserve"> the sensitivity of the system to boundary conditions, leading to a more pronounced divergence between S1 and ST indices.</w:t>
      </w:r>
    </w:p>
    <w:p w14:paraId="0AD8BD72" w14:textId="425B39E3" w:rsidR="00BC1171" w:rsidRPr="00F207B4" w:rsidRDefault="00BC1171" w:rsidP="009653B6">
      <w:pPr>
        <w:pStyle w:val="SWCHeading11"/>
        <w:rPr>
          <w:rFonts w:ascii="Times New Roman" w:hAnsi="Times New Roman"/>
          <w:b/>
          <w:i w:val="0"/>
        </w:rPr>
      </w:pPr>
      <w:r w:rsidRPr="00F207B4">
        <w:rPr>
          <w:rFonts w:ascii="Times New Roman" w:hAnsi="Times New Roman"/>
          <w:b/>
          <w:i w:val="0"/>
        </w:rPr>
        <w:t xml:space="preserve">Scenario 3: 6-month </w:t>
      </w:r>
      <w:r w:rsidR="00B03E30" w:rsidRPr="00F207B4">
        <w:rPr>
          <w:rFonts w:ascii="Times New Roman" w:hAnsi="Times New Roman"/>
          <w:b/>
          <w:i w:val="0"/>
        </w:rPr>
        <w:t>charge</w:t>
      </w:r>
      <w:r w:rsidRPr="00F207B4">
        <w:rPr>
          <w:rFonts w:ascii="Times New Roman" w:hAnsi="Times New Roman"/>
          <w:b/>
          <w:i w:val="0"/>
        </w:rPr>
        <w:t xml:space="preserve"> </w:t>
      </w:r>
      <w:r w:rsidR="00012921" w:rsidRPr="00F207B4">
        <w:rPr>
          <w:rFonts w:ascii="Times New Roman" w:hAnsi="Times New Roman"/>
          <w:b/>
          <w:i w:val="0"/>
        </w:rPr>
        <w:t>under</w:t>
      </w:r>
      <w:r w:rsidRPr="00F207B4">
        <w:rPr>
          <w:rFonts w:ascii="Times New Roman" w:hAnsi="Times New Roman"/>
          <w:b/>
          <w:i w:val="0"/>
        </w:rPr>
        <w:t xml:space="preserve"> </w:t>
      </w:r>
      <w:r w:rsidR="00845887" w:rsidRPr="00F207B4">
        <w:rPr>
          <w:rFonts w:ascii="Times New Roman" w:hAnsi="Times New Roman"/>
          <w:b/>
          <w:i w:val="0"/>
        </w:rPr>
        <w:t xml:space="preserve">coupled </w:t>
      </w:r>
      <w:r w:rsidR="00B03E30" w:rsidRPr="00F207B4">
        <w:rPr>
          <w:rFonts w:ascii="Times New Roman" w:hAnsi="Times New Roman"/>
          <w:b/>
          <w:i w:val="0"/>
        </w:rPr>
        <w:t xml:space="preserve">solar </w:t>
      </w:r>
      <w:r w:rsidRPr="00F207B4">
        <w:rPr>
          <w:rFonts w:ascii="Times New Roman" w:hAnsi="Times New Roman"/>
          <w:b/>
          <w:i w:val="0"/>
        </w:rPr>
        <w:t>field and weather</w:t>
      </w:r>
      <w:r w:rsidR="00B03E30" w:rsidRPr="00F207B4">
        <w:rPr>
          <w:rFonts w:ascii="Times New Roman" w:hAnsi="Times New Roman"/>
          <w:b/>
          <w:i w:val="0"/>
        </w:rPr>
        <w:t>-driven operation</w:t>
      </w:r>
    </w:p>
    <w:p w14:paraId="1C67A247" w14:textId="1ACC80F6" w:rsidR="006D3D24" w:rsidRPr="00F207B4" w:rsidRDefault="006D3D24" w:rsidP="006D3D24">
      <w:pPr>
        <w:pStyle w:val="SWCText"/>
        <w:rPr>
          <w:lang w:val="en-GB"/>
        </w:rPr>
      </w:pPr>
      <w:r w:rsidRPr="00F207B4">
        <w:rPr>
          <w:lang w:val="en-GB"/>
        </w:rPr>
        <w:t xml:space="preserve">In </w:t>
      </w:r>
      <w:r w:rsidR="00446D0D" w:rsidRPr="00F207B4">
        <w:rPr>
          <w:lang w:val="en-GB"/>
        </w:rPr>
        <w:t>s</w:t>
      </w:r>
      <w:r w:rsidRPr="00F207B4">
        <w:rPr>
          <w:lang w:val="en-GB"/>
        </w:rPr>
        <w:t xml:space="preserve">cenario 3, inlet temperatures are no longer </w:t>
      </w:r>
      <w:r w:rsidR="006F3E15" w:rsidRPr="00F207B4">
        <w:rPr>
          <w:lang w:val="en-GB"/>
        </w:rPr>
        <w:t>fixed</w:t>
      </w:r>
      <w:r w:rsidRPr="00F207B4">
        <w:rPr>
          <w:lang w:val="en-GB"/>
        </w:rPr>
        <w:t xml:space="preserve"> but </w:t>
      </w:r>
      <w:r w:rsidR="00012921" w:rsidRPr="00F207B4">
        <w:rPr>
          <w:lang w:val="en-GB"/>
        </w:rPr>
        <w:t>are determined</w:t>
      </w:r>
      <w:r w:rsidRPr="00F207B4">
        <w:rPr>
          <w:lang w:val="en-GB"/>
        </w:rPr>
        <w:t xml:space="preserve"> by solar field </w:t>
      </w:r>
      <w:r w:rsidR="006F3E15" w:rsidRPr="00F207B4">
        <w:rPr>
          <w:lang w:val="en-GB"/>
        </w:rPr>
        <w:t>data</w:t>
      </w:r>
      <w:r w:rsidRPr="00F207B4">
        <w:rPr>
          <w:lang w:val="en-GB"/>
        </w:rPr>
        <w:t xml:space="preserve"> and meteorological </w:t>
      </w:r>
      <w:r w:rsidRPr="00F207B4">
        <w:rPr>
          <w:lang w:val="en-GB"/>
        </w:rPr>
        <w:lastRenderedPageBreak/>
        <w:t>conditions. This introduces additional temporal variability and partial</w:t>
      </w:r>
      <w:r w:rsidR="006F3E15" w:rsidRPr="00F207B4">
        <w:rPr>
          <w:lang w:val="en-GB"/>
        </w:rPr>
        <w:t>ly</w:t>
      </w:r>
      <w:r w:rsidRPr="00F207B4">
        <w:rPr>
          <w:lang w:val="en-GB"/>
        </w:rPr>
        <w:t xml:space="preserve"> smooth</w:t>
      </w:r>
      <w:r w:rsidR="006F3E15" w:rsidRPr="00F207B4">
        <w:rPr>
          <w:lang w:val="en-GB"/>
        </w:rPr>
        <w:t>s out the interactions between the</w:t>
      </w:r>
      <w:r w:rsidRPr="00F207B4">
        <w:rPr>
          <w:lang w:val="en-GB"/>
        </w:rPr>
        <w:t xml:space="preserve"> parameter</w:t>
      </w:r>
      <w:r w:rsidR="006F3E15" w:rsidRPr="00F207B4">
        <w:rPr>
          <w:lang w:val="en-GB"/>
        </w:rPr>
        <w:t>s</w:t>
      </w:r>
      <w:r w:rsidRPr="00F207B4">
        <w:rPr>
          <w:lang w:val="en-GB"/>
        </w:rPr>
        <w:t>.</w:t>
      </w:r>
      <w:r w:rsidR="00CC0692" w:rsidRPr="00F207B4">
        <w:rPr>
          <w:lang w:val="en-GB"/>
        </w:rPr>
        <w:t xml:space="preserve"> </w:t>
      </w:r>
      <w:r w:rsidRPr="00F207B4">
        <w:rPr>
          <w:lang w:val="en-GB"/>
        </w:rPr>
        <w:t>As a result, the relative influence of geometric parameters</w:t>
      </w:r>
      <w:r w:rsidR="006F3E15" w:rsidRPr="00F207B4">
        <w:rPr>
          <w:lang w:val="en-GB"/>
        </w:rPr>
        <w:t>,</w:t>
      </w:r>
      <w:r w:rsidRPr="00F207B4">
        <w:rPr>
          <w:lang w:val="en-GB"/>
        </w:rPr>
        <w:t xml:space="preserve"> such as tube spacing (</w:t>
      </w:r>
      <w:proofErr w:type="spellStart"/>
      <w:r w:rsidRPr="00F207B4">
        <w:rPr>
          <w:lang w:val="en-GB"/>
        </w:rPr>
        <w:t>d</w:t>
      </w:r>
      <w:r w:rsidRPr="00F207B4">
        <w:rPr>
          <w:vertAlign w:val="subscript"/>
          <w:lang w:val="en-GB"/>
        </w:rPr>
        <w:t>tube</w:t>
      </w:r>
      <w:proofErr w:type="spellEnd"/>
      <w:r w:rsidRPr="00F207B4">
        <w:rPr>
          <w:lang w:val="en-GB"/>
        </w:rPr>
        <w:t>)</w:t>
      </w:r>
      <w:r w:rsidR="006F3E15" w:rsidRPr="00F207B4">
        <w:rPr>
          <w:lang w:val="en-GB"/>
        </w:rPr>
        <w:t>,</w:t>
      </w:r>
      <w:r w:rsidRPr="00F207B4">
        <w:rPr>
          <w:lang w:val="en-GB"/>
        </w:rPr>
        <w:t xml:space="preserve"> decreases slightly compared </w:t>
      </w:r>
      <w:r w:rsidR="006F3E15" w:rsidRPr="00F207B4">
        <w:rPr>
          <w:lang w:val="en-GB"/>
        </w:rPr>
        <w:t>with</w:t>
      </w:r>
      <w:r w:rsidRPr="00F207B4">
        <w:rPr>
          <w:lang w:val="en-GB"/>
        </w:rPr>
        <w:t xml:space="preserve"> </w:t>
      </w:r>
      <w:r w:rsidR="009D49FA" w:rsidRPr="00F207B4">
        <w:rPr>
          <w:lang w:val="en-GB"/>
        </w:rPr>
        <w:t>s</w:t>
      </w:r>
      <w:r w:rsidRPr="00F207B4">
        <w:rPr>
          <w:lang w:val="en-GB"/>
        </w:rPr>
        <w:t xml:space="preserve">cenarios 1 and 2. </w:t>
      </w:r>
      <w:r w:rsidR="006F3E15" w:rsidRPr="00F207B4">
        <w:rPr>
          <w:lang w:val="en-GB"/>
        </w:rPr>
        <w:t>The</w:t>
      </w:r>
      <w:r w:rsidRPr="00F207B4">
        <w:rPr>
          <w:lang w:val="en-GB"/>
        </w:rPr>
        <w:t xml:space="preserve"> σ/μ* ratios are reduced</w:t>
      </w:r>
      <w:r w:rsidR="009D49FA" w:rsidRPr="00F207B4">
        <w:rPr>
          <w:lang w:val="en-GB"/>
        </w:rPr>
        <w:t xml:space="preserve"> (see Fig.</w:t>
      </w:r>
      <w:r w:rsidR="00AB5179" w:rsidRPr="00F207B4">
        <w:rPr>
          <w:lang w:val="en-GB"/>
        </w:rPr>
        <w:t>6</w:t>
      </w:r>
      <w:r w:rsidR="009D49FA" w:rsidRPr="00F207B4">
        <w:rPr>
          <w:lang w:val="en-GB"/>
        </w:rPr>
        <w:t>c)</w:t>
      </w:r>
      <w:r w:rsidR="006F3E15" w:rsidRPr="00F207B4">
        <w:rPr>
          <w:lang w:val="en-GB"/>
        </w:rPr>
        <w:t>, which</w:t>
      </w:r>
      <w:r w:rsidRPr="00F207B4">
        <w:rPr>
          <w:lang w:val="en-GB"/>
        </w:rPr>
        <w:t xml:space="preserve"> suggest</w:t>
      </w:r>
      <w:r w:rsidR="006F3E15" w:rsidRPr="00F207B4">
        <w:rPr>
          <w:lang w:val="en-GB"/>
        </w:rPr>
        <w:t xml:space="preserve"> </w:t>
      </w:r>
      <w:r w:rsidRPr="00F207B4">
        <w:rPr>
          <w:lang w:val="en-GB"/>
        </w:rPr>
        <w:t xml:space="preserve">weaker interaction effects. This </w:t>
      </w:r>
      <w:r w:rsidR="006F3E15" w:rsidRPr="00F207B4">
        <w:rPr>
          <w:lang w:val="en-GB"/>
        </w:rPr>
        <w:t xml:space="preserve">phenomenon </w:t>
      </w:r>
      <w:r w:rsidRPr="00F207B4">
        <w:rPr>
          <w:lang w:val="en-GB"/>
        </w:rPr>
        <w:t xml:space="preserve">can be attributed to the buffering effect of the solar field, which partially decouples </w:t>
      </w:r>
      <w:r w:rsidR="006F3E15" w:rsidRPr="00F207B4">
        <w:rPr>
          <w:lang w:val="en-GB"/>
        </w:rPr>
        <w:t xml:space="preserve">the operation of the </w:t>
      </w:r>
      <w:r w:rsidR="009D49FA" w:rsidRPr="00F207B4">
        <w:rPr>
          <w:lang w:val="en-GB"/>
        </w:rPr>
        <w:t>HUTES</w:t>
      </w:r>
      <w:r w:rsidRPr="00F207B4">
        <w:rPr>
          <w:lang w:val="en-GB"/>
        </w:rPr>
        <w:t xml:space="preserve"> from short-term fluctuations</w:t>
      </w:r>
      <w:r w:rsidR="006F3E15" w:rsidRPr="00F207B4">
        <w:rPr>
          <w:lang w:val="en-GB"/>
        </w:rPr>
        <w:t xml:space="preserve"> in the parameters</w:t>
      </w:r>
      <w:r w:rsidRPr="00F207B4">
        <w:rPr>
          <w:lang w:val="en-GB"/>
        </w:rPr>
        <w:t>.</w:t>
      </w:r>
    </w:p>
    <w:p w14:paraId="01F46FC7" w14:textId="16214E02" w:rsidR="006D3D24" w:rsidRPr="00F207B4" w:rsidRDefault="006D3D24" w:rsidP="009653B6">
      <w:pPr>
        <w:pStyle w:val="SWCText"/>
        <w:rPr>
          <w:lang w:val="en-GB"/>
        </w:rPr>
      </w:pPr>
      <w:r w:rsidRPr="00F207B4">
        <w:rPr>
          <w:lang w:val="en-GB"/>
        </w:rPr>
        <w:t>Despite these differences, insulation properties</w:t>
      </w:r>
      <w:r w:rsidR="009D49FA" w:rsidRPr="00F207B4">
        <w:rPr>
          <w:lang w:val="en-GB"/>
        </w:rPr>
        <w:t xml:space="preserve"> (</w:t>
      </w:r>
      <w:proofErr w:type="spellStart"/>
      <w:r w:rsidR="009D49FA" w:rsidRPr="00F207B4">
        <w:rPr>
          <w:lang w:val="en-GB"/>
        </w:rPr>
        <w:t>e</w:t>
      </w:r>
      <w:r w:rsidR="009D49FA" w:rsidRPr="00F207B4">
        <w:rPr>
          <w:vertAlign w:val="subscript"/>
          <w:lang w:val="en-GB"/>
        </w:rPr>
        <w:t>ins</w:t>
      </w:r>
      <w:proofErr w:type="spellEnd"/>
      <w:r w:rsidR="009D49FA" w:rsidRPr="00F207B4">
        <w:rPr>
          <w:lang w:val="en-GB"/>
        </w:rPr>
        <w:t xml:space="preserve"> and </w:t>
      </w:r>
      <w:proofErr w:type="spellStart"/>
      <w:r w:rsidR="009D49FA" w:rsidRPr="00F207B4">
        <w:rPr>
          <w:lang w:val="en-GB"/>
        </w:rPr>
        <w:t>n</w:t>
      </w:r>
      <w:r w:rsidR="009D49FA" w:rsidRPr="00F207B4">
        <w:rPr>
          <w:vertAlign w:val="subscript"/>
          <w:lang w:val="en-GB"/>
        </w:rPr>
        <w:t>ins</w:t>
      </w:r>
      <w:proofErr w:type="spellEnd"/>
      <w:r w:rsidR="009D49FA" w:rsidRPr="00F207B4">
        <w:rPr>
          <w:lang w:val="en-GB"/>
        </w:rPr>
        <w:t>)</w:t>
      </w:r>
      <w:r w:rsidRPr="00F207B4">
        <w:rPr>
          <w:lang w:val="en-GB"/>
        </w:rPr>
        <w:t xml:space="preserve"> and ground cover thickness</w:t>
      </w:r>
      <w:r w:rsidR="009D49FA" w:rsidRPr="00F207B4">
        <w:rPr>
          <w:lang w:val="en-GB"/>
        </w:rPr>
        <w:t xml:space="preserve"> (</w:t>
      </w:r>
      <w:proofErr w:type="spellStart"/>
      <w:r w:rsidR="009D49FA" w:rsidRPr="00F207B4">
        <w:rPr>
          <w:lang w:val="en-GB"/>
        </w:rPr>
        <w:t>e</w:t>
      </w:r>
      <w:r w:rsidR="009D49FA" w:rsidRPr="00F207B4">
        <w:rPr>
          <w:vertAlign w:val="subscript"/>
          <w:lang w:val="en-GB"/>
        </w:rPr>
        <w:t>ground</w:t>
      </w:r>
      <w:proofErr w:type="spellEnd"/>
      <w:r w:rsidR="009D49FA" w:rsidRPr="00F207B4">
        <w:rPr>
          <w:lang w:val="en-GB"/>
        </w:rPr>
        <w:t>)</w:t>
      </w:r>
      <w:r w:rsidRPr="00F207B4">
        <w:rPr>
          <w:lang w:val="en-GB"/>
        </w:rPr>
        <w:t xml:space="preserve"> remain the dominant factors across all scenarios, confirming their fundamental role in controlling long-term thermal losses and storage efficiency.</w:t>
      </w:r>
    </w:p>
    <w:p w14:paraId="16BA6D0F" w14:textId="54226107" w:rsidR="00262530" w:rsidRPr="00F207B4" w:rsidRDefault="00262530" w:rsidP="00262530">
      <w:pPr>
        <w:pStyle w:val="SWCHeading11"/>
      </w:pPr>
      <w:r w:rsidRPr="00F207B4">
        <w:t>3.2.</w:t>
      </w:r>
      <w:r w:rsidR="006B5F2C" w:rsidRPr="00F207B4">
        <w:t>4</w:t>
      </w:r>
      <w:r w:rsidRPr="00F207B4">
        <w:t xml:space="preserve"> Physical interpretation</w:t>
      </w:r>
    </w:p>
    <w:p w14:paraId="7788C778" w14:textId="3C9B10C0" w:rsidR="00262530" w:rsidRPr="00F207B4" w:rsidRDefault="00262530" w:rsidP="002A78E6">
      <w:pPr>
        <w:pStyle w:val="SWCText"/>
        <w:rPr>
          <w:lang w:val="en-GB"/>
        </w:rPr>
      </w:pPr>
      <w:r w:rsidRPr="00F207B4">
        <w:rPr>
          <w:lang w:val="en-GB"/>
        </w:rPr>
        <w:t xml:space="preserve">The combined Morris and </w:t>
      </w:r>
      <w:proofErr w:type="spellStart"/>
      <w:r w:rsidRPr="00F207B4">
        <w:rPr>
          <w:lang w:val="en-GB"/>
        </w:rPr>
        <w:t>Sobol</w:t>
      </w:r>
      <w:proofErr w:type="spellEnd"/>
      <w:r w:rsidRPr="00F207B4">
        <w:rPr>
          <w:lang w:val="en-GB"/>
        </w:rPr>
        <w:t xml:space="preserve"> analyses highlight a </w:t>
      </w:r>
      <w:r w:rsidR="001C1559" w:rsidRPr="00F207B4">
        <w:rPr>
          <w:lang w:val="en-GB"/>
        </w:rPr>
        <w:t>clear</w:t>
      </w:r>
      <w:r w:rsidRPr="00F207B4">
        <w:rPr>
          <w:lang w:val="en-GB"/>
        </w:rPr>
        <w:t xml:space="preserve"> physical hierarchy of governing mechanisms in the HUTES</w:t>
      </w:r>
      <w:r w:rsidR="00385E7B" w:rsidRPr="00F207B4">
        <w:rPr>
          <w:lang w:val="en-GB"/>
        </w:rPr>
        <w:t xml:space="preserve"> for seasonal TES applications</w:t>
      </w:r>
      <w:r w:rsidR="001C1559" w:rsidRPr="00F207B4">
        <w:rPr>
          <w:lang w:val="en-GB"/>
        </w:rPr>
        <w:t xml:space="preserve">. Thermal losses through the surrounding soil constitute the dominant process and are primarily controlled by insulation properties </w:t>
      </w:r>
      <w:r w:rsidR="002A78E6" w:rsidRPr="00F207B4">
        <w:rPr>
          <w:lang w:val="en-GB"/>
        </w:rPr>
        <w:t>(</w:t>
      </w:r>
      <w:proofErr w:type="spellStart"/>
      <w:r w:rsidR="002A78E6" w:rsidRPr="00F207B4">
        <w:rPr>
          <w:lang w:val="en-GB"/>
        </w:rPr>
        <w:t>n</w:t>
      </w:r>
      <w:r w:rsidR="002A78E6" w:rsidRPr="00F207B4">
        <w:rPr>
          <w:vertAlign w:val="subscript"/>
          <w:lang w:val="en-GB"/>
        </w:rPr>
        <w:t>ins</w:t>
      </w:r>
      <w:proofErr w:type="spellEnd"/>
      <w:r w:rsidR="002A78E6" w:rsidRPr="00F207B4">
        <w:rPr>
          <w:lang w:val="en-GB"/>
        </w:rPr>
        <w:t xml:space="preserve"> and </w:t>
      </w:r>
      <w:proofErr w:type="spellStart"/>
      <w:r w:rsidR="002A78E6" w:rsidRPr="00F207B4">
        <w:rPr>
          <w:lang w:val="en-GB"/>
        </w:rPr>
        <w:t>e</w:t>
      </w:r>
      <w:r w:rsidR="002A78E6" w:rsidRPr="00F207B4">
        <w:rPr>
          <w:vertAlign w:val="subscript"/>
          <w:lang w:val="en-GB"/>
        </w:rPr>
        <w:t>ins</w:t>
      </w:r>
      <w:proofErr w:type="spellEnd"/>
      <w:r w:rsidR="002A78E6" w:rsidRPr="00F207B4">
        <w:rPr>
          <w:lang w:val="en-GB"/>
        </w:rPr>
        <w:t xml:space="preserve">) </w:t>
      </w:r>
      <w:r w:rsidR="001C1559" w:rsidRPr="00F207B4">
        <w:rPr>
          <w:lang w:val="en-GB"/>
        </w:rPr>
        <w:t>and ground cover thickness</w:t>
      </w:r>
      <w:r w:rsidR="002A78E6" w:rsidRPr="00F207B4">
        <w:rPr>
          <w:lang w:val="en-GB"/>
        </w:rPr>
        <w:t xml:space="preserve"> (</w:t>
      </w:r>
      <w:proofErr w:type="spellStart"/>
      <w:r w:rsidR="002A78E6" w:rsidRPr="00F207B4">
        <w:rPr>
          <w:lang w:val="en-GB"/>
        </w:rPr>
        <w:t>e</w:t>
      </w:r>
      <w:r w:rsidR="002A78E6" w:rsidRPr="00F207B4">
        <w:rPr>
          <w:vertAlign w:val="subscript"/>
          <w:lang w:val="en-GB"/>
        </w:rPr>
        <w:t>ground</w:t>
      </w:r>
      <w:proofErr w:type="spellEnd"/>
      <w:r w:rsidR="002A78E6" w:rsidRPr="00F207B4">
        <w:rPr>
          <w:lang w:val="en-GB"/>
        </w:rPr>
        <w:t>)</w:t>
      </w:r>
      <w:r w:rsidR="001C1559" w:rsidRPr="00F207B4">
        <w:rPr>
          <w:lang w:val="en-GB"/>
        </w:rPr>
        <w:t>. In contrast, hydraulic and geometrical parameters play only a secondary role under most operati</w:t>
      </w:r>
      <w:r w:rsidR="007E6526" w:rsidRPr="00F207B4">
        <w:rPr>
          <w:lang w:val="en-GB"/>
        </w:rPr>
        <w:t>o</w:t>
      </w:r>
      <w:r w:rsidR="001C1559" w:rsidRPr="00F207B4">
        <w:rPr>
          <w:lang w:val="en-GB"/>
        </w:rPr>
        <w:t>n</w:t>
      </w:r>
      <w:r w:rsidR="007E6526" w:rsidRPr="00F207B4">
        <w:rPr>
          <w:lang w:val="en-GB"/>
        </w:rPr>
        <w:t>al</w:t>
      </w:r>
      <w:r w:rsidR="001C1559" w:rsidRPr="00F207B4">
        <w:rPr>
          <w:lang w:val="en-GB"/>
        </w:rPr>
        <w:t xml:space="preserve"> conditions, indicating that the overall system behaviour is driven by conductive heat transfer rather than </w:t>
      </w:r>
      <w:r w:rsidR="002A78E6" w:rsidRPr="00F207B4">
        <w:rPr>
          <w:lang w:val="en-GB"/>
        </w:rPr>
        <w:t>HTF</w:t>
      </w:r>
      <w:r w:rsidR="001C1559" w:rsidRPr="00F207B4">
        <w:rPr>
          <w:lang w:val="en-GB"/>
        </w:rPr>
        <w:t xml:space="preserve"> circulation. Operational temperatures </w:t>
      </w:r>
      <w:r w:rsidR="00012921" w:rsidRPr="00F207B4">
        <w:rPr>
          <w:lang w:val="en-GB"/>
        </w:rPr>
        <w:t>only have an influence</w:t>
      </w:r>
      <w:r w:rsidR="001C1559" w:rsidRPr="00F207B4">
        <w:rPr>
          <w:lang w:val="en-GB"/>
        </w:rPr>
        <w:t xml:space="preserve"> under cyclic operati</w:t>
      </w:r>
      <w:r w:rsidR="007E6526" w:rsidRPr="00F207B4">
        <w:rPr>
          <w:lang w:val="en-GB"/>
        </w:rPr>
        <w:t>o</w:t>
      </w:r>
      <w:r w:rsidR="001C1559" w:rsidRPr="00F207B4">
        <w:rPr>
          <w:lang w:val="en-GB"/>
        </w:rPr>
        <w:t>n</w:t>
      </w:r>
      <w:r w:rsidR="007E6526" w:rsidRPr="00F207B4">
        <w:rPr>
          <w:lang w:val="en-GB"/>
        </w:rPr>
        <w:t>al</w:t>
      </w:r>
      <w:r w:rsidR="001C1559" w:rsidRPr="00F207B4">
        <w:rPr>
          <w:lang w:val="en-GB"/>
        </w:rPr>
        <w:t xml:space="preserve"> conditions</w:t>
      </w:r>
      <w:r w:rsidR="002A78E6" w:rsidRPr="00F207B4">
        <w:rPr>
          <w:lang w:val="en-GB"/>
        </w:rPr>
        <w:t xml:space="preserve"> </w:t>
      </w:r>
      <w:r w:rsidR="002A78E6" w:rsidRPr="00F207B4">
        <w:rPr>
          <w:bCs/>
          <w:lang w:val="en-GB"/>
        </w:rPr>
        <w:t>(scenario 2)</w:t>
      </w:r>
      <w:r w:rsidR="001C1559" w:rsidRPr="00F207B4">
        <w:rPr>
          <w:lang w:val="en-GB"/>
        </w:rPr>
        <w:t xml:space="preserve">, where they </w:t>
      </w:r>
      <w:r w:rsidR="00012921" w:rsidRPr="00F207B4">
        <w:rPr>
          <w:lang w:val="en-GB"/>
        </w:rPr>
        <w:t>alter</w:t>
      </w:r>
      <w:r w:rsidR="001C1559" w:rsidRPr="00F207B4">
        <w:rPr>
          <w:lang w:val="en-GB"/>
        </w:rPr>
        <w:t xml:space="preserve"> the thermal driving force and amplify </w:t>
      </w:r>
      <w:r w:rsidR="00012921" w:rsidRPr="00F207B4">
        <w:rPr>
          <w:lang w:val="en-GB"/>
        </w:rPr>
        <w:t>the</w:t>
      </w:r>
      <w:r w:rsidR="001C1559" w:rsidRPr="00F207B4">
        <w:rPr>
          <w:lang w:val="en-GB"/>
        </w:rPr>
        <w:t xml:space="preserve"> interactions</w:t>
      </w:r>
      <w:r w:rsidR="00012921" w:rsidRPr="00F207B4">
        <w:rPr>
          <w:lang w:val="en-GB"/>
        </w:rPr>
        <w:t xml:space="preserve"> between the parameters</w:t>
      </w:r>
      <w:r w:rsidR="001C1559" w:rsidRPr="00F207B4">
        <w:rPr>
          <w:lang w:val="en-GB"/>
        </w:rPr>
        <w:t>.</w:t>
      </w:r>
    </w:p>
    <w:p w14:paraId="411041A2" w14:textId="09062908" w:rsidR="002E61A2" w:rsidRPr="00F207B4" w:rsidRDefault="002E61A2" w:rsidP="00385E7B">
      <w:pPr>
        <w:pStyle w:val="SWCText"/>
        <w:rPr>
          <w:lang w:val="en-GB"/>
        </w:rPr>
      </w:pPr>
      <w:r w:rsidRPr="00F207B4">
        <w:rPr>
          <w:lang w:val="en-GB"/>
        </w:rPr>
        <w:t>Overall, the results demonstrate that HUTES performance is primarily governed by heat losses</w:t>
      </w:r>
      <w:r w:rsidR="00012921" w:rsidRPr="00F207B4">
        <w:rPr>
          <w:lang w:val="en-GB"/>
        </w:rPr>
        <w:t xml:space="preserve"> to the ground</w:t>
      </w:r>
      <w:r w:rsidRPr="00F207B4">
        <w:rPr>
          <w:lang w:val="en-GB"/>
        </w:rPr>
        <w:t xml:space="preserve"> rather than </w:t>
      </w:r>
      <w:r w:rsidR="00012921" w:rsidRPr="00F207B4">
        <w:rPr>
          <w:lang w:val="en-GB"/>
        </w:rPr>
        <w:t xml:space="preserve">by the </w:t>
      </w:r>
      <w:r w:rsidRPr="00F207B4">
        <w:rPr>
          <w:lang w:val="en-GB"/>
        </w:rPr>
        <w:t>hydraulic design</w:t>
      </w:r>
      <w:r w:rsidR="002A78E6" w:rsidRPr="00F207B4">
        <w:rPr>
          <w:lang w:val="en-GB"/>
        </w:rPr>
        <w:t xml:space="preserve">. </w:t>
      </w:r>
      <w:r w:rsidR="00012921" w:rsidRPr="00F207B4">
        <w:rPr>
          <w:lang w:val="en-GB"/>
        </w:rPr>
        <w:t>As a result</w:t>
      </w:r>
      <w:r w:rsidRPr="00F207B4">
        <w:rPr>
          <w:lang w:val="en-GB"/>
        </w:rPr>
        <w:t xml:space="preserve">, insulation </w:t>
      </w:r>
      <w:r w:rsidR="00012921" w:rsidRPr="00F207B4">
        <w:rPr>
          <w:lang w:val="en-GB"/>
        </w:rPr>
        <w:t xml:space="preserve">is the key factor in the efficiency of seasonal TES </w:t>
      </w:r>
      <w:r w:rsidR="00023F19" w:rsidRPr="00F207B4">
        <w:rPr>
          <w:lang w:val="en-GB"/>
        </w:rPr>
        <w:t xml:space="preserve">and should be prioritised </w:t>
      </w:r>
      <w:r w:rsidR="002A78E6" w:rsidRPr="00F207B4">
        <w:rPr>
          <w:lang w:val="en-GB"/>
        </w:rPr>
        <w:t>over hydraulic</w:t>
      </w:r>
      <w:r w:rsidR="00023F19" w:rsidRPr="00F207B4">
        <w:rPr>
          <w:lang w:val="en-GB"/>
        </w:rPr>
        <w:t xml:space="preserve"> optimisation </w:t>
      </w:r>
      <w:r w:rsidR="002A78E6" w:rsidRPr="00F207B4">
        <w:rPr>
          <w:lang w:val="en-GB"/>
        </w:rPr>
        <w:t xml:space="preserve">during the design </w:t>
      </w:r>
      <w:r w:rsidR="00736E27" w:rsidRPr="00F207B4">
        <w:rPr>
          <w:lang w:val="en-GB"/>
        </w:rPr>
        <w:t>phase</w:t>
      </w:r>
      <w:r w:rsidRPr="00F207B4">
        <w:rPr>
          <w:lang w:val="en-GB"/>
        </w:rPr>
        <w:t>.</w:t>
      </w:r>
    </w:p>
    <w:p w14:paraId="0E7FEC7D" w14:textId="19548125" w:rsidR="009653B6" w:rsidRPr="00F207B4" w:rsidRDefault="009653B6" w:rsidP="009653B6">
      <w:pPr>
        <w:pStyle w:val="SWCHeading1"/>
        <w:rPr>
          <w:lang w:val="en-GB"/>
        </w:rPr>
      </w:pPr>
      <w:r w:rsidRPr="00F207B4">
        <w:rPr>
          <w:lang w:val="en-GB"/>
        </w:rPr>
        <w:t>Conclusion</w:t>
      </w:r>
    </w:p>
    <w:p w14:paraId="1645EA62" w14:textId="1DB2CBEA" w:rsidR="009653B6" w:rsidRPr="00F207B4" w:rsidRDefault="009653B6" w:rsidP="00BF1783">
      <w:pPr>
        <w:pStyle w:val="SWCText"/>
        <w:rPr>
          <w:lang w:val="en-GB"/>
        </w:rPr>
      </w:pPr>
      <w:r w:rsidRPr="00F207B4">
        <w:rPr>
          <w:lang w:val="en-GB"/>
        </w:rPr>
        <w:t>A Horizontal Underground Thermal Energy Storage (HUTES) was modelled using TRNSYS</w:t>
      </w:r>
      <w:r w:rsidR="00307DDC" w:rsidRPr="00F207B4">
        <w:rPr>
          <w:lang w:val="en-GB"/>
        </w:rPr>
        <w:t xml:space="preserve"> (Type 999)</w:t>
      </w:r>
      <w:r w:rsidR="00F93508" w:rsidRPr="00F207B4">
        <w:rPr>
          <w:lang w:val="en-GB"/>
        </w:rPr>
        <w:t xml:space="preserve"> to evaluate its potential for seasonal TES in agricultural applications</w:t>
      </w:r>
      <w:r w:rsidRPr="00F207B4">
        <w:rPr>
          <w:lang w:val="en-GB"/>
        </w:rPr>
        <w:t xml:space="preserve">. A parametric study was carried out </w:t>
      </w:r>
      <w:r w:rsidR="006F3E15" w:rsidRPr="00F207B4">
        <w:rPr>
          <w:lang w:val="en-GB"/>
        </w:rPr>
        <w:t>with</w:t>
      </w:r>
      <w:r w:rsidRPr="00F207B4">
        <w:rPr>
          <w:lang w:val="en-GB"/>
        </w:rPr>
        <w:t xml:space="preserve"> the Python SALib library, </w:t>
      </w:r>
      <w:r w:rsidR="006F3E15" w:rsidRPr="00F207B4">
        <w:rPr>
          <w:lang w:val="en-GB"/>
        </w:rPr>
        <w:t>using</w:t>
      </w:r>
      <w:r w:rsidRPr="00F207B4">
        <w:rPr>
          <w:lang w:val="en-GB"/>
        </w:rPr>
        <w:t xml:space="preserve"> the Morris method </w:t>
      </w:r>
      <w:r w:rsidR="008849FC" w:rsidRPr="00F207B4">
        <w:rPr>
          <w:lang w:val="en-GB"/>
        </w:rPr>
        <w:t>for global screening</w:t>
      </w:r>
      <w:r w:rsidRPr="00F207B4">
        <w:rPr>
          <w:lang w:val="en-GB"/>
        </w:rPr>
        <w:t xml:space="preserve"> and the </w:t>
      </w:r>
      <w:proofErr w:type="spellStart"/>
      <w:r w:rsidRPr="00F207B4">
        <w:rPr>
          <w:lang w:val="en-GB"/>
        </w:rPr>
        <w:t>Sobol</w:t>
      </w:r>
      <w:proofErr w:type="spellEnd"/>
      <w:r w:rsidRPr="00F207B4">
        <w:rPr>
          <w:lang w:val="en-GB"/>
        </w:rPr>
        <w:t xml:space="preserve"> method </w:t>
      </w:r>
      <w:r w:rsidR="008849FC" w:rsidRPr="00F207B4">
        <w:rPr>
          <w:lang w:val="en-GB"/>
        </w:rPr>
        <w:t>for variance-based sensitivity analysis</w:t>
      </w:r>
      <w:r w:rsidRPr="00F207B4">
        <w:rPr>
          <w:lang w:val="en-GB"/>
        </w:rPr>
        <w:t xml:space="preserve">. </w:t>
      </w:r>
      <w:r w:rsidR="0040301E" w:rsidRPr="00F207B4">
        <w:rPr>
          <w:lang w:val="en-GB"/>
        </w:rPr>
        <w:t>Three distinct operati</w:t>
      </w:r>
      <w:r w:rsidR="007E6526" w:rsidRPr="00F207B4">
        <w:rPr>
          <w:lang w:val="en-GB"/>
        </w:rPr>
        <w:t>o</w:t>
      </w:r>
      <w:r w:rsidR="0040301E" w:rsidRPr="00F207B4">
        <w:rPr>
          <w:lang w:val="en-GB"/>
        </w:rPr>
        <w:t>n</w:t>
      </w:r>
      <w:r w:rsidR="007E6526" w:rsidRPr="00F207B4">
        <w:rPr>
          <w:lang w:val="en-GB"/>
        </w:rPr>
        <w:t>al</w:t>
      </w:r>
      <w:r w:rsidR="0040301E" w:rsidRPr="00F207B4">
        <w:rPr>
          <w:lang w:val="en-GB"/>
        </w:rPr>
        <w:t xml:space="preserve"> scenarios were investigated: (</w:t>
      </w:r>
      <w:proofErr w:type="spellStart"/>
      <w:r w:rsidR="0040301E" w:rsidRPr="00F207B4">
        <w:rPr>
          <w:lang w:val="en-GB"/>
        </w:rPr>
        <w:t>i</w:t>
      </w:r>
      <w:proofErr w:type="spellEnd"/>
      <w:r w:rsidR="0040301E" w:rsidRPr="00F207B4">
        <w:rPr>
          <w:lang w:val="en-GB"/>
        </w:rPr>
        <w:t>) a 3-month charg</w:t>
      </w:r>
      <w:r w:rsidR="008A4E20" w:rsidRPr="00F207B4">
        <w:rPr>
          <w:lang w:val="en-GB"/>
        </w:rPr>
        <w:t>e</w:t>
      </w:r>
      <w:r w:rsidR="0040301E" w:rsidRPr="00F207B4">
        <w:rPr>
          <w:lang w:val="en-GB"/>
        </w:rPr>
        <w:t xml:space="preserve"> under fixed operati</w:t>
      </w:r>
      <w:r w:rsidR="007E6526" w:rsidRPr="00F207B4">
        <w:rPr>
          <w:lang w:val="en-GB"/>
        </w:rPr>
        <w:t>o</w:t>
      </w:r>
      <w:r w:rsidR="0040301E" w:rsidRPr="00F207B4">
        <w:rPr>
          <w:lang w:val="en-GB"/>
        </w:rPr>
        <w:t>n</w:t>
      </w:r>
      <w:r w:rsidR="007E6526" w:rsidRPr="00F207B4">
        <w:rPr>
          <w:lang w:val="en-GB"/>
        </w:rPr>
        <w:t>al</w:t>
      </w:r>
      <w:r w:rsidR="0040301E" w:rsidRPr="00F207B4">
        <w:rPr>
          <w:lang w:val="en-GB"/>
        </w:rPr>
        <w:t xml:space="preserve"> conditions, (ii) a 6-month charging/discharging cycle under fixed </w:t>
      </w:r>
      <w:r w:rsidR="00693E9D" w:rsidRPr="00F207B4">
        <w:rPr>
          <w:lang w:val="en-GB"/>
        </w:rPr>
        <w:t xml:space="preserve">operational </w:t>
      </w:r>
      <w:r w:rsidR="0040301E" w:rsidRPr="00F207B4">
        <w:rPr>
          <w:lang w:val="en-GB"/>
        </w:rPr>
        <w:t>conditions, and (iii) a 6-month charg</w:t>
      </w:r>
      <w:r w:rsidR="008A4E20" w:rsidRPr="00F207B4">
        <w:rPr>
          <w:lang w:val="en-GB"/>
        </w:rPr>
        <w:t>e</w:t>
      </w:r>
      <w:r w:rsidR="0040301E" w:rsidRPr="00F207B4">
        <w:rPr>
          <w:lang w:val="en-GB"/>
        </w:rPr>
        <w:t xml:space="preserve"> driven by </w:t>
      </w:r>
      <w:r w:rsidR="00693E9D" w:rsidRPr="00F207B4">
        <w:rPr>
          <w:lang w:val="en-GB"/>
        </w:rPr>
        <w:t>real</w:t>
      </w:r>
      <w:r w:rsidR="0040301E" w:rsidRPr="00F207B4">
        <w:rPr>
          <w:lang w:val="en-GB"/>
        </w:rPr>
        <w:t xml:space="preserve"> weather conditions and solar field </w:t>
      </w:r>
      <w:r w:rsidR="00693E9D" w:rsidRPr="00F207B4">
        <w:rPr>
          <w:lang w:val="en-GB"/>
        </w:rPr>
        <w:t>data</w:t>
      </w:r>
      <w:r w:rsidR="0040301E" w:rsidRPr="00F207B4">
        <w:rPr>
          <w:lang w:val="en-GB"/>
        </w:rPr>
        <w:t>. These scenarios enabled the influence of design and operational parameters to be assessed under progressively more realistic operati</w:t>
      </w:r>
      <w:r w:rsidR="007E6526" w:rsidRPr="00F207B4">
        <w:rPr>
          <w:lang w:val="en-GB"/>
        </w:rPr>
        <w:t>o</w:t>
      </w:r>
      <w:r w:rsidR="0040301E" w:rsidRPr="00F207B4">
        <w:rPr>
          <w:lang w:val="en-GB"/>
        </w:rPr>
        <w:t>n</w:t>
      </w:r>
      <w:r w:rsidR="007E6526" w:rsidRPr="00F207B4">
        <w:rPr>
          <w:lang w:val="en-GB"/>
        </w:rPr>
        <w:t>al</w:t>
      </w:r>
      <w:r w:rsidR="0040301E" w:rsidRPr="00F207B4">
        <w:rPr>
          <w:lang w:val="en-GB"/>
        </w:rPr>
        <w:t xml:space="preserve"> conditions.</w:t>
      </w:r>
    </w:p>
    <w:p w14:paraId="133D64B5" w14:textId="0F1D07BB" w:rsidR="009653B6" w:rsidRPr="00F207B4" w:rsidRDefault="008849FC" w:rsidP="009653B6">
      <w:pPr>
        <w:pStyle w:val="SWCText"/>
        <w:rPr>
          <w:lang w:val="en-GB"/>
        </w:rPr>
      </w:pPr>
      <w:r w:rsidRPr="00F207B4">
        <w:rPr>
          <w:lang w:val="en-GB"/>
        </w:rPr>
        <w:t xml:space="preserve">The results highlight that system performance is primarily governed by </w:t>
      </w:r>
      <w:r w:rsidR="00272512" w:rsidRPr="00F207B4">
        <w:rPr>
          <w:lang w:val="en-GB"/>
        </w:rPr>
        <w:t>heat</w:t>
      </w:r>
      <w:r w:rsidRPr="00F207B4">
        <w:rPr>
          <w:lang w:val="en-GB"/>
        </w:rPr>
        <w:t xml:space="preserve"> losses to the surrounding soil and </w:t>
      </w:r>
      <w:r w:rsidR="00272512" w:rsidRPr="00F207B4">
        <w:rPr>
          <w:lang w:val="en-GB"/>
        </w:rPr>
        <w:t xml:space="preserve">the </w:t>
      </w:r>
      <w:r w:rsidRPr="00F207B4">
        <w:rPr>
          <w:lang w:val="en-GB"/>
        </w:rPr>
        <w:t>insulation layers</w:t>
      </w:r>
      <w:r w:rsidR="00272512" w:rsidRPr="00F207B4">
        <w:rPr>
          <w:lang w:val="en-GB"/>
        </w:rPr>
        <w:t>. The</w:t>
      </w:r>
      <w:r w:rsidRPr="00F207B4">
        <w:rPr>
          <w:lang w:val="en-GB"/>
        </w:rPr>
        <w:t xml:space="preserve"> hydraulic parameters have a secondary influence. Sensitivity analyses consistently identified insulation properties (type and thickness) and ground cover thickness as the dominant parameters </w:t>
      </w:r>
      <w:r w:rsidR="00272512" w:rsidRPr="00F207B4">
        <w:rPr>
          <w:lang w:val="en-GB"/>
        </w:rPr>
        <w:t>in</w:t>
      </w:r>
      <w:r w:rsidRPr="00F207B4">
        <w:rPr>
          <w:lang w:val="en-GB"/>
        </w:rPr>
        <w:t xml:space="preserve"> all scenarios, with </w:t>
      </w:r>
      <w:r w:rsidR="00272512" w:rsidRPr="00F207B4">
        <w:rPr>
          <w:lang w:val="en-GB"/>
        </w:rPr>
        <w:t xml:space="preserve">both the Morris and </w:t>
      </w:r>
      <w:proofErr w:type="spellStart"/>
      <w:r w:rsidR="00272512" w:rsidRPr="00F207B4">
        <w:rPr>
          <w:lang w:val="en-GB"/>
        </w:rPr>
        <w:t>Sobol</w:t>
      </w:r>
      <w:proofErr w:type="spellEnd"/>
      <w:r w:rsidR="00272512" w:rsidRPr="00F207B4">
        <w:rPr>
          <w:lang w:val="en-GB"/>
        </w:rPr>
        <w:t xml:space="preserve"> methods revealing significant</w:t>
      </w:r>
      <w:r w:rsidRPr="00F207B4">
        <w:rPr>
          <w:lang w:val="en-GB"/>
        </w:rPr>
        <w:t xml:space="preserve"> non-linear effects and interaction</w:t>
      </w:r>
      <w:r w:rsidR="00272512" w:rsidRPr="00F207B4">
        <w:rPr>
          <w:lang w:val="en-GB"/>
        </w:rPr>
        <w:t>s</w:t>
      </w:r>
      <w:r w:rsidRPr="00F207B4">
        <w:rPr>
          <w:lang w:val="en-GB"/>
        </w:rPr>
        <w:t>. Based on the simulation results, several design and operation guidelines are proposed</w:t>
      </w:r>
      <w:r w:rsidR="009653B6" w:rsidRPr="00F207B4">
        <w:rPr>
          <w:lang w:val="en-GB"/>
        </w:rPr>
        <w:t>:</w:t>
      </w:r>
    </w:p>
    <w:p w14:paraId="354D2296" w14:textId="568E7840" w:rsidR="009653B6" w:rsidRPr="00F207B4" w:rsidRDefault="009653B6" w:rsidP="009653B6">
      <w:pPr>
        <w:pStyle w:val="SWCText"/>
        <w:numPr>
          <w:ilvl w:val="0"/>
          <w:numId w:val="31"/>
        </w:numPr>
        <w:rPr>
          <w:lang w:val="en-GB"/>
        </w:rPr>
      </w:pPr>
      <w:r w:rsidRPr="00F207B4">
        <w:rPr>
          <w:b/>
          <w:lang w:val="en-GB"/>
        </w:rPr>
        <w:t>Internal diameter</w:t>
      </w:r>
      <w:r w:rsidRPr="00F207B4">
        <w:rPr>
          <w:lang w:val="en-GB"/>
        </w:rPr>
        <w:t>: maximised to minimise pressure losses</w:t>
      </w:r>
      <w:r w:rsidR="00273811" w:rsidRPr="00F207B4">
        <w:rPr>
          <w:lang w:val="en-GB"/>
        </w:rPr>
        <w:t xml:space="preserve"> without affecting thermal performance</w:t>
      </w:r>
      <w:r w:rsidRPr="00F207B4">
        <w:rPr>
          <w:lang w:val="en-GB"/>
        </w:rPr>
        <w:t>,</w:t>
      </w:r>
    </w:p>
    <w:p w14:paraId="6B349C1F" w14:textId="7CB48AF1" w:rsidR="009653B6" w:rsidRPr="00F207B4" w:rsidRDefault="009653B6" w:rsidP="009653B6">
      <w:pPr>
        <w:pStyle w:val="SWCText"/>
        <w:numPr>
          <w:ilvl w:val="0"/>
          <w:numId w:val="31"/>
        </w:numPr>
        <w:rPr>
          <w:lang w:val="en-GB"/>
        </w:rPr>
      </w:pPr>
      <w:r w:rsidRPr="00F207B4">
        <w:rPr>
          <w:b/>
          <w:lang w:val="en-GB"/>
        </w:rPr>
        <w:t>Spacing between tubes</w:t>
      </w:r>
      <w:r w:rsidRPr="00F207B4">
        <w:rPr>
          <w:lang w:val="en-GB"/>
        </w:rPr>
        <w:t xml:space="preserve">: </w:t>
      </w:r>
      <w:r w:rsidR="00273811" w:rsidRPr="00F207B4">
        <w:rPr>
          <w:lang w:val="en-GB"/>
        </w:rPr>
        <w:t xml:space="preserve">carefully optimised to balance thermal interactions between the tubes and compactness constraints </w:t>
      </w:r>
      <w:r w:rsidRPr="00F207B4">
        <w:rPr>
          <w:lang w:val="en-GB"/>
        </w:rPr>
        <w:t>(0.8, 0.4, 0.3 and 0.22 m for 2, 3, 4 and 5 tubes),</w:t>
      </w:r>
    </w:p>
    <w:p w14:paraId="5C5643FA" w14:textId="3F36FB62" w:rsidR="009653B6" w:rsidRPr="00F207B4" w:rsidRDefault="009653B6" w:rsidP="009653B6">
      <w:pPr>
        <w:pStyle w:val="SWCText"/>
        <w:numPr>
          <w:ilvl w:val="0"/>
          <w:numId w:val="31"/>
        </w:numPr>
        <w:rPr>
          <w:lang w:val="en-GB"/>
        </w:rPr>
      </w:pPr>
      <w:r w:rsidRPr="00F207B4">
        <w:rPr>
          <w:b/>
          <w:lang w:val="en-GB"/>
        </w:rPr>
        <w:t xml:space="preserve">Soil </w:t>
      </w:r>
      <w:r w:rsidR="00C135BB" w:rsidRPr="00F207B4">
        <w:rPr>
          <w:b/>
          <w:lang w:val="en-GB"/>
        </w:rPr>
        <w:t>thickness</w:t>
      </w:r>
      <w:r w:rsidRPr="00F207B4">
        <w:rPr>
          <w:b/>
          <w:lang w:val="en-GB"/>
        </w:rPr>
        <w:t xml:space="preserve"> above the HUTES</w:t>
      </w:r>
      <w:r w:rsidRPr="00F207B4">
        <w:rPr>
          <w:lang w:val="en-GB"/>
        </w:rPr>
        <w:t xml:space="preserve">: 0.25 to 0.3 m </w:t>
      </w:r>
      <w:r w:rsidR="00273811" w:rsidRPr="00F207B4">
        <w:rPr>
          <w:lang w:val="en-GB"/>
        </w:rPr>
        <w:t xml:space="preserve">recommended </w:t>
      </w:r>
      <w:r w:rsidRPr="00F207B4">
        <w:rPr>
          <w:lang w:val="en-GB"/>
        </w:rPr>
        <w:t>to balance heat transfer whilst limiting losses to the surface,</w:t>
      </w:r>
    </w:p>
    <w:p w14:paraId="747AAB41" w14:textId="08649EEF" w:rsidR="009653B6" w:rsidRPr="00F207B4" w:rsidRDefault="009653B6" w:rsidP="009653B6">
      <w:pPr>
        <w:pStyle w:val="SWCText"/>
        <w:numPr>
          <w:ilvl w:val="0"/>
          <w:numId w:val="31"/>
        </w:numPr>
        <w:rPr>
          <w:lang w:val="en-GB"/>
        </w:rPr>
      </w:pPr>
      <w:r w:rsidRPr="00F207B4">
        <w:rPr>
          <w:b/>
          <w:lang w:val="en-GB"/>
        </w:rPr>
        <w:t>Insulation thickness</w:t>
      </w:r>
      <w:r w:rsidRPr="00F207B4">
        <w:rPr>
          <w:lang w:val="en-GB"/>
        </w:rPr>
        <w:t xml:space="preserve">: </w:t>
      </w:r>
      <w:r w:rsidR="00273811" w:rsidRPr="00F207B4">
        <w:rPr>
          <w:lang w:val="en-GB"/>
        </w:rPr>
        <w:t xml:space="preserve">varies depending on configuration, ranging from </w:t>
      </w:r>
      <w:r w:rsidRPr="00F207B4">
        <w:rPr>
          <w:lang w:val="en-GB"/>
        </w:rPr>
        <w:t>0.18 m for a single pipe</w:t>
      </w:r>
      <w:r w:rsidR="00273811" w:rsidRPr="00F207B4">
        <w:rPr>
          <w:lang w:val="en-GB"/>
        </w:rPr>
        <w:t>, to</w:t>
      </w:r>
      <w:r w:rsidRPr="00F207B4">
        <w:rPr>
          <w:lang w:val="en-GB"/>
        </w:rPr>
        <w:t xml:space="preserve"> 0.05</w:t>
      </w:r>
      <w:r w:rsidR="00273811" w:rsidRPr="00F207B4">
        <w:rPr>
          <w:lang w:val="en-GB"/>
        </w:rPr>
        <w:t>-</w:t>
      </w:r>
      <w:r w:rsidRPr="00F207B4">
        <w:rPr>
          <w:lang w:val="en-GB"/>
        </w:rPr>
        <w:t>0.15 m for multi-pipe configurations to reduce heat loss</w:t>
      </w:r>
      <w:r w:rsidR="00273811" w:rsidRPr="00F207B4">
        <w:rPr>
          <w:lang w:val="en-GB"/>
        </w:rPr>
        <w:t>es</w:t>
      </w:r>
      <w:r w:rsidRPr="00F207B4">
        <w:rPr>
          <w:lang w:val="en-GB"/>
        </w:rPr>
        <w:t>,</w:t>
      </w:r>
    </w:p>
    <w:p w14:paraId="2108C9DC" w14:textId="7E166FE8" w:rsidR="009653B6" w:rsidRPr="00F207B4" w:rsidRDefault="009653B6" w:rsidP="009653B6">
      <w:pPr>
        <w:pStyle w:val="SWCText"/>
        <w:numPr>
          <w:ilvl w:val="0"/>
          <w:numId w:val="31"/>
        </w:numPr>
        <w:rPr>
          <w:lang w:val="en-GB"/>
        </w:rPr>
      </w:pPr>
      <w:r w:rsidRPr="00F207B4">
        <w:rPr>
          <w:b/>
          <w:lang w:val="en-GB"/>
        </w:rPr>
        <w:t>Recommended insulation materials</w:t>
      </w:r>
      <w:r w:rsidRPr="00F207B4">
        <w:rPr>
          <w:lang w:val="en-GB"/>
        </w:rPr>
        <w:t>: straw, extruded polystyrene and high-density polyurethane,</w:t>
      </w:r>
    </w:p>
    <w:p w14:paraId="6934D077" w14:textId="4B3D9DF7" w:rsidR="009653B6" w:rsidRPr="00F207B4" w:rsidRDefault="009653B6" w:rsidP="009653B6">
      <w:pPr>
        <w:pStyle w:val="SWCText"/>
        <w:numPr>
          <w:ilvl w:val="0"/>
          <w:numId w:val="31"/>
        </w:numPr>
        <w:rPr>
          <w:lang w:val="en-GB"/>
        </w:rPr>
      </w:pPr>
      <w:r w:rsidRPr="00F207B4">
        <w:rPr>
          <w:b/>
          <w:lang w:val="en-GB"/>
        </w:rPr>
        <w:t>Optimal</w:t>
      </w:r>
      <w:r w:rsidR="00273811" w:rsidRPr="00F207B4">
        <w:rPr>
          <w:b/>
          <w:lang w:val="en-GB"/>
        </w:rPr>
        <w:t xml:space="preserve"> inlet</w:t>
      </w:r>
      <w:r w:rsidRPr="00F207B4">
        <w:rPr>
          <w:b/>
          <w:lang w:val="en-GB"/>
        </w:rPr>
        <w:t xml:space="preserve"> temperatures</w:t>
      </w:r>
      <w:r w:rsidRPr="00F207B4">
        <w:rPr>
          <w:lang w:val="en-GB"/>
        </w:rPr>
        <w:t>: 90°C for charg</w:t>
      </w:r>
      <w:r w:rsidR="008A4E20" w:rsidRPr="00F207B4">
        <w:rPr>
          <w:lang w:val="en-GB"/>
        </w:rPr>
        <w:t>e</w:t>
      </w:r>
      <w:r w:rsidRPr="00F207B4">
        <w:rPr>
          <w:lang w:val="en-GB"/>
        </w:rPr>
        <w:t>; 17–22°C for discharg</w:t>
      </w:r>
      <w:r w:rsidR="008A4E20" w:rsidRPr="00F207B4">
        <w:rPr>
          <w:lang w:val="en-GB"/>
        </w:rPr>
        <w:t>e</w:t>
      </w:r>
      <w:r w:rsidR="00273811" w:rsidRPr="00F207B4">
        <w:rPr>
          <w:lang w:val="en-GB"/>
        </w:rPr>
        <w:t>, although these values remain dependent on boundary conditions and operational strategy</w:t>
      </w:r>
      <w:r w:rsidRPr="00F207B4">
        <w:rPr>
          <w:lang w:val="en-GB"/>
        </w:rPr>
        <w:t>.</w:t>
      </w:r>
    </w:p>
    <w:p w14:paraId="64EF32C3" w14:textId="1F84EC72" w:rsidR="00273811" w:rsidRPr="00F207B4" w:rsidRDefault="00273811" w:rsidP="009653B6">
      <w:pPr>
        <w:pStyle w:val="SWCText"/>
        <w:rPr>
          <w:lang w:val="en-GB"/>
        </w:rPr>
      </w:pPr>
      <w:r w:rsidRPr="00F207B4">
        <w:rPr>
          <w:lang w:val="en-GB"/>
        </w:rPr>
        <w:t>Overall, this work provides a robust modelling and sensitivity analysis framework for the design of HUTES and demonstrates that improving thermal insulation is the most effective lever for enhancing seasonal HUTES efficiency compared to hydraulic optimisation. These findings offer a solid basis for future experimental validation and system-scale optimisation of HUTES.</w:t>
      </w:r>
    </w:p>
    <w:p w14:paraId="6C842A91" w14:textId="4BC42806" w:rsidR="003869E8" w:rsidRPr="00F207B4" w:rsidRDefault="00D32EF0" w:rsidP="00490F10">
      <w:pPr>
        <w:pStyle w:val="SWCHeading1"/>
        <w:rPr>
          <w:lang w:val="en-GB"/>
        </w:rPr>
      </w:pPr>
      <w:r w:rsidRPr="00F207B4">
        <w:rPr>
          <w:lang w:val="en-GB"/>
        </w:rPr>
        <w:lastRenderedPageBreak/>
        <w:t>References</w:t>
      </w:r>
      <w:r w:rsidR="004E5D79" w:rsidRPr="00F207B4">
        <w:rPr>
          <w:lang w:val="en-GB"/>
        </w:rPr>
        <w:t xml:space="preserve"> </w:t>
      </w:r>
    </w:p>
    <w:p w14:paraId="1AB5285D" w14:textId="77777777" w:rsidR="00271ACA" w:rsidRPr="00271ACA" w:rsidRDefault="00EE5327" w:rsidP="00271ACA">
      <w:pPr>
        <w:pStyle w:val="Bibliographie"/>
      </w:pPr>
      <w:r w:rsidRPr="00F207B4">
        <w:rPr>
          <w:lang w:val="en-GB"/>
        </w:rPr>
        <w:fldChar w:fldCharType="begin"/>
      </w:r>
      <w:r w:rsidR="00271ACA">
        <w:rPr>
          <w:lang w:val="en-GB"/>
        </w:rPr>
        <w:instrText xml:space="preserve"> ADDIN ZOTERO_BIBL {"uncited":[],"omitted":[],"custom":[]} CSL_BIBLIOGRAPHY </w:instrText>
      </w:r>
      <w:r w:rsidRPr="00F207B4">
        <w:rPr>
          <w:lang w:val="en-GB"/>
        </w:rPr>
        <w:fldChar w:fldCharType="separate"/>
      </w:r>
      <w:proofErr w:type="spellStart"/>
      <w:r w:rsidR="00271ACA" w:rsidRPr="00271ACA">
        <w:t>Gambade</w:t>
      </w:r>
      <w:proofErr w:type="spellEnd"/>
      <w:r w:rsidR="00271ACA" w:rsidRPr="00271ACA">
        <w:t xml:space="preserve">, J., Noël, H., </w:t>
      </w:r>
      <w:proofErr w:type="spellStart"/>
      <w:r w:rsidR="00271ACA" w:rsidRPr="00271ACA">
        <w:t>Glouannec</w:t>
      </w:r>
      <w:proofErr w:type="spellEnd"/>
      <w:r w:rsidR="00271ACA" w:rsidRPr="00271ACA">
        <w:t xml:space="preserve">, P., </w:t>
      </w:r>
      <w:proofErr w:type="spellStart"/>
      <w:r w:rsidR="00271ACA" w:rsidRPr="00271ACA">
        <w:t>Magueresse</w:t>
      </w:r>
      <w:proofErr w:type="spellEnd"/>
      <w:r w:rsidR="00271ACA" w:rsidRPr="00271ACA">
        <w:t xml:space="preserve">, A., 2022. In-situ </w:t>
      </w:r>
      <w:proofErr w:type="spellStart"/>
      <w:r w:rsidR="00271ACA" w:rsidRPr="00271ACA">
        <w:t>assessment</w:t>
      </w:r>
      <w:proofErr w:type="spellEnd"/>
      <w:r w:rsidR="00271ACA" w:rsidRPr="00271ACA">
        <w:t xml:space="preserve"> </w:t>
      </w:r>
      <w:proofErr w:type="spellStart"/>
      <w:r w:rsidR="00271ACA" w:rsidRPr="00271ACA">
        <w:t>of</w:t>
      </w:r>
      <w:proofErr w:type="spellEnd"/>
      <w:r w:rsidR="00271ACA" w:rsidRPr="00271ACA">
        <w:t xml:space="preserve"> a solar </w:t>
      </w:r>
      <w:proofErr w:type="spellStart"/>
      <w:r w:rsidR="00271ACA" w:rsidRPr="00271ACA">
        <w:t>vacuum</w:t>
      </w:r>
      <w:proofErr w:type="spellEnd"/>
      <w:r w:rsidR="00271ACA" w:rsidRPr="00271ACA">
        <w:t xml:space="preserve"> </w:t>
      </w:r>
      <w:proofErr w:type="spellStart"/>
      <w:r w:rsidR="00271ACA" w:rsidRPr="00271ACA">
        <w:t>tube</w:t>
      </w:r>
      <w:proofErr w:type="spellEnd"/>
      <w:r w:rsidR="00271ACA" w:rsidRPr="00271ACA">
        <w:t xml:space="preserve"> </w:t>
      </w:r>
      <w:proofErr w:type="spellStart"/>
      <w:r w:rsidR="00271ACA" w:rsidRPr="00271ACA">
        <w:t>collectors</w:t>
      </w:r>
      <w:proofErr w:type="spellEnd"/>
      <w:r w:rsidR="00271ACA" w:rsidRPr="00271ACA">
        <w:t xml:space="preserve"> </w:t>
      </w:r>
      <w:proofErr w:type="spellStart"/>
      <w:r w:rsidR="00271ACA" w:rsidRPr="00271ACA">
        <w:t>installation</w:t>
      </w:r>
      <w:proofErr w:type="spellEnd"/>
      <w:r w:rsidR="00271ACA" w:rsidRPr="00271ACA">
        <w:t xml:space="preserve"> </w:t>
      </w:r>
      <w:proofErr w:type="spellStart"/>
      <w:r w:rsidR="00271ACA" w:rsidRPr="00271ACA">
        <w:t>dedicated</w:t>
      </w:r>
      <w:proofErr w:type="spellEnd"/>
      <w:r w:rsidR="00271ACA" w:rsidRPr="00271ACA">
        <w:t xml:space="preserve"> </w:t>
      </w:r>
      <w:proofErr w:type="spellStart"/>
      <w:r w:rsidR="00271ACA" w:rsidRPr="00271ACA">
        <w:t>to</w:t>
      </w:r>
      <w:proofErr w:type="spellEnd"/>
      <w:r w:rsidR="00271ACA" w:rsidRPr="00271ACA">
        <w:t xml:space="preserve"> </w:t>
      </w:r>
      <w:proofErr w:type="spellStart"/>
      <w:r w:rsidR="00271ACA" w:rsidRPr="00271ACA">
        <w:t>hot</w:t>
      </w:r>
      <w:proofErr w:type="spellEnd"/>
      <w:r w:rsidR="00271ACA" w:rsidRPr="00271ACA">
        <w:t xml:space="preserve"> </w:t>
      </w:r>
      <w:proofErr w:type="spellStart"/>
      <w:r w:rsidR="00271ACA" w:rsidRPr="00271ACA">
        <w:t>water</w:t>
      </w:r>
      <w:proofErr w:type="spellEnd"/>
      <w:r w:rsidR="00271ACA" w:rsidRPr="00271ACA">
        <w:t xml:space="preserve"> </w:t>
      </w:r>
      <w:proofErr w:type="spellStart"/>
      <w:r w:rsidR="00271ACA" w:rsidRPr="00271ACA">
        <w:t>production</w:t>
      </w:r>
      <w:proofErr w:type="spellEnd"/>
      <w:r w:rsidR="00271ACA" w:rsidRPr="00271ACA">
        <w:t xml:space="preserve">. Energy Rep., 2022 The 5th International Conference on </w:t>
      </w:r>
      <w:proofErr w:type="spellStart"/>
      <w:r w:rsidR="00271ACA" w:rsidRPr="00271ACA">
        <w:t>Renewable</w:t>
      </w:r>
      <w:proofErr w:type="spellEnd"/>
      <w:r w:rsidR="00271ACA" w:rsidRPr="00271ACA">
        <w:t xml:space="preserve"> Energy and Environment Engineering 8, 605–615. https://doi.org/10.1016/j.egyr.2022.10.160</w:t>
      </w:r>
    </w:p>
    <w:p w14:paraId="32DA31B5" w14:textId="77777777" w:rsidR="00271ACA" w:rsidRPr="00271ACA" w:rsidRDefault="00271ACA" w:rsidP="00271ACA">
      <w:pPr>
        <w:pStyle w:val="Bibliographie"/>
      </w:pPr>
      <w:r w:rsidRPr="00271ACA">
        <w:t xml:space="preserve">Garcia Sanchez, D., </w:t>
      </w:r>
      <w:proofErr w:type="spellStart"/>
      <w:r w:rsidRPr="00271ACA">
        <w:t>Lacarrière</w:t>
      </w:r>
      <w:proofErr w:type="spellEnd"/>
      <w:r w:rsidRPr="00271ACA">
        <w:t xml:space="preserve">, B., </w:t>
      </w:r>
      <w:proofErr w:type="spellStart"/>
      <w:r w:rsidRPr="00271ACA">
        <w:t>Musy</w:t>
      </w:r>
      <w:proofErr w:type="spellEnd"/>
      <w:r w:rsidRPr="00271ACA">
        <w:t xml:space="preserve">, M., Bourges, B., 2014. </w:t>
      </w:r>
      <w:proofErr w:type="spellStart"/>
      <w:r w:rsidRPr="00271ACA">
        <w:t>Application</w:t>
      </w:r>
      <w:proofErr w:type="spellEnd"/>
      <w:r w:rsidRPr="00271ACA">
        <w:t xml:space="preserve"> </w:t>
      </w:r>
      <w:proofErr w:type="spellStart"/>
      <w:r w:rsidRPr="00271ACA">
        <w:t>of</w:t>
      </w:r>
      <w:proofErr w:type="spellEnd"/>
      <w:r w:rsidRPr="00271ACA">
        <w:t xml:space="preserve"> </w:t>
      </w:r>
      <w:proofErr w:type="spellStart"/>
      <w:r w:rsidRPr="00271ACA">
        <w:t>sensitivity</w:t>
      </w:r>
      <w:proofErr w:type="spellEnd"/>
      <w:r w:rsidRPr="00271ACA">
        <w:t xml:space="preserve"> </w:t>
      </w:r>
      <w:proofErr w:type="spellStart"/>
      <w:r w:rsidRPr="00271ACA">
        <w:t>analysis</w:t>
      </w:r>
      <w:proofErr w:type="spellEnd"/>
      <w:r w:rsidRPr="00271ACA">
        <w:t xml:space="preserve"> in </w:t>
      </w:r>
      <w:proofErr w:type="spellStart"/>
      <w:r w:rsidRPr="00271ACA">
        <w:t>building</w:t>
      </w:r>
      <w:proofErr w:type="spellEnd"/>
      <w:r w:rsidRPr="00271ACA">
        <w:t xml:space="preserve"> </w:t>
      </w:r>
      <w:proofErr w:type="spellStart"/>
      <w:r w:rsidRPr="00271ACA">
        <w:t>energy</w:t>
      </w:r>
      <w:proofErr w:type="spellEnd"/>
      <w:r w:rsidRPr="00271ACA">
        <w:t xml:space="preserve"> </w:t>
      </w:r>
      <w:proofErr w:type="spellStart"/>
      <w:r w:rsidRPr="00271ACA">
        <w:t>simulations</w:t>
      </w:r>
      <w:proofErr w:type="spellEnd"/>
      <w:r w:rsidRPr="00271ACA">
        <w:t xml:space="preserve">: </w:t>
      </w:r>
      <w:proofErr w:type="spellStart"/>
      <w:r w:rsidRPr="00271ACA">
        <w:t>Combining</w:t>
      </w:r>
      <w:proofErr w:type="spellEnd"/>
      <w:r w:rsidRPr="00271ACA">
        <w:t xml:space="preserve"> first- and </w:t>
      </w:r>
      <w:proofErr w:type="spellStart"/>
      <w:r w:rsidRPr="00271ACA">
        <w:t>second</w:t>
      </w:r>
      <w:proofErr w:type="spellEnd"/>
      <w:r w:rsidRPr="00271ACA">
        <w:t xml:space="preserve">-order </w:t>
      </w:r>
      <w:proofErr w:type="spellStart"/>
      <w:r w:rsidRPr="00271ACA">
        <w:t>elementary</w:t>
      </w:r>
      <w:proofErr w:type="spellEnd"/>
      <w:r w:rsidRPr="00271ACA">
        <w:t xml:space="preserve"> </w:t>
      </w:r>
      <w:proofErr w:type="spellStart"/>
      <w:r w:rsidRPr="00271ACA">
        <w:t>effects</w:t>
      </w:r>
      <w:proofErr w:type="spellEnd"/>
      <w:r w:rsidRPr="00271ACA">
        <w:t xml:space="preserve"> </w:t>
      </w:r>
      <w:proofErr w:type="spellStart"/>
      <w:r w:rsidRPr="00271ACA">
        <w:t>methods</w:t>
      </w:r>
      <w:proofErr w:type="spellEnd"/>
      <w:r w:rsidRPr="00271ACA">
        <w:t xml:space="preserve">. Energy </w:t>
      </w:r>
      <w:proofErr w:type="spellStart"/>
      <w:r w:rsidRPr="00271ACA">
        <w:t>Build</w:t>
      </w:r>
      <w:proofErr w:type="spellEnd"/>
      <w:r w:rsidRPr="00271ACA">
        <w:t>. 68, 741–750. https://doi.org/10.1016/j.enbuild.2012.08.048</w:t>
      </w:r>
    </w:p>
    <w:p w14:paraId="77B1AFE3" w14:textId="77777777" w:rsidR="00271ACA" w:rsidRPr="00271ACA" w:rsidRDefault="00271ACA" w:rsidP="00271ACA">
      <w:pPr>
        <w:pStyle w:val="Bibliographie"/>
      </w:pPr>
      <w:proofErr w:type="spellStart"/>
      <w:r w:rsidRPr="00271ACA">
        <w:t>Iwanaga</w:t>
      </w:r>
      <w:proofErr w:type="spellEnd"/>
      <w:r w:rsidRPr="00271ACA">
        <w:t xml:space="preserve">, T., Usher, W., Herman, J., 2022. </w:t>
      </w:r>
      <w:proofErr w:type="spellStart"/>
      <w:r w:rsidRPr="00271ACA">
        <w:t>Toward</w:t>
      </w:r>
      <w:proofErr w:type="spellEnd"/>
      <w:r w:rsidRPr="00271ACA">
        <w:t xml:space="preserve"> </w:t>
      </w:r>
      <w:proofErr w:type="spellStart"/>
      <w:r w:rsidRPr="00271ACA">
        <w:t>SALib</w:t>
      </w:r>
      <w:proofErr w:type="spellEnd"/>
      <w:r w:rsidRPr="00271ACA">
        <w:t xml:space="preserve"> 2.0: </w:t>
      </w:r>
      <w:proofErr w:type="spellStart"/>
      <w:r w:rsidRPr="00271ACA">
        <w:t>Advancing</w:t>
      </w:r>
      <w:proofErr w:type="spellEnd"/>
      <w:r w:rsidRPr="00271ACA">
        <w:t xml:space="preserve"> </w:t>
      </w:r>
      <w:proofErr w:type="spellStart"/>
      <w:r w:rsidRPr="00271ACA">
        <w:t>the</w:t>
      </w:r>
      <w:proofErr w:type="spellEnd"/>
      <w:r w:rsidRPr="00271ACA">
        <w:t xml:space="preserve"> </w:t>
      </w:r>
      <w:proofErr w:type="spellStart"/>
      <w:r w:rsidRPr="00271ACA">
        <w:t>accessibility</w:t>
      </w:r>
      <w:proofErr w:type="spellEnd"/>
      <w:r w:rsidRPr="00271ACA">
        <w:t xml:space="preserve"> and </w:t>
      </w:r>
      <w:proofErr w:type="spellStart"/>
      <w:r w:rsidRPr="00271ACA">
        <w:t>interpretability</w:t>
      </w:r>
      <w:proofErr w:type="spellEnd"/>
      <w:r w:rsidRPr="00271ACA">
        <w:t xml:space="preserve"> </w:t>
      </w:r>
      <w:proofErr w:type="spellStart"/>
      <w:r w:rsidRPr="00271ACA">
        <w:t>of</w:t>
      </w:r>
      <w:proofErr w:type="spellEnd"/>
      <w:r w:rsidRPr="00271ACA">
        <w:t xml:space="preserve"> global </w:t>
      </w:r>
      <w:proofErr w:type="spellStart"/>
      <w:r w:rsidRPr="00271ACA">
        <w:t>sensitivity</w:t>
      </w:r>
      <w:proofErr w:type="spellEnd"/>
      <w:r w:rsidRPr="00271ACA">
        <w:t xml:space="preserve"> </w:t>
      </w:r>
      <w:proofErr w:type="spellStart"/>
      <w:r w:rsidRPr="00271ACA">
        <w:t>analyses</w:t>
      </w:r>
      <w:proofErr w:type="spellEnd"/>
      <w:r w:rsidRPr="00271ACA">
        <w:t xml:space="preserve">. </w:t>
      </w:r>
      <w:proofErr w:type="spellStart"/>
      <w:r w:rsidRPr="00271ACA">
        <w:t>Socio-Environ</w:t>
      </w:r>
      <w:proofErr w:type="spellEnd"/>
      <w:r w:rsidRPr="00271ACA">
        <w:t>. Syst. Model. 4, 18155–18155. https://doi.org/10.18174/sesmo.18155</w:t>
      </w:r>
    </w:p>
    <w:p w14:paraId="76B58E13" w14:textId="77777777" w:rsidR="00271ACA" w:rsidRPr="00271ACA" w:rsidRDefault="00271ACA" w:rsidP="00271ACA">
      <w:pPr>
        <w:pStyle w:val="Bibliographie"/>
      </w:pPr>
      <w:proofErr w:type="spellStart"/>
      <w:r w:rsidRPr="00271ACA">
        <w:t>Kalogirou</w:t>
      </w:r>
      <w:proofErr w:type="spellEnd"/>
      <w:r w:rsidRPr="00271ACA">
        <w:t xml:space="preserve">, S., 2009. Solar Energy Engineering: </w:t>
      </w:r>
      <w:proofErr w:type="spellStart"/>
      <w:r w:rsidRPr="00271ACA">
        <w:t>Processes</w:t>
      </w:r>
      <w:proofErr w:type="spellEnd"/>
      <w:r w:rsidRPr="00271ACA">
        <w:t xml:space="preserve"> and Systems: Second Edition. Sol. Energy Eng. </w:t>
      </w:r>
      <w:proofErr w:type="spellStart"/>
      <w:r w:rsidRPr="00271ACA">
        <w:t>Process</w:t>
      </w:r>
      <w:proofErr w:type="spellEnd"/>
      <w:r w:rsidRPr="00271ACA">
        <w:t>. Syst. Second Ed.</w:t>
      </w:r>
    </w:p>
    <w:p w14:paraId="2E185D6C" w14:textId="77777777" w:rsidR="00271ACA" w:rsidRPr="00271ACA" w:rsidRDefault="00271ACA" w:rsidP="00271ACA">
      <w:pPr>
        <w:pStyle w:val="Bibliographie"/>
      </w:pPr>
      <w:r w:rsidRPr="00271ACA">
        <w:t xml:space="preserve">Le Roux, D., Noël, H., Fuentes, A., </w:t>
      </w:r>
      <w:proofErr w:type="spellStart"/>
      <w:r w:rsidRPr="00271ACA">
        <w:t>Colinart</w:t>
      </w:r>
      <w:proofErr w:type="spellEnd"/>
      <w:r w:rsidRPr="00271ACA">
        <w:t xml:space="preserve">, T., 2026. Review on horizontal </w:t>
      </w:r>
      <w:proofErr w:type="spellStart"/>
      <w:r w:rsidRPr="00271ACA">
        <w:t>underground</w:t>
      </w:r>
      <w:proofErr w:type="spellEnd"/>
      <w:r w:rsidRPr="00271ACA">
        <w:t xml:space="preserve"> thermal </w:t>
      </w:r>
      <w:proofErr w:type="spellStart"/>
      <w:r w:rsidRPr="00271ACA">
        <w:t>energy</w:t>
      </w:r>
      <w:proofErr w:type="spellEnd"/>
      <w:r w:rsidRPr="00271ACA">
        <w:t xml:space="preserve"> </w:t>
      </w:r>
      <w:proofErr w:type="spellStart"/>
      <w:r w:rsidRPr="00271ACA">
        <w:t>storage</w:t>
      </w:r>
      <w:proofErr w:type="spellEnd"/>
      <w:r w:rsidRPr="00271ACA">
        <w:t xml:space="preserve"> (HUTES). J. Energy Storage 147, 119927. https://doi.org/10.1016/j.est.2025.119927</w:t>
      </w:r>
    </w:p>
    <w:p w14:paraId="77C4CF13" w14:textId="77777777" w:rsidR="00271ACA" w:rsidRPr="00271ACA" w:rsidRDefault="00271ACA" w:rsidP="00271ACA">
      <w:pPr>
        <w:pStyle w:val="Bibliographie"/>
      </w:pPr>
      <w:r w:rsidRPr="00271ACA">
        <w:t xml:space="preserve">Li, Z., Ma, X., Zhao, Y., Zheng, H., 2018. Study on </w:t>
      </w:r>
      <w:proofErr w:type="spellStart"/>
      <w:r w:rsidRPr="00271ACA">
        <w:t>the</w:t>
      </w:r>
      <w:proofErr w:type="spellEnd"/>
      <w:r w:rsidRPr="00271ACA">
        <w:t xml:space="preserve"> Performance </w:t>
      </w:r>
      <w:proofErr w:type="spellStart"/>
      <w:r w:rsidRPr="00271ACA">
        <w:t>of</w:t>
      </w:r>
      <w:proofErr w:type="spellEnd"/>
      <w:r w:rsidRPr="00271ACA">
        <w:t xml:space="preserve"> a </w:t>
      </w:r>
      <w:proofErr w:type="spellStart"/>
      <w:r w:rsidRPr="00271ACA">
        <w:t>Curved</w:t>
      </w:r>
      <w:proofErr w:type="spellEnd"/>
      <w:r w:rsidRPr="00271ACA">
        <w:t xml:space="preserve"> Fresnel Solar </w:t>
      </w:r>
      <w:proofErr w:type="spellStart"/>
      <w:r w:rsidRPr="00271ACA">
        <w:t>Concentrated</w:t>
      </w:r>
      <w:proofErr w:type="spellEnd"/>
      <w:r w:rsidRPr="00271ACA">
        <w:t xml:space="preserve"> System </w:t>
      </w:r>
      <w:proofErr w:type="spellStart"/>
      <w:r w:rsidRPr="00271ACA">
        <w:t>With</w:t>
      </w:r>
      <w:proofErr w:type="spellEnd"/>
      <w:r w:rsidRPr="00271ACA">
        <w:t xml:space="preserve"> </w:t>
      </w:r>
      <w:proofErr w:type="spellStart"/>
      <w:r w:rsidRPr="00271ACA">
        <w:t>Seasonal</w:t>
      </w:r>
      <w:proofErr w:type="spellEnd"/>
      <w:r w:rsidRPr="00271ACA">
        <w:t xml:space="preserve"> Underground Heat Storage </w:t>
      </w:r>
      <w:proofErr w:type="spellStart"/>
      <w:r w:rsidRPr="00271ACA">
        <w:t>for</w:t>
      </w:r>
      <w:proofErr w:type="spellEnd"/>
      <w:r w:rsidRPr="00271ACA">
        <w:t xml:space="preserve"> </w:t>
      </w:r>
      <w:proofErr w:type="spellStart"/>
      <w:r w:rsidRPr="00271ACA">
        <w:t>the</w:t>
      </w:r>
      <w:proofErr w:type="spellEnd"/>
      <w:r w:rsidRPr="00271ACA">
        <w:t xml:space="preserve"> </w:t>
      </w:r>
      <w:proofErr w:type="spellStart"/>
      <w:r w:rsidRPr="00271ACA">
        <w:t>Greenhouse</w:t>
      </w:r>
      <w:proofErr w:type="spellEnd"/>
      <w:r w:rsidRPr="00271ACA">
        <w:t xml:space="preserve"> </w:t>
      </w:r>
      <w:proofErr w:type="spellStart"/>
      <w:r w:rsidRPr="00271ACA">
        <w:t>Application</w:t>
      </w:r>
      <w:proofErr w:type="spellEnd"/>
      <w:r w:rsidRPr="00271ACA">
        <w:t>. J. Sol. Energy Eng. 141. https://doi.org/10.1115/1.4040839</w:t>
      </w:r>
    </w:p>
    <w:p w14:paraId="5448F9BF" w14:textId="77777777" w:rsidR="00271ACA" w:rsidRPr="00271ACA" w:rsidRDefault="00271ACA" w:rsidP="00271ACA">
      <w:pPr>
        <w:pStyle w:val="Bibliographie"/>
      </w:pPr>
      <w:r w:rsidRPr="00271ACA">
        <w:t xml:space="preserve">Morris, M.D., 1991. </w:t>
      </w:r>
      <w:proofErr w:type="spellStart"/>
      <w:r w:rsidRPr="00271ACA">
        <w:t>Factorial</w:t>
      </w:r>
      <w:proofErr w:type="spellEnd"/>
      <w:r w:rsidRPr="00271ACA">
        <w:t xml:space="preserve"> Sampling Plans </w:t>
      </w:r>
      <w:proofErr w:type="spellStart"/>
      <w:r w:rsidRPr="00271ACA">
        <w:t>for</w:t>
      </w:r>
      <w:proofErr w:type="spellEnd"/>
      <w:r w:rsidRPr="00271ACA">
        <w:t xml:space="preserve"> </w:t>
      </w:r>
      <w:proofErr w:type="spellStart"/>
      <w:r w:rsidRPr="00271ACA">
        <w:t>Preliminary</w:t>
      </w:r>
      <w:proofErr w:type="spellEnd"/>
      <w:r w:rsidRPr="00271ACA">
        <w:t xml:space="preserve"> Computational Experiments. </w:t>
      </w:r>
      <w:proofErr w:type="spellStart"/>
      <w:r w:rsidRPr="00271ACA">
        <w:t>Technometrics</w:t>
      </w:r>
      <w:proofErr w:type="spellEnd"/>
      <w:r w:rsidRPr="00271ACA">
        <w:t xml:space="preserve"> 33, 161–174. https://doi.org/10.1080/00401706.1991.10484804</w:t>
      </w:r>
    </w:p>
    <w:p w14:paraId="0EA1F952" w14:textId="77777777" w:rsidR="00271ACA" w:rsidRPr="00271ACA" w:rsidRDefault="00271ACA" w:rsidP="00271ACA">
      <w:pPr>
        <w:pStyle w:val="Bibliographie"/>
      </w:pPr>
      <w:proofErr w:type="spellStart"/>
      <w:r w:rsidRPr="00271ACA">
        <w:t>Nordell</w:t>
      </w:r>
      <w:proofErr w:type="spellEnd"/>
      <w:r w:rsidRPr="00271ACA">
        <w:t>, B., 2000. Large-</w:t>
      </w:r>
      <w:proofErr w:type="spellStart"/>
      <w:r w:rsidRPr="00271ACA">
        <w:t>scale</w:t>
      </w:r>
      <w:proofErr w:type="spellEnd"/>
      <w:r w:rsidRPr="00271ACA">
        <w:t xml:space="preserve"> Thermal Energy Storage.</w:t>
      </w:r>
    </w:p>
    <w:p w14:paraId="76E66599" w14:textId="77777777" w:rsidR="00271ACA" w:rsidRPr="00271ACA" w:rsidRDefault="00271ACA" w:rsidP="00271ACA">
      <w:pPr>
        <w:pStyle w:val="Bibliographie"/>
      </w:pPr>
      <w:r w:rsidRPr="00271ACA">
        <w:t xml:space="preserve">Rahman, M.M., Oni, A.O., </w:t>
      </w:r>
      <w:proofErr w:type="spellStart"/>
      <w:r w:rsidRPr="00271ACA">
        <w:t>Gemechu</w:t>
      </w:r>
      <w:proofErr w:type="spellEnd"/>
      <w:r w:rsidRPr="00271ACA">
        <w:t xml:space="preserve">, E., Kumar, A., 2020. Assessment </w:t>
      </w:r>
      <w:proofErr w:type="spellStart"/>
      <w:r w:rsidRPr="00271ACA">
        <w:t>of</w:t>
      </w:r>
      <w:proofErr w:type="spellEnd"/>
      <w:r w:rsidRPr="00271ACA">
        <w:t xml:space="preserve"> </w:t>
      </w:r>
      <w:proofErr w:type="spellStart"/>
      <w:r w:rsidRPr="00271ACA">
        <w:t>energy</w:t>
      </w:r>
      <w:proofErr w:type="spellEnd"/>
      <w:r w:rsidRPr="00271ACA">
        <w:t xml:space="preserve"> </w:t>
      </w:r>
      <w:proofErr w:type="spellStart"/>
      <w:r w:rsidRPr="00271ACA">
        <w:t>storage</w:t>
      </w:r>
      <w:proofErr w:type="spellEnd"/>
      <w:r w:rsidRPr="00271ACA">
        <w:t xml:space="preserve"> </w:t>
      </w:r>
      <w:proofErr w:type="spellStart"/>
      <w:r w:rsidRPr="00271ACA">
        <w:t>technologies</w:t>
      </w:r>
      <w:proofErr w:type="spellEnd"/>
      <w:r w:rsidRPr="00271ACA">
        <w:t xml:space="preserve">: A review. Energy </w:t>
      </w:r>
      <w:proofErr w:type="spellStart"/>
      <w:r w:rsidRPr="00271ACA">
        <w:t>Convers</w:t>
      </w:r>
      <w:proofErr w:type="spellEnd"/>
      <w:r w:rsidRPr="00271ACA">
        <w:t xml:space="preserve">. </w:t>
      </w:r>
      <w:proofErr w:type="spellStart"/>
      <w:r w:rsidRPr="00271ACA">
        <w:t>Manag</w:t>
      </w:r>
      <w:proofErr w:type="spellEnd"/>
      <w:r w:rsidRPr="00271ACA">
        <w:t>. 223, 113295. https://doi.org/10.1016/j.enconman.2020.113295</w:t>
      </w:r>
    </w:p>
    <w:p w14:paraId="7FD4A23A" w14:textId="77777777" w:rsidR="00271ACA" w:rsidRPr="00271ACA" w:rsidRDefault="00271ACA" w:rsidP="00271ACA">
      <w:pPr>
        <w:pStyle w:val="Bibliographie"/>
      </w:pPr>
      <w:proofErr w:type="spellStart"/>
      <w:r w:rsidRPr="00271ACA">
        <w:t>Saltelli</w:t>
      </w:r>
      <w:proofErr w:type="spellEnd"/>
      <w:r w:rsidRPr="00271ACA">
        <w:t xml:space="preserve">, A., 2002. Making </w:t>
      </w:r>
      <w:proofErr w:type="spellStart"/>
      <w:r w:rsidRPr="00271ACA">
        <w:t>best</w:t>
      </w:r>
      <w:proofErr w:type="spellEnd"/>
      <w:r w:rsidRPr="00271ACA">
        <w:t xml:space="preserve"> </w:t>
      </w:r>
      <w:proofErr w:type="spellStart"/>
      <w:r w:rsidRPr="00271ACA">
        <w:t>use</w:t>
      </w:r>
      <w:proofErr w:type="spellEnd"/>
      <w:r w:rsidRPr="00271ACA">
        <w:t xml:space="preserve"> </w:t>
      </w:r>
      <w:proofErr w:type="spellStart"/>
      <w:r w:rsidRPr="00271ACA">
        <w:t>of</w:t>
      </w:r>
      <w:proofErr w:type="spellEnd"/>
      <w:r w:rsidRPr="00271ACA">
        <w:t xml:space="preserve"> </w:t>
      </w:r>
      <w:proofErr w:type="spellStart"/>
      <w:r w:rsidRPr="00271ACA">
        <w:t>model</w:t>
      </w:r>
      <w:proofErr w:type="spellEnd"/>
      <w:r w:rsidRPr="00271ACA">
        <w:t xml:space="preserve"> </w:t>
      </w:r>
      <w:proofErr w:type="spellStart"/>
      <w:r w:rsidRPr="00271ACA">
        <w:t>evaluations</w:t>
      </w:r>
      <w:proofErr w:type="spellEnd"/>
      <w:r w:rsidRPr="00271ACA">
        <w:t xml:space="preserve"> </w:t>
      </w:r>
      <w:proofErr w:type="spellStart"/>
      <w:r w:rsidRPr="00271ACA">
        <w:t>to</w:t>
      </w:r>
      <w:proofErr w:type="spellEnd"/>
      <w:r w:rsidRPr="00271ACA">
        <w:t xml:space="preserve"> </w:t>
      </w:r>
      <w:proofErr w:type="spellStart"/>
      <w:r w:rsidRPr="00271ACA">
        <w:t>compute</w:t>
      </w:r>
      <w:proofErr w:type="spellEnd"/>
      <w:r w:rsidRPr="00271ACA">
        <w:t xml:space="preserve"> </w:t>
      </w:r>
      <w:proofErr w:type="spellStart"/>
      <w:r w:rsidRPr="00271ACA">
        <w:t>sensitivity</w:t>
      </w:r>
      <w:proofErr w:type="spellEnd"/>
      <w:r w:rsidRPr="00271ACA">
        <w:t xml:space="preserve"> </w:t>
      </w:r>
      <w:proofErr w:type="spellStart"/>
      <w:r w:rsidRPr="00271ACA">
        <w:t>indices</w:t>
      </w:r>
      <w:proofErr w:type="spellEnd"/>
      <w:r w:rsidRPr="00271ACA">
        <w:t xml:space="preserve">. </w:t>
      </w:r>
      <w:proofErr w:type="spellStart"/>
      <w:r w:rsidRPr="00271ACA">
        <w:t>Comput</w:t>
      </w:r>
      <w:proofErr w:type="spellEnd"/>
      <w:r w:rsidRPr="00271ACA">
        <w:t>. Phys. Commun. 145, 280–297. https://doi.org/10.1016/S0010-4655(02)00280-1</w:t>
      </w:r>
    </w:p>
    <w:p w14:paraId="1B6090D2" w14:textId="77777777" w:rsidR="00271ACA" w:rsidRPr="00271ACA" w:rsidRDefault="00271ACA" w:rsidP="00271ACA">
      <w:pPr>
        <w:pStyle w:val="Bibliographie"/>
      </w:pPr>
      <w:r w:rsidRPr="00271ACA">
        <w:t xml:space="preserve">Sobol, I.M., 2001. Global </w:t>
      </w:r>
      <w:proofErr w:type="spellStart"/>
      <w:r w:rsidRPr="00271ACA">
        <w:t>sensitivity</w:t>
      </w:r>
      <w:proofErr w:type="spellEnd"/>
      <w:r w:rsidRPr="00271ACA">
        <w:t xml:space="preserve"> </w:t>
      </w:r>
      <w:proofErr w:type="spellStart"/>
      <w:r w:rsidRPr="00271ACA">
        <w:t>indices</w:t>
      </w:r>
      <w:proofErr w:type="spellEnd"/>
      <w:r w:rsidRPr="00271ACA">
        <w:t xml:space="preserve"> </w:t>
      </w:r>
      <w:proofErr w:type="spellStart"/>
      <w:r w:rsidRPr="00271ACA">
        <w:t>for</w:t>
      </w:r>
      <w:proofErr w:type="spellEnd"/>
      <w:r w:rsidRPr="00271ACA">
        <w:t xml:space="preserve"> </w:t>
      </w:r>
      <w:proofErr w:type="spellStart"/>
      <w:r w:rsidRPr="00271ACA">
        <w:t>nonlinear</w:t>
      </w:r>
      <w:proofErr w:type="spellEnd"/>
      <w:r w:rsidRPr="00271ACA">
        <w:t xml:space="preserve"> </w:t>
      </w:r>
      <w:proofErr w:type="spellStart"/>
      <w:r w:rsidRPr="00271ACA">
        <w:t>mathematical</w:t>
      </w:r>
      <w:proofErr w:type="spellEnd"/>
      <w:r w:rsidRPr="00271ACA">
        <w:t xml:space="preserve"> </w:t>
      </w:r>
      <w:proofErr w:type="spellStart"/>
      <w:r w:rsidRPr="00271ACA">
        <w:t>models</w:t>
      </w:r>
      <w:proofErr w:type="spellEnd"/>
      <w:r w:rsidRPr="00271ACA">
        <w:t xml:space="preserve"> and </w:t>
      </w:r>
      <w:proofErr w:type="spellStart"/>
      <w:r w:rsidRPr="00271ACA">
        <w:t>their</w:t>
      </w:r>
      <w:proofErr w:type="spellEnd"/>
      <w:r w:rsidRPr="00271ACA">
        <w:t xml:space="preserve"> Monte Carlo </w:t>
      </w:r>
      <w:proofErr w:type="spellStart"/>
      <w:r w:rsidRPr="00271ACA">
        <w:t>estimates</w:t>
      </w:r>
      <w:proofErr w:type="spellEnd"/>
      <w:r w:rsidRPr="00271ACA">
        <w:t xml:space="preserve">. Math. </w:t>
      </w:r>
      <w:proofErr w:type="spellStart"/>
      <w:r w:rsidRPr="00271ACA">
        <w:t>Comput</w:t>
      </w:r>
      <w:proofErr w:type="spellEnd"/>
      <w:r w:rsidRPr="00271ACA">
        <w:t xml:space="preserve">. </w:t>
      </w:r>
      <w:proofErr w:type="spellStart"/>
      <w:r w:rsidRPr="00271ACA">
        <w:t>Simul</w:t>
      </w:r>
      <w:proofErr w:type="spellEnd"/>
      <w:r w:rsidRPr="00271ACA">
        <w:t>., The Second IMACS Seminar on Monte Carlo Methods 55, 271–280. https://doi.org/10.1016/S0378-4754(00)00270-6</w:t>
      </w:r>
    </w:p>
    <w:p w14:paraId="263188FC" w14:textId="62A0849B" w:rsidR="008F54F8" w:rsidRPr="00F207B4" w:rsidRDefault="00EE5327" w:rsidP="00D63D44">
      <w:pPr>
        <w:pStyle w:val="SWCText"/>
        <w:rPr>
          <w:lang w:val="en-GB"/>
        </w:rPr>
      </w:pPr>
      <w:r w:rsidRPr="00F207B4">
        <w:rPr>
          <w:lang w:val="en-GB"/>
        </w:rPr>
        <w:fldChar w:fldCharType="end"/>
      </w:r>
    </w:p>
    <w:sectPr w:rsidR="008F54F8" w:rsidRPr="00F207B4" w:rsidSect="00A421F0">
      <w:footnotePr>
        <w:numRestart w:val="eachPage"/>
      </w:footnotePr>
      <w:pgSz w:w="11908" w:h="16838" w:code="9"/>
      <w:pgMar w:top="1417" w:right="1417" w:bottom="1134" w:left="1417" w:header="284" w:footer="284" w:gutter="0"/>
      <w:pgNumType w:start="1"/>
      <w:cols w:space="720"/>
      <w:noEndnote/>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D7284D3" w16cex:dateUtc="2026-08-17T14:14:00Z"/>
  <w16cex:commentExtensible w16cex:durableId="6A9C200A" w16cex:dateUtc="2026-08-17T14:14:00Z"/>
  <w16cex:commentExtensible w16cex:durableId="590E504B" w16cex:dateUtc="2026-08-17T14:17:00Z"/>
  <w16cex:commentExtensible w16cex:durableId="2B8F6933" w16cex:dateUtc="2026-08-17T14:21:00Z"/>
  <w16cex:commentExtensible w16cex:durableId="6871BDC9" w16cex:dateUtc="2026-08-17T15:03:00Z"/>
  <w16cex:commentExtensible w16cex:durableId="25FA221C" w16cex:dateUtc="2026-08-17T15:04:00Z"/>
  <w16cex:commentExtensible w16cex:durableId="79AB1480" w16cex:dateUtc="2026-08-17T14:26:00Z"/>
  <w16cex:commentExtensible w16cex:durableId="00FD6ACE" w16cex:dateUtc="2026-08-17T14:29:00Z"/>
  <w16cex:commentExtensible w16cex:durableId="612E4DC2" w16cex:dateUtc="2026-08-17T15:06:00Z"/>
  <w16cex:commentExtensible w16cex:durableId="0A04718F" w16cex:dateUtc="2026-08-17T15:07:00Z"/>
  <w16cex:commentExtensible w16cex:durableId="5076E266" w16cex:dateUtc="2026-08-17T14:57:00Z"/>
  <w16cex:commentExtensible w16cex:durableId="01958404" w16cex:dateUtc="2026-08-17T15:09:00Z"/>
  <w16cex:commentExtensible w16cex:durableId="60FEC10C" w16cex:dateUtc="2026-08-17T15:51:00Z"/>
  <w16cex:commentExtensible w16cex:durableId="3A226D48" w16cex:dateUtc="2026-08-17T14:39:00Z"/>
  <w16cex:commentExtensible w16cex:durableId="1A8F90D0" w16cex:dateUtc="2026-08-17T15:31:00Z"/>
  <w16cex:commentExtensible w16cex:durableId="04C1F102" w16cex:dateUtc="2026-08-17T15:30:00Z"/>
  <w16cex:commentExtensible w16cex:durableId="6B45964E" w16cex:dateUtc="2026-08-17T15:30:00Z"/>
  <w16cex:commentExtensible w16cex:durableId="1C25DD25" w16cex:dateUtc="2026-08-17T15:20:00Z"/>
  <w16cex:commentExtensible w16cex:durableId="44C9C645" w16cex:dateUtc="2026-08-17T15:23:00Z"/>
  <w16cex:commentExtensible w16cex:durableId="4F92A2D3" w16cex:dateUtc="2026-08-17T14:40:00Z"/>
  <w16cex:commentExtensible w16cex:durableId="107B02D2" w16cex:dateUtc="2026-08-17T14:43:00Z"/>
  <w16cex:commentExtensible w16cex:durableId="6ABA5623" w16cex:dateUtc="2026-08-17T14:44:00Z"/>
  <w16cex:commentExtensible w16cex:durableId="28F633DF" w16cex:dateUtc="2026-08-17T14:48:00Z"/>
  <w16cex:commentExtensible w16cex:durableId="6E4815A3" w16cex:dateUtc="2026-08-17T14:49:00Z"/>
  <w16cex:commentExtensible w16cex:durableId="3F28BB41" w16cex:dateUtc="2026-08-17T14:50:00Z"/>
  <w16cex:commentExtensible w16cex:durableId="189CFDA2" w16cex:dateUtc="2026-08-17T14:53:00Z"/>
  <w16cex:commentExtensible w16cex:durableId="6AF57052" w16cex:dateUtc="2026-08-17T15:16:00Z"/>
  <w16cex:commentExtensible w16cex:durableId="1371BE01" w16cex:dateUtc="2026-08-17T15:26:00Z"/>
  <w16cex:commentExtensible w16cex:durableId="4E0DB50C" w16cex:dateUtc="2026-08-17T15:36:00Z"/>
  <w16cex:commentExtensible w16cex:durableId="7BF094B6" w16cex:dateUtc="2026-08-17T15:32:00Z"/>
  <w16cex:commentExtensible w16cex:durableId="7350FCE4" w16cex:dateUtc="2026-08-17T15:25:00Z"/>
  <w16cex:commentExtensible w16cex:durableId="652A2614" w16cex:dateUtc="2026-08-17T15:3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201180" w14:textId="77777777" w:rsidR="00BA3390" w:rsidRDefault="00BA3390">
      <w:r>
        <w:separator/>
      </w:r>
    </w:p>
  </w:endnote>
  <w:endnote w:type="continuationSeparator" w:id="0">
    <w:p w14:paraId="45F0FF84" w14:textId="77777777" w:rsidR="00BA3390" w:rsidRDefault="00BA3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684561" w14:textId="77777777" w:rsidR="00BA3390" w:rsidRDefault="00BA3390">
      <w:r>
        <w:separator/>
      </w:r>
    </w:p>
  </w:footnote>
  <w:footnote w:type="continuationSeparator" w:id="0">
    <w:p w14:paraId="797B29D0" w14:textId="77777777" w:rsidR="00BA3390" w:rsidRDefault="00BA33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epuces"/>
      <w:lvlText w:val=""/>
      <w:lvlJc w:val="left"/>
      <w:pPr>
        <w:tabs>
          <w:tab w:val="num" w:pos="360"/>
        </w:tabs>
        <w:ind w:left="360" w:hanging="360"/>
      </w:pPr>
      <w:rPr>
        <w:rFonts w:ascii="Symbol" w:hAnsi="Symbol" w:hint="default"/>
      </w:rPr>
    </w:lvl>
  </w:abstractNum>
  <w:abstractNum w:abstractNumId="6" w15:restartNumberingAfterBreak="0">
    <w:nsid w:val="0A700EA3"/>
    <w:multiLevelType w:val="hybridMultilevel"/>
    <w:tmpl w:val="700AC686"/>
    <w:lvl w:ilvl="0" w:tplc="0407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0DC319E5"/>
    <w:multiLevelType w:val="hybridMultilevel"/>
    <w:tmpl w:val="22207D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67D641E"/>
    <w:multiLevelType w:val="hybridMultilevel"/>
    <w:tmpl w:val="5B9E1EA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1C9D7006"/>
    <w:multiLevelType w:val="hybridMultilevel"/>
    <w:tmpl w:val="BB7E6A0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30696F00"/>
    <w:multiLevelType w:val="hybridMultilevel"/>
    <w:tmpl w:val="2738EE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14C63EE"/>
    <w:multiLevelType w:val="hybridMultilevel"/>
    <w:tmpl w:val="D902D22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5B80708"/>
    <w:multiLevelType w:val="hybridMultilevel"/>
    <w:tmpl w:val="93E42790"/>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2EC244B6">
      <w:numFmt w:val="bullet"/>
      <w:lvlText w:val="•"/>
      <w:lvlJc w:val="left"/>
      <w:pPr>
        <w:ind w:left="2640" w:hanging="360"/>
      </w:pPr>
      <w:rPr>
        <w:rFonts w:ascii="Times New Roman" w:eastAsia="Times New Roman" w:hAnsi="Times New Roman" w:cs="Times New Roman"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7" w15:restartNumberingAfterBreak="0">
    <w:nsid w:val="37185F89"/>
    <w:multiLevelType w:val="hybridMultilevel"/>
    <w:tmpl w:val="A9080C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845B4F"/>
    <w:multiLevelType w:val="hybridMultilevel"/>
    <w:tmpl w:val="43B6FA4C"/>
    <w:lvl w:ilvl="0" w:tplc="0407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5"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640279AF"/>
    <w:multiLevelType w:val="multilevel"/>
    <w:tmpl w:val="1F30F2DE"/>
    <w:lvl w:ilvl="0">
      <w:start w:val="1"/>
      <w:numFmt w:val="decimal"/>
      <w:pStyle w:val="SWCHeading1"/>
      <w:lvlText w:val="%1."/>
      <w:lvlJc w:val="left"/>
      <w:pPr>
        <w:tabs>
          <w:tab w:val="num" w:pos="720"/>
        </w:tabs>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8"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9" w15:restartNumberingAfterBreak="0">
    <w:nsid w:val="65DA2A76"/>
    <w:multiLevelType w:val="multilevel"/>
    <w:tmpl w:val="53DEE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1" w15:restartNumberingAfterBreak="0">
    <w:nsid w:val="7AEF0100"/>
    <w:multiLevelType w:val="hybridMultilevel"/>
    <w:tmpl w:val="0B8C55B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8"/>
  </w:num>
  <w:num w:numId="3">
    <w:abstractNumId w:val="16"/>
  </w:num>
  <w:num w:numId="4">
    <w:abstractNumId w:val="32"/>
  </w:num>
  <w:num w:numId="5">
    <w:abstractNumId w:val="4"/>
  </w:num>
  <w:num w:numId="6">
    <w:abstractNumId w:val="3"/>
  </w:num>
  <w:num w:numId="7">
    <w:abstractNumId w:val="0"/>
  </w:num>
  <w:num w:numId="8">
    <w:abstractNumId w:val="2"/>
  </w:num>
  <w:num w:numId="9">
    <w:abstractNumId w:val="1"/>
  </w:num>
  <w:num w:numId="10">
    <w:abstractNumId w:val="9"/>
  </w:num>
  <w:num w:numId="11">
    <w:abstractNumId w:val="26"/>
  </w:num>
  <w:num w:numId="12">
    <w:abstractNumId w:val="22"/>
  </w:num>
  <w:num w:numId="13">
    <w:abstractNumId w:val="9"/>
    <w:lvlOverride w:ilvl="0">
      <w:startOverride w:val="1"/>
    </w:lvlOverride>
  </w:num>
  <w:num w:numId="14">
    <w:abstractNumId w:val="25"/>
  </w:num>
  <w:num w:numId="15">
    <w:abstractNumId w:val="11"/>
  </w:num>
  <w:num w:numId="16">
    <w:abstractNumId w:val="21"/>
  </w:num>
  <w:num w:numId="17">
    <w:abstractNumId w:val="24"/>
  </w:num>
  <w:num w:numId="18">
    <w:abstractNumId w:val="28"/>
  </w:num>
  <w:num w:numId="19">
    <w:abstractNumId w:val="13"/>
  </w:num>
  <w:num w:numId="20">
    <w:abstractNumId w:val="12"/>
  </w:num>
  <w:num w:numId="21">
    <w:abstractNumId w:val="20"/>
  </w:num>
  <w:num w:numId="22">
    <w:abstractNumId w:val="27"/>
  </w:num>
  <w:num w:numId="23">
    <w:abstractNumId w:val="23"/>
  </w:num>
  <w:num w:numId="24">
    <w:abstractNumId w:val="30"/>
  </w:num>
  <w:num w:numId="25">
    <w:abstractNumId w:val="14"/>
  </w:num>
  <w:num w:numId="26">
    <w:abstractNumId w:val="15"/>
  </w:num>
  <w:num w:numId="27">
    <w:abstractNumId w:val="7"/>
  </w:num>
  <w:num w:numId="28">
    <w:abstractNumId w:val="31"/>
  </w:num>
  <w:num w:numId="29">
    <w:abstractNumId w:val="10"/>
  </w:num>
  <w:num w:numId="30">
    <w:abstractNumId w:val="26"/>
    <w:lvlOverride w:ilvl="0">
      <w:startOverride w:val="1"/>
    </w:lvlOverride>
  </w:num>
  <w:num w:numId="31">
    <w:abstractNumId w:val="17"/>
  </w:num>
  <w:num w:numId="32">
    <w:abstractNumId w:val="8"/>
  </w:num>
  <w:num w:numId="33">
    <w:abstractNumId w:val="19"/>
  </w:num>
  <w:num w:numId="34">
    <w:abstractNumId w:val="6"/>
  </w:num>
  <w:num w:numId="35">
    <w:abstractNumId w:val="29"/>
  </w:num>
  <w:num w:numId="3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103AD"/>
    <w:rsid w:val="00012921"/>
    <w:rsid w:val="0002379F"/>
    <w:rsid w:val="00023F19"/>
    <w:rsid w:val="00024A74"/>
    <w:rsid w:val="00032492"/>
    <w:rsid w:val="00034956"/>
    <w:rsid w:val="0004235D"/>
    <w:rsid w:val="00043466"/>
    <w:rsid w:val="00047E22"/>
    <w:rsid w:val="0005003E"/>
    <w:rsid w:val="000533E4"/>
    <w:rsid w:val="000534F5"/>
    <w:rsid w:val="00053E02"/>
    <w:rsid w:val="00055395"/>
    <w:rsid w:val="00055DB9"/>
    <w:rsid w:val="000568EA"/>
    <w:rsid w:val="00057B5E"/>
    <w:rsid w:val="00066031"/>
    <w:rsid w:val="00066B26"/>
    <w:rsid w:val="00066F72"/>
    <w:rsid w:val="00067124"/>
    <w:rsid w:val="000678AC"/>
    <w:rsid w:val="000712A1"/>
    <w:rsid w:val="0007137A"/>
    <w:rsid w:val="00071569"/>
    <w:rsid w:val="000743BB"/>
    <w:rsid w:val="00074DBF"/>
    <w:rsid w:val="00090D72"/>
    <w:rsid w:val="00092ED5"/>
    <w:rsid w:val="00094482"/>
    <w:rsid w:val="00096445"/>
    <w:rsid w:val="000A0ADB"/>
    <w:rsid w:val="000A1CC8"/>
    <w:rsid w:val="000A30A5"/>
    <w:rsid w:val="000A36B5"/>
    <w:rsid w:val="000A4547"/>
    <w:rsid w:val="000A4E1F"/>
    <w:rsid w:val="000A52A1"/>
    <w:rsid w:val="000A6A23"/>
    <w:rsid w:val="000B04BE"/>
    <w:rsid w:val="000B09B5"/>
    <w:rsid w:val="000B1F4D"/>
    <w:rsid w:val="000C2344"/>
    <w:rsid w:val="000C561C"/>
    <w:rsid w:val="000C73E2"/>
    <w:rsid w:val="000C793A"/>
    <w:rsid w:val="000C79D2"/>
    <w:rsid w:val="000D5088"/>
    <w:rsid w:val="000D64B9"/>
    <w:rsid w:val="000D6754"/>
    <w:rsid w:val="000D6E1A"/>
    <w:rsid w:val="000D74BA"/>
    <w:rsid w:val="000E1855"/>
    <w:rsid w:val="000E6CBA"/>
    <w:rsid w:val="000F7196"/>
    <w:rsid w:val="000F739B"/>
    <w:rsid w:val="0010501A"/>
    <w:rsid w:val="0011507A"/>
    <w:rsid w:val="00115D3B"/>
    <w:rsid w:val="00121A3C"/>
    <w:rsid w:val="00133AAE"/>
    <w:rsid w:val="00136177"/>
    <w:rsid w:val="001455A7"/>
    <w:rsid w:val="0015090D"/>
    <w:rsid w:val="00150B42"/>
    <w:rsid w:val="00151B23"/>
    <w:rsid w:val="00151E57"/>
    <w:rsid w:val="00155FB8"/>
    <w:rsid w:val="00157CE5"/>
    <w:rsid w:val="00161314"/>
    <w:rsid w:val="00161358"/>
    <w:rsid w:val="001647D2"/>
    <w:rsid w:val="00166C42"/>
    <w:rsid w:val="00176EF6"/>
    <w:rsid w:val="00183720"/>
    <w:rsid w:val="001904A7"/>
    <w:rsid w:val="0019232E"/>
    <w:rsid w:val="00194E9A"/>
    <w:rsid w:val="001968B5"/>
    <w:rsid w:val="001969B9"/>
    <w:rsid w:val="0019743C"/>
    <w:rsid w:val="001A117A"/>
    <w:rsid w:val="001A2E76"/>
    <w:rsid w:val="001A62EB"/>
    <w:rsid w:val="001A775B"/>
    <w:rsid w:val="001A78B7"/>
    <w:rsid w:val="001A7F40"/>
    <w:rsid w:val="001B13D6"/>
    <w:rsid w:val="001B35A7"/>
    <w:rsid w:val="001B471F"/>
    <w:rsid w:val="001B6BCF"/>
    <w:rsid w:val="001B7B01"/>
    <w:rsid w:val="001C1559"/>
    <w:rsid w:val="001C15C5"/>
    <w:rsid w:val="001C3A3D"/>
    <w:rsid w:val="001C63A2"/>
    <w:rsid w:val="001C7747"/>
    <w:rsid w:val="001D0384"/>
    <w:rsid w:val="001D27E8"/>
    <w:rsid w:val="001D4912"/>
    <w:rsid w:val="001D5F32"/>
    <w:rsid w:val="001E2B93"/>
    <w:rsid w:val="001E3E02"/>
    <w:rsid w:val="001F1AAA"/>
    <w:rsid w:val="001F2881"/>
    <w:rsid w:val="001F4F26"/>
    <w:rsid w:val="001F70BE"/>
    <w:rsid w:val="00205626"/>
    <w:rsid w:val="00206116"/>
    <w:rsid w:val="00212628"/>
    <w:rsid w:val="00212A5E"/>
    <w:rsid w:val="0022299B"/>
    <w:rsid w:val="00225724"/>
    <w:rsid w:val="002314FE"/>
    <w:rsid w:val="002331FE"/>
    <w:rsid w:val="00234FDB"/>
    <w:rsid w:val="00236114"/>
    <w:rsid w:val="00240B7E"/>
    <w:rsid w:val="00241F65"/>
    <w:rsid w:val="00243214"/>
    <w:rsid w:val="002470B2"/>
    <w:rsid w:val="00262530"/>
    <w:rsid w:val="002647A0"/>
    <w:rsid w:val="00266E47"/>
    <w:rsid w:val="00270E75"/>
    <w:rsid w:val="00271ACA"/>
    <w:rsid w:val="00271F67"/>
    <w:rsid w:val="00272512"/>
    <w:rsid w:val="0027288C"/>
    <w:rsid w:val="002732CF"/>
    <w:rsid w:val="00273341"/>
    <w:rsid w:val="00273811"/>
    <w:rsid w:val="00277D40"/>
    <w:rsid w:val="00281D0B"/>
    <w:rsid w:val="0029447C"/>
    <w:rsid w:val="002972D1"/>
    <w:rsid w:val="002A04A9"/>
    <w:rsid w:val="002A39BB"/>
    <w:rsid w:val="002A5BEE"/>
    <w:rsid w:val="002A78E6"/>
    <w:rsid w:val="002B1422"/>
    <w:rsid w:val="002B417A"/>
    <w:rsid w:val="002C089D"/>
    <w:rsid w:val="002C101B"/>
    <w:rsid w:val="002C130A"/>
    <w:rsid w:val="002C2B84"/>
    <w:rsid w:val="002C68AD"/>
    <w:rsid w:val="002D1142"/>
    <w:rsid w:val="002D322C"/>
    <w:rsid w:val="002D4864"/>
    <w:rsid w:val="002E5B46"/>
    <w:rsid w:val="002E5D62"/>
    <w:rsid w:val="002E61A2"/>
    <w:rsid w:val="002F1386"/>
    <w:rsid w:val="002F1D87"/>
    <w:rsid w:val="002F6B87"/>
    <w:rsid w:val="00302FC5"/>
    <w:rsid w:val="00303345"/>
    <w:rsid w:val="00307DDC"/>
    <w:rsid w:val="0031422D"/>
    <w:rsid w:val="0031685E"/>
    <w:rsid w:val="00317842"/>
    <w:rsid w:val="00327144"/>
    <w:rsid w:val="003339B7"/>
    <w:rsid w:val="003357AC"/>
    <w:rsid w:val="003466E8"/>
    <w:rsid w:val="0035100B"/>
    <w:rsid w:val="0035387F"/>
    <w:rsid w:val="0035638A"/>
    <w:rsid w:val="003605B9"/>
    <w:rsid w:val="00362122"/>
    <w:rsid w:val="0036342C"/>
    <w:rsid w:val="00364A52"/>
    <w:rsid w:val="00373F97"/>
    <w:rsid w:val="0037406D"/>
    <w:rsid w:val="00374216"/>
    <w:rsid w:val="003746B4"/>
    <w:rsid w:val="0038545D"/>
    <w:rsid w:val="00385E7B"/>
    <w:rsid w:val="003869E8"/>
    <w:rsid w:val="00391288"/>
    <w:rsid w:val="00392B69"/>
    <w:rsid w:val="00393777"/>
    <w:rsid w:val="00395E5A"/>
    <w:rsid w:val="0039742D"/>
    <w:rsid w:val="003A3A38"/>
    <w:rsid w:val="003A7DB9"/>
    <w:rsid w:val="003B1FAA"/>
    <w:rsid w:val="003B2055"/>
    <w:rsid w:val="003C0806"/>
    <w:rsid w:val="003C18DE"/>
    <w:rsid w:val="003C1B31"/>
    <w:rsid w:val="003C2B1A"/>
    <w:rsid w:val="003C39C6"/>
    <w:rsid w:val="003C7E95"/>
    <w:rsid w:val="003D0C22"/>
    <w:rsid w:val="003D5433"/>
    <w:rsid w:val="003D6941"/>
    <w:rsid w:val="003E1D22"/>
    <w:rsid w:val="003E1E1C"/>
    <w:rsid w:val="003E7951"/>
    <w:rsid w:val="003F0403"/>
    <w:rsid w:val="003F0BFD"/>
    <w:rsid w:val="003F5B99"/>
    <w:rsid w:val="003F741D"/>
    <w:rsid w:val="004019FD"/>
    <w:rsid w:val="0040301E"/>
    <w:rsid w:val="00403E6A"/>
    <w:rsid w:val="004053B5"/>
    <w:rsid w:val="0040615A"/>
    <w:rsid w:val="00411E29"/>
    <w:rsid w:val="00420287"/>
    <w:rsid w:val="0042033E"/>
    <w:rsid w:val="004250CC"/>
    <w:rsid w:val="004269E6"/>
    <w:rsid w:val="004357AD"/>
    <w:rsid w:val="00436D0B"/>
    <w:rsid w:val="0044572E"/>
    <w:rsid w:val="00446D0D"/>
    <w:rsid w:val="004474DD"/>
    <w:rsid w:val="004477FD"/>
    <w:rsid w:val="00453296"/>
    <w:rsid w:val="00467DFD"/>
    <w:rsid w:val="004716C5"/>
    <w:rsid w:val="00473E0D"/>
    <w:rsid w:val="00476879"/>
    <w:rsid w:val="00476BFB"/>
    <w:rsid w:val="0048184C"/>
    <w:rsid w:val="00490F10"/>
    <w:rsid w:val="00493C81"/>
    <w:rsid w:val="00494006"/>
    <w:rsid w:val="00495C0A"/>
    <w:rsid w:val="004A14C9"/>
    <w:rsid w:val="004A3506"/>
    <w:rsid w:val="004B0CD4"/>
    <w:rsid w:val="004B19C0"/>
    <w:rsid w:val="004C1A71"/>
    <w:rsid w:val="004C3666"/>
    <w:rsid w:val="004C39AD"/>
    <w:rsid w:val="004C4EE9"/>
    <w:rsid w:val="004D6E6B"/>
    <w:rsid w:val="004E5D79"/>
    <w:rsid w:val="004F19B1"/>
    <w:rsid w:val="004F4904"/>
    <w:rsid w:val="004F5FF9"/>
    <w:rsid w:val="004F65FE"/>
    <w:rsid w:val="00500640"/>
    <w:rsid w:val="00500D7D"/>
    <w:rsid w:val="00506134"/>
    <w:rsid w:val="005067AC"/>
    <w:rsid w:val="005074ED"/>
    <w:rsid w:val="005077F9"/>
    <w:rsid w:val="00514890"/>
    <w:rsid w:val="00514930"/>
    <w:rsid w:val="005150F0"/>
    <w:rsid w:val="0051584D"/>
    <w:rsid w:val="00521A24"/>
    <w:rsid w:val="005229A8"/>
    <w:rsid w:val="00523D33"/>
    <w:rsid w:val="00527F5C"/>
    <w:rsid w:val="0053048D"/>
    <w:rsid w:val="00532138"/>
    <w:rsid w:val="0053532A"/>
    <w:rsid w:val="005404F1"/>
    <w:rsid w:val="00544D85"/>
    <w:rsid w:val="00550776"/>
    <w:rsid w:val="00556004"/>
    <w:rsid w:val="005569C4"/>
    <w:rsid w:val="00563F37"/>
    <w:rsid w:val="00566460"/>
    <w:rsid w:val="0057075C"/>
    <w:rsid w:val="005721F8"/>
    <w:rsid w:val="005723D6"/>
    <w:rsid w:val="0057488E"/>
    <w:rsid w:val="005809B3"/>
    <w:rsid w:val="00583268"/>
    <w:rsid w:val="005836C7"/>
    <w:rsid w:val="005849B5"/>
    <w:rsid w:val="00587B9D"/>
    <w:rsid w:val="00590C96"/>
    <w:rsid w:val="005A35D7"/>
    <w:rsid w:val="005A78E3"/>
    <w:rsid w:val="005B3E86"/>
    <w:rsid w:val="005B4F5F"/>
    <w:rsid w:val="005B6BF4"/>
    <w:rsid w:val="005B6F55"/>
    <w:rsid w:val="005C06AA"/>
    <w:rsid w:val="005C073F"/>
    <w:rsid w:val="005C4399"/>
    <w:rsid w:val="005C76A8"/>
    <w:rsid w:val="005D1066"/>
    <w:rsid w:val="005D4031"/>
    <w:rsid w:val="005D5CF6"/>
    <w:rsid w:val="005D7E11"/>
    <w:rsid w:val="005E04EA"/>
    <w:rsid w:val="005E0D7D"/>
    <w:rsid w:val="005E7208"/>
    <w:rsid w:val="005F106F"/>
    <w:rsid w:val="005F1AED"/>
    <w:rsid w:val="00607C4E"/>
    <w:rsid w:val="00613AF9"/>
    <w:rsid w:val="006168E2"/>
    <w:rsid w:val="0061732F"/>
    <w:rsid w:val="0061785C"/>
    <w:rsid w:val="0061793D"/>
    <w:rsid w:val="0062257E"/>
    <w:rsid w:val="00625BC2"/>
    <w:rsid w:val="00627E34"/>
    <w:rsid w:val="006309AA"/>
    <w:rsid w:val="00633473"/>
    <w:rsid w:val="006379BD"/>
    <w:rsid w:val="0064403B"/>
    <w:rsid w:val="006500EC"/>
    <w:rsid w:val="00652071"/>
    <w:rsid w:val="00652D7E"/>
    <w:rsid w:val="00653551"/>
    <w:rsid w:val="0065563B"/>
    <w:rsid w:val="00665471"/>
    <w:rsid w:val="006722C6"/>
    <w:rsid w:val="006742B0"/>
    <w:rsid w:val="00674762"/>
    <w:rsid w:val="00680DE2"/>
    <w:rsid w:val="00682C9C"/>
    <w:rsid w:val="00692D7F"/>
    <w:rsid w:val="00693E9D"/>
    <w:rsid w:val="006A0AE2"/>
    <w:rsid w:val="006A10CA"/>
    <w:rsid w:val="006A2145"/>
    <w:rsid w:val="006A2F10"/>
    <w:rsid w:val="006A77D0"/>
    <w:rsid w:val="006B3D49"/>
    <w:rsid w:val="006B4C9F"/>
    <w:rsid w:val="006B5F2C"/>
    <w:rsid w:val="006C1934"/>
    <w:rsid w:val="006C25C5"/>
    <w:rsid w:val="006C756C"/>
    <w:rsid w:val="006D0CDB"/>
    <w:rsid w:val="006D117B"/>
    <w:rsid w:val="006D19E1"/>
    <w:rsid w:val="006D3D24"/>
    <w:rsid w:val="006D4A96"/>
    <w:rsid w:val="006E18F3"/>
    <w:rsid w:val="006F2C6F"/>
    <w:rsid w:val="006F3259"/>
    <w:rsid w:val="006F3E15"/>
    <w:rsid w:val="006F5B85"/>
    <w:rsid w:val="00702AE0"/>
    <w:rsid w:val="007037E1"/>
    <w:rsid w:val="00703FC7"/>
    <w:rsid w:val="00704F60"/>
    <w:rsid w:val="00707053"/>
    <w:rsid w:val="007174DA"/>
    <w:rsid w:val="00722B51"/>
    <w:rsid w:val="00725ED2"/>
    <w:rsid w:val="0073505B"/>
    <w:rsid w:val="00736B1B"/>
    <w:rsid w:val="00736E27"/>
    <w:rsid w:val="00736F9F"/>
    <w:rsid w:val="007400DF"/>
    <w:rsid w:val="00740359"/>
    <w:rsid w:val="007418D6"/>
    <w:rsid w:val="0074349A"/>
    <w:rsid w:val="00745337"/>
    <w:rsid w:val="00746CBB"/>
    <w:rsid w:val="007535ED"/>
    <w:rsid w:val="0075406E"/>
    <w:rsid w:val="00756702"/>
    <w:rsid w:val="00761A06"/>
    <w:rsid w:val="00762EA3"/>
    <w:rsid w:val="007725C3"/>
    <w:rsid w:val="007763CB"/>
    <w:rsid w:val="00777ED4"/>
    <w:rsid w:val="007804A7"/>
    <w:rsid w:val="007815B9"/>
    <w:rsid w:val="007908F6"/>
    <w:rsid w:val="00793001"/>
    <w:rsid w:val="007954D9"/>
    <w:rsid w:val="007979A8"/>
    <w:rsid w:val="007A18A9"/>
    <w:rsid w:val="007A6CA8"/>
    <w:rsid w:val="007A7812"/>
    <w:rsid w:val="007A7952"/>
    <w:rsid w:val="007B0BDB"/>
    <w:rsid w:val="007B33DF"/>
    <w:rsid w:val="007C1632"/>
    <w:rsid w:val="007C36EF"/>
    <w:rsid w:val="007C6B99"/>
    <w:rsid w:val="007C6BDE"/>
    <w:rsid w:val="007D0678"/>
    <w:rsid w:val="007D1C2C"/>
    <w:rsid w:val="007E10E9"/>
    <w:rsid w:val="007E6526"/>
    <w:rsid w:val="007E7634"/>
    <w:rsid w:val="007F3907"/>
    <w:rsid w:val="007F787C"/>
    <w:rsid w:val="00800E25"/>
    <w:rsid w:val="00801634"/>
    <w:rsid w:val="0080537B"/>
    <w:rsid w:val="008055C2"/>
    <w:rsid w:val="00810DA6"/>
    <w:rsid w:val="008111B0"/>
    <w:rsid w:val="008219CF"/>
    <w:rsid w:val="00822369"/>
    <w:rsid w:val="008314FC"/>
    <w:rsid w:val="00834062"/>
    <w:rsid w:val="00835659"/>
    <w:rsid w:val="00837104"/>
    <w:rsid w:val="00840E8F"/>
    <w:rsid w:val="0084100F"/>
    <w:rsid w:val="00845887"/>
    <w:rsid w:val="00845AE3"/>
    <w:rsid w:val="00846510"/>
    <w:rsid w:val="00862DAD"/>
    <w:rsid w:val="008664F9"/>
    <w:rsid w:val="00866745"/>
    <w:rsid w:val="0086758F"/>
    <w:rsid w:val="00870C10"/>
    <w:rsid w:val="0087241B"/>
    <w:rsid w:val="00872BBE"/>
    <w:rsid w:val="008849FC"/>
    <w:rsid w:val="00885DAA"/>
    <w:rsid w:val="00892161"/>
    <w:rsid w:val="00893500"/>
    <w:rsid w:val="00894F5A"/>
    <w:rsid w:val="008A0267"/>
    <w:rsid w:val="008A09CF"/>
    <w:rsid w:val="008A4E20"/>
    <w:rsid w:val="008B02CB"/>
    <w:rsid w:val="008B39F7"/>
    <w:rsid w:val="008B618F"/>
    <w:rsid w:val="008C1D76"/>
    <w:rsid w:val="008C28DF"/>
    <w:rsid w:val="008C484E"/>
    <w:rsid w:val="008C510C"/>
    <w:rsid w:val="008C5EBC"/>
    <w:rsid w:val="008D44C5"/>
    <w:rsid w:val="008D7E85"/>
    <w:rsid w:val="008E0E03"/>
    <w:rsid w:val="008E19FF"/>
    <w:rsid w:val="008E53FF"/>
    <w:rsid w:val="008F249D"/>
    <w:rsid w:val="008F54F8"/>
    <w:rsid w:val="009011AA"/>
    <w:rsid w:val="009015EF"/>
    <w:rsid w:val="00906CC3"/>
    <w:rsid w:val="00917D56"/>
    <w:rsid w:val="0092128B"/>
    <w:rsid w:val="009217EB"/>
    <w:rsid w:val="0092480E"/>
    <w:rsid w:val="00931C9D"/>
    <w:rsid w:val="0093254C"/>
    <w:rsid w:val="00933A00"/>
    <w:rsid w:val="00933BFD"/>
    <w:rsid w:val="00941691"/>
    <w:rsid w:val="00942AED"/>
    <w:rsid w:val="00944E25"/>
    <w:rsid w:val="00953F15"/>
    <w:rsid w:val="00954539"/>
    <w:rsid w:val="00957FE8"/>
    <w:rsid w:val="0096329F"/>
    <w:rsid w:val="009642AB"/>
    <w:rsid w:val="009653B6"/>
    <w:rsid w:val="00972DC1"/>
    <w:rsid w:val="00976A7F"/>
    <w:rsid w:val="00977DD9"/>
    <w:rsid w:val="00980010"/>
    <w:rsid w:val="009820BC"/>
    <w:rsid w:val="00982BCB"/>
    <w:rsid w:val="0098474D"/>
    <w:rsid w:val="0099245C"/>
    <w:rsid w:val="00993F03"/>
    <w:rsid w:val="0099435F"/>
    <w:rsid w:val="00996BC5"/>
    <w:rsid w:val="009A6D34"/>
    <w:rsid w:val="009A6F3F"/>
    <w:rsid w:val="009B4816"/>
    <w:rsid w:val="009C1BA8"/>
    <w:rsid w:val="009C21FE"/>
    <w:rsid w:val="009C2D0D"/>
    <w:rsid w:val="009C3492"/>
    <w:rsid w:val="009C49C6"/>
    <w:rsid w:val="009C5AA4"/>
    <w:rsid w:val="009D02D4"/>
    <w:rsid w:val="009D09C6"/>
    <w:rsid w:val="009D3AF6"/>
    <w:rsid w:val="009D49FA"/>
    <w:rsid w:val="009D60E3"/>
    <w:rsid w:val="009E0783"/>
    <w:rsid w:val="009E0D67"/>
    <w:rsid w:val="009E4985"/>
    <w:rsid w:val="009F06FE"/>
    <w:rsid w:val="009F10B3"/>
    <w:rsid w:val="009F16C5"/>
    <w:rsid w:val="009F1B75"/>
    <w:rsid w:val="009F3E11"/>
    <w:rsid w:val="009F6968"/>
    <w:rsid w:val="009F6AF8"/>
    <w:rsid w:val="009F6E78"/>
    <w:rsid w:val="009F7A4B"/>
    <w:rsid w:val="009F7C7E"/>
    <w:rsid w:val="00A01148"/>
    <w:rsid w:val="00A01AFD"/>
    <w:rsid w:val="00A01B7F"/>
    <w:rsid w:val="00A0300C"/>
    <w:rsid w:val="00A0692E"/>
    <w:rsid w:val="00A06C22"/>
    <w:rsid w:val="00A06F20"/>
    <w:rsid w:val="00A152F7"/>
    <w:rsid w:val="00A24F1B"/>
    <w:rsid w:val="00A31DC5"/>
    <w:rsid w:val="00A40C81"/>
    <w:rsid w:val="00A421F0"/>
    <w:rsid w:val="00A436CD"/>
    <w:rsid w:val="00A455BC"/>
    <w:rsid w:val="00A4667A"/>
    <w:rsid w:val="00A46FCD"/>
    <w:rsid w:val="00A50D88"/>
    <w:rsid w:val="00A5180B"/>
    <w:rsid w:val="00A55E36"/>
    <w:rsid w:val="00A57984"/>
    <w:rsid w:val="00A57E85"/>
    <w:rsid w:val="00A61EAC"/>
    <w:rsid w:val="00A6457C"/>
    <w:rsid w:val="00A73EC6"/>
    <w:rsid w:val="00A8223C"/>
    <w:rsid w:val="00A83A62"/>
    <w:rsid w:val="00A83B0F"/>
    <w:rsid w:val="00A8757B"/>
    <w:rsid w:val="00A92044"/>
    <w:rsid w:val="00A956A4"/>
    <w:rsid w:val="00A9727D"/>
    <w:rsid w:val="00AA16B9"/>
    <w:rsid w:val="00AA2385"/>
    <w:rsid w:val="00AA47DC"/>
    <w:rsid w:val="00AA6C9A"/>
    <w:rsid w:val="00AB18F6"/>
    <w:rsid w:val="00AB1A70"/>
    <w:rsid w:val="00AB21F4"/>
    <w:rsid w:val="00AB5179"/>
    <w:rsid w:val="00AB624E"/>
    <w:rsid w:val="00AB7068"/>
    <w:rsid w:val="00AB7E78"/>
    <w:rsid w:val="00AC2C09"/>
    <w:rsid w:val="00AC2FC2"/>
    <w:rsid w:val="00AC5D04"/>
    <w:rsid w:val="00AC6B6F"/>
    <w:rsid w:val="00AD085A"/>
    <w:rsid w:val="00AE11FC"/>
    <w:rsid w:val="00AE1AFD"/>
    <w:rsid w:val="00AE6354"/>
    <w:rsid w:val="00AF15AF"/>
    <w:rsid w:val="00AF6EB4"/>
    <w:rsid w:val="00B01141"/>
    <w:rsid w:val="00B02E33"/>
    <w:rsid w:val="00B03E30"/>
    <w:rsid w:val="00B04CF2"/>
    <w:rsid w:val="00B214A1"/>
    <w:rsid w:val="00B22D5C"/>
    <w:rsid w:val="00B263F0"/>
    <w:rsid w:val="00B2716E"/>
    <w:rsid w:val="00B31661"/>
    <w:rsid w:val="00B31ECB"/>
    <w:rsid w:val="00B32703"/>
    <w:rsid w:val="00B47522"/>
    <w:rsid w:val="00B5097B"/>
    <w:rsid w:val="00B5409D"/>
    <w:rsid w:val="00B54313"/>
    <w:rsid w:val="00B60B5F"/>
    <w:rsid w:val="00B6496F"/>
    <w:rsid w:val="00B666F4"/>
    <w:rsid w:val="00B705CE"/>
    <w:rsid w:val="00B8064D"/>
    <w:rsid w:val="00B80F06"/>
    <w:rsid w:val="00B827C6"/>
    <w:rsid w:val="00B84CEB"/>
    <w:rsid w:val="00B86327"/>
    <w:rsid w:val="00B86D95"/>
    <w:rsid w:val="00B90B55"/>
    <w:rsid w:val="00B93F09"/>
    <w:rsid w:val="00B97E0A"/>
    <w:rsid w:val="00BA23FC"/>
    <w:rsid w:val="00BA3390"/>
    <w:rsid w:val="00BB1390"/>
    <w:rsid w:val="00BB2484"/>
    <w:rsid w:val="00BB5A02"/>
    <w:rsid w:val="00BC1171"/>
    <w:rsid w:val="00BC3161"/>
    <w:rsid w:val="00BC666C"/>
    <w:rsid w:val="00BC738E"/>
    <w:rsid w:val="00BD0576"/>
    <w:rsid w:val="00BD7D33"/>
    <w:rsid w:val="00BE50D0"/>
    <w:rsid w:val="00BF16FE"/>
    <w:rsid w:val="00BF1783"/>
    <w:rsid w:val="00BF5BB0"/>
    <w:rsid w:val="00C012F5"/>
    <w:rsid w:val="00C068BC"/>
    <w:rsid w:val="00C06BAA"/>
    <w:rsid w:val="00C135BB"/>
    <w:rsid w:val="00C17081"/>
    <w:rsid w:val="00C20A85"/>
    <w:rsid w:val="00C26480"/>
    <w:rsid w:val="00C27FD4"/>
    <w:rsid w:val="00C30394"/>
    <w:rsid w:val="00C311EB"/>
    <w:rsid w:val="00C365E2"/>
    <w:rsid w:val="00C40390"/>
    <w:rsid w:val="00C44EFB"/>
    <w:rsid w:val="00C5016C"/>
    <w:rsid w:val="00C55264"/>
    <w:rsid w:val="00C6663D"/>
    <w:rsid w:val="00C6695C"/>
    <w:rsid w:val="00C6733A"/>
    <w:rsid w:val="00C816C1"/>
    <w:rsid w:val="00C874E5"/>
    <w:rsid w:val="00C97946"/>
    <w:rsid w:val="00C97E88"/>
    <w:rsid w:val="00CA4F91"/>
    <w:rsid w:val="00CA7ABB"/>
    <w:rsid w:val="00CB2008"/>
    <w:rsid w:val="00CB57E5"/>
    <w:rsid w:val="00CB7EE8"/>
    <w:rsid w:val="00CC0692"/>
    <w:rsid w:val="00CC0BDA"/>
    <w:rsid w:val="00CC201E"/>
    <w:rsid w:val="00CC3B0C"/>
    <w:rsid w:val="00CD0B3E"/>
    <w:rsid w:val="00CD4EFC"/>
    <w:rsid w:val="00CE432C"/>
    <w:rsid w:val="00CE6DBB"/>
    <w:rsid w:val="00CF4E05"/>
    <w:rsid w:val="00CF60CC"/>
    <w:rsid w:val="00D02AB4"/>
    <w:rsid w:val="00D0520C"/>
    <w:rsid w:val="00D12260"/>
    <w:rsid w:val="00D13A08"/>
    <w:rsid w:val="00D14555"/>
    <w:rsid w:val="00D17DCC"/>
    <w:rsid w:val="00D213FF"/>
    <w:rsid w:val="00D22272"/>
    <w:rsid w:val="00D25A70"/>
    <w:rsid w:val="00D30E5D"/>
    <w:rsid w:val="00D31359"/>
    <w:rsid w:val="00D32EF0"/>
    <w:rsid w:val="00D34665"/>
    <w:rsid w:val="00D35E52"/>
    <w:rsid w:val="00D36FA6"/>
    <w:rsid w:val="00D41E9A"/>
    <w:rsid w:val="00D50AE4"/>
    <w:rsid w:val="00D5212A"/>
    <w:rsid w:val="00D53F31"/>
    <w:rsid w:val="00D543FF"/>
    <w:rsid w:val="00D5584D"/>
    <w:rsid w:val="00D56155"/>
    <w:rsid w:val="00D62269"/>
    <w:rsid w:val="00D62EDC"/>
    <w:rsid w:val="00D63D44"/>
    <w:rsid w:val="00D7444A"/>
    <w:rsid w:val="00D93430"/>
    <w:rsid w:val="00D976DC"/>
    <w:rsid w:val="00DA244B"/>
    <w:rsid w:val="00DA6618"/>
    <w:rsid w:val="00DA7F88"/>
    <w:rsid w:val="00DB1B3A"/>
    <w:rsid w:val="00DB3157"/>
    <w:rsid w:val="00DB52E7"/>
    <w:rsid w:val="00DB5C54"/>
    <w:rsid w:val="00DC0318"/>
    <w:rsid w:val="00DC06FC"/>
    <w:rsid w:val="00DD1D5F"/>
    <w:rsid w:val="00DE0269"/>
    <w:rsid w:val="00DE45FB"/>
    <w:rsid w:val="00DF3618"/>
    <w:rsid w:val="00DF6937"/>
    <w:rsid w:val="00E012C5"/>
    <w:rsid w:val="00E023A9"/>
    <w:rsid w:val="00E06E0A"/>
    <w:rsid w:val="00E07915"/>
    <w:rsid w:val="00E07D1B"/>
    <w:rsid w:val="00E1006D"/>
    <w:rsid w:val="00E17DDA"/>
    <w:rsid w:val="00E218E2"/>
    <w:rsid w:val="00E23FEE"/>
    <w:rsid w:val="00E24586"/>
    <w:rsid w:val="00E25CB5"/>
    <w:rsid w:val="00E26E13"/>
    <w:rsid w:val="00E31926"/>
    <w:rsid w:val="00E36521"/>
    <w:rsid w:val="00E4437D"/>
    <w:rsid w:val="00E51232"/>
    <w:rsid w:val="00E53F82"/>
    <w:rsid w:val="00E548A7"/>
    <w:rsid w:val="00E57E49"/>
    <w:rsid w:val="00E61C50"/>
    <w:rsid w:val="00E6353D"/>
    <w:rsid w:val="00E65D4A"/>
    <w:rsid w:val="00E7237D"/>
    <w:rsid w:val="00E72A0C"/>
    <w:rsid w:val="00E76E81"/>
    <w:rsid w:val="00E80AB4"/>
    <w:rsid w:val="00E917F8"/>
    <w:rsid w:val="00E91A19"/>
    <w:rsid w:val="00E9249A"/>
    <w:rsid w:val="00EA0953"/>
    <w:rsid w:val="00EA34C6"/>
    <w:rsid w:val="00EA50D7"/>
    <w:rsid w:val="00EA52F2"/>
    <w:rsid w:val="00EA56BF"/>
    <w:rsid w:val="00EC3533"/>
    <w:rsid w:val="00EC4535"/>
    <w:rsid w:val="00EC5FF3"/>
    <w:rsid w:val="00ED5309"/>
    <w:rsid w:val="00ED7123"/>
    <w:rsid w:val="00EE10E4"/>
    <w:rsid w:val="00EE40FA"/>
    <w:rsid w:val="00EE5327"/>
    <w:rsid w:val="00EF2F33"/>
    <w:rsid w:val="00EF34B9"/>
    <w:rsid w:val="00EF596C"/>
    <w:rsid w:val="00EF7AF0"/>
    <w:rsid w:val="00F0298C"/>
    <w:rsid w:val="00F07750"/>
    <w:rsid w:val="00F10047"/>
    <w:rsid w:val="00F14141"/>
    <w:rsid w:val="00F14533"/>
    <w:rsid w:val="00F207B4"/>
    <w:rsid w:val="00F25244"/>
    <w:rsid w:val="00F25418"/>
    <w:rsid w:val="00F30A77"/>
    <w:rsid w:val="00F31FCB"/>
    <w:rsid w:val="00F32786"/>
    <w:rsid w:val="00F351BF"/>
    <w:rsid w:val="00F40159"/>
    <w:rsid w:val="00F40A43"/>
    <w:rsid w:val="00F4393F"/>
    <w:rsid w:val="00F46A3A"/>
    <w:rsid w:val="00F509CF"/>
    <w:rsid w:val="00F5375D"/>
    <w:rsid w:val="00F5454E"/>
    <w:rsid w:val="00F715C3"/>
    <w:rsid w:val="00F718BD"/>
    <w:rsid w:val="00F74B9E"/>
    <w:rsid w:val="00F77F3D"/>
    <w:rsid w:val="00F80507"/>
    <w:rsid w:val="00F83CD3"/>
    <w:rsid w:val="00F85F61"/>
    <w:rsid w:val="00F86A98"/>
    <w:rsid w:val="00F93508"/>
    <w:rsid w:val="00F95487"/>
    <w:rsid w:val="00F955B4"/>
    <w:rsid w:val="00F95DEF"/>
    <w:rsid w:val="00F9715D"/>
    <w:rsid w:val="00FA1553"/>
    <w:rsid w:val="00FA41FC"/>
    <w:rsid w:val="00FA4DF8"/>
    <w:rsid w:val="00FA7082"/>
    <w:rsid w:val="00FB45FB"/>
    <w:rsid w:val="00FB498E"/>
    <w:rsid w:val="00FC09A1"/>
    <w:rsid w:val="00FC0F30"/>
    <w:rsid w:val="00FC1374"/>
    <w:rsid w:val="00FC1781"/>
    <w:rsid w:val="00FC244F"/>
    <w:rsid w:val="00FD6120"/>
    <w:rsid w:val="00FD6DAB"/>
    <w:rsid w:val="00FD79DA"/>
    <w:rsid w:val="00FE2ADC"/>
    <w:rsid w:val="00FE30E4"/>
    <w:rsid w:val="00FE5997"/>
    <w:rsid w:val="00FF0950"/>
    <w:rsid w:val="00FF2BD2"/>
    <w:rsid w:val="00FF2FA4"/>
    <w:rsid w:val="00FF3E57"/>
    <w:rsid w:val="00FF4D57"/>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73"/>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4C4EE9"/>
    <w:rPr>
      <w:sz w:val="24"/>
      <w:szCs w:val="24"/>
      <w:lang w:val="de-DE" w:eastAsia="de-DE"/>
    </w:rPr>
  </w:style>
  <w:style w:type="paragraph" w:styleId="Titre1">
    <w:name w:val="heading 1"/>
    <w:basedOn w:val="Normal"/>
    <w:next w:val="Normal"/>
    <w:rsid w:val="004C4EE9"/>
    <w:pPr>
      <w:keepNext/>
      <w:outlineLvl w:val="0"/>
    </w:pPr>
    <w:rPr>
      <w:b/>
      <w:sz w:val="28"/>
      <w:szCs w:val="20"/>
      <w:lang w:val="en-GB"/>
    </w:rPr>
  </w:style>
  <w:style w:type="paragraph" w:styleId="Titre2">
    <w:name w:val="heading 2"/>
    <w:basedOn w:val="Normal"/>
    <w:next w:val="Normal"/>
    <w:autoRedefine/>
    <w:rsid w:val="004C4EE9"/>
    <w:pPr>
      <w:keepNext/>
      <w:spacing w:before="240" w:after="60"/>
      <w:outlineLvl w:val="1"/>
    </w:pPr>
    <w:rPr>
      <w:rFonts w:cs="Arial"/>
      <w:bCs/>
      <w:iCs/>
      <w:sz w:val="22"/>
      <w:szCs w:val="22"/>
    </w:rPr>
  </w:style>
  <w:style w:type="paragraph" w:styleId="Titre3">
    <w:name w:val="heading 3"/>
    <w:basedOn w:val="Normal"/>
    <w:next w:val="Normal"/>
    <w:autoRedefine/>
    <w:rsid w:val="004C4EE9"/>
    <w:pPr>
      <w:keepNext/>
      <w:outlineLvl w:val="2"/>
    </w:pPr>
    <w:rPr>
      <w:b/>
      <w:lang w:val="en-GB"/>
    </w:rPr>
  </w:style>
  <w:style w:type="paragraph" w:styleId="Titre4">
    <w:name w:val="heading 4"/>
    <w:basedOn w:val="Normal"/>
    <w:next w:val="Normal"/>
    <w:rsid w:val="004C4EE9"/>
    <w:pPr>
      <w:keepNext/>
      <w:spacing w:before="240" w:after="60"/>
      <w:outlineLvl w:val="3"/>
    </w:pPr>
    <w:rPr>
      <w:b/>
      <w:bCs/>
      <w:sz w:val="28"/>
      <w:szCs w:val="28"/>
    </w:rPr>
  </w:style>
  <w:style w:type="paragraph" w:styleId="Titre5">
    <w:name w:val="heading 5"/>
    <w:basedOn w:val="Normal"/>
    <w:next w:val="Normal"/>
    <w:autoRedefine/>
    <w:rsid w:val="004C4EE9"/>
    <w:pPr>
      <w:keepNext/>
      <w:outlineLvl w:val="4"/>
    </w:pPr>
    <w:rPr>
      <w:b/>
      <w:sz w:val="20"/>
      <w:szCs w:val="20"/>
      <w:lang w:val="en-GB"/>
    </w:rPr>
  </w:style>
  <w:style w:type="paragraph" w:styleId="Titre6">
    <w:name w:val="heading 6"/>
    <w:basedOn w:val="Normal"/>
    <w:next w:val="Normal"/>
    <w:autoRedefine/>
    <w:rsid w:val="004C4EE9"/>
    <w:pPr>
      <w:keepNext/>
      <w:jc w:val="center"/>
      <w:outlineLvl w:val="5"/>
    </w:pPr>
    <w:rPr>
      <w:rFonts w:cs="Arial"/>
      <w:color w:val="000000"/>
      <w:sz w:val="22"/>
      <w:szCs w:val="22"/>
    </w:rPr>
  </w:style>
  <w:style w:type="paragraph" w:styleId="Titre7">
    <w:name w:val="heading 7"/>
    <w:basedOn w:val="Normal"/>
    <w:next w:val="Normal"/>
    <w:rsid w:val="004C4EE9"/>
    <w:pPr>
      <w:spacing w:before="240" w:after="60"/>
      <w:outlineLvl w:val="6"/>
    </w:pPr>
  </w:style>
  <w:style w:type="paragraph" w:styleId="Titre8">
    <w:name w:val="heading 8"/>
    <w:basedOn w:val="Normal"/>
    <w:next w:val="Normal"/>
    <w:rsid w:val="004C4EE9"/>
    <w:pPr>
      <w:spacing w:before="240" w:after="60"/>
      <w:outlineLvl w:val="7"/>
    </w:pPr>
    <w:rPr>
      <w:i/>
      <w:iCs/>
    </w:rPr>
  </w:style>
  <w:style w:type="paragraph" w:styleId="Titre9">
    <w:name w:val="heading 9"/>
    <w:basedOn w:val="Normal"/>
    <w:next w:val="Normal"/>
    <w:rsid w:val="004C4EE9"/>
    <w:pPr>
      <w:spacing w:before="240" w:after="60"/>
      <w:outlineLvl w:val="8"/>
    </w:pPr>
    <w:rPr>
      <w:rFonts w:ascii="Arial" w:hAnsi="Arial"/>
      <w:sz w:val="22"/>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puces">
    <w:name w:val="List Bullet"/>
    <w:basedOn w:val="Normal"/>
    <w:autoRedefine/>
    <w:rsid w:val="00A55E36"/>
    <w:pPr>
      <w:numPr>
        <w:numId w:val="1"/>
      </w:numPr>
    </w:pPr>
  </w:style>
  <w:style w:type="character" w:customStyle="1" w:styleId="texto">
    <w:name w:val="texto"/>
    <w:basedOn w:val="Policepardfaut"/>
    <w:rsid w:val="00A6457C"/>
  </w:style>
  <w:style w:type="character" w:styleId="Marquedecommentaire">
    <w:name w:val="annotation reference"/>
    <w:basedOn w:val="Policepardfaut"/>
    <w:semiHidden/>
    <w:rsid w:val="009E4985"/>
    <w:rPr>
      <w:sz w:val="16"/>
      <w:szCs w:val="16"/>
    </w:rPr>
  </w:style>
  <w:style w:type="paragraph" w:styleId="Commentaire">
    <w:name w:val="annotation text"/>
    <w:basedOn w:val="Normal"/>
    <w:semiHidden/>
    <w:rsid w:val="009E4985"/>
    <w:rPr>
      <w:sz w:val="20"/>
      <w:szCs w:val="20"/>
    </w:rPr>
  </w:style>
  <w:style w:type="character" w:customStyle="1" w:styleId="SWCBulletedListCar">
    <w:name w:val="SWC_BulletedList Car"/>
    <w:basedOn w:val="Policepardfau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Policepardfau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Objetducommentaire">
    <w:name w:val="annotation subject"/>
    <w:basedOn w:val="Commentaire"/>
    <w:next w:val="Commentaire"/>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Lienhypertexte">
    <w:name w:val="Hyperlink"/>
    <w:basedOn w:val="Policepardfaut"/>
    <w:rsid w:val="005D5CF6"/>
    <w:rPr>
      <w:color w:val="0000FF"/>
      <w:u w:val="single"/>
    </w:rPr>
  </w:style>
  <w:style w:type="paragraph" w:styleId="Textedebulles">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Grilledutableau">
    <w:name w:val="Table Grid"/>
    <w:basedOn w:val="Tableau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Policepardfau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Notedebasdepage">
    <w:name w:val="footnote text"/>
    <w:basedOn w:val="Normal"/>
    <w:semiHidden/>
    <w:rsid w:val="003869E8"/>
    <w:rPr>
      <w:sz w:val="20"/>
      <w:szCs w:val="20"/>
    </w:rPr>
  </w:style>
  <w:style w:type="character" w:styleId="Appelnotedebasdep">
    <w:name w:val="footnote reference"/>
    <w:basedOn w:val="Policepardfau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Policepardfau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Textedelespacerserv">
    <w:name w:val="Placeholder Text"/>
    <w:basedOn w:val="Policepardfaut"/>
    <w:uiPriority w:val="99"/>
    <w:semiHidden/>
    <w:rsid w:val="00653551"/>
    <w:rPr>
      <w:color w:val="808080"/>
    </w:rPr>
  </w:style>
  <w:style w:type="character" w:customStyle="1" w:styleId="NichtaufgelsteErwhnung1">
    <w:name w:val="Nicht aufgelöste Erwähnung1"/>
    <w:basedOn w:val="Policepardfaut"/>
    <w:uiPriority w:val="99"/>
    <w:semiHidden/>
    <w:unhideWhenUsed/>
    <w:rsid w:val="00E218E2"/>
    <w:rPr>
      <w:color w:val="605E5C"/>
      <w:shd w:val="clear" w:color="auto" w:fill="E1DFDD"/>
    </w:rPr>
  </w:style>
  <w:style w:type="paragraph" w:styleId="Rvision">
    <w:name w:val="Revision"/>
    <w:hidden/>
    <w:uiPriority w:val="99"/>
    <w:semiHidden/>
    <w:rsid w:val="00FA4DF8"/>
    <w:rPr>
      <w:sz w:val="24"/>
      <w:szCs w:val="24"/>
      <w:lang w:val="de-DE" w:eastAsia="de-DE"/>
    </w:rPr>
  </w:style>
  <w:style w:type="paragraph" w:styleId="En-tte">
    <w:name w:val="header"/>
    <w:basedOn w:val="Normal"/>
    <w:link w:val="En-tteCar"/>
    <w:uiPriority w:val="99"/>
    <w:semiHidden/>
    <w:unhideWhenUsed/>
    <w:rsid w:val="00FC1374"/>
    <w:pPr>
      <w:tabs>
        <w:tab w:val="center" w:pos="4536"/>
        <w:tab w:val="right" w:pos="9072"/>
      </w:tabs>
    </w:pPr>
  </w:style>
  <w:style w:type="character" w:customStyle="1" w:styleId="En-tteCar">
    <w:name w:val="En-tête Car"/>
    <w:basedOn w:val="Policepardfaut"/>
    <w:link w:val="En-tte"/>
    <w:uiPriority w:val="99"/>
    <w:semiHidden/>
    <w:rsid w:val="00FC1374"/>
    <w:rPr>
      <w:sz w:val="24"/>
      <w:szCs w:val="24"/>
      <w:lang w:val="de-DE" w:eastAsia="de-DE"/>
    </w:rPr>
  </w:style>
  <w:style w:type="paragraph" w:styleId="Pieddepage">
    <w:name w:val="footer"/>
    <w:basedOn w:val="Normal"/>
    <w:link w:val="PieddepageCar"/>
    <w:uiPriority w:val="99"/>
    <w:semiHidden/>
    <w:unhideWhenUsed/>
    <w:rsid w:val="00FC1374"/>
    <w:pPr>
      <w:tabs>
        <w:tab w:val="center" w:pos="4536"/>
        <w:tab w:val="right" w:pos="9072"/>
      </w:tabs>
    </w:pPr>
  </w:style>
  <w:style w:type="character" w:customStyle="1" w:styleId="PieddepageCar">
    <w:name w:val="Pied de page Car"/>
    <w:basedOn w:val="Policepardfaut"/>
    <w:link w:val="Pieddepage"/>
    <w:uiPriority w:val="99"/>
    <w:semiHidden/>
    <w:rsid w:val="00FC1374"/>
    <w:rPr>
      <w:sz w:val="24"/>
      <w:szCs w:val="24"/>
      <w:lang w:val="de-DE" w:eastAsia="de-DE"/>
    </w:rPr>
  </w:style>
  <w:style w:type="paragraph" w:customStyle="1" w:styleId="Adresse">
    <w:name w:val="Adresse"/>
    <w:basedOn w:val="Normal"/>
    <w:rsid w:val="00A73EC6"/>
    <w:pPr>
      <w:autoSpaceDE w:val="0"/>
      <w:autoSpaceDN w:val="0"/>
      <w:jc w:val="both"/>
    </w:pPr>
    <w:rPr>
      <w:rFonts w:eastAsia="SimSun"/>
      <w:sz w:val="22"/>
      <w:szCs w:val="22"/>
      <w:lang w:val="fr-FR" w:eastAsia="zh-CN"/>
    </w:rPr>
  </w:style>
  <w:style w:type="character" w:styleId="Mentionnonrsolue">
    <w:name w:val="Unresolved Mention"/>
    <w:basedOn w:val="Policepardfaut"/>
    <w:uiPriority w:val="99"/>
    <w:semiHidden/>
    <w:unhideWhenUsed/>
    <w:rsid w:val="00A73EC6"/>
    <w:rPr>
      <w:color w:val="605E5C"/>
      <w:shd w:val="clear" w:color="auto" w:fill="E1DFDD"/>
    </w:rPr>
  </w:style>
  <w:style w:type="paragraph" w:styleId="Lgende">
    <w:name w:val="caption"/>
    <w:basedOn w:val="Normal"/>
    <w:next w:val="Normal"/>
    <w:uiPriority w:val="35"/>
    <w:qFormat/>
    <w:rsid w:val="00A61EAC"/>
    <w:pPr>
      <w:autoSpaceDE w:val="0"/>
      <w:autoSpaceDN w:val="0"/>
      <w:spacing w:before="120" w:after="120"/>
      <w:ind w:firstLine="284"/>
      <w:jc w:val="center"/>
    </w:pPr>
    <w:rPr>
      <w:rFonts w:eastAsia="SimSun"/>
      <w:bCs/>
      <w:i/>
      <w:sz w:val="22"/>
      <w:szCs w:val="20"/>
      <w:lang w:val="fr-FR" w:eastAsia="zh-CN"/>
    </w:rPr>
  </w:style>
  <w:style w:type="table" w:styleId="Tableausimple2">
    <w:name w:val="Plain Table 2"/>
    <w:basedOn w:val="TableauNormal"/>
    <w:uiPriority w:val="73"/>
    <w:rsid w:val="00A61EA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aragraphedeliste">
    <w:name w:val="List Paragraph"/>
    <w:basedOn w:val="Normal"/>
    <w:uiPriority w:val="34"/>
    <w:qFormat/>
    <w:rsid w:val="00DE45FB"/>
    <w:pPr>
      <w:autoSpaceDE w:val="0"/>
      <w:autoSpaceDN w:val="0"/>
      <w:spacing w:before="120"/>
      <w:ind w:left="720" w:firstLine="284"/>
      <w:contextualSpacing/>
      <w:jc w:val="both"/>
    </w:pPr>
    <w:rPr>
      <w:rFonts w:eastAsia="SimSun"/>
      <w:szCs w:val="20"/>
      <w:lang w:val="fr-FR" w:eastAsia="zh-CN"/>
    </w:rPr>
  </w:style>
  <w:style w:type="paragraph" w:customStyle="1" w:styleId="whitespace-break-spaces">
    <w:name w:val="whitespace-break-spaces"/>
    <w:basedOn w:val="Normal"/>
    <w:rsid w:val="00DE45FB"/>
    <w:pPr>
      <w:spacing w:before="100" w:beforeAutospacing="1" w:after="100" w:afterAutospacing="1"/>
    </w:pPr>
    <w:rPr>
      <w:lang w:val="fr-FR" w:eastAsia="fr-FR"/>
    </w:rPr>
  </w:style>
  <w:style w:type="paragraph" w:styleId="NormalWeb">
    <w:name w:val="Normal (Web)"/>
    <w:basedOn w:val="Normal"/>
    <w:uiPriority w:val="99"/>
    <w:unhideWhenUsed/>
    <w:rsid w:val="001A78B7"/>
    <w:pPr>
      <w:spacing w:before="100" w:beforeAutospacing="1" w:after="100" w:afterAutospacing="1"/>
    </w:pPr>
    <w:rPr>
      <w:lang w:val="fr-FR" w:eastAsia="fr-FR"/>
    </w:rPr>
  </w:style>
  <w:style w:type="paragraph" w:customStyle="1" w:styleId="isselectedend">
    <w:name w:val="isselectedend"/>
    <w:basedOn w:val="Normal"/>
    <w:rsid w:val="00271F67"/>
    <w:pPr>
      <w:spacing w:before="100" w:beforeAutospacing="1" w:after="100" w:afterAutospacing="1"/>
    </w:pPr>
    <w:rPr>
      <w:lang w:val="fr-FR" w:eastAsia="fr-FR"/>
    </w:rPr>
  </w:style>
  <w:style w:type="character" w:styleId="lev">
    <w:name w:val="Strong"/>
    <w:basedOn w:val="Policepardfaut"/>
    <w:uiPriority w:val="22"/>
    <w:qFormat/>
    <w:rsid w:val="000D5088"/>
    <w:rPr>
      <w:b/>
      <w:bCs/>
    </w:rPr>
  </w:style>
  <w:style w:type="paragraph" w:styleId="Bibliographie">
    <w:name w:val="Bibliography"/>
    <w:basedOn w:val="Normal"/>
    <w:next w:val="Normal"/>
    <w:uiPriority w:val="37"/>
    <w:unhideWhenUsed/>
    <w:rsid w:val="00EE5327"/>
    <w:pPr>
      <w:ind w:left="720" w:hanging="720"/>
    </w:pPr>
  </w:style>
  <w:style w:type="character" w:styleId="Accentuation">
    <w:name w:val="Emphasis"/>
    <w:basedOn w:val="Policepardfaut"/>
    <w:uiPriority w:val="20"/>
    <w:qFormat/>
    <w:rsid w:val="00704F60"/>
    <w:rPr>
      <w:i/>
      <w:iCs/>
    </w:rPr>
  </w:style>
  <w:style w:type="paragraph" w:customStyle="1" w:styleId="pdq2pgselectionanchorcontainer">
    <w:name w:val="pdq2pg_selectionanchorcontainer"/>
    <w:basedOn w:val="Normal"/>
    <w:rsid w:val="00AB5179"/>
    <w:pPr>
      <w:spacing w:before="100" w:beforeAutospacing="1" w:after="100" w:afterAutospacing="1"/>
    </w:pPr>
    <w:rPr>
      <w:lang w:val="fr-FR" w:eastAsia="fr-FR"/>
    </w:rPr>
  </w:style>
  <w:style w:type="character" w:customStyle="1" w:styleId="mord">
    <w:name w:val="mord"/>
    <w:basedOn w:val="Policepardfaut"/>
    <w:rsid w:val="00885DAA"/>
  </w:style>
  <w:style w:type="character" w:customStyle="1" w:styleId="vlist-s">
    <w:name w:val="vlist-s"/>
    <w:basedOn w:val="Policepardfaut"/>
    <w:rsid w:val="00885DAA"/>
  </w:style>
  <w:style w:type="character" w:customStyle="1" w:styleId="katex">
    <w:name w:val="katex"/>
    <w:basedOn w:val="Policepardfaut"/>
    <w:rsid w:val="00071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39218">
      <w:bodyDiv w:val="1"/>
      <w:marLeft w:val="0"/>
      <w:marRight w:val="0"/>
      <w:marTop w:val="0"/>
      <w:marBottom w:val="0"/>
      <w:divBdr>
        <w:top w:val="none" w:sz="0" w:space="0" w:color="auto"/>
        <w:left w:val="none" w:sz="0" w:space="0" w:color="auto"/>
        <w:bottom w:val="none" w:sz="0" w:space="0" w:color="auto"/>
        <w:right w:val="none" w:sz="0" w:space="0" w:color="auto"/>
      </w:divBdr>
    </w:div>
    <w:div w:id="75136247">
      <w:bodyDiv w:val="1"/>
      <w:marLeft w:val="0"/>
      <w:marRight w:val="0"/>
      <w:marTop w:val="0"/>
      <w:marBottom w:val="0"/>
      <w:divBdr>
        <w:top w:val="none" w:sz="0" w:space="0" w:color="auto"/>
        <w:left w:val="none" w:sz="0" w:space="0" w:color="auto"/>
        <w:bottom w:val="none" w:sz="0" w:space="0" w:color="auto"/>
        <w:right w:val="none" w:sz="0" w:space="0" w:color="auto"/>
      </w:divBdr>
    </w:div>
    <w:div w:id="161044236">
      <w:bodyDiv w:val="1"/>
      <w:marLeft w:val="0"/>
      <w:marRight w:val="0"/>
      <w:marTop w:val="0"/>
      <w:marBottom w:val="0"/>
      <w:divBdr>
        <w:top w:val="none" w:sz="0" w:space="0" w:color="auto"/>
        <w:left w:val="none" w:sz="0" w:space="0" w:color="auto"/>
        <w:bottom w:val="none" w:sz="0" w:space="0" w:color="auto"/>
        <w:right w:val="none" w:sz="0" w:space="0" w:color="auto"/>
      </w:divBdr>
    </w:div>
    <w:div w:id="382146403">
      <w:bodyDiv w:val="1"/>
      <w:marLeft w:val="0"/>
      <w:marRight w:val="0"/>
      <w:marTop w:val="0"/>
      <w:marBottom w:val="0"/>
      <w:divBdr>
        <w:top w:val="none" w:sz="0" w:space="0" w:color="auto"/>
        <w:left w:val="none" w:sz="0" w:space="0" w:color="auto"/>
        <w:bottom w:val="none" w:sz="0" w:space="0" w:color="auto"/>
        <w:right w:val="none" w:sz="0" w:space="0" w:color="auto"/>
      </w:divBdr>
    </w:div>
    <w:div w:id="469397663">
      <w:bodyDiv w:val="1"/>
      <w:marLeft w:val="0"/>
      <w:marRight w:val="0"/>
      <w:marTop w:val="0"/>
      <w:marBottom w:val="0"/>
      <w:divBdr>
        <w:top w:val="none" w:sz="0" w:space="0" w:color="auto"/>
        <w:left w:val="none" w:sz="0" w:space="0" w:color="auto"/>
        <w:bottom w:val="none" w:sz="0" w:space="0" w:color="auto"/>
        <w:right w:val="none" w:sz="0" w:space="0" w:color="auto"/>
      </w:divBdr>
    </w:div>
    <w:div w:id="543719278">
      <w:bodyDiv w:val="1"/>
      <w:marLeft w:val="0"/>
      <w:marRight w:val="0"/>
      <w:marTop w:val="0"/>
      <w:marBottom w:val="0"/>
      <w:divBdr>
        <w:top w:val="none" w:sz="0" w:space="0" w:color="auto"/>
        <w:left w:val="none" w:sz="0" w:space="0" w:color="auto"/>
        <w:bottom w:val="none" w:sz="0" w:space="0" w:color="auto"/>
        <w:right w:val="none" w:sz="0" w:space="0" w:color="auto"/>
      </w:divBdr>
    </w:div>
    <w:div w:id="626859114">
      <w:bodyDiv w:val="1"/>
      <w:marLeft w:val="0"/>
      <w:marRight w:val="0"/>
      <w:marTop w:val="0"/>
      <w:marBottom w:val="0"/>
      <w:divBdr>
        <w:top w:val="none" w:sz="0" w:space="0" w:color="auto"/>
        <w:left w:val="none" w:sz="0" w:space="0" w:color="auto"/>
        <w:bottom w:val="none" w:sz="0" w:space="0" w:color="auto"/>
        <w:right w:val="none" w:sz="0" w:space="0" w:color="auto"/>
      </w:divBdr>
    </w:div>
    <w:div w:id="693654540">
      <w:bodyDiv w:val="1"/>
      <w:marLeft w:val="0"/>
      <w:marRight w:val="0"/>
      <w:marTop w:val="0"/>
      <w:marBottom w:val="0"/>
      <w:divBdr>
        <w:top w:val="none" w:sz="0" w:space="0" w:color="auto"/>
        <w:left w:val="none" w:sz="0" w:space="0" w:color="auto"/>
        <w:bottom w:val="none" w:sz="0" w:space="0" w:color="auto"/>
        <w:right w:val="none" w:sz="0" w:space="0" w:color="auto"/>
      </w:divBdr>
    </w:div>
    <w:div w:id="846791035">
      <w:bodyDiv w:val="1"/>
      <w:marLeft w:val="0"/>
      <w:marRight w:val="0"/>
      <w:marTop w:val="0"/>
      <w:marBottom w:val="0"/>
      <w:divBdr>
        <w:top w:val="none" w:sz="0" w:space="0" w:color="auto"/>
        <w:left w:val="none" w:sz="0" w:space="0" w:color="auto"/>
        <w:bottom w:val="none" w:sz="0" w:space="0" w:color="auto"/>
        <w:right w:val="none" w:sz="0" w:space="0" w:color="auto"/>
      </w:divBdr>
    </w:div>
    <w:div w:id="1103265493">
      <w:bodyDiv w:val="1"/>
      <w:marLeft w:val="0"/>
      <w:marRight w:val="0"/>
      <w:marTop w:val="0"/>
      <w:marBottom w:val="0"/>
      <w:divBdr>
        <w:top w:val="none" w:sz="0" w:space="0" w:color="auto"/>
        <w:left w:val="none" w:sz="0" w:space="0" w:color="auto"/>
        <w:bottom w:val="none" w:sz="0" w:space="0" w:color="auto"/>
        <w:right w:val="none" w:sz="0" w:space="0" w:color="auto"/>
      </w:divBdr>
    </w:div>
    <w:div w:id="1120421895">
      <w:bodyDiv w:val="1"/>
      <w:marLeft w:val="0"/>
      <w:marRight w:val="0"/>
      <w:marTop w:val="0"/>
      <w:marBottom w:val="0"/>
      <w:divBdr>
        <w:top w:val="none" w:sz="0" w:space="0" w:color="auto"/>
        <w:left w:val="none" w:sz="0" w:space="0" w:color="auto"/>
        <w:bottom w:val="none" w:sz="0" w:space="0" w:color="auto"/>
        <w:right w:val="none" w:sz="0" w:space="0" w:color="auto"/>
      </w:divBdr>
    </w:div>
    <w:div w:id="1209605859">
      <w:bodyDiv w:val="1"/>
      <w:marLeft w:val="0"/>
      <w:marRight w:val="0"/>
      <w:marTop w:val="0"/>
      <w:marBottom w:val="0"/>
      <w:divBdr>
        <w:top w:val="none" w:sz="0" w:space="0" w:color="auto"/>
        <w:left w:val="none" w:sz="0" w:space="0" w:color="auto"/>
        <w:bottom w:val="none" w:sz="0" w:space="0" w:color="auto"/>
        <w:right w:val="none" w:sz="0" w:space="0" w:color="auto"/>
      </w:divBdr>
    </w:div>
    <w:div w:id="1233077563">
      <w:bodyDiv w:val="1"/>
      <w:marLeft w:val="0"/>
      <w:marRight w:val="0"/>
      <w:marTop w:val="0"/>
      <w:marBottom w:val="0"/>
      <w:divBdr>
        <w:top w:val="none" w:sz="0" w:space="0" w:color="auto"/>
        <w:left w:val="none" w:sz="0" w:space="0" w:color="auto"/>
        <w:bottom w:val="none" w:sz="0" w:space="0" w:color="auto"/>
        <w:right w:val="none" w:sz="0" w:space="0" w:color="auto"/>
      </w:divBdr>
    </w:div>
    <w:div w:id="1362709349">
      <w:bodyDiv w:val="1"/>
      <w:marLeft w:val="0"/>
      <w:marRight w:val="0"/>
      <w:marTop w:val="0"/>
      <w:marBottom w:val="0"/>
      <w:divBdr>
        <w:top w:val="none" w:sz="0" w:space="0" w:color="auto"/>
        <w:left w:val="none" w:sz="0" w:space="0" w:color="auto"/>
        <w:bottom w:val="none" w:sz="0" w:space="0" w:color="auto"/>
        <w:right w:val="none" w:sz="0" w:space="0" w:color="auto"/>
      </w:divBdr>
    </w:div>
    <w:div w:id="1414206382">
      <w:bodyDiv w:val="1"/>
      <w:marLeft w:val="0"/>
      <w:marRight w:val="0"/>
      <w:marTop w:val="0"/>
      <w:marBottom w:val="0"/>
      <w:divBdr>
        <w:top w:val="none" w:sz="0" w:space="0" w:color="auto"/>
        <w:left w:val="none" w:sz="0" w:space="0" w:color="auto"/>
        <w:bottom w:val="none" w:sz="0" w:space="0" w:color="auto"/>
        <w:right w:val="none" w:sz="0" w:space="0" w:color="auto"/>
      </w:divBdr>
    </w:div>
    <w:div w:id="1519930703">
      <w:bodyDiv w:val="1"/>
      <w:marLeft w:val="0"/>
      <w:marRight w:val="0"/>
      <w:marTop w:val="0"/>
      <w:marBottom w:val="0"/>
      <w:divBdr>
        <w:top w:val="none" w:sz="0" w:space="0" w:color="auto"/>
        <w:left w:val="none" w:sz="0" w:space="0" w:color="auto"/>
        <w:bottom w:val="none" w:sz="0" w:space="0" w:color="auto"/>
        <w:right w:val="none" w:sz="0" w:space="0" w:color="auto"/>
      </w:divBdr>
    </w:div>
    <w:div w:id="1548058324">
      <w:bodyDiv w:val="1"/>
      <w:marLeft w:val="0"/>
      <w:marRight w:val="0"/>
      <w:marTop w:val="0"/>
      <w:marBottom w:val="0"/>
      <w:divBdr>
        <w:top w:val="none" w:sz="0" w:space="0" w:color="auto"/>
        <w:left w:val="none" w:sz="0" w:space="0" w:color="auto"/>
        <w:bottom w:val="none" w:sz="0" w:space="0" w:color="auto"/>
        <w:right w:val="none" w:sz="0" w:space="0" w:color="auto"/>
      </w:divBdr>
    </w:div>
    <w:div w:id="1631934335">
      <w:bodyDiv w:val="1"/>
      <w:marLeft w:val="0"/>
      <w:marRight w:val="0"/>
      <w:marTop w:val="0"/>
      <w:marBottom w:val="0"/>
      <w:divBdr>
        <w:top w:val="none" w:sz="0" w:space="0" w:color="auto"/>
        <w:left w:val="none" w:sz="0" w:space="0" w:color="auto"/>
        <w:bottom w:val="none" w:sz="0" w:space="0" w:color="auto"/>
        <w:right w:val="none" w:sz="0" w:space="0" w:color="auto"/>
      </w:divBdr>
    </w:div>
    <w:div w:id="1793092625">
      <w:bodyDiv w:val="1"/>
      <w:marLeft w:val="0"/>
      <w:marRight w:val="0"/>
      <w:marTop w:val="0"/>
      <w:marBottom w:val="0"/>
      <w:divBdr>
        <w:top w:val="none" w:sz="0" w:space="0" w:color="auto"/>
        <w:left w:val="none" w:sz="0" w:space="0" w:color="auto"/>
        <w:bottom w:val="none" w:sz="0" w:space="0" w:color="auto"/>
        <w:right w:val="none" w:sz="0" w:space="0" w:color="auto"/>
      </w:divBdr>
    </w:div>
    <w:div w:id="1880584570">
      <w:bodyDiv w:val="1"/>
      <w:marLeft w:val="0"/>
      <w:marRight w:val="0"/>
      <w:marTop w:val="0"/>
      <w:marBottom w:val="0"/>
      <w:divBdr>
        <w:top w:val="none" w:sz="0" w:space="0" w:color="auto"/>
        <w:left w:val="none" w:sz="0" w:space="0" w:color="auto"/>
        <w:bottom w:val="none" w:sz="0" w:space="0" w:color="auto"/>
        <w:right w:val="none" w:sz="0" w:space="0" w:color="auto"/>
      </w:divBdr>
    </w:div>
    <w:div w:id="191261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e.le-roux@univ-ubs.fr" TargetMode="External"/><Relationship Id="rId13" Type="http://schemas.openxmlformats.org/officeDocument/2006/relationships/image" Target="media/image5.png"/><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4B3A5-EFEA-4B10-8942-A3463D4E4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1392</TotalTime>
  <Pages>12</Pages>
  <Words>10297</Words>
  <Characters>56637</Characters>
  <Application>Microsoft Office Word</Application>
  <DocSecurity>0</DocSecurity>
  <Lines>471</Lines>
  <Paragraphs>133</Paragraphs>
  <ScaleCrop>false</ScaleCrop>
  <HeadingPairs>
    <vt:vector size="2" baseType="variant">
      <vt:variant>
        <vt:lpstr>Titre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66801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Diane Le Roux</cp:lastModifiedBy>
  <cp:revision>22</cp:revision>
  <cp:lastPrinted>2026-09-09T10:38:00Z</cp:lastPrinted>
  <dcterms:created xsi:type="dcterms:W3CDTF">2026-09-08T13:32:00Z</dcterms:created>
  <dcterms:modified xsi:type="dcterms:W3CDTF">2026-09-09T13:47:00Z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ZOTERO_PREF_1">
    <vt:lpwstr>&lt;data data-version="3" zotero-version="9.0.6"&gt;&lt;session id="C0kd0dF9"/&gt;&lt;style id="http://www.zotero.org/styles/elsevier-harvard" hasBibliography="1" bibliographyStyleHasBeenSet="1"/&gt;&lt;prefs&gt;&lt;pref name="fieldType" value="Field"/&gt;&lt;pref name="automaticJournalA</vt:lpwstr>
  </property>
  <property fmtid="{D5CDD505-2E9C-101B-9397-08002B2CF9AE}" pid="4" name="ZOTERO_PREF_2">
    <vt:lpwstr>bbreviations" value="true"/&gt;&lt;/prefs&gt;&lt;/data&gt;</vt:lpwstr>
  </property>
</Properties>
</file>