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36CB4" w14:textId="7D24D090" w:rsidR="001A775B" w:rsidRPr="00DF6F1A" w:rsidRDefault="00CA014A" w:rsidP="00D03D1B">
      <w:pPr>
        <w:pStyle w:val="SWCTitle"/>
        <w:rPr>
          <w:lang w:val="en-GB"/>
        </w:rPr>
      </w:pPr>
      <w:r w:rsidRPr="00DF6F1A">
        <w:rPr>
          <w:sz w:val="28"/>
          <w:szCs w:val="28"/>
          <w:lang w:val="en-GB"/>
        </w:rPr>
        <w:t>EXPERIMENTAL HIGH-THROUGHPUT INFRARED</w:t>
      </w:r>
      <w:r w:rsidR="00A443C8" w:rsidRPr="00DF6F1A">
        <w:rPr>
          <w:sz w:val="28"/>
          <w:szCs w:val="28"/>
          <w:lang w:val="en-GB"/>
        </w:rPr>
        <w:t xml:space="preserve"> </w:t>
      </w:r>
      <w:r w:rsidRPr="00DF6F1A">
        <w:rPr>
          <w:sz w:val="28"/>
          <w:szCs w:val="28"/>
          <w:lang w:val="en-GB"/>
        </w:rPr>
        <w:t>THERMOGRAPHIC SCREENING OF FATTY ACID-FATTY ALCOHOL BINARY PHASE DIAGRAMS FOR TAILORED SOLAR PV/T OPERATING CONDITIONS</w:t>
      </w:r>
    </w:p>
    <w:p w14:paraId="3A7DF4B5" w14:textId="77777777" w:rsidR="001A775B" w:rsidRPr="00DF6F1A" w:rsidRDefault="001A775B" w:rsidP="001A775B">
      <w:pPr>
        <w:pStyle w:val="SWCSummary"/>
        <w:rPr>
          <w:lang w:val="en-GB"/>
        </w:rPr>
      </w:pPr>
      <w:r w:rsidRPr="00DF6F1A">
        <w:rPr>
          <w:lang w:val="en-GB"/>
        </w:rPr>
        <w:t>Summary</w:t>
      </w:r>
    </w:p>
    <w:p w14:paraId="0D2189E4" w14:textId="1C01F6E6" w:rsidR="001A775B" w:rsidRPr="00DF6F1A" w:rsidRDefault="00A443C8" w:rsidP="7D522D5D">
      <w:pPr>
        <w:pStyle w:val="SWCText"/>
        <w:pBdr>
          <w:bottom w:val="single" w:sz="6" w:space="1" w:color="auto"/>
        </w:pBdr>
        <w:rPr>
          <w:lang w:val="en-GB"/>
        </w:rPr>
      </w:pPr>
      <w:r w:rsidRPr="00DF6F1A">
        <w:rPr>
          <w:lang w:val="en-GB"/>
        </w:rPr>
        <w:t xml:space="preserve">Organic eutectic phase change materials (PCMs) formulated by combining two or more organic compounds retain the </w:t>
      </w:r>
      <w:r w:rsidR="003C19D5" w:rsidRPr="00DF6F1A">
        <w:rPr>
          <w:lang w:val="en-GB"/>
        </w:rPr>
        <w:t>favourable</w:t>
      </w:r>
      <w:r w:rsidR="00112B4C" w:rsidRPr="00DF6F1A">
        <w:rPr>
          <w:lang w:val="en-GB"/>
        </w:rPr>
        <w:t xml:space="preserve"> </w:t>
      </w:r>
      <w:r w:rsidRPr="00DF6F1A">
        <w:rPr>
          <w:lang w:val="en-GB"/>
        </w:rPr>
        <w:t xml:space="preserve">thermal stability, chemical compatibility, and high latent heat of their parent materials. </w:t>
      </w:r>
      <w:r w:rsidR="00112B4C" w:rsidRPr="00DF6F1A">
        <w:rPr>
          <w:lang w:val="en-GB"/>
        </w:rPr>
        <w:t>B</w:t>
      </w:r>
      <w:r w:rsidRPr="00DF6F1A">
        <w:rPr>
          <w:lang w:val="en-GB"/>
        </w:rPr>
        <w:t>inary systems based on fatty acids and fatty alcohols can exhibit melting temperatures significantly lower than those of the individual components, making them attractive candidates for low</w:t>
      </w:r>
      <w:r w:rsidR="00112B4C" w:rsidRPr="00DF6F1A">
        <w:rPr>
          <w:lang w:val="en-GB"/>
        </w:rPr>
        <w:t>-</w:t>
      </w:r>
      <w:r w:rsidRPr="00DF6F1A">
        <w:rPr>
          <w:lang w:val="en-GB"/>
        </w:rPr>
        <w:t>to medium-temperature thermal energy storage. In this study, t</w:t>
      </w:r>
      <w:r w:rsidR="009571DF">
        <w:rPr>
          <w:lang w:val="en-GB"/>
        </w:rPr>
        <w:t>wo</w:t>
      </w:r>
      <w:r w:rsidR="00E6298F" w:rsidRPr="00DF6F1A">
        <w:rPr>
          <w:lang w:val="en-GB"/>
        </w:rPr>
        <w:t xml:space="preserve"> </w:t>
      </w:r>
      <w:r w:rsidRPr="00DF6F1A">
        <w:rPr>
          <w:lang w:val="en-GB"/>
        </w:rPr>
        <w:t>fatty acid-fatty alcohol binary systems (Palmitic acid/1-</w:t>
      </w:r>
      <w:r w:rsidR="009571DF">
        <w:rPr>
          <w:lang w:val="en-GB"/>
        </w:rPr>
        <w:t>Hexa</w:t>
      </w:r>
      <w:r w:rsidRPr="00DF6F1A">
        <w:rPr>
          <w:lang w:val="en-GB"/>
        </w:rPr>
        <w:t>adecanol</w:t>
      </w:r>
      <w:r w:rsidR="009571DF">
        <w:rPr>
          <w:lang w:val="en-GB"/>
        </w:rPr>
        <w:t xml:space="preserve"> and</w:t>
      </w:r>
      <w:r w:rsidRPr="00DF6F1A">
        <w:rPr>
          <w:lang w:val="en-GB"/>
        </w:rPr>
        <w:t xml:space="preserve"> Palmitic acid/1-Octadecanol) were experimentally screened to determine their phase </w:t>
      </w:r>
      <w:r w:rsidR="003C19D5" w:rsidRPr="00DF6F1A">
        <w:rPr>
          <w:lang w:val="en-GB"/>
        </w:rPr>
        <w:t>behaviour</w:t>
      </w:r>
      <w:r w:rsidR="00112B4C" w:rsidRPr="00DF6F1A">
        <w:rPr>
          <w:lang w:val="en-GB"/>
        </w:rPr>
        <w:t xml:space="preserve"> </w:t>
      </w:r>
      <w:r w:rsidRPr="00DF6F1A">
        <w:rPr>
          <w:lang w:val="en-GB"/>
        </w:rPr>
        <w:t>and construct binary phase diagrams. A dynamic calorimetric methodology based on non-contact infrared thermography</w:t>
      </w:r>
      <w:r w:rsidR="005B338A">
        <w:rPr>
          <w:lang w:val="en-GB"/>
        </w:rPr>
        <w:t xml:space="preserve"> (IRT)</w:t>
      </w:r>
      <w:r w:rsidRPr="00DF6F1A">
        <w:rPr>
          <w:lang w:val="en-GB"/>
        </w:rPr>
        <w:t xml:space="preserve"> was employed to simultaneously monitor phase transitions of multiple compositions within approximately one hour, substantially reducing experimental time and cost compared with conventional differential scanning calorimetry (DSC). Across all experimentally tested compositions, melting temperatures </w:t>
      </w:r>
      <w:r w:rsidR="001A7599">
        <w:rPr>
          <w:lang w:val="en-GB"/>
        </w:rPr>
        <w:t>ranged from 55 to 68 °C, providing a broad,</w:t>
      </w:r>
      <w:r w:rsidRPr="00DF6F1A">
        <w:rPr>
          <w:lang w:val="en-GB"/>
        </w:rPr>
        <w:t xml:space="preserve"> </w:t>
      </w:r>
      <w:r w:rsidR="003C19D5" w:rsidRPr="00DF6F1A">
        <w:rPr>
          <w:lang w:val="en-GB"/>
        </w:rPr>
        <w:t>tuneable</w:t>
      </w:r>
      <w:r w:rsidRPr="00DF6F1A">
        <w:rPr>
          <w:lang w:val="en-GB"/>
        </w:rPr>
        <w:t xml:space="preserve"> operating window suitable for </w:t>
      </w:r>
      <w:r w:rsidR="001A7599">
        <w:rPr>
          <w:lang w:val="en-GB"/>
        </w:rPr>
        <w:t>customised</w:t>
      </w:r>
      <w:r w:rsidR="001A7599" w:rsidRPr="00DF6F1A">
        <w:rPr>
          <w:lang w:val="en-GB"/>
        </w:rPr>
        <w:t xml:space="preserve"> </w:t>
      </w:r>
      <w:r w:rsidRPr="00DF6F1A">
        <w:rPr>
          <w:lang w:val="en-GB"/>
        </w:rPr>
        <w:t>solar photovoltaic/thermal (PV/T) system conditions.</w:t>
      </w:r>
      <w:r w:rsidR="00EF758D" w:rsidRPr="00DF6F1A">
        <w:rPr>
          <w:lang w:val="en-GB"/>
        </w:rPr>
        <w:t xml:space="preserve"> </w:t>
      </w:r>
      <w:r w:rsidR="001B46E4">
        <w:rPr>
          <w:lang w:val="en-GB"/>
        </w:rPr>
        <w:t>After considering application-based requirements,</w:t>
      </w:r>
      <w:r w:rsidRPr="00DF6F1A">
        <w:rPr>
          <w:lang w:val="en-GB"/>
        </w:rPr>
        <w:t xml:space="preserve"> </w:t>
      </w:r>
      <w:r w:rsidR="001A7599">
        <w:rPr>
          <w:lang w:val="en-GB"/>
        </w:rPr>
        <w:t>we further characterised three promising compositions from each binary mixture by DSC to accurately quantify phase transition temperatures, latent heat values,</w:t>
      </w:r>
      <w:r w:rsidR="000B2852">
        <w:rPr>
          <w:lang w:val="en-GB"/>
        </w:rPr>
        <w:t xml:space="preserve"> and useful heat capacity</w:t>
      </w:r>
      <w:r w:rsidRPr="00DF6F1A">
        <w:rPr>
          <w:lang w:val="en-GB"/>
        </w:rPr>
        <w:t xml:space="preserve">. Overall, infrared thermography demonstrates strong potential as a high-throughput experimental tool for rapid construction of binary phase diagrams and accelerated </w:t>
      </w:r>
      <w:r w:rsidR="001A7599">
        <w:rPr>
          <w:lang w:val="en-GB"/>
        </w:rPr>
        <w:t>optimisation</w:t>
      </w:r>
      <w:r w:rsidR="001A7599" w:rsidRPr="00DF6F1A">
        <w:rPr>
          <w:lang w:val="en-GB"/>
        </w:rPr>
        <w:t xml:space="preserve"> </w:t>
      </w:r>
      <w:r w:rsidRPr="00DF6F1A">
        <w:rPr>
          <w:lang w:val="en-GB"/>
        </w:rPr>
        <w:t>of eutectic PCMs for solar PV/T Operating Conditions.</w:t>
      </w:r>
    </w:p>
    <w:p w14:paraId="5AB3A3E7" w14:textId="691CAD22" w:rsidR="00DB52E7" w:rsidRPr="00DF6F1A" w:rsidRDefault="00DB52E7" w:rsidP="001A775B">
      <w:pPr>
        <w:pStyle w:val="SWCText"/>
        <w:pBdr>
          <w:bottom w:val="single" w:sz="6" w:space="1" w:color="auto"/>
        </w:pBdr>
        <w:rPr>
          <w:i/>
          <w:iCs/>
          <w:lang w:val="en-GB"/>
        </w:rPr>
      </w:pPr>
      <w:r w:rsidRPr="00DF6F1A">
        <w:rPr>
          <w:i/>
          <w:iCs/>
          <w:lang w:val="en-GB"/>
        </w:rPr>
        <w:t xml:space="preserve">Keywords: </w:t>
      </w:r>
      <w:r w:rsidR="006B18C9" w:rsidRPr="00DF6F1A">
        <w:rPr>
          <w:i/>
          <w:iCs/>
          <w:lang w:val="en-GB"/>
        </w:rPr>
        <w:t xml:space="preserve">Phase change materials, </w:t>
      </w:r>
      <w:r w:rsidR="00CA014A" w:rsidRPr="00DF6F1A">
        <w:rPr>
          <w:i/>
          <w:iCs/>
          <w:lang w:val="en-GB"/>
        </w:rPr>
        <w:t>Infrared thermography, Phase diagram, Binary</w:t>
      </w:r>
      <w:r w:rsidR="00537851" w:rsidRPr="00DF6F1A">
        <w:rPr>
          <w:i/>
          <w:iCs/>
          <w:lang w:val="en-GB"/>
        </w:rPr>
        <w:t>,</w:t>
      </w:r>
      <w:r w:rsidR="00CA014A" w:rsidRPr="00DF6F1A">
        <w:rPr>
          <w:i/>
          <w:iCs/>
          <w:lang w:val="en-GB"/>
        </w:rPr>
        <w:t xml:space="preserve"> </w:t>
      </w:r>
      <w:r w:rsidR="00537851" w:rsidRPr="00DF6F1A">
        <w:rPr>
          <w:i/>
          <w:iCs/>
          <w:lang w:val="en-GB"/>
        </w:rPr>
        <w:t>Organic e</w:t>
      </w:r>
      <w:r w:rsidR="00CA014A" w:rsidRPr="00DF6F1A">
        <w:rPr>
          <w:i/>
          <w:iCs/>
          <w:lang w:val="en-GB"/>
        </w:rPr>
        <w:t>utectics, PV/T</w:t>
      </w:r>
    </w:p>
    <w:p w14:paraId="01458796" w14:textId="06342DEA" w:rsidR="00FA4DF8" w:rsidRPr="00DF6F1A" w:rsidRDefault="002C089D" w:rsidP="001A775B">
      <w:pPr>
        <w:pStyle w:val="SWCText"/>
        <w:pBdr>
          <w:bottom w:val="single" w:sz="6" w:space="1" w:color="auto"/>
        </w:pBdr>
        <w:rPr>
          <w:i/>
          <w:iCs/>
          <w:lang w:val="en-GB"/>
        </w:rPr>
      </w:pPr>
      <w:r w:rsidRPr="00DF6F1A">
        <w:rPr>
          <w:i/>
          <w:iCs/>
          <w:lang w:val="en-GB"/>
        </w:rPr>
        <w:t>Field of application for the findings:</w:t>
      </w:r>
      <w:r w:rsidR="00CA014A" w:rsidRPr="00DF6F1A">
        <w:rPr>
          <w:lang w:val="en-GB"/>
        </w:rPr>
        <w:t xml:space="preserve"> </w:t>
      </w:r>
      <w:r w:rsidR="00CA014A" w:rsidRPr="00DF6F1A">
        <w:rPr>
          <w:i/>
          <w:iCs/>
          <w:lang w:val="en-GB"/>
        </w:rPr>
        <w:t>Solar Thermal and PV/T Collectors</w:t>
      </w:r>
    </w:p>
    <w:p w14:paraId="185A319D" w14:textId="28350F0D" w:rsidR="002C089D" w:rsidRPr="00DF6F1A" w:rsidRDefault="00CC3B0C" w:rsidP="001A775B">
      <w:pPr>
        <w:pStyle w:val="SWCText"/>
        <w:pBdr>
          <w:bottom w:val="single" w:sz="6" w:space="1" w:color="auto"/>
        </w:pBdr>
        <w:rPr>
          <w:lang w:val="en-GB"/>
        </w:rPr>
      </w:pPr>
      <w:r w:rsidRPr="00DF6F1A">
        <w:rPr>
          <w:i/>
          <w:iCs/>
          <w:lang w:val="en-GB"/>
        </w:rPr>
        <w:t>Addressed audience:</w:t>
      </w:r>
      <w:r w:rsidR="00A443C8" w:rsidRPr="00DF6F1A">
        <w:rPr>
          <w:lang w:val="en-GB"/>
        </w:rPr>
        <w:t xml:space="preserve"> </w:t>
      </w:r>
      <w:r w:rsidR="00A443C8" w:rsidRPr="00DF6F1A">
        <w:rPr>
          <w:i/>
          <w:iCs/>
          <w:lang w:val="en-GB"/>
        </w:rPr>
        <w:t xml:space="preserve">Multidisciplinary international community of solar energy researchers, engineers, research students, industry professionals, </w:t>
      </w:r>
      <w:proofErr w:type="gramStart"/>
      <w:r w:rsidR="00A443C8" w:rsidRPr="00DF6F1A">
        <w:rPr>
          <w:i/>
          <w:iCs/>
          <w:lang w:val="en-GB"/>
        </w:rPr>
        <w:t>policy-makers</w:t>
      </w:r>
      <w:proofErr w:type="gramEnd"/>
      <w:r w:rsidR="00A443C8" w:rsidRPr="00DF6F1A">
        <w:rPr>
          <w:i/>
          <w:iCs/>
          <w:lang w:val="en-GB"/>
        </w:rPr>
        <w:t>, and renewable‑energy specialists</w:t>
      </w:r>
    </w:p>
    <w:p w14:paraId="51CD8377" w14:textId="23DFB1D3" w:rsidR="00D32EF0" w:rsidRPr="00DF6F1A" w:rsidRDefault="00D32EF0" w:rsidP="004C4EE9">
      <w:pPr>
        <w:pStyle w:val="SWCHeading1"/>
        <w:rPr>
          <w:lang w:val="en-GB"/>
        </w:rPr>
      </w:pPr>
      <w:r w:rsidRPr="00DF6F1A">
        <w:rPr>
          <w:lang w:val="en-GB"/>
        </w:rPr>
        <w:t>Introduction</w:t>
      </w:r>
    </w:p>
    <w:p w14:paraId="20442171" w14:textId="0559C63D" w:rsidR="00255C92" w:rsidRPr="00DF6F1A" w:rsidRDefault="00255C92" w:rsidP="00255C92">
      <w:pPr>
        <w:pStyle w:val="SWCText"/>
        <w:rPr>
          <w:lang w:val="en-GB"/>
        </w:rPr>
      </w:pPr>
      <w:r w:rsidRPr="00DF6F1A">
        <w:rPr>
          <w:lang w:val="en-GB"/>
        </w:rPr>
        <w:t xml:space="preserve">The growing demand for </w:t>
      </w:r>
      <w:r w:rsidR="0009589D" w:rsidRPr="00DF6F1A">
        <w:rPr>
          <w:lang w:val="en-GB"/>
        </w:rPr>
        <w:t>methodical</w:t>
      </w:r>
      <w:r w:rsidRPr="00DF6F1A">
        <w:rPr>
          <w:lang w:val="en-GB"/>
        </w:rPr>
        <w:t xml:space="preserve"> thermal management in solar photovoltaic-thermal (PV/T) systems has intensified interest in phase change materials (PCMs) that can </w:t>
      </w:r>
      <w:r w:rsidR="00A94ECC" w:rsidRPr="00DF6F1A">
        <w:rPr>
          <w:lang w:val="en-GB"/>
        </w:rPr>
        <w:t>regulate</w:t>
      </w:r>
      <w:r w:rsidRPr="00DF6F1A">
        <w:rPr>
          <w:lang w:val="en-GB"/>
        </w:rPr>
        <w:t xml:space="preserve"> temperature fluctuations while recovering useful heat. </w:t>
      </w:r>
      <w:r w:rsidR="00763B3A" w:rsidRPr="00DF6F1A">
        <w:rPr>
          <w:lang w:val="en-GB"/>
        </w:rPr>
        <w:t>Fatty acids and</w:t>
      </w:r>
      <w:r w:rsidR="00E975EC" w:rsidRPr="00DF6F1A">
        <w:rPr>
          <w:lang w:val="en-GB"/>
        </w:rPr>
        <w:t xml:space="preserve"> fatty</w:t>
      </w:r>
      <w:r w:rsidR="00763B3A" w:rsidRPr="00DF6F1A">
        <w:rPr>
          <w:lang w:val="en-GB"/>
        </w:rPr>
        <w:t xml:space="preserve"> alcohols represent an attractive class of bio-based PCM</w:t>
      </w:r>
      <w:r w:rsidR="00D7131F" w:rsidRPr="00DF6F1A">
        <w:rPr>
          <w:lang w:val="en-GB"/>
        </w:rPr>
        <w:t>s</w:t>
      </w:r>
      <w:r w:rsidR="00763B3A" w:rsidRPr="00DF6F1A">
        <w:rPr>
          <w:lang w:val="en-GB"/>
        </w:rPr>
        <w:t xml:space="preserve"> offering chemical stability, low toxicity, </w:t>
      </w:r>
      <w:r w:rsidR="00D7131F" w:rsidRPr="00DF6F1A">
        <w:rPr>
          <w:lang w:val="en-GB"/>
        </w:rPr>
        <w:t>biodegradability</w:t>
      </w:r>
      <w:r w:rsidR="00763B3A" w:rsidRPr="00DF6F1A">
        <w:rPr>
          <w:lang w:val="en-GB"/>
        </w:rPr>
        <w:t xml:space="preserve">, and </w:t>
      </w:r>
      <w:r w:rsidR="00D7131F" w:rsidRPr="00DF6F1A">
        <w:rPr>
          <w:lang w:val="en-GB"/>
        </w:rPr>
        <w:t xml:space="preserve">tuneable </w:t>
      </w:r>
      <w:r w:rsidR="00763B3A" w:rsidRPr="00DF6F1A">
        <w:rPr>
          <w:lang w:val="en-GB"/>
        </w:rPr>
        <w:t>melting points</w:t>
      </w:r>
      <w:r w:rsidR="00747D77" w:rsidRPr="00DF6F1A">
        <w:rPr>
          <w:lang w:val="en-GB"/>
        </w:rPr>
        <w:fldChar w:fldCharType="begin"/>
      </w:r>
      <w:r w:rsidR="00EF65DB" w:rsidRPr="00DF6F1A">
        <w:rPr>
          <w:lang w:val="en-GB"/>
        </w:rPr>
        <w:instrText xml:space="preserve"> ADDIN EN.CITE &lt;EndNote&gt;&lt;Cite&gt;&lt;Author&gt;Liu&lt;/Author&gt;&lt;Year&gt;2021&lt;/Year&gt;&lt;RecNum&gt;39&lt;/RecNum&gt;&lt;DisplayText&gt;[1]&lt;/DisplayText&gt;&lt;record&gt;&lt;rec-number&gt;39&lt;/rec-number&gt;&lt;foreign-keys&gt;&lt;key app="EN" db-id="xdrrrdze45p5vjerrfl5p5xkv0t9pd0ez5fd" timestamp="1772463883"&gt;39&lt;/key&gt;&lt;/foreign-keys&gt;&lt;ref-type name="Journal Article"&gt;17&lt;/ref-type&gt;&lt;contributors&gt;&lt;authors&gt;&lt;author&gt;Liu, J.&lt;/author&gt;&lt;author&gt;Jiang, D.&lt;/author&gt;&lt;author&gt;Fei, H.&lt;/author&gt;&lt;author&gt;Xu, Y.&lt;/author&gt;&lt;author&gt;Zeng, Z.&lt;/author&gt;&lt;author&gt;Ye, W.&lt;/author&gt;&lt;/authors&gt;&lt;/contributors&gt;&lt;auth-address&gt;Jiangxi Province Key Laboratory of Environmental Geotechnical Engineering and Hazards Control, Jiangxi University of Science and Technology, Ganzhou 341000, Jiangxi Province, China.&lt;/auth-address&gt;&lt;titles&gt;&lt;title&gt;Preparation and Energy Storage Properties of a Lauric acid/Octadecanol Eutectic Mixture&lt;/title&gt;&lt;secondary-title&gt;ACS Omega&lt;/secondary-title&gt;&lt;/titles&gt;&lt;periodical&gt;&lt;full-title&gt;ACS Omega&lt;/full-title&gt;&lt;/periodical&gt;&lt;pages&gt;23542-23550&lt;/pages&gt;&lt;volume&gt;6&lt;/volume&gt;&lt;number&gt;36&lt;/number&gt;&lt;edition&gt;20210831&lt;/edition&gt;&lt;dates&gt;&lt;year&gt;2021&lt;/year&gt;&lt;pub-dates&gt;&lt;date&gt;Sep 14&lt;/date&gt;&lt;/pub-dates&gt;&lt;/dates&gt;&lt;isbn&gt;2470-1343&lt;/isbn&gt;&lt;accession-num&gt;34549150&lt;/accession-num&gt;&lt;urls&gt;&lt;/urls&gt;&lt;custom1&gt;The authors declare no competing financial interest.&lt;/custom1&gt;&lt;custom2&gt;PMC8444315&lt;/custom2&gt;&lt;electronic-resource-num&gt;10.1021/acsomega.1c03626&lt;/electronic-resource-num&gt;&lt;remote-database-provider&gt;NLM&lt;/remote-database-provider&gt;&lt;language&gt;eng&lt;/language&gt;&lt;/record&gt;&lt;/Cite&gt;&lt;/EndNote&gt;</w:instrText>
      </w:r>
      <w:r w:rsidR="00747D77" w:rsidRPr="00DF6F1A">
        <w:rPr>
          <w:lang w:val="en-GB"/>
        </w:rPr>
        <w:fldChar w:fldCharType="separate"/>
      </w:r>
      <w:r w:rsidR="00EF65DB" w:rsidRPr="00DF6F1A">
        <w:rPr>
          <w:lang w:val="en-GB"/>
        </w:rPr>
        <w:t>[1]</w:t>
      </w:r>
      <w:r w:rsidR="00747D77" w:rsidRPr="00DF6F1A">
        <w:rPr>
          <w:lang w:val="en-GB"/>
        </w:rPr>
        <w:fldChar w:fldCharType="end"/>
      </w:r>
      <w:r w:rsidR="00763B3A" w:rsidRPr="00DF6F1A">
        <w:rPr>
          <w:lang w:val="en-GB"/>
        </w:rPr>
        <w:t>.</w:t>
      </w:r>
      <w:r w:rsidRPr="00DF6F1A">
        <w:rPr>
          <w:lang w:val="en-GB"/>
        </w:rPr>
        <w:t xml:space="preserve"> </w:t>
      </w:r>
      <w:r w:rsidR="008C26D2" w:rsidRPr="00DF6F1A">
        <w:rPr>
          <w:lang w:val="en-GB"/>
        </w:rPr>
        <w:t xml:space="preserve">When combined as binary mixtures, these compounds form eutectics with melting temperatures </w:t>
      </w:r>
      <w:r w:rsidR="000B605C" w:rsidRPr="00DF6F1A">
        <w:rPr>
          <w:lang w:val="en-GB"/>
        </w:rPr>
        <w:t>ranging</w:t>
      </w:r>
      <w:r w:rsidR="00B6566D" w:rsidRPr="00DF6F1A">
        <w:rPr>
          <w:lang w:val="en-GB"/>
        </w:rPr>
        <w:t xml:space="preserve"> between</w:t>
      </w:r>
      <w:r w:rsidR="00D411BF">
        <w:rPr>
          <w:lang w:val="en-GB"/>
        </w:rPr>
        <w:t>, or below,</w:t>
      </w:r>
      <w:r w:rsidR="006804EA" w:rsidRPr="00DF6F1A">
        <w:rPr>
          <w:lang w:val="en-GB"/>
        </w:rPr>
        <w:t xml:space="preserve"> </w:t>
      </w:r>
      <w:r w:rsidR="00B6566D" w:rsidRPr="00DF6F1A">
        <w:rPr>
          <w:lang w:val="en-GB"/>
        </w:rPr>
        <w:t>the melting point of both</w:t>
      </w:r>
      <w:r w:rsidR="008C26D2" w:rsidRPr="00DF6F1A">
        <w:rPr>
          <w:lang w:val="en-GB"/>
        </w:rPr>
        <w:t xml:space="preserve"> pure </w:t>
      </w:r>
      <w:r w:rsidR="00447272" w:rsidRPr="00DF6F1A">
        <w:rPr>
          <w:lang w:val="en-GB"/>
        </w:rPr>
        <w:t>components</w:t>
      </w:r>
      <w:r w:rsidR="008C26D2" w:rsidRPr="00DF6F1A">
        <w:rPr>
          <w:lang w:val="en-GB"/>
        </w:rPr>
        <w:t xml:space="preserve">, substantially broadening the design space for tailored </w:t>
      </w:r>
      <w:r w:rsidR="007D0A30" w:rsidRPr="00DF6F1A">
        <w:rPr>
          <w:lang w:val="en-GB"/>
        </w:rPr>
        <w:t>solar applications</w:t>
      </w:r>
      <w:r w:rsidR="008C26D2" w:rsidRPr="00DF6F1A">
        <w:rPr>
          <w:lang w:val="en-GB"/>
        </w:rPr>
        <w:t xml:space="preserve">. </w:t>
      </w:r>
      <w:r w:rsidRPr="00DF6F1A">
        <w:rPr>
          <w:lang w:val="en-GB"/>
        </w:rPr>
        <w:t>However, the performance of these mixtures depends strongly on composition, and identifying eutectic candidates with suitable melting points and latent heat remains a key challenge for PV/T integration</w:t>
      </w:r>
      <w:r w:rsidR="00B31082" w:rsidRPr="00DF6F1A">
        <w:rPr>
          <w:lang w:val="en-GB"/>
        </w:rPr>
        <w:fldChar w:fldCharType="begin">
          <w:fldData xml:space="preserve">PEVuZE5vdGU+PENpdGU+PEF1dGhvcj5TdW48L0F1dGhvcj48WWVhcj4yMDIzPC9ZZWFyPjxSZWNO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</w:fldData>
        </w:fldChar>
      </w:r>
      <w:r w:rsidR="006F05B4">
        <w:rPr>
          <w:lang w:val="en-GB"/>
        </w:rPr>
        <w:instrText xml:space="preserve"> ADDIN EN.CITE </w:instrText>
      </w:r>
      <w:r w:rsidR="006F05B4">
        <w:rPr>
          <w:lang w:val="en-GB"/>
        </w:rPr>
        <w:fldChar w:fldCharType="begin">
          <w:fldData xml:space="preserve">PEVuZE5vdGU+PENpdGU+PEF1dGhvcj5TdW48L0F1dGhvcj48WWVhcj4yMDIzPC9ZZWFyPjxSZWNO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</w:fldData>
        </w:fldChar>
      </w:r>
      <w:r w:rsidR="006F05B4">
        <w:rPr>
          <w:lang w:val="en-GB"/>
        </w:rPr>
        <w:instrText xml:space="preserve"> ADDIN EN.CITE.DATA </w:instrText>
      </w:r>
      <w:r w:rsidR="006F05B4">
        <w:rPr>
          <w:lang w:val="en-GB"/>
        </w:rPr>
      </w:r>
      <w:r w:rsidR="006F05B4">
        <w:rPr>
          <w:lang w:val="en-GB"/>
        </w:rPr>
        <w:fldChar w:fldCharType="end"/>
      </w:r>
      <w:r w:rsidR="00B31082" w:rsidRPr="00DF6F1A">
        <w:rPr>
          <w:lang w:val="en-GB"/>
        </w:rPr>
      </w:r>
      <w:r w:rsidR="00B31082" w:rsidRPr="00DF6F1A">
        <w:rPr>
          <w:lang w:val="en-GB"/>
        </w:rPr>
        <w:fldChar w:fldCharType="separate"/>
      </w:r>
      <w:r w:rsidR="006F05B4">
        <w:rPr>
          <w:noProof/>
          <w:lang w:val="en-GB"/>
        </w:rPr>
        <w:t>[2, 3]</w:t>
      </w:r>
      <w:r w:rsidR="00B31082" w:rsidRPr="00DF6F1A">
        <w:rPr>
          <w:lang w:val="en-GB"/>
        </w:rPr>
        <w:fldChar w:fldCharType="end"/>
      </w:r>
      <w:r w:rsidRPr="00DF6F1A">
        <w:rPr>
          <w:lang w:val="en-GB"/>
        </w:rPr>
        <w:t>.</w:t>
      </w:r>
    </w:p>
    <w:p w14:paraId="6C5AED95" w14:textId="78322347" w:rsidR="00934834" w:rsidRPr="00DF6F1A" w:rsidRDefault="00255C92" w:rsidP="00255C92">
      <w:pPr>
        <w:pStyle w:val="SWCText"/>
        <w:rPr>
          <w:lang w:val="en-GB"/>
        </w:rPr>
      </w:pPr>
      <w:r w:rsidRPr="00DF6F1A">
        <w:rPr>
          <w:lang w:val="en-GB"/>
        </w:rPr>
        <w:t xml:space="preserve">Conventional thermal </w:t>
      </w:r>
      <w:r w:rsidR="00C21473">
        <w:rPr>
          <w:lang w:val="en-GB"/>
        </w:rPr>
        <w:t>characterisation of PCM</w:t>
      </w:r>
      <w:r w:rsidRPr="00DF6F1A">
        <w:rPr>
          <w:lang w:val="en-GB"/>
        </w:rPr>
        <w:t xml:space="preserve"> candidates is typically performed using </w:t>
      </w:r>
      <w:r w:rsidR="00CA7169" w:rsidRPr="00DF6F1A">
        <w:rPr>
          <w:lang w:val="en-GB"/>
        </w:rPr>
        <w:t>D</w:t>
      </w:r>
      <w:r w:rsidRPr="00DF6F1A">
        <w:rPr>
          <w:lang w:val="en-GB"/>
        </w:rPr>
        <w:t xml:space="preserve">ifferential </w:t>
      </w:r>
      <w:r w:rsidR="00CA7169" w:rsidRPr="00DF6F1A">
        <w:rPr>
          <w:lang w:val="en-GB"/>
        </w:rPr>
        <w:t>S</w:t>
      </w:r>
      <w:r w:rsidRPr="00DF6F1A">
        <w:rPr>
          <w:lang w:val="en-GB"/>
        </w:rPr>
        <w:t xml:space="preserve">canning </w:t>
      </w:r>
      <w:r w:rsidR="00CA7169" w:rsidRPr="00DF6F1A">
        <w:rPr>
          <w:lang w:val="en-GB"/>
        </w:rPr>
        <w:t>C</w:t>
      </w:r>
      <w:r w:rsidRPr="00DF6F1A">
        <w:rPr>
          <w:lang w:val="en-GB"/>
        </w:rPr>
        <w:t>alorimetry (DSC), which provides accurate quantitative data on melting onset, peak temperature, and enthalpy of fusion. Although DSC remains the benchmark technique for thermal property determination, it is inherently</w:t>
      </w:r>
      <w:r w:rsidR="000D5D0F" w:rsidRPr="00DF6F1A">
        <w:rPr>
          <w:lang w:val="en-GB"/>
        </w:rPr>
        <w:t xml:space="preserve"> </w:t>
      </w:r>
      <w:r w:rsidR="00C21473">
        <w:rPr>
          <w:lang w:val="en-GB"/>
        </w:rPr>
        <w:t xml:space="preserve">low-throughput and time-intensive, making it less efficient as a preliminary screening tool for a </w:t>
      </w:r>
      <w:r w:rsidRPr="00DF6F1A">
        <w:rPr>
          <w:lang w:val="en-GB"/>
        </w:rPr>
        <w:t>large</w:t>
      </w:r>
      <w:r w:rsidR="00CB3A25" w:rsidRPr="00DF6F1A">
        <w:rPr>
          <w:lang w:val="en-GB"/>
        </w:rPr>
        <w:t xml:space="preserve"> range of possible mixture ratios </w:t>
      </w:r>
      <w:r w:rsidR="006F68DB">
        <w:rPr>
          <w:lang w:val="en-GB"/>
        </w:rPr>
        <w:t xml:space="preserve">in binary compositions </w:t>
      </w:r>
      <w:r w:rsidR="00D45DC5" w:rsidRPr="00DF6F1A">
        <w:rPr>
          <w:lang w:val="en-GB"/>
        </w:rPr>
        <w:fldChar w:fldCharType="begin"/>
      </w:r>
      <w:r w:rsidR="006F05B4">
        <w:rPr>
          <w:lang w:val="en-GB"/>
        </w:rPr>
        <w:instrText xml:space="preserve"> ADDIN EN.CITE &lt;EndNote&gt;&lt;Cite&gt;&lt;Author&gt;Mailhé&lt;/Author&gt;&lt;Year&gt;2020&lt;/Year&gt;&lt;RecNum&gt;40&lt;/RecNum&gt;&lt;DisplayText&gt;[4]&lt;/DisplayText&gt;&lt;record&gt;&lt;rec-number&gt;40&lt;/rec-number&gt;&lt;foreign-keys&gt;&lt;key app="EN" db-id="xdrrrdze45p5vjerrfl5p5xkv0t9pd0ez5fd" timestamp="1772464086"&gt;40&lt;/key&gt;&lt;/foreign-keys&gt;&lt;ref-type name="Journal Article"&gt;17&lt;/ref-type&gt;&lt;contributors&gt;&lt;authors&gt;&lt;author&gt;Mailhé, Clément&lt;/author&gt;&lt;author&gt;Achchaq, Fouzia&lt;/author&gt;&lt;author&gt;Duquesne, Marie&lt;/author&gt;&lt;/authors&gt;&lt;/contributors&gt;&lt;titles&gt;&lt;title&gt;Applications of an infrared thermography method for solid-liquid equilibria modeling of organic binary systems&lt;/title&gt;&lt;secondary-title&gt;Thermochimica Acta&lt;/secondary-title&gt;&lt;/titles&gt;&lt;periodical&gt;&lt;full-title&gt;Thermochimica Acta&lt;/full-title&gt;&lt;/periodical&gt;&lt;pages&gt;178580&lt;/pages&gt;&lt;volume&gt;687&lt;/volume&gt;&lt;keywords&gt;&lt;keyword&gt;Solid-liquid equilibrium&lt;/keyword&gt;&lt;keyword&gt;Phase diagram&lt;/keyword&gt;&lt;keyword&gt;Polymorphism&lt;/keyword&gt;&lt;keyword&gt;Infrared thermography&lt;/keyword&gt;&lt;keyword&gt;Organic materials&lt;/keyword&gt;&lt;/keywords&gt;&lt;dates&gt;&lt;year&gt;2020&lt;/year&gt;&lt;pub-dates&gt;&lt;date&gt;2020/05/01/&lt;/date&gt;&lt;/pub-dates&gt;&lt;/dates&gt;&lt;isbn&gt;0040-6031&lt;/isbn&gt;&lt;urls&gt;&lt;related-urls&gt;&lt;url&gt;https://www.sciencedirect.com/science/article/pii/S0040603119307233&lt;/url&gt;&lt;/related-urls&gt;&lt;/urls&gt;&lt;electronic-resource-num&gt;https://doi.org/10.1016/j.tca.2020.178580&lt;/electronic-resource-num&gt;&lt;/record&gt;&lt;/Cite&gt;&lt;/EndNote&gt;</w:instrText>
      </w:r>
      <w:r w:rsidR="00D45DC5" w:rsidRPr="00DF6F1A">
        <w:rPr>
          <w:lang w:val="en-GB"/>
        </w:rPr>
        <w:fldChar w:fldCharType="separate"/>
      </w:r>
      <w:r w:rsidR="006F05B4">
        <w:rPr>
          <w:noProof/>
          <w:lang w:val="en-GB"/>
        </w:rPr>
        <w:t>[4]</w:t>
      </w:r>
      <w:r w:rsidR="00D45DC5" w:rsidRPr="00DF6F1A">
        <w:rPr>
          <w:lang w:val="en-GB"/>
        </w:rPr>
        <w:fldChar w:fldCharType="end"/>
      </w:r>
      <w:r w:rsidRPr="00DF6F1A">
        <w:rPr>
          <w:lang w:val="en-GB"/>
        </w:rPr>
        <w:t>. For binary systems</w:t>
      </w:r>
      <w:r w:rsidR="002D44A7" w:rsidRPr="00DF6F1A">
        <w:rPr>
          <w:lang w:val="en-GB"/>
        </w:rPr>
        <w:t>,</w:t>
      </w:r>
      <w:r w:rsidRPr="00DF6F1A">
        <w:rPr>
          <w:lang w:val="en-GB"/>
        </w:rPr>
        <w:t xml:space="preserve"> a faster and more spatially informative approach is needed to rapidly identify promising eutectic compositions before detailed calorimetric validation.</w:t>
      </w:r>
      <w:r w:rsidR="00142B35" w:rsidRPr="00DF6F1A">
        <w:rPr>
          <w:lang w:val="en-GB"/>
        </w:rPr>
        <w:t xml:space="preserve"> </w:t>
      </w:r>
      <w:r w:rsidR="00940014" w:rsidRPr="00DF6F1A">
        <w:rPr>
          <w:lang w:val="en-GB"/>
        </w:rPr>
        <w:t xml:space="preserve">Infrared </w:t>
      </w:r>
      <w:r w:rsidR="00CA7169" w:rsidRPr="00DF6F1A">
        <w:rPr>
          <w:lang w:val="en-GB"/>
        </w:rPr>
        <w:t>T</w:t>
      </w:r>
      <w:r w:rsidR="00940014" w:rsidRPr="00DF6F1A">
        <w:rPr>
          <w:lang w:val="en-GB"/>
        </w:rPr>
        <w:t>hermography (IRT) offers such a complementary route, enabling non-contact, simultaneous monitoring of temperature evolution across multiple samples under identical thermal conditions.</w:t>
      </w:r>
      <w:r w:rsidR="00CD2933" w:rsidRPr="00DF6F1A">
        <w:rPr>
          <w:lang w:val="en-GB"/>
        </w:rPr>
        <w:t xml:space="preserve"> This dynamic calorimetric method </w:t>
      </w:r>
      <w:r w:rsidR="006F68DB">
        <w:rPr>
          <w:lang w:val="en-GB"/>
        </w:rPr>
        <w:t>can estimate</w:t>
      </w:r>
      <w:r w:rsidR="00CD2933" w:rsidRPr="00DF6F1A">
        <w:rPr>
          <w:lang w:val="en-GB"/>
        </w:rPr>
        <w:t xml:space="preserve"> complex solid</w:t>
      </w:r>
      <w:r w:rsidR="00DD18BB" w:rsidRPr="00DF6F1A">
        <w:rPr>
          <w:lang w:val="en-GB"/>
        </w:rPr>
        <w:t>-</w:t>
      </w:r>
      <w:r w:rsidR="00CD2933" w:rsidRPr="00DF6F1A">
        <w:rPr>
          <w:lang w:val="en-GB"/>
        </w:rPr>
        <w:t xml:space="preserve">liquid phase diagrams in only a few hours by monitoring the melting of arrays of micro‑droplets under controlled heating </w:t>
      </w:r>
      <w:r w:rsidR="00CD2933" w:rsidRPr="00DF6F1A">
        <w:rPr>
          <w:lang w:val="en-GB"/>
        </w:rPr>
        <w:fldChar w:fldCharType="begin"/>
      </w:r>
      <w:r w:rsidR="006F05B4">
        <w:rPr>
          <w:lang w:val="en-GB"/>
        </w:rPr>
        <w:instrText xml:space="preserve"> ADDIN EN.CITE &lt;EndNote&gt;&lt;Cite&gt;&lt;Author&gt;Mailhé&lt;/Author&gt;&lt;Year&gt;2019&lt;/Year&gt;&lt;RecNum&gt;41&lt;/RecNum&gt;&lt;DisplayText&gt;[5]&lt;/DisplayText&gt;&lt;record&gt;&lt;rec-number&gt;41&lt;/rec-number&gt;&lt;foreign-keys&gt;&lt;key app="EN" db-id="xdrrrdze45p5vjerrfl5p5xkv0t9pd0ez5fd" timestamp="1772464146"&gt;41&lt;/key&gt;&lt;/foreign-keys&gt;&lt;ref-type name="Journal Article"&gt;17&lt;/ref-type&gt;&lt;contributors&gt;&lt;authors&gt;&lt;author&gt;Mailhé, Clément&lt;/author&gt;&lt;author&gt;Duquesne, Marie&lt;/author&gt;&lt;author&gt;Mahroug, Imane&lt;/author&gt;&lt;author&gt;del Barrio, Elena Palomo&lt;/author&gt;&lt;/authors&gt;&lt;/contributors&gt;&lt;titles&gt;&lt;title&gt;Improved infrared thermography method for fast estimation of complex phase diagrams&lt;/title&gt;&lt;secondary-title&gt;Thermochimica Acta&lt;/secondary-title&gt;&lt;/titles&gt;&lt;periodical&gt;&lt;full-title&gt;Thermochimica Acta&lt;/full-title&gt;&lt;/periodical&gt;&lt;pages&gt;84-91&lt;/pages&gt;&lt;volume&gt;675&lt;/volume&gt;&lt;keywords&gt;&lt;keyword&gt;Phase diagrams&lt;/keyword&gt;&lt;keyword&gt;Infrared thermography&lt;/keyword&gt;&lt;keyword&gt;Detection of transitions&lt;/keyword&gt;&lt;keyword&gt;Droplet size&lt;/keyword&gt;&lt;keyword&gt;Roughness of the substrate&lt;/keyword&gt;&lt;/keywords&gt;&lt;dates&gt;&lt;year&gt;2019&lt;/year&gt;&lt;pub-dates&gt;&lt;date&gt;2019/05/01/&lt;/date&gt;&lt;/pub-dates&gt;&lt;/dates&gt;&lt;isbn&gt;0040-6031&lt;/isbn&gt;&lt;urls&gt;&lt;related-urls&gt;&lt;url&gt;https://www.sciencedirect.com/science/article/pii/S0040603118307408&lt;/url&gt;&lt;/related-urls&gt;&lt;/urls&gt;&lt;electronic-resource-num&gt;https://doi.org/10.1016/j.tca.2019.03.005&lt;/electronic-resource-num&gt;&lt;/record&gt;&lt;/Cite&gt;&lt;/EndNote&gt;</w:instrText>
      </w:r>
      <w:r w:rsidR="00CD2933" w:rsidRPr="00DF6F1A">
        <w:rPr>
          <w:lang w:val="en-GB"/>
        </w:rPr>
        <w:fldChar w:fldCharType="separate"/>
      </w:r>
      <w:r w:rsidR="006F05B4">
        <w:rPr>
          <w:noProof/>
          <w:lang w:val="en-GB"/>
        </w:rPr>
        <w:t>[5]</w:t>
      </w:r>
      <w:r w:rsidR="00CD2933" w:rsidRPr="00DF6F1A">
        <w:rPr>
          <w:lang w:val="en-GB"/>
        </w:rPr>
        <w:fldChar w:fldCharType="end"/>
      </w:r>
      <w:r w:rsidR="00CD2933" w:rsidRPr="00DF6F1A">
        <w:rPr>
          <w:lang w:val="en-GB"/>
        </w:rPr>
        <w:t>.</w:t>
      </w:r>
      <w:r w:rsidR="00653602" w:rsidRPr="00DF6F1A">
        <w:rPr>
          <w:lang w:val="en-GB"/>
        </w:rPr>
        <w:t xml:space="preserve"> </w:t>
      </w:r>
      <w:r w:rsidR="00940014" w:rsidRPr="00DF6F1A">
        <w:rPr>
          <w:lang w:val="en-GB"/>
        </w:rPr>
        <w:t>Th</w:t>
      </w:r>
      <w:r w:rsidR="00653602" w:rsidRPr="00DF6F1A">
        <w:rPr>
          <w:lang w:val="en-GB"/>
        </w:rPr>
        <w:t>is</w:t>
      </w:r>
      <w:r w:rsidR="00940014" w:rsidRPr="00DF6F1A">
        <w:rPr>
          <w:lang w:val="en-GB"/>
        </w:rPr>
        <w:t xml:space="preserve"> method </w:t>
      </w:r>
      <w:r w:rsidR="00ED3EE0" w:rsidRPr="00DF6F1A">
        <w:rPr>
          <w:lang w:val="en-GB"/>
        </w:rPr>
        <w:t xml:space="preserve">was </w:t>
      </w:r>
      <w:r w:rsidR="00940014" w:rsidRPr="00DF6F1A">
        <w:rPr>
          <w:lang w:val="en-GB"/>
        </w:rPr>
        <w:lastRenderedPageBreak/>
        <w:t>proposed by Del Barrio et al.</w:t>
      </w:r>
      <w:r w:rsidR="006D707C" w:rsidRPr="00DF6F1A">
        <w:rPr>
          <w:lang w:val="en-GB"/>
        </w:rPr>
        <w:fldChar w:fldCharType="begin"/>
      </w:r>
      <w:r w:rsidR="006F05B4">
        <w:rPr>
          <w:lang w:val="en-GB"/>
        </w:rPr>
        <w:instrText xml:space="preserve"> ADDIN EN.CITE &lt;EndNote&gt;&lt;Cite&gt;&lt;Author&gt;Palomo Del Barrio&lt;/Author&gt;&lt;Year&gt;2016&lt;/Year&gt;&lt;RecNum&gt;221&lt;/RecNum&gt;&lt;DisplayText&gt;[6]&lt;/DisplayText&gt;&lt;record&gt;&lt;rec-number&gt;221&lt;/rec-number&gt;&lt;foreign-keys&gt;&lt;key app="EN" db-id="xdrrrdze45p5vjerrfl5p5xkv0t9pd0ez5fd" timestamp="1785845318"&gt;221&lt;/key&gt;&lt;/foreign-keys&gt;&lt;ref-type name="Journal Article"&gt;17&lt;/ref-type&gt;&lt;contributors&gt;&lt;authors&gt;&lt;author&gt;Palomo Del Barrio, Elena&lt;/author&gt;&lt;author&gt;Cadoret, Régis&lt;/author&gt;&lt;author&gt;Daranlot, Julien&lt;/author&gt;&lt;author&gt;Achchaq, Fouzia&lt;/author&gt;&lt;/authors&gt;&lt;/contributors&gt;&lt;titles&gt;&lt;title&gt;Infrared thermography method for fast estimation of phase diagrams&lt;/title&gt;&lt;secondary-title&gt;Thermochimica Acta&lt;/secondary-title&gt;&lt;/titles&gt;&lt;periodical&gt;&lt;full-title&gt;Thermochimica Acta&lt;/full-title&gt;&lt;/periodical&gt;&lt;pages&gt;9-19&lt;/pages&gt;&lt;volume&gt;625&lt;/volume&gt;&lt;keywords&gt;&lt;keyword&gt;Phase diagram&lt;/keyword&gt;&lt;keyword&gt;Infrared thermography&lt;/keyword&gt;&lt;/keywords&gt;&lt;dates&gt;&lt;year&gt;2016&lt;/year&gt;&lt;pub-dates&gt;&lt;date&gt;2016/02/10/&lt;/date&gt;&lt;/pub-dates&gt;&lt;/dates&gt;&lt;isbn&gt;0040-6031&lt;/isbn&gt;&lt;urls&gt;&lt;related-urls&gt;&lt;url&gt;https://www.sciencedirect.com/science/article/pii/S0040603115004979&lt;/url&gt;&lt;/related-urls&gt;&lt;/urls&gt;&lt;electronic-resource-num&gt;https://doi.org/10.1016/j.tca.2015.12.010&lt;/electronic-resource-num&gt;&lt;/record&gt;&lt;/Cite&gt;&lt;/EndNote&gt;</w:instrText>
      </w:r>
      <w:r w:rsidR="006D707C" w:rsidRPr="00DF6F1A">
        <w:rPr>
          <w:lang w:val="en-GB"/>
        </w:rPr>
        <w:fldChar w:fldCharType="separate"/>
      </w:r>
      <w:r w:rsidR="006F05B4">
        <w:rPr>
          <w:noProof/>
          <w:lang w:val="en-GB"/>
        </w:rPr>
        <w:t>[6]</w:t>
      </w:r>
      <w:r w:rsidR="006D707C" w:rsidRPr="00DF6F1A">
        <w:rPr>
          <w:lang w:val="en-GB"/>
        </w:rPr>
        <w:fldChar w:fldCharType="end"/>
      </w:r>
      <w:r w:rsidR="00940014" w:rsidRPr="00DF6F1A">
        <w:rPr>
          <w:lang w:val="en-GB"/>
        </w:rPr>
        <w:t xml:space="preserve"> </w:t>
      </w:r>
      <w:r w:rsidR="00653602" w:rsidRPr="00DF6F1A">
        <w:rPr>
          <w:lang w:val="en-GB"/>
        </w:rPr>
        <w:t xml:space="preserve">where they </w:t>
      </w:r>
      <w:r w:rsidR="00940014" w:rsidRPr="00DF6F1A">
        <w:rPr>
          <w:lang w:val="en-GB"/>
        </w:rPr>
        <w:t>demonstrated that phase diagrams of PCM</w:t>
      </w:r>
      <w:r w:rsidR="00F53ADE" w:rsidRPr="00DF6F1A">
        <w:rPr>
          <w:lang w:val="en-GB"/>
        </w:rPr>
        <w:t>s</w:t>
      </w:r>
      <w:r w:rsidR="00940014" w:rsidRPr="00DF6F1A">
        <w:rPr>
          <w:lang w:val="en-GB"/>
        </w:rPr>
        <w:t xml:space="preserve"> mixtures can be estimated in record time</w:t>
      </w:r>
      <w:r w:rsidR="003F461C" w:rsidRPr="00DF6F1A">
        <w:rPr>
          <w:lang w:val="en-GB"/>
        </w:rPr>
        <w:t xml:space="preserve"> (1 to 3 hours)</w:t>
      </w:r>
      <w:r w:rsidR="00940014" w:rsidRPr="00DF6F1A">
        <w:rPr>
          <w:lang w:val="en-GB"/>
        </w:rPr>
        <w:t>, with results validated against DSC and theoretical predictions. Subsequent work has shown that thermographic approaches can even support estimation of melting enthalpy, further strengthening the case for IRT as a front-end screening tool</w:t>
      </w:r>
      <w:r w:rsidR="005D3B6D" w:rsidRPr="00DF6F1A">
        <w:rPr>
          <w:lang w:val="en-GB"/>
        </w:rPr>
        <w:fldChar w:fldCharType="begin"/>
      </w:r>
      <w:r w:rsidR="006F05B4">
        <w:rPr>
          <w:lang w:val="en-GB"/>
        </w:rPr>
        <w:instrText xml:space="preserve"> ADDIN EN.CITE &lt;EndNote&gt;&lt;Cite&gt;&lt;Author&gt;Mailhé&lt;/Author&gt;&lt;Year&gt;2021&lt;/Year&gt;&lt;RecNum&gt;222&lt;/RecNum&gt;&lt;DisplayText&gt;[7]&lt;/DisplayText&gt;&lt;record&gt;&lt;rec-number&gt;222&lt;/rec-number&gt;&lt;foreign-keys&gt;&lt;key app="EN" db-id="xdrrrdze45p5vjerrfl5p5xkv0t9pd0ez5fd" timestamp="1785845444"&gt;222&lt;/key&gt;&lt;/foreign-keys&gt;&lt;ref-type name="Electronic Article"&gt;43&lt;/ref-type&gt;&lt;contributors&gt;&lt;authors&gt;&lt;author&gt;Mailhé, Clément&lt;/author&gt;&lt;author&gt;Duquesne, Marie&lt;/author&gt;&lt;author&gt;Palomo del Barrio, Elena&lt;/author&gt;&lt;author&gt;Godin, Alexandre&lt;/author&gt;&lt;/authors&gt;&lt;/contributors&gt;&lt;titles&gt;&lt;title&gt;On the Use of Infrared Thermography for the Estimation of Melting Enthalpy&lt;/title&gt;&lt;secondary-title&gt;Applied Sciences&lt;/secondary-title&gt;&lt;/titles&gt;&lt;periodical&gt;&lt;full-title&gt;Applied Sciences&lt;/full-title&gt;&lt;/periodical&gt;&lt;pages&gt;5915&lt;/pages&gt;&lt;volume&gt;11&lt;/volume&gt;&lt;number&gt;13&lt;/number&gt;&lt;keywords&gt;&lt;keyword&gt;infrared thermography&lt;/keyword&gt;&lt;keyword&gt;phase transition&lt;/keyword&gt;&lt;keyword&gt;calorimetry&lt;/keyword&gt;&lt;keyword&gt;latent heat&lt;/keyword&gt;&lt;/keywords&gt;&lt;dates&gt;&lt;year&gt;2021&lt;/year&gt;&lt;/dates&gt;&lt;isbn&gt;2076-3417&lt;/isbn&gt;&lt;urls&gt;&lt;/urls&gt;&lt;electronic-resource-num&gt;10.3390/app11135915&lt;/electronic-resource-num&gt;&lt;/record&gt;&lt;/Cite&gt;&lt;/EndNote&gt;</w:instrText>
      </w:r>
      <w:r w:rsidR="005D3B6D" w:rsidRPr="00DF6F1A">
        <w:rPr>
          <w:lang w:val="en-GB"/>
        </w:rPr>
        <w:fldChar w:fldCharType="separate"/>
      </w:r>
      <w:r w:rsidR="006F05B4">
        <w:rPr>
          <w:noProof/>
          <w:lang w:val="en-GB"/>
        </w:rPr>
        <w:t>[7]</w:t>
      </w:r>
      <w:r w:rsidR="005D3B6D" w:rsidRPr="00DF6F1A">
        <w:rPr>
          <w:lang w:val="en-GB"/>
        </w:rPr>
        <w:fldChar w:fldCharType="end"/>
      </w:r>
      <w:r w:rsidR="00940014" w:rsidRPr="00DF6F1A">
        <w:rPr>
          <w:lang w:val="en-GB"/>
        </w:rPr>
        <w:t xml:space="preserve">. </w:t>
      </w:r>
      <w:r w:rsidR="00934834" w:rsidRPr="00DF6F1A">
        <w:rPr>
          <w:lang w:val="en-GB"/>
        </w:rPr>
        <w:t>Across binary systems of sugar alcohols, fatty acids, IRT data has successfully retrieved liquidus and eutectic transition lines that align with DSC measurements, typically within a 1 °C average temperature deviation</w:t>
      </w:r>
      <w:r w:rsidR="00475C20" w:rsidRPr="00DF6F1A">
        <w:rPr>
          <w:lang w:val="en-GB"/>
        </w:rPr>
        <w:fldChar w:fldCharType="begin"/>
      </w:r>
      <w:r w:rsidR="006F05B4">
        <w:rPr>
          <w:lang w:val="en-GB"/>
        </w:rPr>
        <w:instrText xml:space="preserve"> ADDIN EN.CITE &lt;EndNote&gt;&lt;Cite&gt;&lt;Author&gt;Palomo Del Barrio&lt;/Author&gt;&lt;Year&gt;2016&lt;/Year&gt;&lt;RecNum&gt;221&lt;/RecNum&gt;&lt;DisplayText&gt;[6]&lt;/DisplayText&gt;&lt;record&gt;&lt;rec-number&gt;221&lt;/rec-number&gt;&lt;foreign-keys&gt;&lt;key app="EN" db-id="xdrrrdze45p5vjerrfl5p5xkv0t9pd0ez5fd" timestamp="1785845318"&gt;221&lt;/key&gt;&lt;/foreign-keys&gt;&lt;ref-type name="Journal Article"&gt;17&lt;/ref-type&gt;&lt;contributors&gt;&lt;authors&gt;&lt;author&gt;Palomo Del Barrio, Elena&lt;/author&gt;&lt;author&gt;Cadoret, Régis&lt;/author&gt;&lt;author&gt;Daranlot, Julien&lt;/author&gt;&lt;author&gt;Achchaq, Fouzia&lt;/author&gt;&lt;/authors&gt;&lt;/contributors&gt;&lt;titles&gt;&lt;title&gt;Infrared thermography method for fast estimation of phase diagrams&lt;/title&gt;&lt;secondary-title&gt;Thermochimica Acta&lt;/secondary-title&gt;&lt;/titles&gt;&lt;periodical&gt;&lt;full-title&gt;Thermochimica Acta&lt;/full-title&gt;&lt;/periodical&gt;&lt;pages&gt;9-19&lt;/pages&gt;&lt;volume&gt;625&lt;/volume&gt;&lt;keywords&gt;&lt;keyword&gt;Phase diagram&lt;/keyword&gt;&lt;keyword&gt;Infrared thermography&lt;/keyword&gt;&lt;/keywords&gt;&lt;dates&gt;&lt;year&gt;2016&lt;/year&gt;&lt;pub-dates&gt;&lt;date&gt;2016/02/10/&lt;/date&gt;&lt;/pub-dates&gt;&lt;/dates&gt;&lt;isbn&gt;0040-6031&lt;/isbn&gt;&lt;urls&gt;&lt;related-urls&gt;&lt;url&gt;https://www.sciencedirect.com/science/article/pii/S0040603115004979&lt;/url&gt;&lt;/related-urls&gt;&lt;/urls&gt;&lt;electronic-resource-num&gt;https://doi.org/10.1016/j.tca.2015.12.010&lt;/electronic-resource-num&gt;&lt;/record&gt;&lt;/Cite&gt;&lt;/EndNote&gt;</w:instrText>
      </w:r>
      <w:r w:rsidR="00475C20" w:rsidRPr="00DF6F1A">
        <w:rPr>
          <w:lang w:val="en-GB"/>
        </w:rPr>
        <w:fldChar w:fldCharType="separate"/>
      </w:r>
      <w:r w:rsidR="006F05B4">
        <w:rPr>
          <w:noProof/>
          <w:lang w:val="en-GB"/>
        </w:rPr>
        <w:t>[6]</w:t>
      </w:r>
      <w:r w:rsidR="00475C20" w:rsidRPr="00DF6F1A">
        <w:rPr>
          <w:lang w:val="en-GB"/>
        </w:rPr>
        <w:fldChar w:fldCharType="end"/>
      </w:r>
      <w:r w:rsidR="00934834" w:rsidRPr="00DF6F1A">
        <w:rPr>
          <w:lang w:val="en-GB"/>
        </w:rPr>
        <w:t>.</w:t>
      </w:r>
      <w:r w:rsidR="00B3319D" w:rsidRPr="00DF6F1A">
        <w:rPr>
          <w:lang w:val="en-GB"/>
        </w:rPr>
        <w:t xml:space="preserve"> Beyond temperature detection, IRT has been used to estimate melting enthalpies for six fatty acid eutectics, achieving an average relative deviation of 7% from DSC data through advanced pixel-by-pixel analysis</w:t>
      </w:r>
      <w:r w:rsidR="00AB52CF" w:rsidRPr="00DF6F1A">
        <w:rPr>
          <w:lang w:val="en-GB"/>
        </w:rPr>
        <w:fldChar w:fldCharType="begin"/>
      </w:r>
      <w:r w:rsidR="006F05B4">
        <w:rPr>
          <w:lang w:val="en-GB"/>
        </w:rPr>
        <w:instrText xml:space="preserve"> ADDIN EN.CITE &lt;EndNote&gt;&lt;Cite&gt;&lt;Author&gt;Mailhé&lt;/Author&gt;&lt;Year&gt;2021&lt;/Year&gt;&lt;RecNum&gt;222&lt;/RecNum&gt;&lt;DisplayText&gt;[7]&lt;/DisplayText&gt;&lt;record&gt;&lt;rec-number&gt;222&lt;/rec-number&gt;&lt;foreign-keys&gt;&lt;key app="EN" db-id="xdrrrdze45p5vjerrfl5p5xkv0t9pd0ez5fd" timestamp="1785845444"&gt;222&lt;/key&gt;&lt;/foreign-keys&gt;&lt;ref-type name="Electronic Article"&gt;43&lt;/ref-type&gt;&lt;contributors&gt;&lt;authors&gt;&lt;author&gt;Mailhé, Clément&lt;/author&gt;&lt;author&gt;Duquesne, Marie&lt;/author&gt;&lt;author&gt;Palomo del Barrio, Elena&lt;/author&gt;&lt;author&gt;Godin, Alexandre&lt;/author&gt;&lt;/authors&gt;&lt;/contributors&gt;&lt;titles&gt;&lt;title&gt;On the Use of Infrared Thermography for the Estimation of Melting Enthalpy&lt;/title&gt;&lt;secondary-title&gt;Applied Sciences&lt;/secondary-title&gt;&lt;/titles&gt;&lt;periodical&gt;&lt;full-title&gt;Applied Sciences&lt;/full-title&gt;&lt;/periodical&gt;&lt;pages&gt;5915&lt;/pages&gt;&lt;volume&gt;11&lt;/volume&gt;&lt;number&gt;13&lt;/number&gt;&lt;keywords&gt;&lt;keyword&gt;infrared thermography&lt;/keyword&gt;&lt;keyword&gt;phase transition&lt;/keyword&gt;&lt;keyword&gt;calorimetry&lt;/keyword&gt;&lt;keyword&gt;latent heat&lt;/keyword&gt;&lt;/keywords&gt;&lt;dates&gt;&lt;year&gt;2021&lt;/year&gt;&lt;/dates&gt;&lt;isbn&gt;2076-3417&lt;/isbn&gt;&lt;urls&gt;&lt;/urls&gt;&lt;electronic-resource-num&gt;10.3390/app11135915&lt;/electronic-resource-num&gt;&lt;/record&gt;&lt;/Cite&gt;&lt;/EndNote&gt;</w:instrText>
      </w:r>
      <w:r w:rsidR="00AB52CF" w:rsidRPr="00DF6F1A">
        <w:rPr>
          <w:lang w:val="en-GB"/>
        </w:rPr>
        <w:fldChar w:fldCharType="separate"/>
      </w:r>
      <w:r w:rsidR="006F05B4">
        <w:rPr>
          <w:noProof/>
          <w:lang w:val="en-GB"/>
        </w:rPr>
        <w:t>[7]</w:t>
      </w:r>
      <w:r w:rsidR="00AB52CF" w:rsidRPr="00DF6F1A">
        <w:rPr>
          <w:lang w:val="en-GB"/>
        </w:rPr>
        <w:fldChar w:fldCharType="end"/>
      </w:r>
      <w:r w:rsidR="00C61290" w:rsidRPr="00DF6F1A">
        <w:rPr>
          <w:lang w:val="en-GB"/>
        </w:rPr>
        <w:t xml:space="preserve">. Furthermore, in complex ternary systems, IRT </w:t>
      </w:r>
      <w:r w:rsidR="00465ECB">
        <w:rPr>
          <w:lang w:val="en-GB"/>
        </w:rPr>
        <w:t>analysed 171 compositions in less than 12 hours to identify a ternary eutectic point at approximately 32 °C, a finding precisely corroborated by DSC and</w:t>
      </w:r>
      <w:r w:rsidR="00C61290" w:rsidRPr="00DF6F1A">
        <w:rPr>
          <w:lang w:val="en-GB"/>
        </w:rPr>
        <w:t xml:space="preserve"> more reliable than traditional thermodynamic modelling</w:t>
      </w:r>
      <w:r w:rsidR="007F2787" w:rsidRPr="00DF6F1A">
        <w:rPr>
          <w:lang w:val="en-GB"/>
        </w:rPr>
        <w:fldChar w:fldCharType="begin"/>
      </w:r>
      <w:r w:rsidR="006F05B4">
        <w:rPr>
          <w:lang w:val="en-GB"/>
        </w:rPr>
        <w:instrText xml:space="preserve"> ADDIN EN.CITE &lt;EndNote&gt;&lt;Cite&gt;&lt;Author&gt;Mailhé&lt;/Author&gt;&lt;Year&gt;2022&lt;/Year&gt;&lt;RecNum&gt;223&lt;/RecNum&gt;&lt;DisplayText&gt;[8]&lt;/DisplayText&gt;&lt;record&gt;&lt;rec-number&gt;223&lt;/rec-number&gt;&lt;foreign-keys&gt;&lt;key app="EN" db-id="xdrrrdze45p5vjerrfl5p5xkv0t9pd0ez5fd" timestamp="1785859062"&gt;223&lt;/key&gt;&lt;/foreign-keys&gt;&lt;ref-type name="Journal Article"&gt;17&lt;/ref-type&gt;&lt;contributors&gt;&lt;authors&gt;&lt;author&gt;Mailhé, Clément&lt;/author&gt;&lt;author&gt;Gorsse, Stéphane&lt;/author&gt;&lt;author&gt;Thirion, Boèce&lt;/author&gt;&lt;author&gt;Palomo, Elena&lt;/author&gt;&lt;author&gt;Duquesne, Marie&lt;/author&gt;&lt;/authors&gt;&lt;/contributors&gt;&lt;titles&gt;&lt;title&gt;High-throughput experiment for the rapid screening of organic phase change materials&lt;/title&gt;&lt;secondary-title&gt;Journal of Thermal Analysis and Calorimetry&lt;/secondary-title&gt;&lt;/titles&gt;&lt;periodical&gt;&lt;full-title&gt;Journal of Thermal Analysis and Calorimetry&lt;/full-title&gt;&lt;/periodical&gt;&lt;pages&gt;8137-8143&lt;/pages&gt;&lt;volume&gt;147&lt;/volume&gt;&lt;number&gt;15&lt;/number&gt;&lt;dates&gt;&lt;year&gt;2022&lt;/year&gt;&lt;pub-dates&gt;&lt;date&gt;2022/08/01&lt;/date&gt;&lt;/pub-dates&gt;&lt;/dates&gt;&lt;isbn&gt;1588-2926&lt;/isbn&gt;&lt;urls&gt;&lt;related-urls&gt;&lt;url&gt;https://doi.org/10.1007/s10973-021-11091-9&lt;/url&gt;&lt;/related-urls&gt;&lt;/urls&gt;&lt;electronic-resource-num&gt;10.1007/s10973-021-11091-9&lt;/electronic-resource-num&gt;&lt;/record&gt;&lt;/Cite&gt;&lt;/EndNote&gt;</w:instrText>
      </w:r>
      <w:r w:rsidR="007F2787" w:rsidRPr="00DF6F1A">
        <w:rPr>
          <w:lang w:val="en-GB"/>
        </w:rPr>
        <w:fldChar w:fldCharType="separate"/>
      </w:r>
      <w:r w:rsidR="006F05B4">
        <w:rPr>
          <w:noProof/>
          <w:lang w:val="en-GB"/>
        </w:rPr>
        <w:t>[8]</w:t>
      </w:r>
      <w:r w:rsidR="007F2787" w:rsidRPr="00DF6F1A">
        <w:rPr>
          <w:lang w:val="en-GB"/>
        </w:rPr>
        <w:fldChar w:fldCharType="end"/>
      </w:r>
      <w:r w:rsidR="00E60499" w:rsidRPr="00DF6F1A">
        <w:rPr>
          <w:lang w:val="en-GB"/>
        </w:rPr>
        <w:t xml:space="preserve">. </w:t>
      </w:r>
      <w:r w:rsidR="00081B0A" w:rsidRPr="00DF6F1A">
        <w:rPr>
          <w:lang w:val="en-GB"/>
        </w:rPr>
        <w:t>Although IRT data exhibits higher dispersion than DSC, this is mitigated by the method's ability to easily produce over 100 data points per system, offering a more complete and rapid depiction of the phase behaviour</w:t>
      </w:r>
      <w:r w:rsidR="00500EE9" w:rsidRPr="00DF6F1A">
        <w:rPr>
          <w:lang w:val="en-GB"/>
        </w:rPr>
        <w:fldChar w:fldCharType="begin"/>
      </w:r>
      <w:r w:rsidR="006F05B4">
        <w:rPr>
          <w:lang w:val="en-GB"/>
        </w:rPr>
        <w:instrText xml:space="preserve"> ADDIN EN.CITE &lt;EndNote&gt;&lt;Cite&gt;&lt;Author&gt;Palomo Del Barrio&lt;/Author&gt;&lt;Year&gt;2016&lt;/Year&gt;&lt;RecNum&gt;221&lt;/RecNum&gt;&lt;DisplayText&gt;[6]&lt;/DisplayText&gt;&lt;record&gt;&lt;rec-number&gt;221&lt;/rec-number&gt;&lt;foreign-keys&gt;&lt;key app="EN" db-id="xdrrrdze45p5vjerrfl5p5xkv0t9pd0ez5fd" timestamp="1785845318"&gt;221&lt;/key&gt;&lt;/foreign-keys&gt;&lt;ref-type name="Journal Article"&gt;17&lt;/ref-type&gt;&lt;contributors&gt;&lt;authors&gt;&lt;author&gt;Palomo Del Barrio, Elena&lt;/author&gt;&lt;author&gt;Cadoret, Régis&lt;/author&gt;&lt;author&gt;Daranlot, Julien&lt;/author&gt;&lt;author&gt;Achchaq, Fouzia&lt;/author&gt;&lt;/authors&gt;&lt;/contributors&gt;&lt;titles&gt;&lt;title&gt;Infrared thermography method for fast estimation of phase diagrams&lt;/title&gt;&lt;secondary-title&gt;Thermochimica Acta&lt;/secondary-title&gt;&lt;/titles&gt;&lt;periodical&gt;&lt;full-title&gt;Thermochimica Acta&lt;/full-title&gt;&lt;/periodical&gt;&lt;pages&gt;9-19&lt;/pages&gt;&lt;volume&gt;625&lt;/volume&gt;&lt;keywords&gt;&lt;keyword&gt;Phase diagram&lt;/keyword&gt;&lt;keyword&gt;Infrared thermography&lt;/keyword&gt;&lt;/keywords&gt;&lt;dates&gt;&lt;year&gt;2016&lt;/year&gt;&lt;pub-dates&gt;&lt;date&gt;2016/02/10/&lt;/date&gt;&lt;/pub-dates&gt;&lt;/dates&gt;&lt;isbn&gt;0040-6031&lt;/isbn&gt;&lt;urls&gt;&lt;related-urls&gt;&lt;url&gt;https://www.sciencedirect.com/science/article/pii/S0040603115004979&lt;/url&gt;&lt;/related-urls&gt;&lt;/urls&gt;&lt;electronic-resource-num&gt;https://doi.org/10.1016/j.tca.2015.12.010&lt;/electronic-resource-num&gt;&lt;/record&gt;&lt;/Cite&gt;&lt;/EndNote&gt;</w:instrText>
      </w:r>
      <w:r w:rsidR="00500EE9" w:rsidRPr="00DF6F1A">
        <w:rPr>
          <w:lang w:val="en-GB"/>
        </w:rPr>
        <w:fldChar w:fldCharType="separate"/>
      </w:r>
      <w:r w:rsidR="006F05B4">
        <w:rPr>
          <w:noProof/>
          <w:lang w:val="en-GB"/>
        </w:rPr>
        <w:t>[6]</w:t>
      </w:r>
      <w:r w:rsidR="00500EE9" w:rsidRPr="00DF6F1A">
        <w:rPr>
          <w:lang w:val="en-GB"/>
        </w:rPr>
        <w:fldChar w:fldCharType="end"/>
      </w:r>
      <w:r w:rsidR="0046071F" w:rsidRPr="00DF6F1A">
        <w:rPr>
          <w:lang w:val="en-GB"/>
        </w:rPr>
        <w:t>.</w:t>
      </w:r>
    </w:p>
    <w:p w14:paraId="52D7EF74" w14:textId="1C2A6DF5" w:rsidR="00FF477B" w:rsidRPr="00DF6F1A" w:rsidRDefault="00FF477B" w:rsidP="00255C92">
      <w:pPr>
        <w:pStyle w:val="SWCText"/>
        <w:rPr>
          <w:lang w:val="en-GB"/>
        </w:rPr>
      </w:pPr>
      <w:r w:rsidRPr="00DF6F1A">
        <w:rPr>
          <w:lang w:val="en-GB"/>
        </w:rPr>
        <w:t xml:space="preserve">For eutectic PCM selection, the combined strategy </w:t>
      </w:r>
      <w:r w:rsidR="008F5610" w:rsidRPr="00DF6F1A">
        <w:rPr>
          <w:lang w:val="en-GB"/>
        </w:rPr>
        <w:t>of IRT</w:t>
      </w:r>
      <w:r w:rsidR="00845285" w:rsidRPr="00DF6F1A">
        <w:rPr>
          <w:lang w:val="en-GB"/>
        </w:rPr>
        <w:t xml:space="preserve"> and </w:t>
      </w:r>
      <w:r w:rsidR="008F5610" w:rsidRPr="00DF6F1A">
        <w:rPr>
          <w:lang w:val="en-GB"/>
        </w:rPr>
        <w:t>DSC</w:t>
      </w:r>
      <w:r w:rsidR="00793D81" w:rsidRPr="00DF6F1A">
        <w:rPr>
          <w:lang w:val="en-GB"/>
        </w:rPr>
        <w:t xml:space="preserve"> analysis </w:t>
      </w:r>
      <w:r w:rsidRPr="00DF6F1A">
        <w:rPr>
          <w:lang w:val="en-GB"/>
        </w:rPr>
        <w:t>is particularly powerful as IRT rapidly ranks candidate compositions by apparent transition behaviour and thermal uniformity, while DSC confirms the selected eutectics with accurate melting</w:t>
      </w:r>
      <w:r w:rsidR="00F76BC3" w:rsidRPr="00DF6F1A">
        <w:rPr>
          <w:lang w:val="en-GB"/>
        </w:rPr>
        <w:t xml:space="preserve"> </w:t>
      </w:r>
      <w:r w:rsidRPr="00DF6F1A">
        <w:rPr>
          <w:lang w:val="en-GB"/>
        </w:rPr>
        <w:t>point and latent</w:t>
      </w:r>
      <w:r w:rsidR="00F76BC3" w:rsidRPr="00DF6F1A">
        <w:rPr>
          <w:lang w:val="en-GB"/>
        </w:rPr>
        <w:t xml:space="preserve"> </w:t>
      </w:r>
      <w:r w:rsidRPr="00DF6F1A">
        <w:rPr>
          <w:lang w:val="en-GB"/>
        </w:rPr>
        <w:t xml:space="preserve">heat data. This accelerated identification technique makes it attractive for </w:t>
      </w:r>
      <w:r w:rsidR="00D43E39" w:rsidRPr="00DF6F1A">
        <w:rPr>
          <w:lang w:val="en-GB"/>
        </w:rPr>
        <w:t>early-stage</w:t>
      </w:r>
      <w:r w:rsidRPr="00DF6F1A">
        <w:rPr>
          <w:lang w:val="en-GB"/>
        </w:rPr>
        <w:t xml:space="preserve"> selection of </w:t>
      </w:r>
      <w:r w:rsidR="00D411BF">
        <w:rPr>
          <w:lang w:val="en-GB"/>
        </w:rPr>
        <w:t>PCM formulations intended for PV/T operating conditions, where the target melting range of PCMs varies with</w:t>
      </w:r>
      <w:r w:rsidRPr="00DF6F1A">
        <w:rPr>
          <w:lang w:val="en-GB"/>
        </w:rPr>
        <w:t xml:space="preserve"> local climate and system requirements.</w:t>
      </w:r>
    </w:p>
    <w:p w14:paraId="4F5FEE7B" w14:textId="16ED3C75" w:rsidR="00B320EF" w:rsidRPr="00DF6F1A" w:rsidRDefault="00255C92" w:rsidP="007C1632">
      <w:pPr>
        <w:pStyle w:val="SWCText"/>
        <w:rPr>
          <w:lang w:val="en-GB"/>
        </w:rPr>
      </w:pPr>
      <w:r w:rsidRPr="00DF6F1A">
        <w:rPr>
          <w:lang w:val="en-GB"/>
        </w:rPr>
        <w:t xml:space="preserve">In this study, an experimental high-throughput infrared thermographic screening approach is used to map the binary phase </w:t>
      </w:r>
      <w:r w:rsidR="00FD4957" w:rsidRPr="00DF6F1A">
        <w:rPr>
          <w:lang w:val="en-GB"/>
        </w:rPr>
        <w:t>behaviour</w:t>
      </w:r>
      <w:r w:rsidRPr="00DF6F1A">
        <w:rPr>
          <w:lang w:val="en-GB"/>
        </w:rPr>
        <w:t xml:space="preserve"> of </w:t>
      </w:r>
      <w:r w:rsidR="00FD4957" w:rsidRPr="00DF6F1A">
        <w:rPr>
          <w:lang w:val="en-GB"/>
        </w:rPr>
        <w:t xml:space="preserve">two </w:t>
      </w:r>
      <w:r w:rsidRPr="00DF6F1A">
        <w:rPr>
          <w:lang w:val="en-GB"/>
        </w:rPr>
        <w:t>fatty acid</w:t>
      </w:r>
      <w:r w:rsidR="005C3BA2" w:rsidRPr="00DF6F1A">
        <w:rPr>
          <w:lang w:val="en-GB"/>
        </w:rPr>
        <w:t>-</w:t>
      </w:r>
      <w:r w:rsidRPr="00DF6F1A">
        <w:rPr>
          <w:lang w:val="en-GB"/>
        </w:rPr>
        <w:t xml:space="preserve">fatty alcohol mixtures under controlled heating conditions relevant to solar PV/T applications. The primary objective is to identify eutectic compositions with tailored melting temperatures and </w:t>
      </w:r>
      <w:r w:rsidR="00FD4957" w:rsidRPr="00DF6F1A">
        <w:rPr>
          <w:lang w:val="en-GB"/>
        </w:rPr>
        <w:t>favourable</w:t>
      </w:r>
      <w:r w:rsidRPr="00DF6F1A">
        <w:rPr>
          <w:lang w:val="en-GB"/>
        </w:rPr>
        <w:t xml:space="preserve"> thermal response</w:t>
      </w:r>
      <w:r w:rsidR="00F874EE" w:rsidRPr="00DF6F1A">
        <w:rPr>
          <w:lang w:val="en-GB"/>
        </w:rPr>
        <w:t xml:space="preserve"> </w:t>
      </w:r>
      <w:r w:rsidR="000E0037" w:rsidRPr="00DF6F1A">
        <w:rPr>
          <w:lang w:val="en-GB"/>
        </w:rPr>
        <w:t xml:space="preserve">for different </w:t>
      </w:r>
      <w:r w:rsidR="0081172A" w:rsidRPr="00DF6F1A">
        <w:rPr>
          <w:lang w:val="en-GB"/>
        </w:rPr>
        <w:t>operating</w:t>
      </w:r>
      <w:r w:rsidR="006378C2" w:rsidRPr="00DF6F1A">
        <w:rPr>
          <w:lang w:val="en-GB"/>
        </w:rPr>
        <w:t xml:space="preserve"> </w:t>
      </w:r>
      <w:r w:rsidR="00B767B5" w:rsidRPr="00DF6F1A">
        <w:rPr>
          <w:lang w:val="en-GB"/>
        </w:rPr>
        <w:t>conditions</w:t>
      </w:r>
      <w:r w:rsidRPr="00DF6F1A">
        <w:rPr>
          <w:lang w:val="en-GB"/>
        </w:rPr>
        <w:t xml:space="preserve">. To ensure reliability and quantitative accuracy, the IRT-derived screening results are compared against DSC measurements for selected compositions, allowing rapid narrowing of the compositional </w:t>
      </w:r>
      <w:r w:rsidR="00C20D24" w:rsidRPr="00DF6F1A">
        <w:rPr>
          <w:lang w:val="en-GB"/>
        </w:rPr>
        <w:t>matrix</w:t>
      </w:r>
      <w:r w:rsidRPr="00DF6F1A">
        <w:rPr>
          <w:lang w:val="en-GB"/>
        </w:rPr>
        <w:t xml:space="preserve"> while retaining the precision required for phase diagram construction and latent heat assessment.</w:t>
      </w:r>
      <w:r w:rsidR="004175A8" w:rsidRPr="00DF6F1A">
        <w:rPr>
          <w:lang w:val="en-GB"/>
        </w:rPr>
        <w:t xml:space="preserve"> By integrating both techniques, the study aims to establish an efficient experimental workflow for designing </w:t>
      </w:r>
      <w:r w:rsidR="006378C2" w:rsidRPr="00DF6F1A">
        <w:rPr>
          <w:lang w:val="en-GB"/>
        </w:rPr>
        <w:t>bio</w:t>
      </w:r>
      <w:r w:rsidR="004175A8" w:rsidRPr="00DF6F1A">
        <w:rPr>
          <w:lang w:val="en-GB"/>
        </w:rPr>
        <w:t xml:space="preserve">-based eutectics with </w:t>
      </w:r>
      <w:r w:rsidR="00294819">
        <w:rPr>
          <w:lang w:val="en-GB"/>
        </w:rPr>
        <w:t xml:space="preserve">optimised thermal transition characteristics for PV/T systems operating under a </w:t>
      </w:r>
      <w:r w:rsidR="00417FE2" w:rsidRPr="00DF6F1A">
        <w:rPr>
          <w:lang w:val="en-GB"/>
        </w:rPr>
        <w:t>wider range of</w:t>
      </w:r>
      <w:r w:rsidR="004175A8" w:rsidRPr="00DF6F1A">
        <w:rPr>
          <w:lang w:val="en-GB"/>
        </w:rPr>
        <w:t xml:space="preserve"> </w:t>
      </w:r>
      <w:r w:rsidR="00170F99" w:rsidRPr="00DF6F1A">
        <w:rPr>
          <w:lang w:val="en-GB"/>
        </w:rPr>
        <w:t>application</w:t>
      </w:r>
      <w:r w:rsidR="00B767B5" w:rsidRPr="00DF6F1A">
        <w:rPr>
          <w:lang w:val="en-GB"/>
        </w:rPr>
        <w:t>-</w:t>
      </w:r>
      <w:r w:rsidR="00170F99" w:rsidRPr="00DF6F1A">
        <w:rPr>
          <w:lang w:val="en-GB"/>
        </w:rPr>
        <w:t xml:space="preserve"> and </w:t>
      </w:r>
      <w:r w:rsidR="004175A8" w:rsidRPr="00DF6F1A">
        <w:rPr>
          <w:lang w:val="en-GB"/>
        </w:rPr>
        <w:t>environment</w:t>
      </w:r>
      <w:r w:rsidR="00B767B5" w:rsidRPr="00DF6F1A">
        <w:rPr>
          <w:lang w:val="en-GB"/>
        </w:rPr>
        <w:t>-specific</w:t>
      </w:r>
      <w:r w:rsidR="004175A8" w:rsidRPr="00DF6F1A">
        <w:rPr>
          <w:lang w:val="en-GB"/>
        </w:rPr>
        <w:t xml:space="preserve"> conditions.</w:t>
      </w:r>
    </w:p>
    <w:p w14:paraId="3D83E22A" w14:textId="106BF4F2" w:rsidR="003E1E1C" w:rsidRPr="00DF6F1A" w:rsidRDefault="00497804" w:rsidP="00490F10">
      <w:pPr>
        <w:pStyle w:val="SWCHeading1"/>
        <w:rPr>
          <w:lang w:val="en-GB"/>
        </w:rPr>
      </w:pPr>
      <w:r w:rsidRPr="00DF6F1A">
        <w:rPr>
          <w:lang w:val="en-GB"/>
        </w:rPr>
        <w:t xml:space="preserve">Materials and </w:t>
      </w:r>
      <w:r w:rsidR="00F53349" w:rsidRPr="00DF6F1A">
        <w:rPr>
          <w:lang w:val="en-GB"/>
        </w:rPr>
        <w:t>M</w:t>
      </w:r>
      <w:r w:rsidRPr="00DF6F1A">
        <w:rPr>
          <w:lang w:val="en-GB"/>
        </w:rPr>
        <w:t>ethods</w:t>
      </w:r>
    </w:p>
    <w:p w14:paraId="07882D6B" w14:textId="080A2A57" w:rsidR="00D32EF0" w:rsidRPr="00DF6F1A" w:rsidRDefault="00107A75" w:rsidP="009F7C7E">
      <w:pPr>
        <w:pStyle w:val="SWCHeading11"/>
      </w:pPr>
      <w:r w:rsidRPr="00DF6F1A">
        <w:t>2</w:t>
      </w:r>
      <w:r w:rsidR="0084100F" w:rsidRPr="00DF6F1A">
        <w:t xml:space="preserve">.1. </w:t>
      </w:r>
      <w:r w:rsidR="00497804" w:rsidRPr="00DF6F1A">
        <w:t>Materials</w:t>
      </w:r>
    </w:p>
    <w:p w14:paraId="0E431247" w14:textId="380B6F89" w:rsidR="009B4816" w:rsidRPr="00DF6F1A" w:rsidRDefault="000A69A6" w:rsidP="00B214A1">
      <w:pPr>
        <w:pStyle w:val="SWCText"/>
        <w:rPr>
          <w:lang w:val="en-GB"/>
        </w:rPr>
      </w:pPr>
      <w:r w:rsidRPr="00DF6F1A">
        <w:rPr>
          <w:lang w:val="en-GB"/>
        </w:rPr>
        <w:t>The materials used in this study are Palmitic acid, 1-Octadecanol and 1-</w:t>
      </w:r>
      <w:r w:rsidR="00BA6C75" w:rsidRPr="00DF6F1A">
        <w:rPr>
          <w:lang w:val="en-GB"/>
        </w:rPr>
        <w:t>Hexa</w:t>
      </w:r>
      <w:r w:rsidRPr="00DF6F1A">
        <w:rPr>
          <w:lang w:val="en-GB"/>
        </w:rPr>
        <w:t>decanol</w:t>
      </w:r>
      <w:r w:rsidR="00423A19" w:rsidRPr="00DF6F1A">
        <w:rPr>
          <w:lang w:val="en-GB"/>
        </w:rPr>
        <w:t xml:space="preserve"> supplied </w:t>
      </w:r>
      <w:r w:rsidR="00126DE5" w:rsidRPr="00DF6F1A">
        <w:rPr>
          <w:lang w:val="en-GB"/>
        </w:rPr>
        <w:t>by Sigma</w:t>
      </w:r>
      <w:r w:rsidR="00294819">
        <w:rPr>
          <w:lang w:val="en-GB"/>
        </w:rPr>
        <w:t>-</w:t>
      </w:r>
      <w:r w:rsidRPr="00DF6F1A">
        <w:rPr>
          <w:lang w:val="en-GB"/>
        </w:rPr>
        <w:t xml:space="preserve"> Aldric</w:t>
      </w:r>
      <w:r w:rsidR="00F26333" w:rsidRPr="00DF6F1A">
        <w:rPr>
          <w:lang w:val="en-GB"/>
        </w:rPr>
        <w:t>h</w:t>
      </w:r>
      <w:r w:rsidR="00D01FAC" w:rsidRPr="00DF6F1A">
        <w:rPr>
          <w:lang w:val="en-GB"/>
        </w:rPr>
        <w:t xml:space="preserve">. The comparative property analysis of the </w:t>
      </w:r>
      <w:r w:rsidR="00294819">
        <w:rPr>
          <w:lang w:val="en-GB"/>
        </w:rPr>
        <w:t>utilised materials is</w:t>
      </w:r>
      <w:r w:rsidR="00112B4C" w:rsidRPr="00DF6F1A">
        <w:rPr>
          <w:lang w:val="en-GB"/>
        </w:rPr>
        <w:t xml:space="preserve"> </w:t>
      </w:r>
      <w:r w:rsidR="00D01FAC" w:rsidRPr="00DF6F1A">
        <w:rPr>
          <w:lang w:val="en-GB"/>
        </w:rPr>
        <w:t xml:space="preserve">listed in </w:t>
      </w:r>
      <w:r w:rsidR="00D01FAC" w:rsidRPr="00DF6F1A">
        <w:rPr>
          <w:b/>
          <w:bCs/>
          <w:lang w:val="en-GB"/>
        </w:rPr>
        <w:t>Tab. 1</w:t>
      </w:r>
      <w:r w:rsidR="001E386A" w:rsidRPr="00DF6F1A">
        <w:rPr>
          <w:lang w:val="en-GB"/>
        </w:rPr>
        <w:t>.</w:t>
      </w:r>
    </w:p>
    <w:p w14:paraId="3E20EE4F" w14:textId="704E3790" w:rsidR="003C39C6" w:rsidRPr="00DF6F1A" w:rsidRDefault="003C39C6" w:rsidP="007A7952">
      <w:pPr>
        <w:pStyle w:val="SWCTableFigureCaption"/>
        <w:rPr>
          <w:lang w:val="en-GB"/>
        </w:rPr>
      </w:pPr>
      <w:r w:rsidRPr="00DF6F1A">
        <w:rPr>
          <w:lang w:val="en-GB"/>
        </w:rPr>
        <w:t xml:space="preserve">Tab. 1: </w:t>
      </w:r>
      <w:r w:rsidR="00956CC7" w:rsidRPr="00DF6F1A">
        <w:rPr>
          <w:lang w:val="en-GB"/>
        </w:rPr>
        <w:t>Properties of materials</w:t>
      </w:r>
      <w:r w:rsidR="00423A19" w:rsidRPr="00DF6F1A">
        <w:rPr>
          <w:lang w:val="en-GB"/>
        </w:rPr>
        <w:t xml:space="preserve"> </w:t>
      </w:r>
    </w:p>
    <w:tbl>
      <w:tblPr>
        <w:tblStyle w:val="TableGrid"/>
        <w:tblW w:w="0" w:type="auto"/>
        <w:jc w:val="center"/>
        <w:tblLook w:val="01E0" w:firstRow="1" w:lastRow="1" w:firstColumn="1" w:lastColumn="1" w:noHBand="0" w:noVBand="0"/>
      </w:tblPr>
      <w:tblGrid>
        <w:gridCol w:w="1980"/>
        <w:gridCol w:w="2359"/>
        <w:gridCol w:w="2048"/>
        <w:gridCol w:w="1210"/>
        <w:gridCol w:w="1160"/>
      </w:tblGrid>
      <w:tr w:rsidR="00044A85" w:rsidRPr="00DF6F1A" w14:paraId="58415D3C" w14:textId="2003C449" w:rsidTr="007C591A">
        <w:trPr>
          <w:jc w:val="center"/>
        </w:trPr>
        <w:tc>
          <w:tcPr>
            <w:tcW w:w="1980" w:type="dxa"/>
          </w:tcPr>
          <w:p w14:paraId="10630F3D" w14:textId="603A81C8" w:rsidR="00044A85" w:rsidRPr="00DF6F1A" w:rsidRDefault="00044A85" w:rsidP="00F715C3">
            <w:pPr>
              <w:pStyle w:val="SWCTableHeader"/>
            </w:pPr>
            <w:r w:rsidRPr="00DF6F1A">
              <w:t>Material</w:t>
            </w:r>
          </w:p>
        </w:tc>
        <w:tc>
          <w:tcPr>
            <w:tcW w:w="2359" w:type="dxa"/>
          </w:tcPr>
          <w:p w14:paraId="434C5606" w14:textId="3F91CEBE" w:rsidR="00044A85" w:rsidRPr="00DF6F1A" w:rsidRDefault="00044A85" w:rsidP="00F715C3">
            <w:pPr>
              <w:pStyle w:val="SWCTableHeader"/>
            </w:pPr>
            <w:r w:rsidRPr="00DF6F1A">
              <w:t>CAS Number</w:t>
            </w:r>
          </w:p>
        </w:tc>
        <w:tc>
          <w:tcPr>
            <w:tcW w:w="2048" w:type="dxa"/>
          </w:tcPr>
          <w:p w14:paraId="628D0D3A" w14:textId="593B96FE" w:rsidR="00044A85" w:rsidRPr="00DF6F1A" w:rsidRDefault="00044A85" w:rsidP="00F715C3">
            <w:pPr>
              <w:pStyle w:val="SWCTableHeader"/>
            </w:pPr>
            <w:r w:rsidRPr="00DF6F1A">
              <w:t>Molecular weight(g/mol)</w:t>
            </w:r>
          </w:p>
        </w:tc>
        <w:tc>
          <w:tcPr>
            <w:tcW w:w="1210" w:type="dxa"/>
          </w:tcPr>
          <w:p w14:paraId="105B339F" w14:textId="63BCAAE5" w:rsidR="00044A85" w:rsidRPr="00DF6F1A" w:rsidRDefault="00044A85" w:rsidP="00F715C3">
            <w:pPr>
              <w:pStyle w:val="SWCTableHeader"/>
            </w:pPr>
            <w:r w:rsidRPr="00DF6F1A">
              <w:t>Melting Point (°C)</w:t>
            </w:r>
          </w:p>
        </w:tc>
        <w:tc>
          <w:tcPr>
            <w:tcW w:w="1160" w:type="dxa"/>
          </w:tcPr>
          <w:p w14:paraId="4B8DE4E2" w14:textId="62F89C8D" w:rsidR="00044A85" w:rsidRPr="00DF6F1A" w:rsidRDefault="00044A85" w:rsidP="00F715C3">
            <w:pPr>
              <w:pStyle w:val="SWCTableHeader"/>
            </w:pPr>
            <w:r w:rsidRPr="00DF6F1A">
              <w:t>Purity</w:t>
            </w:r>
          </w:p>
        </w:tc>
      </w:tr>
      <w:tr w:rsidR="00044A85" w:rsidRPr="00DF6F1A" w14:paraId="79EBD9A3" w14:textId="539B7821" w:rsidTr="007C591A">
        <w:trPr>
          <w:jc w:val="center"/>
        </w:trPr>
        <w:tc>
          <w:tcPr>
            <w:tcW w:w="1980" w:type="dxa"/>
          </w:tcPr>
          <w:p w14:paraId="5EA2A79A" w14:textId="6455FC9C" w:rsidR="00044A85" w:rsidRPr="00DF6F1A" w:rsidRDefault="00044A85" w:rsidP="00956CC7">
            <w:pPr>
              <w:pStyle w:val="SWCTableText"/>
            </w:pPr>
            <w:r w:rsidRPr="00DF6F1A">
              <w:t>Palmitic Acid</w:t>
            </w:r>
            <w:r w:rsidR="007C591A">
              <w:t xml:space="preserve"> (PA)</w:t>
            </w:r>
          </w:p>
        </w:tc>
        <w:tc>
          <w:tcPr>
            <w:tcW w:w="2359" w:type="dxa"/>
          </w:tcPr>
          <w:p w14:paraId="2104B2DD" w14:textId="073F7F42" w:rsidR="00044A85" w:rsidRPr="00DF6F1A" w:rsidRDefault="00044A85" w:rsidP="00956CC7">
            <w:pPr>
              <w:pStyle w:val="SWCTableText"/>
            </w:pPr>
            <w:r w:rsidRPr="00DF6F1A">
              <w:t>57-10-3</w:t>
            </w:r>
          </w:p>
        </w:tc>
        <w:tc>
          <w:tcPr>
            <w:tcW w:w="2048" w:type="dxa"/>
          </w:tcPr>
          <w:p w14:paraId="4C4E7BAF" w14:textId="2A01AD91" w:rsidR="00044A85" w:rsidRPr="00DF6F1A" w:rsidRDefault="00044A85" w:rsidP="00956CC7">
            <w:pPr>
              <w:pStyle w:val="SWCTableText"/>
            </w:pPr>
            <w:r w:rsidRPr="00DF6F1A">
              <w:t>256.42</w:t>
            </w:r>
          </w:p>
        </w:tc>
        <w:tc>
          <w:tcPr>
            <w:tcW w:w="1210" w:type="dxa"/>
          </w:tcPr>
          <w:p w14:paraId="1F224F41" w14:textId="46A5F11B" w:rsidR="00044A85" w:rsidRPr="00DF6F1A" w:rsidRDefault="00044A85" w:rsidP="00956CC7">
            <w:pPr>
              <w:pStyle w:val="SWCTableText"/>
            </w:pPr>
            <w:r w:rsidRPr="00DF6F1A">
              <w:t>62</w:t>
            </w:r>
            <w:r w:rsidR="009179D8" w:rsidRPr="00DF6F1A">
              <w:t>-</w:t>
            </w:r>
            <w:r w:rsidRPr="00DF6F1A">
              <w:t xml:space="preserve">66 </w:t>
            </w:r>
          </w:p>
        </w:tc>
        <w:tc>
          <w:tcPr>
            <w:tcW w:w="1160" w:type="dxa"/>
          </w:tcPr>
          <w:p w14:paraId="0E5C5AFD" w14:textId="46C2A2EE" w:rsidR="00044A85" w:rsidRPr="00DF6F1A" w:rsidRDefault="005972B2" w:rsidP="00956CC7">
            <w:pPr>
              <w:pStyle w:val="SWCTableText"/>
            </w:pPr>
            <w:r w:rsidRPr="00DF6F1A">
              <w:t>≥98%</w:t>
            </w:r>
          </w:p>
        </w:tc>
      </w:tr>
      <w:tr w:rsidR="00044A85" w:rsidRPr="00DF6F1A" w14:paraId="2296F6D1" w14:textId="3D5F7EC3" w:rsidTr="007C591A">
        <w:trPr>
          <w:jc w:val="center"/>
        </w:trPr>
        <w:tc>
          <w:tcPr>
            <w:tcW w:w="1980" w:type="dxa"/>
          </w:tcPr>
          <w:p w14:paraId="7AF52237" w14:textId="289214E5" w:rsidR="00044A85" w:rsidRPr="00DF6F1A" w:rsidRDefault="00044A85" w:rsidP="00956CC7">
            <w:pPr>
              <w:pStyle w:val="SWCTableText"/>
            </w:pPr>
            <w:r w:rsidRPr="00DF6F1A">
              <w:t>1-Octadecanol</w:t>
            </w:r>
            <w:r w:rsidR="007C591A">
              <w:t xml:space="preserve"> (OD)</w:t>
            </w:r>
          </w:p>
        </w:tc>
        <w:tc>
          <w:tcPr>
            <w:tcW w:w="2359" w:type="dxa"/>
          </w:tcPr>
          <w:p w14:paraId="292E9856" w14:textId="16FCED62" w:rsidR="00044A85" w:rsidRPr="00DF6F1A" w:rsidRDefault="00044A85" w:rsidP="00956CC7">
            <w:pPr>
              <w:pStyle w:val="SWCTableText"/>
            </w:pPr>
            <w:r w:rsidRPr="00DF6F1A">
              <w:t>112-92-5</w:t>
            </w:r>
          </w:p>
        </w:tc>
        <w:tc>
          <w:tcPr>
            <w:tcW w:w="2048" w:type="dxa"/>
          </w:tcPr>
          <w:p w14:paraId="7B96D48F" w14:textId="002B76FD" w:rsidR="00044A85" w:rsidRPr="00DF6F1A" w:rsidRDefault="00044A85" w:rsidP="00956CC7">
            <w:pPr>
              <w:pStyle w:val="SWCTableText"/>
            </w:pPr>
            <w:r w:rsidRPr="00DF6F1A">
              <w:t>270.50</w:t>
            </w:r>
          </w:p>
        </w:tc>
        <w:tc>
          <w:tcPr>
            <w:tcW w:w="1210" w:type="dxa"/>
          </w:tcPr>
          <w:p w14:paraId="6465706D" w14:textId="486AC9D5" w:rsidR="00044A85" w:rsidRPr="00DF6F1A" w:rsidRDefault="00044A85" w:rsidP="00956CC7">
            <w:pPr>
              <w:pStyle w:val="SWCTableText"/>
            </w:pPr>
            <w:r w:rsidRPr="00DF6F1A">
              <w:t>59</w:t>
            </w:r>
            <w:r w:rsidR="009179D8" w:rsidRPr="00DF6F1A">
              <w:t>-</w:t>
            </w:r>
            <w:r w:rsidRPr="00DF6F1A">
              <w:t>60</w:t>
            </w:r>
          </w:p>
        </w:tc>
        <w:tc>
          <w:tcPr>
            <w:tcW w:w="1160" w:type="dxa"/>
          </w:tcPr>
          <w:p w14:paraId="138ED0D0" w14:textId="498CA5A9" w:rsidR="00044A85" w:rsidRPr="00DF6F1A" w:rsidRDefault="00F502FD" w:rsidP="00956CC7">
            <w:pPr>
              <w:pStyle w:val="SWCTableText"/>
            </w:pPr>
            <w:r w:rsidRPr="00DF6F1A">
              <w:t>95%</w:t>
            </w:r>
          </w:p>
        </w:tc>
      </w:tr>
      <w:tr w:rsidR="00044A85" w:rsidRPr="00DF6F1A" w14:paraId="7F22F7B9" w14:textId="365C81B6" w:rsidTr="007C591A">
        <w:trPr>
          <w:jc w:val="center"/>
        </w:trPr>
        <w:tc>
          <w:tcPr>
            <w:tcW w:w="1980" w:type="dxa"/>
          </w:tcPr>
          <w:p w14:paraId="0A696331" w14:textId="3AFD5C98" w:rsidR="00044A85" w:rsidRPr="00DF6F1A" w:rsidRDefault="00044A85" w:rsidP="00956CC7">
            <w:pPr>
              <w:pStyle w:val="SWCTableText"/>
            </w:pPr>
            <w:r w:rsidRPr="00DF6F1A">
              <w:t>1-</w:t>
            </w:r>
            <w:r w:rsidR="00F262C6" w:rsidRPr="00DF6F1A">
              <w:t>Hexadecanol</w:t>
            </w:r>
            <w:r w:rsidR="007C591A">
              <w:t xml:space="preserve"> (HD)</w:t>
            </w:r>
          </w:p>
        </w:tc>
        <w:tc>
          <w:tcPr>
            <w:tcW w:w="2359" w:type="dxa"/>
          </w:tcPr>
          <w:p w14:paraId="080F0B6C" w14:textId="2191B4B3" w:rsidR="00044A85" w:rsidRPr="00DF6F1A" w:rsidRDefault="00E72EF0" w:rsidP="00956CC7">
            <w:pPr>
              <w:pStyle w:val="SWCTableText"/>
            </w:pPr>
            <w:r w:rsidRPr="00DF6F1A">
              <w:t>36653-82-4</w:t>
            </w:r>
          </w:p>
        </w:tc>
        <w:tc>
          <w:tcPr>
            <w:tcW w:w="2048" w:type="dxa"/>
          </w:tcPr>
          <w:p w14:paraId="4435DFB0" w14:textId="702243D9" w:rsidR="00044A85" w:rsidRPr="00DF6F1A" w:rsidRDefault="00044A85" w:rsidP="00956CC7">
            <w:pPr>
              <w:pStyle w:val="SWCTableText"/>
            </w:pPr>
            <w:r w:rsidRPr="00DF6F1A">
              <w:t>2</w:t>
            </w:r>
            <w:r w:rsidR="009179D8" w:rsidRPr="00DF6F1A">
              <w:t>42.44</w:t>
            </w:r>
          </w:p>
        </w:tc>
        <w:tc>
          <w:tcPr>
            <w:tcW w:w="1210" w:type="dxa"/>
          </w:tcPr>
          <w:p w14:paraId="61D33847" w14:textId="15EC1ECA" w:rsidR="00044A85" w:rsidRPr="00DF6F1A" w:rsidRDefault="009179D8" w:rsidP="00956CC7">
            <w:pPr>
              <w:pStyle w:val="SWCTableText"/>
            </w:pPr>
            <w:r w:rsidRPr="00DF6F1A">
              <w:t>48-50</w:t>
            </w:r>
          </w:p>
        </w:tc>
        <w:tc>
          <w:tcPr>
            <w:tcW w:w="1160" w:type="dxa"/>
          </w:tcPr>
          <w:p w14:paraId="15E8E116" w14:textId="6D91CA93" w:rsidR="00044A85" w:rsidRPr="00DF6F1A" w:rsidRDefault="00166CA1" w:rsidP="00956CC7">
            <w:pPr>
              <w:pStyle w:val="SWCTableText"/>
            </w:pPr>
            <w:r w:rsidRPr="00DF6F1A">
              <w:t>99.0%</w:t>
            </w:r>
          </w:p>
        </w:tc>
      </w:tr>
    </w:tbl>
    <w:p w14:paraId="68094616" w14:textId="611470C2" w:rsidR="009F6AF8" w:rsidRPr="00DF6F1A" w:rsidRDefault="00107A75" w:rsidP="009F7C7E">
      <w:pPr>
        <w:pStyle w:val="SWCHeading11"/>
      </w:pPr>
      <w:r w:rsidRPr="00DF6F1A">
        <w:t>2</w:t>
      </w:r>
      <w:r w:rsidR="0084100F" w:rsidRPr="00DF6F1A">
        <w:t xml:space="preserve">.2. </w:t>
      </w:r>
      <w:r w:rsidR="00D01FAC" w:rsidRPr="00DF6F1A">
        <w:t>Binary Eutectic Preparation</w:t>
      </w:r>
    </w:p>
    <w:p w14:paraId="500B2C9B" w14:textId="312B0001" w:rsidR="00822BF5" w:rsidRPr="00DF6F1A" w:rsidRDefault="00BD2517" w:rsidP="005C5E5F">
      <w:pPr>
        <w:spacing w:line="276" w:lineRule="auto"/>
        <w:jc w:val="both"/>
      </w:pPr>
      <w:r w:rsidRPr="00DF6F1A">
        <w:rPr>
          <w:sz w:val="20"/>
          <w:szCs w:val="20"/>
        </w:rPr>
        <w:t>Two</w:t>
      </w:r>
      <w:r w:rsidR="00CF2A04" w:rsidRPr="00DF6F1A">
        <w:rPr>
          <w:sz w:val="20"/>
          <w:szCs w:val="20"/>
        </w:rPr>
        <w:t xml:space="preserve"> binary mixture</w:t>
      </w:r>
      <w:r w:rsidR="00EC3C42" w:rsidRPr="00DF6F1A">
        <w:rPr>
          <w:sz w:val="20"/>
          <w:szCs w:val="20"/>
        </w:rPr>
        <w:t>s (</w:t>
      </w:r>
      <w:r w:rsidR="00C51AFF" w:rsidRPr="00DF6F1A">
        <w:rPr>
          <w:sz w:val="20"/>
          <w:szCs w:val="20"/>
        </w:rPr>
        <w:t>P</w:t>
      </w:r>
      <w:r w:rsidR="00EC3C42" w:rsidRPr="00DF6F1A">
        <w:rPr>
          <w:sz w:val="20"/>
          <w:szCs w:val="20"/>
        </w:rPr>
        <w:t xml:space="preserve">almitic </w:t>
      </w:r>
      <w:r w:rsidR="00C51AFF" w:rsidRPr="00DF6F1A">
        <w:rPr>
          <w:sz w:val="20"/>
          <w:szCs w:val="20"/>
        </w:rPr>
        <w:t>A</w:t>
      </w:r>
      <w:r w:rsidR="00EC3C42" w:rsidRPr="00DF6F1A">
        <w:rPr>
          <w:sz w:val="20"/>
          <w:szCs w:val="20"/>
        </w:rPr>
        <w:t>cid+</w:t>
      </w:r>
      <w:r w:rsidR="00C51AFF" w:rsidRPr="00DF6F1A">
        <w:rPr>
          <w:sz w:val="20"/>
          <w:szCs w:val="20"/>
        </w:rPr>
        <w:t xml:space="preserve">1-Octadecanol and </w:t>
      </w:r>
      <w:r w:rsidR="00300D47" w:rsidRPr="00DF6F1A">
        <w:rPr>
          <w:sz w:val="20"/>
          <w:szCs w:val="20"/>
        </w:rPr>
        <w:t>P</w:t>
      </w:r>
      <w:r w:rsidR="00C51AFF" w:rsidRPr="00DF6F1A">
        <w:rPr>
          <w:sz w:val="20"/>
          <w:szCs w:val="20"/>
        </w:rPr>
        <w:t xml:space="preserve">almitic </w:t>
      </w:r>
      <w:r w:rsidR="00300D47" w:rsidRPr="00DF6F1A">
        <w:rPr>
          <w:sz w:val="20"/>
          <w:szCs w:val="20"/>
        </w:rPr>
        <w:t>A</w:t>
      </w:r>
      <w:r w:rsidR="00C51AFF" w:rsidRPr="00DF6F1A">
        <w:rPr>
          <w:sz w:val="20"/>
          <w:szCs w:val="20"/>
        </w:rPr>
        <w:t>cid + 1-Hexadecanol</w:t>
      </w:r>
      <w:r w:rsidR="00EC3C42" w:rsidRPr="00DF6F1A">
        <w:rPr>
          <w:sz w:val="20"/>
          <w:szCs w:val="20"/>
        </w:rPr>
        <w:t>)</w:t>
      </w:r>
      <w:r w:rsidR="00CF2A04" w:rsidRPr="00DF6F1A">
        <w:rPr>
          <w:sz w:val="20"/>
          <w:szCs w:val="20"/>
        </w:rPr>
        <w:t xml:space="preserve"> w</w:t>
      </w:r>
      <w:r w:rsidR="00300D47" w:rsidRPr="00DF6F1A">
        <w:rPr>
          <w:sz w:val="20"/>
          <w:szCs w:val="20"/>
        </w:rPr>
        <w:t>ere</w:t>
      </w:r>
      <w:r w:rsidR="00CF2A04" w:rsidRPr="00DF6F1A">
        <w:rPr>
          <w:sz w:val="20"/>
          <w:szCs w:val="20"/>
        </w:rPr>
        <w:t xml:space="preserve"> prepared</w:t>
      </w:r>
      <w:r w:rsidR="00227819" w:rsidRPr="00DF6F1A">
        <w:rPr>
          <w:sz w:val="20"/>
          <w:szCs w:val="20"/>
        </w:rPr>
        <w:t>.</w:t>
      </w:r>
      <w:r w:rsidR="00CF2A04" w:rsidRPr="00DF6F1A">
        <w:rPr>
          <w:sz w:val="20"/>
          <w:szCs w:val="20"/>
        </w:rPr>
        <w:t xml:space="preserve"> </w:t>
      </w:r>
      <w:r w:rsidR="00227819" w:rsidRPr="00DF6F1A">
        <w:rPr>
          <w:sz w:val="20"/>
          <w:szCs w:val="20"/>
        </w:rPr>
        <w:t xml:space="preserve">A total of 21 samples were produced for each binary system </w:t>
      </w:r>
      <w:r w:rsidR="00CF2A04" w:rsidRPr="00DF6F1A">
        <w:rPr>
          <w:sz w:val="20"/>
          <w:szCs w:val="20"/>
        </w:rPr>
        <w:t xml:space="preserve">by beginning with the pure material, followed by stepwise reductions of 5 wt.% of that material and replacement with its paired component. The wt.% of the paired component increased progressively until it reached its pure form. </w:t>
      </w:r>
      <w:r w:rsidR="00107A75" w:rsidRPr="00DF6F1A">
        <w:rPr>
          <w:sz w:val="20"/>
          <w:szCs w:val="20"/>
        </w:rPr>
        <w:t xml:space="preserve">After weighing the required amount </w:t>
      </w:r>
      <w:r w:rsidR="00B01A8A" w:rsidRPr="00DF6F1A">
        <w:rPr>
          <w:sz w:val="20"/>
          <w:szCs w:val="20"/>
        </w:rPr>
        <w:t>on</w:t>
      </w:r>
      <w:r w:rsidR="00107A75" w:rsidRPr="00DF6F1A">
        <w:rPr>
          <w:sz w:val="20"/>
          <w:szCs w:val="20"/>
        </w:rPr>
        <w:t xml:space="preserve"> a</w:t>
      </w:r>
      <w:r w:rsidR="007F4687" w:rsidRPr="00DF6F1A">
        <w:rPr>
          <w:sz w:val="20"/>
          <w:szCs w:val="20"/>
        </w:rPr>
        <w:t xml:space="preserve"> </w:t>
      </w:r>
      <w:r w:rsidR="00150A0B" w:rsidRPr="00DF6F1A">
        <w:rPr>
          <w:sz w:val="20"/>
          <w:szCs w:val="20"/>
        </w:rPr>
        <w:t>K</w:t>
      </w:r>
      <w:r w:rsidR="007F4687" w:rsidRPr="00DF6F1A">
        <w:rPr>
          <w:sz w:val="20"/>
          <w:szCs w:val="20"/>
        </w:rPr>
        <w:t>ERN</w:t>
      </w:r>
      <w:r w:rsidR="00150A0B" w:rsidRPr="00DF6F1A">
        <w:rPr>
          <w:sz w:val="20"/>
          <w:szCs w:val="20"/>
        </w:rPr>
        <w:t xml:space="preserve"> 770-15</w:t>
      </w:r>
      <w:r w:rsidR="00107A75" w:rsidRPr="00DF6F1A">
        <w:rPr>
          <w:sz w:val="20"/>
          <w:szCs w:val="20"/>
        </w:rPr>
        <w:t xml:space="preserve"> digital scale</w:t>
      </w:r>
      <w:r w:rsidR="00150A0B" w:rsidRPr="00DF6F1A">
        <w:rPr>
          <w:sz w:val="20"/>
          <w:szCs w:val="20"/>
        </w:rPr>
        <w:t xml:space="preserve"> (accuracy ±</w:t>
      </w:r>
      <w:r w:rsidR="00112B4C" w:rsidRPr="00DF6F1A">
        <w:rPr>
          <w:sz w:val="20"/>
          <w:szCs w:val="20"/>
        </w:rPr>
        <w:t>0.20</w:t>
      </w:r>
      <w:r w:rsidR="00150A0B" w:rsidRPr="00DF6F1A">
        <w:rPr>
          <w:sz w:val="20"/>
          <w:szCs w:val="20"/>
        </w:rPr>
        <w:t xml:space="preserve"> mg)</w:t>
      </w:r>
      <w:r w:rsidR="00107A75" w:rsidRPr="00DF6F1A">
        <w:rPr>
          <w:sz w:val="20"/>
          <w:szCs w:val="20"/>
        </w:rPr>
        <w:t xml:space="preserve">, each sample was </w:t>
      </w:r>
      <w:r w:rsidR="00CF2A04" w:rsidRPr="00DF6F1A">
        <w:rPr>
          <w:sz w:val="20"/>
          <w:szCs w:val="20"/>
        </w:rPr>
        <w:t>melted, cooled, and remelted</w:t>
      </w:r>
      <w:r w:rsidR="00107A75" w:rsidRPr="00DF6F1A">
        <w:rPr>
          <w:sz w:val="20"/>
          <w:szCs w:val="20"/>
        </w:rPr>
        <w:t xml:space="preserve"> to ensure homogeneity of the components</w:t>
      </w:r>
      <w:r w:rsidR="00107A75" w:rsidRPr="00DF6F1A">
        <w:t>.</w:t>
      </w:r>
      <w:r w:rsidR="00AF3629" w:rsidRPr="00DF6F1A">
        <w:rPr>
          <w:sz w:val="20"/>
          <w:szCs w:val="20"/>
        </w:rPr>
        <w:t xml:space="preserve"> The </w:t>
      </w:r>
      <w:r w:rsidR="00517E6C" w:rsidRPr="00DF6F1A">
        <w:rPr>
          <w:sz w:val="20"/>
          <w:szCs w:val="20"/>
        </w:rPr>
        <w:t xml:space="preserve">eutectic synthesis process and samples are shown in </w:t>
      </w:r>
      <w:r w:rsidR="00517E6C" w:rsidRPr="00DF6F1A">
        <w:rPr>
          <w:b/>
          <w:bCs/>
          <w:sz w:val="20"/>
          <w:szCs w:val="20"/>
        </w:rPr>
        <w:t>Fig.1</w:t>
      </w:r>
      <w:r w:rsidR="00517E6C" w:rsidRPr="00DF6F1A">
        <w:rPr>
          <w:sz w:val="20"/>
          <w:szCs w:val="20"/>
        </w:rPr>
        <w:t>.</w:t>
      </w:r>
    </w:p>
    <w:p w14:paraId="6FD14C9D" w14:textId="77777777" w:rsidR="00975808" w:rsidRPr="00DF6F1A" w:rsidRDefault="00B13DC3" w:rsidP="00975808">
      <w:pPr>
        <w:spacing w:line="276" w:lineRule="auto"/>
        <w:jc w:val="center"/>
      </w:pPr>
      <w:r w:rsidRPr="00DF6F1A">
        <w:rPr>
          <w:noProof/>
        </w:rPr>
        <w:lastRenderedPageBreak/>
        <w:drawing>
          <wp:inline distT="0" distB="0" distL="0" distR="0" wp14:anchorId="4A75E4C6" wp14:editId="0FE161E9">
            <wp:extent cx="3797300" cy="1621704"/>
            <wp:effectExtent l="0" t="0" r="0" b="0"/>
            <wp:docPr id="18708614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861471" name="Picture 1870861471"/>
                    <pic:cNvPicPr/>
                  </pic:nvPicPr>
                  <pic:blipFill rotWithShape="1">
                    <a:blip r:embed="rId11"/>
                    <a:srcRect l="1027" r="23121" b="42417"/>
                    <a:stretch>
                      <a:fillRect/>
                    </a:stretch>
                  </pic:blipFill>
                  <pic:spPr bwMode="auto">
                    <a:xfrm>
                      <a:off x="0" y="0"/>
                      <a:ext cx="3804585" cy="1624815"/>
                    </a:xfrm>
                    <a:prstGeom prst="rect">
                      <a:avLst/>
                    </a:prstGeom>
                    <a:ln>
                      <a:noFill/>
                    </a:ln>
                    <a:extLst>
                      <a:ext uri="{53640926-AAD7-44D8-BBD7-CCE9431645EC}">
                        <a14:shadowObscured xmlns:a14="http://schemas.microsoft.com/office/drawing/2010/main"/>
                      </a:ext>
                    </a:extLst>
                  </pic:spPr>
                </pic:pic>
              </a:graphicData>
            </a:graphic>
          </wp:inline>
        </w:drawing>
      </w:r>
    </w:p>
    <w:p w14:paraId="46008271" w14:textId="29C2AB3F" w:rsidR="00631D7D" w:rsidRPr="00DF6F1A" w:rsidRDefault="00631D7D" w:rsidP="00975808">
      <w:pPr>
        <w:spacing w:line="276" w:lineRule="auto"/>
        <w:jc w:val="center"/>
        <w:rPr>
          <w:b/>
          <w:bCs/>
          <w:sz w:val="16"/>
          <w:szCs w:val="16"/>
        </w:rPr>
      </w:pPr>
      <w:r w:rsidRPr="00DF6F1A">
        <w:rPr>
          <w:b/>
          <w:bCs/>
          <w:sz w:val="16"/>
          <w:szCs w:val="16"/>
        </w:rPr>
        <w:t xml:space="preserve">Fig. 1: Eutectic preparation, a) sample </w:t>
      </w:r>
      <w:r w:rsidR="00712671">
        <w:rPr>
          <w:b/>
          <w:bCs/>
          <w:sz w:val="16"/>
          <w:szCs w:val="16"/>
        </w:rPr>
        <w:t>weighing</w:t>
      </w:r>
      <w:r w:rsidRPr="00DF6F1A">
        <w:rPr>
          <w:b/>
          <w:bCs/>
          <w:sz w:val="16"/>
          <w:szCs w:val="16"/>
        </w:rPr>
        <w:t>, b)</w:t>
      </w:r>
      <w:r w:rsidR="00061B3C" w:rsidRPr="00DF6F1A">
        <w:rPr>
          <w:b/>
          <w:bCs/>
          <w:sz w:val="16"/>
          <w:szCs w:val="16"/>
        </w:rPr>
        <w:t xml:space="preserve"> melting, c) prepared </w:t>
      </w:r>
      <w:r w:rsidR="00E45115" w:rsidRPr="00DF6F1A">
        <w:rPr>
          <w:b/>
          <w:bCs/>
          <w:sz w:val="16"/>
          <w:szCs w:val="16"/>
        </w:rPr>
        <w:t>mixtures</w:t>
      </w:r>
      <w:r w:rsidR="00061B3C" w:rsidRPr="00DF6F1A">
        <w:rPr>
          <w:b/>
          <w:bCs/>
          <w:sz w:val="16"/>
          <w:szCs w:val="16"/>
        </w:rPr>
        <w:t>.</w:t>
      </w:r>
    </w:p>
    <w:p w14:paraId="2601D47B" w14:textId="64C4DFF9" w:rsidR="0084100F" w:rsidRPr="00DF6F1A" w:rsidRDefault="009C3492" w:rsidP="00975808">
      <w:pPr>
        <w:spacing w:line="276" w:lineRule="auto"/>
        <w:rPr>
          <w:rFonts w:ascii="Arial" w:hAnsi="Arial" w:cs="Arial"/>
          <w:b/>
          <w:bCs/>
          <w:i/>
          <w:iCs/>
          <w:sz w:val="20"/>
          <w:szCs w:val="20"/>
        </w:rPr>
      </w:pPr>
      <w:r w:rsidRPr="00DF6F1A">
        <w:br/>
      </w:r>
      <w:r w:rsidR="00107A75" w:rsidRPr="00DF6F1A">
        <w:rPr>
          <w:rFonts w:ascii="Arial" w:hAnsi="Arial" w:cs="Arial"/>
          <w:i/>
          <w:iCs/>
          <w:sz w:val="20"/>
          <w:szCs w:val="20"/>
        </w:rPr>
        <w:t>2</w:t>
      </w:r>
      <w:r w:rsidR="0084100F" w:rsidRPr="00DF6F1A">
        <w:rPr>
          <w:rFonts w:ascii="Arial" w:hAnsi="Arial" w:cs="Arial"/>
          <w:i/>
          <w:iCs/>
          <w:sz w:val="20"/>
          <w:szCs w:val="20"/>
        </w:rPr>
        <w:t>.3</w:t>
      </w:r>
      <w:r w:rsidR="0084100F" w:rsidRPr="00DF6F1A">
        <w:t xml:space="preserve"> </w:t>
      </w:r>
      <w:r w:rsidR="00107A75" w:rsidRPr="00DF6F1A">
        <w:rPr>
          <w:rFonts w:ascii="Arial" w:hAnsi="Arial" w:cs="Arial"/>
          <w:i/>
          <w:iCs/>
          <w:sz w:val="20"/>
          <w:szCs w:val="20"/>
        </w:rPr>
        <w:t xml:space="preserve">Sample preparation and </w:t>
      </w:r>
      <w:r w:rsidR="00BB7229" w:rsidRPr="00DF6F1A">
        <w:rPr>
          <w:rFonts w:ascii="Arial" w:hAnsi="Arial" w:cs="Arial"/>
          <w:i/>
          <w:iCs/>
          <w:sz w:val="20"/>
          <w:szCs w:val="20"/>
        </w:rPr>
        <w:t xml:space="preserve">infrared </w:t>
      </w:r>
      <w:r w:rsidR="006D17C7" w:rsidRPr="00DF6F1A">
        <w:rPr>
          <w:rFonts w:ascii="Arial" w:hAnsi="Arial" w:cs="Arial"/>
          <w:i/>
          <w:iCs/>
          <w:sz w:val="20"/>
          <w:szCs w:val="20"/>
        </w:rPr>
        <w:t>thermography experiment</w:t>
      </w:r>
    </w:p>
    <w:p w14:paraId="799F3A15" w14:textId="63C97C8C" w:rsidR="00225724" w:rsidRPr="00DF6F1A" w:rsidRDefault="00CF2A04" w:rsidP="0092651F">
      <w:pPr>
        <w:pStyle w:val="SWCText"/>
        <w:rPr>
          <w:lang w:val="en-GB"/>
        </w:rPr>
      </w:pPr>
      <w:r w:rsidRPr="00DF6F1A">
        <w:rPr>
          <w:lang w:val="en-GB"/>
        </w:rPr>
        <w:t>The samples were placed as droplets on an aluminium plate measuring 1</w:t>
      </w:r>
      <w:r w:rsidR="001337BB">
        <w:rPr>
          <w:lang w:val="en-GB"/>
        </w:rPr>
        <w:t>C</w:t>
      </w:r>
      <w:r w:rsidRPr="00DF6F1A">
        <w:rPr>
          <w:lang w:val="en-GB"/>
        </w:rPr>
        <w:t xml:space="preserve">1 x 7.5 cm, with each droplet kept at a similar size and spaced far enough apart so that the heat transfer behaviour of one droplet remained independent </w:t>
      </w:r>
      <w:r w:rsidR="003F281A">
        <w:rPr>
          <w:lang w:val="en-GB"/>
        </w:rPr>
        <w:t>of</w:t>
      </w:r>
      <w:r w:rsidR="003F281A" w:rsidRPr="00DF6F1A">
        <w:rPr>
          <w:lang w:val="en-GB"/>
        </w:rPr>
        <w:t xml:space="preserve"> </w:t>
      </w:r>
      <w:r w:rsidRPr="00DF6F1A">
        <w:rPr>
          <w:lang w:val="en-GB"/>
        </w:rPr>
        <w:t xml:space="preserve">the others. </w:t>
      </w:r>
      <w:r w:rsidR="00312E73" w:rsidRPr="00DF6F1A">
        <w:rPr>
          <w:lang w:val="en-GB"/>
        </w:rPr>
        <w:t xml:space="preserve">After the samples were fully </w:t>
      </w:r>
      <w:r w:rsidRPr="00DF6F1A">
        <w:rPr>
          <w:lang w:val="en-GB"/>
        </w:rPr>
        <w:t>crystallised</w:t>
      </w:r>
      <w:r w:rsidR="00312E73" w:rsidRPr="00DF6F1A">
        <w:rPr>
          <w:lang w:val="en-GB"/>
        </w:rPr>
        <w:t xml:space="preserve">, the plate </w:t>
      </w:r>
      <w:r w:rsidRPr="00DF6F1A">
        <w:rPr>
          <w:lang w:val="en-GB"/>
        </w:rPr>
        <w:t xml:space="preserve">was subjected to </w:t>
      </w:r>
      <w:r w:rsidR="00312E73" w:rsidRPr="00DF6F1A">
        <w:rPr>
          <w:lang w:val="en-GB"/>
        </w:rPr>
        <w:t xml:space="preserve">a controlled heating ramp </w:t>
      </w:r>
      <w:r w:rsidRPr="00DF6F1A">
        <w:rPr>
          <w:lang w:val="en-GB"/>
        </w:rPr>
        <w:t>while</w:t>
      </w:r>
      <w:r w:rsidR="00312E73" w:rsidRPr="00DF6F1A">
        <w:rPr>
          <w:lang w:val="en-GB"/>
        </w:rPr>
        <w:t xml:space="preserve"> </w:t>
      </w:r>
      <w:r w:rsidR="003F281A">
        <w:rPr>
          <w:lang w:val="en-GB"/>
        </w:rPr>
        <w:t>the surface temperature distribution was</w:t>
      </w:r>
      <w:r w:rsidR="00312E73" w:rsidRPr="00DF6F1A">
        <w:rPr>
          <w:lang w:val="en-GB"/>
        </w:rPr>
        <w:t xml:space="preserve"> monitored using an infrared camera</w:t>
      </w:r>
      <w:r w:rsidR="003D30F9" w:rsidRPr="00DF6F1A">
        <w:rPr>
          <w:lang w:val="en-GB"/>
        </w:rPr>
        <w:t xml:space="preserve"> (FLIR X6580SC)</w:t>
      </w:r>
      <w:r w:rsidR="00312E73" w:rsidRPr="00DF6F1A">
        <w:rPr>
          <w:lang w:val="en-GB"/>
        </w:rPr>
        <w:t xml:space="preserve">. Phase transitions were detected by interpreting </w:t>
      </w:r>
      <w:r w:rsidRPr="00DF6F1A">
        <w:rPr>
          <w:lang w:val="en-GB"/>
        </w:rPr>
        <w:t>emissivity-related</w:t>
      </w:r>
      <w:r w:rsidR="00312E73" w:rsidRPr="00DF6F1A">
        <w:rPr>
          <w:lang w:val="en-GB"/>
        </w:rPr>
        <w:t xml:space="preserve"> contrast variations through a singular value </w:t>
      </w:r>
      <w:r w:rsidR="00484FA9" w:rsidRPr="00DF6F1A">
        <w:rPr>
          <w:lang w:val="en-GB"/>
        </w:rPr>
        <w:t>decomposition (</w:t>
      </w:r>
      <w:r w:rsidR="002E1848" w:rsidRPr="00DF6F1A">
        <w:rPr>
          <w:lang w:val="en-GB"/>
        </w:rPr>
        <w:t xml:space="preserve">SVD) </w:t>
      </w:r>
      <w:r w:rsidR="00312E73" w:rsidRPr="00DF6F1A">
        <w:rPr>
          <w:lang w:val="en-GB"/>
        </w:rPr>
        <w:t>based image</w:t>
      </w:r>
      <w:r w:rsidR="002E1848" w:rsidRPr="00DF6F1A">
        <w:rPr>
          <w:lang w:val="en-GB"/>
        </w:rPr>
        <w:t xml:space="preserve"> </w:t>
      </w:r>
      <w:r w:rsidR="00312E73" w:rsidRPr="00DF6F1A">
        <w:rPr>
          <w:lang w:val="en-GB"/>
        </w:rPr>
        <w:t>processing method</w:t>
      </w:r>
      <w:r w:rsidRPr="00DF6F1A">
        <w:rPr>
          <w:lang w:val="en-GB"/>
        </w:rPr>
        <w:t xml:space="preserve"> </w:t>
      </w:r>
      <w:r w:rsidR="00484FA9" w:rsidRPr="00DF6F1A">
        <w:rPr>
          <w:lang w:val="en-GB"/>
        </w:rPr>
        <w:fldChar w:fldCharType="begin"/>
      </w:r>
      <w:r w:rsidR="006F05B4">
        <w:rPr>
          <w:lang w:val="en-GB"/>
        </w:rPr>
        <w:instrText xml:space="preserve"> ADDIN EN.CITE &lt;EndNote&gt;&lt;Cite&gt;&lt;Author&gt;Mailhé&lt;/Author&gt;&lt;Year&gt;2021&lt;/Year&gt;&lt;RecNum&gt;42&lt;/RecNum&gt;&lt;DisplayText&gt;[9]&lt;/DisplayText&gt;&lt;record&gt;&lt;rec-number&gt;42&lt;/rec-number&gt;&lt;foreign-keys&gt;&lt;key app="EN" db-id="xdrrrdze45p5vjerrfl5p5xkv0t9pd0ez5fd" timestamp="1772495069"&gt;42&lt;/key&gt;&lt;/foreign-keys&gt;&lt;ref-type name="Journal Article"&gt;17&lt;/ref-type&gt;&lt;contributors&gt;&lt;authors&gt;&lt;author&gt;Mailhé, Clément&lt;/author&gt;&lt;author&gt;Duquesne, Marie&lt;/author&gt;&lt;author&gt;Palomo del Barrio, Elena&lt;/author&gt;&lt;author&gt;Godin, Alexandre&lt;/author&gt;&lt;/authors&gt;&lt;/contributors&gt;&lt;titles&gt;&lt;title&gt;On the Use of Infrared Thermography for the Estimation of Melting Enthalpy&lt;/title&gt;&lt;secondary-title&gt;Applied Sciences&lt;/secondary-title&gt;&lt;/titles&gt;&lt;periodical&gt;&lt;full-title&gt;Applied Sciences&lt;/full-title&gt;&lt;/periodical&gt;&lt;pages&gt;5915&lt;/pages&gt;&lt;volume&gt;11&lt;/volume&gt;&lt;number&gt;13&lt;/number&gt;&lt;dates&gt;&lt;year&gt;2021&lt;/year&gt;&lt;/dates&gt;&lt;isbn&gt;2076-3417&lt;/isbn&gt;&lt;accession-num&gt;doi:10.3390/app11135915&lt;/accession-num&gt;&lt;urls&gt;&lt;related-urls&gt;&lt;url&gt;https://www.mdpi.com/2076-3417/11/13/5915&lt;/url&gt;&lt;/related-urls&gt;&lt;/urls&gt;&lt;/record&gt;&lt;/Cite&gt;&lt;/EndNote&gt;</w:instrText>
      </w:r>
      <w:r w:rsidR="00484FA9" w:rsidRPr="00DF6F1A">
        <w:rPr>
          <w:lang w:val="en-GB"/>
        </w:rPr>
        <w:fldChar w:fldCharType="separate"/>
      </w:r>
      <w:r w:rsidR="006F05B4">
        <w:rPr>
          <w:noProof/>
          <w:lang w:val="en-GB"/>
        </w:rPr>
        <w:t>[9]</w:t>
      </w:r>
      <w:r w:rsidR="00484FA9" w:rsidRPr="00DF6F1A">
        <w:rPr>
          <w:lang w:val="en-GB"/>
        </w:rPr>
        <w:fldChar w:fldCharType="end"/>
      </w:r>
      <w:r w:rsidR="00C0127B" w:rsidRPr="00DF6F1A">
        <w:rPr>
          <w:lang w:val="en-GB"/>
        </w:rPr>
        <w:t>.</w:t>
      </w:r>
      <w:r w:rsidR="00312E73" w:rsidRPr="00DF6F1A">
        <w:rPr>
          <w:lang w:val="en-GB"/>
        </w:rPr>
        <w:t xml:space="preserve"> The extracted temperatures marking the onset and completion of melting for each composition were then used to construct solid</w:t>
      </w:r>
      <w:r w:rsidR="007806D1" w:rsidRPr="00DF6F1A">
        <w:rPr>
          <w:lang w:val="en-GB"/>
        </w:rPr>
        <w:t>-</w:t>
      </w:r>
      <w:r w:rsidR="00312E73" w:rsidRPr="00DF6F1A">
        <w:rPr>
          <w:lang w:val="en-GB"/>
        </w:rPr>
        <w:t xml:space="preserve">liquid phase diagrams and determine </w:t>
      </w:r>
      <w:r w:rsidR="00A0109E" w:rsidRPr="00DF6F1A">
        <w:rPr>
          <w:lang w:val="en-GB"/>
        </w:rPr>
        <w:t xml:space="preserve">melting points for each </w:t>
      </w:r>
      <w:r w:rsidR="00AD6BD4" w:rsidRPr="00DF6F1A">
        <w:rPr>
          <w:lang w:val="en-GB"/>
        </w:rPr>
        <w:t>composition</w:t>
      </w:r>
      <w:r w:rsidR="00DB6A20" w:rsidRPr="00DF6F1A">
        <w:rPr>
          <w:lang w:val="en-GB"/>
        </w:rPr>
        <w:t>.</w:t>
      </w:r>
    </w:p>
    <w:p w14:paraId="6C842A91" w14:textId="5C0A88FB" w:rsidR="003869E8" w:rsidRPr="00DF6F1A" w:rsidRDefault="00D32EF0" w:rsidP="00490F10">
      <w:pPr>
        <w:pStyle w:val="SWCHeading1"/>
        <w:rPr>
          <w:lang w:val="en-GB"/>
        </w:rPr>
      </w:pPr>
      <w:r w:rsidRPr="00DF6F1A">
        <w:rPr>
          <w:lang w:val="en-GB"/>
        </w:rPr>
        <w:t>Re</w:t>
      </w:r>
      <w:r w:rsidR="00312E73" w:rsidRPr="00DF6F1A">
        <w:rPr>
          <w:lang w:val="en-GB"/>
        </w:rPr>
        <w:t>sult</w:t>
      </w:r>
      <w:r w:rsidR="006D3273" w:rsidRPr="00DF6F1A">
        <w:rPr>
          <w:lang w:val="en-GB"/>
        </w:rPr>
        <w:t>s</w:t>
      </w:r>
      <w:r w:rsidR="00BA4579" w:rsidRPr="00DF6F1A">
        <w:rPr>
          <w:lang w:val="en-GB"/>
        </w:rPr>
        <w:t xml:space="preserve"> and discussions </w:t>
      </w:r>
      <w:r w:rsidR="004E5D79" w:rsidRPr="00DF6F1A">
        <w:rPr>
          <w:lang w:val="en-GB"/>
        </w:rPr>
        <w:t xml:space="preserve"> </w:t>
      </w:r>
    </w:p>
    <w:p w14:paraId="4F65BA4D" w14:textId="3AE470F0" w:rsidR="00FD5D32" w:rsidRPr="00DF6F1A" w:rsidRDefault="00D323B4" w:rsidP="00D76F1B">
      <w:pPr>
        <w:pStyle w:val="SWCText"/>
        <w:rPr>
          <w:rFonts w:ascii="Arial" w:hAnsi="Arial" w:cs="Arial"/>
          <w:i/>
          <w:iCs/>
          <w:lang w:val="en-GB"/>
        </w:rPr>
      </w:pPr>
      <w:r w:rsidRPr="00DF6F1A">
        <w:rPr>
          <w:rFonts w:ascii="Arial" w:hAnsi="Arial" w:cs="Arial"/>
          <w:i/>
          <w:iCs/>
          <w:lang w:val="en-GB"/>
        </w:rPr>
        <w:t xml:space="preserve">3.1 </w:t>
      </w:r>
      <w:r w:rsidR="00764505" w:rsidRPr="00DF6F1A">
        <w:rPr>
          <w:rFonts w:ascii="Arial" w:hAnsi="Arial" w:cs="Arial"/>
          <w:i/>
          <w:iCs/>
          <w:lang w:val="en-GB"/>
        </w:rPr>
        <w:t>Phase diagram analysis</w:t>
      </w:r>
    </w:p>
    <w:p w14:paraId="5042A4A2" w14:textId="7649AF00" w:rsidR="001B6630" w:rsidRPr="00DF6F1A" w:rsidRDefault="005B3E74" w:rsidP="00D76F1B">
      <w:pPr>
        <w:pStyle w:val="SWCText"/>
        <w:rPr>
          <w:lang w:val="en-GB"/>
        </w:rPr>
      </w:pPr>
      <w:r w:rsidRPr="00DF6F1A">
        <w:rPr>
          <w:b/>
          <w:bCs/>
          <w:lang w:val="en-GB"/>
        </w:rPr>
        <w:t>Fig</w:t>
      </w:r>
      <w:r w:rsidR="003E5321" w:rsidRPr="00DF6F1A">
        <w:rPr>
          <w:b/>
          <w:bCs/>
          <w:lang w:val="en-GB"/>
        </w:rPr>
        <w:t>. 2</w:t>
      </w:r>
      <w:proofErr w:type="gramStart"/>
      <w:r w:rsidR="003E5321" w:rsidRPr="00DF6F1A">
        <w:rPr>
          <w:b/>
          <w:bCs/>
          <w:lang w:val="en-GB"/>
        </w:rPr>
        <w:t>a</w:t>
      </w:r>
      <w:r w:rsidR="003E5321" w:rsidRPr="00DF6F1A">
        <w:rPr>
          <w:lang w:val="en-GB"/>
        </w:rPr>
        <w:t xml:space="preserve"> </w:t>
      </w:r>
      <w:r w:rsidR="00AE2683" w:rsidRPr="00DF6F1A">
        <w:rPr>
          <w:lang w:val="en-GB"/>
        </w:rPr>
        <w:t xml:space="preserve"> shows</w:t>
      </w:r>
      <w:proofErr w:type="gramEnd"/>
      <w:r w:rsidR="00AE2683" w:rsidRPr="00DF6F1A">
        <w:rPr>
          <w:lang w:val="en-GB"/>
        </w:rPr>
        <w:t xml:space="preserve"> </w:t>
      </w:r>
      <w:r w:rsidRPr="00DF6F1A">
        <w:rPr>
          <w:lang w:val="en-GB"/>
        </w:rPr>
        <w:t>the solid</w:t>
      </w:r>
      <w:r w:rsidR="000E0A86" w:rsidRPr="00DF6F1A">
        <w:rPr>
          <w:lang w:val="en-GB"/>
        </w:rPr>
        <w:t>-</w:t>
      </w:r>
      <w:r w:rsidRPr="00DF6F1A">
        <w:rPr>
          <w:lang w:val="en-GB"/>
        </w:rPr>
        <w:t xml:space="preserve">liquid phase </w:t>
      </w:r>
      <w:r w:rsidR="00CF2A04" w:rsidRPr="00DF6F1A">
        <w:rPr>
          <w:lang w:val="en-GB"/>
        </w:rPr>
        <w:t xml:space="preserve">behaviour </w:t>
      </w:r>
      <w:r w:rsidRPr="00DF6F1A">
        <w:rPr>
          <w:lang w:val="en-GB"/>
        </w:rPr>
        <w:t xml:space="preserve">of a binary mixture of palmitic acid with 1‑Octadecanol, plotted as transition temperature versus molar fraction of 1‑Octadecanol. The scattered black crosses correspond to the various phase‑transition temperatures detected by infrared thermography for each mixture composition, while the red curve </w:t>
      </w:r>
      <w:r w:rsidR="00E94BBD" w:rsidRPr="00DF6F1A">
        <w:rPr>
          <w:lang w:val="en-GB"/>
        </w:rPr>
        <w:t xml:space="preserve">labelled </w:t>
      </w:r>
      <w:r w:rsidRPr="00DF6F1A">
        <w:rPr>
          <w:lang w:val="en-GB"/>
        </w:rPr>
        <w:t xml:space="preserve">“SLE” represents the solid–liquid equilibrium liquidus line, </w:t>
      </w:r>
      <w:r w:rsidR="00E94BBD" w:rsidRPr="00DF6F1A">
        <w:rPr>
          <w:lang w:val="en-GB"/>
        </w:rPr>
        <w:t>that is</w:t>
      </w:r>
      <w:r w:rsidRPr="00DF6F1A">
        <w:rPr>
          <w:lang w:val="en-GB"/>
        </w:rPr>
        <w:t>, the highest transition temperature attributed to melting for that composition. As the molar fraction of 1‑Octadecanol increases from 0 to about 0.8, the liquidus temperature decreases gradually from the melting point of pure palmitic acid toward lower values around 5</w:t>
      </w:r>
      <w:r w:rsidR="00E94BBD" w:rsidRPr="00DF6F1A">
        <w:rPr>
          <w:lang w:val="en-GB"/>
        </w:rPr>
        <w:t>0</w:t>
      </w:r>
      <w:r w:rsidRPr="00DF6F1A">
        <w:rPr>
          <w:lang w:val="en-GB"/>
        </w:rPr>
        <w:t xml:space="preserve"> °C, indicating a broad compositional region where eutectic‑like melting occurs near the desired PV/T operating range. For mixtures richer in 1‑Octadecanol (molar fraction above roughly 0.8), the liquidus temperature rises again and approaches the melting </w:t>
      </w:r>
      <w:r w:rsidR="00E94BBD" w:rsidRPr="00DF6F1A">
        <w:rPr>
          <w:lang w:val="en-GB"/>
        </w:rPr>
        <w:t xml:space="preserve">behaviour </w:t>
      </w:r>
      <w:r w:rsidRPr="00DF6F1A">
        <w:rPr>
          <w:lang w:val="en-GB"/>
        </w:rPr>
        <w:t>of pure 1‑Octadecanol, with experimental points clustering near 45</w:t>
      </w:r>
      <w:r w:rsidR="00991B79" w:rsidRPr="00DF6F1A">
        <w:rPr>
          <w:lang w:val="en-GB"/>
        </w:rPr>
        <w:t>-</w:t>
      </w:r>
      <w:r w:rsidRPr="00DF6F1A">
        <w:rPr>
          <w:lang w:val="en-GB"/>
        </w:rPr>
        <w:t xml:space="preserve">50 °C at a molar fraction of 1.0. </w:t>
      </w:r>
    </w:p>
    <w:p w14:paraId="57A054FA" w14:textId="7E7F982B" w:rsidR="0075018A" w:rsidRPr="00DF6F1A" w:rsidRDefault="001816E6" w:rsidP="00D76F1B">
      <w:pPr>
        <w:pStyle w:val="SWCText"/>
        <w:rPr>
          <w:lang w:val="en-GB"/>
        </w:rPr>
      </w:pPr>
      <w:r>
        <w:rPr>
          <w:lang w:val="en-GB"/>
        </w:rPr>
        <w:t>A similar</w:t>
      </w:r>
      <w:r w:rsidRPr="00DF6F1A">
        <w:rPr>
          <w:lang w:val="en-GB"/>
        </w:rPr>
        <w:t xml:space="preserve"> </w:t>
      </w:r>
      <w:r w:rsidR="00F12BC3" w:rsidRPr="00DF6F1A">
        <w:rPr>
          <w:lang w:val="en-GB"/>
        </w:rPr>
        <w:t xml:space="preserve">trend is seen in </w:t>
      </w:r>
      <w:r w:rsidR="00F12BC3" w:rsidRPr="00DF6F1A">
        <w:rPr>
          <w:b/>
          <w:bCs/>
          <w:lang w:val="en-GB"/>
        </w:rPr>
        <w:t>Fig.</w:t>
      </w:r>
      <w:r w:rsidR="003E5321" w:rsidRPr="00DF6F1A">
        <w:rPr>
          <w:b/>
          <w:bCs/>
          <w:lang w:val="en-GB"/>
        </w:rPr>
        <w:t xml:space="preserve"> 2b</w:t>
      </w:r>
      <w:r w:rsidR="00F12BC3" w:rsidRPr="00DF6F1A">
        <w:rPr>
          <w:lang w:val="en-GB"/>
        </w:rPr>
        <w:t xml:space="preserve"> a</w:t>
      </w:r>
      <w:r w:rsidR="00103333" w:rsidRPr="00DF6F1A">
        <w:rPr>
          <w:lang w:val="en-GB"/>
        </w:rPr>
        <w:t>s the 1-hexadecanol content increases</w:t>
      </w:r>
      <w:r w:rsidR="001B6630" w:rsidRPr="00DF6F1A">
        <w:rPr>
          <w:lang w:val="en-GB"/>
        </w:rPr>
        <w:t xml:space="preserve"> in </w:t>
      </w:r>
      <w:r w:rsidR="00531714" w:rsidRPr="00DF6F1A">
        <w:rPr>
          <w:lang w:val="en-GB"/>
        </w:rPr>
        <w:t>the PA-OD composite</w:t>
      </w:r>
      <w:r w:rsidR="00103333" w:rsidRPr="00DF6F1A">
        <w:rPr>
          <w:lang w:val="en-GB"/>
        </w:rPr>
        <w:t>, the main transition temperature drops from about 63</w:t>
      </w:r>
      <w:r w:rsidR="00991B79" w:rsidRPr="00DF6F1A">
        <w:rPr>
          <w:lang w:val="en-GB"/>
        </w:rPr>
        <w:t>-</w:t>
      </w:r>
      <w:r w:rsidR="00103333" w:rsidRPr="00DF6F1A">
        <w:rPr>
          <w:lang w:val="en-GB"/>
        </w:rPr>
        <w:t>64 °C for pure palmitic acid to a minimum around 47</w:t>
      </w:r>
      <w:r w:rsidR="00991B79" w:rsidRPr="00DF6F1A">
        <w:rPr>
          <w:lang w:val="en-GB"/>
        </w:rPr>
        <w:t>-</w:t>
      </w:r>
      <w:r w:rsidR="00103333" w:rsidRPr="00DF6F1A">
        <w:rPr>
          <w:lang w:val="en-GB"/>
        </w:rPr>
        <w:t>48 °C near intermediate compositions, then remains nearly constant towards pure hexadecanol, indicating a eutectic</w:t>
      </w:r>
      <w:r w:rsidR="000136F9" w:rsidRPr="00DF6F1A">
        <w:rPr>
          <w:lang w:val="en-GB"/>
        </w:rPr>
        <w:t>-</w:t>
      </w:r>
      <w:r w:rsidR="00103333" w:rsidRPr="00DF6F1A">
        <w:rPr>
          <w:lang w:val="en-GB"/>
        </w:rPr>
        <w:t xml:space="preserve">like melting point depression and a relatively flat plateau in the </w:t>
      </w:r>
      <w:r w:rsidR="00552820">
        <w:rPr>
          <w:lang w:val="en-GB"/>
        </w:rPr>
        <w:t>hexadecanol-rich</w:t>
      </w:r>
      <w:r w:rsidR="00103333" w:rsidRPr="00DF6F1A">
        <w:rPr>
          <w:lang w:val="en-GB"/>
        </w:rPr>
        <w:t xml:space="preserve"> region.</w:t>
      </w:r>
      <w:r w:rsidR="004362E8" w:rsidRPr="00DF6F1A">
        <w:rPr>
          <w:lang w:val="en-GB"/>
        </w:rPr>
        <w:t xml:space="preserve"> </w:t>
      </w:r>
      <w:r w:rsidR="00357203" w:rsidRPr="00DF6F1A">
        <w:rPr>
          <w:lang w:val="en-GB"/>
        </w:rPr>
        <w:t>As hexadecanol is added, this dominant transition temperature decreases steadily, showing the expected melting</w:t>
      </w:r>
      <w:r w:rsidR="000136F9" w:rsidRPr="00DF6F1A">
        <w:rPr>
          <w:lang w:val="en-GB"/>
        </w:rPr>
        <w:t xml:space="preserve"> </w:t>
      </w:r>
      <w:r w:rsidR="00357203" w:rsidRPr="00DF6F1A">
        <w:rPr>
          <w:lang w:val="en-GB"/>
        </w:rPr>
        <w:t>point characteristic of eutectic</w:t>
      </w:r>
      <w:r w:rsidR="00FE0260" w:rsidRPr="00DF6F1A">
        <w:rPr>
          <w:lang w:val="en-GB"/>
        </w:rPr>
        <w:t xml:space="preserve"> </w:t>
      </w:r>
      <w:r w:rsidR="00357203" w:rsidRPr="00DF6F1A">
        <w:rPr>
          <w:lang w:val="en-GB"/>
        </w:rPr>
        <w:t>forming binary mixtures, reaching a minimum plateau of roughly 47</w:t>
      </w:r>
      <w:r w:rsidR="0074159A" w:rsidRPr="00DF6F1A">
        <w:rPr>
          <w:lang w:val="en-GB"/>
        </w:rPr>
        <w:t>-</w:t>
      </w:r>
      <w:r w:rsidR="00357203" w:rsidRPr="00DF6F1A">
        <w:rPr>
          <w:lang w:val="en-GB"/>
        </w:rPr>
        <w:t>48 °C in the hexadecanol fraction range</w:t>
      </w:r>
      <w:r w:rsidR="001537B8" w:rsidRPr="00DF6F1A">
        <w:rPr>
          <w:lang w:val="en-GB"/>
        </w:rPr>
        <w:t xml:space="preserve"> of</w:t>
      </w:r>
      <w:r w:rsidR="00357203" w:rsidRPr="00DF6F1A">
        <w:rPr>
          <w:lang w:val="en-GB"/>
        </w:rPr>
        <w:t xml:space="preserve"> 0.5</w:t>
      </w:r>
      <w:r w:rsidR="001537B8" w:rsidRPr="00DF6F1A">
        <w:rPr>
          <w:lang w:val="en-GB"/>
        </w:rPr>
        <w:t>-</w:t>
      </w:r>
      <w:r w:rsidR="00357203" w:rsidRPr="00DF6F1A">
        <w:rPr>
          <w:lang w:val="en-GB"/>
        </w:rPr>
        <w:t>0.8. Beyond this point, the curve stays nearly flat toward pure 1-hexadecanol, suggesting the eutectic composition and its associated transition temperature dominate over a broad compositional window rather than a single sharp minimum, which is common when solid-solid or polymorphic transitions overlap with the true eutectic melting event.</w:t>
      </w:r>
    </w:p>
    <w:p w14:paraId="55BBFA86" w14:textId="7FFDB2D0" w:rsidR="00D53F31" w:rsidRPr="00DF6F1A" w:rsidRDefault="005B3E74" w:rsidP="00D76F1B">
      <w:pPr>
        <w:pStyle w:val="SWCText"/>
        <w:rPr>
          <w:lang w:val="en-GB"/>
        </w:rPr>
      </w:pPr>
      <w:r w:rsidRPr="00DF6F1A">
        <w:rPr>
          <w:lang w:val="en-GB"/>
        </w:rPr>
        <w:t>Overall, the agreement between the SLE curve and the upper envelope of the IRT data confirms that the binary system follows the expected melting</w:t>
      </w:r>
      <w:r w:rsidR="00571205" w:rsidRPr="00DF6F1A">
        <w:rPr>
          <w:lang w:val="en-GB"/>
        </w:rPr>
        <w:t xml:space="preserve"> </w:t>
      </w:r>
      <w:r w:rsidRPr="00DF6F1A">
        <w:rPr>
          <w:lang w:val="en-GB"/>
        </w:rPr>
        <w:t>curve trend and that suitable eutectic compositions can be selected</w:t>
      </w:r>
      <w:r w:rsidR="00C64F60" w:rsidRPr="00DF6F1A">
        <w:rPr>
          <w:lang w:val="en-GB"/>
        </w:rPr>
        <w:t xml:space="preserve"> for further confirmation of melting point and latent heat</w:t>
      </w:r>
      <w:r w:rsidRPr="00DF6F1A">
        <w:rPr>
          <w:lang w:val="en-GB"/>
        </w:rPr>
        <w:t xml:space="preserve"> </w:t>
      </w:r>
      <w:r w:rsidR="006E761D" w:rsidRPr="00DF6F1A">
        <w:rPr>
          <w:lang w:val="en-GB"/>
        </w:rPr>
        <w:t xml:space="preserve">via </w:t>
      </w:r>
      <w:r w:rsidR="001E001A">
        <w:rPr>
          <w:lang w:val="en-GB"/>
        </w:rPr>
        <w:t>DSC,</w:t>
      </w:r>
      <w:r w:rsidR="006E761D" w:rsidRPr="00DF6F1A">
        <w:rPr>
          <w:lang w:val="en-GB"/>
        </w:rPr>
        <w:t xml:space="preserve"> </w:t>
      </w:r>
      <w:r w:rsidR="00C64F60" w:rsidRPr="00DF6F1A">
        <w:rPr>
          <w:lang w:val="en-GB"/>
        </w:rPr>
        <w:t>with</w:t>
      </w:r>
      <w:r w:rsidRPr="00DF6F1A">
        <w:rPr>
          <w:lang w:val="en-GB"/>
        </w:rPr>
        <w:t xml:space="preserve"> the melting temperature within </w:t>
      </w:r>
      <w:r w:rsidR="001E001A">
        <w:rPr>
          <w:lang w:val="en-GB"/>
        </w:rPr>
        <w:t xml:space="preserve">the </w:t>
      </w:r>
      <w:r w:rsidRPr="00DF6F1A">
        <w:rPr>
          <w:lang w:val="en-GB"/>
        </w:rPr>
        <w:t>targeted PV/T operating windows.</w:t>
      </w:r>
    </w:p>
    <w:p w14:paraId="60BF9C12" w14:textId="111DBC48" w:rsidR="00333484" w:rsidRPr="00DF6F1A" w:rsidRDefault="00333484" w:rsidP="005C4524">
      <w:pPr>
        <w:pStyle w:val="SWCText"/>
        <w:jc w:val="center"/>
        <w:rPr>
          <w:lang w:val="en-GB"/>
        </w:rPr>
      </w:pPr>
      <w:r w:rsidRPr="00DF6F1A">
        <w:rPr>
          <w:noProof/>
          <w:lang w:val="en-GB"/>
        </w:rPr>
        <w:lastRenderedPageBreak/>
        <w:drawing>
          <wp:inline distT="0" distB="0" distL="0" distR="0" wp14:anchorId="3CCCD0E7" wp14:editId="38AD7943">
            <wp:extent cx="5717497" cy="1733550"/>
            <wp:effectExtent l="0" t="0" r="0" b="0"/>
            <wp:docPr id="584076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76970" name="Picture 1"/>
                    <pic:cNvPicPr/>
                  </pic:nvPicPr>
                  <pic:blipFill rotWithShape="1">
                    <a:blip r:embed="rId12"/>
                    <a:srcRect l="303" r="162" b="46354"/>
                    <a:stretch>
                      <a:fillRect/>
                    </a:stretch>
                  </pic:blipFill>
                  <pic:spPr bwMode="auto">
                    <a:xfrm>
                      <a:off x="0" y="0"/>
                      <a:ext cx="5723505" cy="1735372"/>
                    </a:xfrm>
                    <a:prstGeom prst="rect">
                      <a:avLst/>
                    </a:prstGeom>
                    <a:ln>
                      <a:noFill/>
                    </a:ln>
                    <a:extLst>
                      <a:ext uri="{53640926-AAD7-44D8-BBD7-CCE9431645EC}">
                        <a14:shadowObscured xmlns:a14="http://schemas.microsoft.com/office/drawing/2010/main"/>
                      </a:ext>
                    </a:extLst>
                  </pic:spPr>
                </pic:pic>
              </a:graphicData>
            </a:graphic>
          </wp:inline>
        </w:drawing>
      </w:r>
    </w:p>
    <w:p w14:paraId="5F89D859" w14:textId="04446600" w:rsidR="005C4524" w:rsidRPr="00DF6F1A" w:rsidRDefault="005C4524" w:rsidP="005C4524">
      <w:pPr>
        <w:pStyle w:val="SWCTableFigureCaption"/>
        <w:rPr>
          <w:lang w:val="en-GB"/>
        </w:rPr>
      </w:pPr>
      <w:r w:rsidRPr="00DF6F1A">
        <w:rPr>
          <w:lang w:val="en-GB"/>
        </w:rPr>
        <w:t xml:space="preserve">Fig. </w:t>
      </w:r>
      <w:r w:rsidR="003E5321" w:rsidRPr="00DF6F1A">
        <w:rPr>
          <w:lang w:val="en-GB"/>
        </w:rPr>
        <w:t>2</w:t>
      </w:r>
      <w:r w:rsidRPr="00DF6F1A">
        <w:rPr>
          <w:lang w:val="en-GB"/>
        </w:rPr>
        <w:t>: Phase diagram of</w:t>
      </w:r>
      <w:r w:rsidR="00557D08" w:rsidRPr="00DF6F1A">
        <w:rPr>
          <w:lang w:val="en-GB"/>
        </w:rPr>
        <w:t xml:space="preserve"> a)</w:t>
      </w:r>
      <w:r w:rsidRPr="00DF6F1A">
        <w:rPr>
          <w:lang w:val="en-GB"/>
        </w:rPr>
        <w:t xml:space="preserve"> </w:t>
      </w:r>
      <w:r w:rsidR="00722429" w:rsidRPr="00DF6F1A">
        <w:rPr>
          <w:lang w:val="en-GB"/>
        </w:rPr>
        <w:t>Palmitic acid/1-Octadecanol binary eutectic</w:t>
      </w:r>
      <w:r w:rsidR="00A5094F" w:rsidRPr="00DF6F1A">
        <w:rPr>
          <w:lang w:val="en-GB"/>
        </w:rPr>
        <w:t>, b) Palmitic acid/1-Hexadecanol binary eutectic</w:t>
      </w:r>
    </w:p>
    <w:p w14:paraId="7957E501" w14:textId="5530C317" w:rsidR="005B089D" w:rsidRPr="00DF6F1A" w:rsidRDefault="00FD19A7" w:rsidP="00FD19A7">
      <w:pPr>
        <w:pStyle w:val="SWCText"/>
        <w:rPr>
          <w:rFonts w:ascii="Arial" w:hAnsi="Arial" w:cs="Arial"/>
          <w:i/>
          <w:iCs/>
          <w:lang w:val="en-GB"/>
        </w:rPr>
      </w:pPr>
      <w:r w:rsidRPr="00DF6F1A">
        <w:rPr>
          <w:rFonts w:ascii="Arial" w:hAnsi="Arial" w:cs="Arial"/>
          <w:i/>
          <w:iCs/>
          <w:lang w:val="en-GB"/>
        </w:rPr>
        <w:t>3.2</w:t>
      </w:r>
      <w:r w:rsidR="003D5691" w:rsidRPr="00DF6F1A">
        <w:rPr>
          <w:rFonts w:ascii="Arial" w:hAnsi="Arial" w:cs="Arial"/>
          <w:i/>
          <w:iCs/>
          <w:lang w:val="en-GB"/>
        </w:rPr>
        <w:t xml:space="preserve"> </w:t>
      </w:r>
      <w:r w:rsidR="00F52272" w:rsidRPr="00DF6F1A">
        <w:rPr>
          <w:rFonts w:ascii="Arial" w:hAnsi="Arial" w:cs="Arial"/>
          <w:i/>
          <w:iCs/>
          <w:lang w:val="en-GB"/>
        </w:rPr>
        <w:t>DSC Analysis</w:t>
      </w:r>
    </w:p>
    <w:p w14:paraId="18D1C5BC" w14:textId="0DAA1523" w:rsidR="00285CB9" w:rsidRPr="00213396" w:rsidRDefault="0044716E" w:rsidP="00213396">
      <w:pPr>
        <w:pStyle w:val="SWCText"/>
        <w:rPr>
          <w:lang w:val="en-GB"/>
        </w:rPr>
      </w:pPr>
      <w:r w:rsidRPr="00DF6F1A">
        <w:rPr>
          <w:b/>
          <w:bCs/>
          <w:szCs w:val="20"/>
          <w:lang w:val="en-GB"/>
        </w:rPr>
        <w:t>Fig.</w:t>
      </w:r>
      <w:r w:rsidR="003E5321" w:rsidRPr="00DF6F1A">
        <w:rPr>
          <w:b/>
          <w:bCs/>
          <w:szCs w:val="20"/>
          <w:lang w:val="en-GB"/>
        </w:rPr>
        <w:t xml:space="preserve"> 3</w:t>
      </w:r>
      <w:r w:rsidRPr="00DF6F1A">
        <w:rPr>
          <w:szCs w:val="20"/>
          <w:lang w:val="en-GB"/>
        </w:rPr>
        <w:t xml:space="preserve"> compares the phase</w:t>
      </w:r>
      <w:r w:rsidR="003E5321" w:rsidRPr="00DF6F1A">
        <w:rPr>
          <w:szCs w:val="20"/>
          <w:lang w:val="en-GB"/>
        </w:rPr>
        <w:t xml:space="preserve"> </w:t>
      </w:r>
      <w:r w:rsidRPr="00DF6F1A">
        <w:rPr>
          <w:szCs w:val="20"/>
          <w:lang w:val="en-GB"/>
        </w:rPr>
        <w:t>transition behaviour of PA</w:t>
      </w:r>
      <w:r w:rsidR="004C7A54" w:rsidRPr="00DF6F1A">
        <w:rPr>
          <w:szCs w:val="20"/>
          <w:lang w:val="en-GB"/>
        </w:rPr>
        <w:t>-</w:t>
      </w:r>
      <w:r w:rsidRPr="00DF6F1A">
        <w:rPr>
          <w:szCs w:val="20"/>
          <w:lang w:val="en-GB"/>
        </w:rPr>
        <w:t>OD</w:t>
      </w:r>
      <w:r w:rsidR="004C7A54" w:rsidRPr="00DF6F1A">
        <w:rPr>
          <w:szCs w:val="20"/>
          <w:lang w:val="en-GB"/>
        </w:rPr>
        <w:t>(</w:t>
      </w:r>
      <w:r w:rsidRPr="00DF6F1A">
        <w:rPr>
          <w:szCs w:val="20"/>
          <w:lang w:val="en-GB"/>
        </w:rPr>
        <w:t>a</w:t>
      </w:r>
      <w:r w:rsidR="004C7A54" w:rsidRPr="00DF6F1A">
        <w:rPr>
          <w:szCs w:val="20"/>
          <w:lang w:val="en-GB"/>
        </w:rPr>
        <w:t>-</w:t>
      </w:r>
      <w:r w:rsidRPr="00DF6F1A">
        <w:rPr>
          <w:szCs w:val="20"/>
          <w:lang w:val="en-GB"/>
        </w:rPr>
        <w:t>c) and PA</w:t>
      </w:r>
      <w:r w:rsidR="004C7A54" w:rsidRPr="00DF6F1A">
        <w:rPr>
          <w:szCs w:val="20"/>
          <w:lang w:val="en-GB"/>
        </w:rPr>
        <w:t>-</w:t>
      </w:r>
      <w:r w:rsidRPr="00DF6F1A">
        <w:rPr>
          <w:szCs w:val="20"/>
          <w:lang w:val="en-GB"/>
        </w:rPr>
        <w:t>HD</w:t>
      </w:r>
      <w:r w:rsidR="004C7A54" w:rsidRPr="00DF6F1A">
        <w:rPr>
          <w:szCs w:val="20"/>
          <w:lang w:val="en-GB"/>
        </w:rPr>
        <w:t>(</w:t>
      </w:r>
      <w:r w:rsidRPr="00DF6F1A">
        <w:rPr>
          <w:szCs w:val="20"/>
          <w:lang w:val="en-GB"/>
        </w:rPr>
        <w:t>d</w:t>
      </w:r>
      <w:r w:rsidR="004C7A54" w:rsidRPr="00DF6F1A">
        <w:rPr>
          <w:szCs w:val="20"/>
          <w:lang w:val="en-GB"/>
        </w:rPr>
        <w:t>-</w:t>
      </w:r>
      <w:r w:rsidRPr="00DF6F1A">
        <w:rPr>
          <w:szCs w:val="20"/>
          <w:lang w:val="en-GB"/>
        </w:rPr>
        <w:t>f</w:t>
      </w:r>
      <w:r w:rsidR="004C7A54" w:rsidRPr="00DF6F1A">
        <w:rPr>
          <w:szCs w:val="20"/>
          <w:lang w:val="en-GB"/>
        </w:rPr>
        <w:t xml:space="preserve">). </w:t>
      </w:r>
      <w:r w:rsidR="00684133" w:rsidRPr="00DF6F1A">
        <w:rPr>
          <w:szCs w:val="20"/>
          <w:lang w:val="en-GB"/>
        </w:rPr>
        <w:t>Three compositions</w:t>
      </w:r>
      <w:r w:rsidR="005B7867" w:rsidRPr="00DF6F1A">
        <w:rPr>
          <w:szCs w:val="20"/>
          <w:lang w:val="en-GB"/>
        </w:rPr>
        <w:t xml:space="preserve"> were chosen from each binary mixture for DSC </w:t>
      </w:r>
      <w:r w:rsidR="00056508" w:rsidRPr="00DF6F1A">
        <w:rPr>
          <w:szCs w:val="20"/>
          <w:lang w:val="en-GB"/>
        </w:rPr>
        <w:t>analysis</w:t>
      </w:r>
      <w:r w:rsidR="00283722" w:rsidRPr="00DF6F1A">
        <w:rPr>
          <w:szCs w:val="20"/>
          <w:lang w:val="en-GB"/>
        </w:rPr>
        <w:t xml:space="preserve"> above 50 °C</w:t>
      </w:r>
      <w:r w:rsidR="00304223">
        <w:rPr>
          <w:szCs w:val="20"/>
          <w:lang w:val="en-GB"/>
        </w:rPr>
        <w:t>, consisting of near-eutectic and non-eutectic compositions, to investigate the effect of composition</w:t>
      </w:r>
      <w:r w:rsidR="003F0769" w:rsidRPr="00DF6F1A">
        <w:rPr>
          <w:szCs w:val="20"/>
          <w:lang w:val="en-GB"/>
        </w:rPr>
        <w:t xml:space="preserve"> on melting temperature range, latent heat, and temperature-regulation response.</w:t>
      </w:r>
      <w:r w:rsidR="00F5444A">
        <w:rPr>
          <w:szCs w:val="20"/>
          <w:lang w:val="en-GB"/>
        </w:rPr>
        <w:t xml:space="preserve"> For </w:t>
      </w:r>
      <w:r w:rsidR="00EC2334">
        <w:rPr>
          <w:szCs w:val="20"/>
          <w:lang w:val="en-GB"/>
        </w:rPr>
        <w:t xml:space="preserve">the </w:t>
      </w:r>
      <w:r w:rsidR="00F5444A">
        <w:rPr>
          <w:szCs w:val="20"/>
          <w:lang w:val="en-GB"/>
        </w:rPr>
        <w:t xml:space="preserve">PA-HD </w:t>
      </w:r>
      <w:r w:rsidR="005E0049">
        <w:rPr>
          <w:szCs w:val="20"/>
          <w:lang w:val="en-GB"/>
        </w:rPr>
        <w:t>binary</w:t>
      </w:r>
      <w:r w:rsidR="00EC2334">
        <w:rPr>
          <w:szCs w:val="20"/>
          <w:lang w:val="en-GB"/>
        </w:rPr>
        <w:t xml:space="preserve">, </w:t>
      </w:r>
      <w:r w:rsidR="00846B61">
        <w:rPr>
          <w:szCs w:val="20"/>
          <w:lang w:val="en-GB"/>
        </w:rPr>
        <w:t>molar fractions of 0.2, 0.5, and 0.8 for HD, and for PA-OD, 0.4, 0.7, and 0.9 for HD,</w:t>
      </w:r>
      <w:r w:rsidR="00D33DFA">
        <w:rPr>
          <w:szCs w:val="20"/>
          <w:lang w:val="en-GB"/>
        </w:rPr>
        <w:t xml:space="preserve"> were</w:t>
      </w:r>
      <w:r w:rsidR="005F3AC5">
        <w:rPr>
          <w:szCs w:val="20"/>
          <w:lang w:val="en-GB"/>
        </w:rPr>
        <w:t xml:space="preserve"> chosen for further investigation.</w:t>
      </w:r>
      <w:r w:rsidR="005E0049">
        <w:rPr>
          <w:szCs w:val="20"/>
          <w:lang w:val="en-GB"/>
        </w:rPr>
        <w:t xml:space="preserve"> </w:t>
      </w:r>
      <w:r w:rsidR="003F0769" w:rsidRPr="00DF6F1A">
        <w:rPr>
          <w:szCs w:val="20"/>
          <w:lang w:val="en-GB"/>
        </w:rPr>
        <w:t xml:space="preserve"> </w:t>
      </w:r>
      <w:r w:rsidR="00A36623" w:rsidRPr="00DF6F1A">
        <w:rPr>
          <w:szCs w:val="20"/>
          <w:lang w:val="en-GB"/>
        </w:rPr>
        <w:t>Eutectic compositions generally exhibit a sharper, lower-temperature transition</w:t>
      </w:r>
      <w:r w:rsidR="0096689E" w:rsidRPr="00DF6F1A">
        <w:rPr>
          <w:szCs w:val="20"/>
          <w:lang w:val="en-GB"/>
        </w:rPr>
        <w:t xml:space="preserve"> which favours </w:t>
      </w:r>
      <w:r w:rsidR="0096689E" w:rsidRPr="00DF6F1A">
        <w:rPr>
          <w:lang w:val="en-GB"/>
        </w:rPr>
        <w:t>rapid and well-defined PV temperature control</w:t>
      </w:r>
      <w:r w:rsidR="00A36623" w:rsidRPr="00DF6F1A">
        <w:rPr>
          <w:szCs w:val="20"/>
          <w:lang w:val="en-GB"/>
        </w:rPr>
        <w:t>, whereas non-eutectic mixtures can show multiple transitions associated with eutectic and excess-component melting</w:t>
      </w:r>
      <w:r w:rsidR="00084A04" w:rsidRPr="00DF6F1A">
        <w:rPr>
          <w:szCs w:val="20"/>
          <w:lang w:val="en-GB"/>
        </w:rPr>
        <w:t xml:space="preserve">, </w:t>
      </w:r>
      <w:r w:rsidR="00084A04" w:rsidRPr="00DF6F1A">
        <w:rPr>
          <w:lang w:val="en-GB"/>
        </w:rPr>
        <w:t>providing a wider-range thermal buffering</w:t>
      </w:r>
      <w:r w:rsidR="000A4070" w:rsidRPr="00DF6F1A">
        <w:rPr>
          <w:lang w:val="en-GB"/>
        </w:rPr>
        <w:fldChar w:fldCharType="begin">
          <w:fldData xml:space="preserve">PEVuZE5vdGU+PENpdGU+PEF1dGhvcj5Ib2JpIEJvcmRvzIFuIFNvc2E8L0F1dGhvcj48WWVhcj4y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</w:fldData>
        </w:fldChar>
      </w:r>
      <w:r w:rsidR="006F05B4">
        <w:rPr>
          <w:lang w:val="en-GB"/>
        </w:rPr>
        <w:instrText xml:space="preserve"> ADDIN EN.CITE </w:instrText>
      </w:r>
      <w:r w:rsidR="006F05B4">
        <w:rPr>
          <w:lang w:val="en-GB"/>
        </w:rPr>
        <w:fldChar w:fldCharType="begin">
          <w:fldData xml:space="preserve">PEVuZE5vdGU+PENpdGU+PEF1dGhvcj5Ib2JpIEJvcmRvzIFuIFNvc2E8L0F1dGhvcj48WWVhcj4y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</w:fldData>
        </w:fldChar>
      </w:r>
      <w:r w:rsidR="006F05B4">
        <w:rPr>
          <w:lang w:val="en-GB"/>
        </w:rPr>
        <w:instrText xml:space="preserve"> ADDIN EN.CITE.DATA </w:instrText>
      </w:r>
      <w:r w:rsidR="006F05B4">
        <w:rPr>
          <w:lang w:val="en-GB"/>
        </w:rPr>
      </w:r>
      <w:r w:rsidR="006F05B4">
        <w:rPr>
          <w:lang w:val="en-GB"/>
        </w:rPr>
        <w:fldChar w:fldCharType="end"/>
      </w:r>
      <w:r w:rsidR="000A4070" w:rsidRPr="00DF6F1A">
        <w:rPr>
          <w:lang w:val="en-GB"/>
        </w:rPr>
      </w:r>
      <w:r w:rsidR="000A4070" w:rsidRPr="00DF6F1A">
        <w:rPr>
          <w:lang w:val="en-GB"/>
        </w:rPr>
        <w:fldChar w:fldCharType="separate"/>
      </w:r>
      <w:r w:rsidR="006F05B4">
        <w:rPr>
          <w:noProof/>
          <w:lang w:val="en-GB"/>
        </w:rPr>
        <w:t>[2, 10]</w:t>
      </w:r>
      <w:r w:rsidR="000A4070" w:rsidRPr="00DF6F1A">
        <w:rPr>
          <w:lang w:val="en-GB"/>
        </w:rPr>
        <w:fldChar w:fldCharType="end"/>
      </w:r>
      <w:r w:rsidR="00084A04" w:rsidRPr="00DF6F1A">
        <w:rPr>
          <w:lang w:val="en-GB"/>
        </w:rPr>
        <w:t>.</w:t>
      </w:r>
      <w:r w:rsidR="00583C8E" w:rsidRPr="00DF6F1A">
        <w:rPr>
          <w:lang w:val="en-GB"/>
        </w:rPr>
        <w:t xml:space="preserve"> Among the investigated mixtures, the composition </w:t>
      </w:r>
      <w:r w:rsidR="00846B61">
        <w:rPr>
          <w:lang w:val="en-GB"/>
        </w:rPr>
        <w:t xml:space="preserve">shown as PA-HD in </w:t>
      </w:r>
      <w:r w:rsidR="00846B61" w:rsidRPr="00594F1C">
        <w:rPr>
          <w:b/>
          <w:bCs/>
          <w:lang w:val="en-GB"/>
        </w:rPr>
        <w:t>Fig. 3e</w:t>
      </w:r>
      <w:r w:rsidR="00846B61">
        <w:rPr>
          <w:lang w:val="en-GB"/>
        </w:rPr>
        <w:t xml:space="preserve"> exhibited the most eutectic-like thermal response, characterised by a single, dominant,</w:t>
      </w:r>
      <w:r w:rsidR="00583C8E" w:rsidRPr="00DF6F1A">
        <w:rPr>
          <w:lang w:val="en-GB"/>
        </w:rPr>
        <w:t xml:space="preserve"> narrow melting/crystallisation </w:t>
      </w:r>
      <w:r w:rsidR="001C5F2F" w:rsidRPr="00DF6F1A">
        <w:rPr>
          <w:lang w:val="en-GB"/>
        </w:rPr>
        <w:t>curve</w:t>
      </w:r>
      <w:r w:rsidR="00583C8E" w:rsidRPr="00DF6F1A">
        <w:rPr>
          <w:lang w:val="en-GB"/>
        </w:rPr>
        <w:t xml:space="preserve">. This profile is preferable for </w:t>
      </w:r>
      <w:r w:rsidR="00070DA5">
        <w:rPr>
          <w:lang w:val="en-GB"/>
        </w:rPr>
        <w:t>high-power</w:t>
      </w:r>
      <w:r w:rsidR="00583C8E" w:rsidRPr="00DF6F1A">
        <w:rPr>
          <w:lang w:val="en-GB"/>
        </w:rPr>
        <w:t xml:space="preserve"> PV/T thermal regulation </w:t>
      </w:r>
      <w:r w:rsidR="001C5F2F" w:rsidRPr="00DF6F1A">
        <w:rPr>
          <w:lang w:val="en-GB"/>
        </w:rPr>
        <w:t>as the</w:t>
      </w:r>
      <w:r w:rsidR="00583C8E" w:rsidRPr="00DF6F1A">
        <w:rPr>
          <w:lang w:val="en-GB"/>
        </w:rPr>
        <w:t xml:space="preserve"> latent heat is concentrated near a defined operating temperature. In contrast, the multi-peak</w:t>
      </w:r>
      <w:r w:rsidR="00117EF1" w:rsidRPr="00DF6F1A">
        <w:rPr>
          <w:lang w:val="en-GB"/>
        </w:rPr>
        <w:t xml:space="preserve"> </w:t>
      </w:r>
      <w:r w:rsidR="000840FF">
        <w:rPr>
          <w:lang w:val="en-GB"/>
        </w:rPr>
        <w:t>patterns in panels a, c, d, and f for PA-OD and PA-HD mixtures exhibited an off-eutectic, staged phase transition, in which the low-temperature event represents eutectic melting, while</w:t>
      </w:r>
      <w:r w:rsidR="00070DA5">
        <w:rPr>
          <w:lang w:val="en-GB"/>
        </w:rPr>
        <w:t xml:space="preserve"> the higher-temperature</w:t>
      </w:r>
      <w:r w:rsidR="008C0A3B" w:rsidRPr="00DF6F1A">
        <w:rPr>
          <w:lang w:val="en-GB"/>
        </w:rPr>
        <w:t xml:space="preserve"> event indicates an excess component that persists until the liquidus temperature is reached.</w:t>
      </w:r>
      <w:r w:rsidR="000A796D" w:rsidRPr="00DF6F1A">
        <w:rPr>
          <w:lang w:val="en-GB"/>
        </w:rPr>
        <w:t xml:space="preserve"> This</w:t>
      </w:r>
      <w:r w:rsidR="00583C8E" w:rsidRPr="00DF6F1A">
        <w:rPr>
          <w:lang w:val="en-GB"/>
        </w:rPr>
        <w:t xml:space="preserve"> may provide </w:t>
      </w:r>
      <w:r w:rsidR="00066FE9">
        <w:rPr>
          <w:lang w:val="en-GB"/>
        </w:rPr>
        <w:t xml:space="preserve">a </w:t>
      </w:r>
      <w:r w:rsidR="00583C8E" w:rsidRPr="00DF6F1A">
        <w:rPr>
          <w:lang w:val="en-GB"/>
        </w:rPr>
        <w:t>broader temperature</w:t>
      </w:r>
      <w:r w:rsidR="00066FE9">
        <w:rPr>
          <w:lang w:val="en-GB"/>
        </w:rPr>
        <w:t xml:space="preserve"> </w:t>
      </w:r>
      <w:r w:rsidR="00583C8E" w:rsidRPr="00DF6F1A">
        <w:rPr>
          <w:lang w:val="en-GB"/>
        </w:rPr>
        <w:t>range</w:t>
      </w:r>
      <w:r w:rsidR="00C64711">
        <w:rPr>
          <w:lang w:val="en-GB"/>
        </w:rPr>
        <w:t xml:space="preserve"> in</w:t>
      </w:r>
      <w:r w:rsidR="00583C8E" w:rsidRPr="00DF6F1A">
        <w:rPr>
          <w:lang w:val="en-GB"/>
        </w:rPr>
        <w:t xml:space="preserve"> thermal buffering but </w:t>
      </w:r>
      <w:r w:rsidR="00C64711">
        <w:rPr>
          <w:lang w:val="en-GB"/>
        </w:rPr>
        <w:t xml:space="preserve">will be </w:t>
      </w:r>
      <w:r w:rsidR="00583C8E" w:rsidRPr="00DF6F1A">
        <w:rPr>
          <w:lang w:val="en-GB"/>
        </w:rPr>
        <w:t xml:space="preserve">less precise </w:t>
      </w:r>
      <w:r w:rsidR="00C64711">
        <w:rPr>
          <w:lang w:val="en-GB"/>
        </w:rPr>
        <w:t xml:space="preserve">in </w:t>
      </w:r>
      <w:r w:rsidR="00583C8E" w:rsidRPr="00DF6F1A">
        <w:rPr>
          <w:lang w:val="en-GB"/>
        </w:rPr>
        <w:t>PV</w:t>
      </w:r>
      <w:r w:rsidR="00066FE9">
        <w:rPr>
          <w:lang w:val="en-GB"/>
        </w:rPr>
        <w:t xml:space="preserve"> </w:t>
      </w:r>
      <w:r w:rsidR="00583C8E" w:rsidRPr="00DF6F1A">
        <w:rPr>
          <w:lang w:val="en-GB"/>
        </w:rPr>
        <w:t>temperature control</w:t>
      </w:r>
      <w:r w:rsidR="002E0314">
        <w:rPr>
          <w:lang w:val="en-GB"/>
        </w:rPr>
        <w:fldChar w:fldCharType="begin">
          <w:fldData xml:space="preserve">PEVuZE5vdGU+PENpdGU+PEF1dGhvcj5SYXRob2Q8L0F1dGhvcj48WWVhcj4yMDE4PC9ZZWFyPjxS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</w:fldData>
        </w:fldChar>
      </w:r>
      <w:r w:rsidR="006F05B4">
        <w:rPr>
          <w:lang w:val="en-GB"/>
        </w:rPr>
        <w:instrText xml:space="preserve"> ADDIN EN.CITE </w:instrText>
      </w:r>
      <w:r w:rsidR="006F05B4">
        <w:rPr>
          <w:lang w:val="en-GB"/>
        </w:rPr>
        <w:fldChar w:fldCharType="begin">
          <w:fldData xml:space="preserve">PEVuZE5vdGU+PENpdGU+PEF1dGhvcj5SYXRob2Q8L0F1dGhvcj48WWVhcj4yMDE4PC9ZZWFyPjxS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</w:fldData>
        </w:fldChar>
      </w:r>
      <w:r w:rsidR="006F05B4">
        <w:rPr>
          <w:lang w:val="en-GB"/>
        </w:rPr>
        <w:instrText xml:space="preserve"> ADDIN EN.CITE.DATA </w:instrText>
      </w:r>
      <w:r w:rsidR="006F05B4">
        <w:rPr>
          <w:lang w:val="en-GB"/>
        </w:rPr>
      </w:r>
      <w:r w:rsidR="006F05B4">
        <w:rPr>
          <w:lang w:val="en-GB"/>
        </w:rPr>
        <w:fldChar w:fldCharType="end"/>
      </w:r>
      <w:r w:rsidR="002E0314">
        <w:rPr>
          <w:lang w:val="en-GB"/>
        </w:rPr>
      </w:r>
      <w:r w:rsidR="002E0314">
        <w:rPr>
          <w:lang w:val="en-GB"/>
        </w:rPr>
        <w:fldChar w:fldCharType="separate"/>
      </w:r>
      <w:r w:rsidR="006F05B4">
        <w:rPr>
          <w:noProof/>
          <w:lang w:val="en-GB"/>
        </w:rPr>
        <w:t>[11, 12]</w:t>
      </w:r>
      <w:r w:rsidR="002E0314">
        <w:rPr>
          <w:lang w:val="en-GB"/>
        </w:rPr>
        <w:fldChar w:fldCharType="end"/>
      </w:r>
      <w:r w:rsidR="00583C8E" w:rsidRPr="00DF6F1A">
        <w:rPr>
          <w:lang w:val="en-GB"/>
        </w:rPr>
        <w:t>.</w:t>
      </w:r>
    </w:p>
    <w:p w14:paraId="028F1FF4" w14:textId="77777777" w:rsidR="00C8414E" w:rsidRPr="00DF6F1A" w:rsidRDefault="00C8414E" w:rsidP="00FD19A7">
      <w:pPr>
        <w:pStyle w:val="SWCText"/>
        <w:rPr>
          <w:lang w:val="en-GB"/>
        </w:rPr>
      </w:pPr>
    </w:p>
    <w:p w14:paraId="049D5B24" w14:textId="77777777" w:rsidR="00C96C0D" w:rsidRPr="00DF6F1A" w:rsidRDefault="00C96C0D" w:rsidP="00FD19A7">
      <w:pPr>
        <w:pStyle w:val="SWCText"/>
        <w:rPr>
          <w:sz w:val="24"/>
          <w:szCs w:val="24"/>
          <w:lang w:val="en-GB"/>
        </w:rPr>
      </w:pPr>
    </w:p>
    <w:p w14:paraId="0D2E2C43" w14:textId="77777777" w:rsidR="000C63CB" w:rsidRPr="00DF6F1A" w:rsidRDefault="000C63CB" w:rsidP="00FD19A7">
      <w:pPr>
        <w:pStyle w:val="SWCText"/>
        <w:rPr>
          <w:sz w:val="24"/>
          <w:szCs w:val="24"/>
          <w:lang w:val="en-GB"/>
        </w:rPr>
      </w:pPr>
    </w:p>
    <w:p w14:paraId="1317FC94" w14:textId="3DFF7B68" w:rsidR="00B43D64" w:rsidRPr="00DF6F1A" w:rsidRDefault="00B43D64" w:rsidP="00693519">
      <w:pPr>
        <w:pStyle w:val="SWCText"/>
        <w:jc w:val="center"/>
        <w:rPr>
          <w:sz w:val="24"/>
          <w:szCs w:val="24"/>
          <w:lang w:val="en-GB"/>
        </w:rPr>
      </w:pPr>
      <w:r w:rsidRPr="00DF6F1A">
        <w:rPr>
          <w:noProof/>
          <w:sz w:val="24"/>
          <w:szCs w:val="24"/>
          <w:lang w:val="en-GB"/>
        </w:rPr>
        <w:lastRenderedPageBreak/>
        <w:drawing>
          <wp:inline distT="0" distB="0" distL="0" distR="0" wp14:anchorId="69EAEA7B" wp14:editId="60F9D66B">
            <wp:extent cx="5238115" cy="5562516"/>
            <wp:effectExtent l="0" t="0" r="635" b="635"/>
            <wp:docPr id="1771969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69281" name="Picture 1"/>
                    <pic:cNvPicPr/>
                  </pic:nvPicPr>
                  <pic:blipFill rotWithShape="1">
                    <a:blip r:embed="rId13"/>
                    <a:srcRect t="-443" r="6281" b="44457"/>
                    <a:stretch>
                      <a:fillRect/>
                    </a:stretch>
                  </pic:blipFill>
                  <pic:spPr bwMode="auto">
                    <a:xfrm>
                      <a:off x="0" y="0"/>
                      <a:ext cx="5239133" cy="5563597"/>
                    </a:xfrm>
                    <a:prstGeom prst="rect">
                      <a:avLst/>
                    </a:prstGeom>
                    <a:ln>
                      <a:noFill/>
                    </a:ln>
                    <a:extLst>
                      <a:ext uri="{53640926-AAD7-44D8-BBD7-CCE9431645EC}">
                        <a14:shadowObscured xmlns:a14="http://schemas.microsoft.com/office/drawing/2010/main"/>
                      </a:ext>
                    </a:extLst>
                  </pic:spPr>
                </pic:pic>
              </a:graphicData>
            </a:graphic>
          </wp:inline>
        </w:drawing>
      </w:r>
    </w:p>
    <w:p w14:paraId="1043E092" w14:textId="33EC2FB3" w:rsidR="00B904A8" w:rsidRPr="00DF6F1A" w:rsidRDefault="00B904A8" w:rsidP="00693519">
      <w:pPr>
        <w:pStyle w:val="SWCText"/>
        <w:jc w:val="center"/>
        <w:rPr>
          <w:b/>
          <w:bCs/>
          <w:sz w:val="16"/>
          <w:szCs w:val="16"/>
          <w:lang w:val="en-GB"/>
        </w:rPr>
      </w:pPr>
      <w:r w:rsidRPr="00DF6F1A">
        <w:rPr>
          <w:b/>
          <w:bCs/>
          <w:sz w:val="16"/>
          <w:szCs w:val="16"/>
          <w:lang w:val="en-GB"/>
        </w:rPr>
        <w:t xml:space="preserve">Fig. </w:t>
      </w:r>
      <w:r w:rsidR="00453FAA" w:rsidRPr="00DF6F1A">
        <w:rPr>
          <w:b/>
          <w:bCs/>
          <w:sz w:val="16"/>
          <w:szCs w:val="16"/>
          <w:lang w:val="en-GB"/>
        </w:rPr>
        <w:t xml:space="preserve">3: DSC analysis of a) PA-OD </w:t>
      </w:r>
      <w:r w:rsidR="009F3623" w:rsidRPr="00DF6F1A">
        <w:rPr>
          <w:b/>
          <w:bCs/>
          <w:sz w:val="16"/>
          <w:szCs w:val="16"/>
          <w:lang w:val="en-GB"/>
        </w:rPr>
        <w:t xml:space="preserve">0.4M, b) PA-OD 0.7M c) PA-OD 0.9M d) PA-HD </w:t>
      </w:r>
      <w:r w:rsidR="00D10708" w:rsidRPr="00DF6F1A">
        <w:rPr>
          <w:b/>
          <w:bCs/>
          <w:sz w:val="16"/>
          <w:szCs w:val="16"/>
          <w:lang w:val="en-GB"/>
        </w:rPr>
        <w:t>0.2M e) PA-OD 0.5M f) PA-OD 0.8M</w:t>
      </w:r>
    </w:p>
    <w:p w14:paraId="47CF54B3" w14:textId="7D661122" w:rsidR="00311DC8" w:rsidRPr="00245530" w:rsidRDefault="005B089D" w:rsidP="00FD19A7">
      <w:pPr>
        <w:pStyle w:val="SWCText"/>
        <w:rPr>
          <w:rFonts w:ascii="Arial" w:hAnsi="Arial" w:cs="Arial"/>
          <w:i/>
          <w:iCs/>
          <w:lang w:val="en-GB"/>
        </w:rPr>
      </w:pPr>
      <w:r w:rsidRPr="00DF6F1A">
        <w:rPr>
          <w:rFonts w:ascii="Arial" w:hAnsi="Arial" w:cs="Arial"/>
          <w:i/>
          <w:iCs/>
          <w:lang w:val="en-GB"/>
        </w:rPr>
        <w:t xml:space="preserve">3.3 </w:t>
      </w:r>
      <w:r w:rsidR="008B6253" w:rsidRPr="00DF6F1A">
        <w:rPr>
          <w:rFonts w:ascii="Arial" w:hAnsi="Arial" w:cs="Arial"/>
          <w:i/>
          <w:iCs/>
          <w:lang w:val="en-GB"/>
        </w:rPr>
        <w:t xml:space="preserve">PV/T </w:t>
      </w:r>
      <w:r w:rsidR="00032367" w:rsidRPr="00DF6F1A">
        <w:rPr>
          <w:rFonts w:ascii="Arial" w:hAnsi="Arial" w:cs="Arial"/>
          <w:i/>
          <w:iCs/>
          <w:lang w:val="en-GB"/>
        </w:rPr>
        <w:t>Comparison M</w:t>
      </w:r>
      <w:r w:rsidR="00275EB8" w:rsidRPr="00DF6F1A">
        <w:rPr>
          <w:rFonts w:ascii="Arial" w:hAnsi="Arial" w:cs="Arial"/>
          <w:i/>
          <w:iCs/>
          <w:lang w:val="en-GB"/>
        </w:rPr>
        <w:t>etrics</w:t>
      </w:r>
      <w:r w:rsidR="008B6253" w:rsidRPr="00DF6F1A">
        <w:rPr>
          <w:rFonts w:ascii="Arial" w:hAnsi="Arial" w:cs="Arial"/>
          <w:i/>
          <w:iCs/>
          <w:lang w:val="en-GB"/>
        </w:rPr>
        <w:t xml:space="preserve"> </w:t>
      </w:r>
    </w:p>
    <w:p w14:paraId="6F9EC11A" w14:textId="5FF261E5" w:rsidR="00D41428" w:rsidRDefault="00834B30" w:rsidP="00F1118F">
      <w:pPr>
        <w:jc w:val="both"/>
        <w:rPr>
          <w:color w:val="000000"/>
          <w:sz w:val="20"/>
          <w:szCs w:val="22"/>
        </w:rPr>
      </w:pPr>
      <w:r w:rsidRPr="00DF6F1A">
        <w:rPr>
          <w:color w:val="000000"/>
          <w:sz w:val="20"/>
          <w:szCs w:val="22"/>
        </w:rPr>
        <w:t xml:space="preserve">The best </w:t>
      </w:r>
      <w:r w:rsidR="00BC3027" w:rsidRPr="00DF6F1A">
        <w:rPr>
          <w:color w:val="000000"/>
          <w:sz w:val="20"/>
          <w:szCs w:val="22"/>
        </w:rPr>
        <w:t xml:space="preserve">DSC-driven storage </w:t>
      </w:r>
      <w:r w:rsidR="00ED4DC2">
        <w:rPr>
          <w:color w:val="000000"/>
          <w:sz w:val="20"/>
          <w:szCs w:val="22"/>
        </w:rPr>
        <w:t>metric for comparing materials over a specified temperature window for PV/T applications is total usable thermal capacity, as it provides insight into</w:t>
      </w:r>
      <w:r w:rsidR="00F1118F" w:rsidRPr="00DF6F1A">
        <w:rPr>
          <w:color w:val="000000"/>
          <w:sz w:val="20"/>
          <w:szCs w:val="22"/>
        </w:rPr>
        <w:t xml:space="preserve"> actual energy storage capacity</w:t>
      </w:r>
      <w:r w:rsidR="00EC0569" w:rsidRPr="00DF6F1A">
        <w:rPr>
          <w:color w:val="000000"/>
          <w:sz w:val="20"/>
          <w:szCs w:val="22"/>
        </w:rPr>
        <w:t xml:space="preserve">. </w:t>
      </w:r>
      <w:r w:rsidR="00D41428" w:rsidRPr="00E617CE">
        <w:rPr>
          <w:b/>
          <w:bCs/>
          <w:color w:val="000000"/>
          <w:sz w:val="20"/>
          <w:szCs w:val="22"/>
        </w:rPr>
        <w:t>Tab</w:t>
      </w:r>
      <w:r w:rsidR="00E617CE" w:rsidRPr="00E617CE">
        <w:rPr>
          <w:b/>
          <w:bCs/>
          <w:color w:val="000000"/>
          <w:sz w:val="20"/>
          <w:szCs w:val="22"/>
        </w:rPr>
        <w:t>. 3</w:t>
      </w:r>
      <w:r w:rsidR="00D41428" w:rsidRPr="00DF6F1A">
        <w:rPr>
          <w:color w:val="000000"/>
          <w:sz w:val="20"/>
          <w:szCs w:val="22"/>
        </w:rPr>
        <w:t xml:space="preserve"> quantifies the sensible, latent, and total usable thermal capacity of the six formulations </w:t>
      </w:r>
      <w:r w:rsidR="00AB5AAD">
        <w:rPr>
          <w:color w:val="000000"/>
          <w:sz w:val="20"/>
          <w:szCs w:val="22"/>
        </w:rPr>
        <w:t xml:space="preserve">using </w:t>
      </w:r>
      <w:r w:rsidR="00AB5AAD" w:rsidRPr="00D1607E">
        <w:rPr>
          <w:b/>
          <w:bCs/>
          <w:color w:val="000000"/>
          <w:sz w:val="20"/>
          <w:szCs w:val="22"/>
        </w:rPr>
        <w:t>eq</w:t>
      </w:r>
      <w:r w:rsidR="00852E89">
        <w:rPr>
          <w:b/>
          <w:bCs/>
          <w:color w:val="000000"/>
          <w:sz w:val="20"/>
          <w:szCs w:val="22"/>
        </w:rPr>
        <w:t>.</w:t>
      </w:r>
      <w:r w:rsidR="00AB5AAD" w:rsidRPr="00D1607E">
        <w:rPr>
          <w:b/>
          <w:bCs/>
          <w:color w:val="000000"/>
          <w:sz w:val="20"/>
          <w:szCs w:val="22"/>
        </w:rPr>
        <w:t xml:space="preserve"> 1</w:t>
      </w:r>
      <w:r w:rsidR="00AB5AAD">
        <w:rPr>
          <w:color w:val="000000"/>
          <w:sz w:val="20"/>
          <w:szCs w:val="22"/>
        </w:rPr>
        <w:t xml:space="preserve"> </w:t>
      </w:r>
      <w:r w:rsidR="00D41428" w:rsidRPr="00DF6F1A">
        <w:rPr>
          <w:color w:val="000000"/>
          <w:sz w:val="20"/>
          <w:szCs w:val="22"/>
        </w:rPr>
        <w:t xml:space="preserve">within the selected PV/T operating window of </w:t>
      </w:r>
      <w:r w:rsidR="00D41428" w:rsidRPr="00EF6596">
        <w:rPr>
          <w:color w:val="000000"/>
          <w:sz w:val="20"/>
          <w:szCs w:val="20"/>
        </w:rPr>
        <w:t>35</w:t>
      </w:r>
      <w:r w:rsidR="00D41428" w:rsidRPr="00EF6596">
        <w:rPr>
          <w:sz w:val="20"/>
          <w:szCs w:val="20"/>
        </w:rPr>
        <w:t>-</w:t>
      </w:r>
      <w:r w:rsidR="00D41428" w:rsidRPr="00EF6596">
        <w:rPr>
          <w:color w:val="000000"/>
          <w:sz w:val="20"/>
          <w:szCs w:val="20"/>
        </w:rPr>
        <w:t>60 °C</w:t>
      </w:r>
      <w:r w:rsidR="00ED4DC2">
        <w:rPr>
          <w:color w:val="000000"/>
          <w:sz w:val="20"/>
          <w:szCs w:val="20"/>
        </w:rPr>
        <w:t>,</w:t>
      </w:r>
      <w:r w:rsidR="00EF6596" w:rsidRPr="00EF6596">
        <w:rPr>
          <w:color w:val="000000"/>
          <w:sz w:val="20"/>
          <w:szCs w:val="20"/>
        </w:rPr>
        <w:t xml:space="preserve"> and</w:t>
      </w:r>
      <w:r w:rsidR="00D41428" w:rsidRPr="00EF6596">
        <w:rPr>
          <w:color w:val="000000"/>
          <w:sz w:val="20"/>
          <w:szCs w:val="20"/>
        </w:rPr>
        <w:t xml:space="preserve"> </w:t>
      </w:r>
      <w:r w:rsidR="00A0621F" w:rsidRPr="00EF6596">
        <w:rPr>
          <w:sz w:val="20"/>
          <w:szCs w:val="20"/>
        </w:rPr>
        <w:t>th</w:t>
      </w:r>
      <w:r w:rsidR="00D975FD">
        <w:rPr>
          <w:sz w:val="20"/>
          <w:szCs w:val="20"/>
        </w:rPr>
        <w:t>is</w:t>
      </w:r>
      <w:r w:rsidR="00A0621F" w:rsidRPr="00EF6596">
        <w:rPr>
          <w:sz w:val="20"/>
          <w:szCs w:val="20"/>
        </w:rPr>
        <w:t xml:space="preserve"> range lies within the typical temperature experienced by PV/T modules during operation for flat</w:t>
      </w:r>
      <w:r w:rsidR="001C21CB">
        <w:rPr>
          <w:sz w:val="20"/>
          <w:szCs w:val="20"/>
        </w:rPr>
        <w:t xml:space="preserve"> </w:t>
      </w:r>
      <w:r w:rsidR="00A0621F" w:rsidRPr="00EF6596">
        <w:rPr>
          <w:sz w:val="20"/>
          <w:szCs w:val="20"/>
        </w:rPr>
        <w:t>plate collectors</w:t>
      </w:r>
      <w:r w:rsidR="00A0621F" w:rsidRPr="00EF6596">
        <w:rPr>
          <w:sz w:val="20"/>
          <w:szCs w:val="20"/>
        </w:rPr>
        <w:fldChar w:fldCharType="begin">
          <w:fldData xml:space="preserve">PEVuZE5vdGU+PENpdGU+PEF1dGhvcj5QcmFzZXR5bzwvQXV0aG9yPjxZZWFyPjIwMjM8L1llYXI+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</w:fldData>
        </w:fldChar>
      </w:r>
      <w:r w:rsidR="006F05B4">
        <w:rPr>
          <w:sz w:val="20"/>
          <w:szCs w:val="20"/>
        </w:rPr>
        <w:instrText xml:space="preserve"> ADDIN EN.CITE </w:instrText>
      </w:r>
      <w:r w:rsidR="006F05B4">
        <w:rPr>
          <w:sz w:val="20"/>
          <w:szCs w:val="20"/>
        </w:rPr>
        <w:fldChar w:fldCharType="begin">
          <w:fldData xml:space="preserve">PEVuZE5vdGU+PENpdGU+PEF1dGhvcj5QcmFzZXR5bzwvQXV0aG9yPjxZZWFyPjIwMjM8L1llYXI+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</w:fldData>
        </w:fldChar>
      </w:r>
      <w:r w:rsidR="006F05B4">
        <w:rPr>
          <w:sz w:val="20"/>
          <w:szCs w:val="20"/>
        </w:rPr>
        <w:instrText xml:space="preserve"> ADDIN EN.CITE.DATA </w:instrText>
      </w:r>
      <w:r w:rsidR="006F05B4">
        <w:rPr>
          <w:sz w:val="20"/>
          <w:szCs w:val="20"/>
        </w:rPr>
      </w:r>
      <w:r w:rsidR="006F05B4">
        <w:rPr>
          <w:sz w:val="20"/>
          <w:szCs w:val="20"/>
        </w:rPr>
        <w:fldChar w:fldCharType="end"/>
      </w:r>
      <w:r w:rsidR="00A0621F" w:rsidRPr="00EF6596">
        <w:rPr>
          <w:sz w:val="20"/>
          <w:szCs w:val="20"/>
        </w:rPr>
      </w:r>
      <w:r w:rsidR="00A0621F" w:rsidRPr="00EF6596">
        <w:rPr>
          <w:sz w:val="20"/>
          <w:szCs w:val="20"/>
        </w:rPr>
        <w:fldChar w:fldCharType="separate"/>
      </w:r>
      <w:r w:rsidR="006F05B4">
        <w:rPr>
          <w:noProof/>
          <w:sz w:val="20"/>
          <w:szCs w:val="20"/>
        </w:rPr>
        <w:t>[13, 14]</w:t>
      </w:r>
      <w:r w:rsidR="00A0621F" w:rsidRPr="00EF6596">
        <w:rPr>
          <w:sz w:val="20"/>
          <w:szCs w:val="20"/>
        </w:rPr>
        <w:fldChar w:fldCharType="end"/>
      </w:r>
      <w:r w:rsidR="006C5B5F" w:rsidRPr="00EF6596">
        <w:rPr>
          <w:sz w:val="20"/>
          <w:szCs w:val="20"/>
        </w:rPr>
        <w:t>.</w:t>
      </w:r>
      <w:r w:rsidR="006C5B5F">
        <w:rPr>
          <w:szCs w:val="20"/>
        </w:rPr>
        <w:t xml:space="preserve"> </w:t>
      </w:r>
      <w:r w:rsidR="00D41428" w:rsidRPr="00DF6F1A">
        <w:rPr>
          <w:color w:val="000000"/>
          <w:sz w:val="20"/>
          <w:szCs w:val="22"/>
        </w:rPr>
        <w:t xml:space="preserve">The values were obtained by integrating </w:t>
      </w:r>
      <m:oMath>
        <m:sSub>
          <m:sSubPr>
            <m:ctrlPr>
              <w:rPr>
                <w:rFonts w:ascii="Cambria Math" w:hAnsi="Cambria Math"/>
                <w:color w:val="000000"/>
                <w:sz w:val="20"/>
                <w:szCs w:val="22"/>
              </w:rPr>
            </m:ctrlPr>
          </m:sSubPr>
          <m:e>
            <m:r>
              <w:rPr>
                <w:rFonts w:ascii="Cambria Math" w:hAnsi="Cambria Math"/>
              </w:rPr>
              <m:t>C</m:t>
            </m:r>
          </m:e>
          <m:sub>
            <m:r>
              <w:rPr>
                <w:rFonts w:ascii="Cambria Math" w:hAnsi="Cambria Math"/>
              </w:rPr>
              <m:t>p</m:t>
            </m:r>
          </m:sub>
        </m:sSub>
        <m:r>
          <w:rPr>
            <w:rFonts w:ascii="Cambria Math" w:hAnsi="Cambria Math"/>
          </w:rPr>
          <m:t>(T)</m:t>
        </m:r>
      </m:oMath>
      <w:r w:rsidR="00D41428" w:rsidRPr="00DF6F1A">
        <w:rPr>
          <w:color w:val="000000"/>
          <w:sz w:val="20"/>
          <w:szCs w:val="22"/>
        </w:rPr>
        <w:t xml:space="preserve">outside the selected melting regions and adding the baseline-corrected enthalpy of all melting peaks within the operating window. </w:t>
      </w:r>
      <w:r w:rsidR="00B2702D" w:rsidRPr="00DF6F1A">
        <w:rPr>
          <w:color w:val="000000"/>
          <w:sz w:val="20"/>
          <w:szCs w:val="22"/>
        </w:rPr>
        <w:t xml:space="preserve">The sample masses were closely comparable, ranging from 6.24 to 6.36 mg; thus, the mass-normalised capacities can be compared directly. </w:t>
      </w:r>
      <w:r w:rsidR="00D41428" w:rsidRPr="00DF6F1A">
        <w:rPr>
          <w:color w:val="000000"/>
          <w:sz w:val="20"/>
          <w:szCs w:val="22"/>
        </w:rPr>
        <w:t>The total usable capacity is therefore:</w:t>
      </w:r>
    </w:p>
    <w:p w14:paraId="60308CB2" w14:textId="77777777" w:rsidR="00C066AB" w:rsidRPr="00DF6F1A" w:rsidRDefault="00C066AB" w:rsidP="00F1118F">
      <w:pPr>
        <w:jc w:val="both"/>
        <w:rPr>
          <w:color w:val="000000"/>
          <w:sz w:val="20"/>
          <w:szCs w:val="22"/>
        </w:rPr>
      </w:pPr>
    </w:p>
    <w:p w14:paraId="3EFD3E42" w14:textId="1CC7BD28" w:rsidR="00C066AB" w:rsidRDefault="00BE3ABC" w:rsidP="00594F1C">
      <w:pPr>
        <w:pStyle w:val="SWCText"/>
        <w:jc w:val="right"/>
        <w:rPr>
          <w:b/>
          <w:bCs/>
          <w:sz w:val="16"/>
          <w:szCs w:val="16"/>
          <w:lang w:val="en-GB"/>
        </w:rPr>
      </w:pPr>
      <m:oMath>
        <m:sSub>
          <m:sSubPr>
            <m:ctrlPr>
              <w:rPr>
                <w:rFonts w:ascii="Cambria Math" w:hAnsi="Cambria Math"/>
                <w:b/>
                <w:bCs/>
                <w:lang w:val="en-GB"/>
              </w:rPr>
            </m:ctrlPr>
          </m:sSubPr>
          <m:e>
            <m:r>
              <m:rPr>
                <m:sty m:val="bi"/>
              </m:rPr>
              <w:rPr>
                <w:rFonts w:ascii="Cambria Math" w:hAnsi="Cambria Math"/>
                <w:lang w:val="en-GB"/>
              </w:rPr>
              <m:t>Q</m:t>
            </m:r>
          </m:e>
          <m:sub>
            <m:r>
              <m:rPr>
                <m:sty m:val="b"/>
              </m:rPr>
              <w:rPr>
                <w:rFonts w:ascii="Cambria Math" w:hAnsi="Cambria Math"/>
                <w:lang w:val="en-GB"/>
              </w:rPr>
              <m:t>usable</m:t>
            </m:r>
          </m:sub>
        </m:sSub>
        <m:r>
          <m:rPr>
            <m:sty m:val="bi"/>
          </m:rPr>
          <w:rPr>
            <w:rFonts w:ascii="Cambria Math" w:hAnsi="Cambria Math"/>
            <w:lang w:val="en-GB"/>
          </w:rPr>
          <m:t>=</m:t>
        </m:r>
        <m:sSub>
          <m:sSubPr>
            <m:ctrlPr>
              <w:rPr>
                <w:rFonts w:ascii="Cambria Math" w:hAnsi="Cambria Math"/>
                <w:b/>
                <w:bCs/>
                <w:lang w:val="en-GB"/>
              </w:rPr>
            </m:ctrlPr>
          </m:sSubPr>
          <m:e>
            <m:r>
              <m:rPr>
                <m:sty m:val="bi"/>
              </m:rPr>
              <w:rPr>
                <w:rFonts w:ascii="Cambria Math" w:hAnsi="Cambria Math"/>
                <w:lang w:val="en-GB"/>
              </w:rPr>
              <m:t>Q</m:t>
            </m:r>
          </m:e>
          <m:sub>
            <m:r>
              <m:rPr>
                <m:sty m:val="b"/>
              </m:rPr>
              <w:rPr>
                <w:rFonts w:ascii="Cambria Math" w:hAnsi="Cambria Math"/>
                <w:lang w:val="en-GB"/>
              </w:rPr>
              <m:t>sensible</m:t>
            </m:r>
          </m:sub>
        </m:sSub>
        <m:r>
          <m:rPr>
            <m:sty m:val="bi"/>
          </m:rPr>
          <w:rPr>
            <w:rFonts w:ascii="Cambria Math" w:hAnsi="Cambria Math"/>
            <w:lang w:val="en-GB"/>
          </w:rPr>
          <m:t>+</m:t>
        </m:r>
        <m:sSub>
          <m:sSubPr>
            <m:ctrlPr>
              <w:rPr>
                <w:rFonts w:ascii="Cambria Math" w:hAnsi="Cambria Math"/>
                <w:b/>
                <w:bCs/>
                <w:lang w:val="en-GB"/>
              </w:rPr>
            </m:ctrlPr>
          </m:sSubPr>
          <m:e>
            <m:r>
              <m:rPr>
                <m:sty m:val="bi"/>
              </m:rPr>
              <w:rPr>
                <w:rFonts w:ascii="Cambria Math" w:hAnsi="Cambria Math"/>
                <w:lang w:val="en-GB"/>
              </w:rPr>
              <m:t>Q</m:t>
            </m:r>
          </m:e>
          <m:sub>
            <m:r>
              <m:rPr>
                <m:sty m:val="b"/>
              </m:rPr>
              <w:rPr>
                <w:rFonts w:ascii="Cambria Math" w:hAnsi="Cambria Math"/>
                <w:lang w:val="en-GB"/>
              </w:rPr>
              <m:t>latent</m:t>
            </m:r>
            <m:r>
              <m:rPr>
                <m:sty m:val="bi"/>
              </m:rPr>
              <w:rPr>
                <w:rFonts w:ascii="Cambria Math" w:hAnsi="Cambria Math"/>
                <w:lang w:val="en-GB"/>
              </w:rPr>
              <m:t>,</m:t>
            </m:r>
            <m:r>
              <m:rPr>
                <m:sty m:val="b"/>
              </m:rPr>
              <w:rPr>
                <w:rFonts w:ascii="Cambria Math" w:hAnsi="Cambria Math"/>
                <w:lang w:val="en-GB"/>
              </w:rPr>
              <m:t>usable</m:t>
            </m:r>
          </m:sub>
        </m:sSub>
      </m:oMath>
      <w:r w:rsidR="00012728">
        <w:rPr>
          <w:b/>
          <w:bCs/>
          <w:lang w:val="en-GB"/>
        </w:rPr>
        <w:t xml:space="preserve">               </w:t>
      </w:r>
      <w:r w:rsidR="00632D14">
        <w:rPr>
          <w:b/>
          <w:bCs/>
          <w:lang w:val="en-GB"/>
        </w:rPr>
        <w:t xml:space="preserve">                   </w:t>
      </w:r>
      <w:r w:rsidR="00012728" w:rsidRPr="00012728">
        <w:rPr>
          <w:lang w:val="en-GB"/>
        </w:rPr>
        <w:t xml:space="preserve"> (eq. 1)</w:t>
      </w:r>
      <w:r w:rsidR="00B37876">
        <w:rPr>
          <w:lang w:val="en-GB"/>
        </w:rPr>
        <w:fldChar w:fldCharType="begin"/>
      </w:r>
      <w:r w:rsidR="006F05B4">
        <w:rPr>
          <w:lang w:val="en-GB"/>
        </w:rPr>
        <w:instrText xml:space="preserve"> ADDIN EN.CITE &lt;EndNote&gt;&lt;Cite&gt;&lt;Author&gt;Trigui&lt;/Author&gt;&lt;Year&gt;2022&lt;/Year&gt;&lt;RecNum&gt;226&lt;/RecNum&gt;&lt;DisplayText&gt;[14]&lt;/DisplayText&gt;&lt;record&gt;&lt;rec-number&gt;226&lt;/rec-number&gt;&lt;foreign-keys&gt;&lt;key app="EN" db-id="xdrrrdze45p5vjerrfl5p5xkv0t9pd0ez5fd" timestamp="1786640027"&gt;226&lt;/key&gt;&lt;/foreign-keys&gt;&lt;ref-type name="Book Section"&gt;5&lt;/ref-type&gt;&lt;contributors&gt;&lt;authors&gt;&lt;author&gt;Trigui, Abdelwaheb&lt;/author&gt;&lt;/authors&gt;&lt;secondary-authors&gt;&lt;author&gt;Rathod, Manish K. K.&lt;/author&gt;&lt;/secondary-authors&gt;&lt;/contributors&gt;&lt;titles&gt;&lt;title&gt;Techniques for the Thermal Analysis of PCM&lt;/title&gt;&lt;secondary-title&gt;Phase Change Materials - Technology and Applications&lt;/secondary-title&gt;&lt;/titles&gt;&lt;dates&gt;&lt;year&gt;2022&lt;/year&gt;&lt;/dates&gt;&lt;pub-location&gt;London&lt;/pub-location&gt;&lt;publisher&gt;IntechOpen&lt;/publisher&gt;&lt;isbn&gt;978-1-80356-474-6&lt;/isbn&gt;&lt;call-num&gt;3&lt;/call-num&gt;&lt;urls&gt;&lt;related-urls&gt;&lt;url&gt;https://doi.org/10.5772/intechopen.105935&lt;/url&gt;&lt;/related-urls&gt;&lt;/urls&gt;&lt;electronic-resource-num&gt;10.5772/intechopen.105935&lt;/electronic-resource-num&gt;&lt;access-date&gt;2026-08-13&lt;/access-date&gt;&lt;/record&gt;&lt;/Cite&gt;&lt;/EndNote&gt;</w:instrText>
      </w:r>
      <w:r w:rsidR="00B37876">
        <w:rPr>
          <w:lang w:val="en-GB"/>
        </w:rPr>
        <w:fldChar w:fldCharType="separate"/>
      </w:r>
      <w:r w:rsidR="006F05B4">
        <w:rPr>
          <w:noProof/>
          <w:lang w:val="en-GB"/>
        </w:rPr>
        <w:t>[14]</w:t>
      </w:r>
      <w:r w:rsidR="00B37876">
        <w:rPr>
          <w:lang w:val="en-GB"/>
        </w:rPr>
        <w:fldChar w:fldCharType="end"/>
      </w:r>
      <m:oMath>
        <m:r>
          <m:rPr>
            <m:sty m:val="p"/>
          </m:rPr>
          <w:rPr>
            <w:lang w:val="en-GB"/>
          </w:rPr>
          <w:br/>
        </m:r>
      </m:oMath>
    </w:p>
    <w:p w14:paraId="7F1EA8C4" w14:textId="5D235CB3" w:rsidR="00366770" w:rsidRPr="001C61D1" w:rsidRDefault="001C61D1" w:rsidP="001C61D1">
      <w:pPr>
        <w:pStyle w:val="SWCText"/>
        <w:jc w:val="center"/>
        <w:rPr>
          <w:b/>
          <w:bCs/>
          <w:sz w:val="16"/>
          <w:szCs w:val="16"/>
          <w:lang w:val="en-GB"/>
        </w:rPr>
      </w:pPr>
      <w:r w:rsidRPr="001C61D1">
        <w:rPr>
          <w:b/>
          <w:bCs/>
          <w:sz w:val="16"/>
          <w:szCs w:val="16"/>
          <w:lang w:val="en-GB"/>
        </w:rPr>
        <w:t>Tab. 3</w:t>
      </w:r>
      <w:r w:rsidR="00E617CE">
        <w:rPr>
          <w:b/>
          <w:bCs/>
          <w:sz w:val="16"/>
          <w:szCs w:val="16"/>
          <w:lang w:val="en-GB"/>
        </w:rPr>
        <w:t xml:space="preserve"> Total usable heat capacity calculation</w:t>
      </w:r>
    </w:p>
    <w:tbl>
      <w:tblPr>
        <w:tblStyle w:val="TableGrid"/>
        <w:tblW w:w="5000" w:type="pct"/>
        <w:jc w:val="center"/>
        <w:tblLook w:val="04A0" w:firstRow="1" w:lastRow="0" w:firstColumn="1" w:lastColumn="0" w:noHBand="0" w:noVBand="1"/>
      </w:tblPr>
      <w:tblGrid>
        <w:gridCol w:w="817"/>
        <w:gridCol w:w="810"/>
        <w:gridCol w:w="1306"/>
        <w:gridCol w:w="1038"/>
        <w:gridCol w:w="1292"/>
        <w:gridCol w:w="1110"/>
        <w:gridCol w:w="1109"/>
        <w:gridCol w:w="1275"/>
      </w:tblGrid>
      <w:tr w:rsidR="000209D6" w:rsidRPr="00DF6F1A" w14:paraId="49E7ED66" w14:textId="77777777" w:rsidTr="000209D6">
        <w:trPr>
          <w:jc w:val="center"/>
        </w:trPr>
        <w:tc>
          <w:tcPr>
            <w:tcW w:w="0" w:type="auto"/>
            <w:hideMark/>
          </w:tcPr>
          <w:p w14:paraId="563D6B00" w14:textId="5B550A1E" w:rsidR="000209D6" w:rsidRPr="00AD1C83" w:rsidRDefault="000209D6" w:rsidP="00AD1C83">
            <w:pPr>
              <w:pStyle w:val="SWCText"/>
              <w:spacing w:line="240" w:lineRule="auto"/>
              <w:jc w:val="center"/>
              <w:rPr>
                <w:b/>
                <w:bCs/>
                <w:szCs w:val="20"/>
                <w:lang w:val="en-GB"/>
              </w:rPr>
            </w:pPr>
            <w:r w:rsidRPr="00AD1C83">
              <w:rPr>
                <w:b/>
                <w:bCs/>
                <w:szCs w:val="20"/>
                <w:lang w:val="en-GB"/>
              </w:rPr>
              <w:t>Panel</w:t>
            </w:r>
            <w:r>
              <w:rPr>
                <w:b/>
                <w:bCs/>
                <w:szCs w:val="20"/>
                <w:lang w:val="en-GB"/>
              </w:rPr>
              <w:t xml:space="preserve"> in Fig</w:t>
            </w:r>
          </w:p>
        </w:tc>
        <w:tc>
          <w:tcPr>
            <w:tcW w:w="0" w:type="auto"/>
            <w:hideMark/>
          </w:tcPr>
          <w:p w14:paraId="0D3ECC53" w14:textId="04C6D95D" w:rsidR="000209D6" w:rsidRPr="00AD1C83" w:rsidRDefault="000209D6" w:rsidP="00AD1C83">
            <w:pPr>
              <w:pStyle w:val="SWCText"/>
              <w:spacing w:line="240" w:lineRule="auto"/>
              <w:jc w:val="center"/>
              <w:rPr>
                <w:b/>
                <w:bCs/>
                <w:szCs w:val="20"/>
                <w:lang w:val="en-GB"/>
              </w:rPr>
            </w:pPr>
            <w:r>
              <w:rPr>
                <w:b/>
                <w:bCs/>
                <w:szCs w:val="20"/>
                <w:lang w:val="en-GB"/>
              </w:rPr>
              <w:t>Binary</w:t>
            </w:r>
          </w:p>
        </w:tc>
        <w:tc>
          <w:tcPr>
            <w:tcW w:w="0" w:type="auto"/>
          </w:tcPr>
          <w:p w14:paraId="742C8DCE" w14:textId="248B6B3B" w:rsidR="000209D6" w:rsidRPr="00AD1C83" w:rsidRDefault="000209D6" w:rsidP="00AD1C83">
            <w:pPr>
              <w:pStyle w:val="SWCText"/>
              <w:spacing w:line="240" w:lineRule="auto"/>
              <w:jc w:val="center"/>
              <w:rPr>
                <w:b/>
                <w:bCs/>
                <w:szCs w:val="20"/>
                <w:lang w:val="en-GB"/>
              </w:rPr>
            </w:pPr>
            <w:r>
              <w:rPr>
                <w:b/>
                <w:bCs/>
                <w:szCs w:val="20"/>
                <w:lang w:val="en-GB"/>
              </w:rPr>
              <w:t>Composition</w:t>
            </w:r>
          </w:p>
        </w:tc>
        <w:tc>
          <w:tcPr>
            <w:tcW w:w="0" w:type="auto"/>
            <w:hideMark/>
          </w:tcPr>
          <w:p w14:paraId="3D314027" w14:textId="674243B6" w:rsidR="000209D6" w:rsidRPr="00AD1C83" w:rsidRDefault="000209D6" w:rsidP="00AD1C83">
            <w:pPr>
              <w:pStyle w:val="SWCText"/>
              <w:spacing w:line="240" w:lineRule="auto"/>
              <w:jc w:val="center"/>
              <w:rPr>
                <w:b/>
                <w:bCs/>
                <w:szCs w:val="20"/>
                <w:lang w:val="en-GB"/>
              </w:rPr>
            </w:pPr>
            <w:r w:rsidRPr="00AD1C83">
              <w:rPr>
                <w:b/>
                <w:bCs/>
                <w:szCs w:val="20"/>
                <w:lang w:val="en-GB"/>
              </w:rPr>
              <w:t>Selected peaks</w:t>
            </w:r>
          </w:p>
        </w:tc>
        <w:tc>
          <w:tcPr>
            <w:tcW w:w="0" w:type="auto"/>
            <w:hideMark/>
          </w:tcPr>
          <w:p w14:paraId="2576F442" w14:textId="77777777" w:rsidR="000209D6" w:rsidRPr="00AD1C83" w:rsidRDefault="000209D6" w:rsidP="00AD1C83">
            <w:pPr>
              <w:pStyle w:val="SWCText"/>
              <w:spacing w:line="240" w:lineRule="auto"/>
              <w:jc w:val="center"/>
              <w:rPr>
                <w:b/>
                <w:bCs/>
                <w:szCs w:val="20"/>
                <w:lang w:val="en-GB"/>
              </w:rPr>
            </w:pPr>
            <w:r w:rsidRPr="00AD1C83">
              <w:rPr>
                <w:b/>
                <w:bCs/>
                <w:szCs w:val="20"/>
                <w:lang w:val="en-GB"/>
              </w:rPr>
              <w:t>Primary melting peak (°C)</w:t>
            </w:r>
          </w:p>
        </w:tc>
        <w:tc>
          <w:tcPr>
            <w:tcW w:w="0" w:type="auto"/>
            <w:hideMark/>
          </w:tcPr>
          <w:p w14:paraId="5F854484" w14:textId="77777777" w:rsidR="000209D6" w:rsidRPr="00AD1C83" w:rsidRDefault="000209D6" w:rsidP="00AD1C83">
            <w:pPr>
              <w:pStyle w:val="SWCText"/>
              <w:spacing w:line="240" w:lineRule="auto"/>
              <w:jc w:val="center"/>
              <w:rPr>
                <w:b/>
                <w:bCs/>
                <w:szCs w:val="20"/>
                <w:lang w:val="en-GB"/>
              </w:rPr>
            </w:pPr>
            <w:r w:rsidRPr="00AD1C83">
              <w:rPr>
                <w:b/>
                <w:bCs/>
                <w:szCs w:val="20"/>
                <w:lang w:val="en-GB"/>
              </w:rPr>
              <w:t>Sensible heat (J/g)</w:t>
            </w:r>
          </w:p>
        </w:tc>
        <w:tc>
          <w:tcPr>
            <w:tcW w:w="0" w:type="auto"/>
            <w:hideMark/>
          </w:tcPr>
          <w:p w14:paraId="16A2732B" w14:textId="77777777" w:rsidR="000209D6" w:rsidRPr="00AD1C83" w:rsidRDefault="000209D6" w:rsidP="00AD1C83">
            <w:pPr>
              <w:pStyle w:val="SWCText"/>
              <w:spacing w:line="240" w:lineRule="auto"/>
              <w:jc w:val="center"/>
              <w:rPr>
                <w:b/>
                <w:bCs/>
                <w:szCs w:val="20"/>
                <w:lang w:val="en-GB"/>
              </w:rPr>
            </w:pPr>
            <w:r w:rsidRPr="00AD1C83">
              <w:rPr>
                <w:b/>
                <w:bCs/>
                <w:szCs w:val="20"/>
                <w:lang w:val="en-GB"/>
              </w:rPr>
              <w:t>Usable latent heat (J/g)</w:t>
            </w:r>
          </w:p>
        </w:tc>
        <w:tc>
          <w:tcPr>
            <w:tcW w:w="0" w:type="auto"/>
            <w:hideMark/>
          </w:tcPr>
          <w:p w14:paraId="7128EBB8" w14:textId="77777777" w:rsidR="000209D6" w:rsidRPr="00AD1C83" w:rsidRDefault="000209D6" w:rsidP="00AD1C83">
            <w:pPr>
              <w:pStyle w:val="SWCText"/>
              <w:spacing w:line="240" w:lineRule="auto"/>
              <w:jc w:val="center"/>
              <w:rPr>
                <w:b/>
                <w:bCs/>
                <w:szCs w:val="20"/>
                <w:lang w:val="en-GB"/>
              </w:rPr>
            </w:pPr>
            <w:r w:rsidRPr="00AD1C83">
              <w:rPr>
                <w:b/>
                <w:bCs/>
                <w:szCs w:val="20"/>
                <w:lang w:val="en-GB"/>
              </w:rPr>
              <w:t>Total usable capacity (J/g)</w:t>
            </w:r>
          </w:p>
        </w:tc>
      </w:tr>
      <w:tr w:rsidR="000209D6" w:rsidRPr="00DF6F1A" w14:paraId="1BE0236E" w14:textId="77777777" w:rsidTr="000209D6">
        <w:trPr>
          <w:jc w:val="center"/>
        </w:trPr>
        <w:tc>
          <w:tcPr>
            <w:tcW w:w="0" w:type="auto"/>
            <w:hideMark/>
          </w:tcPr>
          <w:p w14:paraId="618B501F" w14:textId="77777777" w:rsidR="000209D6" w:rsidRPr="00AD1C83" w:rsidRDefault="000209D6" w:rsidP="00AD1C83">
            <w:pPr>
              <w:pStyle w:val="SWCText"/>
              <w:spacing w:line="240" w:lineRule="auto"/>
              <w:jc w:val="center"/>
              <w:rPr>
                <w:szCs w:val="20"/>
                <w:lang w:val="en-GB"/>
              </w:rPr>
            </w:pPr>
            <w:r w:rsidRPr="00AD1C83">
              <w:rPr>
                <w:szCs w:val="20"/>
                <w:lang w:val="en-GB"/>
              </w:rPr>
              <w:lastRenderedPageBreak/>
              <w:t>a</w:t>
            </w:r>
          </w:p>
        </w:tc>
        <w:tc>
          <w:tcPr>
            <w:tcW w:w="0" w:type="auto"/>
            <w:hideMark/>
          </w:tcPr>
          <w:p w14:paraId="388DAEF2" w14:textId="5E278C9F" w:rsidR="000209D6" w:rsidRPr="00AD1C83" w:rsidRDefault="000209D6" w:rsidP="00AD1C83">
            <w:pPr>
              <w:pStyle w:val="SWCText"/>
              <w:spacing w:line="240" w:lineRule="auto"/>
              <w:jc w:val="center"/>
              <w:rPr>
                <w:szCs w:val="20"/>
                <w:lang w:val="en-GB"/>
              </w:rPr>
            </w:pPr>
            <w:r w:rsidRPr="00AD1C83">
              <w:rPr>
                <w:szCs w:val="20"/>
                <w:lang w:val="en-GB"/>
              </w:rPr>
              <w:t>PA</w:t>
            </w:r>
            <w:r>
              <w:rPr>
                <w:szCs w:val="20"/>
                <w:lang w:val="en-GB"/>
              </w:rPr>
              <w:t>-</w:t>
            </w:r>
            <w:r w:rsidRPr="00AD1C83">
              <w:rPr>
                <w:szCs w:val="20"/>
                <w:lang w:val="en-GB"/>
              </w:rPr>
              <w:t>OD</w:t>
            </w:r>
          </w:p>
        </w:tc>
        <w:tc>
          <w:tcPr>
            <w:tcW w:w="0" w:type="auto"/>
          </w:tcPr>
          <w:p w14:paraId="0187E107" w14:textId="3C1075EF" w:rsidR="000209D6" w:rsidRPr="00AD1C83" w:rsidRDefault="000209D6" w:rsidP="00AD1C83">
            <w:pPr>
              <w:pStyle w:val="SWCText"/>
              <w:spacing w:line="240" w:lineRule="auto"/>
              <w:jc w:val="center"/>
              <w:rPr>
                <w:szCs w:val="20"/>
                <w:lang w:val="en-GB"/>
              </w:rPr>
            </w:pPr>
            <w:r>
              <w:rPr>
                <w:szCs w:val="20"/>
                <w:lang w:val="en-GB"/>
              </w:rPr>
              <w:t xml:space="preserve">0.4M </w:t>
            </w:r>
            <w:r w:rsidR="00311FBE">
              <w:rPr>
                <w:szCs w:val="20"/>
                <w:lang w:val="en-GB"/>
              </w:rPr>
              <w:t>OD</w:t>
            </w:r>
          </w:p>
        </w:tc>
        <w:tc>
          <w:tcPr>
            <w:tcW w:w="0" w:type="auto"/>
            <w:hideMark/>
          </w:tcPr>
          <w:p w14:paraId="2E7D5328" w14:textId="4DD8642D" w:rsidR="000209D6" w:rsidRPr="00AD1C83" w:rsidRDefault="000209D6" w:rsidP="00AD1C83">
            <w:pPr>
              <w:pStyle w:val="SWCText"/>
              <w:spacing w:line="240" w:lineRule="auto"/>
              <w:jc w:val="center"/>
              <w:rPr>
                <w:szCs w:val="20"/>
                <w:lang w:val="en-GB"/>
              </w:rPr>
            </w:pPr>
            <w:r w:rsidRPr="00AD1C83">
              <w:rPr>
                <w:szCs w:val="20"/>
                <w:lang w:val="en-GB"/>
              </w:rPr>
              <w:t>2</w:t>
            </w:r>
          </w:p>
        </w:tc>
        <w:tc>
          <w:tcPr>
            <w:tcW w:w="0" w:type="auto"/>
            <w:hideMark/>
          </w:tcPr>
          <w:p w14:paraId="18EBE5D3" w14:textId="77777777" w:rsidR="000209D6" w:rsidRPr="00AD1C83" w:rsidRDefault="000209D6" w:rsidP="00AD1C83">
            <w:pPr>
              <w:pStyle w:val="SWCText"/>
              <w:spacing w:line="240" w:lineRule="auto"/>
              <w:jc w:val="center"/>
              <w:rPr>
                <w:szCs w:val="20"/>
                <w:lang w:val="en-GB"/>
              </w:rPr>
            </w:pPr>
            <w:r w:rsidRPr="00AD1C83">
              <w:rPr>
                <w:szCs w:val="20"/>
                <w:lang w:val="en-GB"/>
              </w:rPr>
              <w:t>48.52</w:t>
            </w:r>
          </w:p>
        </w:tc>
        <w:tc>
          <w:tcPr>
            <w:tcW w:w="0" w:type="auto"/>
            <w:hideMark/>
          </w:tcPr>
          <w:p w14:paraId="2CDC7D49" w14:textId="77777777" w:rsidR="000209D6" w:rsidRPr="00AD1C83" w:rsidRDefault="000209D6" w:rsidP="00AD1C83">
            <w:pPr>
              <w:pStyle w:val="SWCText"/>
              <w:spacing w:line="240" w:lineRule="auto"/>
              <w:jc w:val="center"/>
              <w:rPr>
                <w:szCs w:val="20"/>
                <w:lang w:val="en-GB"/>
              </w:rPr>
            </w:pPr>
            <w:r w:rsidRPr="00AD1C83">
              <w:rPr>
                <w:szCs w:val="20"/>
                <w:lang w:val="en-GB"/>
              </w:rPr>
              <w:t>91.61</w:t>
            </w:r>
          </w:p>
        </w:tc>
        <w:tc>
          <w:tcPr>
            <w:tcW w:w="0" w:type="auto"/>
            <w:hideMark/>
          </w:tcPr>
          <w:p w14:paraId="21BF24C0" w14:textId="77777777" w:rsidR="000209D6" w:rsidRPr="00AD1C83" w:rsidRDefault="000209D6" w:rsidP="00AD1C83">
            <w:pPr>
              <w:pStyle w:val="SWCText"/>
              <w:spacing w:line="240" w:lineRule="auto"/>
              <w:jc w:val="center"/>
              <w:rPr>
                <w:szCs w:val="20"/>
                <w:lang w:val="en-GB"/>
              </w:rPr>
            </w:pPr>
            <w:r w:rsidRPr="00AD1C83">
              <w:rPr>
                <w:szCs w:val="20"/>
                <w:lang w:val="en-GB"/>
              </w:rPr>
              <w:t>113.68</w:t>
            </w:r>
          </w:p>
        </w:tc>
        <w:tc>
          <w:tcPr>
            <w:tcW w:w="0" w:type="auto"/>
            <w:hideMark/>
          </w:tcPr>
          <w:p w14:paraId="3CF19B50" w14:textId="77777777" w:rsidR="000209D6" w:rsidRPr="00AD1C83" w:rsidRDefault="000209D6" w:rsidP="00AD1C83">
            <w:pPr>
              <w:pStyle w:val="SWCText"/>
              <w:spacing w:line="240" w:lineRule="auto"/>
              <w:jc w:val="center"/>
              <w:rPr>
                <w:szCs w:val="20"/>
                <w:lang w:val="en-GB"/>
              </w:rPr>
            </w:pPr>
            <w:r w:rsidRPr="00AD1C83">
              <w:rPr>
                <w:szCs w:val="20"/>
                <w:lang w:val="en-GB"/>
              </w:rPr>
              <w:t>205.30</w:t>
            </w:r>
          </w:p>
        </w:tc>
      </w:tr>
      <w:tr w:rsidR="000209D6" w:rsidRPr="00DF6F1A" w14:paraId="0E739AD5" w14:textId="77777777" w:rsidTr="000209D6">
        <w:trPr>
          <w:jc w:val="center"/>
        </w:trPr>
        <w:tc>
          <w:tcPr>
            <w:tcW w:w="0" w:type="auto"/>
            <w:hideMark/>
          </w:tcPr>
          <w:p w14:paraId="00BC04DD" w14:textId="77777777" w:rsidR="000209D6" w:rsidRPr="00AD1C83" w:rsidRDefault="000209D6" w:rsidP="00AD1C83">
            <w:pPr>
              <w:pStyle w:val="SWCText"/>
              <w:spacing w:line="240" w:lineRule="auto"/>
              <w:jc w:val="center"/>
              <w:rPr>
                <w:szCs w:val="20"/>
                <w:lang w:val="en-GB"/>
              </w:rPr>
            </w:pPr>
            <w:r w:rsidRPr="00AD1C83">
              <w:rPr>
                <w:szCs w:val="20"/>
                <w:lang w:val="en-GB"/>
              </w:rPr>
              <w:t>b</w:t>
            </w:r>
          </w:p>
        </w:tc>
        <w:tc>
          <w:tcPr>
            <w:tcW w:w="0" w:type="auto"/>
            <w:hideMark/>
          </w:tcPr>
          <w:p w14:paraId="481333DA" w14:textId="5311AD99" w:rsidR="000209D6" w:rsidRPr="00AD1C83" w:rsidRDefault="000209D6" w:rsidP="00AD1C83">
            <w:pPr>
              <w:pStyle w:val="SWCText"/>
              <w:spacing w:line="240" w:lineRule="auto"/>
              <w:jc w:val="center"/>
              <w:rPr>
                <w:szCs w:val="20"/>
                <w:lang w:val="en-GB"/>
              </w:rPr>
            </w:pPr>
            <w:r w:rsidRPr="00AD1C83">
              <w:rPr>
                <w:szCs w:val="20"/>
                <w:lang w:val="en-GB"/>
              </w:rPr>
              <w:t>PA</w:t>
            </w:r>
            <w:r>
              <w:rPr>
                <w:szCs w:val="20"/>
                <w:lang w:val="en-GB"/>
              </w:rPr>
              <w:t>-</w:t>
            </w:r>
            <w:r w:rsidRPr="00AD1C83">
              <w:rPr>
                <w:szCs w:val="20"/>
                <w:lang w:val="en-GB"/>
              </w:rPr>
              <w:t>OD</w:t>
            </w:r>
          </w:p>
        </w:tc>
        <w:tc>
          <w:tcPr>
            <w:tcW w:w="0" w:type="auto"/>
          </w:tcPr>
          <w:p w14:paraId="546DE41E" w14:textId="50B86960" w:rsidR="000209D6" w:rsidRPr="00AD1C83" w:rsidRDefault="00311FBE" w:rsidP="00AD1C83">
            <w:pPr>
              <w:pStyle w:val="SWCText"/>
              <w:spacing w:line="240" w:lineRule="auto"/>
              <w:jc w:val="center"/>
              <w:rPr>
                <w:szCs w:val="20"/>
                <w:lang w:val="en-GB"/>
              </w:rPr>
            </w:pPr>
            <w:r>
              <w:rPr>
                <w:szCs w:val="20"/>
                <w:lang w:val="en-GB"/>
              </w:rPr>
              <w:t>0.7M OD</w:t>
            </w:r>
          </w:p>
        </w:tc>
        <w:tc>
          <w:tcPr>
            <w:tcW w:w="0" w:type="auto"/>
            <w:hideMark/>
          </w:tcPr>
          <w:p w14:paraId="23B91A6C" w14:textId="0E7FB5CB" w:rsidR="000209D6" w:rsidRPr="00AD1C83" w:rsidRDefault="000209D6" w:rsidP="00AD1C83">
            <w:pPr>
              <w:pStyle w:val="SWCText"/>
              <w:spacing w:line="240" w:lineRule="auto"/>
              <w:jc w:val="center"/>
              <w:rPr>
                <w:szCs w:val="20"/>
                <w:lang w:val="en-GB"/>
              </w:rPr>
            </w:pPr>
            <w:r w:rsidRPr="00AD1C83">
              <w:rPr>
                <w:szCs w:val="20"/>
                <w:lang w:val="en-GB"/>
              </w:rPr>
              <w:t>1</w:t>
            </w:r>
          </w:p>
        </w:tc>
        <w:tc>
          <w:tcPr>
            <w:tcW w:w="0" w:type="auto"/>
            <w:hideMark/>
          </w:tcPr>
          <w:p w14:paraId="0F377994" w14:textId="77777777" w:rsidR="000209D6" w:rsidRPr="00AD1C83" w:rsidRDefault="000209D6" w:rsidP="00AD1C83">
            <w:pPr>
              <w:pStyle w:val="SWCText"/>
              <w:spacing w:line="240" w:lineRule="auto"/>
              <w:jc w:val="center"/>
              <w:rPr>
                <w:szCs w:val="20"/>
                <w:lang w:val="en-GB"/>
              </w:rPr>
            </w:pPr>
            <w:r w:rsidRPr="00AD1C83">
              <w:rPr>
                <w:szCs w:val="20"/>
                <w:lang w:val="en-GB"/>
              </w:rPr>
              <w:t>48.99</w:t>
            </w:r>
          </w:p>
        </w:tc>
        <w:tc>
          <w:tcPr>
            <w:tcW w:w="0" w:type="auto"/>
            <w:hideMark/>
          </w:tcPr>
          <w:p w14:paraId="5E3FDC29" w14:textId="77777777" w:rsidR="000209D6" w:rsidRPr="00AD1C83" w:rsidRDefault="000209D6" w:rsidP="00AD1C83">
            <w:pPr>
              <w:pStyle w:val="SWCText"/>
              <w:spacing w:line="240" w:lineRule="auto"/>
              <w:jc w:val="center"/>
              <w:rPr>
                <w:szCs w:val="20"/>
                <w:lang w:val="en-GB"/>
              </w:rPr>
            </w:pPr>
            <w:r w:rsidRPr="00AD1C83">
              <w:rPr>
                <w:szCs w:val="20"/>
                <w:lang w:val="en-GB"/>
              </w:rPr>
              <w:t>53.08</w:t>
            </w:r>
          </w:p>
        </w:tc>
        <w:tc>
          <w:tcPr>
            <w:tcW w:w="0" w:type="auto"/>
            <w:hideMark/>
          </w:tcPr>
          <w:p w14:paraId="52EDEFFA" w14:textId="77777777" w:rsidR="000209D6" w:rsidRPr="00AD1C83" w:rsidRDefault="000209D6" w:rsidP="00AD1C83">
            <w:pPr>
              <w:pStyle w:val="SWCText"/>
              <w:spacing w:line="240" w:lineRule="auto"/>
              <w:jc w:val="center"/>
              <w:rPr>
                <w:szCs w:val="20"/>
                <w:lang w:val="en-GB"/>
              </w:rPr>
            </w:pPr>
            <w:r w:rsidRPr="00AD1C83">
              <w:rPr>
                <w:szCs w:val="20"/>
                <w:lang w:val="en-GB"/>
              </w:rPr>
              <w:t>145.63</w:t>
            </w:r>
          </w:p>
        </w:tc>
        <w:tc>
          <w:tcPr>
            <w:tcW w:w="0" w:type="auto"/>
            <w:hideMark/>
          </w:tcPr>
          <w:p w14:paraId="0D1C36EB" w14:textId="77777777" w:rsidR="000209D6" w:rsidRPr="00AD1C83" w:rsidRDefault="000209D6" w:rsidP="00AD1C83">
            <w:pPr>
              <w:pStyle w:val="SWCText"/>
              <w:spacing w:line="240" w:lineRule="auto"/>
              <w:jc w:val="center"/>
              <w:rPr>
                <w:szCs w:val="20"/>
                <w:lang w:val="en-GB"/>
              </w:rPr>
            </w:pPr>
            <w:r w:rsidRPr="00AD1C83">
              <w:rPr>
                <w:szCs w:val="20"/>
                <w:lang w:val="en-GB"/>
              </w:rPr>
              <w:t>198.71</w:t>
            </w:r>
          </w:p>
        </w:tc>
      </w:tr>
      <w:tr w:rsidR="000209D6" w:rsidRPr="00DF6F1A" w14:paraId="23461679" w14:textId="77777777" w:rsidTr="000209D6">
        <w:trPr>
          <w:jc w:val="center"/>
        </w:trPr>
        <w:tc>
          <w:tcPr>
            <w:tcW w:w="0" w:type="auto"/>
            <w:hideMark/>
          </w:tcPr>
          <w:p w14:paraId="04079F78" w14:textId="77777777" w:rsidR="000209D6" w:rsidRPr="00AD1C83" w:rsidRDefault="000209D6" w:rsidP="00AD1C83">
            <w:pPr>
              <w:pStyle w:val="SWCText"/>
              <w:spacing w:line="240" w:lineRule="auto"/>
              <w:jc w:val="center"/>
              <w:rPr>
                <w:szCs w:val="20"/>
                <w:lang w:val="en-GB"/>
              </w:rPr>
            </w:pPr>
            <w:r w:rsidRPr="00AD1C83">
              <w:rPr>
                <w:szCs w:val="20"/>
                <w:lang w:val="en-GB"/>
              </w:rPr>
              <w:t>c</w:t>
            </w:r>
          </w:p>
        </w:tc>
        <w:tc>
          <w:tcPr>
            <w:tcW w:w="0" w:type="auto"/>
            <w:hideMark/>
          </w:tcPr>
          <w:p w14:paraId="337D7A03" w14:textId="210EEC16" w:rsidR="000209D6" w:rsidRPr="00AD1C83" w:rsidRDefault="000209D6" w:rsidP="00AD1C83">
            <w:pPr>
              <w:pStyle w:val="SWCText"/>
              <w:spacing w:line="240" w:lineRule="auto"/>
              <w:jc w:val="center"/>
              <w:rPr>
                <w:szCs w:val="20"/>
                <w:lang w:val="en-GB"/>
              </w:rPr>
            </w:pPr>
            <w:r w:rsidRPr="00AD1C83">
              <w:rPr>
                <w:szCs w:val="20"/>
                <w:lang w:val="en-GB"/>
              </w:rPr>
              <w:t>PA</w:t>
            </w:r>
            <w:r>
              <w:rPr>
                <w:szCs w:val="20"/>
                <w:lang w:val="en-GB"/>
              </w:rPr>
              <w:t>-</w:t>
            </w:r>
            <w:r w:rsidRPr="00AD1C83">
              <w:rPr>
                <w:szCs w:val="20"/>
                <w:lang w:val="en-GB"/>
              </w:rPr>
              <w:t>OD</w:t>
            </w:r>
          </w:p>
        </w:tc>
        <w:tc>
          <w:tcPr>
            <w:tcW w:w="0" w:type="auto"/>
          </w:tcPr>
          <w:p w14:paraId="178B0B6C" w14:textId="3DB3BF0F" w:rsidR="000209D6" w:rsidRPr="00AD1C83" w:rsidRDefault="00311FBE" w:rsidP="00AD1C83">
            <w:pPr>
              <w:pStyle w:val="SWCText"/>
              <w:spacing w:line="240" w:lineRule="auto"/>
              <w:jc w:val="center"/>
              <w:rPr>
                <w:szCs w:val="20"/>
                <w:lang w:val="en-GB"/>
              </w:rPr>
            </w:pPr>
            <w:r>
              <w:rPr>
                <w:szCs w:val="20"/>
                <w:lang w:val="en-GB"/>
              </w:rPr>
              <w:t>0.9M OD</w:t>
            </w:r>
          </w:p>
        </w:tc>
        <w:tc>
          <w:tcPr>
            <w:tcW w:w="0" w:type="auto"/>
            <w:hideMark/>
          </w:tcPr>
          <w:p w14:paraId="6FBEA080" w14:textId="79FA6F41" w:rsidR="000209D6" w:rsidRPr="00AD1C83" w:rsidRDefault="000209D6" w:rsidP="00AD1C83">
            <w:pPr>
              <w:pStyle w:val="SWCText"/>
              <w:spacing w:line="240" w:lineRule="auto"/>
              <w:jc w:val="center"/>
              <w:rPr>
                <w:szCs w:val="20"/>
                <w:lang w:val="en-GB"/>
              </w:rPr>
            </w:pPr>
            <w:r w:rsidRPr="00AD1C83">
              <w:rPr>
                <w:szCs w:val="20"/>
                <w:lang w:val="en-GB"/>
              </w:rPr>
              <w:t>3</w:t>
            </w:r>
          </w:p>
        </w:tc>
        <w:tc>
          <w:tcPr>
            <w:tcW w:w="0" w:type="auto"/>
            <w:hideMark/>
          </w:tcPr>
          <w:p w14:paraId="7F203F6A" w14:textId="77777777" w:rsidR="000209D6" w:rsidRPr="00AD1C83" w:rsidRDefault="000209D6" w:rsidP="00AD1C83">
            <w:pPr>
              <w:pStyle w:val="SWCText"/>
              <w:spacing w:line="240" w:lineRule="auto"/>
              <w:jc w:val="center"/>
              <w:rPr>
                <w:szCs w:val="20"/>
                <w:lang w:val="en-GB"/>
              </w:rPr>
            </w:pPr>
            <w:r w:rsidRPr="00AD1C83">
              <w:rPr>
                <w:szCs w:val="20"/>
                <w:lang w:val="en-GB"/>
              </w:rPr>
              <w:t>56.22</w:t>
            </w:r>
          </w:p>
        </w:tc>
        <w:tc>
          <w:tcPr>
            <w:tcW w:w="0" w:type="auto"/>
            <w:hideMark/>
          </w:tcPr>
          <w:p w14:paraId="132DBB86" w14:textId="77777777" w:rsidR="000209D6" w:rsidRPr="00AD1C83" w:rsidRDefault="000209D6" w:rsidP="00AD1C83">
            <w:pPr>
              <w:pStyle w:val="SWCText"/>
              <w:spacing w:line="240" w:lineRule="auto"/>
              <w:jc w:val="center"/>
              <w:rPr>
                <w:szCs w:val="20"/>
                <w:lang w:val="en-GB"/>
              </w:rPr>
            </w:pPr>
            <w:r w:rsidRPr="00AD1C83">
              <w:rPr>
                <w:szCs w:val="20"/>
                <w:lang w:val="en-GB"/>
              </w:rPr>
              <w:t>126.97</w:t>
            </w:r>
          </w:p>
        </w:tc>
        <w:tc>
          <w:tcPr>
            <w:tcW w:w="0" w:type="auto"/>
            <w:hideMark/>
          </w:tcPr>
          <w:p w14:paraId="5C7FBA73" w14:textId="77777777" w:rsidR="000209D6" w:rsidRPr="00AD1C83" w:rsidRDefault="000209D6" w:rsidP="00AD1C83">
            <w:pPr>
              <w:pStyle w:val="SWCText"/>
              <w:spacing w:line="240" w:lineRule="auto"/>
              <w:jc w:val="center"/>
              <w:rPr>
                <w:szCs w:val="20"/>
                <w:lang w:val="en-GB"/>
              </w:rPr>
            </w:pPr>
            <w:r w:rsidRPr="00AD1C83">
              <w:rPr>
                <w:szCs w:val="20"/>
                <w:lang w:val="en-GB"/>
              </w:rPr>
              <w:t>111.47</w:t>
            </w:r>
          </w:p>
        </w:tc>
        <w:tc>
          <w:tcPr>
            <w:tcW w:w="0" w:type="auto"/>
            <w:hideMark/>
          </w:tcPr>
          <w:p w14:paraId="2B20C584" w14:textId="77777777" w:rsidR="000209D6" w:rsidRPr="00AD1C83" w:rsidRDefault="000209D6" w:rsidP="00AD1C83">
            <w:pPr>
              <w:pStyle w:val="SWCText"/>
              <w:spacing w:line="240" w:lineRule="auto"/>
              <w:jc w:val="center"/>
              <w:rPr>
                <w:szCs w:val="20"/>
                <w:lang w:val="en-GB"/>
              </w:rPr>
            </w:pPr>
            <w:r w:rsidRPr="00AD1C83">
              <w:rPr>
                <w:szCs w:val="20"/>
                <w:lang w:val="en-GB"/>
              </w:rPr>
              <w:t>238.44</w:t>
            </w:r>
          </w:p>
        </w:tc>
      </w:tr>
      <w:tr w:rsidR="000209D6" w:rsidRPr="00DF6F1A" w14:paraId="1C73AE84" w14:textId="77777777" w:rsidTr="000209D6">
        <w:trPr>
          <w:jc w:val="center"/>
        </w:trPr>
        <w:tc>
          <w:tcPr>
            <w:tcW w:w="0" w:type="auto"/>
            <w:hideMark/>
          </w:tcPr>
          <w:p w14:paraId="52D8D84D" w14:textId="77777777" w:rsidR="000209D6" w:rsidRPr="00AD1C83" w:rsidRDefault="000209D6" w:rsidP="00AD1C83">
            <w:pPr>
              <w:pStyle w:val="SWCText"/>
              <w:spacing w:line="240" w:lineRule="auto"/>
              <w:jc w:val="center"/>
              <w:rPr>
                <w:szCs w:val="20"/>
                <w:lang w:val="en-GB"/>
              </w:rPr>
            </w:pPr>
            <w:r w:rsidRPr="00AD1C83">
              <w:rPr>
                <w:szCs w:val="20"/>
                <w:lang w:val="en-GB"/>
              </w:rPr>
              <w:t>d</w:t>
            </w:r>
          </w:p>
        </w:tc>
        <w:tc>
          <w:tcPr>
            <w:tcW w:w="0" w:type="auto"/>
            <w:hideMark/>
          </w:tcPr>
          <w:p w14:paraId="63EEF297" w14:textId="60B82E5A" w:rsidR="000209D6" w:rsidRPr="00AD1C83" w:rsidRDefault="000209D6" w:rsidP="00AD1C83">
            <w:pPr>
              <w:pStyle w:val="SWCText"/>
              <w:spacing w:line="240" w:lineRule="auto"/>
              <w:jc w:val="center"/>
              <w:rPr>
                <w:szCs w:val="20"/>
                <w:lang w:val="en-GB"/>
              </w:rPr>
            </w:pPr>
            <w:r w:rsidRPr="00AD1C83">
              <w:rPr>
                <w:szCs w:val="20"/>
                <w:lang w:val="en-GB"/>
              </w:rPr>
              <w:t>PA</w:t>
            </w:r>
            <w:r>
              <w:rPr>
                <w:szCs w:val="20"/>
                <w:lang w:val="en-GB"/>
              </w:rPr>
              <w:t>-</w:t>
            </w:r>
            <w:r w:rsidRPr="00AD1C83">
              <w:rPr>
                <w:szCs w:val="20"/>
                <w:lang w:val="en-GB"/>
              </w:rPr>
              <w:t>HD</w:t>
            </w:r>
          </w:p>
        </w:tc>
        <w:tc>
          <w:tcPr>
            <w:tcW w:w="0" w:type="auto"/>
          </w:tcPr>
          <w:p w14:paraId="0D50DDF7" w14:textId="0AC5AF76" w:rsidR="000209D6" w:rsidRPr="00AD1C83" w:rsidRDefault="00311FBE" w:rsidP="00AD1C83">
            <w:pPr>
              <w:pStyle w:val="SWCText"/>
              <w:spacing w:line="240" w:lineRule="auto"/>
              <w:jc w:val="center"/>
              <w:rPr>
                <w:szCs w:val="20"/>
                <w:lang w:val="en-GB"/>
              </w:rPr>
            </w:pPr>
            <w:r>
              <w:rPr>
                <w:szCs w:val="20"/>
                <w:lang w:val="en-GB"/>
              </w:rPr>
              <w:t>0.2M HD</w:t>
            </w:r>
          </w:p>
        </w:tc>
        <w:tc>
          <w:tcPr>
            <w:tcW w:w="0" w:type="auto"/>
            <w:hideMark/>
          </w:tcPr>
          <w:p w14:paraId="60DD64EB" w14:textId="1A1AB2FA" w:rsidR="000209D6" w:rsidRPr="00AD1C83" w:rsidRDefault="000209D6" w:rsidP="00AD1C83">
            <w:pPr>
              <w:pStyle w:val="SWCText"/>
              <w:spacing w:line="240" w:lineRule="auto"/>
              <w:jc w:val="center"/>
              <w:rPr>
                <w:szCs w:val="20"/>
                <w:lang w:val="en-GB"/>
              </w:rPr>
            </w:pPr>
            <w:r w:rsidRPr="00AD1C83">
              <w:rPr>
                <w:szCs w:val="20"/>
                <w:lang w:val="en-GB"/>
              </w:rPr>
              <w:t>2</w:t>
            </w:r>
          </w:p>
        </w:tc>
        <w:tc>
          <w:tcPr>
            <w:tcW w:w="0" w:type="auto"/>
            <w:hideMark/>
          </w:tcPr>
          <w:p w14:paraId="287571F3" w14:textId="77777777" w:rsidR="000209D6" w:rsidRPr="00AD1C83" w:rsidRDefault="000209D6" w:rsidP="00AD1C83">
            <w:pPr>
              <w:pStyle w:val="SWCText"/>
              <w:spacing w:line="240" w:lineRule="auto"/>
              <w:jc w:val="center"/>
              <w:rPr>
                <w:szCs w:val="20"/>
                <w:lang w:val="en-GB"/>
              </w:rPr>
            </w:pPr>
            <w:r w:rsidRPr="00AD1C83">
              <w:rPr>
                <w:szCs w:val="20"/>
                <w:lang w:val="en-GB"/>
              </w:rPr>
              <w:t>59.34</w:t>
            </w:r>
          </w:p>
        </w:tc>
        <w:tc>
          <w:tcPr>
            <w:tcW w:w="0" w:type="auto"/>
            <w:hideMark/>
          </w:tcPr>
          <w:p w14:paraId="3CA1444E" w14:textId="77777777" w:rsidR="000209D6" w:rsidRPr="00AD1C83" w:rsidRDefault="000209D6" w:rsidP="00AD1C83">
            <w:pPr>
              <w:pStyle w:val="SWCText"/>
              <w:spacing w:line="240" w:lineRule="auto"/>
              <w:jc w:val="center"/>
              <w:rPr>
                <w:szCs w:val="20"/>
                <w:lang w:val="en-GB"/>
              </w:rPr>
            </w:pPr>
            <w:r w:rsidRPr="00AD1C83">
              <w:rPr>
                <w:szCs w:val="20"/>
                <w:lang w:val="en-GB"/>
              </w:rPr>
              <w:t>11.32</w:t>
            </w:r>
          </w:p>
        </w:tc>
        <w:tc>
          <w:tcPr>
            <w:tcW w:w="0" w:type="auto"/>
            <w:hideMark/>
          </w:tcPr>
          <w:p w14:paraId="11C633B0" w14:textId="77777777" w:rsidR="000209D6" w:rsidRPr="00AD1C83" w:rsidRDefault="000209D6" w:rsidP="00AD1C83">
            <w:pPr>
              <w:pStyle w:val="SWCText"/>
              <w:spacing w:line="240" w:lineRule="auto"/>
              <w:jc w:val="center"/>
              <w:rPr>
                <w:szCs w:val="20"/>
                <w:lang w:val="en-GB"/>
              </w:rPr>
            </w:pPr>
            <w:r w:rsidRPr="00AD1C83">
              <w:rPr>
                <w:szCs w:val="20"/>
                <w:lang w:val="en-GB"/>
              </w:rPr>
              <w:t>174.64</w:t>
            </w:r>
          </w:p>
        </w:tc>
        <w:tc>
          <w:tcPr>
            <w:tcW w:w="0" w:type="auto"/>
            <w:hideMark/>
          </w:tcPr>
          <w:p w14:paraId="7BB9A81F" w14:textId="77777777" w:rsidR="000209D6" w:rsidRPr="00AD1C83" w:rsidRDefault="000209D6" w:rsidP="00AD1C83">
            <w:pPr>
              <w:pStyle w:val="SWCText"/>
              <w:spacing w:line="240" w:lineRule="auto"/>
              <w:jc w:val="center"/>
              <w:rPr>
                <w:szCs w:val="20"/>
                <w:lang w:val="en-GB"/>
              </w:rPr>
            </w:pPr>
            <w:r w:rsidRPr="00AD1C83">
              <w:rPr>
                <w:szCs w:val="20"/>
                <w:lang w:val="en-GB"/>
              </w:rPr>
              <w:t>185.97</w:t>
            </w:r>
          </w:p>
        </w:tc>
      </w:tr>
      <w:tr w:rsidR="000209D6" w:rsidRPr="00DF6F1A" w14:paraId="4B4322C3" w14:textId="77777777" w:rsidTr="000209D6">
        <w:trPr>
          <w:jc w:val="center"/>
        </w:trPr>
        <w:tc>
          <w:tcPr>
            <w:tcW w:w="0" w:type="auto"/>
            <w:hideMark/>
          </w:tcPr>
          <w:p w14:paraId="1CFABE2B" w14:textId="77777777" w:rsidR="000209D6" w:rsidRPr="00AD1C83" w:rsidRDefault="000209D6" w:rsidP="00AD1C83">
            <w:pPr>
              <w:pStyle w:val="SWCText"/>
              <w:spacing w:line="240" w:lineRule="auto"/>
              <w:jc w:val="center"/>
              <w:rPr>
                <w:szCs w:val="20"/>
                <w:lang w:val="en-GB"/>
              </w:rPr>
            </w:pPr>
            <w:r w:rsidRPr="00AD1C83">
              <w:rPr>
                <w:szCs w:val="20"/>
                <w:lang w:val="en-GB"/>
              </w:rPr>
              <w:t>e</w:t>
            </w:r>
          </w:p>
        </w:tc>
        <w:tc>
          <w:tcPr>
            <w:tcW w:w="0" w:type="auto"/>
            <w:hideMark/>
          </w:tcPr>
          <w:p w14:paraId="5A5E44A5" w14:textId="1DF0DCEE" w:rsidR="000209D6" w:rsidRPr="00AD1C83" w:rsidRDefault="000209D6" w:rsidP="00AD1C83">
            <w:pPr>
              <w:pStyle w:val="SWCText"/>
              <w:spacing w:line="240" w:lineRule="auto"/>
              <w:jc w:val="center"/>
              <w:rPr>
                <w:szCs w:val="20"/>
                <w:lang w:val="en-GB"/>
              </w:rPr>
            </w:pPr>
            <w:r w:rsidRPr="00AD1C83">
              <w:rPr>
                <w:szCs w:val="20"/>
                <w:lang w:val="en-GB"/>
              </w:rPr>
              <w:t>PA</w:t>
            </w:r>
            <w:r>
              <w:rPr>
                <w:szCs w:val="20"/>
                <w:lang w:val="en-GB"/>
              </w:rPr>
              <w:t>-</w:t>
            </w:r>
            <w:r w:rsidRPr="00AD1C83">
              <w:rPr>
                <w:szCs w:val="20"/>
                <w:lang w:val="en-GB"/>
              </w:rPr>
              <w:t>HD</w:t>
            </w:r>
          </w:p>
        </w:tc>
        <w:tc>
          <w:tcPr>
            <w:tcW w:w="0" w:type="auto"/>
          </w:tcPr>
          <w:p w14:paraId="2B4E7B17" w14:textId="6E404083" w:rsidR="000209D6" w:rsidRPr="00AD1C83" w:rsidRDefault="00311FBE" w:rsidP="00AD1C83">
            <w:pPr>
              <w:pStyle w:val="SWCText"/>
              <w:spacing w:line="240" w:lineRule="auto"/>
              <w:jc w:val="center"/>
              <w:rPr>
                <w:szCs w:val="20"/>
                <w:lang w:val="en-GB"/>
              </w:rPr>
            </w:pPr>
            <w:r>
              <w:rPr>
                <w:szCs w:val="20"/>
                <w:lang w:val="en-GB"/>
              </w:rPr>
              <w:t>0.2M HD</w:t>
            </w:r>
          </w:p>
        </w:tc>
        <w:tc>
          <w:tcPr>
            <w:tcW w:w="0" w:type="auto"/>
            <w:hideMark/>
          </w:tcPr>
          <w:p w14:paraId="6D7C63A7" w14:textId="72B52B63" w:rsidR="000209D6" w:rsidRPr="00AD1C83" w:rsidRDefault="000209D6" w:rsidP="00AD1C83">
            <w:pPr>
              <w:pStyle w:val="SWCText"/>
              <w:spacing w:line="240" w:lineRule="auto"/>
              <w:jc w:val="center"/>
              <w:rPr>
                <w:szCs w:val="20"/>
                <w:lang w:val="en-GB"/>
              </w:rPr>
            </w:pPr>
            <w:r w:rsidRPr="00AD1C83">
              <w:rPr>
                <w:szCs w:val="20"/>
                <w:lang w:val="en-GB"/>
              </w:rPr>
              <w:t>1</w:t>
            </w:r>
          </w:p>
        </w:tc>
        <w:tc>
          <w:tcPr>
            <w:tcW w:w="0" w:type="auto"/>
            <w:hideMark/>
          </w:tcPr>
          <w:p w14:paraId="5807E538" w14:textId="77777777" w:rsidR="000209D6" w:rsidRPr="00AD1C83" w:rsidRDefault="000209D6" w:rsidP="00AD1C83">
            <w:pPr>
              <w:pStyle w:val="SWCText"/>
              <w:spacing w:line="240" w:lineRule="auto"/>
              <w:jc w:val="center"/>
              <w:rPr>
                <w:szCs w:val="20"/>
                <w:lang w:val="en-GB"/>
              </w:rPr>
            </w:pPr>
            <w:r w:rsidRPr="00AD1C83">
              <w:rPr>
                <w:szCs w:val="20"/>
                <w:lang w:val="en-GB"/>
              </w:rPr>
              <w:t>48.65</w:t>
            </w:r>
          </w:p>
        </w:tc>
        <w:tc>
          <w:tcPr>
            <w:tcW w:w="0" w:type="auto"/>
            <w:hideMark/>
          </w:tcPr>
          <w:p w14:paraId="41F17062" w14:textId="77777777" w:rsidR="000209D6" w:rsidRPr="00AD1C83" w:rsidRDefault="000209D6" w:rsidP="00AD1C83">
            <w:pPr>
              <w:pStyle w:val="SWCText"/>
              <w:spacing w:line="240" w:lineRule="auto"/>
              <w:jc w:val="center"/>
              <w:rPr>
                <w:szCs w:val="20"/>
                <w:lang w:val="en-GB"/>
              </w:rPr>
            </w:pPr>
            <w:r w:rsidRPr="00AD1C83">
              <w:rPr>
                <w:szCs w:val="20"/>
                <w:lang w:val="en-GB"/>
              </w:rPr>
              <w:t>43.40</w:t>
            </w:r>
          </w:p>
        </w:tc>
        <w:tc>
          <w:tcPr>
            <w:tcW w:w="0" w:type="auto"/>
            <w:hideMark/>
          </w:tcPr>
          <w:p w14:paraId="66712DAD" w14:textId="77777777" w:rsidR="000209D6" w:rsidRPr="00AD1C83" w:rsidRDefault="000209D6" w:rsidP="00AD1C83">
            <w:pPr>
              <w:pStyle w:val="SWCText"/>
              <w:spacing w:line="240" w:lineRule="auto"/>
              <w:jc w:val="center"/>
              <w:rPr>
                <w:szCs w:val="20"/>
                <w:lang w:val="en-GB"/>
              </w:rPr>
            </w:pPr>
            <w:r w:rsidRPr="00AD1C83">
              <w:rPr>
                <w:szCs w:val="20"/>
                <w:lang w:val="en-GB"/>
              </w:rPr>
              <w:t>212.06</w:t>
            </w:r>
          </w:p>
        </w:tc>
        <w:tc>
          <w:tcPr>
            <w:tcW w:w="0" w:type="auto"/>
            <w:hideMark/>
          </w:tcPr>
          <w:p w14:paraId="1EF22A07" w14:textId="77777777" w:rsidR="000209D6" w:rsidRPr="00AD1C83" w:rsidRDefault="000209D6" w:rsidP="00AD1C83">
            <w:pPr>
              <w:pStyle w:val="SWCText"/>
              <w:spacing w:line="240" w:lineRule="auto"/>
              <w:jc w:val="center"/>
              <w:rPr>
                <w:szCs w:val="20"/>
                <w:lang w:val="en-GB"/>
              </w:rPr>
            </w:pPr>
            <w:r w:rsidRPr="00AD1C83">
              <w:rPr>
                <w:szCs w:val="20"/>
                <w:lang w:val="en-GB"/>
              </w:rPr>
              <w:t>255.46</w:t>
            </w:r>
          </w:p>
        </w:tc>
      </w:tr>
      <w:tr w:rsidR="000209D6" w:rsidRPr="00DF6F1A" w14:paraId="323A46F6" w14:textId="77777777" w:rsidTr="000209D6">
        <w:trPr>
          <w:jc w:val="center"/>
        </w:trPr>
        <w:tc>
          <w:tcPr>
            <w:tcW w:w="0" w:type="auto"/>
            <w:hideMark/>
          </w:tcPr>
          <w:p w14:paraId="699972F8" w14:textId="77777777" w:rsidR="000209D6" w:rsidRPr="00AD1C83" w:rsidRDefault="000209D6" w:rsidP="00AD1C83">
            <w:pPr>
              <w:pStyle w:val="SWCText"/>
              <w:spacing w:line="240" w:lineRule="auto"/>
              <w:jc w:val="center"/>
              <w:rPr>
                <w:szCs w:val="20"/>
                <w:lang w:val="en-GB"/>
              </w:rPr>
            </w:pPr>
            <w:r w:rsidRPr="00AD1C83">
              <w:rPr>
                <w:szCs w:val="20"/>
                <w:lang w:val="en-GB"/>
              </w:rPr>
              <w:t>f</w:t>
            </w:r>
          </w:p>
        </w:tc>
        <w:tc>
          <w:tcPr>
            <w:tcW w:w="0" w:type="auto"/>
            <w:hideMark/>
          </w:tcPr>
          <w:p w14:paraId="3EDC9605" w14:textId="225B6AE3" w:rsidR="000209D6" w:rsidRPr="00AD1C83" w:rsidRDefault="000209D6" w:rsidP="00AD1C83">
            <w:pPr>
              <w:pStyle w:val="SWCText"/>
              <w:spacing w:line="240" w:lineRule="auto"/>
              <w:jc w:val="center"/>
              <w:rPr>
                <w:szCs w:val="20"/>
                <w:lang w:val="en-GB"/>
              </w:rPr>
            </w:pPr>
            <w:r w:rsidRPr="00AD1C83">
              <w:rPr>
                <w:szCs w:val="20"/>
                <w:lang w:val="en-GB"/>
              </w:rPr>
              <w:t>PA</w:t>
            </w:r>
            <w:r>
              <w:rPr>
                <w:szCs w:val="20"/>
                <w:lang w:val="en-GB"/>
              </w:rPr>
              <w:t>-</w:t>
            </w:r>
            <w:r w:rsidRPr="00AD1C83">
              <w:rPr>
                <w:szCs w:val="20"/>
                <w:lang w:val="en-GB"/>
              </w:rPr>
              <w:t>HD</w:t>
            </w:r>
          </w:p>
        </w:tc>
        <w:tc>
          <w:tcPr>
            <w:tcW w:w="0" w:type="auto"/>
          </w:tcPr>
          <w:p w14:paraId="61A71A19" w14:textId="33099611" w:rsidR="000209D6" w:rsidRPr="00AD1C83" w:rsidRDefault="00311FBE" w:rsidP="00AD1C83">
            <w:pPr>
              <w:pStyle w:val="SWCText"/>
              <w:spacing w:line="240" w:lineRule="auto"/>
              <w:jc w:val="center"/>
              <w:rPr>
                <w:szCs w:val="20"/>
                <w:lang w:val="en-GB"/>
              </w:rPr>
            </w:pPr>
            <w:r>
              <w:rPr>
                <w:szCs w:val="20"/>
                <w:lang w:val="en-GB"/>
              </w:rPr>
              <w:t>0.2M HD</w:t>
            </w:r>
          </w:p>
        </w:tc>
        <w:tc>
          <w:tcPr>
            <w:tcW w:w="0" w:type="auto"/>
            <w:hideMark/>
          </w:tcPr>
          <w:p w14:paraId="2F74164F" w14:textId="71C9B163" w:rsidR="000209D6" w:rsidRPr="00AD1C83" w:rsidRDefault="000209D6" w:rsidP="00AD1C83">
            <w:pPr>
              <w:pStyle w:val="SWCText"/>
              <w:spacing w:line="240" w:lineRule="auto"/>
              <w:jc w:val="center"/>
              <w:rPr>
                <w:szCs w:val="20"/>
                <w:lang w:val="en-GB"/>
              </w:rPr>
            </w:pPr>
            <w:r w:rsidRPr="00AD1C83">
              <w:rPr>
                <w:szCs w:val="20"/>
                <w:lang w:val="en-GB"/>
              </w:rPr>
              <w:t>2</w:t>
            </w:r>
          </w:p>
        </w:tc>
        <w:tc>
          <w:tcPr>
            <w:tcW w:w="0" w:type="auto"/>
            <w:hideMark/>
          </w:tcPr>
          <w:p w14:paraId="13889C09" w14:textId="77777777" w:rsidR="000209D6" w:rsidRPr="00AD1C83" w:rsidRDefault="000209D6" w:rsidP="00AD1C83">
            <w:pPr>
              <w:pStyle w:val="SWCText"/>
              <w:spacing w:line="240" w:lineRule="auto"/>
              <w:jc w:val="center"/>
              <w:rPr>
                <w:szCs w:val="20"/>
                <w:lang w:val="en-GB"/>
              </w:rPr>
            </w:pPr>
            <w:r w:rsidRPr="00AD1C83">
              <w:rPr>
                <w:szCs w:val="20"/>
                <w:lang w:val="en-GB"/>
              </w:rPr>
              <w:t>46.71</w:t>
            </w:r>
          </w:p>
        </w:tc>
        <w:tc>
          <w:tcPr>
            <w:tcW w:w="0" w:type="auto"/>
            <w:hideMark/>
          </w:tcPr>
          <w:p w14:paraId="7AD6B5BF" w14:textId="77777777" w:rsidR="000209D6" w:rsidRPr="00AD1C83" w:rsidRDefault="000209D6" w:rsidP="00AD1C83">
            <w:pPr>
              <w:pStyle w:val="SWCText"/>
              <w:spacing w:line="240" w:lineRule="auto"/>
              <w:jc w:val="center"/>
              <w:rPr>
                <w:szCs w:val="20"/>
                <w:lang w:val="en-GB"/>
              </w:rPr>
            </w:pPr>
            <w:r w:rsidRPr="00AD1C83">
              <w:rPr>
                <w:szCs w:val="20"/>
                <w:lang w:val="en-GB"/>
              </w:rPr>
              <w:t>53.80</w:t>
            </w:r>
          </w:p>
        </w:tc>
        <w:tc>
          <w:tcPr>
            <w:tcW w:w="0" w:type="auto"/>
            <w:hideMark/>
          </w:tcPr>
          <w:p w14:paraId="1A074E3C" w14:textId="77777777" w:rsidR="000209D6" w:rsidRPr="00AD1C83" w:rsidRDefault="000209D6" w:rsidP="00AD1C83">
            <w:pPr>
              <w:pStyle w:val="SWCText"/>
              <w:spacing w:line="240" w:lineRule="auto"/>
              <w:jc w:val="center"/>
              <w:rPr>
                <w:szCs w:val="20"/>
                <w:lang w:val="en-GB"/>
              </w:rPr>
            </w:pPr>
            <w:r w:rsidRPr="00AD1C83">
              <w:rPr>
                <w:szCs w:val="20"/>
                <w:lang w:val="en-GB"/>
              </w:rPr>
              <w:t>158.29</w:t>
            </w:r>
          </w:p>
        </w:tc>
        <w:tc>
          <w:tcPr>
            <w:tcW w:w="0" w:type="auto"/>
            <w:hideMark/>
          </w:tcPr>
          <w:p w14:paraId="2551125D" w14:textId="77777777" w:rsidR="000209D6" w:rsidRPr="00AD1C83" w:rsidRDefault="000209D6" w:rsidP="00AD1C83">
            <w:pPr>
              <w:pStyle w:val="SWCText"/>
              <w:spacing w:line="240" w:lineRule="auto"/>
              <w:jc w:val="center"/>
              <w:rPr>
                <w:szCs w:val="20"/>
                <w:lang w:val="en-GB"/>
              </w:rPr>
            </w:pPr>
            <w:r w:rsidRPr="00AD1C83">
              <w:rPr>
                <w:szCs w:val="20"/>
                <w:lang w:val="en-GB"/>
              </w:rPr>
              <w:t>212.09</w:t>
            </w:r>
          </w:p>
        </w:tc>
      </w:tr>
    </w:tbl>
    <w:p w14:paraId="02454346" w14:textId="78416077" w:rsidR="00A62EE6" w:rsidRPr="00DF6F1A" w:rsidRDefault="00A62EE6" w:rsidP="00FD19A7">
      <w:pPr>
        <w:pStyle w:val="SWCText"/>
        <w:rPr>
          <w:b/>
          <w:bCs/>
          <w:lang w:val="en-GB"/>
        </w:rPr>
      </w:pPr>
    </w:p>
    <w:p w14:paraId="5B793E08" w14:textId="08EE7CF9" w:rsidR="00823F10" w:rsidRPr="00DF6F1A" w:rsidRDefault="00F20119" w:rsidP="008E39B7">
      <w:pPr>
        <w:jc w:val="both"/>
        <w:rPr>
          <w:color w:val="000000"/>
          <w:sz w:val="20"/>
          <w:szCs w:val="20"/>
        </w:rPr>
      </w:pPr>
      <w:r w:rsidRPr="00DF6F1A">
        <w:rPr>
          <w:b/>
          <w:bCs/>
          <w:sz w:val="20"/>
          <w:szCs w:val="20"/>
        </w:rPr>
        <w:t>Fig. 4</w:t>
      </w:r>
      <w:r w:rsidRPr="00DF6F1A">
        <w:rPr>
          <w:sz w:val="20"/>
          <w:szCs w:val="20"/>
        </w:rPr>
        <w:t xml:space="preserve"> presents </w:t>
      </w:r>
      <w:r w:rsidR="000B25D3" w:rsidRPr="00DF6F1A">
        <w:rPr>
          <w:sz w:val="20"/>
          <w:szCs w:val="20"/>
        </w:rPr>
        <w:t>the e</w:t>
      </w:r>
      <w:r w:rsidR="005D377A">
        <w:rPr>
          <w:sz w:val="20"/>
          <w:szCs w:val="20"/>
        </w:rPr>
        <w:t>ndo</w:t>
      </w:r>
      <w:r w:rsidR="000B25D3" w:rsidRPr="00DF6F1A">
        <w:rPr>
          <w:sz w:val="20"/>
          <w:szCs w:val="20"/>
        </w:rPr>
        <w:t>thermic cycles</w:t>
      </w:r>
      <w:r w:rsidRPr="00DF6F1A">
        <w:rPr>
          <w:sz w:val="20"/>
          <w:szCs w:val="20"/>
        </w:rPr>
        <w:t xml:space="preserve"> and corresponding apparent heat</w:t>
      </w:r>
      <w:r w:rsidR="000F2BA4" w:rsidRPr="00DF6F1A">
        <w:rPr>
          <w:sz w:val="20"/>
          <w:szCs w:val="20"/>
        </w:rPr>
        <w:t xml:space="preserve"> </w:t>
      </w:r>
      <w:r w:rsidRPr="00DF6F1A">
        <w:rPr>
          <w:sz w:val="20"/>
          <w:szCs w:val="20"/>
        </w:rPr>
        <w:t>capacity profiles of the PA</w:t>
      </w:r>
      <w:r w:rsidR="000F2BA4" w:rsidRPr="00DF6F1A">
        <w:rPr>
          <w:sz w:val="20"/>
          <w:szCs w:val="20"/>
        </w:rPr>
        <w:t>-</w:t>
      </w:r>
      <w:r w:rsidRPr="00DF6F1A">
        <w:rPr>
          <w:sz w:val="20"/>
          <w:szCs w:val="20"/>
        </w:rPr>
        <w:t>OD (a</w:t>
      </w:r>
      <w:r w:rsidR="000F2BA4" w:rsidRPr="00DF6F1A">
        <w:rPr>
          <w:sz w:val="20"/>
          <w:szCs w:val="20"/>
        </w:rPr>
        <w:t>-</w:t>
      </w:r>
      <w:r w:rsidRPr="00DF6F1A">
        <w:rPr>
          <w:sz w:val="20"/>
          <w:szCs w:val="20"/>
        </w:rPr>
        <w:t>c) and PA</w:t>
      </w:r>
      <w:r w:rsidR="000F2BA4" w:rsidRPr="00DF6F1A">
        <w:rPr>
          <w:sz w:val="20"/>
          <w:szCs w:val="20"/>
        </w:rPr>
        <w:t>-</w:t>
      </w:r>
      <w:r w:rsidRPr="00DF6F1A">
        <w:rPr>
          <w:sz w:val="20"/>
          <w:szCs w:val="20"/>
        </w:rPr>
        <w:t>HD (d</w:t>
      </w:r>
      <w:r w:rsidR="000F2BA4" w:rsidRPr="00DF6F1A">
        <w:rPr>
          <w:sz w:val="20"/>
          <w:szCs w:val="20"/>
        </w:rPr>
        <w:t>-</w:t>
      </w:r>
      <w:r w:rsidRPr="00DF6F1A">
        <w:rPr>
          <w:sz w:val="20"/>
          <w:szCs w:val="20"/>
        </w:rPr>
        <w:t xml:space="preserve">f) binary mixtures. </w:t>
      </w:r>
      <w:r w:rsidR="00155127" w:rsidRPr="00DF6F1A">
        <w:rPr>
          <w:sz w:val="20"/>
          <w:szCs w:val="20"/>
        </w:rPr>
        <w:t xml:space="preserve">For all </w:t>
      </w:r>
      <w:r w:rsidR="009E21D8" w:rsidRPr="00DF6F1A">
        <w:rPr>
          <w:sz w:val="20"/>
          <w:szCs w:val="20"/>
        </w:rPr>
        <w:t>cases</w:t>
      </w:r>
      <w:r w:rsidR="00155127" w:rsidRPr="00DF6F1A">
        <w:rPr>
          <w:sz w:val="20"/>
          <w:szCs w:val="20"/>
        </w:rPr>
        <w:t xml:space="preserve">, the second heating cycle </w:t>
      </w:r>
      <w:r w:rsidR="00C30586">
        <w:rPr>
          <w:sz w:val="20"/>
          <w:szCs w:val="20"/>
        </w:rPr>
        <w:t xml:space="preserve">from the DSC raw data </w:t>
      </w:r>
      <w:r w:rsidR="00155127" w:rsidRPr="00DF6F1A">
        <w:rPr>
          <w:sz w:val="20"/>
          <w:szCs w:val="20"/>
        </w:rPr>
        <w:t xml:space="preserve">was selected </w:t>
      </w:r>
      <w:r w:rsidR="009E21D8" w:rsidRPr="00DF6F1A">
        <w:rPr>
          <w:sz w:val="20"/>
          <w:szCs w:val="20"/>
        </w:rPr>
        <w:t xml:space="preserve">because the first heating/cooling cycle reduces prior thermal history and establishes a controlled thermal state. </w:t>
      </w:r>
      <w:r w:rsidRPr="00DF6F1A">
        <w:rPr>
          <w:sz w:val="20"/>
          <w:szCs w:val="20"/>
        </w:rPr>
        <w:t>The upper plot in each panel shows mass</w:t>
      </w:r>
      <w:r w:rsidR="006C33F0">
        <w:rPr>
          <w:sz w:val="20"/>
          <w:szCs w:val="20"/>
        </w:rPr>
        <w:t xml:space="preserve"> </w:t>
      </w:r>
      <w:r w:rsidRPr="00DF6F1A">
        <w:rPr>
          <w:sz w:val="20"/>
          <w:szCs w:val="20"/>
        </w:rPr>
        <w:t xml:space="preserve">normalised heat flow, where downward peaks represent endothermic melting events </w:t>
      </w:r>
      <w:r w:rsidR="00831CD2" w:rsidRPr="00DF6F1A">
        <w:rPr>
          <w:sz w:val="20"/>
          <w:szCs w:val="20"/>
        </w:rPr>
        <w:t>and</w:t>
      </w:r>
      <w:r w:rsidRPr="00DF6F1A">
        <w:rPr>
          <w:sz w:val="20"/>
          <w:szCs w:val="20"/>
        </w:rPr>
        <w:t xml:space="preserve"> </w:t>
      </w:r>
      <w:r w:rsidR="00831CD2" w:rsidRPr="00DF6F1A">
        <w:rPr>
          <w:sz w:val="20"/>
          <w:szCs w:val="20"/>
        </w:rPr>
        <w:t>t</w:t>
      </w:r>
      <w:r w:rsidRPr="00DF6F1A">
        <w:rPr>
          <w:sz w:val="20"/>
          <w:szCs w:val="20"/>
        </w:rPr>
        <w:t xml:space="preserve">he lower plot presents the corresponding </w:t>
      </w:r>
      <w:r w:rsidR="00640F8B" w:rsidRPr="00DF6F1A">
        <w:rPr>
          <w:i/>
          <w:iCs/>
          <w:sz w:val="20"/>
          <w:szCs w:val="20"/>
        </w:rPr>
        <w:t>C</w:t>
      </w:r>
      <w:r w:rsidR="00640F8B" w:rsidRPr="00DF6F1A">
        <w:rPr>
          <w:i/>
          <w:iCs/>
          <w:sz w:val="20"/>
          <w:szCs w:val="20"/>
          <w:vertAlign w:val="subscript"/>
        </w:rPr>
        <w:t>p</w:t>
      </w:r>
      <w:r w:rsidR="00640F8B" w:rsidRPr="00DF6F1A">
        <w:rPr>
          <w:sz w:val="20"/>
          <w:szCs w:val="20"/>
        </w:rPr>
        <w:t xml:space="preserve"> </w:t>
      </w:r>
      <w:r w:rsidRPr="00DF6F1A">
        <w:rPr>
          <w:sz w:val="20"/>
          <w:szCs w:val="20"/>
        </w:rPr>
        <w:t>response calculated from the heat</w:t>
      </w:r>
      <w:r w:rsidR="0000576C" w:rsidRPr="00DF6F1A">
        <w:rPr>
          <w:sz w:val="20"/>
          <w:szCs w:val="20"/>
        </w:rPr>
        <w:t xml:space="preserve"> </w:t>
      </w:r>
      <w:r w:rsidRPr="00DF6F1A">
        <w:rPr>
          <w:sz w:val="20"/>
          <w:szCs w:val="20"/>
        </w:rPr>
        <w:t>capacity signal. The green shaded region denotes the selected PV/T operating window of 35</w:t>
      </w:r>
      <w:r w:rsidR="0000576C" w:rsidRPr="00DF6F1A">
        <w:rPr>
          <w:sz w:val="20"/>
          <w:szCs w:val="20"/>
        </w:rPr>
        <w:t>-</w:t>
      </w:r>
      <w:r w:rsidRPr="00DF6F1A">
        <w:rPr>
          <w:sz w:val="20"/>
          <w:szCs w:val="20"/>
        </w:rPr>
        <w:t>60 °C, while the red shaded regions define the melting intervals integrated as latent heat. These intervals are excluded from the sensible</w:t>
      </w:r>
      <w:r w:rsidR="003971DC" w:rsidRPr="00DF6F1A">
        <w:rPr>
          <w:sz w:val="20"/>
          <w:szCs w:val="20"/>
        </w:rPr>
        <w:t xml:space="preserve"> </w:t>
      </w:r>
      <w:r w:rsidRPr="00DF6F1A">
        <w:rPr>
          <w:sz w:val="20"/>
          <w:szCs w:val="20"/>
        </w:rPr>
        <w:t>heat calculation to prevent the latent heat contained in the sharp apparent</w:t>
      </w:r>
      <w:r w:rsidR="009F0EAD">
        <w:rPr>
          <w:sz w:val="20"/>
          <w:szCs w:val="20"/>
        </w:rPr>
        <w:t xml:space="preserve"> </w:t>
      </w:r>
      <w:r w:rsidR="009F0EAD" w:rsidRPr="009F0EAD">
        <w:rPr>
          <w:i/>
          <w:iCs/>
          <w:sz w:val="20"/>
          <w:szCs w:val="20"/>
        </w:rPr>
        <w:t>C</w:t>
      </w:r>
      <w:r w:rsidR="009F0EAD" w:rsidRPr="009F0EAD">
        <w:rPr>
          <w:i/>
          <w:iCs/>
          <w:sz w:val="20"/>
          <w:szCs w:val="20"/>
          <w:vertAlign w:val="subscript"/>
        </w:rPr>
        <w:t>p</w:t>
      </w:r>
      <w:r w:rsidRPr="00DF6F1A">
        <w:rPr>
          <w:sz w:val="20"/>
          <w:szCs w:val="20"/>
        </w:rPr>
        <w:t xml:space="preserve"> peaks from being counted twice.</w:t>
      </w:r>
      <w:r w:rsidR="009777A9" w:rsidRPr="00DF6F1A">
        <w:rPr>
          <w:sz w:val="20"/>
          <w:szCs w:val="20"/>
        </w:rPr>
        <w:t xml:space="preserve"> </w:t>
      </w:r>
      <w:r w:rsidR="00E14F68" w:rsidRPr="00DF6F1A">
        <w:rPr>
          <w:sz w:val="20"/>
          <w:szCs w:val="20"/>
        </w:rPr>
        <w:t>The PA-OD mixtures show progressively complex melting behaviour</w:t>
      </w:r>
      <w:r w:rsidR="00574BD8">
        <w:rPr>
          <w:sz w:val="20"/>
          <w:szCs w:val="20"/>
        </w:rPr>
        <w:t>,</w:t>
      </w:r>
      <w:r w:rsidR="009777A9" w:rsidRPr="00DF6F1A">
        <w:rPr>
          <w:sz w:val="20"/>
          <w:szCs w:val="20"/>
        </w:rPr>
        <w:t xml:space="preserve"> as t</w:t>
      </w:r>
      <w:r w:rsidR="00E14F68" w:rsidRPr="00DF6F1A">
        <w:rPr>
          <w:sz w:val="20"/>
          <w:szCs w:val="20"/>
        </w:rPr>
        <w:t>he corresponding apparent</w:t>
      </w:r>
      <w:r w:rsidR="009F0EAD">
        <w:rPr>
          <w:sz w:val="20"/>
          <w:szCs w:val="20"/>
        </w:rPr>
        <w:t xml:space="preserve"> </w:t>
      </w:r>
      <w:r w:rsidR="009F0EAD" w:rsidRPr="009F0EAD">
        <w:rPr>
          <w:i/>
          <w:iCs/>
          <w:sz w:val="20"/>
          <w:szCs w:val="20"/>
        </w:rPr>
        <w:t>C</w:t>
      </w:r>
      <w:r w:rsidR="009F0EAD" w:rsidRPr="009F0EAD">
        <w:rPr>
          <w:i/>
          <w:iCs/>
          <w:sz w:val="20"/>
          <w:szCs w:val="20"/>
          <w:vertAlign w:val="subscript"/>
        </w:rPr>
        <w:t>p</w:t>
      </w:r>
      <w:r w:rsidR="00E14F68" w:rsidRPr="00DF6F1A">
        <w:rPr>
          <w:sz w:val="20"/>
          <w:szCs w:val="20"/>
        </w:rPr>
        <w:t xml:space="preserve"> profiles </w:t>
      </w:r>
      <w:r w:rsidR="00FF08A1">
        <w:rPr>
          <w:sz w:val="20"/>
          <w:szCs w:val="20"/>
        </w:rPr>
        <w:t>in Fig. 4a and 4b confirm that the latent heat is concentrated mainly in the major melting events, while the smaller transitions contribute comparatively little</w:t>
      </w:r>
      <w:r w:rsidR="00E14F68" w:rsidRPr="00DF6F1A">
        <w:rPr>
          <w:sz w:val="20"/>
          <w:szCs w:val="20"/>
        </w:rPr>
        <w:t xml:space="preserve"> to the total storage capacity.</w:t>
      </w:r>
      <w:r w:rsidR="00146D80" w:rsidRPr="00DF6F1A">
        <w:rPr>
          <w:sz w:val="20"/>
          <w:szCs w:val="20"/>
        </w:rPr>
        <w:t xml:space="preserve"> Panel c has the second</w:t>
      </w:r>
      <w:r w:rsidR="00727318">
        <w:rPr>
          <w:sz w:val="20"/>
          <w:szCs w:val="20"/>
        </w:rPr>
        <w:t xml:space="preserve"> </w:t>
      </w:r>
      <w:r w:rsidR="00146D80" w:rsidRPr="00DF6F1A">
        <w:rPr>
          <w:sz w:val="20"/>
          <w:szCs w:val="20"/>
        </w:rPr>
        <w:t>largest total usable capacity</w:t>
      </w:r>
      <w:r w:rsidR="009D48F4" w:rsidRPr="00DF6F1A">
        <w:rPr>
          <w:sz w:val="20"/>
          <w:szCs w:val="20"/>
        </w:rPr>
        <w:t xml:space="preserve"> of</w:t>
      </w:r>
      <w:r w:rsidR="00146D80" w:rsidRPr="00DF6F1A">
        <w:rPr>
          <w:sz w:val="20"/>
          <w:szCs w:val="20"/>
        </w:rPr>
        <w:t xml:space="preserve"> 238.44 J/g. However, its performance is distributed differently</w:t>
      </w:r>
      <w:r w:rsidR="009D48F4" w:rsidRPr="00DF6F1A">
        <w:rPr>
          <w:sz w:val="20"/>
          <w:szCs w:val="20"/>
        </w:rPr>
        <w:t xml:space="preserve"> as</w:t>
      </w:r>
      <w:r w:rsidR="00146D80" w:rsidRPr="00DF6F1A">
        <w:rPr>
          <w:sz w:val="20"/>
          <w:szCs w:val="20"/>
        </w:rPr>
        <w:t xml:space="preserve"> 126.97 J/g arises from sensible storage and 111.47 J/g from three individual melting transitions. This agrees with the broad and multi</w:t>
      </w:r>
      <w:r w:rsidR="00727318">
        <w:rPr>
          <w:sz w:val="20"/>
          <w:szCs w:val="20"/>
        </w:rPr>
        <w:t>-</w:t>
      </w:r>
      <w:r w:rsidR="00146D80" w:rsidRPr="00DF6F1A">
        <w:rPr>
          <w:sz w:val="20"/>
          <w:szCs w:val="20"/>
        </w:rPr>
        <w:t>step DSC behaviour in panel c, where the major transition occurs near 56.22 °C and several smaller transitions occur at lower temperatures. Therefore, panel c behaves as a broad</w:t>
      </w:r>
      <w:r w:rsidR="00B37BB9">
        <w:rPr>
          <w:sz w:val="20"/>
          <w:szCs w:val="20"/>
        </w:rPr>
        <w:t xml:space="preserve"> </w:t>
      </w:r>
      <w:r w:rsidR="00146D80" w:rsidRPr="00DF6F1A">
        <w:rPr>
          <w:sz w:val="20"/>
          <w:szCs w:val="20"/>
        </w:rPr>
        <w:t>range, non-eutectic PCM</w:t>
      </w:r>
      <w:r w:rsidR="007B6F5A" w:rsidRPr="00DF6F1A">
        <w:rPr>
          <w:sz w:val="20"/>
          <w:szCs w:val="20"/>
        </w:rPr>
        <w:t>, providing a longer thermal buffer</w:t>
      </w:r>
      <w:r w:rsidR="00146D80" w:rsidRPr="00DF6F1A">
        <w:rPr>
          <w:sz w:val="20"/>
          <w:szCs w:val="20"/>
        </w:rPr>
        <w:t xml:space="preserve">. </w:t>
      </w:r>
      <w:r w:rsidR="00823F10" w:rsidRPr="00DF6F1A">
        <w:rPr>
          <w:color w:val="000000"/>
          <w:sz w:val="20"/>
          <w:szCs w:val="20"/>
        </w:rPr>
        <w:t xml:space="preserve">Panel e has the largest usable thermal capacity, 255.46 J/g, mainly because it contains a single dominant melting transition at 48.65 °C with 212.06 J/g of usable latent heat. This confirms the </w:t>
      </w:r>
      <w:r w:rsidR="000C7698" w:rsidRPr="00DF6F1A">
        <w:rPr>
          <w:color w:val="000000"/>
          <w:sz w:val="20"/>
          <w:szCs w:val="20"/>
        </w:rPr>
        <w:t xml:space="preserve">typical </w:t>
      </w:r>
      <w:r w:rsidR="00823F10" w:rsidRPr="00DF6F1A">
        <w:rPr>
          <w:color w:val="000000"/>
          <w:sz w:val="20"/>
          <w:szCs w:val="20"/>
        </w:rPr>
        <w:t>eutectic-like behaviour observed in the DSC curve</w:t>
      </w:r>
      <w:r w:rsidR="00BF3BDA">
        <w:rPr>
          <w:color w:val="000000"/>
          <w:sz w:val="20"/>
          <w:szCs w:val="20"/>
        </w:rPr>
        <w:t xml:space="preserve">, indicating that </w:t>
      </w:r>
      <w:r w:rsidR="00823F10" w:rsidRPr="00DF6F1A">
        <w:rPr>
          <w:color w:val="000000"/>
          <w:sz w:val="20"/>
          <w:szCs w:val="20"/>
        </w:rPr>
        <w:t xml:space="preserve">thermal energy is concentrated in one narrow and </w:t>
      </w:r>
      <w:r w:rsidR="00727318" w:rsidRPr="00DF6F1A">
        <w:rPr>
          <w:color w:val="000000"/>
          <w:sz w:val="20"/>
          <w:szCs w:val="20"/>
        </w:rPr>
        <w:t>well</w:t>
      </w:r>
      <w:r w:rsidR="00727318">
        <w:rPr>
          <w:color w:val="000000"/>
          <w:sz w:val="20"/>
          <w:szCs w:val="20"/>
        </w:rPr>
        <w:t>-defined</w:t>
      </w:r>
      <w:r w:rsidR="00823F10" w:rsidRPr="00DF6F1A">
        <w:rPr>
          <w:color w:val="000000"/>
          <w:sz w:val="20"/>
          <w:szCs w:val="20"/>
        </w:rPr>
        <w:t xml:space="preserve"> transitio</w:t>
      </w:r>
      <w:r w:rsidR="000C7698" w:rsidRPr="00DF6F1A">
        <w:rPr>
          <w:color w:val="000000"/>
          <w:sz w:val="20"/>
          <w:szCs w:val="20"/>
        </w:rPr>
        <w:t>n</w:t>
      </w:r>
      <w:r w:rsidR="00823F10" w:rsidRPr="00DF6F1A">
        <w:rPr>
          <w:color w:val="000000"/>
          <w:sz w:val="20"/>
          <w:szCs w:val="20"/>
        </w:rPr>
        <w:t xml:space="preserve">. </w:t>
      </w:r>
      <w:r w:rsidR="00821EC0" w:rsidRPr="00DF6F1A">
        <w:rPr>
          <w:color w:val="000000"/>
          <w:sz w:val="20"/>
          <w:szCs w:val="20"/>
        </w:rPr>
        <w:t xml:space="preserve">Panel </w:t>
      </w:r>
      <w:r w:rsidR="00821EC0" w:rsidRPr="00425FD6">
        <w:rPr>
          <w:color w:val="000000"/>
          <w:sz w:val="20"/>
          <w:szCs w:val="20"/>
        </w:rPr>
        <w:t>d</w:t>
      </w:r>
      <w:r w:rsidR="00821EC0" w:rsidRPr="00DF6F1A">
        <w:rPr>
          <w:color w:val="000000"/>
          <w:sz w:val="20"/>
          <w:szCs w:val="20"/>
        </w:rPr>
        <w:t xml:space="preserve"> has the lowest calculated total usable capacity</w:t>
      </w:r>
      <w:r w:rsidR="00815809" w:rsidRPr="00DF6F1A">
        <w:rPr>
          <w:color w:val="000000"/>
          <w:sz w:val="20"/>
          <w:szCs w:val="20"/>
        </w:rPr>
        <w:t xml:space="preserve"> </w:t>
      </w:r>
      <w:r w:rsidR="005E7F1C">
        <w:rPr>
          <w:color w:val="000000"/>
          <w:sz w:val="20"/>
          <w:szCs w:val="20"/>
        </w:rPr>
        <w:t>(185.97 J/g), despite a high latent contribution (174.64 J/g)</w:t>
      </w:r>
      <w:r w:rsidR="00821EC0" w:rsidRPr="00DF6F1A">
        <w:rPr>
          <w:color w:val="000000"/>
          <w:sz w:val="20"/>
          <w:szCs w:val="20"/>
        </w:rPr>
        <w:t xml:space="preserve">. Its primary transition is located at 59.34 °C, close to the upper PV/T limit of 60 °C. Hence, a substantial proportion of the transition occurs near the edge of the operating range and may not be fully activated during moderate PV/T operation. </w:t>
      </w:r>
      <w:r w:rsidR="000D5D48" w:rsidRPr="00DF6F1A">
        <w:rPr>
          <w:color w:val="000000"/>
          <w:sz w:val="20"/>
          <w:szCs w:val="20"/>
        </w:rPr>
        <w:t>In this case</w:t>
      </w:r>
      <w:r w:rsidR="001112C3">
        <w:rPr>
          <w:color w:val="000000"/>
          <w:sz w:val="20"/>
          <w:szCs w:val="20"/>
        </w:rPr>
        <w:t>, the very low sensible contribution also reflects that most of the 35-60</w:t>
      </w:r>
      <w:r w:rsidR="00821EC0" w:rsidRPr="00DF6F1A">
        <w:rPr>
          <w:color w:val="000000"/>
          <w:sz w:val="20"/>
          <w:szCs w:val="20"/>
        </w:rPr>
        <w:t xml:space="preserve"> °C interval is assigned to latent</w:t>
      </w:r>
      <w:r w:rsidR="00727318">
        <w:rPr>
          <w:color w:val="000000"/>
          <w:sz w:val="20"/>
          <w:szCs w:val="20"/>
        </w:rPr>
        <w:t xml:space="preserve"> </w:t>
      </w:r>
      <w:r w:rsidR="00821EC0" w:rsidRPr="00DF6F1A">
        <w:rPr>
          <w:color w:val="000000"/>
          <w:sz w:val="20"/>
          <w:szCs w:val="20"/>
        </w:rPr>
        <w:t>transition zones rather than stable solid or liquid baseline regions.</w:t>
      </w:r>
      <w:r w:rsidR="008E39B7" w:rsidRPr="00DF6F1A">
        <w:rPr>
          <w:color w:val="000000"/>
          <w:sz w:val="20"/>
          <w:szCs w:val="20"/>
        </w:rPr>
        <w:t xml:space="preserve"> Panel f provides 212.09 J/g of usable thermal capacity, with 158.29 J/g arising from latent heat distributed across two melting events. Its primary melting peak occurs at 46.71 °C, within the desired PV/T window, but the secondary transition broadens the thermal response. This supports its classification as a non-eutectic or near-eutectic </w:t>
      </w:r>
      <w:r w:rsidR="00727318" w:rsidRPr="00DF6F1A">
        <w:rPr>
          <w:color w:val="000000"/>
          <w:sz w:val="20"/>
          <w:szCs w:val="20"/>
        </w:rPr>
        <w:t>multi</w:t>
      </w:r>
      <w:r w:rsidR="00727318">
        <w:rPr>
          <w:color w:val="000000"/>
          <w:sz w:val="20"/>
          <w:szCs w:val="20"/>
        </w:rPr>
        <w:t>stage</w:t>
      </w:r>
      <w:r w:rsidR="008E39B7" w:rsidRPr="00DF6F1A">
        <w:rPr>
          <w:color w:val="000000"/>
          <w:sz w:val="20"/>
          <w:szCs w:val="20"/>
        </w:rPr>
        <w:t xml:space="preserve"> PCM rather than a single</w:t>
      </w:r>
      <w:r w:rsidR="001F6E03">
        <w:rPr>
          <w:color w:val="000000"/>
          <w:sz w:val="20"/>
          <w:szCs w:val="20"/>
        </w:rPr>
        <w:t xml:space="preserve"> </w:t>
      </w:r>
      <w:r w:rsidR="008E39B7" w:rsidRPr="00DF6F1A">
        <w:rPr>
          <w:color w:val="000000"/>
          <w:sz w:val="20"/>
          <w:szCs w:val="20"/>
        </w:rPr>
        <w:t>transition eutectic PCM.</w:t>
      </w:r>
    </w:p>
    <w:p w14:paraId="1C923D7F" w14:textId="554D9F1C" w:rsidR="00E14F68" w:rsidRPr="00DF6F1A" w:rsidRDefault="00E14F68" w:rsidP="00FD19A7">
      <w:pPr>
        <w:pStyle w:val="SWCText"/>
        <w:rPr>
          <w:lang w:val="en-GB"/>
        </w:rPr>
      </w:pPr>
    </w:p>
    <w:p w14:paraId="357E4F00" w14:textId="099DF97F" w:rsidR="00745F20" w:rsidRPr="00DF6F1A" w:rsidRDefault="00745F20" w:rsidP="00414DD1">
      <w:pPr>
        <w:pStyle w:val="SWCText"/>
        <w:jc w:val="center"/>
        <w:rPr>
          <w:lang w:val="en-GB"/>
        </w:rPr>
      </w:pPr>
      <w:r w:rsidRPr="00DF6F1A">
        <w:rPr>
          <w:noProof/>
          <w:lang w:val="en-GB"/>
        </w:rPr>
        <w:lastRenderedPageBreak/>
        <w:drawing>
          <wp:inline distT="0" distB="0" distL="0" distR="0" wp14:anchorId="0C79284D" wp14:editId="53EBB85F">
            <wp:extent cx="4892627" cy="5943600"/>
            <wp:effectExtent l="0" t="0" r="3810" b="0"/>
            <wp:docPr id="173609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9988" name="Picture 173609988"/>
                    <pic:cNvPicPr/>
                  </pic:nvPicPr>
                  <pic:blipFill rotWithShape="1">
                    <a:blip r:embed="rId14"/>
                    <a:srcRect t="2116" b="29547"/>
                    <a:stretch>
                      <a:fillRect/>
                    </a:stretch>
                  </pic:blipFill>
                  <pic:spPr bwMode="auto">
                    <a:xfrm>
                      <a:off x="0" y="0"/>
                      <a:ext cx="4892675" cy="5943658"/>
                    </a:xfrm>
                    <a:prstGeom prst="rect">
                      <a:avLst/>
                    </a:prstGeom>
                    <a:ln>
                      <a:noFill/>
                    </a:ln>
                    <a:extLst>
                      <a:ext uri="{53640926-AAD7-44D8-BBD7-CCE9431645EC}">
                        <a14:shadowObscured xmlns:a14="http://schemas.microsoft.com/office/drawing/2010/main"/>
                      </a:ext>
                    </a:extLst>
                  </pic:spPr>
                </pic:pic>
              </a:graphicData>
            </a:graphic>
          </wp:inline>
        </w:drawing>
      </w:r>
    </w:p>
    <w:p w14:paraId="6AE6846D" w14:textId="6F3AC3FC" w:rsidR="008158E8" w:rsidRPr="00163E52" w:rsidRDefault="00F53B23" w:rsidP="00163E52">
      <w:pPr>
        <w:pStyle w:val="SWCText"/>
        <w:jc w:val="center"/>
        <w:rPr>
          <w:b/>
          <w:bCs/>
          <w:sz w:val="16"/>
          <w:szCs w:val="16"/>
          <w:lang w:val="en-GB"/>
        </w:rPr>
      </w:pPr>
      <w:r w:rsidRPr="00163E52">
        <w:rPr>
          <w:b/>
          <w:bCs/>
          <w:sz w:val="16"/>
          <w:szCs w:val="16"/>
          <w:lang w:val="en-GB"/>
        </w:rPr>
        <w:t xml:space="preserve">Fig. </w:t>
      </w:r>
      <w:r w:rsidR="00EA6483" w:rsidRPr="00163E52">
        <w:rPr>
          <w:b/>
          <w:bCs/>
          <w:sz w:val="16"/>
          <w:szCs w:val="16"/>
          <w:lang w:val="en-GB"/>
        </w:rPr>
        <w:t xml:space="preserve">4: </w:t>
      </w:r>
      <w:r w:rsidR="00163E52" w:rsidRPr="00163E52">
        <w:rPr>
          <w:b/>
          <w:bCs/>
          <w:sz w:val="16"/>
          <w:szCs w:val="16"/>
          <w:lang w:val="en-GB"/>
        </w:rPr>
        <w:t>E</w:t>
      </w:r>
      <w:r w:rsidR="00135907">
        <w:rPr>
          <w:b/>
          <w:bCs/>
          <w:sz w:val="16"/>
          <w:szCs w:val="16"/>
          <w:lang w:val="en-GB"/>
        </w:rPr>
        <w:t>nd</w:t>
      </w:r>
      <w:r w:rsidR="00163E52" w:rsidRPr="00163E52">
        <w:rPr>
          <w:b/>
          <w:bCs/>
          <w:sz w:val="16"/>
          <w:szCs w:val="16"/>
          <w:lang w:val="en-GB"/>
        </w:rPr>
        <w:t xml:space="preserve">othermic cycle </w:t>
      </w:r>
      <w:r w:rsidR="00872D86">
        <w:rPr>
          <w:b/>
          <w:bCs/>
          <w:sz w:val="16"/>
          <w:szCs w:val="16"/>
          <w:lang w:val="en-GB"/>
        </w:rPr>
        <w:t>co</w:t>
      </w:r>
      <w:r w:rsidR="00DA0B8B">
        <w:rPr>
          <w:b/>
          <w:bCs/>
          <w:sz w:val="16"/>
          <w:szCs w:val="16"/>
          <w:lang w:val="en-GB"/>
        </w:rPr>
        <w:t>njugated</w:t>
      </w:r>
      <w:r w:rsidR="00163E52" w:rsidRPr="00163E52">
        <w:rPr>
          <w:b/>
          <w:bCs/>
          <w:sz w:val="16"/>
          <w:szCs w:val="16"/>
          <w:lang w:val="en-GB"/>
        </w:rPr>
        <w:t xml:space="preserve"> with </w:t>
      </w:r>
      <w:r w:rsidR="00135907">
        <w:rPr>
          <w:b/>
          <w:bCs/>
          <w:sz w:val="16"/>
          <w:szCs w:val="16"/>
          <w:lang w:val="en-GB"/>
        </w:rPr>
        <w:t xml:space="preserve">apparent </w:t>
      </w:r>
      <w:r w:rsidR="00163E52" w:rsidRPr="00163E52">
        <w:rPr>
          <w:b/>
          <w:bCs/>
          <w:sz w:val="16"/>
          <w:szCs w:val="16"/>
          <w:lang w:val="en-GB"/>
        </w:rPr>
        <w:t>heat capacity of</w:t>
      </w:r>
      <w:r w:rsidR="00163E52">
        <w:rPr>
          <w:lang w:val="en-GB"/>
        </w:rPr>
        <w:t xml:space="preserve"> </w:t>
      </w:r>
      <w:r w:rsidR="00163E52" w:rsidRPr="00DF6F1A">
        <w:rPr>
          <w:b/>
          <w:bCs/>
          <w:sz w:val="16"/>
          <w:szCs w:val="16"/>
          <w:lang w:val="en-GB"/>
        </w:rPr>
        <w:t>a) PA-OD 0.4M, b) PA-OD 0.7M c) PA-OD 0.9M d) PA-HD 0.2M e) PA-OD 0.5M f) PA-OD 0.8M</w:t>
      </w:r>
    </w:p>
    <w:p w14:paraId="50B58B4C" w14:textId="1849A16E" w:rsidR="00CD4BF5" w:rsidRPr="00DF6F1A" w:rsidRDefault="008B6253" w:rsidP="00FD19A7">
      <w:pPr>
        <w:pStyle w:val="SWCText"/>
        <w:rPr>
          <w:rFonts w:ascii="Arial" w:hAnsi="Arial" w:cs="Arial"/>
          <w:i/>
          <w:iCs/>
          <w:lang w:val="en-GB"/>
        </w:rPr>
      </w:pPr>
      <w:r w:rsidRPr="00DF6F1A">
        <w:rPr>
          <w:rFonts w:ascii="Arial" w:hAnsi="Arial" w:cs="Arial"/>
          <w:i/>
          <w:iCs/>
          <w:lang w:val="en-GB"/>
        </w:rPr>
        <w:t xml:space="preserve">3.4 </w:t>
      </w:r>
      <w:r w:rsidR="00CD4BF5" w:rsidRPr="00DF6F1A">
        <w:rPr>
          <w:rFonts w:ascii="Arial" w:hAnsi="Arial" w:cs="Arial"/>
          <w:i/>
          <w:iCs/>
          <w:lang w:val="en-GB"/>
        </w:rPr>
        <w:t>Discussion</w:t>
      </w:r>
      <w:r w:rsidR="00F52272" w:rsidRPr="00DF6F1A">
        <w:rPr>
          <w:rFonts w:ascii="Arial" w:hAnsi="Arial" w:cs="Arial"/>
          <w:i/>
          <w:iCs/>
          <w:lang w:val="en-GB"/>
        </w:rPr>
        <w:t xml:space="preserve"> and Future Recommendations </w:t>
      </w:r>
    </w:p>
    <w:p w14:paraId="32D1E3CE" w14:textId="77777777" w:rsidR="00C764FD" w:rsidRDefault="000775A1" w:rsidP="004D6125">
      <w:pPr>
        <w:pStyle w:val="SWCText"/>
        <w:rPr>
          <w:lang w:val="en-GB"/>
        </w:rPr>
      </w:pPr>
      <w:r w:rsidRPr="00DF6F1A">
        <w:rPr>
          <w:lang w:val="en-GB"/>
        </w:rPr>
        <w:t>The DSC results demonstrate that the thermal</w:t>
      </w:r>
      <w:r w:rsidR="00D03D4E">
        <w:rPr>
          <w:lang w:val="en-GB"/>
        </w:rPr>
        <w:t xml:space="preserve"> </w:t>
      </w:r>
      <w:r w:rsidRPr="00DF6F1A">
        <w:rPr>
          <w:lang w:val="en-GB"/>
        </w:rPr>
        <w:t>storage behaviour of the fatty acid</w:t>
      </w:r>
      <w:r w:rsidR="00873E37">
        <w:rPr>
          <w:lang w:val="en-GB"/>
        </w:rPr>
        <w:t>-</w:t>
      </w:r>
      <w:r w:rsidRPr="00DF6F1A">
        <w:rPr>
          <w:lang w:val="en-GB"/>
        </w:rPr>
        <w:t>fatty alcohol mixtures is strongly composition dependent. Within the defined PV/T operating interval of 35</w:t>
      </w:r>
      <w:r w:rsidR="00873E37">
        <w:rPr>
          <w:lang w:val="en-GB"/>
        </w:rPr>
        <w:t>-</w:t>
      </w:r>
      <w:r w:rsidRPr="00DF6F1A">
        <w:rPr>
          <w:lang w:val="en-GB"/>
        </w:rPr>
        <w:t>60 °C, all formulations showed at least one relevant endothermic transition</w:t>
      </w:r>
      <w:r w:rsidR="00280ACF">
        <w:rPr>
          <w:lang w:val="en-GB"/>
        </w:rPr>
        <w:t>.</w:t>
      </w:r>
      <w:r w:rsidRPr="00DF6F1A">
        <w:rPr>
          <w:lang w:val="en-GB"/>
        </w:rPr>
        <w:t xml:space="preserve"> </w:t>
      </w:r>
      <w:r w:rsidR="00280ACF">
        <w:rPr>
          <w:lang w:val="en-GB"/>
        </w:rPr>
        <w:t>H</w:t>
      </w:r>
      <w:r w:rsidRPr="00DF6F1A">
        <w:rPr>
          <w:lang w:val="en-GB"/>
        </w:rPr>
        <w:t>owever, the energy</w:t>
      </w:r>
      <w:r w:rsidR="00280ACF">
        <w:rPr>
          <w:lang w:val="en-GB"/>
        </w:rPr>
        <w:t xml:space="preserve"> </w:t>
      </w:r>
      <w:r w:rsidRPr="00DF6F1A">
        <w:rPr>
          <w:lang w:val="en-GB"/>
        </w:rPr>
        <w:t>storage mechanism varied substantially between mixtures. The PA</w:t>
      </w:r>
      <w:r w:rsidR="005A78F6">
        <w:rPr>
          <w:lang w:val="en-GB"/>
        </w:rPr>
        <w:t>-</w:t>
      </w:r>
      <w:r w:rsidRPr="00DF6F1A">
        <w:rPr>
          <w:lang w:val="en-GB"/>
        </w:rPr>
        <w:t>HD formulation represented by panel e showed the most eutectic-like behaviour, with a single dominant melting event centred at 48.65 °C, a usable latent heat of 212.06 J/g, and the highest total usable thermal capacity of 255.46 J/g. Its narrow transition within the selected PV/T range indicates that most of its storage capacity can be activated near a defined absorber temperature, making it the strongest candidate for temperature regulation. Panel c may be suitable as a broader or longer</w:t>
      </w:r>
      <w:r w:rsidR="00357983">
        <w:rPr>
          <w:lang w:val="en-GB"/>
        </w:rPr>
        <w:t xml:space="preserve"> </w:t>
      </w:r>
      <w:r w:rsidRPr="00DF6F1A">
        <w:rPr>
          <w:lang w:val="en-GB"/>
        </w:rPr>
        <w:t>duration thermal buffer, as its sensible heat and multiple transitions spread heat storage over a wider temperature interval. However, its major melting event near 56 °C means that some of its capacity becomes useful only under relatively high PV/T temperatures. This may be beneficial in high-irradiance conditions but less effective for frequent temperature control around 45</w:t>
      </w:r>
      <w:r w:rsidR="00A555BB">
        <w:rPr>
          <w:lang w:val="en-GB"/>
        </w:rPr>
        <w:t>-</w:t>
      </w:r>
      <w:r w:rsidRPr="00DF6F1A">
        <w:rPr>
          <w:lang w:val="en-GB"/>
        </w:rPr>
        <w:t xml:space="preserve">50 °C. </w:t>
      </w:r>
      <w:r w:rsidR="004D6125" w:rsidRPr="00DF6F1A">
        <w:rPr>
          <w:lang w:val="en-GB"/>
        </w:rPr>
        <w:t xml:space="preserve">For a PV/T system operating mainly between 35 and 60 °C, </w:t>
      </w:r>
      <w:r w:rsidR="004D6125" w:rsidRPr="00DF6F1A">
        <w:rPr>
          <w:lang w:val="en-GB"/>
        </w:rPr>
        <w:lastRenderedPageBreak/>
        <w:t>panel e is the preferred candidate for a high</w:t>
      </w:r>
      <w:r w:rsidR="00775758">
        <w:rPr>
          <w:lang w:val="en-GB"/>
        </w:rPr>
        <w:t xml:space="preserve"> </w:t>
      </w:r>
      <w:r w:rsidR="004D6125" w:rsidRPr="00DF6F1A">
        <w:rPr>
          <w:lang w:val="en-GB"/>
        </w:rPr>
        <w:t>power, temperature-specific thermal buffer. Its dominant transition near 49 °C can absorb excess heat as the PV/T absorber approaches that temperature, thereby moderating further temperature rise.</w:t>
      </w:r>
    </w:p>
    <w:p w14:paraId="2F23FBC3" w14:textId="50D79D03" w:rsidR="00BA047D" w:rsidRPr="00DF6F1A" w:rsidRDefault="004D6125" w:rsidP="004D6125">
      <w:pPr>
        <w:pStyle w:val="SWCText"/>
        <w:rPr>
          <w:lang w:val="en-GB"/>
        </w:rPr>
      </w:pPr>
      <w:r w:rsidRPr="00DF6F1A">
        <w:rPr>
          <w:lang w:val="en-GB"/>
        </w:rPr>
        <w:t>However, the DSC peak height should not alone be interpreted as thermal power</w:t>
      </w:r>
      <w:r w:rsidR="00C764FD">
        <w:rPr>
          <w:lang w:val="en-GB"/>
        </w:rPr>
        <w:t xml:space="preserve"> as</w:t>
      </w:r>
      <w:r w:rsidRPr="00DF6F1A">
        <w:rPr>
          <w:lang w:val="en-GB"/>
        </w:rPr>
        <w:t xml:space="preserve"> practical heat</w:t>
      </w:r>
      <w:r w:rsidR="00C764FD">
        <w:rPr>
          <w:lang w:val="en-GB"/>
        </w:rPr>
        <w:t xml:space="preserve"> </w:t>
      </w:r>
      <w:r w:rsidRPr="00DF6F1A">
        <w:rPr>
          <w:lang w:val="en-GB"/>
        </w:rPr>
        <w:t>transfer rate will depend on thermal conductivity, contact resistance, PCM layer thickness, encapsulation, and collector geometry.</w:t>
      </w:r>
      <w:r w:rsidR="00C764FD">
        <w:rPr>
          <w:lang w:val="en-GB"/>
        </w:rPr>
        <w:t xml:space="preserve"> </w:t>
      </w:r>
      <w:r w:rsidR="00BA047D" w:rsidRPr="00DF6F1A">
        <w:rPr>
          <w:lang w:val="en-GB"/>
        </w:rPr>
        <w:t xml:space="preserve">DSC establishes thermal capacity, but it does not establish how quickly the PCM can exchange heat with a PV/T </w:t>
      </w:r>
      <w:r w:rsidR="00D12950" w:rsidRPr="00DF6F1A">
        <w:rPr>
          <w:lang w:val="en-GB"/>
        </w:rPr>
        <w:t>absorber,</w:t>
      </w:r>
      <w:r w:rsidR="00BA047D" w:rsidRPr="00DF6F1A">
        <w:rPr>
          <w:lang w:val="en-GB"/>
        </w:rPr>
        <w:t xml:space="preserve"> so </w:t>
      </w:r>
      <w:r w:rsidR="00B01826" w:rsidRPr="00DF6F1A">
        <w:rPr>
          <w:lang w:val="en-GB"/>
        </w:rPr>
        <w:t>th</w:t>
      </w:r>
      <w:r w:rsidR="00A355B1" w:rsidRPr="00DF6F1A">
        <w:rPr>
          <w:lang w:val="en-GB"/>
        </w:rPr>
        <w:t xml:space="preserve">e </w:t>
      </w:r>
      <w:r w:rsidR="008C2AF2">
        <w:rPr>
          <w:lang w:val="en-GB"/>
        </w:rPr>
        <w:t xml:space="preserve">immediate </w:t>
      </w:r>
      <w:r w:rsidR="00372BE4" w:rsidRPr="00DF6F1A">
        <w:rPr>
          <w:lang w:val="en-GB"/>
        </w:rPr>
        <w:t>future approach regarding th</w:t>
      </w:r>
      <w:r w:rsidR="009151F4" w:rsidRPr="00DF6F1A">
        <w:rPr>
          <w:lang w:val="en-GB"/>
        </w:rPr>
        <w:t>ese mixtures will be testing the thermal conductivity</w:t>
      </w:r>
      <w:r w:rsidR="00002310">
        <w:rPr>
          <w:lang w:val="en-GB"/>
        </w:rPr>
        <w:fldChar w:fldCharType="begin"/>
      </w:r>
      <w:r w:rsidR="006F05B4">
        <w:rPr>
          <w:lang w:val="en-GB"/>
        </w:rPr>
        <w:instrText xml:space="preserve"> ADDIN EN.CITE &lt;EndNote&gt;&lt;Cite&gt;&lt;Author&gt;Trigui&lt;/Author&gt;&lt;Year&gt;2022&lt;/Year&gt;&lt;RecNum&gt;226&lt;/RecNum&gt;&lt;DisplayText&gt;[14]&lt;/DisplayText&gt;&lt;record&gt;&lt;rec-number&gt;226&lt;/rec-number&gt;&lt;foreign-keys&gt;&lt;key app="EN" db-id="xdrrrdze45p5vjerrfl5p5xkv0t9pd0ez5fd" timestamp="1786640027"&gt;226&lt;/key&gt;&lt;/foreign-keys&gt;&lt;ref-type name="Book Section"&gt;5&lt;/ref-type&gt;&lt;contributors&gt;&lt;authors&gt;&lt;author&gt;Trigui, Abdelwaheb&lt;/author&gt;&lt;/authors&gt;&lt;secondary-authors&gt;&lt;author&gt;Rathod, Manish K. K.&lt;/author&gt;&lt;/secondary-authors&gt;&lt;/contributors&gt;&lt;titles&gt;&lt;title&gt;Techniques for the Thermal Analysis of PCM&lt;/title&gt;&lt;secondary-title&gt;Phase Change Materials - Technology and Applications&lt;/secondary-title&gt;&lt;/titles&gt;&lt;dates&gt;&lt;year&gt;2022&lt;/year&gt;&lt;/dates&gt;&lt;pub-location&gt;London&lt;/pub-location&gt;&lt;publisher&gt;IntechOpen&lt;/publisher&gt;&lt;isbn&gt;978-1-80356-474-6&lt;/isbn&gt;&lt;call-num&gt;3&lt;/call-num&gt;&lt;urls&gt;&lt;related-urls&gt;&lt;url&gt;https://doi.org/10.5772/intechopen.105935&lt;/url&gt;&lt;/related-urls&gt;&lt;/urls&gt;&lt;electronic-resource-num&gt;10.5772/intechopen.105935&lt;/electronic-resource-num&gt;&lt;access-date&gt;2026-08-13&lt;/access-date&gt;&lt;/record&gt;&lt;/Cite&gt;&lt;/EndNote&gt;</w:instrText>
      </w:r>
      <w:r w:rsidR="00002310">
        <w:rPr>
          <w:lang w:val="en-GB"/>
        </w:rPr>
        <w:fldChar w:fldCharType="separate"/>
      </w:r>
      <w:r w:rsidR="006F05B4">
        <w:rPr>
          <w:noProof/>
          <w:lang w:val="en-GB"/>
        </w:rPr>
        <w:t>[14]</w:t>
      </w:r>
      <w:r w:rsidR="00002310">
        <w:rPr>
          <w:lang w:val="en-GB"/>
        </w:rPr>
        <w:fldChar w:fldCharType="end"/>
      </w:r>
      <w:r w:rsidR="009151F4" w:rsidRPr="00DF6F1A">
        <w:rPr>
          <w:lang w:val="en-GB"/>
        </w:rPr>
        <w:t>.</w:t>
      </w:r>
      <w:r w:rsidR="00530B8D" w:rsidRPr="00DF6F1A">
        <w:rPr>
          <w:lang w:val="en-GB"/>
        </w:rPr>
        <w:t xml:space="preserve"> T</w:t>
      </w:r>
      <w:r w:rsidR="00BF4FA2" w:rsidRPr="00DF6F1A">
        <w:rPr>
          <w:lang w:val="en-GB"/>
        </w:rPr>
        <w:t>o validate the system level performance, t</w:t>
      </w:r>
      <w:r w:rsidR="00530B8D" w:rsidRPr="00DF6F1A">
        <w:rPr>
          <w:lang w:val="en-GB"/>
        </w:rPr>
        <w:t xml:space="preserve">he leading candidate </w:t>
      </w:r>
      <w:r w:rsidR="00300035" w:rsidRPr="00DF6F1A">
        <w:rPr>
          <w:lang w:val="en-GB"/>
        </w:rPr>
        <w:t>needs to be tested under controlled solar irradiation and realistic thermal cycling</w:t>
      </w:r>
      <w:r w:rsidR="002516A1" w:rsidRPr="00DF6F1A">
        <w:rPr>
          <w:lang w:val="en-GB"/>
        </w:rPr>
        <w:t xml:space="preserve"> to compare between the PV back-sheet temperature, PCM melt fraction, stored/released heat, electrical efficiency, and thermal output against a </w:t>
      </w:r>
      <w:r w:rsidR="00B85C7C" w:rsidRPr="00DF6F1A">
        <w:rPr>
          <w:lang w:val="en-GB"/>
        </w:rPr>
        <w:t>PV panel without any PCM</w:t>
      </w:r>
      <w:r w:rsidR="00021B29">
        <w:rPr>
          <w:lang w:val="en-GB"/>
        </w:rPr>
        <w:fldChar w:fldCharType="begin"/>
      </w:r>
      <w:r w:rsidR="006F05B4">
        <w:rPr>
          <w:lang w:val="en-GB"/>
        </w:rPr>
        <w:instrText xml:space="preserve"> ADDIN EN.CITE &lt;EndNote&gt;&lt;Cite&gt;&lt;Author&gt;Rajamony&lt;/Author&gt;&lt;Year&gt;2024&lt;/Year&gt;&lt;RecNum&gt;22&lt;/RecNum&gt;&lt;DisplayText&gt;[15]&lt;/DisplayText&gt;&lt;record&gt;&lt;rec-number&gt;22&lt;/rec-number&gt;&lt;foreign-keys&gt;&lt;key app="EN" db-id="xdrrrdze45p5vjerrfl5p5xkv0t9pd0ez5fd" timestamp="1765990199"&gt;22&lt;/key&gt;&lt;/foreign-keys&gt;&lt;ref-type name="Journal Article"&gt;17&lt;/ref-type&gt;&lt;contributors&gt;&lt;authors&gt;&lt;author&gt;Rajamony, Reji Kumar&lt;/author&gt;&lt;author&gt;B, Kalidasan&lt;/author&gt;&lt;author&gt;Lagari, Imtiaz Ali&lt;/author&gt;&lt;author&gt;Paw, Johnny Koh Siaw&lt;/author&gt;&lt;author&gt;Sofiah, A. G. N.&lt;/author&gt;&lt;author&gt;Suraparaju, Subbarama Kousik&lt;/author&gt;&lt;author&gt;Pandey, A. K.&lt;/author&gt;&lt;author&gt;Samykano, M.&lt;/author&gt;&lt;author&gt;Soudagar, Manzoore Elahi M.&lt;/author&gt;&lt;author&gt;Khan, T. M. Yunus&lt;/author&gt;&lt;/authors&gt;&lt;/contributors&gt;&lt;titles&gt;&lt;title&gt;Progress in research and technological developments of phase change materials integrated photovoltaic thermal systems: The allied problems and their mitigation strategies&lt;/title&gt;&lt;secondary-title&gt;Sustainable Materials and Technologies&lt;/secondary-title&gt;&lt;/titles&gt;&lt;periodical&gt;&lt;full-title&gt;Sustainable Materials and Technologies&lt;/full-title&gt;&lt;/periodical&gt;&lt;pages&gt;e00921&lt;/pages&gt;&lt;volume&gt;40&lt;/volume&gt;&lt;keywords&gt;&lt;keyword&gt;Photovoltaic&lt;/keyword&gt;&lt;keyword&gt;Soil mitigation&lt;/keyword&gt;&lt;keyword&gt;Photovoltaic thermal&lt;/keyword&gt;&lt;keyword&gt;Energy&lt;/keyword&gt;&lt;keyword&gt;Economic&lt;/keyword&gt;&lt;/keywords&gt;&lt;dates&gt;&lt;year&gt;2024&lt;/year&gt;&lt;pub-dates&gt;&lt;date&gt;2024/07/01/&lt;/date&gt;&lt;/pub-dates&gt;&lt;/dates&gt;&lt;isbn&gt;2214-9937&lt;/isbn&gt;&lt;urls&gt;&lt;related-urls&gt;&lt;url&gt;https://www.sciencedirect.com/science/article/pii/S2214993724001015&lt;/url&gt;&lt;/related-urls&gt;&lt;/urls&gt;&lt;electronic-resource-num&gt;https://doi.org/10.1016/j.susmat.2024.e00921&lt;/electronic-resource-num&gt;&lt;/record&gt;&lt;/Cite&gt;&lt;/EndNote&gt;</w:instrText>
      </w:r>
      <w:r w:rsidR="00021B29">
        <w:rPr>
          <w:lang w:val="en-GB"/>
        </w:rPr>
        <w:fldChar w:fldCharType="separate"/>
      </w:r>
      <w:r w:rsidR="006F05B4">
        <w:rPr>
          <w:noProof/>
          <w:lang w:val="en-GB"/>
        </w:rPr>
        <w:t>[15]</w:t>
      </w:r>
      <w:r w:rsidR="00021B29">
        <w:rPr>
          <w:lang w:val="en-GB"/>
        </w:rPr>
        <w:fldChar w:fldCharType="end"/>
      </w:r>
      <w:r w:rsidR="002516A1" w:rsidRPr="00DF6F1A">
        <w:rPr>
          <w:lang w:val="en-GB"/>
        </w:rPr>
        <w:t>.</w:t>
      </w:r>
      <w:r w:rsidR="00B85C7C" w:rsidRPr="00DF6F1A">
        <w:rPr>
          <w:lang w:val="en-GB"/>
        </w:rPr>
        <w:t xml:space="preserve"> This will determine whether the thermal advantage predicted by DSC translates into meaningful PV/T performance.</w:t>
      </w:r>
      <w:r w:rsidR="00DF6F1A" w:rsidRPr="00DF6F1A">
        <w:rPr>
          <w:lang w:val="en-GB"/>
        </w:rPr>
        <w:t xml:space="preserve"> A promising future design may combine a near-eutectic PCM such as panel e, for rapid temperature stabilisation with a broader multi-transition PCM such as panel c, for extended storage over higher temperatures. This could provide both a defined temperature</w:t>
      </w:r>
      <w:r w:rsidR="00C30F9C">
        <w:rPr>
          <w:lang w:val="en-GB"/>
        </w:rPr>
        <w:t xml:space="preserve"> </w:t>
      </w:r>
      <w:r w:rsidR="00DF6F1A" w:rsidRPr="00DF6F1A">
        <w:rPr>
          <w:lang w:val="en-GB"/>
        </w:rPr>
        <w:t>control function and a wider thermal</w:t>
      </w:r>
      <w:r w:rsidR="00C30F9C">
        <w:rPr>
          <w:lang w:val="en-GB"/>
        </w:rPr>
        <w:t xml:space="preserve"> </w:t>
      </w:r>
      <w:r w:rsidR="00DF6F1A" w:rsidRPr="00DF6F1A">
        <w:rPr>
          <w:lang w:val="en-GB"/>
        </w:rPr>
        <w:t>buffering capacity.</w:t>
      </w:r>
    </w:p>
    <w:p w14:paraId="5662C3E9" w14:textId="4344720A" w:rsidR="00312E73" w:rsidRPr="00DF6F1A" w:rsidRDefault="00312E73" w:rsidP="005D2DBE">
      <w:pPr>
        <w:pStyle w:val="SWCHeading1"/>
        <w:rPr>
          <w:lang w:val="en-GB"/>
        </w:rPr>
      </w:pPr>
      <w:r w:rsidRPr="00DF6F1A">
        <w:rPr>
          <w:lang w:val="en-GB"/>
        </w:rPr>
        <w:t>Conclusion</w:t>
      </w:r>
    </w:p>
    <w:p w14:paraId="4645827A" w14:textId="77777777" w:rsidR="006F6C0D" w:rsidRDefault="006F6C0D" w:rsidP="0092651F">
      <w:pPr>
        <w:jc w:val="both"/>
        <w:rPr>
          <w:sz w:val="20"/>
          <w:szCs w:val="20"/>
        </w:rPr>
      </w:pPr>
    </w:p>
    <w:p w14:paraId="753AE820" w14:textId="0C662927" w:rsidR="00D76F1B" w:rsidRDefault="00BA23E0" w:rsidP="0092651F">
      <w:pPr>
        <w:jc w:val="both"/>
        <w:rPr>
          <w:sz w:val="20"/>
          <w:szCs w:val="20"/>
        </w:rPr>
      </w:pPr>
      <w:r w:rsidRPr="00DF6F1A">
        <w:rPr>
          <w:sz w:val="20"/>
          <w:szCs w:val="20"/>
        </w:rPr>
        <w:t>I</w:t>
      </w:r>
      <w:r w:rsidR="00635C7C" w:rsidRPr="00DF6F1A">
        <w:rPr>
          <w:sz w:val="20"/>
          <w:szCs w:val="20"/>
        </w:rPr>
        <w:t>t can be concluded</w:t>
      </w:r>
      <w:r w:rsidR="00E94BBD" w:rsidRPr="00DF6F1A">
        <w:rPr>
          <w:sz w:val="20"/>
          <w:szCs w:val="20"/>
        </w:rPr>
        <w:t xml:space="preserve"> that </w:t>
      </w:r>
      <w:r w:rsidR="00635C7C" w:rsidRPr="00DF6F1A">
        <w:rPr>
          <w:sz w:val="20"/>
          <w:szCs w:val="20"/>
        </w:rPr>
        <w:t>e</w:t>
      </w:r>
      <w:r w:rsidR="00D76F1B" w:rsidRPr="00DF6F1A">
        <w:rPr>
          <w:sz w:val="20"/>
          <w:szCs w:val="20"/>
        </w:rPr>
        <w:t xml:space="preserve">xperimental high‑throughput infrared thermographic screening enables </w:t>
      </w:r>
      <w:r w:rsidR="003956A3" w:rsidRPr="00DF6F1A">
        <w:rPr>
          <w:sz w:val="20"/>
          <w:szCs w:val="20"/>
        </w:rPr>
        <w:t xml:space="preserve">a </w:t>
      </w:r>
      <w:r w:rsidR="00D76F1B" w:rsidRPr="00DF6F1A">
        <w:rPr>
          <w:sz w:val="20"/>
          <w:szCs w:val="20"/>
        </w:rPr>
        <w:t>rapid construction of fatty acid</w:t>
      </w:r>
      <w:r w:rsidR="006B142D">
        <w:rPr>
          <w:sz w:val="20"/>
          <w:szCs w:val="20"/>
        </w:rPr>
        <w:t>-</w:t>
      </w:r>
      <w:r w:rsidR="00D76F1B" w:rsidRPr="00DF6F1A">
        <w:rPr>
          <w:sz w:val="20"/>
          <w:szCs w:val="20"/>
        </w:rPr>
        <w:t xml:space="preserve">fatty alcohol binary phase diagrams and efficient identification of eutectic PCMs tailored to solar PV/T operating conditions. By combining </w:t>
      </w:r>
      <w:r w:rsidR="001456B3" w:rsidRPr="00DF6F1A">
        <w:rPr>
          <w:sz w:val="20"/>
          <w:szCs w:val="20"/>
        </w:rPr>
        <w:t xml:space="preserve">this </w:t>
      </w:r>
      <w:r w:rsidR="00D76F1B" w:rsidRPr="00DF6F1A">
        <w:rPr>
          <w:sz w:val="20"/>
          <w:szCs w:val="20"/>
        </w:rPr>
        <w:t>fast</w:t>
      </w:r>
      <w:r w:rsidR="003956A3" w:rsidRPr="00DF6F1A">
        <w:rPr>
          <w:sz w:val="20"/>
          <w:szCs w:val="20"/>
        </w:rPr>
        <w:t xml:space="preserve"> preliminary </w:t>
      </w:r>
      <w:r w:rsidR="00D76F1B" w:rsidRPr="00DF6F1A">
        <w:rPr>
          <w:sz w:val="20"/>
          <w:szCs w:val="20"/>
        </w:rPr>
        <w:t xml:space="preserve">phase boundary detection with targeted DSC validation, the approach provides a powerful workflow for narrowing down composition spaces, </w:t>
      </w:r>
      <w:r w:rsidR="006D3273" w:rsidRPr="00DF6F1A">
        <w:rPr>
          <w:sz w:val="20"/>
          <w:szCs w:val="20"/>
        </w:rPr>
        <w:t xml:space="preserve">while </w:t>
      </w:r>
      <w:r w:rsidR="00D76F1B" w:rsidRPr="00DF6F1A">
        <w:rPr>
          <w:sz w:val="20"/>
          <w:szCs w:val="20"/>
        </w:rPr>
        <w:t>shortening development time and focusing detailed testing on the most promising bio‑based PCMs for solar energy applications.</w:t>
      </w:r>
    </w:p>
    <w:p w14:paraId="1B2D2743" w14:textId="77777777" w:rsidR="007B2A42" w:rsidRDefault="007B2A42" w:rsidP="0092651F">
      <w:pPr>
        <w:jc w:val="both"/>
        <w:rPr>
          <w:sz w:val="20"/>
          <w:szCs w:val="20"/>
        </w:rPr>
      </w:pPr>
    </w:p>
    <w:p w14:paraId="32B4780C" w14:textId="403D0717" w:rsidR="00A732A7" w:rsidRDefault="00786B8D" w:rsidP="00113157">
      <w:pPr>
        <w:pStyle w:val="SWCHeading1"/>
      </w:pPr>
      <w:r>
        <w:t>Acknowledgements</w:t>
      </w:r>
    </w:p>
    <w:p w14:paraId="0EAFDBFD" w14:textId="1CA14B58" w:rsidR="007B2A42" w:rsidRDefault="007B2A42" w:rsidP="007B2A42">
      <w:pPr>
        <w:jc w:val="both"/>
        <w:rPr>
          <w:sz w:val="20"/>
          <w:szCs w:val="20"/>
        </w:rPr>
      </w:pPr>
      <w:r w:rsidRPr="007B2A42">
        <w:rPr>
          <w:sz w:val="20"/>
          <w:szCs w:val="20"/>
        </w:rPr>
        <w:t xml:space="preserve">The authors </w:t>
      </w:r>
      <w:r w:rsidR="00786B8D">
        <w:rPr>
          <w:sz w:val="20"/>
          <w:szCs w:val="20"/>
        </w:rPr>
        <w:t>thank</w:t>
      </w:r>
      <w:r w:rsidRPr="007B2A42">
        <w:rPr>
          <w:sz w:val="20"/>
          <w:szCs w:val="20"/>
        </w:rPr>
        <w:t xml:space="preserve"> Edinburgh Napier University Doctoral College for the studentship funding and the SCEBE laboratory staff for their support. </w:t>
      </w:r>
      <w:r w:rsidR="009F2B15" w:rsidRPr="009F2B15">
        <w:rPr>
          <w:sz w:val="20"/>
          <w:szCs w:val="20"/>
        </w:rPr>
        <w:t>Appreciation is also extended to Universities UK for support via the UK</w:t>
      </w:r>
      <w:r w:rsidR="009F2B15">
        <w:rPr>
          <w:sz w:val="20"/>
          <w:szCs w:val="20"/>
        </w:rPr>
        <w:t>-</w:t>
      </w:r>
      <w:r w:rsidR="009F2B15" w:rsidRPr="009F2B15">
        <w:rPr>
          <w:sz w:val="20"/>
          <w:szCs w:val="20"/>
        </w:rPr>
        <w:t>France Science Innovation and Technology Researcher Mobility Scheme (#1112).</w:t>
      </w:r>
      <w:r w:rsidR="00EB6949">
        <w:rPr>
          <w:sz w:val="20"/>
          <w:szCs w:val="20"/>
        </w:rPr>
        <w:t xml:space="preserve"> </w:t>
      </w:r>
      <w:r w:rsidRPr="007B2A42">
        <w:rPr>
          <w:sz w:val="20"/>
          <w:szCs w:val="20"/>
        </w:rPr>
        <w:t>Funding from The Royal Society (UK) through the ISPF International Collaboration Awards 2024 (ICAO\R1\241065, TERRA) and the International Exchanges 2023 scheme (IES\R2\232241) is thankfully recogni</w:t>
      </w:r>
      <w:r w:rsidR="00113157">
        <w:rPr>
          <w:sz w:val="20"/>
          <w:szCs w:val="20"/>
        </w:rPr>
        <w:t>s</w:t>
      </w:r>
      <w:r w:rsidRPr="007B2A42">
        <w:rPr>
          <w:sz w:val="20"/>
          <w:szCs w:val="20"/>
        </w:rPr>
        <w:t xml:space="preserve">ed. </w:t>
      </w:r>
    </w:p>
    <w:p w14:paraId="40C0E9D1" w14:textId="77777777" w:rsidR="00A732A7" w:rsidRPr="007B2A42" w:rsidRDefault="00A732A7" w:rsidP="007B2A42">
      <w:pPr>
        <w:jc w:val="both"/>
        <w:rPr>
          <w:sz w:val="20"/>
          <w:szCs w:val="20"/>
        </w:rPr>
      </w:pPr>
    </w:p>
    <w:p w14:paraId="0D938E0E" w14:textId="7C1D3258" w:rsidR="00A732A7" w:rsidRPr="00A732A7" w:rsidRDefault="007B2A42" w:rsidP="00113157">
      <w:pPr>
        <w:pStyle w:val="SWCHeading1"/>
      </w:pPr>
      <w:r w:rsidRPr="00A732A7">
        <w:t>Disclosure of Interests</w:t>
      </w:r>
    </w:p>
    <w:p w14:paraId="6D052866" w14:textId="626DFDA3" w:rsidR="00CB3C87" w:rsidRPr="00A732A7" w:rsidRDefault="007B2A42" w:rsidP="0092651F">
      <w:pPr>
        <w:jc w:val="both"/>
        <w:rPr>
          <w:sz w:val="20"/>
          <w:szCs w:val="20"/>
        </w:rPr>
      </w:pPr>
      <w:r w:rsidRPr="007B2A42">
        <w:rPr>
          <w:sz w:val="20"/>
          <w:szCs w:val="20"/>
        </w:rPr>
        <w:t>The authors have no competing interests to declare that are relevant to the content of this article.</w:t>
      </w:r>
    </w:p>
    <w:p w14:paraId="3AFF5465" w14:textId="79671261" w:rsidR="00312E73" w:rsidRPr="00DF6F1A" w:rsidRDefault="00312E73" w:rsidP="00312E73">
      <w:pPr>
        <w:pStyle w:val="SWCHeading1"/>
        <w:rPr>
          <w:lang w:val="en-GB"/>
        </w:rPr>
      </w:pPr>
      <w:r w:rsidRPr="00DF6F1A">
        <w:rPr>
          <w:lang w:val="en-GB"/>
        </w:rPr>
        <w:t>References</w:t>
      </w:r>
    </w:p>
    <w:p w14:paraId="0792C424" w14:textId="77777777" w:rsidR="00081816" w:rsidRPr="00DF6F1A" w:rsidRDefault="00081816" w:rsidP="00692D7F">
      <w:pPr>
        <w:spacing w:before="120"/>
        <w:jc w:val="both"/>
        <w:rPr>
          <w:sz w:val="20"/>
          <w:szCs w:val="20"/>
        </w:rPr>
      </w:pPr>
    </w:p>
    <w:p w14:paraId="011A832B" w14:textId="77777777" w:rsidR="006F05B4" w:rsidRPr="006F05B4" w:rsidRDefault="00C21821" w:rsidP="006F05B4">
      <w:pPr>
        <w:pStyle w:val="EndNoteBibliography"/>
        <w:ind w:left="720" w:hanging="720"/>
      </w:pPr>
      <w:r w:rsidRPr="00DF6F1A">
        <w:rPr>
          <w:noProof w:val="0"/>
        </w:rPr>
        <w:fldChar w:fldCharType="begin"/>
      </w:r>
      <w:r w:rsidRPr="00DF6F1A">
        <w:rPr>
          <w:noProof w:val="0"/>
        </w:rPr>
        <w:instrText xml:space="preserve"> ADDIN EN.REFLIST </w:instrText>
      </w:r>
      <w:r w:rsidRPr="00DF6F1A">
        <w:rPr>
          <w:noProof w:val="0"/>
        </w:rPr>
        <w:fldChar w:fldCharType="separate"/>
      </w:r>
      <w:r w:rsidR="006F05B4" w:rsidRPr="006F05B4">
        <w:t>1.</w:t>
      </w:r>
      <w:r w:rsidR="006F05B4" w:rsidRPr="006F05B4">
        <w:tab/>
        <w:t xml:space="preserve">Liu, J., et al., </w:t>
      </w:r>
      <w:r w:rsidR="006F05B4" w:rsidRPr="006F05B4">
        <w:rPr>
          <w:i/>
        </w:rPr>
        <w:t>Preparation and Energy Storage Properties of a Lauric acid/Octadecanol Eutectic Mixture.</w:t>
      </w:r>
      <w:r w:rsidR="006F05B4" w:rsidRPr="006F05B4">
        <w:t xml:space="preserve"> ACS Omega, 2021. </w:t>
      </w:r>
      <w:r w:rsidR="006F05B4" w:rsidRPr="006F05B4">
        <w:rPr>
          <w:b/>
        </w:rPr>
        <w:t>6</w:t>
      </w:r>
      <w:r w:rsidR="006F05B4" w:rsidRPr="006F05B4">
        <w:t>(36): p. 23542–23550.</w:t>
      </w:r>
    </w:p>
    <w:p w14:paraId="79FF3BEA" w14:textId="77777777" w:rsidR="006F05B4" w:rsidRPr="006F05B4" w:rsidRDefault="006F05B4" w:rsidP="006F05B4">
      <w:pPr>
        <w:pStyle w:val="EndNoteBibliography"/>
        <w:ind w:left="720" w:hanging="720"/>
      </w:pPr>
      <w:r w:rsidRPr="006F05B4">
        <w:t>2.</w:t>
      </w:r>
      <w:r w:rsidRPr="006F05B4">
        <w:tab/>
        <w:t xml:space="preserve">Sun, M., et al., </w:t>
      </w:r>
      <w:r w:rsidRPr="006F05B4">
        <w:rPr>
          <w:i/>
        </w:rPr>
        <w:t>A review on thermal energy storage with eutectic phase change materials: Fundamentals and applications.</w:t>
      </w:r>
      <w:r w:rsidRPr="006F05B4">
        <w:t xml:space="preserve"> Journal of Energy Storage, 2023. </w:t>
      </w:r>
      <w:r w:rsidRPr="006F05B4">
        <w:rPr>
          <w:b/>
        </w:rPr>
        <w:t>68</w:t>
      </w:r>
      <w:r w:rsidRPr="006F05B4">
        <w:t>: p. 107713.</w:t>
      </w:r>
    </w:p>
    <w:p w14:paraId="5C3BDB65" w14:textId="77777777" w:rsidR="006F05B4" w:rsidRPr="006F05B4" w:rsidRDefault="006F05B4" w:rsidP="006F05B4">
      <w:pPr>
        <w:pStyle w:val="EndNoteBibliography"/>
        <w:ind w:left="720" w:hanging="720"/>
      </w:pPr>
      <w:r w:rsidRPr="006F05B4">
        <w:t>3.</w:t>
      </w:r>
      <w:r w:rsidRPr="006F05B4">
        <w:tab/>
        <w:t xml:space="preserve">Kauranen, P., K. Peippo, and P.D. Lund, </w:t>
      </w:r>
      <w:r w:rsidRPr="006F05B4">
        <w:rPr>
          <w:i/>
        </w:rPr>
        <w:t>An organic PCM storage system with adjustable melting temperature.</w:t>
      </w:r>
      <w:r w:rsidRPr="006F05B4">
        <w:t xml:space="preserve"> Solar Energy, 1991. </w:t>
      </w:r>
      <w:r w:rsidRPr="006F05B4">
        <w:rPr>
          <w:b/>
        </w:rPr>
        <w:t>46</w:t>
      </w:r>
      <w:r w:rsidRPr="006F05B4">
        <w:t>(5): p. 275–278.</w:t>
      </w:r>
    </w:p>
    <w:p w14:paraId="4503E0EA" w14:textId="77777777" w:rsidR="006F05B4" w:rsidRPr="006F05B4" w:rsidRDefault="006F05B4" w:rsidP="006F05B4">
      <w:pPr>
        <w:pStyle w:val="EndNoteBibliography"/>
        <w:ind w:left="720" w:hanging="720"/>
      </w:pPr>
      <w:r w:rsidRPr="006F05B4">
        <w:t>4.</w:t>
      </w:r>
      <w:r w:rsidRPr="006F05B4">
        <w:tab/>
        <w:t xml:space="preserve">Mailhé, C., F. Achchaq, and M. Duquesne, </w:t>
      </w:r>
      <w:r w:rsidRPr="006F05B4">
        <w:rPr>
          <w:i/>
        </w:rPr>
        <w:t>Applications of an infrared thermography method for solid-liquid equilibria modeling of organic binary systems.</w:t>
      </w:r>
      <w:r w:rsidRPr="006F05B4">
        <w:t xml:space="preserve"> Thermochimica Acta, 2020. </w:t>
      </w:r>
      <w:r w:rsidRPr="006F05B4">
        <w:rPr>
          <w:b/>
        </w:rPr>
        <w:t>687</w:t>
      </w:r>
      <w:r w:rsidRPr="006F05B4">
        <w:t>: p. 178580.</w:t>
      </w:r>
    </w:p>
    <w:p w14:paraId="6A7B5FE3" w14:textId="77777777" w:rsidR="006F05B4" w:rsidRPr="006F05B4" w:rsidRDefault="006F05B4" w:rsidP="006F05B4">
      <w:pPr>
        <w:pStyle w:val="EndNoteBibliography"/>
        <w:ind w:left="720" w:hanging="720"/>
      </w:pPr>
      <w:r w:rsidRPr="006F05B4">
        <w:t>5.</w:t>
      </w:r>
      <w:r w:rsidRPr="006F05B4">
        <w:tab/>
        <w:t xml:space="preserve">Mailhé, C., et al., </w:t>
      </w:r>
      <w:r w:rsidRPr="006F05B4">
        <w:rPr>
          <w:i/>
        </w:rPr>
        <w:t>Improved infrared thermography method for fast estimation of complex phase diagrams.</w:t>
      </w:r>
      <w:r w:rsidRPr="006F05B4">
        <w:t xml:space="preserve"> Thermochimica Acta, 2019. </w:t>
      </w:r>
      <w:r w:rsidRPr="006F05B4">
        <w:rPr>
          <w:b/>
        </w:rPr>
        <w:t>675</w:t>
      </w:r>
      <w:r w:rsidRPr="006F05B4">
        <w:t>: p. 84–91.</w:t>
      </w:r>
    </w:p>
    <w:p w14:paraId="02CE6B18" w14:textId="77777777" w:rsidR="006F05B4" w:rsidRPr="006F05B4" w:rsidRDefault="006F05B4" w:rsidP="006F05B4">
      <w:pPr>
        <w:pStyle w:val="EndNoteBibliography"/>
        <w:ind w:left="720" w:hanging="720"/>
      </w:pPr>
      <w:r w:rsidRPr="006F05B4">
        <w:lastRenderedPageBreak/>
        <w:t>6.</w:t>
      </w:r>
      <w:r w:rsidRPr="006F05B4">
        <w:tab/>
        <w:t xml:space="preserve">Palomo Del Barrio, E., et al., </w:t>
      </w:r>
      <w:r w:rsidRPr="006F05B4">
        <w:rPr>
          <w:i/>
        </w:rPr>
        <w:t>Infrared thermography method for fast estimation of phase diagrams.</w:t>
      </w:r>
      <w:r w:rsidRPr="006F05B4">
        <w:t xml:space="preserve"> Thermochimica Acta, 2016. </w:t>
      </w:r>
      <w:r w:rsidRPr="006F05B4">
        <w:rPr>
          <w:b/>
        </w:rPr>
        <w:t>625</w:t>
      </w:r>
      <w:r w:rsidRPr="006F05B4">
        <w:t>: p. 9–19.</w:t>
      </w:r>
    </w:p>
    <w:p w14:paraId="2A85C735" w14:textId="77777777" w:rsidR="006F05B4" w:rsidRPr="006F05B4" w:rsidRDefault="006F05B4" w:rsidP="006F05B4">
      <w:pPr>
        <w:pStyle w:val="EndNoteBibliography"/>
        <w:ind w:left="720" w:hanging="720"/>
      </w:pPr>
      <w:r w:rsidRPr="006F05B4">
        <w:t>7.</w:t>
      </w:r>
      <w:r w:rsidRPr="006F05B4">
        <w:tab/>
        <w:t xml:space="preserve">Mailhé, C., et al. </w:t>
      </w:r>
      <w:r w:rsidRPr="006F05B4">
        <w:rPr>
          <w:i/>
        </w:rPr>
        <w:t>On the Use of Infrared Thermography for the Estimation of Melting Enthalpy</w:t>
      </w:r>
      <w:r w:rsidRPr="006F05B4">
        <w:t xml:space="preserve">. Applied Sciences, 2021. </w:t>
      </w:r>
      <w:r w:rsidRPr="006F05B4">
        <w:rPr>
          <w:b/>
        </w:rPr>
        <w:t>11</w:t>
      </w:r>
      <w:r w:rsidRPr="006F05B4">
        <w:t>, 5915 DOI: 10.3390/app11135915.</w:t>
      </w:r>
    </w:p>
    <w:p w14:paraId="63136F36" w14:textId="77777777" w:rsidR="006F05B4" w:rsidRPr="006F05B4" w:rsidRDefault="006F05B4" w:rsidP="006F05B4">
      <w:pPr>
        <w:pStyle w:val="EndNoteBibliography"/>
        <w:ind w:left="720" w:hanging="720"/>
      </w:pPr>
      <w:r w:rsidRPr="006F05B4">
        <w:t>8.</w:t>
      </w:r>
      <w:r w:rsidRPr="006F05B4">
        <w:tab/>
        <w:t xml:space="preserve">Mailhé, C., et al., </w:t>
      </w:r>
      <w:r w:rsidRPr="006F05B4">
        <w:rPr>
          <w:i/>
        </w:rPr>
        <w:t>High-throughput experiment for the rapid screening of organic phase change materials.</w:t>
      </w:r>
      <w:r w:rsidRPr="006F05B4">
        <w:t xml:space="preserve"> Journal of Thermal Analysis and Calorimetry, 2022. </w:t>
      </w:r>
      <w:r w:rsidRPr="006F05B4">
        <w:rPr>
          <w:b/>
        </w:rPr>
        <w:t>147</w:t>
      </w:r>
      <w:r w:rsidRPr="006F05B4">
        <w:t>(15): p. 8137–8143.</w:t>
      </w:r>
    </w:p>
    <w:p w14:paraId="027B6542" w14:textId="77777777" w:rsidR="006F05B4" w:rsidRPr="006F05B4" w:rsidRDefault="006F05B4" w:rsidP="006F05B4">
      <w:pPr>
        <w:pStyle w:val="EndNoteBibliography"/>
        <w:ind w:left="720" w:hanging="720"/>
      </w:pPr>
      <w:r w:rsidRPr="006F05B4">
        <w:t>9.</w:t>
      </w:r>
      <w:r w:rsidRPr="006F05B4">
        <w:tab/>
        <w:t xml:space="preserve">Mailhé, C., et al., </w:t>
      </w:r>
      <w:r w:rsidRPr="006F05B4">
        <w:rPr>
          <w:i/>
        </w:rPr>
        <w:t>On the Use of Infrared Thermography for the Estimation of Melting Enthalpy.</w:t>
      </w:r>
      <w:r w:rsidRPr="006F05B4">
        <w:t xml:space="preserve"> Applied Sciences, 2021. </w:t>
      </w:r>
      <w:r w:rsidRPr="006F05B4">
        <w:rPr>
          <w:b/>
        </w:rPr>
        <w:t>11</w:t>
      </w:r>
      <w:r w:rsidRPr="006F05B4">
        <w:t>(13): p. 5915.</w:t>
      </w:r>
    </w:p>
    <w:p w14:paraId="32D5D293" w14:textId="77777777" w:rsidR="006F05B4" w:rsidRPr="006F05B4" w:rsidRDefault="006F05B4" w:rsidP="006F05B4">
      <w:pPr>
        <w:pStyle w:val="EndNoteBibliography"/>
        <w:ind w:left="720" w:hanging="720"/>
      </w:pPr>
      <w:r w:rsidRPr="006F05B4">
        <w:t>10.</w:t>
      </w:r>
      <w:r w:rsidRPr="006F05B4">
        <w:tab/>
        <w:t xml:space="preserve">Hobi Bordón Sosa, F., et al., </w:t>
      </w:r>
      <w:r w:rsidRPr="006F05B4">
        <w:rPr>
          <w:i/>
        </w:rPr>
        <w:t>Solid–Liquid Equilibrium of Binary Systems Containing Fatty Acids and Fatty Alcohols Using Differential Scanning Calorimetry.</w:t>
      </w:r>
      <w:r w:rsidRPr="006F05B4">
        <w:t xml:space="preserve"> Journal of Chemical &amp; Engineering Data, 2019. </w:t>
      </w:r>
      <w:r w:rsidRPr="006F05B4">
        <w:rPr>
          <w:b/>
        </w:rPr>
        <w:t>64</w:t>
      </w:r>
      <w:r w:rsidRPr="006F05B4">
        <w:t>(12): p. 5017–5027.</w:t>
      </w:r>
    </w:p>
    <w:p w14:paraId="44AFF2DA" w14:textId="77777777" w:rsidR="006F05B4" w:rsidRPr="006F05B4" w:rsidRDefault="006F05B4" w:rsidP="006F05B4">
      <w:pPr>
        <w:pStyle w:val="EndNoteBibliography"/>
        <w:ind w:left="720" w:hanging="720"/>
      </w:pPr>
      <w:r w:rsidRPr="006F05B4">
        <w:t>11.</w:t>
      </w:r>
      <w:r w:rsidRPr="006F05B4">
        <w:tab/>
        <w:t xml:space="preserve">Rathod, M.K.K., </w:t>
      </w:r>
      <w:r w:rsidRPr="006F05B4">
        <w:rPr>
          <w:i/>
        </w:rPr>
        <w:t>Thermal Stability of Phase Change Material</w:t>
      </w:r>
      <w:r w:rsidRPr="006F05B4">
        <w:t xml:space="preserve">, in </w:t>
      </w:r>
      <w:r w:rsidRPr="006F05B4">
        <w:rPr>
          <w:i/>
        </w:rPr>
        <w:t>Phase Change Materials and Their Applications</w:t>
      </w:r>
      <w:r w:rsidRPr="006F05B4">
        <w:t>, M. Mhadhbi, Editor. 2018, IntechOpen: London.</w:t>
      </w:r>
    </w:p>
    <w:p w14:paraId="5716C077" w14:textId="77777777" w:rsidR="006F05B4" w:rsidRPr="006F05B4" w:rsidRDefault="006F05B4" w:rsidP="006F05B4">
      <w:pPr>
        <w:pStyle w:val="EndNoteBibliography"/>
        <w:ind w:left="720" w:hanging="720"/>
      </w:pPr>
      <w:r w:rsidRPr="006F05B4">
        <w:t>12.</w:t>
      </w:r>
      <w:r w:rsidRPr="006F05B4">
        <w:tab/>
        <w:t xml:space="preserve">Tyagi, V.V., et al., </w:t>
      </w:r>
      <w:r w:rsidRPr="006F05B4">
        <w:rPr>
          <w:i/>
        </w:rPr>
        <w:t>A comprehensive review on phase change materials for heat storage applications: Development, characterization, thermal and chemical stability.</w:t>
      </w:r>
      <w:r w:rsidRPr="006F05B4">
        <w:t xml:space="preserve"> Solar Energy Materials and Solar Cells, 2022. </w:t>
      </w:r>
      <w:r w:rsidRPr="006F05B4">
        <w:rPr>
          <w:b/>
        </w:rPr>
        <w:t>234</w:t>
      </w:r>
      <w:r w:rsidRPr="006F05B4">
        <w:t>: p. 111392.</w:t>
      </w:r>
    </w:p>
    <w:p w14:paraId="6FA39905" w14:textId="77777777" w:rsidR="006F05B4" w:rsidRPr="006F05B4" w:rsidRDefault="006F05B4" w:rsidP="006F05B4">
      <w:pPr>
        <w:pStyle w:val="EndNoteBibliography"/>
        <w:ind w:left="720" w:hanging="720"/>
      </w:pPr>
      <w:r w:rsidRPr="006F05B4">
        <w:t>13.</w:t>
      </w:r>
      <w:r w:rsidRPr="006F05B4">
        <w:tab/>
        <w:t xml:space="preserve">Prasetyo, S.D., A.R. Prabowo, and Z. Arifin, </w:t>
      </w:r>
      <w:r w:rsidRPr="006F05B4">
        <w:rPr>
          <w:i/>
        </w:rPr>
        <w:t>The use of a hybrid photovoltaic/thermal (PV/T) collector system as a sustainable energy-harvest instrument in urban technology.</w:t>
      </w:r>
      <w:r w:rsidRPr="006F05B4">
        <w:t xml:space="preserve"> Heliyon, 2023. </w:t>
      </w:r>
      <w:r w:rsidRPr="006F05B4">
        <w:rPr>
          <w:b/>
        </w:rPr>
        <w:t>9</w:t>
      </w:r>
      <w:r w:rsidRPr="006F05B4">
        <w:t>(2): p. e13390.</w:t>
      </w:r>
    </w:p>
    <w:p w14:paraId="3058532D" w14:textId="77777777" w:rsidR="006F05B4" w:rsidRPr="006F05B4" w:rsidRDefault="006F05B4" w:rsidP="006F05B4">
      <w:pPr>
        <w:pStyle w:val="EndNoteBibliography"/>
        <w:ind w:left="720" w:hanging="720"/>
      </w:pPr>
      <w:r w:rsidRPr="006F05B4">
        <w:t>14.</w:t>
      </w:r>
      <w:r w:rsidRPr="006F05B4">
        <w:tab/>
        <w:t xml:space="preserve">Trigui, A., </w:t>
      </w:r>
      <w:r w:rsidRPr="006F05B4">
        <w:rPr>
          <w:i/>
        </w:rPr>
        <w:t>Techniques for the Thermal Analysis of PCM</w:t>
      </w:r>
      <w:r w:rsidRPr="006F05B4">
        <w:t xml:space="preserve">, in </w:t>
      </w:r>
      <w:r w:rsidRPr="006F05B4">
        <w:rPr>
          <w:i/>
        </w:rPr>
        <w:t>Phase Change Materials - Technology and Applications</w:t>
      </w:r>
      <w:r w:rsidRPr="006F05B4">
        <w:t>, M.K.K. Rathod, Editor. 2022, IntechOpen: London.</w:t>
      </w:r>
    </w:p>
    <w:p w14:paraId="1CDB8A88" w14:textId="77777777" w:rsidR="006F05B4" w:rsidRPr="006F05B4" w:rsidRDefault="006F05B4" w:rsidP="006F05B4">
      <w:pPr>
        <w:pStyle w:val="EndNoteBibliography"/>
        <w:ind w:left="720" w:hanging="720"/>
      </w:pPr>
      <w:r w:rsidRPr="006F05B4">
        <w:t>15.</w:t>
      </w:r>
      <w:r w:rsidRPr="006F05B4">
        <w:tab/>
        <w:t xml:space="preserve">Rajamony, R.K., et al., </w:t>
      </w:r>
      <w:r w:rsidRPr="006F05B4">
        <w:rPr>
          <w:i/>
        </w:rPr>
        <w:t>Progress in research and technological developments of phase change materials integrated photovoltaic thermal systems: The allied problems and their mitigation strategies.</w:t>
      </w:r>
      <w:r w:rsidRPr="006F05B4">
        <w:t xml:space="preserve"> Sustainable Materials and Technologies, 2024. </w:t>
      </w:r>
      <w:r w:rsidRPr="006F05B4">
        <w:rPr>
          <w:b/>
        </w:rPr>
        <w:t>40</w:t>
      </w:r>
      <w:r w:rsidRPr="006F05B4">
        <w:t>: p. e00921.</w:t>
      </w:r>
    </w:p>
    <w:p w14:paraId="5FC665C5" w14:textId="6CF8B8EF" w:rsidR="00704741" w:rsidRPr="00DF6F1A" w:rsidRDefault="00C21821" w:rsidP="00C21821">
      <w:pPr>
        <w:spacing w:before="120"/>
        <w:jc w:val="both"/>
        <w:rPr>
          <w:sz w:val="20"/>
          <w:szCs w:val="20"/>
        </w:rPr>
        <w:sectPr w:rsidR="00704741" w:rsidRPr="00DF6F1A" w:rsidSect="0092651F">
          <w:footnotePr>
            <w:numRestart w:val="eachPage"/>
          </w:footnotePr>
          <w:type w:val="continuous"/>
          <w:pgSz w:w="11908" w:h="16838"/>
          <w:pgMar w:top="1701" w:right="1440" w:bottom="1440" w:left="1701" w:header="284" w:footer="284" w:gutter="0"/>
          <w:pgNumType w:start="1"/>
          <w:cols w:space="284"/>
          <w:noEndnote/>
        </w:sectPr>
      </w:pPr>
      <w:r w:rsidRPr="00DF6F1A">
        <w:fldChar w:fldCharType="end"/>
      </w:r>
    </w:p>
    <w:p w14:paraId="263188FC" w14:textId="4BE669B5" w:rsidR="008F54F8" w:rsidRDefault="008F54F8" w:rsidP="00C96148">
      <w:pPr>
        <w:pStyle w:val="SWCText"/>
      </w:pPr>
    </w:p>
    <w:sectPr w:rsidR="008F54F8" w:rsidSect="0092651F">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E5FE7" w14:textId="77777777" w:rsidR="00BE3ABC" w:rsidRPr="00DF6F1A" w:rsidRDefault="00BE3ABC">
      <w:r w:rsidRPr="00DF6F1A">
        <w:separator/>
      </w:r>
    </w:p>
  </w:endnote>
  <w:endnote w:type="continuationSeparator" w:id="0">
    <w:p w14:paraId="76BDC08C" w14:textId="77777777" w:rsidR="00BE3ABC" w:rsidRPr="00DF6F1A" w:rsidRDefault="00BE3ABC">
      <w:r w:rsidRPr="00DF6F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EE5E4" w14:textId="77777777" w:rsidR="00BE3ABC" w:rsidRPr="00DF6F1A" w:rsidRDefault="00BE3ABC">
      <w:r w:rsidRPr="00DF6F1A">
        <w:separator/>
      </w:r>
    </w:p>
  </w:footnote>
  <w:footnote w:type="continuationSeparator" w:id="0">
    <w:p w14:paraId="75033017" w14:textId="77777777" w:rsidR="00BE3ABC" w:rsidRPr="00DF6F1A" w:rsidRDefault="00BE3ABC">
      <w:r w:rsidRPr="00DF6F1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multilevel"/>
    <w:tmpl w:val="9DDC7CD8"/>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7C0D5184"/>
    <w:multiLevelType w:val="multilevel"/>
    <w:tmpl w:val="D8781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 w:numId="25" w16cid:durableId="1876965499">
    <w:abstractNumId w:val="18"/>
    <w:lvlOverride w:ilvl="0">
      <w:startOverride w:val="1"/>
    </w:lvlOverride>
  </w:num>
  <w:num w:numId="26" w16cid:durableId="90710835">
    <w:abstractNumId w:val="18"/>
    <w:lvlOverride w:ilvl="0">
      <w:startOverride w:val="3"/>
    </w:lvlOverride>
    <w:lvlOverride w:ilvl="1">
      <w:startOverride w:val="2"/>
    </w:lvlOverride>
  </w:num>
  <w:num w:numId="27" w16cid:durableId="801192045">
    <w:abstractNumId w:val="18"/>
    <w:lvlOverride w:ilvl="0">
      <w:startOverride w:val="3"/>
    </w:lvlOverride>
    <w:lvlOverride w:ilvl="1">
      <w:startOverride w:val="2"/>
    </w:lvlOverride>
  </w:num>
  <w:num w:numId="28" w16cid:durableId="10335299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LM0MjcxsjAwtDAysLBQ0lEKTi0uzszPAykwNK8FAEg+52Yt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drrrdze45p5vjerrfl5p5xkv0t9pd0ez5fd&quot;&gt;My EndNote Library&lt;record-ids&gt;&lt;item&gt;22&lt;/item&gt;&lt;item&gt;39&lt;/item&gt;&lt;item&gt;40&lt;/item&gt;&lt;item&gt;41&lt;/item&gt;&lt;item&gt;42&lt;/item&gt;&lt;item&gt;44&lt;/item&gt;&lt;item&gt;81&lt;/item&gt;&lt;item&gt;221&lt;/item&gt;&lt;item&gt;222&lt;/item&gt;&lt;item&gt;223&lt;/item&gt;&lt;item&gt;224&lt;/item&gt;&lt;item&gt;225&lt;/item&gt;&lt;item&gt;226&lt;/item&gt;&lt;item&gt;227&lt;/item&gt;&lt;item&gt;228&lt;/item&gt;&lt;/record-ids&gt;&lt;/item&gt;&lt;/Libraries&gt;"/>
  </w:docVars>
  <w:rsids>
    <w:rsidRoot w:val="00B2716E"/>
    <w:rsid w:val="00002310"/>
    <w:rsid w:val="00005037"/>
    <w:rsid w:val="000051F9"/>
    <w:rsid w:val="0000576C"/>
    <w:rsid w:val="000067DB"/>
    <w:rsid w:val="00010262"/>
    <w:rsid w:val="00012728"/>
    <w:rsid w:val="000136F9"/>
    <w:rsid w:val="000209D6"/>
    <w:rsid w:val="00021B29"/>
    <w:rsid w:val="000227AA"/>
    <w:rsid w:val="00022825"/>
    <w:rsid w:val="0002444A"/>
    <w:rsid w:val="0002721A"/>
    <w:rsid w:val="00032367"/>
    <w:rsid w:val="00034E6C"/>
    <w:rsid w:val="00037623"/>
    <w:rsid w:val="0004235D"/>
    <w:rsid w:val="00044046"/>
    <w:rsid w:val="00044A85"/>
    <w:rsid w:val="000464E6"/>
    <w:rsid w:val="00050CDD"/>
    <w:rsid w:val="000533E4"/>
    <w:rsid w:val="000534F5"/>
    <w:rsid w:val="00053E02"/>
    <w:rsid w:val="00055DB9"/>
    <w:rsid w:val="00056508"/>
    <w:rsid w:val="00057B5E"/>
    <w:rsid w:val="00061B3C"/>
    <w:rsid w:val="00066B26"/>
    <w:rsid w:val="00066FE9"/>
    <w:rsid w:val="000678AC"/>
    <w:rsid w:val="00067978"/>
    <w:rsid w:val="00070DA5"/>
    <w:rsid w:val="000712A1"/>
    <w:rsid w:val="00073753"/>
    <w:rsid w:val="00074DBF"/>
    <w:rsid w:val="000775A1"/>
    <w:rsid w:val="00081816"/>
    <w:rsid w:val="00081B0A"/>
    <w:rsid w:val="000840FF"/>
    <w:rsid w:val="00084A04"/>
    <w:rsid w:val="00092ED5"/>
    <w:rsid w:val="0009589D"/>
    <w:rsid w:val="000A0ADB"/>
    <w:rsid w:val="000A30A5"/>
    <w:rsid w:val="000A36B5"/>
    <w:rsid w:val="000A4070"/>
    <w:rsid w:val="000A52A1"/>
    <w:rsid w:val="000A5BE0"/>
    <w:rsid w:val="000A69A6"/>
    <w:rsid w:val="000A796D"/>
    <w:rsid w:val="000B04BE"/>
    <w:rsid w:val="000B1F4D"/>
    <w:rsid w:val="000B25D3"/>
    <w:rsid w:val="000B2852"/>
    <w:rsid w:val="000B49D1"/>
    <w:rsid w:val="000B605C"/>
    <w:rsid w:val="000B728B"/>
    <w:rsid w:val="000C2344"/>
    <w:rsid w:val="000C287F"/>
    <w:rsid w:val="000C63CB"/>
    <w:rsid w:val="000C7698"/>
    <w:rsid w:val="000D3867"/>
    <w:rsid w:val="000D4A52"/>
    <w:rsid w:val="000D5D0F"/>
    <w:rsid w:val="000D5D48"/>
    <w:rsid w:val="000D6E1A"/>
    <w:rsid w:val="000E0037"/>
    <w:rsid w:val="000E0A86"/>
    <w:rsid w:val="000E11F6"/>
    <w:rsid w:val="000E1855"/>
    <w:rsid w:val="000F2BA4"/>
    <w:rsid w:val="000F4905"/>
    <w:rsid w:val="000F729C"/>
    <w:rsid w:val="000F739B"/>
    <w:rsid w:val="000F7AF3"/>
    <w:rsid w:val="00103333"/>
    <w:rsid w:val="0010501A"/>
    <w:rsid w:val="00107A75"/>
    <w:rsid w:val="001112C3"/>
    <w:rsid w:val="00112B4C"/>
    <w:rsid w:val="00113157"/>
    <w:rsid w:val="00117EF1"/>
    <w:rsid w:val="00126DE5"/>
    <w:rsid w:val="001337BB"/>
    <w:rsid w:val="00135907"/>
    <w:rsid w:val="00142B35"/>
    <w:rsid w:val="00143548"/>
    <w:rsid w:val="001456B3"/>
    <w:rsid w:val="00146C88"/>
    <w:rsid w:val="00146D80"/>
    <w:rsid w:val="00147D88"/>
    <w:rsid w:val="0015090D"/>
    <w:rsid w:val="00150A0B"/>
    <w:rsid w:val="001537B8"/>
    <w:rsid w:val="00155127"/>
    <w:rsid w:val="00155FB8"/>
    <w:rsid w:val="00157CE5"/>
    <w:rsid w:val="00163E52"/>
    <w:rsid w:val="001647D2"/>
    <w:rsid w:val="00165019"/>
    <w:rsid w:val="00166C42"/>
    <w:rsid w:val="00166CA1"/>
    <w:rsid w:val="00170F99"/>
    <w:rsid w:val="00176EF6"/>
    <w:rsid w:val="001809F4"/>
    <w:rsid w:val="001816E6"/>
    <w:rsid w:val="00182314"/>
    <w:rsid w:val="001904A7"/>
    <w:rsid w:val="0019232E"/>
    <w:rsid w:val="001941B6"/>
    <w:rsid w:val="00194E9A"/>
    <w:rsid w:val="001968B5"/>
    <w:rsid w:val="001969B9"/>
    <w:rsid w:val="00197C2F"/>
    <w:rsid w:val="001A117A"/>
    <w:rsid w:val="001A7599"/>
    <w:rsid w:val="001A775B"/>
    <w:rsid w:val="001A7F40"/>
    <w:rsid w:val="001B13D6"/>
    <w:rsid w:val="001B46E4"/>
    <w:rsid w:val="001B6630"/>
    <w:rsid w:val="001B6BCF"/>
    <w:rsid w:val="001B7B01"/>
    <w:rsid w:val="001B7DD4"/>
    <w:rsid w:val="001C1868"/>
    <w:rsid w:val="001C21CB"/>
    <w:rsid w:val="001C32BB"/>
    <w:rsid w:val="001C3A3D"/>
    <w:rsid w:val="001C5F2F"/>
    <w:rsid w:val="001C61D1"/>
    <w:rsid w:val="001C63A2"/>
    <w:rsid w:val="001D0384"/>
    <w:rsid w:val="001D4912"/>
    <w:rsid w:val="001D5C69"/>
    <w:rsid w:val="001E001A"/>
    <w:rsid w:val="001E2B93"/>
    <w:rsid w:val="001E386A"/>
    <w:rsid w:val="001E519A"/>
    <w:rsid w:val="001F2881"/>
    <w:rsid w:val="001F3DC0"/>
    <w:rsid w:val="001F6E03"/>
    <w:rsid w:val="00203C70"/>
    <w:rsid w:val="00205626"/>
    <w:rsid w:val="00206116"/>
    <w:rsid w:val="00212628"/>
    <w:rsid w:val="00213396"/>
    <w:rsid w:val="00213A24"/>
    <w:rsid w:val="0022299B"/>
    <w:rsid w:val="00225724"/>
    <w:rsid w:val="00227819"/>
    <w:rsid w:val="002316F3"/>
    <w:rsid w:val="00243214"/>
    <w:rsid w:val="00245530"/>
    <w:rsid w:val="002516A1"/>
    <w:rsid w:val="0025394C"/>
    <w:rsid w:val="00255C92"/>
    <w:rsid w:val="002647A0"/>
    <w:rsid w:val="00266E47"/>
    <w:rsid w:val="00270E75"/>
    <w:rsid w:val="0027288C"/>
    <w:rsid w:val="00273341"/>
    <w:rsid w:val="00274CEA"/>
    <w:rsid w:val="00275EB8"/>
    <w:rsid w:val="0027687A"/>
    <w:rsid w:val="00280ACF"/>
    <w:rsid w:val="00283722"/>
    <w:rsid w:val="00285CB9"/>
    <w:rsid w:val="00294819"/>
    <w:rsid w:val="002972D1"/>
    <w:rsid w:val="00297E78"/>
    <w:rsid w:val="002A04A9"/>
    <w:rsid w:val="002A39BB"/>
    <w:rsid w:val="002B1AD4"/>
    <w:rsid w:val="002B417A"/>
    <w:rsid w:val="002C089D"/>
    <w:rsid w:val="002C5E5D"/>
    <w:rsid w:val="002C68AD"/>
    <w:rsid w:val="002D322C"/>
    <w:rsid w:val="002D44A7"/>
    <w:rsid w:val="002D4864"/>
    <w:rsid w:val="002D7C53"/>
    <w:rsid w:val="002E0314"/>
    <w:rsid w:val="002E03D9"/>
    <w:rsid w:val="002E1848"/>
    <w:rsid w:val="002E49A6"/>
    <w:rsid w:val="002E5D62"/>
    <w:rsid w:val="002F1386"/>
    <w:rsid w:val="002F3E06"/>
    <w:rsid w:val="002F6B87"/>
    <w:rsid w:val="00300035"/>
    <w:rsid w:val="00300D47"/>
    <w:rsid w:val="00302690"/>
    <w:rsid w:val="0030315D"/>
    <w:rsid w:val="00303345"/>
    <w:rsid w:val="00304223"/>
    <w:rsid w:val="00306FB7"/>
    <w:rsid w:val="00311DC8"/>
    <w:rsid w:val="00311FBE"/>
    <w:rsid w:val="00312E73"/>
    <w:rsid w:val="00325447"/>
    <w:rsid w:val="00331766"/>
    <w:rsid w:val="00333484"/>
    <w:rsid w:val="003357AC"/>
    <w:rsid w:val="00341766"/>
    <w:rsid w:val="00343592"/>
    <w:rsid w:val="00347E9D"/>
    <w:rsid w:val="00350C2A"/>
    <w:rsid w:val="003522B5"/>
    <w:rsid w:val="00352753"/>
    <w:rsid w:val="0035638A"/>
    <w:rsid w:val="00357203"/>
    <w:rsid w:val="00357983"/>
    <w:rsid w:val="003605B9"/>
    <w:rsid w:val="00362122"/>
    <w:rsid w:val="00364A52"/>
    <w:rsid w:val="00366770"/>
    <w:rsid w:val="003717B4"/>
    <w:rsid w:val="00372BE4"/>
    <w:rsid w:val="00373F97"/>
    <w:rsid w:val="00374216"/>
    <w:rsid w:val="003821D4"/>
    <w:rsid w:val="0038545D"/>
    <w:rsid w:val="003869E8"/>
    <w:rsid w:val="00387A10"/>
    <w:rsid w:val="00391288"/>
    <w:rsid w:val="00392891"/>
    <w:rsid w:val="003956A3"/>
    <w:rsid w:val="00395E5A"/>
    <w:rsid w:val="003971DC"/>
    <w:rsid w:val="0039742D"/>
    <w:rsid w:val="003A3A38"/>
    <w:rsid w:val="003A56B6"/>
    <w:rsid w:val="003A7DB9"/>
    <w:rsid w:val="003B2055"/>
    <w:rsid w:val="003B3727"/>
    <w:rsid w:val="003B586A"/>
    <w:rsid w:val="003C0806"/>
    <w:rsid w:val="003C18DE"/>
    <w:rsid w:val="003C19D5"/>
    <w:rsid w:val="003C1B31"/>
    <w:rsid w:val="003C1FAB"/>
    <w:rsid w:val="003C2B1A"/>
    <w:rsid w:val="003C3201"/>
    <w:rsid w:val="003C39C6"/>
    <w:rsid w:val="003C7B4E"/>
    <w:rsid w:val="003D0C22"/>
    <w:rsid w:val="003D30F9"/>
    <w:rsid w:val="003D5691"/>
    <w:rsid w:val="003D5E7E"/>
    <w:rsid w:val="003E1E1C"/>
    <w:rsid w:val="003E5321"/>
    <w:rsid w:val="003F0403"/>
    <w:rsid w:val="003F0430"/>
    <w:rsid w:val="003F0769"/>
    <w:rsid w:val="003F281A"/>
    <w:rsid w:val="003F461C"/>
    <w:rsid w:val="003F5B99"/>
    <w:rsid w:val="004019FD"/>
    <w:rsid w:val="00403E6A"/>
    <w:rsid w:val="004053B5"/>
    <w:rsid w:val="0040615A"/>
    <w:rsid w:val="00411E29"/>
    <w:rsid w:val="00414DD1"/>
    <w:rsid w:val="004175A8"/>
    <w:rsid w:val="00417C5C"/>
    <w:rsid w:val="00417FE2"/>
    <w:rsid w:val="0042033E"/>
    <w:rsid w:val="004207B6"/>
    <w:rsid w:val="00423A19"/>
    <w:rsid w:val="00425FD6"/>
    <w:rsid w:val="004357AD"/>
    <w:rsid w:val="00435CA1"/>
    <w:rsid w:val="004362E8"/>
    <w:rsid w:val="004460EA"/>
    <w:rsid w:val="00446165"/>
    <w:rsid w:val="0044716E"/>
    <w:rsid w:val="00447272"/>
    <w:rsid w:val="00453296"/>
    <w:rsid w:val="00453FAA"/>
    <w:rsid w:val="0046071F"/>
    <w:rsid w:val="00463431"/>
    <w:rsid w:val="00465ECB"/>
    <w:rsid w:val="00467DFD"/>
    <w:rsid w:val="00471E2A"/>
    <w:rsid w:val="00475C20"/>
    <w:rsid w:val="00476879"/>
    <w:rsid w:val="004804EF"/>
    <w:rsid w:val="0048149B"/>
    <w:rsid w:val="00484FA9"/>
    <w:rsid w:val="00490F10"/>
    <w:rsid w:val="004910DF"/>
    <w:rsid w:val="00493C81"/>
    <w:rsid w:val="00494006"/>
    <w:rsid w:val="004952CC"/>
    <w:rsid w:val="00497804"/>
    <w:rsid w:val="004A3506"/>
    <w:rsid w:val="004A7E86"/>
    <w:rsid w:val="004B267F"/>
    <w:rsid w:val="004B4DE2"/>
    <w:rsid w:val="004C39AD"/>
    <w:rsid w:val="004C4EE9"/>
    <w:rsid w:val="004C548F"/>
    <w:rsid w:val="004C7A54"/>
    <w:rsid w:val="004D0538"/>
    <w:rsid w:val="004D6125"/>
    <w:rsid w:val="004E2761"/>
    <w:rsid w:val="004E5D79"/>
    <w:rsid w:val="004F4904"/>
    <w:rsid w:val="004F5FF9"/>
    <w:rsid w:val="00500640"/>
    <w:rsid w:val="00500D7D"/>
    <w:rsid w:val="00500EE9"/>
    <w:rsid w:val="005063FB"/>
    <w:rsid w:val="005067AC"/>
    <w:rsid w:val="00514890"/>
    <w:rsid w:val="0051584D"/>
    <w:rsid w:val="00517E6C"/>
    <w:rsid w:val="00530B8D"/>
    <w:rsid w:val="00531714"/>
    <w:rsid w:val="00532138"/>
    <w:rsid w:val="0053532A"/>
    <w:rsid w:val="00537851"/>
    <w:rsid w:val="005402CD"/>
    <w:rsid w:val="005404F1"/>
    <w:rsid w:val="00550168"/>
    <w:rsid w:val="00550776"/>
    <w:rsid w:val="00552820"/>
    <w:rsid w:val="00552BE2"/>
    <w:rsid w:val="00553A67"/>
    <w:rsid w:val="00555E5E"/>
    <w:rsid w:val="00556004"/>
    <w:rsid w:val="00557D08"/>
    <w:rsid w:val="00561613"/>
    <w:rsid w:val="00566460"/>
    <w:rsid w:val="00566638"/>
    <w:rsid w:val="0057075C"/>
    <w:rsid w:val="00571205"/>
    <w:rsid w:val="005721F8"/>
    <w:rsid w:val="0057362F"/>
    <w:rsid w:val="00574BD8"/>
    <w:rsid w:val="005836C7"/>
    <w:rsid w:val="00583C8E"/>
    <w:rsid w:val="00585D83"/>
    <w:rsid w:val="00594F1C"/>
    <w:rsid w:val="005972B2"/>
    <w:rsid w:val="005A442F"/>
    <w:rsid w:val="005A78F6"/>
    <w:rsid w:val="005B089D"/>
    <w:rsid w:val="005B2166"/>
    <w:rsid w:val="005B338A"/>
    <w:rsid w:val="005B3E74"/>
    <w:rsid w:val="005B3E86"/>
    <w:rsid w:val="005B6F55"/>
    <w:rsid w:val="005B7867"/>
    <w:rsid w:val="005C3BA2"/>
    <w:rsid w:val="005C4524"/>
    <w:rsid w:val="005C5E5F"/>
    <w:rsid w:val="005D2DBE"/>
    <w:rsid w:val="005D377A"/>
    <w:rsid w:val="005D3B6D"/>
    <w:rsid w:val="005D4EC3"/>
    <w:rsid w:val="005D5CF6"/>
    <w:rsid w:val="005E0049"/>
    <w:rsid w:val="005E04EA"/>
    <w:rsid w:val="005E0D7D"/>
    <w:rsid w:val="005E15E1"/>
    <w:rsid w:val="005E7208"/>
    <w:rsid w:val="005E7F1C"/>
    <w:rsid w:val="005F3AC5"/>
    <w:rsid w:val="00607C4E"/>
    <w:rsid w:val="00613AF9"/>
    <w:rsid w:val="0061732F"/>
    <w:rsid w:val="0062257E"/>
    <w:rsid w:val="00624E94"/>
    <w:rsid w:val="00625BC2"/>
    <w:rsid w:val="00627E34"/>
    <w:rsid w:val="006309AA"/>
    <w:rsid w:val="00631B37"/>
    <w:rsid w:val="00631D7D"/>
    <w:rsid w:val="00632D14"/>
    <w:rsid w:val="00633473"/>
    <w:rsid w:val="006337A0"/>
    <w:rsid w:val="0063487A"/>
    <w:rsid w:val="00635C7C"/>
    <w:rsid w:val="0063743B"/>
    <w:rsid w:val="006378C2"/>
    <w:rsid w:val="006379BD"/>
    <w:rsid w:val="00640F8B"/>
    <w:rsid w:val="00643EC5"/>
    <w:rsid w:val="0064403B"/>
    <w:rsid w:val="006500EC"/>
    <w:rsid w:val="00652071"/>
    <w:rsid w:val="00653551"/>
    <w:rsid w:val="00653602"/>
    <w:rsid w:val="0065563B"/>
    <w:rsid w:val="00662BD4"/>
    <w:rsid w:val="00665471"/>
    <w:rsid w:val="006722C6"/>
    <w:rsid w:val="006804EA"/>
    <w:rsid w:val="0068083F"/>
    <w:rsid w:val="00681DC2"/>
    <w:rsid w:val="00684133"/>
    <w:rsid w:val="00687AB2"/>
    <w:rsid w:val="00692D7F"/>
    <w:rsid w:val="00693519"/>
    <w:rsid w:val="006A0AE2"/>
    <w:rsid w:val="006A2F10"/>
    <w:rsid w:val="006A77D0"/>
    <w:rsid w:val="006B142D"/>
    <w:rsid w:val="006B18C9"/>
    <w:rsid w:val="006B4C9F"/>
    <w:rsid w:val="006B5FFB"/>
    <w:rsid w:val="006C09C5"/>
    <w:rsid w:val="006C1292"/>
    <w:rsid w:val="006C33F0"/>
    <w:rsid w:val="006C5B5F"/>
    <w:rsid w:val="006C756C"/>
    <w:rsid w:val="006C7BE5"/>
    <w:rsid w:val="006D17C7"/>
    <w:rsid w:val="006D3273"/>
    <w:rsid w:val="006D4A96"/>
    <w:rsid w:val="006D707C"/>
    <w:rsid w:val="006E761D"/>
    <w:rsid w:val="006E76E8"/>
    <w:rsid w:val="006F05B4"/>
    <w:rsid w:val="006F0DE6"/>
    <w:rsid w:val="006F5B85"/>
    <w:rsid w:val="006F68DB"/>
    <w:rsid w:val="006F6C0D"/>
    <w:rsid w:val="006F6CB0"/>
    <w:rsid w:val="00700A9A"/>
    <w:rsid w:val="00702AE0"/>
    <w:rsid w:val="00702E8F"/>
    <w:rsid w:val="00704741"/>
    <w:rsid w:val="0071031C"/>
    <w:rsid w:val="007123D4"/>
    <w:rsid w:val="00712671"/>
    <w:rsid w:val="00716E3C"/>
    <w:rsid w:val="007174DA"/>
    <w:rsid w:val="00722429"/>
    <w:rsid w:val="0072484C"/>
    <w:rsid w:val="00725ED2"/>
    <w:rsid w:val="00727318"/>
    <w:rsid w:val="007317C7"/>
    <w:rsid w:val="007321A8"/>
    <w:rsid w:val="00733799"/>
    <w:rsid w:val="0074159A"/>
    <w:rsid w:val="00745310"/>
    <w:rsid w:val="00745F20"/>
    <w:rsid w:val="00746220"/>
    <w:rsid w:val="007464A1"/>
    <w:rsid w:val="00747D77"/>
    <w:rsid w:val="0075018A"/>
    <w:rsid w:val="007535ED"/>
    <w:rsid w:val="0075406E"/>
    <w:rsid w:val="00756702"/>
    <w:rsid w:val="00757E86"/>
    <w:rsid w:val="007610D7"/>
    <w:rsid w:val="00762EA3"/>
    <w:rsid w:val="00763B3A"/>
    <w:rsid w:val="00764505"/>
    <w:rsid w:val="00775758"/>
    <w:rsid w:val="007763CB"/>
    <w:rsid w:val="007804A7"/>
    <w:rsid w:val="007806D1"/>
    <w:rsid w:val="007817CD"/>
    <w:rsid w:val="00786B8D"/>
    <w:rsid w:val="007908F6"/>
    <w:rsid w:val="00793D81"/>
    <w:rsid w:val="007954D9"/>
    <w:rsid w:val="00795C86"/>
    <w:rsid w:val="007A20C1"/>
    <w:rsid w:val="007A6E19"/>
    <w:rsid w:val="007A7952"/>
    <w:rsid w:val="007B0BDB"/>
    <w:rsid w:val="007B2A42"/>
    <w:rsid w:val="007B33DF"/>
    <w:rsid w:val="007B4167"/>
    <w:rsid w:val="007B6F5A"/>
    <w:rsid w:val="007C1632"/>
    <w:rsid w:val="007C279D"/>
    <w:rsid w:val="007C31C8"/>
    <w:rsid w:val="007C36EF"/>
    <w:rsid w:val="007C591A"/>
    <w:rsid w:val="007C6BDE"/>
    <w:rsid w:val="007D0678"/>
    <w:rsid w:val="007D0A30"/>
    <w:rsid w:val="007D1C2C"/>
    <w:rsid w:val="007D2FBF"/>
    <w:rsid w:val="007E0F1D"/>
    <w:rsid w:val="007E1089"/>
    <w:rsid w:val="007E624C"/>
    <w:rsid w:val="007E7634"/>
    <w:rsid w:val="007F2787"/>
    <w:rsid w:val="007F4687"/>
    <w:rsid w:val="00800E25"/>
    <w:rsid w:val="00801634"/>
    <w:rsid w:val="00804505"/>
    <w:rsid w:val="0080537B"/>
    <w:rsid w:val="0081172A"/>
    <w:rsid w:val="00815809"/>
    <w:rsid w:val="008158E8"/>
    <w:rsid w:val="008219CF"/>
    <w:rsid w:val="00821EC0"/>
    <w:rsid w:val="00822BF5"/>
    <w:rsid w:val="00823F10"/>
    <w:rsid w:val="008311B4"/>
    <w:rsid w:val="00831CD2"/>
    <w:rsid w:val="00834062"/>
    <w:rsid w:val="00834B30"/>
    <w:rsid w:val="00835F27"/>
    <w:rsid w:val="00837104"/>
    <w:rsid w:val="00837C05"/>
    <w:rsid w:val="00840E8F"/>
    <w:rsid w:val="0084100F"/>
    <w:rsid w:val="00845285"/>
    <w:rsid w:val="00845AE3"/>
    <w:rsid w:val="00846B61"/>
    <w:rsid w:val="00852E89"/>
    <w:rsid w:val="00857E8A"/>
    <w:rsid w:val="00872D86"/>
    <w:rsid w:val="00873E37"/>
    <w:rsid w:val="00887877"/>
    <w:rsid w:val="00893500"/>
    <w:rsid w:val="00894ED3"/>
    <w:rsid w:val="008951DD"/>
    <w:rsid w:val="008975FF"/>
    <w:rsid w:val="008A09F9"/>
    <w:rsid w:val="008A350E"/>
    <w:rsid w:val="008B4EC2"/>
    <w:rsid w:val="008B618F"/>
    <w:rsid w:val="008B6253"/>
    <w:rsid w:val="008C0A3B"/>
    <w:rsid w:val="008C26D2"/>
    <w:rsid w:val="008C2AF2"/>
    <w:rsid w:val="008D278C"/>
    <w:rsid w:val="008D3815"/>
    <w:rsid w:val="008D44C5"/>
    <w:rsid w:val="008D60E5"/>
    <w:rsid w:val="008D7960"/>
    <w:rsid w:val="008D7E85"/>
    <w:rsid w:val="008E19FF"/>
    <w:rsid w:val="008E2D13"/>
    <w:rsid w:val="008E39B7"/>
    <w:rsid w:val="008E46D5"/>
    <w:rsid w:val="008E4D3C"/>
    <w:rsid w:val="008E53FF"/>
    <w:rsid w:val="008F1EBE"/>
    <w:rsid w:val="008F249D"/>
    <w:rsid w:val="008F2664"/>
    <w:rsid w:val="008F48AC"/>
    <w:rsid w:val="008F54F8"/>
    <w:rsid w:val="008F5610"/>
    <w:rsid w:val="009011AA"/>
    <w:rsid w:val="00903480"/>
    <w:rsid w:val="00906CC3"/>
    <w:rsid w:val="00912D63"/>
    <w:rsid w:val="00913003"/>
    <w:rsid w:val="009151F4"/>
    <w:rsid w:val="009179D8"/>
    <w:rsid w:val="00917D56"/>
    <w:rsid w:val="00924C1F"/>
    <w:rsid w:val="0092651F"/>
    <w:rsid w:val="00931C9D"/>
    <w:rsid w:val="00933A00"/>
    <w:rsid w:val="00933BFD"/>
    <w:rsid w:val="00934834"/>
    <w:rsid w:val="00940014"/>
    <w:rsid w:val="00941691"/>
    <w:rsid w:val="00942AED"/>
    <w:rsid w:val="00944E25"/>
    <w:rsid w:val="0094688D"/>
    <w:rsid w:val="00952168"/>
    <w:rsid w:val="00953F15"/>
    <w:rsid w:val="00956CC7"/>
    <w:rsid w:val="009571DF"/>
    <w:rsid w:val="009603E8"/>
    <w:rsid w:val="009642AB"/>
    <w:rsid w:val="00964AC7"/>
    <w:rsid w:val="0096689E"/>
    <w:rsid w:val="00966D93"/>
    <w:rsid w:val="00967DB5"/>
    <w:rsid w:val="00975808"/>
    <w:rsid w:val="009777A9"/>
    <w:rsid w:val="00982BCB"/>
    <w:rsid w:val="00991B79"/>
    <w:rsid w:val="00993F03"/>
    <w:rsid w:val="0099435F"/>
    <w:rsid w:val="00996BC5"/>
    <w:rsid w:val="009A3CC7"/>
    <w:rsid w:val="009A6D34"/>
    <w:rsid w:val="009B18F2"/>
    <w:rsid w:val="009B4816"/>
    <w:rsid w:val="009C1BA8"/>
    <w:rsid w:val="009C2D0D"/>
    <w:rsid w:val="009C3492"/>
    <w:rsid w:val="009C49C6"/>
    <w:rsid w:val="009C5AA4"/>
    <w:rsid w:val="009D02D4"/>
    <w:rsid w:val="009D143C"/>
    <w:rsid w:val="009D31A1"/>
    <w:rsid w:val="009D48F4"/>
    <w:rsid w:val="009D60E3"/>
    <w:rsid w:val="009D6DCA"/>
    <w:rsid w:val="009E0D67"/>
    <w:rsid w:val="009E1C85"/>
    <w:rsid w:val="009E21D8"/>
    <w:rsid w:val="009E4985"/>
    <w:rsid w:val="009F0EAD"/>
    <w:rsid w:val="009F16C5"/>
    <w:rsid w:val="009F2B15"/>
    <w:rsid w:val="009F3623"/>
    <w:rsid w:val="009F3E11"/>
    <w:rsid w:val="009F4D0C"/>
    <w:rsid w:val="009F6AF8"/>
    <w:rsid w:val="009F6E78"/>
    <w:rsid w:val="009F754A"/>
    <w:rsid w:val="009F7C7E"/>
    <w:rsid w:val="00A0109E"/>
    <w:rsid w:val="00A01148"/>
    <w:rsid w:val="00A0621F"/>
    <w:rsid w:val="00A25BE3"/>
    <w:rsid w:val="00A31DC5"/>
    <w:rsid w:val="00A345DC"/>
    <w:rsid w:val="00A355B1"/>
    <w:rsid w:val="00A36623"/>
    <w:rsid w:val="00A40C81"/>
    <w:rsid w:val="00A436CD"/>
    <w:rsid w:val="00A443C8"/>
    <w:rsid w:val="00A5094F"/>
    <w:rsid w:val="00A5180B"/>
    <w:rsid w:val="00A555BB"/>
    <w:rsid w:val="00A55E36"/>
    <w:rsid w:val="00A56279"/>
    <w:rsid w:val="00A62EE6"/>
    <w:rsid w:val="00A636B1"/>
    <w:rsid w:val="00A6457C"/>
    <w:rsid w:val="00A732A7"/>
    <w:rsid w:val="00A763AF"/>
    <w:rsid w:val="00A84EA0"/>
    <w:rsid w:val="00A8757B"/>
    <w:rsid w:val="00A92044"/>
    <w:rsid w:val="00A94308"/>
    <w:rsid w:val="00A94ECC"/>
    <w:rsid w:val="00A9562E"/>
    <w:rsid w:val="00A9727D"/>
    <w:rsid w:val="00AA16B9"/>
    <w:rsid w:val="00AA2907"/>
    <w:rsid w:val="00AA47DC"/>
    <w:rsid w:val="00AB52CF"/>
    <w:rsid w:val="00AB5AAD"/>
    <w:rsid w:val="00AB624E"/>
    <w:rsid w:val="00AC2C09"/>
    <w:rsid w:val="00AC6B6F"/>
    <w:rsid w:val="00AD01AD"/>
    <w:rsid w:val="00AD1C83"/>
    <w:rsid w:val="00AD6BD4"/>
    <w:rsid w:val="00AD7F10"/>
    <w:rsid w:val="00AE0BBE"/>
    <w:rsid w:val="00AE11FC"/>
    <w:rsid w:val="00AE2683"/>
    <w:rsid w:val="00AE6354"/>
    <w:rsid w:val="00AE679A"/>
    <w:rsid w:val="00AF15AF"/>
    <w:rsid w:val="00AF3629"/>
    <w:rsid w:val="00AF55DC"/>
    <w:rsid w:val="00AF6EB4"/>
    <w:rsid w:val="00B01141"/>
    <w:rsid w:val="00B01826"/>
    <w:rsid w:val="00B01A8A"/>
    <w:rsid w:val="00B02E33"/>
    <w:rsid w:val="00B04CF2"/>
    <w:rsid w:val="00B06915"/>
    <w:rsid w:val="00B1252A"/>
    <w:rsid w:val="00B13DC3"/>
    <w:rsid w:val="00B1777F"/>
    <w:rsid w:val="00B214A1"/>
    <w:rsid w:val="00B22D5C"/>
    <w:rsid w:val="00B23474"/>
    <w:rsid w:val="00B263F0"/>
    <w:rsid w:val="00B2702D"/>
    <w:rsid w:val="00B2716E"/>
    <w:rsid w:val="00B31082"/>
    <w:rsid w:val="00B320EF"/>
    <w:rsid w:val="00B32703"/>
    <w:rsid w:val="00B3319D"/>
    <w:rsid w:val="00B33D81"/>
    <w:rsid w:val="00B37521"/>
    <w:rsid w:val="00B37876"/>
    <w:rsid w:val="00B37BB9"/>
    <w:rsid w:val="00B42360"/>
    <w:rsid w:val="00B43C5E"/>
    <w:rsid w:val="00B43D64"/>
    <w:rsid w:val="00B52C8F"/>
    <w:rsid w:val="00B54313"/>
    <w:rsid w:val="00B5692E"/>
    <w:rsid w:val="00B60B5F"/>
    <w:rsid w:val="00B6496F"/>
    <w:rsid w:val="00B6566D"/>
    <w:rsid w:val="00B71103"/>
    <w:rsid w:val="00B746B6"/>
    <w:rsid w:val="00B767B5"/>
    <w:rsid w:val="00B769C7"/>
    <w:rsid w:val="00B8064D"/>
    <w:rsid w:val="00B80766"/>
    <w:rsid w:val="00B80F06"/>
    <w:rsid w:val="00B827C6"/>
    <w:rsid w:val="00B84CEB"/>
    <w:rsid w:val="00B85C7C"/>
    <w:rsid w:val="00B87E4F"/>
    <w:rsid w:val="00B904A8"/>
    <w:rsid w:val="00B93F09"/>
    <w:rsid w:val="00BA047D"/>
    <w:rsid w:val="00BA23E0"/>
    <w:rsid w:val="00BA4579"/>
    <w:rsid w:val="00BA4DF9"/>
    <w:rsid w:val="00BA6C75"/>
    <w:rsid w:val="00BB1195"/>
    <w:rsid w:val="00BB1390"/>
    <w:rsid w:val="00BB3149"/>
    <w:rsid w:val="00BB7229"/>
    <w:rsid w:val="00BC038C"/>
    <w:rsid w:val="00BC1F95"/>
    <w:rsid w:val="00BC271C"/>
    <w:rsid w:val="00BC3027"/>
    <w:rsid w:val="00BC738E"/>
    <w:rsid w:val="00BD0086"/>
    <w:rsid w:val="00BD0576"/>
    <w:rsid w:val="00BD2517"/>
    <w:rsid w:val="00BD3E4F"/>
    <w:rsid w:val="00BE3ABC"/>
    <w:rsid w:val="00BE47FF"/>
    <w:rsid w:val="00BE50D0"/>
    <w:rsid w:val="00BE76AB"/>
    <w:rsid w:val="00BF16FE"/>
    <w:rsid w:val="00BF3BDA"/>
    <w:rsid w:val="00BF4FA2"/>
    <w:rsid w:val="00C0127B"/>
    <w:rsid w:val="00C012F5"/>
    <w:rsid w:val="00C01B02"/>
    <w:rsid w:val="00C0575E"/>
    <w:rsid w:val="00C06616"/>
    <w:rsid w:val="00C066AB"/>
    <w:rsid w:val="00C068BC"/>
    <w:rsid w:val="00C162E2"/>
    <w:rsid w:val="00C17081"/>
    <w:rsid w:val="00C20A85"/>
    <w:rsid w:val="00C20D24"/>
    <w:rsid w:val="00C21473"/>
    <w:rsid w:val="00C216BA"/>
    <w:rsid w:val="00C21821"/>
    <w:rsid w:val="00C27FD4"/>
    <w:rsid w:val="00C30586"/>
    <w:rsid w:val="00C30F9C"/>
    <w:rsid w:val="00C358AA"/>
    <w:rsid w:val="00C365E2"/>
    <w:rsid w:val="00C44EFB"/>
    <w:rsid w:val="00C51AFF"/>
    <w:rsid w:val="00C51FBF"/>
    <w:rsid w:val="00C536ED"/>
    <w:rsid w:val="00C55264"/>
    <w:rsid w:val="00C56259"/>
    <w:rsid w:val="00C61290"/>
    <w:rsid w:val="00C61717"/>
    <w:rsid w:val="00C64711"/>
    <w:rsid w:val="00C64F60"/>
    <w:rsid w:val="00C6695C"/>
    <w:rsid w:val="00C66D2F"/>
    <w:rsid w:val="00C764FD"/>
    <w:rsid w:val="00C8414E"/>
    <w:rsid w:val="00C86318"/>
    <w:rsid w:val="00C934DC"/>
    <w:rsid w:val="00C95513"/>
    <w:rsid w:val="00C96148"/>
    <w:rsid w:val="00C96C0D"/>
    <w:rsid w:val="00C97946"/>
    <w:rsid w:val="00CA014A"/>
    <w:rsid w:val="00CA4F91"/>
    <w:rsid w:val="00CA6C6C"/>
    <w:rsid w:val="00CA7169"/>
    <w:rsid w:val="00CA7ABB"/>
    <w:rsid w:val="00CB3A25"/>
    <w:rsid w:val="00CB3C87"/>
    <w:rsid w:val="00CB57E5"/>
    <w:rsid w:val="00CB7EE8"/>
    <w:rsid w:val="00CC0BDA"/>
    <w:rsid w:val="00CC3B0C"/>
    <w:rsid w:val="00CD2933"/>
    <w:rsid w:val="00CD45EC"/>
    <w:rsid w:val="00CD4BF5"/>
    <w:rsid w:val="00CD4EFC"/>
    <w:rsid w:val="00CD71F6"/>
    <w:rsid w:val="00CE432C"/>
    <w:rsid w:val="00CE6DBB"/>
    <w:rsid w:val="00CF2A04"/>
    <w:rsid w:val="00D01FAC"/>
    <w:rsid w:val="00D03D1B"/>
    <w:rsid w:val="00D03D4E"/>
    <w:rsid w:val="00D0520C"/>
    <w:rsid w:val="00D10477"/>
    <w:rsid w:val="00D10708"/>
    <w:rsid w:val="00D10777"/>
    <w:rsid w:val="00D12950"/>
    <w:rsid w:val="00D14555"/>
    <w:rsid w:val="00D1607E"/>
    <w:rsid w:val="00D17DCC"/>
    <w:rsid w:val="00D21C68"/>
    <w:rsid w:val="00D23697"/>
    <w:rsid w:val="00D25FDB"/>
    <w:rsid w:val="00D31359"/>
    <w:rsid w:val="00D3199B"/>
    <w:rsid w:val="00D323B4"/>
    <w:rsid w:val="00D32EF0"/>
    <w:rsid w:val="00D33DFA"/>
    <w:rsid w:val="00D34665"/>
    <w:rsid w:val="00D35E52"/>
    <w:rsid w:val="00D36FA6"/>
    <w:rsid w:val="00D37244"/>
    <w:rsid w:val="00D411BF"/>
    <w:rsid w:val="00D41428"/>
    <w:rsid w:val="00D41E9A"/>
    <w:rsid w:val="00D43E39"/>
    <w:rsid w:val="00D45DC5"/>
    <w:rsid w:val="00D47028"/>
    <w:rsid w:val="00D536F8"/>
    <w:rsid w:val="00D53F31"/>
    <w:rsid w:val="00D5584D"/>
    <w:rsid w:val="00D62269"/>
    <w:rsid w:val="00D62910"/>
    <w:rsid w:val="00D62EDC"/>
    <w:rsid w:val="00D63D44"/>
    <w:rsid w:val="00D66206"/>
    <w:rsid w:val="00D7131F"/>
    <w:rsid w:val="00D76F1B"/>
    <w:rsid w:val="00D8369E"/>
    <w:rsid w:val="00D9428D"/>
    <w:rsid w:val="00D975FD"/>
    <w:rsid w:val="00D976DC"/>
    <w:rsid w:val="00DA0B8B"/>
    <w:rsid w:val="00DA244B"/>
    <w:rsid w:val="00DA518F"/>
    <w:rsid w:val="00DA7F88"/>
    <w:rsid w:val="00DB199A"/>
    <w:rsid w:val="00DB45DB"/>
    <w:rsid w:val="00DB52E7"/>
    <w:rsid w:val="00DB5F5E"/>
    <w:rsid w:val="00DB6A20"/>
    <w:rsid w:val="00DC0318"/>
    <w:rsid w:val="00DC2877"/>
    <w:rsid w:val="00DC642F"/>
    <w:rsid w:val="00DD18BB"/>
    <w:rsid w:val="00DD1D5F"/>
    <w:rsid w:val="00DD6410"/>
    <w:rsid w:val="00DE0269"/>
    <w:rsid w:val="00DE6502"/>
    <w:rsid w:val="00DF591D"/>
    <w:rsid w:val="00DF6F1A"/>
    <w:rsid w:val="00E012C5"/>
    <w:rsid w:val="00E023A9"/>
    <w:rsid w:val="00E07D1B"/>
    <w:rsid w:val="00E125FA"/>
    <w:rsid w:val="00E13A6B"/>
    <w:rsid w:val="00E14F68"/>
    <w:rsid w:val="00E218E2"/>
    <w:rsid w:val="00E23C36"/>
    <w:rsid w:val="00E23FEE"/>
    <w:rsid w:val="00E313A4"/>
    <w:rsid w:val="00E341E4"/>
    <w:rsid w:val="00E34AC7"/>
    <w:rsid w:val="00E45115"/>
    <w:rsid w:val="00E470AE"/>
    <w:rsid w:val="00E518AB"/>
    <w:rsid w:val="00E548A7"/>
    <w:rsid w:val="00E57E49"/>
    <w:rsid w:val="00E60499"/>
    <w:rsid w:val="00E6122B"/>
    <w:rsid w:val="00E617CE"/>
    <w:rsid w:val="00E61C50"/>
    <w:rsid w:val="00E6298F"/>
    <w:rsid w:val="00E65426"/>
    <w:rsid w:val="00E65D4A"/>
    <w:rsid w:val="00E7237D"/>
    <w:rsid w:val="00E72EF0"/>
    <w:rsid w:val="00E763AE"/>
    <w:rsid w:val="00E82686"/>
    <w:rsid w:val="00E82BF7"/>
    <w:rsid w:val="00E8650A"/>
    <w:rsid w:val="00E87CCC"/>
    <w:rsid w:val="00E913CB"/>
    <w:rsid w:val="00E9249A"/>
    <w:rsid w:val="00E94BBD"/>
    <w:rsid w:val="00E97343"/>
    <w:rsid w:val="00E975EC"/>
    <w:rsid w:val="00EA1A6C"/>
    <w:rsid w:val="00EA50D7"/>
    <w:rsid w:val="00EA56BF"/>
    <w:rsid w:val="00EA6483"/>
    <w:rsid w:val="00EB6949"/>
    <w:rsid w:val="00EC0569"/>
    <w:rsid w:val="00EC2334"/>
    <w:rsid w:val="00EC3533"/>
    <w:rsid w:val="00EC3C42"/>
    <w:rsid w:val="00EC7252"/>
    <w:rsid w:val="00ED3EE0"/>
    <w:rsid w:val="00ED4DC2"/>
    <w:rsid w:val="00ED5B78"/>
    <w:rsid w:val="00EF2F33"/>
    <w:rsid w:val="00EF596C"/>
    <w:rsid w:val="00EF6596"/>
    <w:rsid w:val="00EF65DB"/>
    <w:rsid w:val="00EF758D"/>
    <w:rsid w:val="00F006D9"/>
    <w:rsid w:val="00F00866"/>
    <w:rsid w:val="00F01C47"/>
    <w:rsid w:val="00F0335E"/>
    <w:rsid w:val="00F07750"/>
    <w:rsid w:val="00F1118F"/>
    <w:rsid w:val="00F12BC3"/>
    <w:rsid w:val="00F169A3"/>
    <w:rsid w:val="00F20119"/>
    <w:rsid w:val="00F262C6"/>
    <w:rsid w:val="00F26333"/>
    <w:rsid w:val="00F26774"/>
    <w:rsid w:val="00F30A77"/>
    <w:rsid w:val="00F35189"/>
    <w:rsid w:val="00F35E04"/>
    <w:rsid w:val="00F4393F"/>
    <w:rsid w:val="00F46A3A"/>
    <w:rsid w:val="00F502FD"/>
    <w:rsid w:val="00F50864"/>
    <w:rsid w:val="00F51875"/>
    <w:rsid w:val="00F52272"/>
    <w:rsid w:val="00F53349"/>
    <w:rsid w:val="00F5375D"/>
    <w:rsid w:val="00F53ADE"/>
    <w:rsid w:val="00F53B23"/>
    <w:rsid w:val="00F5444A"/>
    <w:rsid w:val="00F5454E"/>
    <w:rsid w:val="00F715C3"/>
    <w:rsid w:val="00F718BD"/>
    <w:rsid w:val="00F740D5"/>
    <w:rsid w:val="00F76BC3"/>
    <w:rsid w:val="00F80507"/>
    <w:rsid w:val="00F8304B"/>
    <w:rsid w:val="00F83CD3"/>
    <w:rsid w:val="00F85F61"/>
    <w:rsid w:val="00F874EE"/>
    <w:rsid w:val="00F9345D"/>
    <w:rsid w:val="00F95487"/>
    <w:rsid w:val="00F95DEF"/>
    <w:rsid w:val="00FA1553"/>
    <w:rsid w:val="00FA3E42"/>
    <w:rsid w:val="00FA4DF8"/>
    <w:rsid w:val="00FB45FB"/>
    <w:rsid w:val="00FC09A1"/>
    <w:rsid w:val="00FC1781"/>
    <w:rsid w:val="00FC244F"/>
    <w:rsid w:val="00FC3FDF"/>
    <w:rsid w:val="00FD19A7"/>
    <w:rsid w:val="00FD4957"/>
    <w:rsid w:val="00FD5D32"/>
    <w:rsid w:val="00FD79DA"/>
    <w:rsid w:val="00FE0260"/>
    <w:rsid w:val="00FE2ADC"/>
    <w:rsid w:val="00FE5997"/>
    <w:rsid w:val="00FE61DF"/>
    <w:rsid w:val="00FF08A1"/>
    <w:rsid w:val="00FF0950"/>
    <w:rsid w:val="00FF477B"/>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en-GB" w:eastAsia="de-DE"/>
    </w:rPr>
  </w:style>
  <w:style w:type="paragraph" w:styleId="Heading1">
    <w:name w:val="heading 1"/>
    <w:basedOn w:val="Normal"/>
    <w:next w:val="Normal"/>
    <w:rsid w:val="004C4EE9"/>
    <w:pPr>
      <w:keepNext/>
      <w:outlineLvl w:val="0"/>
    </w:pPr>
    <w:rPr>
      <w:b/>
      <w:sz w:val="28"/>
      <w:szCs w:val="20"/>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link w:val="CommentTextChar"/>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link w:val="SWCTextChar"/>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eastAsia="es-ES"/>
    </w:rPr>
  </w:style>
  <w:style w:type="paragraph" w:customStyle="1" w:styleId="AuthorAdress">
    <w:name w:val="AuthorAdress"/>
    <w:basedOn w:val="Normal"/>
    <w:next w:val="Affiliations"/>
    <w:rsid w:val="00155FB8"/>
    <w:pPr>
      <w:spacing w:after="120" w:line="320" w:lineRule="atLeast"/>
      <w:jc w:val="center"/>
    </w:pPr>
    <w:rPr>
      <w:i/>
      <w:lang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customStyle="1" w:styleId="EndNoteBibliographyTitle">
    <w:name w:val="EndNote Bibliography Title"/>
    <w:basedOn w:val="Normal"/>
    <w:link w:val="EndNoteBibliographyTitleChar"/>
    <w:rsid w:val="00497804"/>
    <w:pPr>
      <w:jc w:val="center"/>
    </w:pPr>
    <w:rPr>
      <w:noProof/>
      <w:sz w:val="20"/>
    </w:rPr>
  </w:style>
  <w:style w:type="character" w:customStyle="1" w:styleId="SWCTextChar">
    <w:name w:val="SWC_Text Char"/>
    <w:basedOn w:val="DefaultParagraphFont"/>
    <w:link w:val="SWCText"/>
    <w:rsid w:val="00497804"/>
    <w:rPr>
      <w:color w:val="000000"/>
      <w:szCs w:val="22"/>
      <w:lang w:val="en-US" w:eastAsia="de-DE"/>
    </w:rPr>
  </w:style>
  <w:style w:type="character" w:customStyle="1" w:styleId="EndNoteBibliographyTitleChar">
    <w:name w:val="EndNote Bibliography Title Char"/>
    <w:basedOn w:val="SWCTextChar"/>
    <w:link w:val="EndNoteBibliographyTitle"/>
    <w:rsid w:val="00497804"/>
    <w:rPr>
      <w:noProof/>
      <w:color w:val="000000"/>
      <w:szCs w:val="24"/>
      <w:lang w:val="en-GB" w:eastAsia="de-DE"/>
    </w:rPr>
  </w:style>
  <w:style w:type="paragraph" w:customStyle="1" w:styleId="EndNoteBibliography">
    <w:name w:val="EndNote Bibliography"/>
    <w:basedOn w:val="Normal"/>
    <w:link w:val="EndNoteBibliographyChar"/>
    <w:rsid w:val="00497804"/>
    <w:pPr>
      <w:jc w:val="both"/>
    </w:pPr>
    <w:rPr>
      <w:noProof/>
      <w:sz w:val="20"/>
    </w:rPr>
  </w:style>
  <w:style w:type="character" w:customStyle="1" w:styleId="EndNoteBibliographyChar">
    <w:name w:val="EndNote Bibliography Char"/>
    <w:basedOn w:val="SWCTextChar"/>
    <w:link w:val="EndNoteBibliography"/>
    <w:rsid w:val="00497804"/>
    <w:rPr>
      <w:noProof/>
      <w:color w:val="000000"/>
      <w:szCs w:val="24"/>
      <w:lang w:val="en-GB" w:eastAsia="de-DE"/>
    </w:rPr>
  </w:style>
  <w:style w:type="character" w:styleId="UnresolvedMention">
    <w:name w:val="Unresolved Mention"/>
    <w:basedOn w:val="DefaultParagraphFont"/>
    <w:uiPriority w:val="99"/>
    <w:semiHidden/>
    <w:unhideWhenUsed/>
    <w:rsid w:val="000A69A6"/>
    <w:rPr>
      <w:color w:val="605E5C"/>
      <w:shd w:val="clear" w:color="auto" w:fill="E1DFDD"/>
    </w:rPr>
  </w:style>
  <w:style w:type="character" w:customStyle="1" w:styleId="CommentTextChar">
    <w:name w:val="Comment Text Char"/>
    <w:basedOn w:val="DefaultParagraphFont"/>
    <w:link w:val="CommentText"/>
    <w:semiHidden/>
    <w:rsid w:val="008951DD"/>
    <w:rPr>
      <w:lang w:val="de-DE" w:eastAsia="de-DE"/>
    </w:rPr>
  </w:style>
  <w:style w:type="paragraph" w:styleId="Header">
    <w:name w:val="header"/>
    <w:basedOn w:val="Normal"/>
    <w:link w:val="HeaderChar"/>
    <w:uiPriority w:val="99"/>
    <w:unhideWhenUsed/>
    <w:rsid w:val="004E2761"/>
    <w:pPr>
      <w:tabs>
        <w:tab w:val="center" w:pos="4513"/>
        <w:tab w:val="right" w:pos="9026"/>
      </w:tabs>
    </w:pPr>
  </w:style>
  <w:style w:type="character" w:customStyle="1" w:styleId="HeaderChar">
    <w:name w:val="Header Char"/>
    <w:basedOn w:val="DefaultParagraphFont"/>
    <w:link w:val="Header"/>
    <w:uiPriority w:val="99"/>
    <w:rsid w:val="004E2761"/>
    <w:rPr>
      <w:sz w:val="24"/>
      <w:szCs w:val="24"/>
      <w:lang w:val="en-GB" w:eastAsia="de-DE"/>
    </w:rPr>
  </w:style>
  <w:style w:type="paragraph" w:styleId="Footer">
    <w:name w:val="footer"/>
    <w:basedOn w:val="Normal"/>
    <w:link w:val="FooterChar"/>
    <w:uiPriority w:val="99"/>
    <w:unhideWhenUsed/>
    <w:rsid w:val="004E2761"/>
    <w:pPr>
      <w:tabs>
        <w:tab w:val="center" w:pos="4513"/>
        <w:tab w:val="right" w:pos="9026"/>
      </w:tabs>
    </w:pPr>
  </w:style>
  <w:style w:type="character" w:customStyle="1" w:styleId="FooterChar">
    <w:name w:val="Footer Char"/>
    <w:basedOn w:val="DefaultParagraphFont"/>
    <w:link w:val="Footer"/>
    <w:uiPriority w:val="99"/>
    <w:rsid w:val="004E2761"/>
    <w:rPr>
      <w:sz w:val="24"/>
      <w:szCs w:val="24"/>
      <w:lang w:val="en-GB" w:eastAsia="de-DE"/>
    </w:rPr>
  </w:style>
  <w:style w:type="paragraph" w:styleId="ListParagraph">
    <w:name w:val="List Paragraph"/>
    <w:basedOn w:val="Normal"/>
    <w:uiPriority w:val="34"/>
    <w:rsid w:val="00B06915"/>
    <w:pPr>
      <w:ind w:left="720"/>
      <w:contextualSpacing/>
    </w:pPr>
  </w:style>
  <w:style w:type="character" w:styleId="Strong">
    <w:name w:val="Strong"/>
    <w:basedOn w:val="DefaultParagraphFont"/>
    <w:uiPriority w:val="22"/>
    <w:qFormat/>
    <w:rsid w:val="00117E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03A45387B8FA4F90C958E0A4577D1D" ma:contentTypeVersion="11" ma:contentTypeDescription="Create a new document." ma:contentTypeScope="" ma:versionID="abb37f688079c4653770983bcbccc57b">
  <xsd:schema xmlns:xsd="http://www.w3.org/2001/XMLSchema" xmlns:xs="http://www.w3.org/2001/XMLSchema" xmlns:p="http://schemas.microsoft.com/office/2006/metadata/properties" xmlns:ns2="652ba3d1-278e-4015-80ef-cb42e6564373" xmlns:ns3="c6d7e9f9-a432-44fe-aadf-9b58f058c7b0" targetNamespace="http://schemas.microsoft.com/office/2006/metadata/properties" ma:root="true" ma:fieldsID="eab8fccb7caae529a8b14ecdff89318b" ns2:_="" ns3:_="">
    <xsd:import namespace="652ba3d1-278e-4015-80ef-cb42e6564373"/>
    <xsd:import namespace="c6d7e9f9-a432-44fe-aadf-9b58f058c7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ba3d1-278e-4015-80ef-cb42e6564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74c433-8f55-4a30-8add-d96be3d684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Ok" ma:index="18" nillable="true" ma:displayName="Ok" ma:default="1" ma:format="Dropdown" ma:internalName="Ok">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d7e9f9-a432-44fe-aadf-9b58f058c7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de8453-2064-4fcd-ad02-dd4004c61f41}" ma:internalName="TaxCatchAll" ma:showField="CatchAllData" ma:web="c6d7e9f9-a432-44fe-aadf-9b58f058c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2ba3d1-278e-4015-80ef-cb42e6564373">
      <Terms xmlns="http://schemas.microsoft.com/office/infopath/2007/PartnerControls"/>
    </lcf76f155ced4ddcb4097134ff3c332f>
    <Ok xmlns="652ba3d1-278e-4015-80ef-cb42e6564373">true</Ok>
    <TaxCatchAll xmlns="c6d7e9f9-a432-44fe-aadf-9b58f058c7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11D40-8116-4366-B9B2-93279BC2A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ba3d1-278e-4015-80ef-cb42e6564373"/>
    <ds:schemaRef ds:uri="c6d7e9f9-a432-44fe-aadf-9b58f058c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36D02B-881F-4B0A-8717-339D5A00D5F9}">
  <ds:schemaRefs>
    <ds:schemaRef ds:uri="http://schemas.microsoft.com/office/2006/metadata/properties"/>
    <ds:schemaRef ds:uri="http://schemas.microsoft.com/office/infopath/2007/PartnerControls"/>
    <ds:schemaRef ds:uri="652ba3d1-278e-4015-80ef-cb42e6564373"/>
    <ds:schemaRef ds:uri="c6d7e9f9-a432-44fe-aadf-9b58f058c7b0"/>
  </ds:schemaRefs>
</ds:datastoreItem>
</file>

<file path=customXml/itemProps3.xml><?xml version="1.0" encoding="utf-8"?>
<ds:datastoreItem xmlns:ds="http://schemas.openxmlformats.org/officeDocument/2006/customXml" ds:itemID="{AD7D7052-0AEA-48EC-9612-AD6A9CFC23F0}">
  <ds:schemaRefs>
    <ds:schemaRef ds:uri="http://schemas.microsoft.com/sharepoint/v3/contenttype/forms"/>
  </ds:schemaRefs>
</ds:datastoreItem>
</file>

<file path=customXml/itemProps4.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7562</TotalTime>
  <Pages>10</Pages>
  <Words>6070</Words>
  <Characters>34604</Characters>
  <Application>Microsoft Office Word</Application>
  <DocSecurity>0</DocSecurity>
  <Lines>288</Lines>
  <Paragraphs>81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ISES SWC2015 – Paper Formatting Guidelines</vt:lpstr>
      <vt:lpstr>ISES SWC2015 – Paper Formatting Guidelines</vt:lpstr>
    </vt:vector>
  </TitlesOfParts>
  <Company>Oxford Brookes University</Company>
  <LinksUpToDate>false</LinksUpToDate>
  <CharactersWithSpaces>40593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Mim, Mumtahina</cp:lastModifiedBy>
  <cp:revision>437</cp:revision>
  <cp:lastPrinted>2023-02-22T09:40:00Z</cp:lastPrinted>
  <dcterms:created xsi:type="dcterms:W3CDTF">2026-03-13T14:53:00Z</dcterms:created>
  <dcterms:modified xsi:type="dcterms:W3CDTF">2026-09-10T16:39:00Z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0x0101003703A45387B8FA4F90C958E0A4577D1D</vt:lpwstr>
  </property>
  <property fmtid="{D5CDD505-2E9C-101B-9397-08002B2CF9AE}" pid="3" name="GrammarlyDocumentId">
    <vt:lpwstr>ed13bd36-4a08-483a-aeed-4d7b215f7d89</vt:lpwstr>
  </property>
</Properties>
</file>