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FDE26" w14:textId="433C01F0" w:rsidR="0096279A" w:rsidRPr="00E35D8F" w:rsidRDefault="0096279A" w:rsidP="00D01607">
      <w:pPr>
        <w:pStyle w:val="SWCTitle"/>
        <w:rPr>
          <w:sz w:val="28"/>
          <w:szCs w:val="28"/>
        </w:rPr>
      </w:pPr>
      <w:r w:rsidRPr="00E35D8F">
        <w:rPr>
          <w:sz w:val="28"/>
          <w:szCs w:val="28"/>
        </w:rPr>
        <w:t>EuroSun2026</w:t>
      </w:r>
    </w:p>
    <w:p w14:paraId="4E7A21FC" w14:textId="045F2CD1" w:rsidR="00D32EF0" w:rsidRPr="00E35D8F" w:rsidRDefault="00C8738E" w:rsidP="00907C6F">
      <w:pPr>
        <w:pStyle w:val="SWCTitle"/>
        <w:spacing w:before="0" w:after="0"/>
        <w:rPr>
          <w:sz w:val="28"/>
          <w:szCs w:val="28"/>
        </w:rPr>
      </w:pPr>
      <w:r w:rsidRPr="00C8738E">
        <w:rPr>
          <w:sz w:val="28"/>
          <w:szCs w:val="28"/>
        </w:rPr>
        <w:t>S</w:t>
      </w:r>
      <w:r>
        <w:rPr>
          <w:rFonts w:hint="eastAsia"/>
          <w:sz w:val="28"/>
          <w:szCs w:val="28"/>
          <w:lang w:eastAsia="zh-CN"/>
        </w:rPr>
        <w:t>ENSITIVITY</w:t>
      </w:r>
      <w:r w:rsidRPr="00C8738E">
        <w:rPr>
          <w:sz w:val="28"/>
          <w:szCs w:val="28"/>
        </w:rPr>
        <w:t xml:space="preserve"> </w:t>
      </w:r>
      <w:r>
        <w:rPr>
          <w:rFonts w:hint="eastAsia"/>
          <w:sz w:val="28"/>
          <w:szCs w:val="28"/>
          <w:lang w:eastAsia="zh-CN"/>
        </w:rPr>
        <w:t>OF</w:t>
      </w:r>
      <w:r w:rsidRPr="00C8738E">
        <w:rPr>
          <w:sz w:val="28"/>
          <w:szCs w:val="28"/>
        </w:rPr>
        <w:t xml:space="preserve"> O</w:t>
      </w:r>
      <w:r>
        <w:rPr>
          <w:rFonts w:hint="eastAsia"/>
          <w:sz w:val="28"/>
          <w:szCs w:val="28"/>
          <w:lang w:eastAsia="zh-CN"/>
        </w:rPr>
        <w:t>FFICE</w:t>
      </w:r>
      <w:r w:rsidRPr="00C8738E">
        <w:rPr>
          <w:sz w:val="28"/>
          <w:szCs w:val="28"/>
        </w:rPr>
        <w:t xml:space="preserve"> </w:t>
      </w:r>
      <w:r w:rsidR="008B6D22">
        <w:rPr>
          <w:rFonts w:hint="eastAsia"/>
          <w:sz w:val="28"/>
          <w:szCs w:val="28"/>
          <w:lang w:eastAsia="zh-CN"/>
        </w:rPr>
        <w:t>BUILDING</w:t>
      </w:r>
      <w:r w:rsidRPr="00C8738E">
        <w:rPr>
          <w:sz w:val="28"/>
          <w:szCs w:val="28"/>
        </w:rPr>
        <w:t xml:space="preserve"> E</w:t>
      </w:r>
      <w:r w:rsidR="008B6D22">
        <w:rPr>
          <w:rFonts w:hint="eastAsia"/>
          <w:sz w:val="28"/>
          <w:szCs w:val="28"/>
          <w:lang w:eastAsia="zh-CN"/>
        </w:rPr>
        <w:t>NERGY</w:t>
      </w:r>
      <w:r w:rsidRPr="00C8738E">
        <w:rPr>
          <w:sz w:val="28"/>
          <w:szCs w:val="28"/>
        </w:rPr>
        <w:t xml:space="preserve"> U</w:t>
      </w:r>
      <w:r w:rsidR="008B6D22">
        <w:rPr>
          <w:rFonts w:hint="eastAsia"/>
          <w:sz w:val="28"/>
          <w:szCs w:val="28"/>
          <w:lang w:eastAsia="zh-CN"/>
        </w:rPr>
        <w:t>SE</w:t>
      </w:r>
      <w:r w:rsidRPr="00C8738E">
        <w:rPr>
          <w:sz w:val="28"/>
          <w:szCs w:val="28"/>
        </w:rPr>
        <w:t xml:space="preserve"> </w:t>
      </w:r>
      <w:r w:rsidR="008B6D22">
        <w:rPr>
          <w:rFonts w:hint="eastAsia"/>
          <w:sz w:val="28"/>
          <w:szCs w:val="28"/>
          <w:lang w:eastAsia="zh-CN"/>
        </w:rPr>
        <w:t>AND</w:t>
      </w:r>
      <w:r w:rsidRPr="00C8738E">
        <w:rPr>
          <w:sz w:val="28"/>
          <w:szCs w:val="28"/>
        </w:rPr>
        <w:t xml:space="preserve"> R</w:t>
      </w:r>
      <w:r w:rsidR="008B6D22">
        <w:rPr>
          <w:rFonts w:hint="eastAsia"/>
          <w:sz w:val="28"/>
          <w:szCs w:val="28"/>
          <w:lang w:eastAsia="zh-CN"/>
        </w:rPr>
        <w:t>OOFTOP</w:t>
      </w:r>
      <w:r w:rsidRPr="00C8738E">
        <w:rPr>
          <w:sz w:val="28"/>
          <w:szCs w:val="28"/>
        </w:rPr>
        <w:t xml:space="preserve"> B</w:t>
      </w:r>
      <w:r w:rsidR="008B6D22">
        <w:rPr>
          <w:rFonts w:hint="eastAsia"/>
          <w:sz w:val="28"/>
          <w:szCs w:val="28"/>
          <w:lang w:eastAsia="zh-CN"/>
        </w:rPr>
        <w:t>IFACIAL</w:t>
      </w:r>
      <w:r w:rsidRPr="00C8738E">
        <w:rPr>
          <w:sz w:val="28"/>
          <w:szCs w:val="28"/>
        </w:rPr>
        <w:t xml:space="preserve"> PV G</w:t>
      </w:r>
      <w:r w:rsidR="008B6D22">
        <w:rPr>
          <w:rFonts w:hint="eastAsia"/>
          <w:sz w:val="28"/>
          <w:szCs w:val="28"/>
          <w:lang w:eastAsia="zh-CN"/>
        </w:rPr>
        <w:t>ENERATION</w:t>
      </w:r>
      <w:r w:rsidRPr="00C8738E">
        <w:rPr>
          <w:sz w:val="28"/>
          <w:szCs w:val="28"/>
        </w:rPr>
        <w:t xml:space="preserve"> </w:t>
      </w:r>
      <w:r w:rsidR="008B6D22">
        <w:rPr>
          <w:rFonts w:hint="eastAsia"/>
          <w:sz w:val="28"/>
          <w:szCs w:val="28"/>
          <w:lang w:eastAsia="zh-CN"/>
        </w:rPr>
        <w:t>TO</w:t>
      </w:r>
      <w:r w:rsidRPr="00C8738E">
        <w:rPr>
          <w:sz w:val="28"/>
          <w:szCs w:val="28"/>
        </w:rPr>
        <w:t xml:space="preserve"> D</w:t>
      </w:r>
      <w:r w:rsidR="008B6D22">
        <w:rPr>
          <w:rFonts w:hint="eastAsia"/>
          <w:sz w:val="28"/>
          <w:szCs w:val="28"/>
          <w:lang w:eastAsia="zh-CN"/>
        </w:rPr>
        <w:t>ESIGN</w:t>
      </w:r>
      <w:r w:rsidRPr="00C8738E">
        <w:rPr>
          <w:sz w:val="28"/>
          <w:szCs w:val="28"/>
        </w:rPr>
        <w:t xml:space="preserve"> </w:t>
      </w:r>
      <w:r w:rsidR="008B6D22">
        <w:rPr>
          <w:rFonts w:hint="eastAsia"/>
          <w:sz w:val="28"/>
          <w:szCs w:val="28"/>
          <w:lang w:eastAsia="zh-CN"/>
        </w:rPr>
        <w:t>AND</w:t>
      </w:r>
      <w:r w:rsidRPr="00C8738E">
        <w:rPr>
          <w:sz w:val="28"/>
          <w:szCs w:val="28"/>
        </w:rPr>
        <w:t xml:space="preserve"> T</w:t>
      </w:r>
      <w:r w:rsidR="006170D7">
        <w:rPr>
          <w:rFonts w:hint="eastAsia"/>
          <w:sz w:val="28"/>
          <w:szCs w:val="28"/>
          <w:lang w:eastAsia="zh-CN"/>
        </w:rPr>
        <w:t>HERMAL</w:t>
      </w:r>
      <w:r w:rsidRPr="00C8738E">
        <w:rPr>
          <w:sz w:val="28"/>
          <w:szCs w:val="28"/>
        </w:rPr>
        <w:t>-B</w:t>
      </w:r>
      <w:r w:rsidR="006170D7">
        <w:rPr>
          <w:rFonts w:hint="eastAsia"/>
          <w:sz w:val="28"/>
          <w:szCs w:val="28"/>
          <w:lang w:eastAsia="zh-CN"/>
        </w:rPr>
        <w:t>OUNDARY</w:t>
      </w:r>
      <w:r w:rsidRPr="00C8738E">
        <w:rPr>
          <w:sz w:val="28"/>
          <w:szCs w:val="28"/>
        </w:rPr>
        <w:t xml:space="preserve"> P</w:t>
      </w:r>
      <w:r w:rsidR="00A00F51">
        <w:rPr>
          <w:rFonts w:hint="eastAsia"/>
          <w:sz w:val="28"/>
          <w:szCs w:val="28"/>
          <w:lang w:eastAsia="zh-CN"/>
        </w:rPr>
        <w:t>ARAMETERS</w:t>
      </w:r>
    </w:p>
    <w:p w14:paraId="3E7693A5" w14:textId="2447CC76" w:rsidR="001646F8" w:rsidRPr="00565E03" w:rsidRDefault="00941906" w:rsidP="001646F8">
      <w:pPr>
        <w:pStyle w:val="SWCTitle"/>
        <w:spacing w:before="0" w:after="0"/>
        <w:jc w:val="left"/>
        <w:rPr>
          <w:rFonts w:ascii="Times New Roman" w:hAnsi="Times New Roman"/>
          <w:b w:val="0"/>
          <w:sz w:val="20"/>
          <w:szCs w:val="20"/>
          <w:lang w:eastAsia="zh-CN"/>
        </w:rPr>
      </w:pPr>
      <w:r w:rsidRPr="00E35D8F">
        <w:rPr>
          <w:rFonts w:ascii="Times New Roman" w:hAnsi="Times New Roman"/>
          <w:b w:val="0"/>
          <w:sz w:val="20"/>
          <w:szCs w:val="20"/>
          <w:lang w:eastAsia="zh-CN"/>
        </w:rPr>
        <w:t>Zhonggui</w:t>
      </w:r>
      <w:r w:rsidR="002832DA" w:rsidRPr="00E35D8F">
        <w:rPr>
          <w:rFonts w:ascii="Times New Roman" w:hAnsi="Times New Roman"/>
          <w:b w:val="0"/>
          <w:sz w:val="20"/>
          <w:szCs w:val="20"/>
          <w:lang w:eastAsia="zh-CN"/>
        </w:rPr>
        <w:t xml:space="preserve"> Xu</w:t>
      </w:r>
      <w:r w:rsidR="001646F8" w:rsidRPr="00E35D8F">
        <w:rPr>
          <w:rFonts w:ascii="Times New Roman" w:hAnsi="Times New Roman"/>
          <w:b w:val="0"/>
          <w:sz w:val="20"/>
          <w:szCs w:val="20"/>
          <w:vertAlign w:val="superscript"/>
        </w:rPr>
        <w:t>1</w:t>
      </w:r>
      <w:r w:rsidR="001646F8" w:rsidRPr="00E35D8F">
        <w:rPr>
          <w:rFonts w:ascii="Times New Roman" w:hAnsi="Times New Roman"/>
          <w:b w:val="0"/>
          <w:sz w:val="20"/>
          <w:szCs w:val="20"/>
        </w:rPr>
        <w:t xml:space="preserve">, </w:t>
      </w:r>
      <w:r w:rsidR="008D0797" w:rsidRPr="00E35D8F">
        <w:rPr>
          <w:rFonts w:ascii="Times New Roman" w:hAnsi="Times New Roman"/>
          <w:b w:val="0"/>
          <w:sz w:val="20"/>
          <w:szCs w:val="20"/>
          <w:lang w:eastAsia="zh-CN"/>
        </w:rPr>
        <w:t>Rui Guo</w:t>
      </w:r>
      <w:r w:rsidR="008D0797" w:rsidRPr="00E35D8F">
        <w:rPr>
          <w:rFonts w:ascii="Times New Roman" w:hAnsi="Times New Roman"/>
          <w:b w:val="0"/>
          <w:sz w:val="20"/>
          <w:szCs w:val="20"/>
          <w:vertAlign w:val="superscript"/>
          <w:lang w:eastAsia="zh-CN"/>
        </w:rPr>
        <w:t>1*</w:t>
      </w:r>
      <w:r w:rsidR="001646F8" w:rsidRPr="00E35D8F">
        <w:rPr>
          <w:rFonts w:ascii="Times New Roman" w:hAnsi="Times New Roman"/>
          <w:b w:val="0"/>
          <w:sz w:val="20"/>
          <w:szCs w:val="20"/>
        </w:rPr>
        <w:t xml:space="preserve">, </w:t>
      </w:r>
      <w:proofErr w:type="spellStart"/>
      <w:r w:rsidR="008D0797" w:rsidRPr="00E35D8F">
        <w:rPr>
          <w:rFonts w:ascii="Times New Roman" w:hAnsi="Times New Roman"/>
          <w:b w:val="0"/>
          <w:sz w:val="20"/>
          <w:szCs w:val="20"/>
          <w:lang w:eastAsia="zh-CN"/>
        </w:rPr>
        <w:t>Haibin</w:t>
      </w:r>
      <w:proofErr w:type="spellEnd"/>
      <w:r w:rsidR="00964BA2" w:rsidRPr="00E35D8F">
        <w:rPr>
          <w:rFonts w:ascii="Times New Roman" w:hAnsi="Times New Roman"/>
          <w:b w:val="0"/>
          <w:sz w:val="20"/>
          <w:szCs w:val="20"/>
          <w:lang w:eastAsia="zh-CN"/>
        </w:rPr>
        <w:t xml:space="preserve"> Chen</w:t>
      </w:r>
      <w:r w:rsidR="00366ED9">
        <w:rPr>
          <w:rFonts w:ascii="Times New Roman" w:hAnsi="Times New Roman" w:hint="eastAsia"/>
          <w:b w:val="0"/>
          <w:sz w:val="20"/>
          <w:szCs w:val="20"/>
          <w:vertAlign w:val="superscript"/>
          <w:lang w:eastAsia="zh-CN"/>
        </w:rPr>
        <w:t>1</w:t>
      </w:r>
      <w:r w:rsidR="00565E03">
        <w:rPr>
          <w:rFonts w:ascii="Times New Roman" w:hAnsi="Times New Roman" w:hint="eastAsia"/>
          <w:b w:val="0"/>
          <w:sz w:val="20"/>
          <w:szCs w:val="20"/>
          <w:lang w:eastAsia="zh-CN"/>
        </w:rPr>
        <w:t xml:space="preserve">, </w:t>
      </w:r>
      <w:r w:rsidR="00DF5E23" w:rsidRPr="00DF5E23">
        <w:rPr>
          <w:rFonts w:ascii="Times New Roman" w:hAnsi="Times New Roman"/>
          <w:b w:val="0"/>
          <w:sz w:val="20"/>
          <w:szCs w:val="20"/>
          <w:lang w:eastAsia="zh-CN"/>
        </w:rPr>
        <w:t>Julian Wang</w:t>
      </w:r>
      <w:r w:rsidR="00366ED9">
        <w:rPr>
          <w:rFonts w:ascii="Times New Roman" w:hAnsi="Times New Roman" w:hint="eastAsia"/>
          <w:b w:val="0"/>
          <w:sz w:val="20"/>
          <w:szCs w:val="20"/>
          <w:vertAlign w:val="superscript"/>
          <w:lang w:eastAsia="zh-CN"/>
        </w:rPr>
        <w:t>2</w:t>
      </w:r>
    </w:p>
    <w:p w14:paraId="660AE546" w14:textId="717B8589" w:rsidR="00BE083A" w:rsidRDefault="00292F08" w:rsidP="001646F8">
      <w:pPr>
        <w:pStyle w:val="SWCTitle"/>
        <w:spacing w:before="0" w:after="0"/>
        <w:jc w:val="left"/>
        <w:rPr>
          <w:rFonts w:ascii="Times New Roman" w:hAnsi="Times New Roman"/>
          <w:b w:val="0"/>
          <w:sz w:val="20"/>
          <w:szCs w:val="22"/>
        </w:rPr>
      </w:pPr>
      <w:r w:rsidRPr="00292F08">
        <w:rPr>
          <w:rFonts w:ascii="Times New Roman" w:hAnsi="Times New Roman" w:hint="eastAsia"/>
          <w:b w:val="0"/>
          <w:sz w:val="20"/>
          <w:szCs w:val="22"/>
          <w:vertAlign w:val="superscript"/>
          <w:lang w:eastAsia="zh-CN"/>
        </w:rPr>
        <w:t>1</w:t>
      </w:r>
      <w:r w:rsidR="00BE083A" w:rsidRPr="00E35D8F">
        <w:rPr>
          <w:rFonts w:ascii="Times New Roman" w:hAnsi="Times New Roman"/>
          <w:b w:val="0"/>
          <w:sz w:val="20"/>
          <w:szCs w:val="22"/>
        </w:rPr>
        <w:t xml:space="preserve">School of Environmental Science and Engineering, Huazhong University of Science and Technology, Wuhan 430074, China </w:t>
      </w:r>
    </w:p>
    <w:p w14:paraId="125DCB33" w14:textId="4BBB8F02" w:rsidR="00292F08" w:rsidRPr="00E35D8F" w:rsidRDefault="00366ED9" w:rsidP="001646F8">
      <w:pPr>
        <w:pStyle w:val="SWCTitle"/>
        <w:spacing w:before="0" w:after="0"/>
        <w:jc w:val="left"/>
        <w:rPr>
          <w:rFonts w:ascii="Times New Roman" w:hAnsi="Times New Roman"/>
          <w:b w:val="0"/>
          <w:sz w:val="20"/>
          <w:szCs w:val="22"/>
        </w:rPr>
      </w:pPr>
      <w:r>
        <w:rPr>
          <w:rFonts w:ascii="Times New Roman" w:hAnsi="Times New Roman" w:hint="eastAsia"/>
          <w:b w:val="0"/>
          <w:sz w:val="20"/>
          <w:szCs w:val="22"/>
          <w:vertAlign w:val="superscript"/>
          <w:lang w:eastAsia="zh-CN"/>
        </w:rPr>
        <w:t>2</w:t>
      </w:r>
      <w:r w:rsidR="00292F08" w:rsidRPr="00292F08">
        <w:rPr>
          <w:rFonts w:ascii="Times New Roman" w:hAnsi="Times New Roman"/>
          <w:b w:val="0"/>
          <w:sz w:val="20"/>
          <w:szCs w:val="22"/>
        </w:rPr>
        <w:t>Department of Architectural Engineering, The Pennsylvania State University, PA 16802, USA</w:t>
      </w:r>
    </w:p>
    <w:p w14:paraId="4B0AA172" w14:textId="77777777" w:rsidR="001646F8" w:rsidRPr="00E35D8F" w:rsidRDefault="00127B8C" w:rsidP="001646F8">
      <w:pPr>
        <w:pStyle w:val="SWCTitle"/>
        <w:spacing w:before="0" w:after="0"/>
        <w:jc w:val="left"/>
        <w:rPr>
          <w:rFonts w:ascii="Times New Roman" w:hAnsi="Times New Roman"/>
          <w:b w:val="0"/>
          <w:sz w:val="20"/>
          <w:szCs w:val="22"/>
          <w:lang w:eastAsia="zh-CN"/>
        </w:rPr>
      </w:pPr>
      <w:r w:rsidRPr="00E35D8F">
        <w:rPr>
          <w:rFonts w:ascii="Times New Roman" w:hAnsi="Times New Roman"/>
          <w:b w:val="0"/>
          <w:sz w:val="20"/>
          <w:szCs w:val="20"/>
          <w:vertAlign w:val="superscript"/>
          <w:lang w:eastAsia="zh-CN"/>
        </w:rPr>
        <w:t>*</w:t>
      </w:r>
      <w:r w:rsidR="001646F8" w:rsidRPr="00E35D8F">
        <w:rPr>
          <w:rFonts w:ascii="Times New Roman" w:hAnsi="Times New Roman"/>
          <w:b w:val="0"/>
          <w:sz w:val="20"/>
          <w:szCs w:val="22"/>
        </w:rPr>
        <w:t>Email</w:t>
      </w:r>
      <w:r w:rsidR="00951427" w:rsidRPr="00E35D8F">
        <w:rPr>
          <w:rFonts w:ascii="Times New Roman" w:hAnsi="Times New Roman"/>
          <w:b w:val="0"/>
          <w:sz w:val="20"/>
          <w:szCs w:val="22"/>
          <w:lang w:eastAsia="zh-CN"/>
        </w:rPr>
        <w:t>:</w:t>
      </w:r>
      <w:r w:rsidR="001053C0" w:rsidRPr="00E35D8F">
        <w:rPr>
          <w:rFonts w:ascii="Times New Roman" w:hAnsi="Times New Roman"/>
          <w:b w:val="0"/>
          <w:sz w:val="20"/>
          <w:szCs w:val="22"/>
          <w:lang w:eastAsia="zh-CN"/>
        </w:rPr>
        <w:t xml:space="preserve"> </w:t>
      </w:r>
      <w:hyperlink r:id="rId8" w:history="1">
        <w:r w:rsidR="007F3DD7" w:rsidRPr="007874F3">
          <w:rPr>
            <w:rStyle w:val="a8"/>
            <w:rFonts w:ascii="Times New Roman" w:hAnsi="Times New Roman"/>
            <w:b w:val="0"/>
            <w:color w:val="auto"/>
            <w:sz w:val="20"/>
            <w:szCs w:val="22"/>
            <w:lang w:eastAsia="zh-CN"/>
          </w:rPr>
          <w:t>guorui@hust.edu.cn</w:t>
        </w:r>
      </w:hyperlink>
    </w:p>
    <w:p w14:paraId="71E06548" w14:textId="77777777" w:rsidR="001A775B" w:rsidRPr="00E35D8F" w:rsidRDefault="001A775B" w:rsidP="005C3C20">
      <w:pPr>
        <w:pStyle w:val="SWCSummary"/>
      </w:pPr>
      <w:r w:rsidRPr="00E35D8F">
        <w:t>Summary</w:t>
      </w:r>
    </w:p>
    <w:p w14:paraId="3C3001CF" w14:textId="3A90308A" w:rsidR="005641C4" w:rsidRDefault="005641C4" w:rsidP="005641C4">
      <w:pPr>
        <w:pStyle w:val="SWCText"/>
        <w:spacing w:after="0"/>
        <w:rPr>
          <w:lang w:eastAsia="zh-CN"/>
        </w:rPr>
      </w:pPr>
      <w:r>
        <w:t>Rooftop bifacial photovoltaic (</w:t>
      </w:r>
      <w:proofErr w:type="spellStart"/>
      <w:r>
        <w:t>bPV</w:t>
      </w:r>
      <w:proofErr w:type="spellEnd"/>
      <w:r>
        <w:t xml:space="preserve">) systems can generate on-site electricity while modifying the roof thermal boundary and thereby affecting building heating and cooling demand. Identifying the importance of relevant design and thermal-boundary parameters can facilitate the coordinated design of the rooftop and </w:t>
      </w:r>
      <w:proofErr w:type="spellStart"/>
      <w:r>
        <w:t>bPV</w:t>
      </w:r>
      <w:proofErr w:type="spellEnd"/>
      <w:r>
        <w:t xml:space="preserve"> system.</w:t>
      </w:r>
    </w:p>
    <w:p w14:paraId="489A7750" w14:textId="200C5D19" w:rsidR="003B5368" w:rsidRPr="00E35D8F" w:rsidRDefault="00377712" w:rsidP="003811F3">
      <w:pPr>
        <w:pStyle w:val="SWCText"/>
        <w:rPr>
          <w:lang w:eastAsia="zh-CN"/>
        </w:rPr>
      </w:pPr>
      <w:r w:rsidRPr="00377712">
        <w:rPr>
          <w:lang w:val="de-DE"/>
        </w:rPr>
        <w:t xml:space="preserve">This study used a building–bPV framework in EnergyPlus to simulate PV generation and building energy use for a three-storey office building in Chongqing, China. Seven geometric, optical, and thermal-boundary parameters were selected, and Latin Hypercube Sampling cases were generated under new and existing building envelope scenarios, followed by uncertainty analysis and global sensitivity analysis using </w:t>
      </w:r>
      <w:r w:rsidR="008570DD">
        <w:rPr>
          <w:rFonts w:hint="eastAsia"/>
          <w:lang w:val="de-DE" w:eastAsia="zh-CN"/>
        </w:rPr>
        <w:t xml:space="preserve">the </w:t>
      </w:r>
      <w:r w:rsidRPr="00377712">
        <w:rPr>
          <w:lang w:val="de-DE"/>
        </w:rPr>
        <w:t xml:space="preserve">regression method. </w:t>
      </w:r>
      <w:r w:rsidR="009E3DC4" w:rsidRPr="009E3DC4">
        <w:rPr>
          <w:lang w:val="de-DE"/>
        </w:rPr>
        <w:t xml:space="preserve">The results showed that annual PV generation varied from 21.4 to 32.9 MWh within the 5th–95th percentile range, with little difference between the two building scenarios. In contrast, annual heating, ventilation, and air-conditioning (HVAC) electricity use intensity was substantially lower for the new building, decreasing from 23.3–26.6 kWh m⁻² for the existing building to 15.8–16.4 kWh m⁻². The </w:t>
      </w:r>
      <w:r w:rsidR="00A57DCE">
        <w:rPr>
          <w:rFonts w:hint="eastAsia"/>
          <w:lang w:val="de-DE" w:eastAsia="zh-CN"/>
        </w:rPr>
        <w:t xml:space="preserve">global </w:t>
      </w:r>
      <w:r w:rsidR="009E3DC4" w:rsidRPr="009E3DC4">
        <w:rPr>
          <w:lang w:val="de-DE"/>
        </w:rPr>
        <w:t xml:space="preserve">sensitivity analysis </w:t>
      </w:r>
      <w:r w:rsidR="00927B94" w:rsidRPr="00927B94">
        <w:rPr>
          <w:lang w:val="de-DE"/>
        </w:rPr>
        <w:t>further</w:t>
      </w:r>
      <w:r w:rsidR="00927B94">
        <w:rPr>
          <w:rFonts w:hint="eastAsia"/>
          <w:lang w:val="de-DE" w:eastAsia="zh-CN"/>
        </w:rPr>
        <w:t xml:space="preserve"> </w:t>
      </w:r>
      <w:r w:rsidR="009E3DC4" w:rsidRPr="009E3DC4">
        <w:rPr>
          <w:lang w:val="de-DE"/>
        </w:rPr>
        <w:t xml:space="preserve">showed that, on the PV side, annual PV generation was most sensitive to PV tilt angle and roof albedo. Increasing PV tilt reduced annual </w:t>
      </w:r>
      <w:r w:rsidR="00CD6962">
        <w:rPr>
          <w:rFonts w:hint="eastAsia"/>
          <w:lang w:val="de-DE" w:eastAsia="zh-CN"/>
        </w:rPr>
        <w:t xml:space="preserve">PV </w:t>
      </w:r>
      <w:r w:rsidR="009E3DC4" w:rsidRPr="009E3DC4">
        <w:rPr>
          <w:lang w:val="de-DE"/>
        </w:rPr>
        <w:t xml:space="preserve">generation, whereas increasing roof albedo increased it. The prescribed </w:t>
      </w:r>
      <w:r w:rsidR="00CD6962">
        <w:rPr>
          <w:rFonts w:hint="eastAsia"/>
          <w:lang w:val="de-DE" w:eastAsia="zh-CN"/>
        </w:rPr>
        <w:t xml:space="preserve">PV </w:t>
      </w:r>
      <w:r w:rsidR="009E3DC4" w:rsidRPr="009E3DC4">
        <w:rPr>
          <w:lang w:val="de-DE"/>
        </w:rPr>
        <w:t>front- and rear-side convective heat transfer coefficients (CHTCs) had a greater influence on array-side direct-current peak power than on annual PV generation. On the building side, roof albedo was the dominant parameter for annual HVAC and cooling electricity use intensities, followed by roof exterior CHTC. Higher roof albedo reduced annual HVAC and cooling electricity use intensities but increased annual heating electricity use intensity.</w:t>
      </w:r>
      <w:r w:rsidR="00AB0AFF" w:rsidRPr="00AB0AFF">
        <w:rPr>
          <w:lang w:val="de-DE"/>
        </w:rPr>
        <w:t xml:space="preserve"> These findings</w:t>
      </w:r>
      <w:r w:rsidR="007164EB">
        <w:rPr>
          <w:rFonts w:hint="eastAsia"/>
          <w:lang w:val="de-DE" w:eastAsia="zh-CN"/>
        </w:rPr>
        <w:t xml:space="preserve"> can </w:t>
      </w:r>
      <w:r w:rsidR="00AB0AFF" w:rsidRPr="00AB0AFF">
        <w:rPr>
          <w:lang w:val="de-DE"/>
        </w:rPr>
        <w:t>provide a basis for coordinated rooftop and bPV system design.</w:t>
      </w:r>
      <w:r w:rsidRPr="00377712">
        <w:rPr>
          <w:lang w:val="de-DE"/>
        </w:rPr>
        <w:t xml:space="preserve"> </w:t>
      </w:r>
    </w:p>
    <w:p w14:paraId="68E01126" w14:textId="19C3FBA1" w:rsidR="003B5368" w:rsidRPr="00E35D8F" w:rsidRDefault="003B5368" w:rsidP="003B5368">
      <w:pPr>
        <w:pStyle w:val="SWCText"/>
        <w:rPr>
          <w:i/>
          <w:iCs/>
        </w:rPr>
      </w:pPr>
      <w:r w:rsidRPr="00E35D8F">
        <w:rPr>
          <w:i/>
          <w:iCs/>
        </w:rPr>
        <w:t>Keywords: bifacial photovoltaic,</w:t>
      </w:r>
      <w:r w:rsidR="005D4465">
        <w:rPr>
          <w:rFonts w:hint="eastAsia"/>
          <w:i/>
          <w:iCs/>
          <w:lang w:eastAsia="zh-CN"/>
        </w:rPr>
        <w:t xml:space="preserve"> </w:t>
      </w:r>
      <w:r w:rsidR="00D442CB" w:rsidRPr="00D442CB">
        <w:rPr>
          <w:i/>
          <w:iCs/>
          <w:lang w:val="de-DE" w:eastAsia="zh-CN"/>
        </w:rPr>
        <w:t>uncertainty analysis</w:t>
      </w:r>
      <w:r w:rsidR="00D442CB">
        <w:rPr>
          <w:rFonts w:hint="eastAsia"/>
          <w:i/>
          <w:iCs/>
          <w:lang w:val="de-DE" w:eastAsia="zh-CN"/>
        </w:rPr>
        <w:t xml:space="preserve">, </w:t>
      </w:r>
      <w:r w:rsidRPr="00E35D8F">
        <w:rPr>
          <w:i/>
          <w:iCs/>
        </w:rPr>
        <w:t xml:space="preserve">sensitivity analysis, parametric simulation, </w:t>
      </w:r>
      <w:r w:rsidR="005F0ACE" w:rsidRPr="005F0ACE">
        <w:rPr>
          <w:i/>
          <w:iCs/>
        </w:rPr>
        <w:t>convective heat transfer coefficient</w:t>
      </w:r>
      <w:r w:rsidRPr="00E35D8F">
        <w:rPr>
          <w:i/>
          <w:iCs/>
        </w:rPr>
        <w:t>, design and thermal-boundary parameters</w:t>
      </w:r>
    </w:p>
    <w:p w14:paraId="76FEDDE1" w14:textId="77777777" w:rsidR="00FA4DF8" w:rsidRPr="00E35D8F" w:rsidRDefault="002C089D" w:rsidP="001A775B">
      <w:pPr>
        <w:pStyle w:val="SWCText"/>
        <w:pBdr>
          <w:bottom w:val="single" w:sz="6" w:space="1" w:color="auto"/>
        </w:pBdr>
        <w:rPr>
          <w:i/>
          <w:iCs/>
          <w:lang w:eastAsia="zh-CN"/>
        </w:rPr>
      </w:pPr>
      <w:r w:rsidRPr="00E35D8F">
        <w:rPr>
          <w:i/>
          <w:iCs/>
        </w:rPr>
        <w:t>Field of application for the findings:</w:t>
      </w:r>
      <w:r w:rsidR="00C25796" w:rsidRPr="00E35D8F">
        <w:rPr>
          <w:i/>
          <w:iCs/>
          <w:lang w:eastAsia="zh-CN"/>
        </w:rPr>
        <w:t xml:space="preserve"> </w:t>
      </w:r>
      <w:r w:rsidR="00DE2EFA" w:rsidRPr="00E35D8F">
        <w:rPr>
          <w:i/>
          <w:iCs/>
          <w:lang w:eastAsia="zh-CN"/>
        </w:rPr>
        <w:t>B</w:t>
      </w:r>
      <w:r w:rsidR="00C25796" w:rsidRPr="00E35D8F">
        <w:rPr>
          <w:i/>
          <w:iCs/>
          <w:lang w:eastAsia="zh-CN"/>
        </w:rPr>
        <w:t>uilding energy efficiency</w:t>
      </w:r>
      <w:r w:rsidR="00995A42" w:rsidRPr="00E35D8F">
        <w:rPr>
          <w:i/>
          <w:iCs/>
          <w:lang w:eastAsia="zh-CN"/>
        </w:rPr>
        <w:t>,</w:t>
      </w:r>
      <w:r w:rsidR="00C25796" w:rsidRPr="00E35D8F">
        <w:rPr>
          <w:i/>
          <w:iCs/>
          <w:lang w:eastAsia="zh-CN"/>
        </w:rPr>
        <w:t xml:space="preserve"> solar energy systems</w:t>
      </w:r>
    </w:p>
    <w:p w14:paraId="2A930357" w14:textId="77777777" w:rsidR="002C089D" w:rsidRPr="00E35D8F" w:rsidRDefault="00CC3B0C" w:rsidP="001A775B">
      <w:pPr>
        <w:pStyle w:val="SWCText"/>
        <w:pBdr>
          <w:bottom w:val="single" w:sz="6" w:space="1" w:color="auto"/>
        </w:pBdr>
      </w:pPr>
      <w:r w:rsidRPr="00E35D8F">
        <w:rPr>
          <w:i/>
          <w:iCs/>
        </w:rPr>
        <w:t>Addressed audience:</w:t>
      </w:r>
      <w:r w:rsidR="00A03507" w:rsidRPr="00E35D8F">
        <w:t xml:space="preserve"> </w:t>
      </w:r>
      <w:r w:rsidR="00A03507" w:rsidRPr="00E35D8F">
        <w:rPr>
          <w:i/>
          <w:iCs/>
        </w:rPr>
        <w:t>Building energy engineers, solar energy researchers, architects, and building designers</w:t>
      </w:r>
    </w:p>
    <w:p w14:paraId="64F3EB28" w14:textId="27A5A583" w:rsidR="00BD380B" w:rsidRPr="00E35D8F" w:rsidRDefault="0089439E" w:rsidP="0089439E">
      <w:pPr>
        <w:pStyle w:val="SWCHeading1"/>
        <w:numPr>
          <w:ilvl w:val="0"/>
          <w:numId w:val="0"/>
        </w:numPr>
        <w:jc w:val="left"/>
        <w:outlineLvl w:val="0"/>
      </w:pPr>
      <w:r>
        <w:rPr>
          <w:rFonts w:hint="eastAsia"/>
          <w:lang w:eastAsia="zh-CN"/>
        </w:rPr>
        <w:t>1.</w:t>
      </w:r>
      <w:r w:rsidR="00686EE0">
        <w:rPr>
          <w:rFonts w:hint="eastAsia"/>
          <w:lang w:eastAsia="zh-CN"/>
        </w:rPr>
        <w:t xml:space="preserve"> </w:t>
      </w:r>
      <w:r w:rsidR="00D32EF0" w:rsidRPr="00E35D8F">
        <w:t>Introduction</w:t>
      </w:r>
    </w:p>
    <w:p w14:paraId="6E3BF8AF" w14:textId="5EE48FB5" w:rsidR="004F6076" w:rsidRPr="00E35D8F" w:rsidRDefault="009D1B9A" w:rsidP="007C1632">
      <w:pPr>
        <w:pStyle w:val="SWCText"/>
      </w:pPr>
      <w:r w:rsidRPr="009D1B9A">
        <w:rPr>
          <w:lang w:val="de-DE"/>
        </w:rPr>
        <w:t xml:space="preserve">The buildings and construction sector accounts for a substantial share of global energy use and CO₂ emissions. According to the </w:t>
      </w:r>
      <w:r w:rsidR="00EC7899">
        <w:rPr>
          <w:rFonts w:hint="eastAsia"/>
          <w:lang w:val="de-DE" w:eastAsia="zh-CN"/>
        </w:rPr>
        <w:t>2024/</w:t>
      </w:r>
      <w:r w:rsidR="009604EF">
        <w:rPr>
          <w:rFonts w:hint="eastAsia"/>
          <w:lang w:val="de-DE" w:eastAsia="zh-CN"/>
        </w:rPr>
        <w:t>2025</w:t>
      </w:r>
      <w:r w:rsidRPr="009D1B9A">
        <w:rPr>
          <w:lang w:val="de-DE"/>
        </w:rPr>
        <w:t xml:space="preserve"> Global Status Report for Buildings and Construction, the sector consumes about 32% of global energy and contributes about 34% of global CO₂ emissions </w:t>
      </w:r>
      <w:r w:rsidR="00442543">
        <w:rPr>
          <w:lang w:val="de-DE"/>
        </w:rPr>
        <w:fldChar w:fldCharType="begin"/>
      </w:r>
      <w:r w:rsidR="00442543">
        <w:rPr>
          <w:lang w:val="de-DE"/>
        </w:rPr>
        <w:instrText xml:space="preserve"> ADDIN ZOTERO_ITEM CSL_CITATION {"citationID":"Se6UYkC5","properties":{"unsorted":false,"formattedCitation":"(United Nations Environment Programme, 2025)","plainCitation":"(United Nations Environment Programme, 2025)","noteIndex":0},"citationItems":[{"id":2663,"uris":["http://zotero.org/users/17474343/items/A3WXHXD3"],"itemData":{"id":2663,"type":"book","abstract":"This report underscores the urgency of harmonizing building codes, scaling low-carbon materials, increasing equitable access to green financing and incentivizing circular construction. Workforce development programmes must also prioritize filling skill gaps while fostering gender diversity in green construction leadership roles. Moreover, stronger global coordination and accountability mechanisms such as the G20’s Voluntary Action Plan to double energy efficiency by 2030 are critical to accelerating progress.","DOI":"10.59117/20.500.11822/47214","ISBN":"978-92-807-4215-2","language":"en","publisher":"United Nations Environment Programme","source":"DOI.org (Crossref)","title":"Not just another brick in the wall: The solutions exist - Scaling them will build on progress and cut emissions fast. Global Status Report for Buildings and Construction 2024/2025","title-short":"Not just another brick in the wall","URL":"https://wedocs.unep.org/20.500.11822/47214","author":[{"literal":"United Nations Environment Programme"}],"accessed":{"date-parts":[["2026",7,4]]},"issued":{"date-parts":[["2025",3]]}}}],"schema":"https://github.com/citation-style-language/schema/raw/master/csl-citation.json"} </w:instrText>
      </w:r>
      <w:r w:rsidR="00442543">
        <w:rPr>
          <w:lang w:val="de-DE"/>
        </w:rPr>
        <w:fldChar w:fldCharType="separate"/>
      </w:r>
      <w:r w:rsidR="00442543" w:rsidRPr="00442543">
        <w:t>(United Nations Environment Programme, 2025)</w:t>
      </w:r>
      <w:r w:rsidR="00442543">
        <w:rPr>
          <w:lang w:val="de-DE"/>
        </w:rPr>
        <w:fldChar w:fldCharType="end"/>
      </w:r>
      <w:r w:rsidRPr="009D1B9A">
        <w:rPr>
          <w:lang w:val="de-DE"/>
        </w:rPr>
        <w:t>.</w:t>
      </w:r>
      <w:r w:rsidR="00ED2FF5" w:rsidRPr="00E35D8F">
        <w:t xml:space="preserve"> </w:t>
      </w:r>
      <w:r w:rsidR="002E186B" w:rsidRPr="002E186B">
        <w:t>Reducing these impacts requires both demand-side energy reduction and the integration of on-site renewable energy systems in buildings.</w:t>
      </w:r>
      <w:r w:rsidR="00C82535">
        <w:rPr>
          <w:rFonts w:hint="eastAsia"/>
          <w:lang w:eastAsia="zh-CN"/>
        </w:rPr>
        <w:t xml:space="preserve"> </w:t>
      </w:r>
      <w:r w:rsidR="004F6076" w:rsidRPr="00E35D8F">
        <w:rPr>
          <w:lang w:eastAsia="zh-CN"/>
        </w:rPr>
        <w:t>Among emerging renewable energy technologies, bifacial photovoltaic (</w:t>
      </w:r>
      <w:proofErr w:type="spellStart"/>
      <w:r w:rsidR="00B41E41" w:rsidRPr="00E35D8F">
        <w:rPr>
          <w:lang w:eastAsia="zh-CN"/>
        </w:rPr>
        <w:t>b</w:t>
      </w:r>
      <w:r w:rsidR="004F6076" w:rsidRPr="00E35D8F">
        <w:rPr>
          <w:lang w:eastAsia="zh-CN"/>
        </w:rPr>
        <w:t>PV</w:t>
      </w:r>
      <w:proofErr w:type="spellEnd"/>
      <w:r w:rsidR="004F6076" w:rsidRPr="00E35D8F">
        <w:rPr>
          <w:lang w:eastAsia="zh-CN"/>
        </w:rPr>
        <w:t xml:space="preserve">) panels have attracted increasing attention due to their ability to generate electricity from both front and rear surfaces. </w:t>
      </w:r>
      <w:r w:rsidR="00E40B33" w:rsidRPr="00E35D8F">
        <w:rPr>
          <w:lang w:eastAsia="zh-CN"/>
        </w:rPr>
        <w:t xml:space="preserve">For rooftop applications, the performance of </w:t>
      </w:r>
      <w:proofErr w:type="spellStart"/>
      <w:r w:rsidR="00E40B33" w:rsidRPr="00E35D8F">
        <w:rPr>
          <w:lang w:eastAsia="zh-CN"/>
        </w:rPr>
        <w:t>b</w:t>
      </w:r>
      <w:r w:rsidR="00215A59" w:rsidRPr="00E35D8F">
        <w:rPr>
          <w:lang w:eastAsia="zh-CN"/>
        </w:rPr>
        <w:t>PV</w:t>
      </w:r>
      <w:proofErr w:type="spellEnd"/>
      <w:r w:rsidR="00E40B33" w:rsidRPr="00E35D8F">
        <w:rPr>
          <w:lang w:eastAsia="zh-CN"/>
        </w:rPr>
        <w:t xml:space="preserve"> systems depends not only on front-side solar irradiance, but also on the availability of rear-side irradiance reflected from the roof surface, which is affected by roof albedo, module arrangement, and installation geometry</w:t>
      </w:r>
      <w:r w:rsidR="002C23D5" w:rsidRPr="00E35D8F">
        <w:rPr>
          <w:lang w:eastAsia="zh-CN"/>
        </w:rPr>
        <w:t xml:space="preserve"> </w:t>
      </w:r>
      <w:r w:rsidR="002C23D5" w:rsidRPr="00E35D8F">
        <w:rPr>
          <w:lang w:eastAsia="zh-CN"/>
        </w:rPr>
        <w:fldChar w:fldCharType="begin"/>
      </w:r>
      <w:r w:rsidR="002C23D5" w:rsidRPr="00E35D8F">
        <w:rPr>
          <w:lang w:eastAsia="zh-CN"/>
        </w:rPr>
        <w:instrText xml:space="preserve"> ADDIN ZOTERO_ITEM CSL_CITATION {"citationID":"eAKYVDaJ","properties":{"formattedCitation":"(Zhong et al., 2023)","plainCitation":"(Zhong et al., 2023)","noteIndex":0},"citationItems":[{"id":191,"uris":["http://zotero.org/users/17474343/items/JXTPCHTE"],"itemData":{"id":191,"type":"article-journal","abstract":"Bifacial photovoltaic (bPV) modules can both obtain the front and rear light to get higher power output, which has attracted extensive attention and is expected to substitute for mono-facial photovoltaic technology (mPV). The bPV technology has always been developing with new technologies and applications constantly emerging. However, there is little review on bPV technology applied in buildings. The current reviews mainly focus on the principle and performance research of bPV technology. This work focuses on reviewing the application status of bPV technology in buildings, which aims to contribute to the large-scale application of bPV technology in buildings and reduce building energy problems. The latest innovative development of bPV technology and the key issues in the application of bPV technology in buildings were summarized and analyzed. For the further development of bPV technology, research on battery materials and structures is beneficial for improving the utilization rate of light at different wavelengths. For the building application of bPV technology, the issue of uneven irradiation of the rear side is a key factor hindering the large-scale application of bPV in buildings, and the use of back reflectors can effectively alleviate this problem.","container-title":"Renewable and Sustainable Energy Reviews","DOI":"10.1016/j.rser.2023.113706","ISSN":"13640321","journalAbbreviation":"Renewable and Sustainable Energy Reviews","language":"en","note":"titleTranslation: </w:instrText>
      </w:r>
      <w:r w:rsidR="002C23D5" w:rsidRPr="00E35D8F">
        <w:rPr>
          <w:lang w:eastAsia="zh-CN"/>
        </w:rPr>
        <w:instrText>双面光伏技术的发展与挑战以及在建筑物中的应用：综述</w:instrText>
      </w:r>
      <w:r w:rsidR="002C23D5" w:rsidRPr="00E35D8F">
        <w:rPr>
          <w:lang w:eastAsia="zh-CN"/>
        </w:rPr>
        <w:instrText xml:space="preserve">\nabstractTranslation: </w:instrText>
      </w:r>
      <w:r w:rsidR="002C23D5" w:rsidRPr="00E35D8F">
        <w:rPr>
          <w:lang w:eastAsia="zh-CN"/>
        </w:rPr>
        <w:instrText>双面光伏（</w:instrText>
      </w:r>
      <w:r w:rsidR="002C23D5" w:rsidRPr="00E35D8F">
        <w:rPr>
          <w:lang w:eastAsia="zh-CN"/>
        </w:rPr>
        <w:instrText>bPV</w:instrText>
      </w:r>
      <w:r w:rsidR="002C23D5" w:rsidRPr="00E35D8F">
        <w:rPr>
          <w:lang w:eastAsia="zh-CN"/>
        </w:rPr>
        <w:instrText>）组件可同时获得前方和后方光线，从而获得更高的功率输出，这已引起广泛关注，并有望取代单面光伏技术（</w:instrText>
      </w:r>
      <w:r w:rsidR="002C23D5" w:rsidRPr="00E35D8F">
        <w:rPr>
          <w:lang w:eastAsia="zh-CN"/>
        </w:rPr>
        <w:instrText>mPV</w:instrText>
      </w:r>
      <w:r w:rsidR="002C23D5" w:rsidRPr="00E35D8F">
        <w:rPr>
          <w:lang w:eastAsia="zh-CN"/>
        </w:rPr>
        <w:instrText>）。双面光伏技术一直在不断发展，新技术和新应用层出不穷。然而，有关在建筑物中应用</w:instrText>
      </w:r>
      <w:r w:rsidR="002C23D5" w:rsidRPr="00E35D8F">
        <w:rPr>
          <w:lang w:eastAsia="zh-CN"/>
        </w:rPr>
        <w:instrText xml:space="preserve"> bPV </w:instrText>
      </w:r>
      <w:r w:rsidR="002C23D5" w:rsidRPr="00E35D8F">
        <w:rPr>
          <w:lang w:eastAsia="zh-CN"/>
        </w:rPr>
        <w:instrText>技术的综述却很少。目前的综述主要集中在</w:instrText>
      </w:r>
      <w:r w:rsidR="002C23D5" w:rsidRPr="00E35D8F">
        <w:rPr>
          <w:lang w:eastAsia="zh-CN"/>
        </w:rPr>
        <w:instrText xml:space="preserve"> bPV </w:instrText>
      </w:r>
      <w:r w:rsidR="002C23D5" w:rsidRPr="00E35D8F">
        <w:rPr>
          <w:lang w:eastAsia="zh-CN"/>
        </w:rPr>
        <w:instrText>技术的原理和性能研究方面。本研究重点回顾了</w:instrText>
      </w:r>
      <w:r w:rsidR="002C23D5" w:rsidRPr="00E35D8F">
        <w:rPr>
          <w:lang w:eastAsia="zh-CN"/>
        </w:rPr>
        <w:instrText xml:space="preserve"> bPV </w:instrText>
      </w:r>
      <w:r w:rsidR="002C23D5" w:rsidRPr="00E35D8F">
        <w:rPr>
          <w:lang w:eastAsia="zh-CN"/>
        </w:rPr>
        <w:instrText>技术在建筑中的应用现状，旨在促进</w:instrText>
      </w:r>
      <w:r w:rsidR="002C23D5" w:rsidRPr="00E35D8F">
        <w:rPr>
          <w:lang w:eastAsia="zh-CN"/>
        </w:rPr>
        <w:instrText xml:space="preserve"> bPV </w:instrText>
      </w:r>
      <w:r w:rsidR="002C23D5" w:rsidRPr="00E35D8F">
        <w:rPr>
          <w:lang w:eastAsia="zh-CN"/>
        </w:rPr>
        <w:instrText>技术在建筑中的大规模应用，减少建筑能耗问题。本文总结并分析了</w:instrText>
      </w:r>
      <w:r w:rsidR="002C23D5" w:rsidRPr="00E35D8F">
        <w:rPr>
          <w:lang w:eastAsia="zh-CN"/>
        </w:rPr>
        <w:instrText xml:space="preserve"> bPV </w:instrText>
      </w:r>
      <w:r w:rsidR="002C23D5" w:rsidRPr="00E35D8F">
        <w:rPr>
          <w:lang w:eastAsia="zh-CN"/>
        </w:rPr>
        <w:instrText>技术的最新创新发展以及</w:instrText>
      </w:r>
      <w:r w:rsidR="002C23D5" w:rsidRPr="00E35D8F">
        <w:rPr>
          <w:lang w:eastAsia="zh-CN"/>
        </w:rPr>
        <w:instrText xml:space="preserve"> bPV </w:instrText>
      </w:r>
      <w:r w:rsidR="002C23D5" w:rsidRPr="00E35D8F">
        <w:rPr>
          <w:lang w:eastAsia="zh-CN"/>
        </w:rPr>
        <w:instrText>技术在建筑中应用的关键问题。为了进一步发展</w:instrText>
      </w:r>
      <w:r w:rsidR="002C23D5" w:rsidRPr="00E35D8F">
        <w:rPr>
          <w:lang w:eastAsia="zh-CN"/>
        </w:rPr>
        <w:instrText xml:space="preserve"> bPV </w:instrText>
      </w:r>
      <w:r w:rsidR="002C23D5" w:rsidRPr="00E35D8F">
        <w:rPr>
          <w:lang w:eastAsia="zh-CN"/>
        </w:rPr>
        <w:instrText>技术，对电池材料和结构的研究有利于提高不同波长光的利用率。对于</w:instrText>
      </w:r>
      <w:r w:rsidR="002C23D5" w:rsidRPr="00E35D8F">
        <w:rPr>
          <w:lang w:eastAsia="zh-CN"/>
        </w:rPr>
        <w:instrText xml:space="preserve"> bPV </w:instrText>
      </w:r>
      <w:r w:rsidR="002C23D5" w:rsidRPr="00E35D8F">
        <w:rPr>
          <w:lang w:eastAsia="zh-CN"/>
        </w:rPr>
        <w:instrText>技术在建筑中的应用，后侧照射不均匀的问题是阻碍</w:instrText>
      </w:r>
      <w:r w:rsidR="002C23D5" w:rsidRPr="00E35D8F">
        <w:rPr>
          <w:lang w:eastAsia="zh-CN"/>
        </w:rPr>
        <w:instrText xml:space="preserve"> bPV </w:instrText>
      </w:r>
      <w:r w:rsidR="002C23D5" w:rsidRPr="00E35D8F">
        <w:rPr>
          <w:lang w:eastAsia="zh-CN"/>
        </w:rPr>
        <w:instrText>在建筑中大规模应用的关键因素，而使用背反射器可以有效缓解这一问题。</w:instrText>
      </w:r>
      <w:r w:rsidR="002C23D5" w:rsidRPr="00E35D8F">
        <w:rPr>
          <w:lang w:eastAsia="zh-CN"/>
        </w:rPr>
        <w:instrText xml:space="preserve">","page":"113706","source":"DOI.org (Crossref)","title":"Development and challenges of bifacial photovoltaic technology and application in buildings: A review","title-short":"Development and challenges of bifacial photovoltaic technology and application in buildings","URL":"https://linkinghub.elsevier.com/retrieve/pii/S1364032123005634","volume":"187","author":[{"family":"Zhong","given":"Jianmei"},{"family":"Zhang","given":"Wei"},{"family":"Xie","given":"Lingzhi"},{"family":"Zhao","given":"Oufan"},{"family":"Wu","given":"Xin"},{"family":"Zeng","given":"Xiding"},{"family":"Guo","given":"Jiahong"}],"accessed":{"date-parts":[["2025",9,30]]},"issued":{"date-parts":[["2023",11]]}}}],"schema":"https://github.com/citation-style-language/schema/raw/master/csl-citation.json"} </w:instrText>
      </w:r>
      <w:r w:rsidR="002C23D5" w:rsidRPr="00E35D8F">
        <w:rPr>
          <w:lang w:eastAsia="zh-CN"/>
        </w:rPr>
        <w:fldChar w:fldCharType="separate"/>
      </w:r>
      <w:r w:rsidR="002C23D5" w:rsidRPr="00E35D8F">
        <w:t>(Zhong et al., 2023)</w:t>
      </w:r>
      <w:r w:rsidR="002C23D5" w:rsidRPr="00E35D8F">
        <w:rPr>
          <w:lang w:eastAsia="zh-CN"/>
        </w:rPr>
        <w:fldChar w:fldCharType="end"/>
      </w:r>
      <w:r w:rsidR="004F6076" w:rsidRPr="00E35D8F">
        <w:rPr>
          <w:lang w:eastAsia="zh-CN"/>
        </w:rPr>
        <w:t>.</w:t>
      </w:r>
    </w:p>
    <w:p w14:paraId="0DC0468A" w14:textId="08789AD4" w:rsidR="006E75DE" w:rsidRPr="00E35D8F" w:rsidRDefault="00086FBB" w:rsidP="006E75DE">
      <w:pPr>
        <w:pStyle w:val="SWCText"/>
        <w:rPr>
          <w:lang w:eastAsia="zh-CN"/>
        </w:rPr>
      </w:pPr>
      <w:r w:rsidRPr="00E35D8F">
        <w:rPr>
          <w:lang w:eastAsia="zh-CN"/>
        </w:rPr>
        <w:t xml:space="preserve">Most previous studies on rooftop or building-applied </w:t>
      </w:r>
      <w:proofErr w:type="spellStart"/>
      <w:r w:rsidRPr="00E35D8F">
        <w:rPr>
          <w:lang w:eastAsia="zh-CN"/>
        </w:rPr>
        <w:t>bPV</w:t>
      </w:r>
      <w:proofErr w:type="spellEnd"/>
      <w:r w:rsidRPr="00E35D8F">
        <w:rPr>
          <w:lang w:eastAsia="zh-CN"/>
        </w:rPr>
        <w:t xml:space="preserve"> systems have focused on improving electrical output </w:t>
      </w:r>
      <w:r w:rsidRPr="00E35D8F">
        <w:rPr>
          <w:lang w:eastAsia="zh-CN"/>
        </w:rPr>
        <w:lastRenderedPageBreak/>
        <w:t xml:space="preserve">through optical and geometric optimization, such as </w:t>
      </w:r>
      <w:r w:rsidR="0015535D" w:rsidRPr="00E35D8F">
        <w:rPr>
          <w:lang w:eastAsia="zh-CN"/>
        </w:rPr>
        <w:t>module mounting height, roof albedo, tilt angle, and installation configuration</w:t>
      </w:r>
      <w:r w:rsidR="00B01CA2" w:rsidRPr="00E35D8F">
        <w:rPr>
          <w:lang w:eastAsia="zh-CN"/>
        </w:rPr>
        <w:t>.</w:t>
      </w:r>
      <w:r w:rsidR="0015535D" w:rsidRPr="00E35D8F">
        <w:rPr>
          <w:lang w:eastAsia="zh-CN"/>
        </w:rPr>
        <w:t xml:space="preserve"> </w:t>
      </w:r>
      <w:r w:rsidR="00A96650" w:rsidRPr="00A96650">
        <w:rPr>
          <w:lang w:eastAsia="zh-CN"/>
        </w:rPr>
        <w:t xml:space="preserve">Beyond electrical generation, however, rooftop </w:t>
      </w:r>
      <w:proofErr w:type="spellStart"/>
      <w:r w:rsidR="00A96650" w:rsidRPr="00A96650">
        <w:rPr>
          <w:lang w:eastAsia="zh-CN"/>
        </w:rPr>
        <w:t>bPV</w:t>
      </w:r>
      <w:proofErr w:type="spellEnd"/>
      <w:r w:rsidR="00A96650" w:rsidRPr="00A96650">
        <w:rPr>
          <w:lang w:eastAsia="zh-CN"/>
        </w:rPr>
        <w:t xml:space="preserve"> arrays also modify the thermal boundary above the roof. Their geometry and surface temperatures affect roof shading, reflected radiation, longwave radiative exchange, and local convective heat transfer, while the roof temperature and radiative environment can in turn influence the rear-side thermal condition of </w:t>
      </w:r>
      <w:proofErr w:type="spellStart"/>
      <w:r w:rsidR="00A96650" w:rsidRPr="00A96650">
        <w:rPr>
          <w:lang w:eastAsia="zh-CN"/>
        </w:rPr>
        <w:t>bPV</w:t>
      </w:r>
      <w:proofErr w:type="spellEnd"/>
      <w:r w:rsidR="00A96650" w:rsidRPr="00A96650">
        <w:rPr>
          <w:lang w:eastAsia="zh-CN"/>
        </w:rPr>
        <w:t xml:space="preserve"> modules. These interactions are important because roof heat balance and exterior convective heat transfer coefficients (CHTCs) can affect </w:t>
      </w:r>
      <w:r w:rsidR="00A36710" w:rsidRPr="00A36710">
        <w:rPr>
          <w:lang w:val="de-DE" w:eastAsia="zh-CN"/>
        </w:rPr>
        <w:t>heating, ventilation, and air-conditioning (HVAC)</w:t>
      </w:r>
      <w:r w:rsidR="00A96650" w:rsidRPr="00A96650">
        <w:rPr>
          <w:lang w:eastAsia="zh-CN"/>
        </w:rPr>
        <w:t xml:space="preserve"> electricity use and peak demand. This creates a need for a modelling framework that explicitly links rooftop PV generation, roof heat balance, roof-side and PV-side CHTC uncertainty, and building HVAC demand within a unified building energy simulation context.</w:t>
      </w:r>
    </w:p>
    <w:p w14:paraId="245EE471" w14:textId="19DAF4AD" w:rsidR="003B5368" w:rsidRPr="00E35D8F" w:rsidRDefault="006E67AD" w:rsidP="003B5368">
      <w:pPr>
        <w:pStyle w:val="SWCText"/>
        <w:rPr>
          <w:lang w:eastAsia="zh-CN"/>
        </w:rPr>
      </w:pPr>
      <w:r w:rsidRPr="00E35D8F">
        <w:t xml:space="preserve">To </w:t>
      </w:r>
      <w:r w:rsidR="00C663A0" w:rsidRPr="00C663A0">
        <w:rPr>
          <w:lang w:val="de-DE"/>
        </w:rPr>
        <w:t>support this need</w:t>
      </w:r>
      <w:r w:rsidRPr="00E35D8F">
        <w:t xml:space="preserve">, this study develops an </w:t>
      </w:r>
      <w:proofErr w:type="spellStart"/>
      <w:r w:rsidR="001B2566" w:rsidRPr="001B2566">
        <w:t>EnergyPlus</w:t>
      </w:r>
      <w:proofErr w:type="spellEnd"/>
      <w:r w:rsidR="001B2566" w:rsidRPr="001B2566">
        <w:t>-based building</w:t>
      </w:r>
      <w:r w:rsidR="00755C35" w:rsidRPr="00755C35">
        <w:rPr>
          <w:lang w:val="de-DE"/>
        </w:rPr>
        <w:t>–</w:t>
      </w:r>
      <w:proofErr w:type="spellStart"/>
      <w:r w:rsidR="001B2566" w:rsidRPr="001B2566">
        <w:t>bPV</w:t>
      </w:r>
      <w:proofErr w:type="spellEnd"/>
      <w:r w:rsidR="001B2566" w:rsidRPr="001B2566">
        <w:t xml:space="preserve"> coupled modelling framework implemented through the </w:t>
      </w:r>
      <w:proofErr w:type="spellStart"/>
      <w:r w:rsidR="001B2566" w:rsidRPr="001B2566">
        <w:t>PythonPlugin</w:t>
      </w:r>
      <w:proofErr w:type="spellEnd"/>
      <w:r w:rsidR="001B2566" w:rsidRPr="001B2566">
        <w:t xml:space="preserve"> interface</w:t>
      </w:r>
      <w:r w:rsidRPr="00E35D8F">
        <w:t xml:space="preserve"> for an office building with an elevated rooftop </w:t>
      </w:r>
      <w:proofErr w:type="spellStart"/>
      <w:r w:rsidRPr="00E35D8F">
        <w:t>bPV</w:t>
      </w:r>
      <w:proofErr w:type="spellEnd"/>
      <w:r w:rsidRPr="00E35D8F">
        <w:t xml:space="preserve"> array in Chongqing, China. Based on 400 Latin Hypercube Sampling </w:t>
      </w:r>
      <w:r w:rsidR="00DE466E" w:rsidRPr="00E35D8F">
        <w:rPr>
          <w:lang w:eastAsia="zh-CN"/>
        </w:rPr>
        <w:t xml:space="preserve">(LHS) </w:t>
      </w:r>
      <w:r w:rsidRPr="00E35D8F">
        <w:t xml:space="preserve">cases, uncertainty analysis and standardized rank regression coefficient (SRRC)-based global sensitivity analysis are conducted to examine seven design and thermal-boundary parameters, including PV tilt angle, row spacing, </w:t>
      </w:r>
      <w:r w:rsidR="004212B3" w:rsidRPr="004212B3">
        <w:rPr>
          <w:lang w:val="de-DE"/>
        </w:rPr>
        <w:t>mounting</w:t>
      </w:r>
      <w:r w:rsidRPr="00E35D8F">
        <w:t xml:space="preserve"> height, roof albedo, roof exterior CHTC, PV front-side CHTC, and PV rear-side CHTC. </w:t>
      </w:r>
      <w:r w:rsidR="001B4655" w:rsidRPr="001B4655">
        <w:t xml:space="preserve">Their effects are evaluated in terms of annual PV generation, </w:t>
      </w:r>
      <w:r w:rsidR="00C418B2" w:rsidRPr="007E54E2">
        <w:rPr>
          <w:lang w:val="de-DE"/>
        </w:rPr>
        <w:t>array-side</w:t>
      </w:r>
      <w:r w:rsidR="001B4655" w:rsidRPr="001B4655">
        <w:t xml:space="preserve"> direct-current (DC) peak PV power, annual HVAC electricity use intensity, annual cooling and heating electricity use intensities, HVAC peak electric power density, and the annual PV-to-building electricity use ratio under new and existing building envelope scenarios</w:t>
      </w:r>
      <w:r w:rsidR="003B5368" w:rsidRPr="00E35D8F">
        <w:t>.</w:t>
      </w:r>
    </w:p>
    <w:p w14:paraId="676E8164" w14:textId="07ADD746" w:rsidR="00BD380B" w:rsidRPr="00E35D8F" w:rsidRDefault="0089439E" w:rsidP="0089439E">
      <w:pPr>
        <w:pStyle w:val="SWCHeading1"/>
        <w:numPr>
          <w:ilvl w:val="0"/>
          <w:numId w:val="0"/>
        </w:numPr>
        <w:jc w:val="left"/>
        <w:outlineLvl w:val="0"/>
      </w:pPr>
      <w:r>
        <w:rPr>
          <w:rFonts w:hint="eastAsia"/>
          <w:lang w:eastAsia="zh-CN"/>
        </w:rPr>
        <w:t>2.</w:t>
      </w:r>
      <w:r w:rsidR="00686EE0">
        <w:rPr>
          <w:rFonts w:hint="eastAsia"/>
          <w:lang w:eastAsia="zh-CN"/>
        </w:rPr>
        <w:t xml:space="preserve"> </w:t>
      </w:r>
      <w:r w:rsidR="00D32EF0" w:rsidRPr="00E35D8F">
        <w:t>Methodology</w:t>
      </w:r>
    </w:p>
    <w:p w14:paraId="1566B7F7" w14:textId="31C22964" w:rsidR="00D67C1F" w:rsidRPr="00E35D8F" w:rsidRDefault="00394BA4" w:rsidP="00E711A1">
      <w:pPr>
        <w:spacing w:before="160" w:after="80" w:line="240" w:lineRule="exact"/>
        <w:outlineLvl w:val="1"/>
        <w:rPr>
          <w:rFonts w:ascii="Arial" w:hAnsi="Arial" w:cs="Arial"/>
          <w:i/>
          <w:iCs/>
          <w:sz w:val="20"/>
          <w:szCs w:val="20"/>
          <w:lang w:val="en-US" w:eastAsia="zh-CN"/>
        </w:rPr>
      </w:pPr>
      <w:r w:rsidRPr="00E35D8F">
        <w:rPr>
          <w:rFonts w:ascii="Arial" w:hAnsi="Arial" w:cs="Arial"/>
          <w:i/>
          <w:iCs/>
          <w:sz w:val="20"/>
          <w:szCs w:val="20"/>
          <w:lang w:val="en-US" w:eastAsia="zh-CN"/>
        </w:rPr>
        <w:t>2.1. Case</w:t>
      </w:r>
      <w:r w:rsidR="00DE7569" w:rsidRPr="00E35D8F">
        <w:t>-</w:t>
      </w:r>
      <w:r w:rsidRPr="00E35D8F">
        <w:rPr>
          <w:rFonts w:ascii="Arial" w:hAnsi="Arial" w:cs="Arial"/>
          <w:i/>
          <w:iCs/>
          <w:sz w:val="20"/>
          <w:szCs w:val="20"/>
          <w:lang w:val="en-US" w:eastAsia="zh-CN"/>
        </w:rPr>
        <w:t>study building and rooftop bifacial PV system</w:t>
      </w:r>
    </w:p>
    <w:p w14:paraId="20AC4205" w14:textId="73CB6E2A"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2.1.1. Office building model and climate condition</w:t>
      </w:r>
      <w:r w:rsidR="00FA0422">
        <w:rPr>
          <w:rFonts w:ascii="Arial" w:hAnsi="Arial" w:cs="Arial" w:hint="eastAsia"/>
          <w:i/>
          <w:iCs/>
          <w:sz w:val="20"/>
          <w:szCs w:val="20"/>
          <w:lang w:val="en-US" w:eastAsia="zh-CN"/>
        </w:rPr>
        <w:t>s</w:t>
      </w:r>
    </w:p>
    <w:p w14:paraId="6671B049" w14:textId="4FCBE9F0" w:rsidR="00954007" w:rsidRDefault="007E6AB9" w:rsidP="00F85852">
      <w:pPr>
        <w:pStyle w:val="SWCText"/>
        <w:rPr>
          <w:lang w:eastAsia="zh-CN"/>
        </w:rPr>
      </w:pPr>
      <w:r w:rsidRPr="00E35D8F">
        <w:t xml:space="preserve">The case-study building was adapted from the </w:t>
      </w:r>
      <w:proofErr w:type="spellStart"/>
      <w:r w:rsidRPr="00E35D8F">
        <w:t>EnergyPlus</w:t>
      </w:r>
      <w:proofErr w:type="spellEnd"/>
      <w:r w:rsidRPr="00E35D8F">
        <w:t xml:space="preserve"> office building model developed by </w:t>
      </w:r>
      <w:r w:rsidR="003445AF" w:rsidRPr="00E35D8F">
        <w:fldChar w:fldCharType="begin"/>
      </w:r>
      <w:r w:rsidR="00442543">
        <w:instrText xml:space="preserve"> ADDIN ZOTERO_ITEM CSL_CITATION {"citationID":"rDkd3Oh2","properties":{"unsorted":false,"formattedCitation":"(Zhuang et al., 2021)","plainCitation":"(Zhuang et al., 2021)","dontUpdate":true,"noteIndex":0},"citationItems":[{"id":97,"uris":["http://zotero.org/users/17474343/items/LEBSVDP6"],"itemData":{"id":97,"type":"article-journal","abstract":"Increasing envelope facet albedos considerably reduces solar heat gain, thus yielding building cooling energy savings. Few studies have explored the potential beneﬁts of utilizing cool coatings on building envelopes (“cool-coated buildings”) based on life-cycle cost analysis. A holistic approach integrating the ﬁeld testing, building energy simulation, and a 20-year life-cycle-based optimization was developed to explore cool-coated building performance and the maximum net savings of optimal building envelope retroﬁt and design. Experimental results showed that applying cool coatings to a west wall of an ofﬁce building in Chongqing, China reduced its exterior surface temperature by up to 9.3 C in summer. Simulation results showed that in Chongqing, making the roof and walls cool could reduce annual HVAC electricity use by up to 11.9% in old buildings (with poorly insulated envelopes) and up to 5.9% in new buildings. Retroﬁtting old buildings with a cool roof provided the net savings per modiﬁed area with present values up to 42.8 CNY/m2; retroﬁtting a new building with a cool roof or cool walls was not costeffective. Optimizing both envelope insulation and envelope albedo can achieve 5.6 times the net savings of optimizing the insulation only, and 1.6 times that of optimizing albedo only.","container-title":"Energy","DOI":"10.1016/j.energy.2021.120373","ISSN":"03605442","journalAbbreviation":"Energy","language":"en","page":"120373","source":"DOI.org (Crossref)","title":"Potential benefits and optimization of cool-coated office buildings: A case study in chongqing, China","title-short":"Potential benefits and optimization of cool-coated office buildings","URL":"https://linkinghub.elsevier.com/retrieve/pii/S0360544221006228","volume":"226","author":[{"family":"Zhuang","given":"Chaoqun"},{"family":"Gao","given":"Yafeng"},{"family":"Zhao","given":"Yingru"},{"family":"Levinson","given":"Ronnen"},{"family":"Heiselberg","given":"Per"},{"family":"Wang","given":"Zhiqiang"},{"family":"Guo","given":"Rui"}],"accessed":{"date-parts":[["2025",8,1]]},"issued":{"date-parts":[["2021",7]]}}}],"schema":"https://github.com/citation-style-language/schema/raw/master/csl-citation.json"} </w:instrText>
      </w:r>
      <w:r w:rsidR="003445AF" w:rsidRPr="00E35D8F">
        <w:fldChar w:fldCharType="separate"/>
      </w:r>
      <w:r w:rsidR="00D1279E" w:rsidRPr="00E35D8F">
        <w:t xml:space="preserve">Zhuang et al. </w:t>
      </w:r>
      <w:r w:rsidR="00D1279E" w:rsidRPr="00E35D8F">
        <w:rPr>
          <w:lang w:eastAsia="zh-CN"/>
        </w:rPr>
        <w:t>(</w:t>
      </w:r>
      <w:r w:rsidR="00D1279E" w:rsidRPr="00E35D8F">
        <w:t>2021)</w:t>
      </w:r>
      <w:r w:rsidR="003445AF" w:rsidRPr="00E35D8F">
        <w:fldChar w:fldCharType="end"/>
      </w:r>
      <w:r w:rsidRPr="00E35D8F">
        <w:t xml:space="preserve"> for Chongqing, China. The building represents a three-</w:t>
      </w:r>
      <w:proofErr w:type="spellStart"/>
      <w:r w:rsidRPr="00E35D8F">
        <w:t>storey</w:t>
      </w:r>
      <w:proofErr w:type="spellEnd"/>
      <w:r w:rsidRPr="00E35D8F">
        <w:t xml:space="preserve"> office building with a rectangular plan of 29.36 m × 14.36 m and a total height of 9 m. The footprint area, which is also used as the available roof area for the rooftop </w:t>
      </w:r>
      <w:proofErr w:type="spellStart"/>
      <w:r w:rsidRPr="00E35D8F">
        <w:t>bPV</w:t>
      </w:r>
      <w:proofErr w:type="spellEnd"/>
      <w:r w:rsidRPr="00E35D8F">
        <w:t xml:space="preserve"> layout, is approximately 420 m². The window-to-wall ratio is 0.17. The long axis of the building is oriented in the east–west direction, so that the main façades face south and north. Chongqing is located in the hot-summer and cold-winter climate zone, where both cooling and heating demands are relevant for office buildings. The simulations were conducted using </w:t>
      </w:r>
      <w:proofErr w:type="spellStart"/>
      <w:r w:rsidRPr="00E35D8F">
        <w:t>EnergyPlus</w:t>
      </w:r>
      <w:proofErr w:type="spellEnd"/>
      <w:r w:rsidRPr="00E35D8F">
        <w:t xml:space="preserve"> version 24.2</w:t>
      </w:r>
      <w:r w:rsidR="00D56346" w:rsidRPr="00E35D8F">
        <w:rPr>
          <w:lang w:eastAsia="zh-CN"/>
        </w:rPr>
        <w:t xml:space="preserve"> </w:t>
      </w:r>
      <w:r w:rsidR="00065EEC" w:rsidRPr="00E35D8F">
        <w:fldChar w:fldCharType="begin"/>
      </w:r>
      <w:r w:rsidR="007272E2">
        <w:instrText xml:space="preserve"> ADDIN ZOTERO_ITEM CSL_CITATION {"citationID":"f20Z3E5V","properties":{"unsorted":false,"formattedCitation":"(U.S. Department of Energy, 2024)","plainCitation":"(U.S. Department of Energy, 2024)","noteIndex":0},"citationItems":[{"id":2665,"uris":["http://zotero.org/users/17474343/items/RKZ3LG6B"],"itemData":{"id":2665,"type":"report","genre":"Input Output Reference","publisher":"U.S. Department of Energy","title":"EnergyPlus Input Output Reference: Version 24.2","URL":"https://bigladdersoftware.com/epx/docs/24-2/input-output-reference/index.html","author":[{"literal":"U.S. Department of Energy"}],"accessed":{"date-parts":[["2026",7,4]]},"issued":{"date-parts":[["2024"]]}}}],"schema":"https://github.com/citation-style-language/schema/raw/master/csl-citation.json"} </w:instrText>
      </w:r>
      <w:r w:rsidR="00065EEC" w:rsidRPr="00E35D8F">
        <w:fldChar w:fldCharType="separate"/>
      </w:r>
      <w:r w:rsidR="007272E2" w:rsidRPr="007272E2">
        <w:t>(U.S. Department of Energy, 2024)</w:t>
      </w:r>
      <w:r w:rsidR="00065EEC" w:rsidRPr="00E35D8F">
        <w:fldChar w:fldCharType="end"/>
      </w:r>
      <w:r w:rsidRPr="00E35D8F">
        <w:t xml:space="preserve">, and </w:t>
      </w:r>
      <w:r w:rsidR="00752D10" w:rsidRPr="00E35D8F">
        <w:t xml:space="preserve">the </w:t>
      </w:r>
      <w:r w:rsidR="00E57492" w:rsidRPr="00E57492">
        <w:rPr>
          <w:lang w:val="de-DE"/>
        </w:rPr>
        <w:t>Chinese Standard Weather Data (CSWD)</w:t>
      </w:r>
      <w:r w:rsidR="00752D10" w:rsidRPr="00E35D8F">
        <w:t xml:space="preserve"> weather file for Chongqing </w:t>
      </w:r>
      <w:proofErr w:type="spellStart"/>
      <w:r w:rsidR="00752D10" w:rsidRPr="00E35D8F">
        <w:t>Shapingba</w:t>
      </w:r>
      <w:proofErr w:type="spellEnd"/>
      <w:r w:rsidR="00752D10" w:rsidRPr="00E35D8F">
        <w:t xml:space="preserve"> 575160 in </w:t>
      </w:r>
      <w:proofErr w:type="spellStart"/>
      <w:r w:rsidR="00752D10" w:rsidRPr="00E35D8F">
        <w:t>EnergyPlus</w:t>
      </w:r>
      <w:proofErr w:type="spellEnd"/>
      <w:r w:rsidR="00752D10" w:rsidRPr="00E35D8F">
        <w:t xml:space="preserve"> Weather Format was used as the weather input </w:t>
      </w:r>
      <w:r w:rsidR="00752D10" w:rsidRPr="00E35D8F">
        <w:fldChar w:fldCharType="begin"/>
      </w:r>
      <w:r w:rsidR="00E04FCB">
        <w:instrText xml:space="preserve"> ADDIN ZOTERO_ITEM CSL_CITATION {"citationID":"gdaHJpPP","properties":{"unsorted":false,"formattedCitation":"(U.S. Department of Energy, n.d.)","plainCitation":"(U.S. Department of Energy, n.d.)","noteIndex":0},"citationItems":[{"id":2661,"uris":["http://zotero.org/users/17474343/items/ITG6KQ7W"],"itemData":{"id":2661,"type":"webpage","container-title":"EnergyPlus","genre":"Weather data","language":"en-US","title":"EnergyPlus weather data: Chongqing, Chongqing, Shapingba 575160 (CSWD)","URL":"https://energyplus.net/weather-location/asia_wmo_region_2/CHN/CHN_Chongqing.Chongqing.Shapingba.575160_CSWD","author":[{"literal":"U.S. Department of Energy"}],"accessed":{"date-parts":[["2026",6,22]]}}}],"schema":"https://github.com/citation-style-language/schema/raw/master/csl-citation.json"} </w:instrText>
      </w:r>
      <w:r w:rsidR="00752D10" w:rsidRPr="00E35D8F">
        <w:fldChar w:fldCharType="separate"/>
      </w:r>
      <w:r w:rsidR="00E04FCB" w:rsidRPr="00E04FCB">
        <w:t>(U.S. Department of Energy, n.d.)</w:t>
      </w:r>
      <w:r w:rsidR="00752D10" w:rsidRPr="00E35D8F">
        <w:fldChar w:fldCharType="end"/>
      </w:r>
      <w:r w:rsidR="00F85852" w:rsidRPr="00E35D8F">
        <w:t>.</w:t>
      </w:r>
      <w:r w:rsidR="00A25766">
        <w:rPr>
          <w:rFonts w:hint="eastAsia"/>
          <w:lang w:eastAsia="zh-CN"/>
        </w:rPr>
        <w:t xml:space="preserve"> </w:t>
      </w:r>
    </w:p>
    <w:p w14:paraId="00AD606C" w14:textId="56FA34DD" w:rsidR="003B5368" w:rsidRPr="00E35D8F" w:rsidRDefault="00F85852" w:rsidP="00F85852">
      <w:pPr>
        <w:pStyle w:val="SWCText"/>
        <w:rPr>
          <w:lang w:eastAsia="zh-CN"/>
        </w:rPr>
      </w:pPr>
      <w:r w:rsidRPr="00E35D8F">
        <w:t xml:space="preserve">Internal heat gains from occupants, lighting, and office equipment were considered in the simulations. The internal load densities, </w:t>
      </w:r>
      <w:r w:rsidR="009A18FD" w:rsidRPr="009A18FD">
        <w:t>occupancy</w:t>
      </w:r>
      <w:r w:rsidR="00EA47B2">
        <w:rPr>
          <w:rFonts w:hint="eastAsia"/>
          <w:lang w:eastAsia="zh-CN"/>
        </w:rPr>
        <w:t>,</w:t>
      </w:r>
      <w:r w:rsidR="00D764AE">
        <w:rPr>
          <w:rFonts w:hint="eastAsia"/>
          <w:lang w:eastAsia="zh-CN"/>
        </w:rPr>
        <w:t xml:space="preserve"> lighting</w:t>
      </w:r>
      <w:r w:rsidR="009A18FD" w:rsidRPr="009A18FD">
        <w:t xml:space="preserve"> and equipment schedules, HVAC operation schedules</w:t>
      </w:r>
      <w:r w:rsidRPr="00E35D8F">
        <w:t xml:space="preserve">, and thermal set points were defined according to </w:t>
      </w:r>
      <w:r w:rsidR="001A05FC" w:rsidRPr="00E35D8F">
        <w:fldChar w:fldCharType="begin"/>
      </w:r>
      <w:r w:rsidR="008F7E57">
        <w:instrText xml:space="preserve"> ADDIN ZOTERO_ITEM CSL_CITATION {"citationID":"i1UVmaPN","properties":{"unsorted":false,"formattedCitation":"(\\uc0\\u8220{}Ministry of Housing and Urban-Rural Development of the People\\uc0\\u8217{}s Republic of China, GB 50189-2015 Design Standard for Energy Efficiency of Public Buildings, 2015.,\\uc0\\u8221{} 2015)","plainCitation":"(“Ministry of Housing and Urban-Rural Development of the People’s Republic of China, GB 50189-2015 Design Standard for Energy Efficiency of Public Buildings, 2015.,” 2015)","dontUpdate":true,"noteIndex":0},"citationItems":[{"id":6,"uris":["http://zotero.org/users/17474343/items/PRCGSZFZ"],"itemData":{"id":6,"type":"standard","publisher":"China Architecture &amp; Building Press","publisher-place":"Beijing, China","title":"GB 50189-2015: Design Standard for Energy Efficiency of Public Buildings","URL":"http://www.jianbiaoku.com/webarbs/book/73810/1628137.shtml","author":[{"literal":"Ministry of Housing and Urban-Rural Development of the People’s Republic of China"}],"issued":{"date-parts":[["2015"]]}}}],"schema":"https://github.com/citation-style-language/schema/raw/master/csl-citation.json"} </w:instrText>
      </w:r>
      <w:r w:rsidR="001A05FC" w:rsidRPr="00E35D8F">
        <w:fldChar w:fldCharType="separate"/>
      </w:r>
      <w:r w:rsidR="00DC6F29" w:rsidRPr="00E35D8F">
        <w:fldChar w:fldCharType="begin"/>
      </w:r>
      <w:r w:rsidR="00DC6F29">
        <w:instrText xml:space="preserve"> ADDIN ZOTERO_ITEM CSL_CITATION {"citationID":"R7WkCSKW","properties":{"unsorted":false,"formattedCitation":"(MOHURD, 2015)","plainCitation":"(MOHURD, 2015)","dontUpdate":true,"noteIndex":0},"citationItems":[{"id":2669,"uris":["http://zotero.org/users/17474343/items/WG2MQLWP"],"itemData":{"id":2669,"type":"report","genre":"Standard","language":"en-US","number":"GB 50189-2015","publisher":"Ministry of Housing and Urban-Rural Development of the People’s Republic of China","publisher-place":"Beijing","title":"Design standard for energy efficiency of public buildings","author":[{"literal":"MOHURD"}],"issued":{"date-parts":[["2015"]]}}}],"schema":"https://github.com/citation-style-language/schema/raw/master/csl-citation.json"} </w:instrText>
      </w:r>
      <w:r w:rsidR="00DC6F29" w:rsidRPr="00E35D8F">
        <w:fldChar w:fldCharType="separate"/>
      </w:r>
      <w:r w:rsidR="00DC6F29" w:rsidRPr="00362589">
        <w:t>MOHURD (2015)</w:t>
      </w:r>
      <w:r w:rsidR="00DC6F29" w:rsidRPr="00E35D8F">
        <w:fldChar w:fldCharType="end"/>
      </w:r>
      <w:r w:rsidR="001A05FC" w:rsidRPr="00E35D8F">
        <w:fldChar w:fldCharType="end"/>
      </w:r>
      <w:r w:rsidRPr="00E35D8F">
        <w:t xml:space="preserve">. </w:t>
      </w:r>
      <w:r w:rsidR="001E464C" w:rsidRPr="001E464C">
        <w:t xml:space="preserve">The HVAC system was modelled as a packaged terminal heat pump system, with rated cooling and heating COPs of 3.20 and 3.67, respectively. </w:t>
      </w:r>
      <w:r w:rsidRPr="00E35D8F">
        <w:t>The indoor cooling and heating set-point temperatures were 26 °C and 20 °C, respectively. The HVAC system operated from 07:00 to 18:00 on weekdays, representing a typical office operation schedule</w:t>
      </w:r>
      <w:r w:rsidR="00290F12">
        <w:rPr>
          <w:rFonts w:hint="eastAsia"/>
          <w:lang w:eastAsia="zh-CN"/>
        </w:rPr>
        <w:t xml:space="preserve"> </w:t>
      </w:r>
      <w:r w:rsidR="00FF6AFB" w:rsidRPr="00E35D8F">
        <w:fldChar w:fldCharType="begin"/>
      </w:r>
      <w:r w:rsidR="00043632">
        <w:instrText xml:space="preserve"> ADDIN ZOTERO_ITEM CSL_CITATION {"citationID":"SqWDlGgb","properties":{"unsorted":false,"formattedCitation":"(MOHURD, 2015)","plainCitation":"(MOHURD, 2015)","noteIndex":0},"citationItems":[{"id":2669,"uris":["http://zotero.org/users/17474343/items/WG2MQLWP"],"itemData":{"id":2669,"type":"report","genre":"Standard","language":"en-US","number":"GB 50189-2015","publisher":"Ministry of Housing and Urban-Rural Development of the People’s Republic of China","publisher-place":"Beijing","title":"Design standard for energy efficiency of public buildings","author":[{"literal":"MOHURD"}],"issued":{"date-parts":[["2015"]]}}}],"schema":"https://github.com/citation-style-language/schema/raw/master/csl-citation.json"} </w:instrText>
      </w:r>
      <w:r w:rsidR="00FF6AFB" w:rsidRPr="00E35D8F">
        <w:fldChar w:fldCharType="separate"/>
      </w:r>
      <w:r w:rsidR="00043632" w:rsidRPr="00043632">
        <w:t>(MOHURD, 2015)</w:t>
      </w:r>
      <w:r w:rsidR="00FF6AFB" w:rsidRPr="00E35D8F">
        <w:fldChar w:fldCharType="end"/>
      </w:r>
      <w:r w:rsidRPr="00E35D8F">
        <w:t>.</w:t>
      </w:r>
    </w:p>
    <w:p w14:paraId="1658B96C" w14:textId="6E08AE63"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 xml:space="preserve">2.1.2. New and existing </w:t>
      </w:r>
      <w:r w:rsidR="00B14C7B">
        <w:rPr>
          <w:rFonts w:ascii="Arial" w:hAnsi="Arial" w:cs="Arial" w:hint="eastAsia"/>
          <w:i/>
          <w:iCs/>
          <w:sz w:val="20"/>
          <w:szCs w:val="20"/>
          <w:lang w:val="en-US" w:eastAsia="zh-CN"/>
        </w:rPr>
        <w:t xml:space="preserve">building </w:t>
      </w:r>
      <w:r w:rsidRPr="00E35D8F">
        <w:rPr>
          <w:rFonts w:ascii="Arial" w:hAnsi="Arial" w:cs="Arial"/>
          <w:i/>
          <w:iCs/>
          <w:sz w:val="20"/>
          <w:szCs w:val="20"/>
          <w:lang w:val="en-US" w:eastAsia="zh-CN"/>
        </w:rPr>
        <w:t>envelope scenarios</w:t>
      </w:r>
    </w:p>
    <w:p w14:paraId="52F48CD5" w14:textId="1D853CA0" w:rsidR="0076330D" w:rsidRPr="00E35D8F" w:rsidRDefault="003158CB" w:rsidP="008A3766">
      <w:pPr>
        <w:pStyle w:val="SWCText"/>
        <w:spacing w:after="0"/>
        <w:rPr>
          <w:lang w:eastAsia="zh-CN"/>
        </w:rPr>
      </w:pPr>
      <w:r w:rsidRPr="00E35D8F">
        <w:t xml:space="preserve">Two </w:t>
      </w:r>
      <w:r w:rsidR="00B14C7B">
        <w:rPr>
          <w:rFonts w:hint="eastAsia"/>
          <w:lang w:eastAsia="zh-CN"/>
        </w:rPr>
        <w:t xml:space="preserve">building </w:t>
      </w:r>
      <w:r w:rsidRPr="00E35D8F">
        <w:t xml:space="preserve">envelope scenarios were considered to examine how </w:t>
      </w:r>
      <w:r w:rsidR="00B14C7B">
        <w:rPr>
          <w:rFonts w:hint="eastAsia"/>
          <w:lang w:eastAsia="zh-CN"/>
        </w:rPr>
        <w:t>building</w:t>
      </w:r>
      <w:r w:rsidR="00B14C7B" w:rsidRPr="00E35D8F">
        <w:t xml:space="preserve"> </w:t>
      </w:r>
      <w:r w:rsidRPr="00E35D8F">
        <w:t>envelope thermal performance modifies the coupled response of building energy use and rooftop PV generation. The existing</w:t>
      </w:r>
      <w:r w:rsidR="00446F24">
        <w:rPr>
          <w:rFonts w:hint="eastAsia"/>
          <w:lang w:eastAsia="zh-CN"/>
        </w:rPr>
        <w:t xml:space="preserve"> </w:t>
      </w:r>
      <w:r w:rsidRPr="00E35D8F">
        <w:t xml:space="preserve">building case retained the </w:t>
      </w:r>
      <w:r w:rsidR="00B14C7B">
        <w:rPr>
          <w:rFonts w:hint="eastAsia"/>
          <w:lang w:eastAsia="zh-CN"/>
        </w:rPr>
        <w:t>building</w:t>
      </w:r>
      <w:r w:rsidR="00B14C7B" w:rsidRPr="00E35D8F">
        <w:t xml:space="preserve"> </w:t>
      </w:r>
      <w:r w:rsidRPr="00E35D8F">
        <w:t xml:space="preserve">envelope thermal properties of the original </w:t>
      </w:r>
      <w:proofErr w:type="spellStart"/>
      <w:r w:rsidRPr="00E35D8F">
        <w:t>EnergyPlus</w:t>
      </w:r>
      <w:proofErr w:type="spellEnd"/>
      <w:r w:rsidRPr="00E35D8F">
        <w:t xml:space="preserve"> model, whereas the new</w:t>
      </w:r>
      <w:r w:rsidR="001450FF">
        <w:rPr>
          <w:rFonts w:hint="eastAsia"/>
          <w:lang w:eastAsia="zh-CN"/>
        </w:rPr>
        <w:t xml:space="preserve"> </w:t>
      </w:r>
      <w:r w:rsidRPr="00E35D8F">
        <w:t xml:space="preserve">building case was modified to satisfy the prescriptive requirements of </w:t>
      </w:r>
      <w:r w:rsidR="00E94329" w:rsidRPr="00E35D8F">
        <w:fldChar w:fldCharType="begin"/>
      </w:r>
      <w:r w:rsidR="00043632">
        <w:instrText xml:space="preserve"> ADDIN ZOTERO_ITEM CSL_CITATION {"citationID":"R7WkCSKW","properties":{"unsorted":false,"formattedCitation":"(MOHURD, 2015)","plainCitation":"(MOHURD, 2015)","dontUpdate":true,"noteIndex":0},"citationItems":[{"id":2669,"uris":["http://zotero.org/users/17474343/items/WG2MQLWP"],"itemData":{"id":2669,"type":"report","genre":"Standard","language":"en-US","number":"GB 50189-2015","publisher":"Ministry of Housing and Urban-Rural Development of the People’s Republic of China","publisher-place":"Beijing","title":"Design standard for energy efficiency of public buildings","author":[{"literal":"MOHURD"}],"issued":{"date-parts":[["2015"]]}}}],"schema":"https://github.com/citation-style-language/schema/raw/master/csl-citation.json"} </w:instrText>
      </w:r>
      <w:r w:rsidR="00E94329" w:rsidRPr="00E35D8F">
        <w:fldChar w:fldCharType="separate"/>
      </w:r>
      <w:r w:rsidR="00362589" w:rsidRPr="00362589">
        <w:t>MOHURD (2015)</w:t>
      </w:r>
      <w:r w:rsidR="00E94329" w:rsidRPr="00E35D8F">
        <w:fldChar w:fldCharType="end"/>
      </w:r>
      <w:r w:rsidR="00362589">
        <w:rPr>
          <w:rFonts w:hint="eastAsia"/>
          <w:lang w:eastAsia="zh-CN"/>
        </w:rPr>
        <w:t xml:space="preserve"> </w:t>
      </w:r>
      <w:r w:rsidRPr="00E35D8F">
        <w:t>for the hot-summer and cold-winter climate zone.</w:t>
      </w:r>
      <w:r w:rsidR="00A25766">
        <w:rPr>
          <w:rFonts w:hint="eastAsia"/>
          <w:lang w:eastAsia="zh-CN"/>
        </w:rPr>
        <w:t xml:space="preserve"> </w:t>
      </w:r>
      <w:r w:rsidR="00E2696A" w:rsidRPr="00E2696A">
        <w:t>All other model inputs and the LHS matrix were identical.</w:t>
      </w:r>
      <w:r w:rsidRPr="00E35D8F">
        <w:t xml:space="preserve"> </w:t>
      </w:r>
      <w:r w:rsidR="00FF562F" w:rsidRPr="00FF562F">
        <w:t>The paired cases differed only in the selected envelope U-values of the exterior wall and roof. The floor and exterior</w:t>
      </w:r>
      <w:r w:rsidR="00DC6F29">
        <w:t xml:space="preserve"> </w:t>
      </w:r>
      <w:r w:rsidR="00FF562F" w:rsidRPr="00FF562F">
        <w:t xml:space="preserve">window U-values were kept unchanged at 0.85 and 3.24 </w:t>
      </w:r>
      <w:r w:rsidR="004E318F" w:rsidRPr="004E318F">
        <w:t>W m</w:t>
      </w:r>
      <w:r w:rsidR="004E318F" w:rsidRPr="004E318F">
        <w:rPr>
          <w:vertAlign w:val="superscript"/>
        </w:rPr>
        <w:t>−2</w:t>
      </w:r>
      <w:r w:rsidR="004E318F" w:rsidRPr="004E318F">
        <w:t> K</w:t>
      </w:r>
      <w:r w:rsidR="004E318F" w:rsidRPr="004E318F">
        <w:rPr>
          <w:vertAlign w:val="superscript"/>
        </w:rPr>
        <w:t>−1</w:t>
      </w:r>
      <w:r w:rsidR="00FF562F" w:rsidRPr="00FF562F">
        <w:t xml:space="preserve">, respectively, and are therefore not listed as modified </w:t>
      </w:r>
      <w:r w:rsidR="00B14C7B">
        <w:rPr>
          <w:rFonts w:hint="eastAsia"/>
          <w:lang w:eastAsia="zh-CN"/>
        </w:rPr>
        <w:t>building</w:t>
      </w:r>
      <w:r w:rsidR="00B14C7B" w:rsidRPr="00FF562F">
        <w:t xml:space="preserve"> </w:t>
      </w:r>
      <w:r w:rsidR="00FF562F" w:rsidRPr="00FF562F">
        <w:t xml:space="preserve">envelope parameters in </w:t>
      </w:r>
      <w:r w:rsidR="00551E6F">
        <w:fldChar w:fldCharType="begin"/>
      </w:r>
      <w:r w:rsidR="00551E6F">
        <w:instrText xml:space="preserve"> REF _Ref236872016 \h  \* MERGEFORMAT </w:instrText>
      </w:r>
      <w:r w:rsidR="00551E6F">
        <w:fldChar w:fldCharType="separate"/>
      </w:r>
      <w:r w:rsidR="00551E6F" w:rsidRPr="00551E6F">
        <w:t>Tab</w:t>
      </w:r>
      <w:r w:rsidR="00551E6F">
        <w:rPr>
          <w:rFonts w:hint="eastAsia"/>
          <w:lang w:eastAsia="zh-CN"/>
        </w:rPr>
        <w:t>le</w:t>
      </w:r>
      <w:r w:rsidR="00551E6F" w:rsidRPr="00551E6F">
        <w:t xml:space="preserve"> 1</w:t>
      </w:r>
      <w:r w:rsidR="00551E6F">
        <w:fldChar w:fldCharType="end"/>
      </w:r>
      <w:r w:rsidR="00FF562F" w:rsidRPr="00FF562F">
        <w:t>.</w:t>
      </w:r>
    </w:p>
    <w:p w14:paraId="0ACB9C34" w14:textId="6C5EC24C" w:rsidR="00497FDD" w:rsidRPr="00551E6F" w:rsidRDefault="00AE518E" w:rsidP="0057327B">
      <w:pPr>
        <w:pStyle w:val="afff0"/>
        <w:keepNext/>
        <w:spacing w:line="276" w:lineRule="auto"/>
        <w:jc w:val="center"/>
        <w:rPr>
          <w:rFonts w:ascii="Times New Roman" w:eastAsiaTheme="minorEastAsia" w:hAnsi="Times New Roman" w:cs="Times New Roman"/>
          <w:b/>
          <w:color w:val="000000"/>
          <w:sz w:val="16"/>
          <w:lang w:val="en-US"/>
        </w:rPr>
      </w:pPr>
      <w:bookmarkStart w:id="0" w:name="_Ref236872016"/>
      <w:r w:rsidRPr="00551E6F">
        <w:rPr>
          <w:rFonts w:ascii="Times New Roman" w:eastAsiaTheme="minorEastAsia" w:hAnsi="Times New Roman" w:cs="Times New Roman"/>
          <w:b/>
          <w:color w:val="000000"/>
          <w:sz w:val="16"/>
          <w:lang w:val="en-US"/>
        </w:rPr>
        <w:t>Tab</w:t>
      </w:r>
      <w:r w:rsidRPr="00551E6F">
        <w:rPr>
          <w:rFonts w:ascii="Times New Roman" w:eastAsiaTheme="minorEastAsia" w:hAnsi="Times New Roman" w:cs="Times New Roman" w:hint="eastAsia"/>
          <w:b/>
          <w:color w:val="000000"/>
          <w:sz w:val="16"/>
          <w:lang w:val="en-US"/>
        </w:rPr>
        <w:t>.</w:t>
      </w:r>
      <w:r w:rsidRPr="00551E6F">
        <w:rPr>
          <w:rFonts w:ascii="Times New Roman" w:eastAsiaTheme="minorEastAsia" w:hAnsi="Times New Roman" w:cs="Times New Roman"/>
          <w:b/>
          <w:color w:val="000000"/>
          <w:sz w:val="16"/>
          <w:lang w:val="en-US"/>
        </w:rPr>
        <w:t xml:space="preserve"> </w:t>
      </w:r>
      <w:r w:rsidRPr="00551E6F">
        <w:rPr>
          <w:rFonts w:ascii="Times New Roman" w:eastAsiaTheme="minorEastAsia" w:hAnsi="Times New Roman" w:cs="Times New Roman"/>
          <w:b/>
          <w:color w:val="000000"/>
          <w:sz w:val="16"/>
          <w:lang w:val="en-US"/>
        </w:rPr>
        <w:fldChar w:fldCharType="begin"/>
      </w:r>
      <w:r w:rsidRPr="00551E6F">
        <w:rPr>
          <w:rFonts w:ascii="Times New Roman" w:eastAsiaTheme="minorEastAsia" w:hAnsi="Times New Roman" w:cs="Times New Roman"/>
          <w:b/>
          <w:color w:val="000000"/>
          <w:sz w:val="16"/>
          <w:lang w:val="en-US"/>
        </w:rPr>
        <w:instrText xml:space="preserve"> SEQ Table \* ARABIC </w:instrText>
      </w:r>
      <w:r w:rsidRPr="00551E6F">
        <w:rPr>
          <w:rFonts w:ascii="Times New Roman" w:eastAsiaTheme="minorEastAsia" w:hAnsi="Times New Roman" w:cs="Times New Roman"/>
          <w:b/>
          <w:color w:val="000000"/>
          <w:sz w:val="16"/>
          <w:lang w:val="en-US"/>
        </w:rPr>
        <w:fldChar w:fldCharType="separate"/>
      </w:r>
      <w:r w:rsidR="00551E6F">
        <w:rPr>
          <w:rFonts w:ascii="Times New Roman" w:eastAsiaTheme="minorEastAsia" w:hAnsi="Times New Roman" w:cs="Times New Roman"/>
          <w:b/>
          <w:noProof/>
          <w:color w:val="000000"/>
          <w:sz w:val="16"/>
          <w:lang w:val="en-US"/>
        </w:rPr>
        <w:t>1</w:t>
      </w:r>
      <w:r w:rsidRPr="00551E6F">
        <w:rPr>
          <w:rFonts w:ascii="Times New Roman" w:eastAsiaTheme="minorEastAsia" w:hAnsi="Times New Roman" w:cs="Times New Roman"/>
          <w:b/>
          <w:color w:val="000000"/>
          <w:sz w:val="16"/>
          <w:lang w:val="en-US"/>
        </w:rPr>
        <w:fldChar w:fldCharType="end"/>
      </w:r>
      <w:bookmarkEnd w:id="0"/>
      <w:r w:rsidR="00497FDD" w:rsidRPr="00551E6F">
        <w:rPr>
          <w:rFonts w:ascii="Times New Roman" w:eastAsiaTheme="minorEastAsia" w:hAnsi="Times New Roman" w:cs="Times New Roman"/>
          <w:b/>
          <w:color w:val="000000"/>
          <w:sz w:val="16"/>
          <w:lang w:val="en-US"/>
        </w:rPr>
        <w:t xml:space="preserve">: </w:t>
      </w:r>
      <w:r w:rsidR="008B2F71" w:rsidRPr="00551E6F">
        <w:rPr>
          <w:rFonts w:ascii="Times New Roman" w:eastAsiaTheme="minorEastAsia" w:hAnsi="Times New Roman" w:cs="Times New Roman"/>
          <w:b/>
          <w:color w:val="000000"/>
          <w:sz w:val="16"/>
          <w:lang w:val="en-US"/>
        </w:rPr>
        <w:t xml:space="preserve">Modified </w:t>
      </w:r>
      <w:r w:rsidR="00B14C7B" w:rsidRPr="00551E6F">
        <w:rPr>
          <w:rFonts w:ascii="Times New Roman" w:eastAsiaTheme="minorEastAsia" w:hAnsi="Times New Roman" w:cs="Times New Roman" w:hint="eastAsia"/>
          <w:b/>
          <w:color w:val="000000"/>
          <w:sz w:val="16"/>
          <w:lang w:val="en-US"/>
        </w:rPr>
        <w:t>building</w:t>
      </w:r>
      <w:r w:rsidR="00B14C7B" w:rsidRPr="00551E6F">
        <w:rPr>
          <w:rFonts w:ascii="Times New Roman" w:eastAsiaTheme="minorEastAsia" w:hAnsi="Times New Roman" w:cs="Times New Roman"/>
          <w:b/>
          <w:color w:val="000000"/>
          <w:sz w:val="16"/>
          <w:lang w:val="en-US"/>
        </w:rPr>
        <w:t xml:space="preserve"> </w:t>
      </w:r>
      <w:r w:rsidR="008B2F71" w:rsidRPr="00551E6F">
        <w:rPr>
          <w:rFonts w:ascii="Times New Roman" w:eastAsiaTheme="minorEastAsia" w:hAnsi="Times New Roman" w:cs="Times New Roman"/>
          <w:b/>
          <w:color w:val="000000"/>
          <w:sz w:val="16"/>
          <w:lang w:val="en-US"/>
        </w:rPr>
        <w:t>envelope thermal transmittance values in the two scenarios</w:t>
      </w:r>
    </w:p>
    <w:tbl>
      <w:tblPr>
        <w:tblStyle w:val="aa"/>
        <w:tblW w:w="0" w:type="auto"/>
        <w:jc w:val="center"/>
        <w:tblLook w:val="04A0" w:firstRow="1" w:lastRow="0" w:firstColumn="1" w:lastColumn="0" w:noHBand="0" w:noVBand="1"/>
      </w:tblPr>
      <w:tblGrid>
        <w:gridCol w:w="2919"/>
        <w:gridCol w:w="2919"/>
        <w:gridCol w:w="2919"/>
      </w:tblGrid>
      <w:tr w:rsidR="00497FDD" w:rsidRPr="00E35D8F" w14:paraId="255817B2" w14:textId="77777777" w:rsidTr="00BF1262">
        <w:trPr>
          <w:jc w:val="center"/>
        </w:trPr>
        <w:tc>
          <w:tcPr>
            <w:tcW w:w="2919" w:type="dxa"/>
            <w:vAlign w:val="center"/>
          </w:tcPr>
          <w:p w14:paraId="40341BAE" w14:textId="77777777" w:rsidR="00497FDD" w:rsidRPr="00E35D8F" w:rsidRDefault="00497FDD" w:rsidP="00954007">
            <w:pPr>
              <w:pStyle w:val="SWCTableFigureCaption"/>
              <w:spacing w:before="0" w:after="0" w:line="240" w:lineRule="auto"/>
              <w:ind w:left="0" w:right="0"/>
              <w:rPr>
                <w:sz w:val="20"/>
                <w:lang w:eastAsia="zh-CN"/>
              </w:rPr>
            </w:pPr>
            <w:r w:rsidRPr="00E35D8F">
              <w:rPr>
                <w:sz w:val="20"/>
              </w:rPr>
              <w:t xml:space="preserve">Building </w:t>
            </w:r>
            <w:r w:rsidRPr="00E35D8F">
              <w:rPr>
                <w:sz w:val="20"/>
                <w:lang w:eastAsia="zh-CN"/>
              </w:rPr>
              <w:t>envelope</w:t>
            </w:r>
            <w:r w:rsidR="0062029D" w:rsidRPr="00E35D8F">
              <w:rPr>
                <w:sz w:val="20"/>
                <w:lang w:eastAsia="zh-CN"/>
              </w:rPr>
              <w:t xml:space="preserve"> compon</w:t>
            </w:r>
            <w:r w:rsidR="007533C9" w:rsidRPr="00E35D8F">
              <w:rPr>
                <w:sz w:val="20"/>
                <w:lang w:eastAsia="zh-CN"/>
              </w:rPr>
              <w:t>ent</w:t>
            </w:r>
          </w:p>
        </w:tc>
        <w:tc>
          <w:tcPr>
            <w:tcW w:w="2919" w:type="dxa"/>
            <w:vAlign w:val="center"/>
          </w:tcPr>
          <w:p w14:paraId="2A16C32B" w14:textId="65121231" w:rsidR="00497FDD" w:rsidRPr="00E35D8F" w:rsidRDefault="00CF3AF6" w:rsidP="00954007">
            <w:pPr>
              <w:pStyle w:val="SWCTableFigureCaption"/>
              <w:spacing w:before="0" w:after="0" w:line="240" w:lineRule="auto"/>
              <w:ind w:left="0" w:right="0"/>
              <w:rPr>
                <w:sz w:val="20"/>
                <w:lang w:eastAsia="zh-CN"/>
              </w:rPr>
            </w:pPr>
            <w:r>
              <w:rPr>
                <w:rFonts w:hint="eastAsia"/>
                <w:sz w:val="20"/>
                <w:lang w:eastAsia="zh-CN"/>
              </w:rPr>
              <w:t>New</w:t>
            </w:r>
            <w:r w:rsidR="00497FDD" w:rsidRPr="00E35D8F">
              <w:rPr>
                <w:sz w:val="20"/>
              </w:rPr>
              <w:t xml:space="preserve"> building (</w:t>
            </w:r>
            <w:r w:rsidR="004E318F" w:rsidRPr="004E318F">
              <w:rPr>
                <w:sz w:val="20"/>
              </w:rPr>
              <w:t>W m</w:t>
            </w:r>
            <w:r w:rsidR="004E318F" w:rsidRPr="004E318F">
              <w:rPr>
                <w:sz w:val="20"/>
                <w:vertAlign w:val="superscript"/>
              </w:rPr>
              <w:t>−2</w:t>
            </w:r>
            <w:r w:rsidR="004E318F" w:rsidRPr="004E318F">
              <w:rPr>
                <w:sz w:val="20"/>
              </w:rPr>
              <w:t> K</w:t>
            </w:r>
            <w:r w:rsidR="004E318F" w:rsidRPr="004E318F">
              <w:rPr>
                <w:sz w:val="20"/>
                <w:vertAlign w:val="superscript"/>
              </w:rPr>
              <w:t>−1</w:t>
            </w:r>
            <w:r w:rsidR="00497FDD" w:rsidRPr="00E35D8F">
              <w:rPr>
                <w:sz w:val="20"/>
              </w:rPr>
              <w:t>)</w:t>
            </w:r>
          </w:p>
        </w:tc>
        <w:tc>
          <w:tcPr>
            <w:tcW w:w="2919" w:type="dxa"/>
            <w:vAlign w:val="center"/>
          </w:tcPr>
          <w:p w14:paraId="464A241C" w14:textId="7D859CB3" w:rsidR="00497FDD" w:rsidRPr="00E35D8F" w:rsidRDefault="00CF3AF6" w:rsidP="00954007">
            <w:pPr>
              <w:pStyle w:val="SWCTableFigureCaption"/>
              <w:spacing w:before="0" w:after="0" w:line="240" w:lineRule="auto"/>
              <w:ind w:left="0" w:right="0"/>
              <w:rPr>
                <w:sz w:val="20"/>
                <w:lang w:eastAsia="zh-CN"/>
              </w:rPr>
            </w:pPr>
            <w:r w:rsidRPr="00E35D8F">
              <w:rPr>
                <w:sz w:val="20"/>
              </w:rPr>
              <w:t>Existing building</w:t>
            </w:r>
            <w:r w:rsidR="00497FDD" w:rsidRPr="00E35D8F">
              <w:rPr>
                <w:sz w:val="20"/>
              </w:rPr>
              <w:t xml:space="preserve"> (</w:t>
            </w:r>
            <w:r w:rsidR="004E318F" w:rsidRPr="004E318F">
              <w:rPr>
                <w:sz w:val="20"/>
              </w:rPr>
              <w:t>W m</w:t>
            </w:r>
            <w:r w:rsidR="004E318F" w:rsidRPr="004E318F">
              <w:rPr>
                <w:sz w:val="20"/>
                <w:vertAlign w:val="superscript"/>
              </w:rPr>
              <w:t>−2</w:t>
            </w:r>
            <w:r w:rsidR="004E318F" w:rsidRPr="004E318F">
              <w:rPr>
                <w:sz w:val="20"/>
              </w:rPr>
              <w:t> K</w:t>
            </w:r>
            <w:r w:rsidR="004E318F" w:rsidRPr="004E318F">
              <w:rPr>
                <w:sz w:val="20"/>
                <w:vertAlign w:val="superscript"/>
              </w:rPr>
              <w:t>−1</w:t>
            </w:r>
            <w:r w:rsidR="00497FDD" w:rsidRPr="00E35D8F">
              <w:rPr>
                <w:sz w:val="20"/>
              </w:rPr>
              <w:t>)</w:t>
            </w:r>
          </w:p>
        </w:tc>
      </w:tr>
      <w:tr w:rsidR="00497FDD" w:rsidRPr="00E35D8F" w14:paraId="7C4A442F" w14:textId="77777777" w:rsidTr="00BF1262">
        <w:trPr>
          <w:jc w:val="center"/>
        </w:trPr>
        <w:tc>
          <w:tcPr>
            <w:tcW w:w="2919" w:type="dxa"/>
          </w:tcPr>
          <w:p w14:paraId="3F91D31E" w14:textId="77777777" w:rsidR="00497FDD" w:rsidRPr="00E35D8F" w:rsidRDefault="00497FDD" w:rsidP="00954007">
            <w:pPr>
              <w:pStyle w:val="SWCTableText"/>
              <w:spacing w:after="0"/>
              <w:rPr>
                <w:lang w:val="en-US"/>
              </w:rPr>
            </w:pPr>
            <w:r w:rsidRPr="00E35D8F">
              <w:rPr>
                <w:lang w:val="en-US"/>
              </w:rPr>
              <w:lastRenderedPageBreak/>
              <w:t>Exterior wall</w:t>
            </w:r>
          </w:p>
        </w:tc>
        <w:tc>
          <w:tcPr>
            <w:tcW w:w="2919" w:type="dxa"/>
          </w:tcPr>
          <w:p w14:paraId="585CFC5D" w14:textId="692334B4" w:rsidR="00497FDD" w:rsidRPr="00E35D8F" w:rsidRDefault="00F26102" w:rsidP="00954007">
            <w:pPr>
              <w:pStyle w:val="SWCTableText"/>
              <w:spacing w:after="0"/>
              <w:rPr>
                <w:lang w:val="en-US" w:eastAsia="zh-CN"/>
              </w:rPr>
            </w:pPr>
            <w:r>
              <w:rPr>
                <w:rFonts w:hint="eastAsia"/>
                <w:lang w:val="en-US" w:eastAsia="zh-CN"/>
              </w:rPr>
              <w:t>0.53</w:t>
            </w:r>
          </w:p>
        </w:tc>
        <w:tc>
          <w:tcPr>
            <w:tcW w:w="2919" w:type="dxa"/>
          </w:tcPr>
          <w:p w14:paraId="024A6D28" w14:textId="08A563B0" w:rsidR="00497FDD" w:rsidRPr="00E35D8F" w:rsidRDefault="00F26102" w:rsidP="00954007">
            <w:pPr>
              <w:pStyle w:val="SWCTableText"/>
              <w:spacing w:after="0"/>
              <w:rPr>
                <w:lang w:val="en-US" w:eastAsia="zh-CN"/>
              </w:rPr>
            </w:pPr>
            <w:r>
              <w:rPr>
                <w:rFonts w:hint="eastAsia"/>
                <w:lang w:val="en-US" w:eastAsia="zh-CN"/>
              </w:rPr>
              <w:t>2.10</w:t>
            </w:r>
          </w:p>
        </w:tc>
      </w:tr>
      <w:tr w:rsidR="00497FDD" w:rsidRPr="00E35D8F" w14:paraId="71ADC72F" w14:textId="77777777" w:rsidTr="00BF1262">
        <w:trPr>
          <w:jc w:val="center"/>
        </w:trPr>
        <w:tc>
          <w:tcPr>
            <w:tcW w:w="2919" w:type="dxa"/>
          </w:tcPr>
          <w:p w14:paraId="4826C92B" w14:textId="77777777" w:rsidR="00497FDD" w:rsidRPr="00E35D8F" w:rsidRDefault="00497FDD" w:rsidP="00954007">
            <w:pPr>
              <w:pStyle w:val="SWCTableText"/>
              <w:spacing w:after="0"/>
              <w:rPr>
                <w:lang w:val="en-US" w:eastAsia="zh-CN"/>
              </w:rPr>
            </w:pPr>
            <w:r w:rsidRPr="00E35D8F">
              <w:rPr>
                <w:lang w:val="en-US" w:eastAsia="zh-CN"/>
              </w:rPr>
              <w:t>Roof</w:t>
            </w:r>
          </w:p>
        </w:tc>
        <w:tc>
          <w:tcPr>
            <w:tcW w:w="2919" w:type="dxa"/>
          </w:tcPr>
          <w:p w14:paraId="13005E66" w14:textId="6E8ECECC" w:rsidR="00497FDD" w:rsidRPr="00E35D8F" w:rsidRDefault="00F26102" w:rsidP="00954007">
            <w:pPr>
              <w:pStyle w:val="SWCTableText"/>
              <w:spacing w:after="0"/>
              <w:rPr>
                <w:lang w:val="en-US" w:eastAsia="zh-CN"/>
              </w:rPr>
            </w:pPr>
            <w:r>
              <w:rPr>
                <w:rFonts w:hint="eastAsia"/>
                <w:lang w:val="en-US" w:eastAsia="zh-CN"/>
              </w:rPr>
              <w:t>0.31</w:t>
            </w:r>
          </w:p>
        </w:tc>
        <w:tc>
          <w:tcPr>
            <w:tcW w:w="2919" w:type="dxa"/>
          </w:tcPr>
          <w:p w14:paraId="1032387D" w14:textId="53A77EDB" w:rsidR="00497FDD" w:rsidRPr="00E35D8F" w:rsidRDefault="00F26102" w:rsidP="00954007">
            <w:pPr>
              <w:pStyle w:val="SWCTableText"/>
              <w:spacing w:after="0"/>
              <w:rPr>
                <w:lang w:val="en-US" w:eastAsia="zh-CN"/>
              </w:rPr>
            </w:pPr>
            <w:r>
              <w:rPr>
                <w:rFonts w:hint="eastAsia"/>
                <w:lang w:val="en-US" w:eastAsia="zh-CN"/>
              </w:rPr>
              <w:t>4.07</w:t>
            </w:r>
          </w:p>
        </w:tc>
      </w:tr>
    </w:tbl>
    <w:p w14:paraId="5C0C2272" w14:textId="77777777"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2.1.3. Rooftop bifacial PV array configuration</w:t>
      </w:r>
    </w:p>
    <w:p w14:paraId="589249C7" w14:textId="608961BE" w:rsidR="006C4044" w:rsidRPr="00E35D8F" w:rsidRDefault="006C4044" w:rsidP="006C4044">
      <w:pPr>
        <w:pStyle w:val="SWCText"/>
      </w:pPr>
      <w:r w:rsidRPr="00E35D8F">
        <w:t xml:space="preserve">The rooftop </w:t>
      </w:r>
      <w:proofErr w:type="spellStart"/>
      <w:r w:rsidRPr="00E35D8F">
        <w:t>bPV</w:t>
      </w:r>
      <w:proofErr w:type="spellEnd"/>
      <w:r w:rsidRPr="00E35D8F">
        <w:t xml:space="preserve"> system was arranged above the roof of the case-study office building. In the </w:t>
      </w:r>
      <w:proofErr w:type="spellStart"/>
      <w:r w:rsidRPr="00E35D8F">
        <w:t>EnergyPlus</w:t>
      </w:r>
      <w:proofErr w:type="spellEnd"/>
      <w:r w:rsidRPr="00E35D8F">
        <w:t xml:space="preserve"> model, the PV array was represented by elevated exterior surfaces with defined front- and rear-side irradiated faces, allowing </w:t>
      </w:r>
      <w:proofErr w:type="spellStart"/>
      <w:r w:rsidRPr="00E35D8F">
        <w:t>EnergyPlus</w:t>
      </w:r>
      <w:proofErr w:type="spellEnd"/>
      <w:r w:rsidRPr="00E35D8F">
        <w:t xml:space="preserve"> to calculate the incident solar radiation on both sides of the modules and the shading cast on the roof. A schematic of the case-study building and rooftop </w:t>
      </w:r>
      <w:proofErr w:type="spellStart"/>
      <w:r w:rsidRPr="00E35D8F">
        <w:t>bPV</w:t>
      </w:r>
      <w:proofErr w:type="spellEnd"/>
      <w:r w:rsidRPr="00E35D8F">
        <w:t xml:space="preserve"> layout is shown in </w:t>
      </w:r>
      <w:r w:rsidR="00D42F51" w:rsidRPr="00D42F51">
        <w:rPr>
          <w:szCs w:val="20"/>
        </w:rPr>
        <w:fldChar w:fldCharType="begin"/>
      </w:r>
      <w:r w:rsidR="00D42F51" w:rsidRPr="00D42F51">
        <w:rPr>
          <w:szCs w:val="20"/>
        </w:rPr>
        <w:instrText xml:space="preserve"> REF _Ref236870120 \h  \* MERGEFORMAT </w:instrText>
      </w:r>
      <w:r w:rsidR="00D42F51" w:rsidRPr="00D42F51">
        <w:rPr>
          <w:szCs w:val="20"/>
        </w:rPr>
      </w:r>
      <w:r w:rsidR="00D42F51" w:rsidRPr="00D42F51">
        <w:rPr>
          <w:szCs w:val="20"/>
        </w:rPr>
        <w:fldChar w:fldCharType="separate"/>
      </w:r>
      <w:r w:rsidR="00D42F51" w:rsidRPr="00D42F51">
        <w:rPr>
          <w:szCs w:val="20"/>
        </w:rPr>
        <w:t>Fig. 1</w:t>
      </w:r>
      <w:r w:rsidR="00D42F51" w:rsidRPr="00D42F51">
        <w:rPr>
          <w:szCs w:val="20"/>
        </w:rPr>
        <w:fldChar w:fldCharType="end"/>
      </w:r>
      <w:r w:rsidRPr="00E35D8F">
        <w:t>.</w:t>
      </w:r>
    </w:p>
    <w:p w14:paraId="7F253360" w14:textId="77777777" w:rsidR="006C4044" w:rsidRPr="00E35D8F" w:rsidRDefault="00343BFE" w:rsidP="00DC6F29">
      <w:pPr>
        <w:pStyle w:val="SWCText"/>
        <w:spacing w:after="0"/>
        <w:jc w:val="center"/>
        <w:rPr>
          <w:lang w:eastAsia="zh-CN"/>
        </w:rPr>
      </w:pPr>
      <w:r w:rsidRPr="00E35D8F">
        <w:rPr>
          <w:noProof/>
        </w:rPr>
        <w:drawing>
          <wp:inline distT="0" distB="0" distL="0" distR="0" wp14:anchorId="26928328" wp14:editId="6F97E2D6">
            <wp:extent cx="1926342" cy="1272209"/>
            <wp:effectExtent l="0" t="0" r="0" b="4445"/>
            <wp:docPr id="2" name="图片 2" descr="P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38#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6140" cy="1278680"/>
                    </a:xfrm>
                    <a:prstGeom prst="rect">
                      <a:avLst/>
                    </a:prstGeom>
                    <a:noFill/>
                    <a:ln>
                      <a:noFill/>
                    </a:ln>
                  </pic:spPr>
                </pic:pic>
              </a:graphicData>
            </a:graphic>
          </wp:inline>
        </w:drawing>
      </w:r>
    </w:p>
    <w:p w14:paraId="5130F325" w14:textId="2DE98134" w:rsidR="00343BFE" w:rsidRPr="00D06D16" w:rsidRDefault="00D06D16" w:rsidP="007D6190">
      <w:pPr>
        <w:pStyle w:val="afff0"/>
        <w:jc w:val="center"/>
        <w:rPr>
          <w:rFonts w:ascii="Times New Roman" w:hAnsi="Times New Roman"/>
          <w:b/>
          <w:sz w:val="16"/>
        </w:rPr>
      </w:pPr>
      <w:bookmarkStart w:id="1" w:name="_Ref236870120"/>
      <w:r w:rsidRPr="00D06D16">
        <w:rPr>
          <w:rFonts w:ascii="Times New Roman" w:hAnsi="Times New Roman"/>
          <w:b/>
          <w:sz w:val="16"/>
        </w:rPr>
        <w:t xml:space="preserve">Fig. </w:t>
      </w:r>
      <w:r w:rsidRPr="00D06D16">
        <w:rPr>
          <w:rFonts w:ascii="Times New Roman" w:hAnsi="Times New Roman"/>
          <w:b/>
          <w:sz w:val="16"/>
        </w:rPr>
        <w:fldChar w:fldCharType="begin"/>
      </w:r>
      <w:r w:rsidRPr="00D06D16">
        <w:rPr>
          <w:rFonts w:ascii="Times New Roman" w:hAnsi="Times New Roman"/>
          <w:b/>
          <w:sz w:val="16"/>
        </w:rPr>
        <w:instrText xml:space="preserve"> SEQ Fig. \* ARABIC </w:instrText>
      </w:r>
      <w:r w:rsidRPr="00D06D16">
        <w:rPr>
          <w:rFonts w:ascii="Times New Roman" w:hAnsi="Times New Roman"/>
          <w:b/>
          <w:sz w:val="16"/>
        </w:rPr>
        <w:fldChar w:fldCharType="separate"/>
      </w:r>
      <w:r w:rsidR="00B97263">
        <w:rPr>
          <w:rFonts w:ascii="Times New Roman" w:hAnsi="Times New Roman"/>
          <w:b/>
          <w:noProof/>
          <w:sz w:val="16"/>
        </w:rPr>
        <w:t>1</w:t>
      </w:r>
      <w:r w:rsidRPr="00D06D16">
        <w:rPr>
          <w:rFonts w:ascii="Times New Roman" w:hAnsi="Times New Roman"/>
          <w:b/>
          <w:sz w:val="16"/>
        </w:rPr>
        <w:fldChar w:fldCharType="end"/>
      </w:r>
      <w:bookmarkEnd w:id="1"/>
      <w:r w:rsidR="00A2693F" w:rsidRPr="00D06D16">
        <w:rPr>
          <w:rFonts w:ascii="Times New Roman" w:hAnsi="Times New Roman"/>
          <w:b/>
          <w:sz w:val="16"/>
          <w:lang w:eastAsia="zh-CN"/>
        </w:rPr>
        <w:t>:</w:t>
      </w:r>
      <w:r w:rsidR="00A2693F" w:rsidRPr="00D06D16">
        <w:rPr>
          <w:rFonts w:ascii="Times New Roman" w:hAnsi="Times New Roman"/>
          <w:b/>
          <w:sz w:val="16"/>
        </w:rPr>
        <w:t xml:space="preserve"> Case</w:t>
      </w:r>
      <w:r w:rsidR="00BE040E" w:rsidRPr="00D06D16">
        <w:rPr>
          <w:rFonts w:ascii="Times New Roman" w:hAnsi="Times New Roman" w:hint="eastAsia"/>
          <w:b/>
          <w:sz w:val="16"/>
          <w:lang w:eastAsia="zh-CN"/>
        </w:rPr>
        <w:t>-</w:t>
      </w:r>
      <w:r w:rsidR="00F25FF9" w:rsidRPr="00D06D16">
        <w:rPr>
          <w:rFonts w:ascii="Times New Roman" w:hAnsi="Times New Roman" w:hint="eastAsia"/>
          <w:b/>
          <w:sz w:val="16"/>
          <w:lang w:eastAsia="zh-CN"/>
        </w:rPr>
        <w:t>study</w:t>
      </w:r>
      <w:r w:rsidR="00A2693F" w:rsidRPr="00D06D16">
        <w:rPr>
          <w:rFonts w:ascii="Times New Roman" w:hAnsi="Times New Roman"/>
          <w:b/>
          <w:sz w:val="16"/>
        </w:rPr>
        <w:t xml:space="preserve"> building and rooftop bPV system schematic</w:t>
      </w:r>
    </w:p>
    <w:p w14:paraId="5A412759" w14:textId="0D57AFC8" w:rsidR="00932C93" w:rsidRPr="00E35D8F" w:rsidRDefault="009C7061" w:rsidP="009C7061">
      <w:pPr>
        <w:pStyle w:val="SWCText"/>
        <w:rPr>
          <w:lang w:eastAsia="zh-CN"/>
        </w:rPr>
      </w:pPr>
      <w:r w:rsidRPr="00E35D8F">
        <w:t xml:space="preserve">The selected module was the </w:t>
      </w:r>
      <w:proofErr w:type="spellStart"/>
      <w:r w:rsidRPr="00E35D8F">
        <w:t>LONGi</w:t>
      </w:r>
      <w:proofErr w:type="spellEnd"/>
      <w:r w:rsidRPr="00E35D8F">
        <w:t xml:space="preserve"> Hi-MO 9 LR7-72HYD-645M bifacial module</w:t>
      </w:r>
      <w:r w:rsidR="001C2DC1" w:rsidRPr="00E35D8F">
        <w:rPr>
          <w:lang w:eastAsia="zh-CN"/>
        </w:rPr>
        <w:t xml:space="preserve"> </w:t>
      </w:r>
      <w:r w:rsidR="009D7870" w:rsidRPr="00E35D8F">
        <w:fldChar w:fldCharType="begin"/>
      </w:r>
      <w:r w:rsidR="008F7E57">
        <w:instrText xml:space="preserve"> ADDIN ZOTERO_ITEM CSL_CITATION {"citationID":"3xwUikDi","properties":{"unsorted":false,"formattedCitation":"(LONGi Green Energy Technology Co., Ltd., 2024)","plainCitation":"(LONGi Green Energy Technology Co., Ltd., 2024)","noteIndex":0},"citationItems":[{"id":2654,"uris":["http://zotero.org/users/17474343/items/YE3FKG7S"],"itemData":{"id":2654,"type":"report","genre":"Product datasheet","language":"en","publisher":"LONGi Green Energy Technology Co., Ltd.","title":"Hi-MO 9 LR7-72HYD 625–660M Product Datasheet","URL":"https://static.longi.com/Hi_MO_9_LR_7_72_HYD_625_660_M_30_30_and_15_Frame_EN_3172de8975.pdf","author":[{"literal":"LONGi Green Energy Technology Co., Ltd."}],"accessed":{"date-parts":[["2026",6,21]]},"issued":{"date-parts":[["2024"]]}}}],"schema":"https://github.com/citation-style-language/schema/raw/master/csl-citation.json"} </w:instrText>
      </w:r>
      <w:r w:rsidR="009D7870" w:rsidRPr="00E35D8F">
        <w:fldChar w:fldCharType="separate"/>
      </w:r>
      <w:r w:rsidR="008F7E57" w:rsidRPr="008F7E57">
        <w:t>(LONGi Green Energy Technology Co., Ltd., 2024)</w:t>
      </w:r>
      <w:r w:rsidR="009D7870" w:rsidRPr="00E35D8F">
        <w:fldChar w:fldCharType="end"/>
      </w:r>
      <w:r w:rsidR="00B35277">
        <w:rPr>
          <w:rFonts w:hint="eastAsia"/>
          <w:lang w:eastAsia="zh-CN"/>
        </w:rPr>
        <w:t>,</w:t>
      </w:r>
      <w:r w:rsidR="00C93893" w:rsidRPr="00C93893">
        <w:t xml:space="preserve"> </w:t>
      </w:r>
      <w:r w:rsidR="00C93893" w:rsidRPr="00C93893">
        <w:rPr>
          <w:lang w:eastAsia="zh-CN"/>
        </w:rPr>
        <w:t xml:space="preserve">with a rated power of 645 W, dimensions of 2382 mm × 1134 mm × 30 mm, </w:t>
      </w:r>
      <w:r w:rsidR="00373159">
        <w:rPr>
          <w:rFonts w:hint="eastAsia"/>
          <w:lang w:eastAsia="zh-CN"/>
        </w:rPr>
        <w:t xml:space="preserve">a </w:t>
      </w:r>
      <w:r w:rsidR="00C93893" w:rsidRPr="00C93893">
        <w:rPr>
          <w:lang w:eastAsia="zh-CN"/>
        </w:rPr>
        <w:t>module efficiency of 23.9%</w:t>
      </w:r>
      <w:r w:rsidR="005653F5">
        <w:rPr>
          <w:rFonts w:hint="eastAsia"/>
          <w:lang w:eastAsia="zh-CN"/>
        </w:rPr>
        <w:t>,</w:t>
      </w:r>
      <w:r w:rsidR="005653F5" w:rsidRPr="005653F5">
        <w:rPr>
          <w:color w:val="auto"/>
          <w:sz w:val="24"/>
          <w:szCs w:val="24"/>
          <w:lang w:val="de-DE"/>
        </w:rPr>
        <w:t xml:space="preserve"> </w:t>
      </w:r>
      <w:r w:rsidR="005653F5" w:rsidRPr="005653F5">
        <w:rPr>
          <w:lang w:val="de-DE" w:eastAsia="zh-CN"/>
        </w:rPr>
        <w:t>and a nominal bifaciality factor of 0.70.</w:t>
      </w:r>
      <w:r w:rsidR="00C93893" w:rsidRPr="00C93893">
        <w:rPr>
          <w:lang w:eastAsia="zh-CN"/>
        </w:rPr>
        <w:t xml:space="preserve"> </w:t>
      </w:r>
      <w:r w:rsidR="00065F33" w:rsidRPr="00065F33">
        <w:rPr>
          <w:lang w:eastAsia="zh-CN"/>
        </w:rPr>
        <w:t xml:space="preserve">The reference parameters and temperature–irradiance translation relationships required by the five-parameter single-diode model were adopted from the modelling approach of </w:t>
      </w:r>
      <w:r w:rsidR="00A53DEA" w:rsidRPr="00E35D8F">
        <w:fldChar w:fldCharType="begin"/>
      </w:r>
      <w:r w:rsidR="00A53DEA" w:rsidRPr="00E35D8F">
        <w:instrText xml:space="preserve"> ADDIN ZOTERO_ITEM CSL_CITATION {"citationID":"09YMHiSb","properties":{"unsorted":false,"formattedCitation":"(Gu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gain.","container-title":"Applied Energy","DOI":"10.1016/j.apenergy.2019.114075","ISSN":"03062619","journalAbbreviation":"Applied Energy","language":"en","note":"titleTranslation: </w:instrText>
      </w:r>
      <w:r w:rsidR="00A53DEA" w:rsidRPr="00E35D8F">
        <w:instrText>双面光伏组件的光</w:instrText>
      </w:r>
      <w:r w:rsidR="00A53DEA" w:rsidRPr="00E35D8F">
        <w:instrText>-</w:instrText>
      </w:r>
      <w:r w:rsidR="00A53DEA" w:rsidRPr="00E35D8F">
        <w:instrText>电</w:instrText>
      </w:r>
      <w:r w:rsidR="00A53DEA" w:rsidRPr="00E35D8F">
        <w:instrText>-</w:instrText>
      </w:r>
      <w:r w:rsidR="00A53DEA" w:rsidRPr="00E35D8F">
        <w:instrText>热耦合模型</w:instrText>
      </w:r>
      <w:r w:rsidR="00A53DEA" w:rsidRPr="00E35D8F">
        <w:instrText xml:space="preserve">\nabstractTranslation: </w:instrText>
      </w:r>
      <w:r w:rsidR="00A53DEA" w:rsidRPr="00E35D8F">
        <w:instrText>双面光伏（</w:instrText>
      </w:r>
      <w:r w:rsidR="00A53DEA" w:rsidRPr="00E35D8F">
        <w:instrText>PV</w:instrText>
      </w:r>
      <w:r w:rsidR="00A53DEA" w:rsidRPr="00E35D8F">
        <w:instrText>）技术可同时从前后两面收集太阳光以实现高发电量，近年来已在全球市场盛行，但学术界对这一新技术的关注有限，尤其是多物理场仿真理论研究。本文建立了双面光伏组件的光</w:instrText>
      </w:r>
      <w:r w:rsidR="00A53DEA" w:rsidRPr="00E35D8F">
        <w:instrText>-</w:instrText>
      </w:r>
      <w:r w:rsidR="00A53DEA" w:rsidRPr="00E35D8F">
        <w:instrText>电</w:instrText>
      </w:r>
      <w:r w:rsidR="00A53DEA" w:rsidRPr="00E35D8F">
        <w:instrText>-</w:instrText>
      </w:r>
      <w:r w:rsidR="00A53DEA" w:rsidRPr="00E35D8F">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00A53DEA" w:rsidRPr="00E35D8F">
        <w:instrText xml:space="preserve"> 25.58% </w:instrText>
      </w:r>
      <w:r w:rsidR="00A53DEA" w:rsidRPr="00E35D8F">
        <w:instrText>和</w:instrText>
      </w:r>
      <w:r w:rsidR="00A53DEA" w:rsidRPr="00E35D8F">
        <w:instrText xml:space="preserve"> 28.21%</w:instrText>
      </w:r>
      <w:r w:rsidR="00A53DEA" w:rsidRPr="00E35D8F">
        <w:instrText>，香港和上海的年双面增益超过</w:instrText>
      </w:r>
      <w:r w:rsidR="00A53DEA" w:rsidRPr="00E35D8F">
        <w:instrText xml:space="preserve"> 22%</w:instrText>
      </w:r>
      <w:r w:rsidR="00A53DEA" w:rsidRPr="00E35D8F">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00A53DEA" w:rsidRPr="00E35D8F">
        <w:instrText xml:space="preserve">","page":"114075","source":"DOI.org (Crossref)","title":"A coupled optical-electrical-thermal model of the bifacial photovoltaic modu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00A53DEA" w:rsidRPr="00E35D8F">
        <w:fldChar w:fldCharType="separate"/>
      </w:r>
      <w:r w:rsidR="00A53DEA" w:rsidRPr="00E35D8F">
        <w:t xml:space="preserve">Gu et al. </w:t>
      </w:r>
      <w:r w:rsidR="00A53DEA" w:rsidRPr="00E35D8F">
        <w:rPr>
          <w:lang w:eastAsia="zh-CN"/>
        </w:rPr>
        <w:t>(</w:t>
      </w:r>
      <w:r w:rsidR="00A53DEA" w:rsidRPr="00E35D8F">
        <w:t>2020)</w:t>
      </w:r>
      <w:r w:rsidR="00A53DEA" w:rsidRPr="00E35D8F">
        <w:fldChar w:fldCharType="end"/>
      </w:r>
      <w:r w:rsidR="00065F33" w:rsidRPr="00065F33">
        <w:rPr>
          <w:lang w:eastAsia="zh-CN"/>
        </w:rPr>
        <w:t>, rather than being directly provided by the manufacturer datasheet</w:t>
      </w:r>
      <w:r w:rsidR="00C93893" w:rsidRPr="00C93893">
        <w:rPr>
          <w:lang w:eastAsia="zh-CN"/>
        </w:rPr>
        <w:t xml:space="preserve">. The array consisted of five rows with ten modules per row, giving 50 modules, </w:t>
      </w:r>
      <w:r w:rsidR="00DC6F29" w:rsidRPr="00DC6F29">
        <w:rPr>
          <w:lang w:eastAsia="zh-CN"/>
        </w:rPr>
        <w:t xml:space="preserve">an installed capacity of 32.3 </w:t>
      </w:r>
      <w:proofErr w:type="spellStart"/>
      <w:r w:rsidR="00DC6F29" w:rsidRPr="00DC6F29">
        <w:rPr>
          <w:lang w:eastAsia="zh-CN"/>
        </w:rPr>
        <w:t>kWp</w:t>
      </w:r>
      <w:proofErr w:type="spellEnd"/>
      <w:r w:rsidR="00DC6F29" w:rsidRPr="00DC6F29">
        <w:rPr>
          <w:lang w:eastAsia="zh-CN"/>
        </w:rPr>
        <w:t>, and a total module area of 135.1 m²</w:t>
      </w:r>
      <w:r w:rsidR="00C93893" w:rsidRPr="00C93893">
        <w:rPr>
          <w:lang w:eastAsia="zh-CN"/>
        </w:rPr>
        <w:t>.</w:t>
      </w:r>
      <w:r w:rsidRPr="00E35D8F">
        <w:t xml:space="preserve"> </w:t>
      </w:r>
      <w:r w:rsidR="00E62EE1" w:rsidRPr="00E62EE1">
        <w:t xml:space="preserve">The sampled ranges of tilt angle, row spacing, and </w:t>
      </w:r>
      <w:r w:rsidR="00E51133" w:rsidRPr="00E51133">
        <w:rPr>
          <w:lang w:val="de-DE"/>
        </w:rPr>
        <w:t>mounting</w:t>
      </w:r>
      <w:r w:rsidR="00E62EE1" w:rsidRPr="00E62EE1">
        <w:t xml:space="preserve"> height were defined so that the five-row by ten-module array remained within the available roof footprint and satisfied the adopted roof-edge, row-spacing, and maintenance-access constraints for all simulated cases.</w:t>
      </w:r>
      <w:r w:rsidR="00AB2188">
        <w:rPr>
          <w:rFonts w:hint="eastAsia"/>
          <w:lang w:eastAsia="zh-CN"/>
        </w:rPr>
        <w:t xml:space="preserve"> </w:t>
      </w:r>
      <w:r w:rsidR="00A240FB" w:rsidRPr="00A240FB">
        <w:t>An initial south-facing array geometry, with a tilt angle of 30°, a row spacing of 2.0 m, and a mounting height of 0.5 m above the roof, was used only for model setup and illustration and was not treated as a separate baseline case. In the subsequent parametric analysis, tilt angle, row spacing, mounting height, and roof albedo were varied within the prescribed ranges, while the number of modules, total module area, and installed capacity were kept constant. Therefore, the sampled parameters altered the irradiance, shading, and roof thermal-boundary conditions without changing the rated PV capacity</w:t>
      </w:r>
      <w:r w:rsidR="006C4044" w:rsidRPr="00E35D8F">
        <w:t>.</w:t>
      </w:r>
    </w:p>
    <w:p w14:paraId="27E06E65" w14:textId="570EEFBB" w:rsidR="00551E6F" w:rsidRPr="00551E6F" w:rsidRDefault="00394BA4" w:rsidP="00551E6F">
      <w:pPr>
        <w:spacing w:before="160" w:after="80" w:line="240" w:lineRule="exact"/>
        <w:outlineLvl w:val="1"/>
        <w:rPr>
          <w:rFonts w:ascii="Arial" w:hAnsi="Arial" w:cs="Arial"/>
          <w:i/>
          <w:iCs/>
          <w:sz w:val="20"/>
          <w:szCs w:val="20"/>
          <w:lang w:val="en-US" w:eastAsia="zh-CN"/>
        </w:rPr>
      </w:pPr>
      <w:r w:rsidRPr="00E35D8F">
        <w:rPr>
          <w:rFonts w:ascii="Arial" w:hAnsi="Arial" w:cs="Arial"/>
          <w:i/>
          <w:iCs/>
          <w:sz w:val="20"/>
          <w:szCs w:val="20"/>
          <w:lang w:val="en-US" w:eastAsia="zh-CN"/>
        </w:rPr>
        <w:t xml:space="preserve">2.2. </w:t>
      </w:r>
      <w:r w:rsidR="00332433" w:rsidRPr="00E35D8F">
        <w:rPr>
          <w:rFonts w:ascii="Arial" w:hAnsi="Arial" w:cs="Arial"/>
          <w:i/>
          <w:iCs/>
          <w:sz w:val="20"/>
          <w:szCs w:val="20"/>
          <w:lang w:val="en-US" w:eastAsia="zh-CN"/>
        </w:rPr>
        <w:t>Building</w:t>
      </w:r>
      <w:r w:rsidR="0032055E" w:rsidRPr="00E35D8F">
        <w:rPr>
          <w:rFonts w:ascii="Arial" w:hAnsi="Arial" w:cs="Arial"/>
          <w:i/>
          <w:iCs/>
          <w:sz w:val="20"/>
          <w:szCs w:val="20"/>
          <w:lang w:val="en-US" w:eastAsia="zh-CN"/>
        </w:rPr>
        <w:t>–</w:t>
      </w:r>
      <w:r w:rsidR="00332433" w:rsidRPr="00E35D8F">
        <w:rPr>
          <w:rFonts w:ascii="Arial" w:hAnsi="Arial" w:cs="Arial"/>
          <w:i/>
          <w:iCs/>
          <w:sz w:val="20"/>
          <w:szCs w:val="20"/>
          <w:lang w:val="en-US" w:eastAsia="zh-CN"/>
        </w:rPr>
        <w:t xml:space="preserve">bifacial PV </w:t>
      </w:r>
      <w:r w:rsidRPr="00E35D8F">
        <w:rPr>
          <w:rFonts w:ascii="Arial" w:hAnsi="Arial" w:cs="Arial"/>
          <w:i/>
          <w:iCs/>
          <w:sz w:val="20"/>
          <w:szCs w:val="20"/>
          <w:lang w:val="en-US" w:eastAsia="zh-CN"/>
        </w:rPr>
        <w:t>coupled modelling framework</w:t>
      </w:r>
    </w:p>
    <w:p w14:paraId="08DE8FE9" w14:textId="62942577" w:rsidR="00EB56CF" w:rsidRPr="00E35D8F" w:rsidRDefault="00DC6F29" w:rsidP="008A3766">
      <w:pPr>
        <w:pStyle w:val="SWCText"/>
        <w:spacing w:after="0" w:line="240" w:lineRule="auto"/>
        <w:jc w:val="center"/>
        <w:rPr>
          <w:lang w:eastAsia="zh-CN"/>
        </w:rPr>
      </w:pPr>
      <w:r>
        <w:rPr>
          <w:noProof/>
          <w:lang w:eastAsia="zh-CN"/>
        </w:rPr>
        <w:drawing>
          <wp:inline distT="0" distB="0" distL="0" distR="0" wp14:anchorId="2328AFA6" wp14:editId="04FECFC4">
            <wp:extent cx="4461329" cy="2661655"/>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rotWithShape="1">
                    <a:blip r:embed="rId10"/>
                    <a:srcRect l="3308" t="2231" r="9319" b="5109"/>
                    <a:stretch/>
                  </pic:blipFill>
                  <pic:spPr bwMode="auto">
                    <a:xfrm>
                      <a:off x="0" y="0"/>
                      <a:ext cx="4464908" cy="2663790"/>
                    </a:xfrm>
                    <a:prstGeom prst="rect">
                      <a:avLst/>
                    </a:prstGeom>
                    <a:ln>
                      <a:noFill/>
                    </a:ln>
                    <a:extLst>
                      <a:ext uri="{53640926-AAD7-44D8-BBD7-CCE9431645EC}">
                        <a14:shadowObscured xmlns:a14="http://schemas.microsoft.com/office/drawing/2010/main"/>
                      </a:ext>
                    </a:extLst>
                  </pic:spPr>
                </pic:pic>
              </a:graphicData>
            </a:graphic>
          </wp:inline>
        </w:drawing>
      </w:r>
    </w:p>
    <w:p w14:paraId="5FF9AFEA" w14:textId="4C842FF0" w:rsidR="00EB56CF" w:rsidRPr="004465C6" w:rsidRDefault="004465C6" w:rsidP="004465C6">
      <w:pPr>
        <w:pStyle w:val="afff0"/>
        <w:spacing w:after="120" w:line="276" w:lineRule="auto"/>
        <w:jc w:val="center"/>
        <w:rPr>
          <w:rFonts w:ascii="Times New Roman" w:hAnsi="Times New Roman"/>
          <w:b/>
          <w:sz w:val="16"/>
        </w:rPr>
      </w:pPr>
      <w:bookmarkStart w:id="2" w:name="_Ref236870228"/>
      <w:r w:rsidRPr="004465C6">
        <w:rPr>
          <w:rFonts w:ascii="Times New Roman" w:hAnsi="Times New Roman"/>
          <w:b/>
          <w:sz w:val="16"/>
        </w:rPr>
        <w:t xml:space="preserve">Fig. </w:t>
      </w:r>
      <w:r w:rsidRPr="004465C6">
        <w:rPr>
          <w:rFonts w:ascii="Times New Roman" w:hAnsi="Times New Roman"/>
          <w:b/>
          <w:sz w:val="16"/>
        </w:rPr>
        <w:fldChar w:fldCharType="begin"/>
      </w:r>
      <w:r w:rsidRPr="004465C6">
        <w:rPr>
          <w:rFonts w:ascii="Times New Roman" w:hAnsi="Times New Roman"/>
          <w:b/>
          <w:sz w:val="16"/>
        </w:rPr>
        <w:instrText xml:space="preserve"> SEQ Fig. \* ARABIC </w:instrText>
      </w:r>
      <w:r w:rsidRPr="004465C6">
        <w:rPr>
          <w:rFonts w:ascii="Times New Roman" w:hAnsi="Times New Roman"/>
          <w:b/>
          <w:sz w:val="16"/>
        </w:rPr>
        <w:fldChar w:fldCharType="separate"/>
      </w:r>
      <w:r w:rsidR="00B97263">
        <w:rPr>
          <w:rFonts w:ascii="Times New Roman" w:hAnsi="Times New Roman"/>
          <w:b/>
          <w:noProof/>
          <w:sz w:val="16"/>
        </w:rPr>
        <w:t>2</w:t>
      </w:r>
      <w:r w:rsidRPr="004465C6">
        <w:rPr>
          <w:rFonts w:ascii="Times New Roman" w:hAnsi="Times New Roman"/>
          <w:b/>
          <w:sz w:val="16"/>
        </w:rPr>
        <w:fldChar w:fldCharType="end"/>
      </w:r>
      <w:bookmarkEnd w:id="2"/>
      <w:r w:rsidR="00EB56CF" w:rsidRPr="004465C6">
        <w:rPr>
          <w:rFonts w:ascii="Times New Roman" w:hAnsi="Times New Roman"/>
          <w:b/>
          <w:sz w:val="16"/>
        </w:rPr>
        <w:t>: Building–bPV coupled modelling workflow implemented through the EnergyPlus PythonPlugin interface</w:t>
      </w:r>
    </w:p>
    <w:p w14:paraId="3647E9AB" w14:textId="4CDFB5CF" w:rsidR="00ED3CFC" w:rsidRDefault="00222163" w:rsidP="00EB56CF">
      <w:pPr>
        <w:pStyle w:val="SWCText"/>
      </w:pPr>
      <w:r w:rsidRPr="00222163">
        <w:t>A sequentially coupled building–</w:t>
      </w:r>
      <w:proofErr w:type="spellStart"/>
      <w:r w:rsidRPr="00222163">
        <w:t>bPV</w:t>
      </w:r>
      <w:proofErr w:type="spellEnd"/>
      <w:r w:rsidRPr="00222163">
        <w:t xml:space="preserve"> modelling framework was implemented in </w:t>
      </w:r>
      <w:proofErr w:type="spellStart"/>
      <w:r w:rsidRPr="00222163">
        <w:t>EnergyPlus</w:t>
      </w:r>
      <w:proofErr w:type="spellEnd"/>
      <w:r w:rsidRPr="00222163">
        <w:t xml:space="preserve"> through the </w:t>
      </w:r>
      <w:proofErr w:type="spellStart"/>
      <w:r w:rsidRPr="00222163">
        <w:lastRenderedPageBreak/>
        <w:t>PythonPlugin</w:t>
      </w:r>
      <w:proofErr w:type="spellEnd"/>
      <w:r w:rsidRPr="00222163">
        <w:t xml:space="preserve"> interface. </w:t>
      </w:r>
      <w:proofErr w:type="spellStart"/>
      <w:r w:rsidRPr="00222163">
        <w:t>EnergyPlus</w:t>
      </w:r>
      <w:proofErr w:type="spellEnd"/>
      <w:r w:rsidRPr="00222163">
        <w:t xml:space="preserve"> calculated the building heat balance, HVAC electricity use, roof shading, roof </w:t>
      </w:r>
      <w:r w:rsidR="00135C59">
        <w:rPr>
          <w:rFonts w:hint="eastAsia"/>
          <w:lang w:eastAsia="zh-CN"/>
        </w:rPr>
        <w:t>exterior</w:t>
      </w:r>
      <w:r w:rsidRPr="00222163">
        <w:t xml:space="preserve"> temperatures, and row-level front- and rear-side irradiances. These outputs were passed to the Python-based </w:t>
      </w:r>
      <w:proofErr w:type="spellStart"/>
      <w:r w:rsidRPr="00222163">
        <w:t>bPV</w:t>
      </w:r>
      <w:proofErr w:type="spellEnd"/>
      <w:r w:rsidRPr="00222163">
        <w:t xml:space="preserve"> electro-thermal model to calculate equivalent irradiance, module temperatures, maximum-power-point</w:t>
      </w:r>
      <w:r w:rsidR="001E28FF">
        <w:rPr>
          <w:rFonts w:hint="eastAsia"/>
          <w:lang w:eastAsia="zh-CN"/>
        </w:rPr>
        <w:t xml:space="preserve"> (MPP)</w:t>
      </w:r>
      <w:r w:rsidRPr="00222163">
        <w:t xml:space="preserve"> DC power, and time-step electricity generation. The calculated front- and rear-glass temperatures were returned to </w:t>
      </w:r>
      <w:proofErr w:type="spellStart"/>
      <w:r w:rsidRPr="00222163">
        <w:t>EnergyPlus</w:t>
      </w:r>
      <w:proofErr w:type="spellEnd"/>
      <w:r w:rsidRPr="00222163">
        <w:t xml:space="preserve"> through surrounding-surface temperature schedules to represent roof–</w:t>
      </w:r>
      <w:proofErr w:type="spellStart"/>
      <w:r w:rsidRPr="00222163">
        <w:t>bPV</w:t>
      </w:r>
      <w:proofErr w:type="spellEnd"/>
      <w:r w:rsidRPr="00222163">
        <w:t xml:space="preserve"> longwave radiative coupling. The overall workflow and exchanged variables are shown in</w:t>
      </w:r>
      <w:r w:rsidR="001E28FF">
        <w:rPr>
          <w:rFonts w:hint="eastAsia"/>
          <w:lang w:eastAsia="zh-CN"/>
        </w:rPr>
        <w:t xml:space="preserve"> </w:t>
      </w:r>
      <w:r w:rsidR="004465C6" w:rsidRPr="004465C6">
        <w:rPr>
          <w:szCs w:val="20"/>
        </w:rPr>
        <w:fldChar w:fldCharType="begin"/>
      </w:r>
      <w:r w:rsidR="004465C6" w:rsidRPr="004465C6">
        <w:rPr>
          <w:szCs w:val="20"/>
        </w:rPr>
        <w:instrText xml:space="preserve"> REF _Ref236870228 \h  \* MERGEFORMAT </w:instrText>
      </w:r>
      <w:r w:rsidR="004465C6" w:rsidRPr="004465C6">
        <w:rPr>
          <w:szCs w:val="20"/>
        </w:rPr>
      </w:r>
      <w:r w:rsidR="004465C6" w:rsidRPr="004465C6">
        <w:rPr>
          <w:szCs w:val="20"/>
        </w:rPr>
        <w:fldChar w:fldCharType="separate"/>
      </w:r>
      <w:r w:rsidR="004465C6" w:rsidRPr="004465C6">
        <w:rPr>
          <w:szCs w:val="20"/>
        </w:rPr>
        <w:t>Fig</w:t>
      </w:r>
      <w:r w:rsidR="009A4845">
        <w:rPr>
          <w:szCs w:val="20"/>
          <w:lang w:eastAsia="zh-CN"/>
        </w:rPr>
        <w:t>.</w:t>
      </w:r>
      <w:r w:rsidR="004465C6" w:rsidRPr="004465C6">
        <w:rPr>
          <w:szCs w:val="20"/>
        </w:rPr>
        <w:t xml:space="preserve"> 2</w:t>
      </w:r>
      <w:r w:rsidR="004465C6" w:rsidRPr="004465C6">
        <w:rPr>
          <w:szCs w:val="20"/>
        </w:rPr>
        <w:fldChar w:fldCharType="end"/>
      </w:r>
      <w:r w:rsidR="00EB56CF">
        <w:t xml:space="preserve">. </w:t>
      </w:r>
    </w:p>
    <w:p w14:paraId="7FDC0BED" w14:textId="1525D362"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 xml:space="preserve">2.2.1. </w:t>
      </w:r>
      <w:r w:rsidR="007C5AA8" w:rsidRPr="007C5AA8">
        <w:rPr>
          <w:rFonts w:ascii="Arial" w:hAnsi="Arial" w:cs="Arial"/>
          <w:i/>
          <w:iCs/>
          <w:sz w:val="20"/>
          <w:szCs w:val="20"/>
          <w:lang w:val="en-US" w:eastAsia="zh-CN"/>
        </w:rPr>
        <w:t>Time-step implementation</w:t>
      </w:r>
    </w:p>
    <w:p w14:paraId="3A3169CB" w14:textId="58C1924F" w:rsidR="001234AF" w:rsidRPr="00E35D8F" w:rsidRDefault="00517869" w:rsidP="00216BE0">
      <w:pPr>
        <w:pStyle w:val="SWCText"/>
      </w:pPr>
      <w:r w:rsidRPr="00517869">
        <w:t xml:space="preserve">The </w:t>
      </w:r>
      <w:proofErr w:type="spellStart"/>
      <w:r w:rsidRPr="00517869">
        <w:t>EnergyPlus</w:t>
      </w:r>
      <w:proofErr w:type="spellEnd"/>
      <w:r w:rsidRPr="00517869">
        <w:t xml:space="preserve"> simulations and the Python-based electro-thermal calculations used a 10-min time step</w:t>
      </w:r>
      <w:r w:rsidR="00216BE0">
        <w:t xml:space="preserve">. </w:t>
      </w:r>
      <w:r w:rsidR="00CE59A6" w:rsidRPr="00CE59A6">
        <w:t xml:space="preserve">At each time step, the </w:t>
      </w:r>
      <w:proofErr w:type="spellStart"/>
      <w:r w:rsidR="00CE59A6" w:rsidRPr="00CE59A6">
        <w:t>PythonPlugin</w:t>
      </w:r>
      <w:proofErr w:type="spellEnd"/>
      <w:r w:rsidR="00CE59A6" w:rsidRPr="00CE59A6">
        <w:t xml:space="preserve"> retrieved the required boundary conditions from </w:t>
      </w:r>
      <w:proofErr w:type="spellStart"/>
      <w:r w:rsidR="00CE59A6" w:rsidRPr="00CE59A6">
        <w:t>EnergyPlus</w:t>
      </w:r>
      <w:proofErr w:type="spellEnd"/>
      <w:r w:rsidR="00CE59A6" w:rsidRPr="00CE59A6">
        <w:t xml:space="preserve"> and solved the electro-thermal model using a maximum of 30 iterations and a relative-change tolerance of 10</w:t>
      </w:r>
      <w:r w:rsidR="00CE59A6" w:rsidRPr="00CE59A6">
        <w:rPr>
          <w:vertAlign w:val="superscript"/>
        </w:rPr>
        <w:t>-5</w:t>
      </w:r>
      <w:r w:rsidR="00CE59A6" w:rsidRPr="00CE59A6">
        <w:t xml:space="preserve">. The converged glass temperatures were then written back to </w:t>
      </w:r>
      <w:proofErr w:type="spellStart"/>
      <w:r w:rsidR="00CE59A6" w:rsidRPr="00CE59A6">
        <w:t>EnergyPlus</w:t>
      </w:r>
      <w:proofErr w:type="spellEnd"/>
      <w:r w:rsidR="00CE59A6" w:rsidRPr="00CE59A6">
        <w:t xml:space="preserve"> and affected the roof longwave heat balance during the following time step. No same-time-step outer iteration was performed</w:t>
      </w:r>
      <w:r w:rsidR="00BB66D8">
        <w:t xml:space="preserve">. </w:t>
      </w:r>
    </w:p>
    <w:p w14:paraId="14B472E8" w14:textId="4AFCDD78"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 xml:space="preserve">2.2.2. </w:t>
      </w:r>
      <w:r w:rsidR="0002267F" w:rsidRPr="0002267F">
        <w:rPr>
          <w:rFonts w:ascii="Arial" w:hAnsi="Arial" w:cs="Arial"/>
          <w:i/>
          <w:iCs/>
          <w:sz w:val="20"/>
          <w:szCs w:val="20"/>
          <w:lang w:val="en-US" w:eastAsia="zh-CN"/>
        </w:rPr>
        <w:t>Solar-shading treatment and roof–</w:t>
      </w:r>
      <w:proofErr w:type="spellStart"/>
      <w:r w:rsidR="0002267F" w:rsidRPr="0002267F">
        <w:rPr>
          <w:rFonts w:ascii="Arial" w:hAnsi="Arial" w:cs="Arial"/>
          <w:i/>
          <w:iCs/>
          <w:sz w:val="20"/>
          <w:szCs w:val="20"/>
          <w:lang w:val="en-US" w:eastAsia="zh-CN"/>
        </w:rPr>
        <w:t>bPV</w:t>
      </w:r>
      <w:proofErr w:type="spellEnd"/>
      <w:r w:rsidR="0002267F" w:rsidRPr="0002267F">
        <w:rPr>
          <w:rFonts w:ascii="Arial" w:hAnsi="Arial" w:cs="Arial"/>
          <w:i/>
          <w:iCs/>
          <w:sz w:val="20"/>
          <w:szCs w:val="20"/>
          <w:lang w:val="en-US" w:eastAsia="zh-CN"/>
        </w:rPr>
        <w:t xml:space="preserve"> longwave exchange</w:t>
      </w:r>
    </w:p>
    <w:p w14:paraId="0E9EE484" w14:textId="4A4E5B72" w:rsidR="005A59A1" w:rsidRPr="00E35D8F" w:rsidRDefault="00C74A44" w:rsidP="00C74A44">
      <w:pPr>
        <w:pStyle w:val="SWCText"/>
        <w:rPr>
          <w:lang w:eastAsia="zh-CN"/>
        </w:rPr>
      </w:pPr>
      <w:r>
        <w:rPr>
          <w:lang w:eastAsia="zh-CN"/>
        </w:rPr>
        <w:t xml:space="preserve">The rooftop </w:t>
      </w:r>
      <w:proofErr w:type="spellStart"/>
      <w:r>
        <w:rPr>
          <w:lang w:eastAsia="zh-CN"/>
        </w:rPr>
        <w:t>bPV</w:t>
      </w:r>
      <w:proofErr w:type="spellEnd"/>
      <w:r>
        <w:rPr>
          <w:lang w:eastAsia="zh-CN"/>
        </w:rPr>
        <w:t xml:space="preserve"> rows were explicitly represented as elevated exterior surfaces in the </w:t>
      </w:r>
      <w:proofErr w:type="spellStart"/>
      <w:r>
        <w:rPr>
          <w:lang w:eastAsia="zh-CN"/>
        </w:rPr>
        <w:t>EnergyPlus</w:t>
      </w:r>
      <w:proofErr w:type="spellEnd"/>
      <w:r>
        <w:rPr>
          <w:lang w:eastAsia="zh-CN"/>
        </w:rPr>
        <w:t xml:space="preserve"> </w:t>
      </w:r>
      <w:r w:rsidR="003D4619" w:rsidRPr="003D4619">
        <w:rPr>
          <w:lang w:val="de-DE" w:eastAsia="zh-CN"/>
        </w:rPr>
        <w:t>Input Data File</w:t>
      </w:r>
      <w:r>
        <w:rPr>
          <w:lang w:eastAsia="zh-CN"/>
        </w:rPr>
        <w:t xml:space="preserve"> model. Solar position, module tilt, row-to-row shading, roof </w:t>
      </w:r>
      <w:r w:rsidR="003D4619">
        <w:rPr>
          <w:rFonts w:hint="eastAsia"/>
          <w:lang w:eastAsia="zh-CN"/>
        </w:rPr>
        <w:t>albedo</w:t>
      </w:r>
      <w:r>
        <w:rPr>
          <w:lang w:eastAsia="zh-CN"/>
        </w:rPr>
        <w:t>, and building geometry were therefore evaluated using the same radiation and shading calculation</w:t>
      </w:r>
      <w:r w:rsidR="00DC6F29">
        <w:rPr>
          <w:lang w:eastAsia="zh-CN"/>
        </w:rPr>
        <w:t>s</w:t>
      </w:r>
      <w:r>
        <w:rPr>
          <w:lang w:eastAsia="zh-CN"/>
        </w:rPr>
        <w:t xml:space="preserve"> </w:t>
      </w:r>
      <w:r w:rsidR="00DC6F29">
        <w:rPr>
          <w:lang w:eastAsia="zh-CN"/>
        </w:rPr>
        <w:t>used for</w:t>
      </w:r>
      <w:r>
        <w:rPr>
          <w:lang w:eastAsia="zh-CN"/>
        </w:rPr>
        <w:t xml:space="preserve"> the building model. The resulting front- and rear-side irradiances were passed to the </w:t>
      </w:r>
      <w:proofErr w:type="spellStart"/>
      <w:r>
        <w:rPr>
          <w:lang w:eastAsia="zh-CN"/>
        </w:rPr>
        <w:t>PythonPlugin</w:t>
      </w:r>
      <w:proofErr w:type="spellEnd"/>
      <w:r>
        <w:rPr>
          <w:lang w:eastAsia="zh-CN"/>
        </w:rPr>
        <w:t xml:space="preserve"> as optical boundary inputs for the </w:t>
      </w:r>
      <w:proofErr w:type="spellStart"/>
      <w:r>
        <w:rPr>
          <w:lang w:eastAsia="zh-CN"/>
        </w:rPr>
        <w:t>bPV</w:t>
      </w:r>
      <w:proofErr w:type="spellEnd"/>
      <w:r>
        <w:rPr>
          <w:lang w:eastAsia="zh-CN"/>
        </w:rPr>
        <w:t xml:space="preserve"> electro-thermal model.</w:t>
      </w:r>
      <w:r w:rsidR="0002272C">
        <w:rPr>
          <w:rFonts w:hint="eastAsia"/>
          <w:lang w:eastAsia="zh-CN"/>
        </w:rPr>
        <w:t xml:space="preserve"> </w:t>
      </w:r>
      <w:r>
        <w:rPr>
          <w:lang w:eastAsia="zh-CN"/>
        </w:rPr>
        <w:t xml:space="preserve">Longwave radiative coupling between the roof and </w:t>
      </w:r>
      <w:proofErr w:type="spellStart"/>
      <w:r>
        <w:rPr>
          <w:lang w:eastAsia="zh-CN"/>
        </w:rPr>
        <w:t>bPV</w:t>
      </w:r>
      <w:proofErr w:type="spellEnd"/>
      <w:r>
        <w:rPr>
          <w:lang w:eastAsia="zh-CN"/>
        </w:rPr>
        <w:t xml:space="preserve"> surfaces was represented using local external environments in </w:t>
      </w:r>
      <w:proofErr w:type="spellStart"/>
      <w:r>
        <w:rPr>
          <w:lang w:eastAsia="zh-CN"/>
        </w:rPr>
        <w:t>EnergyPlus</w:t>
      </w:r>
      <w:proofErr w:type="spellEnd"/>
      <w:r>
        <w:rPr>
          <w:lang w:eastAsia="zh-CN"/>
        </w:rPr>
        <w:t xml:space="preserve">. For each sampled geometry, the tilt angle, row spacing, and mounting height were first applied to regenerate the </w:t>
      </w:r>
      <w:proofErr w:type="spellStart"/>
      <w:r>
        <w:rPr>
          <w:lang w:eastAsia="zh-CN"/>
        </w:rPr>
        <w:t>bPV</w:t>
      </w:r>
      <w:proofErr w:type="spellEnd"/>
      <w:r>
        <w:rPr>
          <w:lang w:eastAsia="zh-CN"/>
        </w:rPr>
        <w:t xml:space="preserve"> geometry. The corresponding roof–</w:t>
      </w:r>
      <w:proofErr w:type="spellStart"/>
      <w:r>
        <w:rPr>
          <w:lang w:eastAsia="zh-CN"/>
        </w:rPr>
        <w:t>bPV</w:t>
      </w:r>
      <w:proofErr w:type="spellEnd"/>
      <w:r>
        <w:rPr>
          <w:lang w:eastAsia="zh-CN"/>
        </w:rPr>
        <w:t xml:space="preserve"> view factors were then recalculated before the annual simulation. For two finite surfaces </w:t>
      </w:r>
      <w:proofErr w:type="spellStart"/>
      <w:r w:rsidRPr="00837A4F">
        <w:rPr>
          <w:i/>
          <w:iCs/>
          <w:lang w:eastAsia="zh-CN"/>
        </w:rPr>
        <w:t>i</w:t>
      </w:r>
      <w:proofErr w:type="spellEnd"/>
      <w:r>
        <w:rPr>
          <w:lang w:eastAsia="zh-CN"/>
        </w:rPr>
        <w:t xml:space="preserve"> and </w:t>
      </w:r>
      <w:r w:rsidRPr="00837A4F">
        <w:rPr>
          <w:i/>
          <w:iCs/>
          <w:lang w:eastAsia="zh-CN"/>
        </w:rPr>
        <w:t>j</w:t>
      </w:r>
      <w:r>
        <w:rPr>
          <w:lang w:eastAsia="zh-CN"/>
        </w:rPr>
        <w:t>, the view factor was evaluated as</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9"/>
        <w:gridCol w:w="688"/>
      </w:tblGrid>
      <w:tr w:rsidR="000B20D4" w:rsidRPr="00E35D8F" w14:paraId="72F3CC7C" w14:textId="77777777" w:rsidTr="004E61A6">
        <w:trPr>
          <w:jc w:val="center"/>
        </w:trPr>
        <w:tc>
          <w:tcPr>
            <w:tcW w:w="8069" w:type="dxa"/>
            <w:vAlign w:val="center"/>
          </w:tcPr>
          <w:bookmarkStart w:id="3" w:name="_Hlk233042439"/>
          <w:p w14:paraId="00B1470B" w14:textId="3A26D24F" w:rsidR="000B20D4" w:rsidRPr="00E35D8F" w:rsidRDefault="009030AC" w:rsidP="004E644B">
            <w:pPr>
              <w:pStyle w:val="SWCText"/>
              <w:spacing w:after="0"/>
              <w:rPr>
                <w:i/>
                <w:lang w:eastAsia="zh-CN"/>
              </w:rPr>
            </w:pPr>
            <m:oMathPara>
              <m:oMath>
                <m:sSub>
                  <m:sSubPr>
                    <m:ctrlPr>
                      <w:rPr>
                        <w:rFonts w:ascii="Cambria Math" w:hAnsi="Cambria Math"/>
                        <w:i/>
                        <w:lang w:eastAsia="zh-CN"/>
                      </w:rPr>
                    </m:ctrlPr>
                  </m:sSubPr>
                  <m:e>
                    <m:r>
                      <m:rPr>
                        <m:nor/>
                      </m:rPr>
                      <w:rPr>
                        <w:i/>
                        <w:lang w:eastAsia="zh-CN"/>
                      </w:rPr>
                      <m:t>F</m:t>
                    </m:r>
                  </m:e>
                  <m:sub>
                    <m:r>
                      <m:rPr>
                        <m:nor/>
                      </m:rPr>
                      <w:rPr>
                        <w:rFonts w:ascii="Cambria Math" w:hint="eastAsia"/>
                        <w:i/>
                        <w:lang w:eastAsia="zh-CN"/>
                      </w:rPr>
                      <m:t xml:space="preserve"> </m:t>
                    </m:r>
                    <w:proofErr w:type="spellStart"/>
                    <m:r>
                      <m:rPr>
                        <m:nor/>
                      </m:rPr>
                      <w:rPr>
                        <w:i/>
                        <w:lang w:eastAsia="zh-CN"/>
                      </w:rPr>
                      <m:t>i</m:t>
                    </m:r>
                    <w:proofErr w:type="spellEnd"/>
                    <m:r>
                      <m:rPr>
                        <m:nor/>
                      </m:rPr>
                      <w:rPr>
                        <w:rFonts w:ascii="Cambria Math" w:hint="eastAsia"/>
                        <w:i/>
                        <w:lang w:eastAsia="zh-CN"/>
                      </w:rPr>
                      <m:t xml:space="preserve"> </m:t>
                    </m:r>
                    <m:r>
                      <m:rPr>
                        <m:nor/>
                      </m:rPr>
                      <w:rPr>
                        <w:i/>
                        <w:lang w:eastAsia="zh-CN"/>
                      </w:rPr>
                      <m:t>→</m:t>
                    </m:r>
                    <m:r>
                      <m:rPr>
                        <m:nor/>
                      </m:rPr>
                      <w:rPr>
                        <w:rFonts w:ascii="Cambria Math" w:hint="eastAsia"/>
                        <w:i/>
                        <w:lang w:eastAsia="zh-CN"/>
                      </w:rPr>
                      <m:t xml:space="preserve"> </m:t>
                    </m:r>
                    <m:r>
                      <m:rPr>
                        <m:nor/>
                      </m:rPr>
                      <w:rPr>
                        <w:i/>
                        <w:lang w:eastAsia="zh-CN"/>
                      </w:rPr>
                      <m:t>j</m:t>
                    </m:r>
                  </m:sub>
                </m:sSub>
                <w:bookmarkEnd w:id="3"/>
                <m:r>
                  <m:rPr>
                    <m:nor/>
                  </m:rPr>
                  <w:rPr>
                    <w:i/>
                    <w:lang w:eastAsia="zh-CN"/>
                  </w:rPr>
                  <m:t>=</m:t>
                </m:r>
                <m:f>
                  <m:fPr>
                    <m:ctrlPr>
                      <w:rPr>
                        <w:rFonts w:ascii="Cambria Math" w:hAnsi="Cambria Math"/>
                        <w:i/>
                        <w:lang w:eastAsia="zh-CN"/>
                      </w:rPr>
                    </m:ctrlPr>
                  </m:fPr>
                  <m:num>
                    <m:r>
                      <m:rPr>
                        <m:nor/>
                      </m:rPr>
                      <w:rPr>
                        <w:i/>
                        <w:lang w:eastAsia="zh-CN"/>
                      </w:rPr>
                      <m:t>1</m:t>
                    </m:r>
                  </m:num>
                  <m:den>
                    <m:sSub>
                      <m:sSubPr>
                        <m:ctrlPr>
                          <w:rPr>
                            <w:rFonts w:ascii="Cambria Math" w:hAnsi="Cambria Math"/>
                            <w:i/>
                            <w:lang w:eastAsia="zh-CN"/>
                          </w:rPr>
                        </m:ctrlPr>
                      </m:sSubPr>
                      <m:e>
                        <m:r>
                          <m:rPr>
                            <m:nor/>
                          </m:rPr>
                          <w:rPr>
                            <w:i/>
                            <w:lang w:eastAsia="zh-CN"/>
                          </w:rPr>
                          <m:t>A</m:t>
                        </m:r>
                      </m:e>
                      <m:sub>
                        <w:proofErr w:type="spellStart"/>
                        <m:r>
                          <m:rPr>
                            <m:nor/>
                          </m:rPr>
                          <w:rPr>
                            <w:i/>
                            <w:lang w:eastAsia="zh-CN"/>
                          </w:rPr>
                          <m:t>i</m:t>
                        </m:r>
                        <w:proofErr w:type="spellEnd"/>
                      </m:sub>
                    </m:sSub>
                  </m:den>
                </m:f>
                <m:nary>
                  <m:naryPr>
                    <m:limLoc m:val="subSup"/>
                    <m:supHide m:val="1"/>
                    <m:ctrlPr>
                      <w:rPr>
                        <w:rFonts w:ascii="Cambria Math" w:hAnsi="Cambria Math"/>
                        <w:i/>
                        <w:lang w:eastAsia="zh-CN"/>
                      </w:rPr>
                    </m:ctrlPr>
                  </m:naryPr>
                  <m:sub>
                    <m:sSub>
                      <m:sSubPr>
                        <m:ctrlPr>
                          <w:rPr>
                            <w:rFonts w:ascii="Cambria Math" w:hAnsi="Cambria Math"/>
                            <w:i/>
                            <w:lang w:eastAsia="zh-CN"/>
                          </w:rPr>
                        </m:ctrlPr>
                      </m:sSubPr>
                      <m:e>
                        <m:r>
                          <m:rPr>
                            <m:nor/>
                          </m:rPr>
                          <w:rPr>
                            <w:i/>
                            <w:lang w:eastAsia="zh-CN"/>
                          </w:rPr>
                          <m:t>A</m:t>
                        </m:r>
                      </m:e>
                      <m:sub>
                        <w:proofErr w:type="spellStart"/>
                        <m:r>
                          <m:rPr>
                            <m:nor/>
                          </m:rPr>
                          <w:rPr>
                            <w:i/>
                            <w:lang w:eastAsia="zh-CN"/>
                          </w:rPr>
                          <m:t>i</m:t>
                        </m:r>
                        <w:proofErr w:type="spellEnd"/>
                      </m:sub>
                    </m:sSub>
                  </m:sub>
                  <m:sup/>
                  <m:e>
                    <m:nary>
                      <m:naryPr>
                        <m:limLoc m:val="subSup"/>
                        <m:supHide m:val="1"/>
                        <m:ctrlPr>
                          <w:rPr>
                            <w:rFonts w:ascii="Cambria Math" w:hAnsi="Cambria Math"/>
                            <w:i/>
                            <w:lang w:eastAsia="zh-CN"/>
                          </w:rPr>
                        </m:ctrlPr>
                      </m:naryPr>
                      <m:sub>
                        <m:sSub>
                          <m:sSubPr>
                            <m:ctrlPr>
                              <w:rPr>
                                <w:rFonts w:ascii="Cambria Math" w:hAnsi="Cambria Math"/>
                                <w:i/>
                                <w:lang w:eastAsia="zh-CN"/>
                              </w:rPr>
                            </m:ctrlPr>
                          </m:sSubPr>
                          <m:e>
                            <m:r>
                              <m:rPr>
                                <m:nor/>
                              </m:rPr>
                              <w:rPr>
                                <w:i/>
                                <w:lang w:eastAsia="zh-CN"/>
                              </w:rPr>
                              <m:t>A</m:t>
                            </m:r>
                          </m:e>
                          <m:sub>
                            <m:r>
                              <m:rPr>
                                <m:nor/>
                              </m:rPr>
                              <w:rPr>
                                <w:i/>
                                <w:lang w:eastAsia="zh-CN"/>
                              </w:rPr>
                              <m:t>j</m:t>
                            </m:r>
                          </m:sub>
                        </m:sSub>
                      </m:sub>
                      <m:sup/>
                      <m:e>
                        <m:f>
                          <m:fPr>
                            <m:ctrlPr>
                              <w:rPr>
                                <w:rFonts w:ascii="Cambria Math" w:hAnsi="Cambria Math"/>
                                <w:i/>
                                <w:lang w:eastAsia="zh-CN"/>
                              </w:rPr>
                            </m:ctrlPr>
                          </m:fPr>
                          <m:num>
                            <m:func>
                              <m:funcPr>
                                <m:ctrlPr>
                                  <w:rPr>
                                    <w:rFonts w:ascii="Cambria Math" w:hAnsi="Cambria Math"/>
                                    <w:i/>
                                    <w:lang w:eastAsia="zh-CN"/>
                                  </w:rPr>
                                </m:ctrlPr>
                              </m:funcPr>
                              <m:fName>
                                <m:r>
                                  <m:rPr>
                                    <m:nor/>
                                  </m:rPr>
                                  <w:rPr>
                                    <w:i/>
                                  </w:rPr>
                                  <m:t>cos</m:t>
                                </m:r>
                              </m:fName>
                              <m:e>
                                <m:sSub>
                                  <m:sSubPr>
                                    <m:ctrlPr>
                                      <w:rPr>
                                        <w:rFonts w:ascii="Cambria Math" w:hAnsi="Cambria Math"/>
                                        <w:i/>
                                        <w:lang w:eastAsia="zh-CN"/>
                                      </w:rPr>
                                    </m:ctrlPr>
                                  </m:sSubPr>
                                  <m:e>
                                    <m:r>
                                      <m:rPr>
                                        <m:nor/>
                                      </m:rPr>
                                      <w:rPr>
                                        <w:i/>
                                        <w:lang w:eastAsia="zh-CN"/>
                                      </w:rPr>
                                      <m:t>θ</m:t>
                                    </m:r>
                                  </m:e>
                                  <m:sub>
                                    <w:proofErr w:type="spellStart"/>
                                    <m:r>
                                      <m:rPr>
                                        <m:nor/>
                                      </m:rPr>
                                      <w:rPr>
                                        <w:i/>
                                        <w:lang w:eastAsia="zh-CN"/>
                                      </w:rPr>
                                      <m:t>i</m:t>
                                    </m:r>
                                    <w:proofErr w:type="spellEnd"/>
                                  </m:sub>
                                </m:sSub>
                                <m:func>
                                  <m:funcPr>
                                    <m:ctrlPr>
                                      <w:rPr>
                                        <w:rFonts w:ascii="Cambria Math" w:hAnsi="Cambria Math"/>
                                        <w:i/>
                                        <w:lang w:eastAsia="zh-CN"/>
                                      </w:rPr>
                                    </m:ctrlPr>
                                  </m:funcPr>
                                  <m:fName>
                                    <m:r>
                                      <m:rPr>
                                        <m:nor/>
                                      </m:rPr>
                                      <w:rPr>
                                        <w:i/>
                                      </w:rPr>
                                      <m:t>cos</m:t>
                                    </m:r>
                                  </m:fName>
                                  <m:e>
                                    <m:sSub>
                                      <m:sSubPr>
                                        <m:ctrlPr>
                                          <w:rPr>
                                            <w:rFonts w:ascii="Cambria Math" w:hAnsi="Cambria Math"/>
                                            <w:i/>
                                            <w:lang w:eastAsia="zh-CN"/>
                                          </w:rPr>
                                        </m:ctrlPr>
                                      </m:sSubPr>
                                      <m:e>
                                        <m:r>
                                          <m:rPr>
                                            <m:nor/>
                                          </m:rPr>
                                          <w:rPr>
                                            <w:i/>
                                            <w:lang w:eastAsia="zh-CN"/>
                                          </w:rPr>
                                          <m:t>θ</m:t>
                                        </m:r>
                                      </m:e>
                                      <m:sub>
                                        <m:r>
                                          <m:rPr>
                                            <m:nor/>
                                          </m:rPr>
                                          <w:rPr>
                                            <w:i/>
                                            <w:lang w:eastAsia="zh-CN"/>
                                          </w:rPr>
                                          <m:t>j</m:t>
                                        </m:r>
                                      </m:sub>
                                    </m:sSub>
                                  </m:e>
                                </m:func>
                              </m:e>
                            </m:func>
                          </m:num>
                          <m:den>
                            <m:r>
                              <m:rPr>
                                <m:nor/>
                              </m:rPr>
                              <w:rPr>
                                <w:i/>
                                <w:lang w:eastAsia="zh-CN"/>
                              </w:rPr>
                              <m:t>π</m:t>
                            </m:r>
                            <m:sSup>
                              <m:sSupPr>
                                <m:ctrlPr>
                                  <w:rPr>
                                    <w:rFonts w:ascii="Cambria Math" w:hAnsi="Cambria Math"/>
                                    <w:i/>
                                    <w:lang w:eastAsia="zh-CN"/>
                                  </w:rPr>
                                </m:ctrlPr>
                              </m:sSupPr>
                              <m:e>
                                <m:r>
                                  <m:rPr>
                                    <m:nor/>
                                  </m:rPr>
                                  <w:rPr>
                                    <w:i/>
                                    <w:lang w:eastAsia="zh-CN"/>
                                  </w:rPr>
                                  <m:t>r</m:t>
                                </m:r>
                              </m:e>
                              <m:sup>
                                <m:r>
                                  <m:rPr>
                                    <m:nor/>
                                  </m:rPr>
                                  <w:rPr>
                                    <w:i/>
                                    <w:lang w:eastAsia="zh-CN"/>
                                  </w:rPr>
                                  <m:t>2</m:t>
                                </m:r>
                              </m:sup>
                            </m:sSup>
                          </m:den>
                        </m:f>
                        <m:box>
                          <m:boxPr>
                            <m:diff m:val="1"/>
                            <m:ctrlPr>
                              <w:rPr>
                                <w:rFonts w:ascii="Cambria Math" w:hAnsi="Cambria Math"/>
                                <w:i/>
                                <w:lang w:eastAsia="zh-CN"/>
                              </w:rPr>
                            </m:ctrlPr>
                          </m:boxPr>
                          <m:e>
                            <m:r>
                              <m:rPr>
                                <m:nor/>
                              </m:rPr>
                              <w:rPr>
                                <w:i/>
                              </w:rPr>
                              <m:t>d</m:t>
                            </m:r>
                            <m:sSub>
                              <m:sSubPr>
                                <m:ctrlPr>
                                  <w:rPr>
                                    <w:rFonts w:ascii="Cambria Math" w:hAnsi="Cambria Math"/>
                                    <w:i/>
                                  </w:rPr>
                                </m:ctrlPr>
                              </m:sSubPr>
                              <m:e>
                                <m:r>
                                  <m:rPr>
                                    <m:nor/>
                                  </m:rPr>
                                  <w:rPr>
                                    <w:i/>
                                  </w:rPr>
                                  <m:t>A</m:t>
                                </m:r>
                              </m:e>
                              <m:sub>
                                <m:r>
                                  <m:rPr>
                                    <m:nor/>
                                  </m:rPr>
                                  <w:rPr>
                                    <w:i/>
                                  </w:rPr>
                                  <m:t>j</m:t>
                                </m:r>
                              </m:sub>
                            </m:sSub>
                          </m:e>
                        </m:box>
                      </m:e>
                    </m:nary>
                  </m:e>
                </m:nary>
                <m:box>
                  <m:boxPr>
                    <m:diff m:val="1"/>
                    <m:ctrlPr>
                      <w:rPr>
                        <w:rFonts w:ascii="Cambria Math" w:hAnsi="Cambria Math"/>
                        <w:i/>
                        <w:lang w:eastAsia="zh-CN"/>
                      </w:rPr>
                    </m:ctrlPr>
                  </m:boxPr>
                  <m:e>
                    <m:r>
                      <m:rPr>
                        <m:nor/>
                      </m:rPr>
                      <w:rPr>
                        <w:i/>
                      </w:rPr>
                      <m:t>d</m:t>
                    </m:r>
                    <m:sSub>
                      <m:sSubPr>
                        <m:ctrlPr>
                          <w:rPr>
                            <w:rFonts w:ascii="Cambria Math" w:hAnsi="Cambria Math"/>
                            <w:i/>
                          </w:rPr>
                        </m:ctrlPr>
                      </m:sSubPr>
                      <m:e>
                        <m:r>
                          <m:rPr>
                            <m:nor/>
                          </m:rPr>
                          <w:rPr>
                            <w:i/>
                          </w:rPr>
                          <m:t>A</m:t>
                        </m:r>
                      </m:e>
                      <m:sub>
                        <w:proofErr w:type="spellStart"/>
                        <m:r>
                          <m:rPr>
                            <m:nor/>
                          </m:rPr>
                          <w:rPr>
                            <w:i/>
                          </w:rPr>
                          <m:t>i</m:t>
                        </m:r>
                        <w:proofErr w:type="spellEnd"/>
                      </m:sub>
                    </m:sSub>
                  </m:e>
                </m:box>
              </m:oMath>
            </m:oMathPara>
          </w:p>
        </w:tc>
        <w:tc>
          <w:tcPr>
            <w:tcW w:w="688" w:type="dxa"/>
            <w:vAlign w:val="center"/>
          </w:tcPr>
          <w:p w14:paraId="2BFF0F1E" w14:textId="77777777" w:rsidR="000B20D4" w:rsidRPr="00E35D8F" w:rsidRDefault="004E644B" w:rsidP="004E644B">
            <w:pPr>
              <w:pStyle w:val="SWCText"/>
              <w:spacing w:after="0"/>
              <w:rPr>
                <w:lang w:eastAsia="zh-CN"/>
              </w:rPr>
            </w:pPr>
            <w:r w:rsidRPr="00E35D8F">
              <w:rPr>
                <w:lang w:eastAsia="zh-CN"/>
              </w:rPr>
              <w:t>(eq.1)</w:t>
            </w:r>
          </w:p>
        </w:tc>
      </w:tr>
    </w:tbl>
    <w:p w14:paraId="0DF8AD8B" w14:textId="6098F640" w:rsidR="00650FB7" w:rsidRPr="00E35D8F" w:rsidRDefault="002332E1" w:rsidP="005A59A1">
      <w:pPr>
        <w:pStyle w:val="SWCText"/>
        <w:rPr>
          <w:lang w:eastAsia="zh-CN"/>
        </w:rPr>
      </w:pPr>
      <w:r w:rsidRPr="00E35D8F">
        <w:rPr>
          <w:lang w:eastAsia="zh-CN"/>
        </w:rPr>
        <w:t xml:space="preserve">where </w:t>
      </w:r>
      <m:oMath>
        <m:sSub>
          <m:sSubPr>
            <m:ctrlPr>
              <w:rPr>
                <w:rFonts w:ascii="Cambria Math" w:hAnsi="Cambria Math"/>
                <w:i/>
                <w:lang w:eastAsia="zh-CN"/>
              </w:rPr>
            </m:ctrlPr>
          </m:sSubPr>
          <m:e>
            <m:r>
              <m:rPr>
                <m:nor/>
              </m:rPr>
              <w:rPr>
                <w:i/>
                <w:lang w:eastAsia="zh-CN"/>
              </w:rPr>
              <m:t>F</m:t>
            </m:r>
          </m:e>
          <m:sub>
            <w:proofErr w:type="spellStart"/>
            <m:r>
              <m:rPr>
                <m:nor/>
              </m:rPr>
              <w:rPr>
                <w:i/>
                <w:lang w:eastAsia="zh-CN"/>
              </w:rPr>
              <m:t>i</m:t>
            </m:r>
            <w:proofErr w:type="spellEnd"/>
            <m:r>
              <m:rPr>
                <m:nor/>
              </m:rPr>
              <w:rPr>
                <w:rFonts w:ascii="Cambria Math" w:hint="eastAsia"/>
                <w:i/>
                <w:lang w:eastAsia="zh-CN"/>
              </w:rPr>
              <m:t xml:space="preserve"> </m:t>
            </m:r>
            <m:r>
              <m:rPr>
                <m:nor/>
              </m:rPr>
              <w:rPr>
                <w:i/>
                <w:lang w:eastAsia="zh-CN"/>
              </w:rPr>
              <m:t>→</m:t>
            </m:r>
            <m:r>
              <m:rPr>
                <m:nor/>
              </m:rPr>
              <w:rPr>
                <w:rFonts w:ascii="Cambria Math" w:hint="eastAsia"/>
                <w:i/>
                <w:lang w:eastAsia="zh-CN"/>
              </w:rPr>
              <m:t xml:space="preserve"> </m:t>
            </m:r>
            <m:r>
              <m:rPr>
                <m:nor/>
              </m:rPr>
              <w:rPr>
                <w:i/>
                <w:lang w:eastAsia="zh-CN"/>
              </w:rPr>
              <m:t>j</m:t>
            </m:r>
          </m:sub>
        </m:sSub>
      </m:oMath>
      <w:r w:rsidRPr="00E35D8F">
        <w:rPr>
          <w:lang w:eastAsia="zh-CN"/>
        </w:rPr>
        <w:t xml:space="preserve">​ is the view factor from </w:t>
      </w:r>
      <w:r w:rsidR="007F7F0D" w:rsidRPr="007F7F0D">
        <w:rPr>
          <w:lang w:val="de-DE" w:eastAsia="zh-CN"/>
        </w:rPr>
        <w:t xml:space="preserve">emitting </w:t>
      </w:r>
      <w:r w:rsidRPr="00E35D8F">
        <w:rPr>
          <w:lang w:eastAsia="zh-CN"/>
        </w:rPr>
        <w:t xml:space="preserve">surface </w:t>
      </w:r>
      <w:proofErr w:type="spellStart"/>
      <w:r w:rsidRPr="00E35D8F">
        <w:rPr>
          <w:i/>
          <w:iCs/>
          <w:lang w:eastAsia="zh-CN"/>
        </w:rPr>
        <w:t>i</w:t>
      </w:r>
      <w:proofErr w:type="spellEnd"/>
      <w:r w:rsidRPr="00E35D8F">
        <w:rPr>
          <w:lang w:eastAsia="zh-CN"/>
        </w:rPr>
        <w:t xml:space="preserve"> to surface </w:t>
      </w:r>
      <w:r w:rsidRPr="00E35D8F">
        <w:rPr>
          <w:i/>
          <w:iCs/>
          <w:lang w:eastAsia="zh-CN"/>
        </w:rPr>
        <w:t>j</w:t>
      </w:r>
      <w:r w:rsidRPr="00E35D8F">
        <w:rPr>
          <w:lang w:eastAsia="zh-CN"/>
        </w:rPr>
        <w:t xml:space="preserve">, </w:t>
      </w:r>
      <m:oMath>
        <m:sSub>
          <m:sSubPr>
            <m:ctrlPr>
              <w:rPr>
                <w:rFonts w:ascii="Cambria Math" w:hAnsi="Cambria Math"/>
                <w:i/>
                <w:lang w:eastAsia="zh-CN"/>
              </w:rPr>
            </m:ctrlPr>
          </m:sSubPr>
          <m:e>
            <m:r>
              <m:rPr>
                <m:nor/>
              </m:rPr>
              <w:rPr>
                <w:i/>
                <w:lang w:eastAsia="zh-CN"/>
              </w:rPr>
              <m:t>A</m:t>
            </m:r>
          </m:e>
          <m:sub>
            <w:proofErr w:type="spellStart"/>
            <m:r>
              <m:rPr>
                <m:nor/>
              </m:rPr>
              <w:rPr>
                <w:i/>
                <w:lang w:eastAsia="zh-CN"/>
              </w:rPr>
              <m:t>i</m:t>
            </m:r>
            <w:proofErr w:type="spellEnd"/>
          </m:sub>
        </m:sSub>
      </m:oMath>
      <w:r w:rsidRPr="00E35D8F">
        <w:rPr>
          <w:lang w:eastAsia="zh-CN"/>
        </w:rPr>
        <w:t>​ is the area of surface</w:t>
      </w:r>
      <w:r w:rsidR="00DC6F29" w:rsidRPr="00DC6F29">
        <w:rPr>
          <w:i/>
          <w:iCs/>
          <w:lang w:eastAsia="zh-CN"/>
        </w:rPr>
        <w:t xml:space="preserve"> </w:t>
      </w:r>
      <w:proofErr w:type="spellStart"/>
      <w:r w:rsidR="00DC6F29" w:rsidRPr="00DC6F29">
        <w:rPr>
          <w:i/>
          <w:iCs/>
          <w:lang w:eastAsia="zh-CN"/>
        </w:rPr>
        <w:t>i</w:t>
      </w:r>
      <w:proofErr w:type="spellEnd"/>
      <w:r w:rsidRPr="00E35D8F">
        <w:rPr>
          <w:lang w:eastAsia="zh-CN"/>
        </w:rPr>
        <w:t xml:space="preserve">, </w:t>
      </w:r>
      <w:r w:rsidRPr="00E35D8F">
        <w:rPr>
          <w:i/>
          <w:iCs/>
          <w:lang w:eastAsia="zh-CN"/>
        </w:rPr>
        <w:t>r</w:t>
      </w:r>
      <w:r w:rsidRPr="00E35D8F">
        <w:rPr>
          <w:lang w:eastAsia="zh-CN"/>
        </w:rPr>
        <w:t xml:space="preserve"> is the distance between two differential surface elements, and </w:t>
      </w:r>
      <m:oMath>
        <m:sSub>
          <m:sSubPr>
            <m:ctrlPr>
              <w:rPr>
                <w:rFonts w:ascii="Cambria Math" w:hAnsi="Cambria Math"/>
                <w:i/>
                <w:lang w:eastAsia="zh-CN"/>
              </w:rPr>
            </m:ctrlPr>
          </m:sSubPr>
          <m:e>
            <m:r>
              <m:rPr>
                <m:nor/>
              </m:rPr>
              <w:rPr>
                <w:i/>
                <w:lang w:eastAsia="zh-CN"/>
              </w:rPr>
              <m:t>θ</m:t>
            </m:r>
          </m:e>
          <m:sub>
            <w:proofErr w:type="spellStart"/>
            <m:r>
              <m:rPr>
                <m:nor/>
              </m:rPr>
              <w:rPr>
                <w:i/>
                <w:lang w:eastAsia="zh-CN"/>
              </w:rPr>
              <m:t>i</m:t>
            </m:r>
            <w:proofErr w:type="spellEnd"/>
          </m:sub>
        </m:sSub>
      </m:oMath>
      <w:r w:rsidRPr="00E35D8F">
        <w:rPr>
          <w:lang w:eastAsia="zh-CN"/>
        </w:rPr>
        <w:t xml:space="preserve">​ and </w:t>
      </w:r>
      <m:oMath>
        <m:sSub>
          <m:sSubPr>
            <m:ctrlPr>
              <w:rPr>
                <w:rFonts w:ascii="Cambria Math" w:hAnsi="Cambria Math"/>
                <w:i/>
                <w:lang w:eastAsia="zh-CN"/>
              </w:rPr>
            </m:ctrlPr>
          </m:sSubPr>
          <m:e>
            <m:r>
              <m:rPr>
                <m:nor/>
              </m:rPr>
              <w:rPr>
                <w:i/>
                <w:lang w:eastAsia="zh-CN"/>
              </w:rPr>
              <m:t>θ</m:t>
            </m:r>
          </m:e>
          <m:sub>
            <m:r>
              <m:rPr>
                <m:nor/>
              </m:rPr>
              <w:rPr>
                <w:i/>
                <w:lang w:eastAsia="zh-CN"/>
              </w:rPr>
              <m:t>j</m:t>
            </m:r>
          </m:sub>
        </m:sSub>
      </m:oMath>
      <w:r w:rsidRPr="00E35D8F">
        <w:rPr>
          <w:lang w:eastAsia="zh-CN"/>
        </w:rPr>
        <w:t>​ are the angles between the connecting line and t</w:t>
      </w:r>
      <w:r w:rsidR="00C37471" w:rsidRPr="00C37471">
        <w:rPr>
          <w:lang w:eastAsia="zh-CN"/>
        </w:rPr>
        <w:t xml:space="preserve">he outward normal directions of surfaces </w:t>
      </w:r>
      <w:proofErr w:type="spellStart"/>
      <w:r w:rsidR="00C37471" w:rsidRPr="00C37471">
        <w:rPr>
          <w:i/>
          <w:iCs/>
          <w:lang w:eastAsia="zh-CN"/>
        </w:rPr>
        <w:t>i</w:t>
      </w:r>
      <w:proofErr w:type="spellEnd"/>
      <w:r w:rsidR="00C37471" w:rsidRPr="00C37471">
        <w:rPr>
          <w:lang w:eastAsia="zh-CN"/>
        </w:rPr>
        <w:t xml:space="preserve"> and</w:t>
      </w:r>
      <w:r w:rsidR="00C37471" w:rsidRPr="00C37471">
        <w:rPr>
          <w:i/>
          <w:iCs/>
          <w:lang w:eastAsia="zh-CN"/>
        </w:rPr>
        <w:t xml:space="preserve"> j</w:t>
      </w:r>
      <w:r w:rsidR="00C37471" w:rsidRPr="00C37471">
        <w:rPr>
          <w:lang w:eastAsia="zh-CN"/>
        </w:rPr>
        <w:t>, respectively</w:t>
      </w:r>
      <w:r w:rsidRPr="00E35D8F">
        <w:rPr>
          <w:lang w:eastAsia="zh-CN"/>
        </w:rPr>
        <w:t>.</w:t>
      </w:r>
    </w:p>
    <w:p w14:paraId="303CAAD5" w14:textId="4536842D" w:rsidR="00FB71A4" w:rsidRDefault="00EB4C5E" w:rsidP="00FB71A4">
      <w:pPr>
        <w:pStyle w:val="SWCText"/>
        <w:rPr>
          <w:lang w:eastAsia="zh-CN"/>
        </w:rPr>
      </w:pPr>
      <w:r w:rsidRPr="00EB4C5E">
        <w:rPr>
          <w:lang w:eastAsia="zh-CN"/>
        </w:rPr>
        <w:t xml:space="preserve">The roof and </w:t>
      </w:r>
      <w:proofErr w:type="spellStart"/>
      <w:r w:rsidRPr="00EB4C5E">
        <w:rPr>
          <w:lang w:eastAsia="zh-CN"/>
        </w:rPr>
        <w:t>bPV</w:t>
      </w:r>
      <w:proofErr w:type="spellEnd"/>
      <w:r w:rsidRPr="00EB4C5E">
        <w:rPr>
          <w:lang w:eastAsia="zh-CN"/>
        </w:rPr>
        <w:t xml:space="preserve"> polygons were triangulated, and the surface integrals in Eq. (1) were evaluated numerically. The resulting view factors satisfied the summation and reciprocity relationships, were assigned to the corresponding </w:t>
      </w:r>
      <w:proofErr w:type="spellStart"/>
      <w:r w:rsidRPr="00EB4C5E">
        <w:rPr>
          <w:lang w:eastAsia="zh-CN"/>
        </w:rPr>
        <w:t>EnergyPlus</w:t>
      </w:r>
      <w:proofErr w:type="spellEnd"/>
      <w:r w:rsidRPr="00EB4C5E">
        <w:rPr>
          <w:lang w:eastAsia="zh-CN"/>
        </w:rPr>
        <w:t xml:space="preserve"> </w:t>
      </w:r>
      <w:proofErr w:type="spellStart"/>
      <w:r w:rsidRPr="00EB4C5E">
        <w:rPr>
          <w:lang w:eastAsia="zh-CN"/>
        </w:rPr>
        <w:t>SurfaceProperty:SurroundingSurfaces</w:t>
      </w:r>
      <w:proofErr w:type="spellEnd"/>
      <w:r w:rsidRPr="00EB4C5E">
        <w:rPr>
          <w:lang w:eastAsia="zh-CN"/>
        </w:rPr>
        <w:t xml:space="preserve"> objects, and remained fixed during each annual simulation. Inter-row obstruction of longwave radiation and complete </w:t>
      </w:r>
      <w:proofErr w:type="spellStart"/>
      <w:r w:rsidRPr="00EB4C5E">
        <w:rPr>
          <w:lang w:eastAsia="zh-CN"/>
        </w:rPr>
        <w:t>bPV</w:t>
      </w:r>
      <w:proofErr w:type="spellEnd"/>
      <w:r w:rsidRPr="00EB4C5E">
        <w:rPr>
          <w:lang w:eastAsia="zh-CN"/>
        </w:rPr>
        <w:t>-to-</w:t>
      </w:r>
      <w:proofErr w:type="spellStart"/>
      <w:r w:rsidRPr="00EB4C5E">
        <w:rPr>
          <w:lang w:eastAsia="zh-CN"/>
        </w:rPr>
        <w:t>bPV</w:t>
      </w:r>
      <w:proofErr w:type="spellEnd"/>
      <w:r w:rsidRPr="00EB4C5E">
        <w:rPr>
          <w:lang w:eastAsia="zh-CN"/>
        </w:rPr>
        <w:t xml:space="preserve"> longwave exchange were neglected</w:t>
      </w:r>
      <w:r w:rsidR="00FB71A4">
        <w:rPr>
          <w:lang w:eastAsia="zh-CN"/>
        </w:rPr>
        <w:t>.</w:t>
      </w:r>
    </w:p>
    <w:p w14:paraId="18266C5D" w14:textId="4B44E73E" w:rsidR="005A59A1" w:rsidRPr="00E35D8F" w:rsidRDefault="00FB71A4" w:rsidP="00FB71A4">
      <w:pPr>
        <w:pStyle w:val="SWCText"/>
        <w:rPr>
          <w:lang w:eastAsia="zh-CN"/>
        </w:rPr>
      </w:pPr>
      <w:r>
        <w:rPr>
          <w:lang w:eastAsia="zh-CN"/>
        </w:rPr>
        <w:t xml:space="preserve">The roof exterior surface was linked to a local surrounding-surface environment that included the sky, ground, and the front and rear sides of the </w:t>
      </w:r>
      <w:proofErr w:type="spellStart"/>
      <w:r>
        <w:rPr>
          <w:lang w:eastAsia="zh-CN"/>
        </w:rPr>
        <w:t>bPV</w:t>
      </w:r>
      <w:proofErr w:type="spellEnd"/>
      <w:r>
        <w:rPr>
          <w:lang w:eastAsia="zh-CN"/>
        </w:rPr>
        <w:t xml:space="preserve"> rows. The Python-calculated glass temperatures were supplied through the corresponding surrounding-surface temperature schedules. They were not used to overwrite the </w:t>
      </w:r>
      <w:proofErr w:type="spellStart"/>
      <w:r>
        <w:rPr>
          <w:lang w:eastAsia="zh-CN"/>
        </w:rPr>
        <w:t>EnergyPlus</w:t>
      </w:r>
      <w:proofErr w:type="spellEnd"/>
      <w:r>
        <w:rPr>
          <w:lang w:eastAsia="zh-CN"/>
        </w:rPr>
        <w:t xml:space="preserve"> outside-surface temperatures of the geometrical </w:t>
      </w:r>
      <w:proofErr w:type="spellStart"/>
      <w:r>
        <w:rPr>
          <w:lang w:eastAsia="zh-CN"/>
        </w:rPr>
        <w:t>bPV</w:t>
      </w:r>
      <w:proofErr w:type="spellEnd"/>
      <w:r>
        <w:rPr>
          <w:lang w:eastAsia="zh-CN"/>
        </w:rPr>
        <w:t xml:space="preserve"> surfaces directly. The roof longwave heat exchange was calculated as</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9"/>
        <w:gridCol w:w="688"/>
      </w:tblGrid>
      <w:tr w:rsidR="004A3D98" w:rsidRPr="00E35D8F" w14:paraId="593A4748" w14:textId="77777777" w:rsidTr="004E61A6">
        <w:trPr>
          <w:jc w:val="center"/>
        </w:trPr>
        <w:tc>
          <w:tcPr>
            <w:tcW w:w="8069" w:type="dxa"/>
            <w:vAlign w:val="center"/>
          </w:tcPr>
          <w:p w14:paraId="1517EE79" w14:textId="6BEF1BFD" w:rsidR="004A3D98" w:rsidRPr="00E35D8F" w:rsidRDefault="009030AC" w:rsidP="003A221B">
            <w:pPr>
              <w:pStyle w:val="SWCText"/>
              <w:spacing w:after="0"/>
              <w:rPr>
                <w:i/>
                <w:lang w:eastAsia="zh-CN"/>
              </w:rPr>
            </w:pPr>
            <m:oMathPara>
              <m:oMath>
                <m:sSubSup>
                  <m:sSubSupPr>
                    <m:ctrlPr>
                      <w:rPr>
                        <w:rFonts w:ascii="Cambria Math" w:hAnsi="Cambria Math"/>
                        <w:i/>
                        <w:lang w:eastAsia="zh-CN"/>
                      </w:rPr>
                    </m:ctrlPr>
                  </m:sSubSupPr>
                  <m:e>
                    <m:r>
                      <m:rPr>
                        <m:nor/>
                      </m:rPr>
                      <w:rPr>
                        <w:i/>
                        <w:lang w:eastAsia="zh-CN"/>
                      </w:rPr>
                      <m:t>q</m:t>
                    </m:r>
                  </m:e>
                  <m:sub>
                    <w:proofErr w:type="spellStart"/>
                    <m:r>
                      <m:rPr>
                        <m:nor/>
                      </m:rPr>
                      <w:rPr>
                        <w:i/>
                        <w:lang w:eastAsia="zh-CN"/>
                      </w:rPr>
                      <m:t>LW,roof</m:t>
                    </m:r>
                    <w:proofErr w:type="spellEnd"/>
                  </m:sub>
                  <m:sup>
                    <m:r>
                      <m:rPr>
                        <m:nor/>
                      </m:rPr>
                      <w:rPr>
                        <w:i/>
                        <w:lang w:eastAsia="zh-CN"/>
                      </w:rPr>
                      <m:t>''</m:t>
                    </m:r>
                  </m:sup>
                </m:sSubSup>
                <m:r>
                  <m:rPr>
                    <m:nor/>
                  </m:rPr>
                  <w:rPr>
                    <w:i/>
                    <w:lang w:eastAsia="zh-CN"/>
                  </w:rPr>
                  <m:t>=</m:t>
                </m:r>
                <m:sSub>
                  <m:sSubPr>
                    <m:ctrlPr>
                      <w:rPr>
                        <w:rFonts w:ascii="Cambria Math" w:hAnsi="Cambria Math"/>
                        <w:i/>
                        <w:lang w:eastAsia="zh-CN"/>
                      </w:rPr>
                    </m:ctrlPr>
                  </m:sSubPr>
                  <m:e>
                    <m:r>
                      <m:rPr>
                        <m:nor/>
                      </m:rPr>
                      <w:rPr>
                        <w:i/>
                        <w:lang w:eastAsia="zh-CN"/>
                      </w:rPr>
                      <m:t>ε</m:t>
                    </m:r>
                  </m:e>
                  <m:sub>
                    <m:r>
                      <m:rPr>
                        <m:nor/>
                      </m:rPr>
                      <w:rPr>
                        <w:i/>
                        <w:lang w:eastAsia="zh-CN"/>
                      </w:rPr>
                      <m:t>roof</m:t>
                    </m:r>
                  </m:sub>
                </m:sSub>
                <m:r>
                  <m:rPr>
                    <m:nor/>
                  </m:rPr>
                  <w:rPr>
                    <w:i/>
                    <w:lang w:eastAsia="zh-CN"/>
                  </w:rPr>
                  <m:t>σ</m:t>
                </m:r>
                <m:nary>
                  <m:naryPr>
                    <m:chr m:val="∑"/>
                    <m:limLoc m:val="undOvr"/>
                    <m:supHide m:val="1"/>
                    <m:ctrlPr>
                      <w:rPr>
                        <w:rFonts w:ascii="Cambria Math" w:hAnsi="Cambria Math"/>
                        <w:i/>
                        <w:lang w:eastAsia="zh-CN"/>
                      </w:rPr>
                    </m:ctrlPr>
                  </m:naryPr>
                  <m:sub>
                    <m:r>
                      <m:rPr>
                        <m:nor/>
                      </m:rPr>
                      <w:rPr>
                        <w:i/>
                        <w:lang w:eastAsia="zh-CN"/>
                      </w:rPr>
                      <m:t>j</m:t>
                    </m:r>
                  </m:sub>
                  <m:sup/>
                  <m:e>
                    <m:sSub>
                      <m:sSubPr>
                        <m:ctrlPr>
                          <w:rPr>
                            <w:rFonts w:ascii="Cambria Math" w:hAnsi="Cambria Math"/>
                            <w:i/>
                            <w:lang w:eastAsia="zh-CN"/>
                          </w:rPr>
                        </m:ctrlPr>
                      </m:sSubPr>
                      <m:e>
                        <m:r>
                          <m:rPr>
                            <m:nor/>
                          </m:rPr>
                          <w:rPr>
                            <w:i/>
                            <w:lang w:eastAsia="zh-CN"/>
                          </w:rPr>
                          <m:t>F</m:t>
                        </m:r>
                      </m:e>
                      <m:sub>
                        <m:r>
                          <m:rPr>
                            <m:nor/>
                          </m:rPr>
                          <w:rPr>
                            <w:i/>
                            <w:lang w:eastAsia="zh-CN"/>
                          </w:rPr>
                          <m:t>roof</m:t>
                        </m:r>
                        <m:r>
                          <m:rPr>
                            <m:nor/>
                          </m:rPr>
                          <w:rPr>
                            <w:rFonts w:ascii="Cambria Math" w:hint="eastAsia"/>
                            <w:i/>
                            <w:lang w:eastAsia="zh-CN"/>
                          </w:rPr>
                          <m:t xml:space="preserve"> </m:t>
                        </m:r>
                        <m:r>
                          <m:rPr>
                            <m:nor/>
                          </m:rPr>
                          <w:rPr>
                            <w:i/>
                            <w:lang w:eastAsia="zh-CN"/>
                          </w:rPr>
                          <m:t>→</m:t>
                        </m:r>
                        <m:r>
                          <m:rPr>
                            <m:nor/>
                          </m:rPr>
                          <w:rPr>
                            <w:rFonts w:ascii="Cambria Math" w:hint="eastAsia"/>
                            <w:i/>
                            <w:lang w:eastAsia="zh-CN"/>
                          </w:rPr>
                          <m:t xml:space="preserve"> </m:t>
                        </m:r>
                        <m:r>
                          <m:rPr>
                            <m:nor/>
                          </m:rPr>
                          <w:rPr>
                            <w:i/>
                            <w:lang w:eastAsia="zh-CN"/>
                          </w:rPr>
                          <m:t>j</m:t>
                        </m:r>
                      </m:sub>
                    </m:sSub>
                  </m:e>
                </m:nary>
                <m:d>
                  <m:dPr>
                    <m:ctrlPr>
                      <w:rPr>
                        <w:rFonts w:ascii="Cambria Math" w:hAnsi="Cambria Math"/>
                        <w:i/>
                        <w:lang w:eastAsia="zh-CN"/>
                      </w:rPr>
                    </m:ctrlPr>
                  </m:dPr>
                  <m:e>
                    <m:sSubSup>
                      <m:sSubSupPr>
                        <m:ctrlPr>
                          <w:rPr>
                            <w:rFonts w:ascii="Cambria Math" w:hAnsi="Cambria Math"/>
                            <w:i/>
                            <w:lang w:eastAsia="zh-CN"/>
                          </w:rPr>
                        </m:ctrlPr>
                      </m:sSubSupPr>
                      <m:e>
                        <m:r>
                          <m:rPr>
                            <m:nor/>
                          </m:rPr>
                          <w:rPr>
                            <w:i/>
                            <w:lang w:eastAsia="zh-CN"/>
                          </w:rPr>
                          <m:t>T</m:t>
                        </m:r>
                      </m:e>
                      <m:sub>
                        <m:r>
                          <m:rPr>
                            <m:nor/>
                          </m:rPr>
                          <w:rPr>
                            <w:i/>
                            <w:lang w:eastAsia="zh-CN"/>
                          </w:rPr>
                          <m:t>j</m:t>
                        </m:r>
                      </m:sub>
                      <m:sup>
                        <m:r>
                          <m:rPr>
                            <m:nor/>
                          </m:rPr>
                          <w:rPr>
                            <w:i/>
                            <w:lang w:eastAsia="zh-CN"/>
                          </w:rPr>
                          <m:t>4</m:t>
                        </m:r>
                      </m:sup>
                    </m:sSubSup>
                    <m:r>
                      <m:rPr>
                        <m:nor/>
                      </m:rPr>
                      <w:rPr>
                        <w:i/>
                        <w:lang w:eastAsia="zh-CN"/>
                      </w:rPr>
                      <m:t>-</m:t>
                    </m:r>
                    <m:sSubSup>
                      <m:sSubSupPr>
                        <m:ctrlPr>
                          <w:rPr>
                            <w:rFonts w:ascii="Cambria Math" w:hAnsi="Cambria Math"/>
                            <w:i/>
                            <w:lang w:eastAsia="zh-CN"/>
                          </w:rPr>
                        </m:ctrlPr>
                      </m:sSubSupPr>
                      <m:e>
                        <m:r>
                          <m:rPr>
                            <m:nor/>
                          </m:rPr>
                          <w:rPr>
                            <w:i/>
                            <w:lang w:eastAsia="zh-CN"/>
                          </w:rPr>
                          <m:t>T</m:t>
                        </m:r>
                      </m:e>
                      <m:sub>
                        <m:r>
                          <m:rPr>
                            <m:nor/>
                          </m:rPr>
                          <w:rPr>
                            <w:i/>
                            <w:lang w:eastAsia="zh-CN"/>
                          </w:rPr>
                          <m:t>roof</m:t>
                        </m:r>
                      </m:sub>
                      <m:sup>
                        <m:r>
                          <m:rPr>
                            <m:nor/>
                          </m:rPr>
                          <w:rPr>
                            <w:i/>
                            <w:lang w:eastAsia="zh-CN"/>
                          </w:rPr>
                          <m:t>4</m:t>
                        </m:r>
                      </m:sup>
                    </m:sSubSup>
                  </m:e>
                </m:d>
              </m:oMath>
            </m:oMathPara>
          </w:p>
        </w:tc>
        <w:tc>
          <w:tcPr>
            <w:tcW w:w="688" w:type="dxa"/>
            <w:vAlign w:val="center"/>
          </w:tcPr>
          <w:p w14:paraId="522464C2" w14:textId="77777777" w:rsidR="004A3D98" w:rsidRPr="00E35D8F" w:rsidRDefault="004A3D98" w:rsidP="003A221B">
            <w:pPr>
              <w:pStyle w:val="SWCText"/>
              <w:spacing w:after="0"/>
              <w:rPr>
                <w:lang w:eastAsia="zh-CN"/>
              </w:rPr>
            </w:pPr>
            <w:r w:rsidRPr="00E35D8F">
              <w:rPr>
                <w:lang w:eastAsia="zh-CN"/>
              </w:rPr>
              <w:t>(eq.2)</w:t>
            </w:r>
          </w:p>
        </w:tc>
      </w:tr>
    </w:tbl>
    <w:p w14:paraId="7611EF58" w14:textId="71FFF1ED" w:rsidR="00184F6A" w:rsidRDefault="004A3D98" w:rsidP="005A59A1">
      <w:pPr>
        <w:pStyle w:val="SWCText"/>
        <w:rPr>
          <w:lang w:eastAsia="zh-CN"/>
        </w:rPr>
      </w:pPr>
      <w:r w:rsidRPr="00E35D8F">
        <w:t xml:space="preserve">where </w:t>
      </w:r>
      <m:oMath>
        <m:sSubSup>
          <m:sSubSupPr>
            <m:ctrlPr>
              <w:rPr>
                <w:rFonts w:ascii="Cambria Math" w:hAnsi="Cambria Math"/>
                <w:i/>
                <w:lang w:eastAsia="zh-CN"/>
              </w:rPr>
            </m:ctrlPr>
          </m:sSubSupPr>
          <m:e>
            <m:r>
              <m:rPr>
                <m:nor/>
              </m:rPr>
              <w:rPr>
                <w:i/>
                <w:lang w:eastAsia="zh-CN"/>
              </w:rPr>
              <m:t>q</m:t>
            </m:r>
          </m:e>
          <m:sub>
            <w:proofErr w:type="spellStart"/>
            <m:r>
              <m:rPr>
                <m:nor/>
              </m:rPr>
              <w:rPr>
                <w:i/>
                <w:lang w:eastAsia="zh-CN"/>
              </w:rPr>
              <m:t>LW,roof</m:t>
            </m:r>
            <w:proofErr w:type="spellEnd"/>
          </m:sub>
          <m:sup>
            <m:r>
              <m:rPr>
                <m:nor/>
              </m:rPr>
              <w:rPr>
                <w:i/>
                <w:lang w:eastAsia="zh-CN"/>
              </w:rPr>
              <m:t>''</m:t>
            </m:r>
          </m:sup>
        </m:sSubSup>
      </m:oMath>
      <w:r w:rsidRPr="00E35D8F">
        <w:t xml:space="preserve"> is the net longwave radiative heat flux received by the roof, </w:t>
      </w:r>
      <m:oMath>
        <m:sSub>
          <m:sSubPr>
            <m:ctrlPr>
              <w:rPr>
                <w:rFonts w:ascii="Cambria Math" w:hAnsi="Cambria Math"/>
                <w:i/>
                <w:lang w:eastAsia="zh-CN"/>
              </w:rPr>
            </m:ctrlPr>
          </m:sSubPr>
          <m:e>
            <m:r>
              <m:rPr>
                <m:nor/>
              </m:rPr>
              <w:rPr>
                <w:i/>
                <w:lang w:eastAsia="zh-CN"/>
              </w:rPr>
              <m:t>ε</m:t>
            </m:r>
          </m:e>
          <m:sub>
            <m:r>
              <m:rPr>
                <m:nor/>
              </m:rPr>
              <w:rPr>
                <w:i/>
                <w:lang w:eastAsia="zh-CN"/>
              </w:rPr>
              <m:t>roof</m:t>
            </m:r>
          </m:sub>
        </m:sSub>
      </m:oMath>
      <w:r w:rsidRPr="00E35D8F">
        <w:rPr>
          <w:rStyle w:val="vlist-s"/>
        </w:rPr>
        <w:t>​</w:t>
      </w:r>
      <w:r w:rsidRPr="00E35D8F">
        <w:t xml:space="preserve"> </w:t>
      </w:r>
      <w:r w:rsidR="00527263">
        <w:rPr>
          <w:rFonts w:hint="eastAsia"/>
          <w:lang w:eastAsia="zh-CN"/>
        </w:rPr>
        <w:t>=</w:t>
      </w:r>
      <w:r w:rsidR="006D4E4D">
        <w:rPr>
          <w:rFonts w:hint="eastAsia"/>
          <w:lang w:eastAsia="zh-CN"/>
        </w:rPr>
        <w:t xml:space="preserve"> </w:t>
      </w:r>
      <w:r w:rsidR="00527263">
        <w:rPr>
          <w:rFonts w:hint="eastAsia"/>
          <w:lang w:eastAsia="zh-CN"/>
        </w:rPr>
        <w:t xml:space="preserve">0.90 </w:t>
      </w:r>
      <w:r w:rsidRPr="00E35D8F">
        <w:t xml:space="preserve">is the roof </w:t>
      </w:r>
      <w:r w:rsidR="00527263">
        <w:rPr>
          <w:rFonts w:hint="eastAsia"/>
          <w:lang w:eastAsia="zh-CN"/>
        </w:rPr>
        <w:t>long</w:t>
      </w:r>
      <w:r w:rsidR="006D4E4D">
        <w:rPr>
          <w:rFonts w:hint="eastAsia"/>
          <w:lang w:eastAsia="zh-CN"/>
        </w:rPr>
        <w:t xml:space="preserve">wave </w:t>
      </w:r>
      <w:r w:rsidRPr="00E35D8F">
        <w:t xml:space="preserve">emissivity, </w:t>
      </w:r>
      <m:oMath>
        <m:r>
          <m:rPr>
            <m:nor/>
          </m:rPr>
          <w:rPr>
            <w:i/>
            <w:lang w:eastAsia="zh-CN"/>
          </w:rPr>
          <m:t>σ</m:t>
        </m:r>
        <m:r>
          <m:rPr>
            <m:nor/>
          </m:rPr>
          <w:rPr>
            <w:rFonts w:ascii="Cambria Math" w:hint="eastAsia"/>
            <w:i/>
            <w:lang w:eastAsia="zh-CN"/>
          </w:rPr>
          <m:t>=</m:t>
        </m:r>
      </m:oMath>
      <w:r w:rsidRPr="00E35D8F">
        <w:t xml:space="preserve"> </w:t>
      </w:r>
      <w:r w:rsidR="00E94D2F" w:rsidRPr="00E94D2F">
        <w:rPr>
          <w:lang w:val="de-DE"/>
        </w:rPr>
        <w:t>5.6704×10</w:t>
      </w:r>
      <w:r w:rsidR="00E94D2F" w:rsidRPr="00E94D2F">
        <w:rPr>
          <w:vertAlign w:val="superscript"/>
          <w:lang w:val="de-DE"/>
        </w:rPr>
        <w:t>−8</w:t>
      </w:r>
      <w:r w:rsidR="00E94D2F" w:rsidRPr="00E94D2F">
        <w:rPr>
          <w:lang w:val="de-DE"/>
        </w:rPr>
        <w:t> W</w:t>
      </w:r>
      <w:r w:rsidR="00D11714">
        <w:rPr>
          <w:rFonts w:hint="eastAsia"/>
          <w:lang w:val="de-DE" w:eastAsia="zh-CN"/>
        </w:rPr>
        <w:t xml:space="preserve"> </w:t>
      </w:r>
      <w:r w:rsidR="00E94D2F" w:rsidRPr="00E94D2F">
        <w:rPr>
          <w:lang w:val="de-DE"/>
        </w:rPr>
        <w:t>m</w:t>
      </w:r>
      <w:r w:rsidR="00E94D2F" w:rsidRPr="005A2CBE">
        <w:rPr>
          <w:vertAlign w:val="superscript"/>
          <w:lang w:val="de-DE"/>
        </w:rPr>
        <w:t>−2</w:t>
      </w:r>
      <w:r w:rsidR="005F4096">
        <w:rPr>
          <w:rFonts w:hint="eastAsia"/>
          <w:vertAlign w:val="superscript"/>
          <w:lang w:val="de-DE" w:eastAsia="zh-CN"/>
        </w:rPr>
        <w:t xml:space="preserve"> </w:t>
      </w:r>
      <w:r w:rsidR="00E94D2F" w:rsidRPr="00E94D2F">
        <w:rPr>
          <w:lang w:val="de-DE"/>
        </w:rPr>
        <w:t>K</w:t>
      </w:r>
      <w:r w:rsidR="00E94D2F" w:rsidRPr="005A2CBE">
        <w:rPr>
          <w:vertAlign w:val="superscript"/>
          <w:lang w:val="de-DE"/>
        </w:rPr>
        <w:t>−4</w:t>
      </w:r>
      <w:r w:rsidR="005A2CBE">
        <w:rPr>
          <w:rFonts w:hint="eastAsia"/>
          <w:vertAlign w:val="superscript"/>
          <w:lang w:val="de-DE" w:eastAsia="zh-CN"/>
        </w:rPr>
        <w:t xml:space="preserve"> </w:t>
      </w:r>
      <w:r w:rsidRPr="00E35D8F">
        <w:t xml:space="preserve">is the Stefan–Boltzmann constant, </w:t>
      </w:r>
      <m:oMath>
        <m:sSub>
          <m:sSubPr>
            <m:ctrlPr>
              <w:rPr>
                <w:rFonts w:ascii="Cambria Math" w:hAnsi="Cambria Math"/>
                <w:i/>
                <w:lang w:eastAsia="zh-CN"/>
              </w:rPr>
            </m:ctrlPr>
          </m:sSubPr>
          <m:e>
            <m:r>
              <m:rPr>
                <m:nor/>
              </m:rPr>
              <w:rPr>
                <w:i/>
                <w:lang w:eastAsia="zh-CN"/>
              </w:rPr>
              <m:t>F</m:t>
            </m:r>
          </m:e>
          <m:sub>
            <w:proofErr w:type="spellStart"/>
            <m:r>
              <m:rPr>
                <m:nor/>
              </m:rPr>
              <w:rPr>
                <w:i/>
                <w:lang w:eastAsia="zh-CN"/>
              </w:rPr>
              <m:t>roof→j</m:t>
            </m:r>
            <w:proofErr w:type="spellEnd"/>
          </m:sub>
        </m:sSub>
      </m:oMath>
      <w:r w:rsidRPr="00E35D8F">
        <w:rPr>
          <w:rStyle w:val="vlist-s"/>
        </w:rPr>
        <w:t>​</w:t>
      </w:r>
      <w:r w:rsidRPr="00E35D8F">
        <w:t xml:space="preserve"> is the view factor from the roof to surrounding surface </w:t>
      </w:r>
      <w:r w:rsidRPr="00E35D8F">
        <w:rPr>
          <w:rStyle w:val="mord"/>
          <w:i/>
          <w:iCs/>
        </w:rPr>
        <w:t>j</w:t>
      </w:r>
      <w:r w:rsidRPr="00E35D8F">
        <w:t xml:space="preserve">, and </w:t>
      </w:r>
      <m:oMath>
        <m:sSub>
          <m:sSubPr>
            <m:ctrlPr>
              <w:rPr>
                <w:rFonts w:ascii="Cambria Math" w:hAnsi="Cambria Math"/>
                <w:i/>
                <w:lang w:eastAsia="zh-CN"/>
              </w:rPr>
            </m:ctrlPr>
          </m:sSubPr>
          <m:e>
            <m:r>
              <m:rPr>
                <m:nor/>
              </m:rPr>
              <w:rPr>
                <w:rFonts w:ascii="Cambria Math"/>
                <w:i/>
                <w:lang w:eastAsia="zh-CN"/>
              </w:rPr>
              <m:t>T</m:t>
            </m:r>
          </m:e>
          <m:sub>
            <m:r>
              <m:rPr>
                <m:nor/>
              </m:rPr>
              <w:rPr>
                <w:i/>
                <w:lang w:eastAsia="zh-CN"/>
              </w:rPr>
              <m:t>roof</m:t>
            </m:r>
          </m:sub>
        </m:sSub>
      </m:oMath>
      <w:r w:rsidRPr="00E35D8F">
        <w:t xml:space="preserve"> and </w:t>
      </w:r>
      <m:oMath>
        <m:sSub>
          <m:sSubPr>
            <m:ctrlPr>
              <w:rPr>
                <w:rFonts w:ascii="Cambria Math" w:hAnsi="Cambria Math"/>
                <w:i/>
                <w:lang w:eastAsia="zh-CN"/>
              </w:rPr>
            </m:ctrlPr>
          </m:sSubPr>
          <m:e>
            <m:r>
              <m:rPr>
                <m:nor/>
              </m:rPr>
              <w:rPr>
                <w:rFonts w:ascii="Cambria Math"/>
                <w:i/>
                <w:lang w:eastAsia="zh-CN"/>
              </w:rPr>
              <m:t>T</m:t>
            </m:r>
          </m:e>
          <m:sub>
            <m:r>
              <m:rPr>
                <m:nor/>
              </m:rPr>
              <w:rPr>
                <w:rFonts w:ascii="Cambria Math"/>
                <w:i/>
                <w:lang w:eastAsia="zh-CN"/>
              </w:rPr>
              <m:t>j</m:t>
            </m:r>
          </m:sub>
        </m:sSub>
      </m:oMath>
      <w:r w:rsidRPr="00E35D8F">
        <w:rPr>
          <w:rStyle w:val="vlist-s"/>
        </w:rPr>
        <w:t>​</w:t>
      </w:r>
      <w:r w:rsidRPr="00E35D8F">
        <w:t xml:space="preserve"> are absolute temperatures.</w:t>
      </w:r>
      <w:r w:rsidR="008166E7" w:rsidRPr="00E35D8F">
        <w:rPr>
          <w:lang w:eastAsia="zh-CN"/>
        </w:rPr>
        <w:t xml:space="preserve"> </w:t>
      </w:r>
    </w:p>
    <w:p w14:paraId="0710514F" w14:textId="2A615826" w:rsidR="006E4EED" w:rsidRPr="00E35D8F" w:rsidRDefault="00184F6A" w:rsidP="005A59A1">
      <w:pPr>
        <w:pStyle w:val="SWCText"/>
        <w:rPr>
          <w:lang w:eastAsia="zh-CN"/>
        </w:rPr>
      </w:pPr>
      <w:r w:rsidRPr="00184F6A">
        <w:rPr>
          <w:lang w:eastAsia="zh-CN"/>
        </w:rPr>
        <w:t xml:space="preserve">When multiple roof surfaces were viewed by the </w:t>
      </w:r>
      <w:proofErr w:type="spellStart"/>
      <w:r w:rsidRPr="00184F6A">
        <w:rPr>
          <w:lang w:eastAsia="zh-CN"/>
        </w:rPr>
        <w:t>bPV</w:t>
      </w:r>
      <w:proofErr w:type="spellEnd"/>
      <w:r w:rsidRPr="00184F6A">
        <w:rPr>
          <w:lang w:eastAsia="zh-CN"/>
        </w:rPr>
        <w:t xml:space="preserve"> array, their outside-surface temperatures were combined into a radiative-equivalent roof temperature using an area-weighted fourth-power average</w:t>
      </w:r>
      <w:r w:rsidR="006E4EED" w:rsidRPr="00E35D8F">
        <w:rPr>
          <w:lang w:eastAsia="zh-CN"/>
        </w:rPr>
        <w:t>.</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9"/>
        <w:gridCol w:w="688"/>
      </w:tblGrid>
      <w:tr w:rsidR="0023379D" w:rsidRPr="00E35D8F" w14:paraId="54B94A4A" w14:textId="77777777" w:rsidTr="004E61A6">
        <w:trPr>
          <w:jc w:val="center"/>
        </w:trPr>
        <w:tc>
          <w:tcPr>
            <w:tcW w:w="8069" w:type="dxa"/>
            <w:vAlign w:val="center"/>
          </w:tcPr>
          <w:p w14:paraId="180BE80B" w14:textId="596E33F0" w:rsidR="0023379D" w:rsidRPr="00962B21" w:rsidRDefault="009030AC" w:rsidP="003A221B">
            <w:pPr>
              <w:pStyle w:val="SWCText"/>
              <w:spacing w:after="0"/>
              <w:rPr>
                <w:i/>
                <w:lang w:eastAsia="zh-CN"/>
              </w:rPr>
            </w:pPr>
            <m:oMathPara>
              <m:oMath>
                <m:sSub>
                  <m:sSubPr>
                    <m:ctrlPr>
                      <w:rPr>
                        <w:rFonts w:ascii="Cambria Math" w:hAnsi="Cambria Math"/>
                        <w:i/>
                        <w:lang w:eastAsia="zh-CN"/>
                      </w:rPr>
                    </m:ctrlPr>
                  </m:sSubPr>
                  <m:e>
                    <m:r>
                      <m:rPr>
                        <m:nor/>
                      </m:rPr>
                      <w:rPr>
                        <w:i/>
                        <w:lang w:eastAsia="zh-CN"/>
                      </w:rPr>
                      <m:t>T</m:t>
                    </m:r>
                  </m:e>
                  <m:sub>
                    <w:proofErr w:type="spellStart"/>
                    <m:r>
                      <m:rPr>
                        <m:nor/>
                      </m:rPr>
                      <w:rPr>
                        <w:i/>
                        <w:lang w:eastAsia="zh-CN"/>
                      </w:rPr>
                      <m:t>roof,eq</m:t>
                    </m:r>
                    <w:proofErr w:type="spellEnd"/>
                  </m:sub>
                </m:sSub>
                <m:r>
                  <m:rPr>
                    <m:nor/>
                  </m:rPr>
                  <w:rPr>
                    <w:i/>
                    <w:lang w:eastAsia="zh-CN"/>
                  </w:rPr>
                  <m:t>=</m:t>
                </m:r>
                <m:sSup>
                  <m:sSupPr>
                    <m:ctrlPr>
                      <w:rPr>
                        <w:rFonts w:ascii="Cambria Math" w:hAnsi="Cambria Math"/>
                        <w:i/>
                        <w:lang w:eastAsia="zh-CN"/>
                      </w:rPr>
                    </m:ctrlPr>
                  </m:sSupPr>
                  <m:e>
                    <m:d>
                      <m:dPr>
                        <m:ctrlPr>
                          <w:rPr>
                            <w:rFonts w:ascii="Cambria Math" w:hAnsi="Cambria Math"/>
                            <w:i/>
                            <w:lang w:eastAsia="zh-CN"/>
                          </w:rPr>
                        </m:ctrlPr>
                      </m:dPr>
                      <m:e>
                        <m:f>
                          <m:fPr>
                            <m:ctrlPr>
                              <w:rPr>
                                <w:rFonts w:ascii="Cambria Math" w:hAnsi="Cambria Math"/>
                                <w:i/>
                                <w:lang w:eastAsia="zh-CN"/>
                              </w:rPr>
                            </m:ctrlPr>
                          </m:fPr>
                          <m:num>
                            <m:nary>
                              <m:naryPr>
                                <m:chr m:val="∑"/>
                                <m:limLoc m:val="undOvr"/>
                                <m:ctrlPr>
                                  <w:rPr>
                                    <w:rFonts w:ascii="Cambria Math" w:hAnsi="Cambria Math"/>
                                    <w:i/>
                                    <w:lang w:eastAsia="zh-CN"/>
                                  </w:rPr>
                                </m:ctrlPr>
                              </m:naryPr>
                              <m:sub>
                                <m:r>
                                  <w:rPr>
                                    <w:rFonts w:ascii="Cambria Math" w:hAnsi="Cambria Math"/>
                                    <w:lang w:eastAsia="zh-CN"/>
                                  </w:rPr>
                                  <m:t>i</m:t>
                                </m:r>
                                <m:r>
                                  <w:rPr>
                                    <w:rFonts w:ascii="Cambria Math" w:hAnsi="Cambria Math"/>
                                    <w:lang w:eastAsia="zh-CN"/>
                                  </w:rPr>
                                  <m:t>=1</m:t>
                                </m:r>
                              </m:sub>
                              <m:sup>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r</m:t>
                                    </m:r>
                                  </m:sub>
                                </m:sSub>
                              </m:sup>
                              <m:e>
                                <m:sSub>
                                  <m:sSubPr>
                                    <m:ctrlPr>
                                      <w:rPr>
                                        <w:rFonts w:ascii="Cambria Math" w:hAnsi="Cambria Math"/>
                                        <w:i/>
                                        <w:lang w:eastAsia="zh-CN"/>
                                      </w:rPr>
                                    </m:ctrlPr>
                                  </m:sSubPr>
                                  <m:e>
                                    <m:r>
                                      <m:rPr>
                                        <m:nor/>
                                      </m:rPr>
                                      <w:rPr>
                                        <w:i/>
                                        <w:lang w:eastAsia="zh-CN"/>
                                      </w:rPr>
                                      <m:t>A</m:t>
                                    </m:r>
                                  </m:e>
                                  <m:sub>
                                    <w:proofErr w:type="spellStart"/>
                                    <m:r>
                                      <m:rPr>
                                        <m:nor/>
                                      </m:rPr>
                                      <w:rPr>
                                        <w:i/>
                                        <w:lang w:eastAsia="zh-CN"/>
                                      </w:rPr>
                                      <m:t>i</m:t>
                                    </m:r>
                                    <w:proofErr w:type="spellEnd"/>
                                  </m:sub>
                                </m:sSub>
                                <m:sSubSup>
                                  <m:sSubSupPr>
                                    <m:ctrlPr>
                                      <w:rPr>
                                        <w:rFonts w:ascii="Cambria Math" w:hAnsi="Cambria Math"/>
                                        <w:i/>
                                        <w:lang w:eastAsia="zh-CN"/>
                                      </w:rPr>
                                    </m:ctrlPr>
                                  </m:sSubSupPr>
                                  <m:e>
                                    <m:r>
                                      <m:rPr>
                                        <m:nor/>
                                      </m:rPr>
                                      <w:rPr>
                                        <w:i/>
                                        <w:lang w:eastAsia="zh-CN"/>
                                      </w:rPr>
                                      <m:t>T</m:t>
                                    </m:r>
                                  </m:e>
                                  <m:sub>
                                    <w:proofErr w:type="spellStart"/>
                                    <m:r>
                                      <m:rPr>
                                        <m:nor/>
                                      </m:rPr>
                                      <w:rPr>
                                        <w:i/>
                                        <w:lang w:eastAsia="zh-CN"/>
                                      </w:rPr>
                                      <m:t>i</m:t>
                                    </m:r>
                                    <w:proofErr w:type="spellEnd"/>
                                  </m:sub>
                                  <m:sup>
                                    <m:r>
                                      <m:rPr>
                                        <m:nor/>
                                      </m:rPr>
                                      <w:rPr>
                                        <w:i/>
                                        <w:lang w:eastAsia="zh-CN"/>
                                      </w:rPr>
                                      <m:t>4</m:t>
                                    </m:r>
                                  </m:sup>
                                </m:sSubSup>
                              </m:e>
                            </m:nary>
                          </m:num>
                          <m:den>
                            <m:nary>
                              <m:naryPr>
                                <m:chr m:val="∑"/>
                                <m:limLoc m:val="undOvr"/>
                                <m:ctrlPr>
                                  <w:rPr>
                                    <w:rFonts w:ascii="Cambria Math" w:hAnsi="Cambria Math"/>
                                    <w:i/>
                                    <w:lang w:eastAsia="zh-CN"/>
                                  </w:rPr>
                                </m:ctrlPr>
                              </m:naryPr>
                              <m:sub>
                                <m:r>
                                  <w:rPr>
                                    <w:rFonts w:ascii="Cambria Math" w:hAnsi="Cambria Math"/>
                                    <w:lang w:eastAsia="zh-CN"/>
                                  </w:rPr>
                                  <m:t>i</m:t>
                                </m:r>
                                <m:r>
                                  <w:rPr>
                                    <w:rFonts w:ascii="Cambria Math" w:hAnsi="Cambria Math"/>
                                    <w:lang w:eastAsia="zh-CN"/>
                                  </w:rPr>
                                  <m:t>=1</m:t>
                                </m:r>
                              </m:sub>
                              <m:sup>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r</m:t>
                                    </m:r>
                                  </m:sub>
                                </m:sSub>
                              </m:sup>
                              <m:e>
                                <m:sSub>
                                  <m:sSubPr>
                                    <m:ctrlPr>
                                      <w:rPr>
                                        <w:rFonts w:ascii="Cambria Math" w:hAnsi="Cambria Math"/>
                                        <w:i/>
                                        <w:lang w:eastAsia="zh-CN"/>
                                      </w:rPr>
                                    </m:ctrlPr>
                                  </m:sSubPr>
                                  <m:e>
                                    <m:r>
                                      <m:rPr>
                                        <m:nor/>
                                      </m:rPr>
                                      <w:rPr>
                                        <w:i/>
                                        <w:lang w:eastAsia="zh-CN"/>
                                      </w:rPr>
                                      <m:t>A</m:t>
                                    </m:r>
                                  </m:e>
                                  <m:sub>
                                    <w:proofErr w:type="spellStart"/>
                                    <m:r>
                                      <m:rPr>
                                        <m:nor/>
                                      </m:rPr>
                                      <w:rPr>
                                        <w:i/>
                                        <w:lang w:eastAsia="zh-CN"/>
                                      </w:rPr>
                                      <m:t>i</m:t>
                                    </m:r>
                                    <w:proofErr w:type="spellEnd"/>
                                  </m:sub>
                                </m:sSub>
                              </m:e>
                            </m:nary>
                          </m:den>
                        </m:f>
                      </m:e>
                    </m:d>
                  </m:e>
                  <m:sup>
                    <m:f>
                      <m:fPr>
                        <m:type m:val="lin"/>
                        <m:ctrlPr>
                          <w:rPr>
                            <w:rFonts w:ascii="Cambria Math" w:hAnsi="Cambria Math"/>
                            <w:i/>
                            <w:lang w:eastAsia="zh-CN"/>
                          </w:rPr>
                        </m:ctrlPr>
                      </m:fPr>
                      <m:num>
                        <m:r>
                          <m:rPr>
                            <m:nor/>
                          </m:rPr>
                          <w:rPr>
                            <w:i/>
                            <w:lang w:eastAsia="zh-CN"/>
                          </w:rPr>
                          <m:t>1</m:t>
                        </m:r>
                      </m:num>
                      <m:den>
                        <m:r>
                          <m:rPr>
                            <m:nor/>
                          </m:rPr>
                          <w:rPr>
                            <w:i/>
                            <w:lang w:eastAsia="zh-CN"/>
                          </w:rPr>
                          <m:t>4</m:t>
                        </m:r>
                      </m:den>
                    </m:f>
                  </m:sup>
                </m:sSup>
              </m:oMath>
            </m:oMathPara>
          </w:p>
        </w:tc>
        <w:tc>
          <w:tcPr>
            <w:tcW w:w="688" w:type="dxa"/>
            <w:vAlign w:val="center"/>
          </w:tcPr>
          <w:p w14:paraId="1BD1A525" w14:textId="77777777" w:rsidR="0023379D" w:rsidRPr="00E35D8F" w:rsidRDefault="0023379D" w:rsidP="003A221B">
            <w:pPr>
              <w:pStyle w:val="SWCText"/>
              <w:spacing w:after="0"/>
              <w:rPr>
                <w:lang w:eastAsia="zh-CN"/>
              </w:rPr>
            </w:pPr>
            <w:r w:rsidRPr="00E35D8F">
              <w:rPr>
                <w:lang w:eastAsia="zh-CN"/>
              </w:rPr>
              <w:t>(eq.3)</w:t>
            </w:r>
          </w:p>
        </w:tc>
      </w:tr>
    </w:tbl>
    <w:p w14:paraId="6363EE85" w14:textId="73CB6B21" w:rsidR="004A0643" w:rsidRPr="00B66199" w:rsidRDefault="00A87012" w:rsidP="005A59A1">
      <w:pPr>
        <w:pStyle w:val="SWCText"/>
        <w:rPr>
          <w:lang w:eastAsia="zh-CN"/>
        </w:rPr>
      </w:pPr>
      <w:r w:rsidRPr="00E35D8F">
        <w:rPr>
          <w:lang w:eastAsia="zh-CN"/>
        </w:rPr>
        <w:lastRenderedPageBreak/>
        <w:t xml:space="preserve">where </w:t>
      </w:r>
      <m:oMath>
        <m:sSub>
          <m:sSubPr>
            <m:ctrlPr>
              <w:rPr>
                <w:rFonts w:ascii="Cambria Math" w:hAnsi="Cambria Math"/>
                <w:i/>
                <w:lang w:eastAsia="zh-CN"/>
              </w:rPr>
            </m:ctrlPr>
          </m:sSubPr>
          <m:e>
            <m:r>
              <m:rPr>
                <m:nor/>
              </m:rPr>
              <w:rPr>
                <w:i/>
                <w:lang w:eastAsia="zh-CN"/>
              </w:rPr>
              <m:t>T</m:t>
            </m:r>
          </m:e>
          <m:sub>
            <w:proofErr w:type="spellStart"/>
            <m:r>
              <m:rPr>
                <m:nor/>
              </m:rPr>
              <w:rPr>
                <w:i/>
                <w:lang w:eastAsia="zh-CN"/>
              </w:rPr>
              <m:t>roof,eq</m:t>
            </m:r>
            <w:proofErr w:type="spellEnd"/>
          </m:sub>
        </m:sSub>
      </m:oMath>
      <w:r w:rsidRPr="00E35D8F">
        <w:rPr>
          <w:lang w:eastAsia="zh-CN"/>
        </w:rPr>
        <w:t xml:space="preserve">​ is the radiative-equivalent roof temperature, </w:t>
      </w:r>
      <w:r w:rsidR="00962B21" w:rsidRPr="00962B21">
        <w:rPr>
          <w:rFonts w:hint="eastAsia"/>
          <w:i/>
          <w:iCs/>
          <w:lang w:eastAsia="zh-CN"/>
        </w:rPr>
        <w:t>N</w:t>
      </w:r>
      <w:r w:rsidR="00962B21" w:rsidRPr="00962B21">
        <w:rPr>
          <w:rFonts w:hint="eastAsia"/>
          <w:i/>
          <w:iCs/>
          <w:vertAlign w:val="subscript"/>
          <w:lang w:eastAsia="zh-CN"/>
        </w:rPr>
        <w:t>r</w:t>
      </w:r>
      <w:r w:rsidR="00962B21">
        <w:rPr>
          <w:rFonts w:hint="eastAsia"/>
          <w:lang w:eastAsia="zh-CN"/>
        </w:rPr>
        <w:t xml:space="preserve"> </w:t>
      </w:r>
      <w:r w:rsidR="00393CE6" w:rsidRPr="00393CE6">
        <w:rPr>
          <w:lang w:val="de-DE" w:eastAsia="zh-CN"/>
        </w:rPr>
        <w:t xml:space="preserve">is the number of roof surfaces included in the calculation, </w:t>
      </w:r>
      <w:r w:rsidRPr="00E35D8F">
        <w:rPr>
          <w:lang w:eastAsia="zh-CN"/>
        </w:rPr>
        <w:t xml:space="preserve">and </w:t>
      </w:r>
      <m:oMath>
        <m:sSub>
          <m:sSubPr>
            <m:ctrlPr>
              <w:rPr>
                <w:rFonts w:ascii="Cambria Math" w:hAnsi="Cambria Math"/>
                <w:i/>
                <w:lang w:eastAsia="zh-CN"/>
              </w:rPr>
            </m:ctrlPr>
          </m:sSubPr>
          <m:e>
            <m:r>
              <m:rPr>
                <m:nor/>
              </m:rPr>
              <w:rPr>
                <w:i/>
                <w:lang w:eastAsia="zh-CN"/>
              </w:rPr>
              <m:t>A</m:t>
            </m:r>
          </m:e>
          <m:sub>
            <w:proofErr w:type="spellStart"/>
            <m:r>
              <m:rPr>
                <m:nor/>
              </m:rPr>
              <w:rPr>
                <w:i/>
                <w:lang w:eastAsia="zh-CN"/>
              </w:rPr>
              <m:t>i</m:t>
            </m:r>
            <w:proofErr w:type="spellEnd"/>
          </m:sub>
        </m:sSub>
      </m:oMath>
      <w:r w:rsidRPr="00E35D8F">
        <w:rPr>
          <w:lang w:eastAsia="zh-CN"/>
        </w:rPr>
        <w:t xml:space="preserve">​ and </w:t>
      </w:r>
      <m:oMath>
        <m:sSub>
          <m:sSubPr>
            <m:ctrlPr>
              <w:rPr>
                <w:rFonts w:ascii="Cambria Math" w:hAnsi="Cambria Math"/>
                <w:i/>
                <w:lang w:eastAsia="zh-CN"/>
              </w:rPr>
            </m:ctrlPr>
          </m:sSubPr>
          <m:e>
            <m:r>
              <m:rPr>
                <m:nor/>
              </m:rPr>
              <w:rPr>
                <w:rFonts w:ascii="Cambria Math"/>
                <w:i/>
                <w:lang w:eastAsia="zh-CN"/>
              </w:rPr>
              <m:t>T</m:t>
            </m:r>
          </m:e>
          <m:sub>
            <w:proofErr w:type="spellStart"/>
            <m:r>
              <m:rPr>
                <m:nor/>
              </m:rPr>
              <w:rPr>
                <w:rFonts w:ascii="Cambria Math"/>
                <w:i/>
                <w:lang w:eastAsia="zh-CN"/>
              </w:rPr>
              <m:t>i</m:t>
            </m:r>
            <w:proofErr w:type="spellEnd"/>
          </m:sub>
        </m:sSub>
      </m:oMath>
      <w:r w:rsidRPr="00E35D8F">
        <w:rPr>
          <w:lang w:eastAsia="zh-CN"/>
        </w:rPr>
        <w:t>​ are the area and absolute outside surface temperature of roof surface</w:t>
      </w:r>
      <w:r w:rsidR="00393CE6">
        <w:rPr>
          <w:rFonts w:hint="eastAsia"/>
          <w:lang w:eastAsia="zh-CN"/>
        </w:rPr>
        <w:t xml:space="preserve"> </w:t>
      </w:r>
      <w:proofErr w:type="spellStart"/>
      <w:r w:rsidR="00B66199">
        <w:rPr>
          <w:rFonts w:hint="eastAsia"/>
          <w:i/>
          <w:iCs/>
          <w:lang w:eastAsia="zh-CN"/>
        </w:rPr>
        <w:t>i</w:t>
      </w:r>
      <w:proofErr w:type="spellEnd"/>
      <w:r w:rsidR="00B66199">
        <w:rPr>
          <w:rFonts w:hint="eastAsia"/>
          <w:i/>
          <w:iCs/>
          <w:lang w:eastAsia="zh-CN"/>
        </w:rPr>
        <w:t>,</w:t>
      </w:r>
      <w:r w:rsidR="00B66199" w:rsidRPr="00B66199">
        <w:rPr>
          <w:color w:val="auto"/>
          <w:sz w:val="24"/>
          <w:szCs w:val="24"/>
          <w:lang w:val="de-DE"/>
        </w:rPr>
        <w:t xml:space="preserve"> </w:t>
      </w:r>
      <w:r w:rsidR="00B66199" w:rsidRPr="00B66199">
        <w:rPr>
          <w:lang w:val="de-DE" w:eastAsia="zh-CN"/>
        </w:rPr>
        <w:t xml:space="preserve">respectively. In the present model, </w:t>
      </w:r>
      <w:r w:rsidR="00B66199" w:rsidRPr="00B66199">
        <w:rPr>
          <w:i/>
          <w:iCs/>
          <w:lang w:val="de-DE" w:eastAsia="zh-CN"/>
        </w:rPr>
        <w:t>N</w:t>
      </w:r>
      <w:r w:rsidR="00B66199" w:rsidRPr="00B66199">
        <w:rPr>
          <w:i/>
          <w:iCs/>
          <w:vertAlign w:val="subscript"/>
          <w:lang w:val="de-DE" w:eastAsia="zh-CN"/>
        </w:rPr>
        <w:t>r</w:t>
      </w:r>
      <w:r w:rsidR="00B66199">
        <w:rPr>
          <w:rFonts w:hint="eastAsia"/>
          <w:i/>
          <w:iCs/>
          <w:vertAlign w:val="subscript"/>
          <w:lang w:val="de-DE" w:eastAsia="zh-CN"/>
        </w:rPr>
        <w:t xml:space="preserve"> </w:t>
      </w:r>
      <w:r w:rsidR="00B66199" w:rsidRPr="00B66199">
        <w:rPr>
          <w:lang w:val="de-DE" w:eastAsia="zh-CN"/>
        </w:rPr>
        <w:t>​=</w:t>
      </w:r>
      <w:r w:rsidR="00B66199">
        <w:rPr>
          <w:rFonts w:hint="eastAsia"/>
          <w:lang w:val="de-DE" w:eastAsia="zh-CN"/>
        </w:rPr>
        <w:t xml:space="preserve"> </w:t>
      </w:r>
      <w:r w:rsidR="00B66199" w:rsidRPr="00B66199">
        <w:rPr>
          <w:lang w:val="de-DE" w:eastAsia="zh-CN"/>
        </w:rPr>
        <w:t>20.</w:t>
      </w:r>
    </w:p>
    <w:p w14:paraId="0BC244E7" w14:textId="6DFECDDC" w:rsidR="00F64372" w:rsidRPr="00E35D8F" w:rsidRDefault="004762FC" w:rsidP="005A59A1">
      <w:pPr>
        <w:pStyle w:val="SWCText"/>
        <w:rPr>
          <w:lang w:eastAsia="zh-CN"/>
        </w:rPr>
      </w:pPr>
      <w:r w:rsidRPr="004762FC">
        <w:rPr>
          <w:lang w:eastAsia="zh-CN"/>
        </w:rPr>
        <w:t xml:space="preserve">On the </w:t>
      </w:r>
      <w:proofErr w:type="spellStart"/>
      <w:r w:rsidRPr="004762FC">
        <w:rPr>
          <w:lang w:eastAsia="zh-CN"/>
        </w:rPr>
        <w:t>EnergyPlus</w:t>
      </w:r>
      <w:proofErr w:type="spellEnd"/>
      <w:r w:rsidRPr="004762FC">
        <w:rPr>
          <w:lang w:eastAsia="zh-CN"/>
        </w:rPr>
        <w:t xml:space="preserve"> side, the rear surface of each </w:t>
      </w:r>
      <w:proofErr w:type="spellStart"/>
      <w:r w:rsidRPr="004762FC">
        <w:rPr>
          <w:lang w:eastAsia="zh-CN"/>
        </w:rPr>
        <w:t>bPV</w:t>
      </w:r>
      <w:proofErr w:type="spellEnd"/>
      <w:r w:rsidRPr="004762FC">
        <w:rPr>
          <w:lang w:eastAsia="zh-CN"/>
        </w:rPr>
        <w:t xml:space="preserve"> row was assigned a row-specific radiative environment consisting of sky, ground, and roof components. The rear-side longwave heat flux was represented as</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9"/>
        <w:gridCol w:w="688"/>
      </w:tblGrid>
      <w:tr w:rsidR="004A0643" w:rsidRPr="00E35D8F" w14:paraId="1553E4A2" w14:textId="77777777" w:rsidTr="00344FE7">
        <w:trPr>
          <w:jc w:val="center"/>
        </w:trPr>
        <w:tc>
          <w:tcPr>
            <w:tcW w:w="8069" w:type="dxa"/>
            <w:vAlign w:val="center"/>
          </w:tcPr>
          <w:p w14:paraId="36DA0A91" w14:textId="132480C1" w:rsidR="004A0643" w:rsidRPr="00E35D8F" w:rsidRDefault="009030AC" w:rsidP="003A221B">
            <w:pPr>
              <w:pStyle w:val="SWCText"/>
              <w:spacing w:beforeLines="50" w:before="120" w:afterLines="50"/>
              <w:rPr>
                <w:rFonts w:eastAsia="宋体"/>
                <w:i/>
                <w:lang w:eastAsia="zh-CN"/>
              </w:rPr>
            </w:pPr>
            <m:oMathPara>
              <m:oMath>
                <m:sSubSup>
                  <m:sSubSupPr>
                    <m:ctrlPr>
                      <w:rPr>
                        <w:rFonts w:ascii="Cambria Math" w:hAnsi="Cambria Math"/>
                        <w:i/>
                        <w:lang w:eastAsia="zh-CN"/>
                      </w:rPr>
                    </m:ctrlPr>
                  </m:sSubSupPr>
                  <m:e>
                    <m:r>
                      <m:rPr>
                        <m:nor/>
                      </m:rPr>
                      <w:rPr>
                        <w:i/>
                        <w:lang w:eastAsia="zh-CN"/>
                      </w:rPr>
                      <m:t>q</m:t>
                    </m:r>
                  </m:e>
                  <m:sub>
                    <w:proofErr w:type="spellStart"/>
                    <m:r>
                      <m:rPr>
                        <m:nor/>
                      </m:rPr>
                      <w:rPr>
                        <w:i/>
                        <w:lang w:eastAsia="zh-CN"/>
                      </w:rPr>
                      <m:t>LW,rear</m:t>
                    </m:r>
                    <m:r>
                      <m:rPr>
                        <m:nor/>
                      </m:rPr>
                      <w:rPr>
                        <w:rFonts w:ascii="Cambria Math" w:hint="eastAsia"/>
                        <w:i/>
                        <w:lang w:eastAsia="zh-CN"/>
                      </w:rPr>
                      <m:t>,EP</m:t>
                    </m:r>
                    <w:proofErr w:type="spellEnd"/>
                  </m:sub>
                  <m:sup>
                    <m:r>
                      <m:rPr>
                        <m:nor/>
                      </m:rPr>
                      <w:rPr>
                        <w:i/>
                        <w:lang w:eastAsia="zh-CN"/>
                      </w:rPr>
                      <m:t>''</m:t>
                    </m:r>
                  </m:sup>
                </m:sSubSup>
                <m:r>
                  <m:rPr>
                    <m:nor/>
                  </m:rPr>
                  <w:rPr>
                    <w:i/>
                    <w:lang w:eastAsia="zh-CN"/>
                  </w:rPr>
                  <m:t>=</m:t>
                </m:r>
                <m:sSub>
                  <m:sSubPr>
                    <m:ctrlPr>
                      <w:rPr>
                        <w:rFonts w:ascii="Cambria Math" w:hAnsi="Cambria Math"/>
                        <w:i/>
                        <w:lang w:eastAsia="zh-CN"/>
                      </w:rPr>
                    </m:ctrlPr>
                  </m:sSubPr>
                  <m:e>
                    <m:r>
                      <m:rPr>
                        <m:nor/>
                      </m:rPr>
                      <w:rPr>
                        <w:i/>
                        <w:lang w:eastAsia="zh-CN"/>
                      </w:rPr>
                      <m:t>ε</m:t>
                    </m:r>
                  </m:e>
                  <m:sub>
                    <m:r>
                      <m:rPr>
                        <m:nor/>
                      </m:rPr>
                      <w:rPr>
                        <w:i/>
                        <w:lang w:eastAsia="zh-CN"/>
                      </w:rPr>
                      <m:t>rear</m:t>
                    </m:r>
                  </m:sub>
                </m:sSub>
                <m:r>
                  <m:rPr>
                    <m:nor/>
                  </m:rPr>
                  <w:rPr>
                    <w:i/>
                    <w:lang w:eastAsia="zh-CN"/>
                  </w:rPr>
                  <m:t>σ</m:t>
                </m:r>
                <m:d>
                  <m:dPr>
                    <m:begChr m:val="["/>
                    <m:endChr m:val="]"/>
                    <m:ctrlPr>
                      <w:rPr>
                        <w:rFonts w:ascii="Cambria Math" w:hAnsi="Cambria Math"/>
                        <w:i/>
                        <w:lang w:eastAsia="zh-CN"/>
                      </w:rPr>
                    </m:ctrlPr>
                  </m:dPr>
                  <m:e>
                    <m:sSub>
                      <m:sSubPr>
                        <m:ctrlPr>
                          <w:rPr>
                            <w:rFonts w:ascii="Cambria Math" w:hAnsi="Cambria Math"/>
                            <w:i/>
                            <w:lang w:eastAsia="zh-CN"/>
                          </w:rPr>
                        </m:ctrlPr>
                      </m:sSubPr>
                      <m:e>
                        <m:r>
                          <m:rPr>
                            <m:nor/>
                          </m:rPr>
                          <w:rPr>
                            <w:i/>
                            <w:lang w:eastAsia="zh-CN"/>
                          </w:rPr>
                          <m:t>F</m:t>
                        </m:r>
                      </m:e>
                      <m:sub>
                        <w:proofErr w:type="spellStart"/>
                        <m:r>
                          <m:rPr>
                            <m:nor/>
                          </m:rPr>
                          <w:rPr>
                            <w:i/>
                            <w:lang w:eastAsia="zh-CN"/>
                          </w:rPr>
                          <m:t>rear→sky</m:t>
                        </m:r>
                        <w:proofErr w:type="spellEnd"/>
                      </m:sub>
                    </m:sSub>
                    <m:d>
                      <m:dPr>
                        <m:ctrlPr>
                          <w:rPr>
                            <w:rFonts w:ascii="Cambria Math" w:hAnsi="Cambria Math"/>
                            <w:i/>
                            <w:lang w:eastAsia="zh-CN"/>
                          </w:rPr>
                        </m:ctrlPr>
                      </m:dPr>
                      <m:e>
                        <m:sSubSup>
                          <m:sSubSupPr>
                            <m:ctrlPr>
                              <w:rPr>
                                <w:rFonts w:ascii="Cambria Math" w:hAnsi="Cambria Math"/>
                                <w:i/>
                                <w:lang w:eastAsia="zh-CN"/>
                              </w:rPr>
                            </m:ctrlPr>
                          </m:sSubSupPr>
                          <m:e>
                            <m:r>
                              <m:rPr>
                                <m:nor/>
                              </m:rPr>
                              <w:rPr>
                                <w:i/>
                                <w:lang w:eastAsia="zh-CN"/>
                              </w:rPr>
                              <m:t>T</m:t>
                            </m:r>
                          </m:e>
                          <m:sub>
                            <m:r>
                              <m:rPr>
                                <m:nor/>
                              </m:rPr>
                              <w:rPr>
                                <w:i/>
                                <w:lang w:eastAsia="zh-CN"/>
                              </w:rPr>
                              <m:t>sky</m:t>
                            </m:r>
                          </m:sub>
                          <m:sup>
                            <m:r>
                              <m:rPr>
                                <m:nor/>
                              </m:rPr>
                              <w:rPr>
                                <w:i/>
                                <w:lang w:eastAsia="zh-CN"/>
                              </w:rPr>
                              <m:t>4</m:t>
                            </m:r>
                          </m:sup>
                        </m:sSubSup>
                        <m:r>
                          <m:rPr>
                            <m:nor/>
                          </m:rPr>
                          <w:rPr>
                            <w:i/>
                            <w:lang w:eastAsia="zh-CN"/>
                          </w:rPr>
                          <m:t>-</m:t>
                        </m:r>
                        <m:sSubSup>
                          <m:sSubSupPr>
                            <m:ctrlPr>
                              <w:rPr>
                                <w:rFonts w:ascii="Cambria Math" w:hAnsi="Cambria Math"/>
                                <w:i/>
                                <w:lang w:eastAsia="zh-CN"/>
                              </w:rPr>
                            </m:ctrlPr>
                          </m:sSubSupPr>
                          <m:e>
                            <m:r>
                              <m:rPr>
                                <m:nor/>
                              </m:rPr>
                              <w:rPr>
                                <w:i/>
                                <w:lang w:eastAsia="zh-CN"/>
                              </w:rPr>
                              <m:t>T</m:t>
                            </m:r>
                          </m:e>
                          <m:sub>
                            <m:r>
                              <m:rPr>
                                <m:nor/>
                              </m:rPr>
                              <w:rPr>
                                <w:i/>
                                <w:lang w:eastAsia="zh-CN"/>
                              </w:rPr>
                              <m:t>rear</m:t>
                            </m:r>
                          </m:sub>
                          <m:sup>
                            <m:r>
                              <m:rPr>
                                <m:nor/>
                              </m:rPr>
                              <w:rPr>
                                <w:i/>
                                <w:lang w:eastAsia="zh-CN"/>
                              </w:rPr>
                              <m:t>4</m:t>
                            </m:r>
                          </m:sup>
                        </m:sSubSup>
                      </m:e>
                    </m:d>
                    <m:r>
                      <m:rPr>
                        <m:nor/>
                      </m:rPr>
                      <w:rPr>
                        <w:i/>
                        <w:lang w:eastAsia="zh-CN"/>
                      </w:rPr>
                      <m:t>+</m:t>
                    </m:r>
                    <m:sSub>
                      <m:sSubPr>
                        <m:ctrlPr>
                          <w:rPr>
                            <w:rFonts w:ascii="Cambria Math" w:hAnsi="Cambria Math"/>
                            <w:i/>
                            <w:lang w:eastAsia="zh-CN"/>
                          </w:rPr>
                        </m:ctrlPr>
                      </m:sSubPr>
                      <m:e>
                        <m:r>
                          <m:rPr>
                            <m:nor/>
                          </m:rPr>
                          <w:rPr>
                            <w:i/>
                            <w:lang w:eastAsia="zh-CN"/>
                          </w:rPr>
                          <m:t>F</m:t>
                        </m:r>
                      </m:e>
                      <m:sub>
                        <w:proofErr w:type="spellStart"/>
                        <m:r>
                          <m:rPr>
                            <m:nor/>
                          </m:rPr>
                          <w:rPr>
                            <w:i/>
                            <w:lang w:eastAsia="zh-CN"/>
                          </w:rPr>
                          <m:t>rear→ground</m:t>
                        </m:r>
                        <w:proofErr w:type="spellEnd"/>
                      </m:sub>
                    </m:sSub>
                    <m:d>
                      <m:dPr>
                        <m:ctrlPr>
                          <w:rPr>
                            <w:rFonts w:ascii="Cambria Math" w:hAnsi="Cambria Math"/>
                            <w:i/>
                            <w:lang w:eastAsia="zh-CN"/>
                          </w:rPr>
                        </m:ctrlPr>
                      </m:dPr>
                      <m:e>
                        <m:sSubSup>
                          <m:sSubSupPr>
                            <m:ctrlPr>
                              <w:rPr>
                                <w:rFonts w:ascii="Cambria Math" w:hAnsi="Cambria Math"/>
                                <w:i/>
                                <w:lang w:eastAsia="zh-CN"/>
                              </w:rPr>
                            </m:ctrlPr>
                          </m:sSubSupPr>
                          <m:e>
                            <m:r>
                              <m:rPr>
                                <m:nor/>
                              </m:rPr>
                              <w:rPr>
                                <w:i/>
                                <w:lang w:eastAsia="zh-CN"/>
                              </w:rPr>
                              <m:t>T</m:t>
                            </m:r>
                          </m:e>
                          <m:sub>
                            <m:r>
                              <m:rPr>
                                <m:nor/>
                              </m:rPr>
                              <w:rPr>
                                <w:i/>
                                <w:lang w:eastAsia="zh-CN"/>
                              </w:rPr>
                              <m:t>ground</m:t>
                            </m:r>
                          </m:sub>
                          <m:sup>
                            <m:r>
                              <m:rPr>
                                <m:nor/>
                              </m:rPr>
                              <w:rPr>
                                <w:i/>
                                <w:lang w:eastAsia="zh-CN"/>
                              </w:rPr>
                              <m:t>4</m:t>
                            </m:r>
                          </m:sup>
                        </m:sSubSup>
                        <m:r>
                          <m:rPr>
                            <m:nor/>
                          </m:rPr>
                          <w:rPr>
                            <w:i/>
                            <w:lang w:eastAsia="zh-CN"/>
                          </w:rPr>
                          <m:t>-</m:t>
                        </m:r>
                        <m:sSubSup>
                          <m:sSubSupPr>
                            <m:ctrlPr>
                              <w:rPr>
                                <w:rFonts w:ascii="Cambria Math" w:hAnsi="Cambria Math"/>
                                <w:i/>
                                <w:lang w:eastAsia="zh-CN"/>
                              </w:rPr>
                            </m:ctrlPr>
                          </m:sSubSupPr>
                          <m:e>
                            <m:r>
                              <m:rPr>
                                <m:nor/>
                              </m:rPr>
                              <w:rPr>
                                <w:i/>
                                <w:lang w:eastAsia="zh-CN"/>
                              </w:rPr>
                              <m:t>T</m:t>
                            </m:r>
                          </m:e>
                          <m:sub>
                            <m:r>
                              <m:rPr>
                                <m:nor/>
                              </m:rPr>
                              <w:rPr>
                                <w:i/>
                                <w:lang w:eastAsia="zh-CN"/>
                              </w:rPr>
                              <m:t>rear</m:t>
                            </m:r>
                          </m:sub>
                          <m:sup>
                            <m:r>
                              <m:rPr>
                                <m:nor/>
                              </m:rPr>
                              <w:rPr>
                                <w:i/>
                                <w:lang w:eastAsia="zh-CN"/>
                              </w:rPr>
                              <m:t>4</m:t>
                            </m:r>
                          </m:sup>
                        </m:sSubSup>
                      </m:e>
                    </m:d>
                    <m:r>
                      <m:rPr>
                        <m:nor/>
                      </m:rPr>
                      <w:rPr>
                        <w:i/>
                        <w:lang w:eastAsia="zh-CN"/>
                      </w:rPr>
                      <m:t>+</m:t>
                    </m:r>
                    <m:sSub>
                      <m:sSubPr>
                        <m:ctrlPr>
                          <w:rPr>
                            <w:rFonts w:ascii="Cambria Math" w:hAnsi="Cambria Math"/>
                            <w:i/>
                            <w:lang w:eastAsia="zh-CN"/>
                          </w:rPr>
                        </m:ctrlPr>
                      </m:sSubPr>
                      <m:e>
                        <m:r>
                          <m:rPr>
                            <m:nor/>
                          </m:rPr>
                          <w:rPr>
                            <w:i/>
                            <w:lang w:eastAsia="zh-CN"/>
                          </w:rPr>
                          <m:t>F</m:t>
                        </m:r>
                      </m:e>
                      <m:sub>
                        <w:proofErr w:type="spellStart"/>
                        <m:r>
                          <m:rPr>
                            <m:nor/>
                          </m:rPr>
                          <w:rPr>
                            <w:i/>
                            <w:lang w:eastAsia="zh-CN"/>
                          </w:rPr>
                          <m:t>rear→roof</m:t>
                        </m:r>
                        <w:proofErr w:type="spellEnd"/>
                      </m:sub>
                    </m:sSub>
                    <m:d>
                      <m:dPr>
                        <m:ctrlPr>
                          <w:rPr>
                            <w:rFonts w:ascii="Cambria Math" w:hAnsi="Cambria Math"/>
                            <w:i/>
                            <w:lang w:eastAsia="zh-CN"/>
                          </w:rPr>
                        </m:ctrlPr>
                      </m:dPr>
                      <m:e>
                        <m:sSubSup>
                          <m:sSubSupPr>
                            <m:ctrlPr>
                              <w:rPr>
                                <w:rFonts w:ascii="Cambria Math" w:hAnsi="Cambria Math"/>
                                <w:i/>
                                <w:lang w:eastAsia="zh-CN"/>
                              </w:rPr>
                            </m:ctrlPr>
                          </m:sSubSupPr>
                          <m:e>
                            <m:r>
                              <m:rPr>
                                <m:nor/>
                              </m:rPr>
                              <w:rPr>
                                <w:i/>
                                <w:lang w:eastAsia="zh-CN"/>
                              </w:rPr>
                              <m:t>T</m:t>
                            </m:r>
                          </m:e>
                          <m:sub>
                            <w:proofErr w:type="spellStart"/>
                            <m:r>
                              <m:rPr>
                                <m:nor/>
                              </m:rPr>
                              <w:rPr>
                                <w:i/>
                                <w:lang w:eastAsia="zh-CN"/>
                              </w:rPr>
                              <m:t>roof,eq</m:t>
                            </m:r>
                            <w:proofErr w:type="spellEnd"/>
                          </m:sub>
                          <m:sup>
                            <m:r>
                              <m:rPr>
                                <m:nor/>
                              </m:rPr>
                              <w:rPr>
                                <w:i/>
                                <w:lang w:eastAsia="zh-CN"/>
                              </w:rPr>
                              <m:t>4</m:t>
                            </m:r>
                          </m:sup>
                        </m:sSubSup>
                        <m:r>
                          <m:rPr>
                            <m:nor/>
                          </m:rPr>
                          <w:rPr>
                            <w:i/>
                            <w:lang w:eastAsia="zh-CN"/>
                          </w:rPr>
                          <m:t>-</m:t>
                        </m:r>
                        <m:sSubSup>
                          <m:sSubSupPr>
                            <m:ctrlPr>
                              <w:rPr>
                                <w:rFonts w:ascii="Cambria Math" w:hAnsi="Cambria Math"/>
                                <w:i/>
                                <w:lang w:eastAsia="zh-CN"/>
                              </w:rPr>
                            </m:ctrlPr>
                          </m:sSubSupPr>
                          <m:e>
                            <m:r>
                              <m:rPr>
                                <m:nor/>
                              </m:rPr>
                              <w:rPr>
                                <w:i/>
                                <w:lang w:eastAsia="zh-CN"/>
                              </w:rPr>
                              <m:t>T</m:t>
                            </m:r>
                          </m:e>
                          <m:sub>
                            <m:r>
                              <m:rPr>
                                <m:nor/>
                              </m:rPr>
                              <w:rPr>
                                <w:i/>
                                <w:lang w:eastAsia="zh-CN"/>
                              </w:rPr>
                              <m:t>rear</m:t>
                            </m:r>
                          </m:sub>
                          <m:sup>
                            <m:r>
                              <m:rPr>
                                <m:nor/>
                              </m:rPr>
                              <w:rPr>
                                <w:i/>
                                <w:lang w:eastAsia="zh-CN"/>
                              </w:rPr>
                              <m:t>4</m:t>
                            </m:r>
                          </m:sup>
                        </m:sSubSup>
                      </m:e>
                    </m:d>
                  </m:e>
                </m:d>
              </m:oMath>
            </m:oMathPara>
          </w:p>
        </w:tc>
        <w:tc>
          <w:tcPr>
            <w:tcW w:w="688" w:type="dxa"/>
            <w:vAlign w:val="center"/>
          </w:tcPr>
          <w:p w14:paraId="65D41C70" w14:textId="77777777" w:rsidR="004A0643" w:rsidRPr="00E35D8F" w:rsidRDefault="004A0643" w:rsidP="003A221B">
            <w:pPr>
              <w:pStyle w:val="SWCText"/>
              <w:spacing w:beforeLines="50" w:before="120" w:afterLines="50"/>
              <w:rPr>
                <w:lang w:eastAsia="zh-CN"/>
              </w:rPr>
            </w:pPr>
            <w:r w:rsidRPr="00E35D8F">
              <w:rPr>
                <w:lang w:eastAsia="zh-CN"/>
              </w:rPr>
              <w:t>(eq.4)</w:t>
            </w:r>
          </w:p>
        </w:tc>
      </w:tr>
    </w:tbl>
    <w:p w14:paraId="47E2F123" w14:textId="54D26275" w:rsidR="007D1D03" w:rsidRPr="00E35D8F" w:rsidRDefault="00F06CFD" w:rsidP="005243AC">
      <w:pPr>
        <w:pStyle w:val="SWCText"/>
        <w:rPr>
          <w:lang w:eastAsia="zh-CN"/>
        </w:rPr>
      </w:pPr>
      <w:r w:rsidRPr="00E35D8F">
        <w:rPr>
          <w:lang w:eastAsia="zh-CN"/>
        </w:rPr>
        <w:t xml:space="preserve">where </w:t>
      </w:r>
      <m:oMath>
        <m:sSubSup>
          <m:sSubSupPr>
            <m:ctrlPr>
              <w:rPr>
                <w:rFonts w:ascii="Cambria Math" w:hAnsi="Cambria Math"/>
                <w:i/>
                <w:lang w:eastAsia="zh-CN"/>
              </w:rPr>
            </m:ctrlPr>
          </m:sSubSupPr>
          <m:e>
            <m:r>
              <m:rPr>
                <m:nor/>
              </m:rPr>
              <w:rPr>
                <w:i/>
                <w:lang w:eastAsia="zh-CN"/>
              </w:rPr>
              <m:t>q</m:t>
            </m:r>
          </m:e>
          <m:sub>
            <w:proofErr w:type="spellStart"/>
            <m:r>
              <m:rPr>
                <m:nor/>
              </m:rPr>
              <w:rPr>
                <w:i/>
                <w:lang w:eastAsia="zh-CN"/>
              </w:rPr>
              <m:t>LW,rear</m:t>
            </m:r>
            <m:r>
              <m:rPr>
                <m:nor/>
              </m:rPr>
              <w:rPr>
                <w:rFonts w:ascii="Cambria Math" w:hint="eastAsia"/>
                <w:i/>
                <w:lang w:eastAsia="zh-CN"/>
              </w:rPr>
              <m:t>,EP</m:t>
            </m:r>
            <w:proofErr w:type="spellEnd"/>
          </m:sub>
          <m:sup>
            <m:r>
              <m:rPr>
                <m:nor/>
              </m:rPr>
              <w:rPr>
                <w:i/>
                <w:lang w:eastAsia="zh-CN"/>
              </w:rPr>
              <m:t>''</m:t>
            </m:r>
          </m:sup>
        </m:sSubSup>
      </m:oMath>
      <w:r w:rsidRPr="00E35D8F">
        <w:rPr>
          <w:lang w:eastAsia="zh-CN"/>
        </w:rPr>
        <w:t xml:space="preserve">​ is </w:t>
      </w:r>
      <w:r w:rsidR="00231F93" w:rsidRPr="00231F93">
        <w:rPr>
          <w:lang w:val="de-DE" w:eastAsia="zh-CN"/>
        </w:rPr>
        <w:t>the EnergyPlus-side rear-surface longwave heat flux</w:t>
      </w:r>
      <w:r w:rsidRPr="00E35D8F">
        <w:rPr>
          <w:lang w:eastAsia="zh-CN"/>
        </w:rPr>
        <w:t>,</w:t>
      </w:r>
      <w:r w:rsidR="00231F93" w:rsidRPr="00231F93">
        <w:rPr>
          <w:rFonts w:ascii="Cambria Math" w:hAnsi="Cambria Math"/>
          <w:i/>
          <w:lang w:eastAsia="zh-CN"/>
        </w:rPr>
        <w:t xml:space="preserve"> </w:t>
      </w:r>
      <m:oMath>
        <m:sSub>
          <m:sSubPr>
            <m:ctrlPr>
              <w:rPr>
                <w:rFonts w:ascii="Cambria Math" w:hAnsi="Cambria Math"/>
                <w:i/>
                <w:lang w:eastAsia="zh-CN"/>
              </w:rPr>
            </m:ctrlPr>
          </m:sSubPr>
          <m:e>
            <m:r>
              <m:rPr>
                <m:nor/>
              </m:rPr>
              <w:rPr>
                <w:i/>
                <w:lang w:eastAsia="zh-CN"/>
              </w:rPr>
              <m:t>ε</m:t>
            </m:r>
          </m:e>
          <m:sub>
            <m:r>
              <m:rPr>
                <m:nor/>
              </m:rPr>
              <w:rPr>
                <w:i/>
                <w:lang w:eastAsia="zh-CN"/>
              </w:rPr>
              <m:t>rear</m:t>
            </m:r>
          </m:sub>
        </m:sSub>
      </m:oMath>
      <w:r w:rsidR="00D472FC">
        <w:rPr>
          <w:rFonts w:hint="eastAsia"/>
          <w:lang w:eastAsia="zh-CN"/>
        </w:rPr>
        <w:t xml:space="preserve">= 0.85 </w:t>
      </w:r>
      <w:r w:rsidR="00D472FC" w:rsidRPr="00D472FC">
        <w:rPr>
          <w:lang w:val="de-DE" w:eastAsia="zh-CN"/>
        </w:rPr>
        <w:t xml:space="preserve">is the rear-glass emissivity, </w:t>
      </w:r>
      <w:r w:rsidR="00D472FC">
        <w:rPr>
          <w:rFonts w:hint="eastAsia"/>
          <w:lang w:eastAsia="zh-CN"/>
        </w:rPr>
        <w:t>and</w:t>
      </w:r>
      <m:oMath>
        <m:r>
          <w:rPr>
            <w:rFonts w:ascii="Cambria Math" w:hAnsi="Cambria Math"/>
            <w:lang w:eastAsia="zh-CN"/>
          </w:rPr>
          <m:t xml:space="preserve"> </m:t>
        </m:r>
        <m:sSub>
          <m:sSubPr>
            <m:ctrlPr>
              <w:rPr>
                <w:rFonts w:ascii="Cambria Math" w:hAnsi="Cambria Math"/>
                <w:i/>
                <w:lang w:eastAsia="zh-CN"/>
              </w:rPr>
            </m:ctrlPr>
          </m:sSubPr>
          <m:e>
            <m:r>
              <m:rPr>
                <m:nor/>
              </m:rPr>
              <w:rPr>
                <w:rFonts w:ascii="Cambria Math"/>
                <w:i/>
                <w:lang w:eastAsia="zh-CN"/>
              </w:rPr>
              <m:t>T</m:t>
            </m:r>
          </m:e>
          <m:sub>
            <m:r>
              <m:rPr>
                <m:nor/>
              </m:rPr>
              <w:rPr>
                <w:rFonts w:ascii="Cambria Math"/>
                <w:i/>
                <w:lang w:eastAsia="zh-CN"/>
              </w:rPr>
              <m:t>rear</m:t>
            </m:r>
          </m:sub>
        </m:sSub>
      </m:oMath>
      <w:r w:rsidRPr="00E35D8F">
        <w:rPr>
          <w:lang w:eastAsia="zh-CN"/>
        </w:rPr>
        <w:t xml:space="preserve"> is the rear-</w:t>
      </w:r>
      <w:r w:rsidR="00D472FC">
        <w:rPr>
          <w:rFonts w:hint="eastAsia"/>
          <w:lang w:eastAsia="zh-CN"/>
        </w:rPr>
        <w:t>surface</w:t>
      </w:r>
      <w:r w:rsidRPr="00E35D8F">
        <w:rPr>
          <w:lang w:eastAsia="zh-CN"/>
        </w:rPr>
        <w:t xml:space="preserve"> temperature</w:t>
      </w:r>
      <w:r w:rsidR="00C30B2F">
        <w:rPr>
          <w:rFonts w:hint="eastAsia"/>
          <w:lang w:eastAsia="zh-CN"/>
        </w:rPr>
        <w:t>.</w:t>
      </w:r>
      <w:r w:rsidRPr="00E35D8F">
        <w:rPr>
          <w:lang w:eastAsia="zh-CN"/>
        </w:rPr>
        <w:t xml:space="preserve"> </w:t>
      </w:r>
      <w:r w:rsidR="00C30B2F">
        <w:rPr>
          <w:rFonts w:hint="eastAsia"/>
          <w:lang w:eastAsia="zh-CN"/>
        </w:rPr>
        <w:t>The terms</w:t>
      </w:r>
      <w:r w:rsidRPr="00E35D8F">
        <w:rPr>
          <w:lang w:eastAsia="zh-CN"/>
        </w:rPr>
        <w:t xml:space="preserve"> </w:t>
      </w:r>
      <m:oMath>
        <m:sSub>
          <m:sSubPr>
            <m:ctrlPr>
              <w:rPr>
                <w:rFonts w:ascii="Cambria Math" w:hAnsi="Cambria Math"/>
                <w:i/>
                <w:lang w:eastAsia="zh-CN"/>
              </w:rPr>
            </m:ctrlPr>
          </m:sSubPr>
          <m:e>
            <m:r>
              <m:rPr>
                <m:nor/>
              </m:rPr>
              <w:rPr>
                <w:i/>
                <w:lang w:eastAsia="zh-CN"/>
              </w:rPr>
              <m:t>F</m:t>
            </m:r>
          </m:e>
          <m:sub>
            <w:proofErr w:type="spellStart"/>
            <m:r>
              <m:rPr>
                <m:nor/>
              </m:rPr>
              <w:rPr>
                <w:i/>
                <w:lang w:eastAsia="zh-CN"/>
              </w:rPr>
              <m:t>rear→sky</m:t>
            </m:r>
            <w:proofErr w:type="spellEnd"/>
          </m:sub>
        </m:sSub>
      </m:oMath>
      <w:r w:rsidRPr="00E35D8F">
        <w:rPr>
          <w:lang w:eastAsia="zh-CN"/>
        </w:rPr>
        <w:t xml:space="preserve">​, </w:t>
      </w:r>
      <m:oMath>
        <m:sSub>
          <m:sSubPr>
            <m:ctrlPr>
              <w:rPr>
                <w:rFonts w:ascii="Cambria Math" w:hAnsi="Cambria Math"/>
                <w:i/>
                <w:lang w:eastAsia="zh-CN"/>
              </w:rPr>
            </m:ctrlPr>
          </m:sSubPr>
          <m:e>
            <m:r>
              <m:rPr>
                <m:nor/>
              </m:rPr>
              <w:rPr>
                <w:i/>
                <w:lang w:eastAsia="zh-CN"/>
              </w:rPr>
              <m:t>F</m:t>
            </m:r>
          </m:e>
          <m:sub>
            <w:proofErr w:type="spellStart"/>
            <m:r>
              <m:rPr>
                <m:nor/>
              </m:rPr>
              <w:rPr>
                <w:i/>
                <w:lang w:eastAsia="zh-CN"/>
              </w:rPr>
              <m:t>rear→ground</m:t>
            </m:r>
            <w:proofErr w:type="spellEnd"/>
          </m:sub>
        </m:sSub>
      </m:oMath>
      <w:r w:rsidRPr="00E35D8F">
        <w:rPr>
          <w:lang w:eastAsia="zh-CN"/>
        </w:rPr>
        <w:t xml:space="preserve">​, and </w:t>
      </w:r>
      <m:oMath>
        <m:sSub>
          <m:sSubPr>
            <m:ctrlPr>
              <w:rPr>
                <w:rFonts w:ascii="Cambria Math" w:hAnsi="Cambria Math"/>
                <w:i/>
                <w:lang w:eastAsia="zh-CN"/>
              </w:rPr>
            </m:ctrlPr>
          </m:sSubPr>
          <m:e>
            <m:r>
              <m:rPr>
                <m:nor/>
              </m:rPr>
              <w:rPr>
                <w:i/>
                <w:lang w:eastAsia="zh-CN"/>
              </w:rPr>
              <m:t>F</m:t>
            </m:r>
          </m:e>
          <m:sub>
            <w:proofErr w:type="spellStart"/>
            <m:r>
              <m:rPr>
                <m:nor/>
              </m:rPr>
              <w:rPr>
                <w:i/>
                <w:lang w:eastAsia="zh-CN"/>
              </w:rPr>
              <m:t>rear→roof</m:t>
            </m:r>
            <w:proofErr w:type="spellEnd"/>
          </m:sub>
        </m:sSub>
      </m:oMath>
      <w:r w:rsidRPr="00E35D8F">
        <w:rPr>
          <w:lang w:eastAsia="zh-CN"/>
        </w:rPr>
        <w:t>​ are the rear-side view factors to the sky, ground, and roof, respectively.</w:t>
      </w:r>
      <w:r w:rsidR="005243AC">
        <w:rPr>
          <w:rFonts w:hint="eastAsia"/>
          <w:lang w:eastAsia="zh-CN"/>
        </w:rPr>
        <w:t xml:space="preserve"> </w:t>
      </w:r>
      <w:r w:rsidR="005243AC" w:rsidRPr="005243AC">
        <w:rPr>
          <w:lang w:val="de-DE" w:eastAsia="zh-CN"/>
        </w:rPr>
        <w:t>EnergyPlus represented the rear-side radiative environment using row-specific sky, ground, and roof view factors, as shown in Eq. (4), whereas the Python thermal model used the corresponding equivalent rear-side radiative temperature</w:t>
      </w:r>
      <w:r w:rsidR="007D1D03" w:rsidRPr="007D1D03">
        <w:rPr>
          <w:lang w:val="de-DE" w:eastAsia="zh-CN"/>
        </w:rPr>
        <w:t>.</w:t>
      </w:r>
    </w:p>
    <w:p w14:paraId="40F8659E" w14:textId="77777777"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2.2.3. Bifacial PV electro-thermal model</w:t>
      </w:r>
    </w:p>
    <w:p w14:paraId="145F280E" w14:textId="629E6DCA" w:rsidR="00EE09F2" w:rsidRPr="00E35D8F" w:rsidRDefault="005C1E39" w:rsidP="00EE09F2">
      <w:pPr>
        <w:pStyle w:val="SWCText"/>
      </w:pPr>
      <w:r w:rsidRPr="005C1E39">
        <w:rPr>
          <w:lang w:val="de-DE"/>
        </w:rPr>
        <w:t>The bPV electro-thermal model was adapted from the five-parameter electrical model and five-node resistance–capacitance (RC) thermal network proposed by</w:t>
      </w:r>
      <w:r w:rsidR="00EE09F2" w:rsidRPr="00E35D8F">
        <w:t xml:space="preserve"> </w:t>
      </w:r>
      <w:r w:rsidR="00FE45CE" w:rsidRPr="00E35D8F">
        <w:fldChar w:fldCharType="begin"/>
      </w:r>
      <w:r w:rsidR="00043632">
        <w:instrText xml:space="preserve"> ADDIN ZOTERO_ITEM CSL_CITATION {"citationID":"RPm0qBgM","properties":{"unsorted":false,"formattedCitation":"(Gu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w:instrText>
      </w:r>
      <w:r w:rsidR="00043632">
        <w:rPr>
          <w:rFonts w:hint="eastAsia"/>
        </w:rPr>
        <w:instrText xml:space="preserve">iner-title":"Applied Energy","DOI":"10.1016/j.apenergy.2019.114075","ISSN":"03062619","journalAbbreviation":"Applied Energy","language":"en","note":"titleTranslation: </w:instrText>
      </w:r>
      <w:r w:rsidR="00043632">
        <w:rPr>
          <w:rFonts w:hint="eastAsia"/>
        </w:rPr>
        <w:instrText>双面光伏组件的光</w:instrText>
      </w:r>
      <w:r w:rsidR="00043632">
        <w:rPr>
          <w:rFonts w:hint="eastAsia"/>
        </w:rPr>
        <w:instrText>-</w:instrText>
      </w:r>
      <w:r w:rsidR="00043632">
        <w:rPr>
          <w:rFonts w:hint="eastAsia"/>
        </w:rPr>
        <w:instrText>电</w:instrText>
      </w:r>
      <w:r w:rsidR="00043632">
        <w:rPr>
          <w:rFonts w:hint="eastAsia"/>
        </w:rPr>
        <w:instrText>-</w:instrText>
      </w:r>
      <w:r w:rsidR="00043632">
        <w:rPr>
          <w:rFonts w:hint="eastAsia"/>
        </w:rPr>
        <w:instrText>热耦合模型</w:instrText>
      </w:r>
      <w:r w:rsidR="00043632">
        <w:rPr>
          <w:rFonts w:hint="eastAsia"/>
        </w:rPr>
        <w:instrText xml:space="preserve">\nabstractTranslation: </w:instrText>
      </w:r>
      <w:r w:rsidR="00043632">
        <w:rPr>
          <w:rFonts w:hint="eastAsia"/>
        </w:rPr>
        <w:instrText>双面光伏（</w:instrText>
      </w:r>
      <w:r w:rsidR="00043632">
        <w:rPr>
          <w:rFonts w:hint="eastAsia"/>
        </w:rPr>
        <w:instrText>PV</w:instrText>
      </w:r>
      <w:r w:rsidR="00043632">
        <w:rPr>
          <w:rFonts w:hint="eastAsia"/>
        </w:rPr>
        <w:instrText>）技术可同时从前后两面收集太阳光以实现高发电量，近年来已在全球市场盛行，但学术界对这一新技术的关注有限，尤其是多物理场仿真理论研究。本文建立了双面光伏组件的光</w:instrText>
      </w:r>
      <w:r w:rsidR="00043632">
        <w:rPr>
          <w:rFonts w:hint="eastAsia"/>
        </w:rPr>
        <w:instrText>-</w:instrText>
      </w:r>
      <w:r w:rsidR="00043632">
        <w:rPr>
          <w:rFonts w:hint="eastAsia"/>
        </w:rPr>
        <w:instrText>电</w:instrText>
      </w:r>
      <w:r w:rsidR="00043632">
        <w:rPr>
          <w:rFonts w:hint="eastAsia"/>
        </w:rPr>
        <w:instrText>-</w:instrText>
      </w:r>
      <w:r w:rsidR="00043632">
        <w:rPr>
          <w:rFonts w:hint="eastAsia"/>
        </w:rPr>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00043632">
        <w:rPr>
          <w:rFonts w:hint="eastAsia"/>
        </w:rPr>
        <w:instrText xml:space="preserve"> 25.58% </w:instrText>
      </w:r>
      <w:r w:rsidR="00043632">
        <w:rPr>
          <w:rFonts w:hint="eastAsia"/>
        </w:rPr>
        <w:instrText>和</w:instrText>
      </w:r>
      <w:r w:rsidR="00043632">
        <w:rPr>
          <w:rFonts w:hint="eastAsia"/>
        </w:rPr>
        <w:instrText xml:space="preserve"> 28.21%</w:instrText>
      </w:r>
      <w:r w:rsidR="00043632">
        <w:rPr>
          <w:rFonts w:hint="eastAsia"/>
        </w:rPr>
        <w:instrText>，香港和上海的年双面增益超过</w:instrText>
      </w:r>
      <w:r w:rsidR="00043632">
        <w:rPr>
          <w:rFonts w:hint="eastAsia"/>
        </w:rPr>
        <w:instrText xml:space="preserve"> 22%</w:instrText>
      </w:r>
      <w:r w:rsidR="00043632">
        <w:rPr>
          <w:rFonts w:hint="eastAsia"/>
        </w:rPr>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00043632">
        <w:rPr>
          <w:rFonts w:hint="eastAsia"/>
        </w:rPr>
        <w:instrText>","page":"114075","source":"DOI.org (Crossref)","title":"A coupled optical-electrical-thermal model of the bifacial photovoltaic modu</w:instrText>
      </w:r>
      <w:r w:rsidR="00043632">
        <w:instrText xml:space="preserve">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00FE45CE" w:rsidRPr="00E35D8F">
        <w:fldChar w:fldCharType="separate"/>
      </w:r>
      <w:r w:rsidR="00B40230" w:rsidRPr="00E35D8F">
        <w:t xml:space="preserve">Gu et al. </w:t>
      </w:r>
      <w:r w:rsidR="00B40230" w:rsidRPr="00E35D8F">
        <w:rPr>
          <w:lang w:eastAsia="zh-CN"/>
        </w:rPr>
        <w:t>(</w:t>
      </w:r>
      <w:r w:rsidR="00B40230" w:rsidRPr="00E35D8F">
        <w:t>2020)</w:t>
      </w:r>
      <w:r w:rsidR="00FE45CE" w:rsidRPr="00E35D8F">
        <w:fldChar w:fldCharType="end"/>
      </w:r>
      <w:r w:rsidR="00EE09F2" w:rsidRPr="00E35D8F">
        <w:t xml:space="preserve">. </w:t>
      </w:r>
      <w:r w:rsidR="0088189C" w:rsidRPr="0088189C">
        <w:rPr>
          <w:lang w:val="de-DE"/>
        </w:rPr>
        <w:t>EnergyPlus-calculated row-level irradiances replaced the original independent optical model, ensuring consistent treatment of building geometry, roof reflection, and row-to-row shading. Sub-module irradiance non-uniformity and the associated electrical mismatch losses were neglected</w:t>
      </w:r>
      <w:r w:rsidR="00D424CD" w:rsidRPr="00D424CD">
        <w:rPr>
          <w:lang w:val="de-DE"/>
        </w:rPr>
        <w:t>.</w:t>
      </w:r>
    </w:p>
    <w:p w14:paraId="219069C5" w14:textId="227AE3F9" w:rsidR="00EE09F2" w:rsidRPr="00E35D8F" w:rsidRDefault="00585718" w:rsidP="00EE09F2">
      <w:pPr>
        <w:pStyle w:val="SWCText"/>
      </w:pPr>
      <w:r w:rsidRPr="00585718">
        <w:t>The row-averaged front- and rear-side irradiances were converted into the equivalent irradiance of the bifacial module according to</w:t>
      </w:r>
      <w:r>
        <w:rPr>
          <w:rFonts w:hint="eastAsia"/>
          <w:lang w:eastAsia="zh-CN"/>
        </w:rPr>
        <w:t xml:space="preserve"> </w:t>
      </w:r>
      <w:r w:rsidRPr="00E35D8F">
        <w:fldChar w:fldCharType="begin"/>
      </w:r>
      <w:r w:rsidR="00EC75AE">
        <w:instrText xml:space="preserve"> ADDIN ZOTERO_ITEM CSL_CITATION {"citationID":"rK8Zobte","properties":{"unsorted":false,"formattedCitation":"(Gu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w:instrText>
      </w:r>
      <w:r w:rsidR="00EC75AE">
        <w:rPr>
          <w:rFonts w:hint="eastAsia"/>
        </w:rPr>
        <w:instrText xml:space="preserve">iner-title":"Applied Energy","DOI":"10.1016/j.apenergy.2019.114075","ISSN":"03062619","journalAbbreviation":"Applied Energy","language":"en","note":"titleTranslation: </w:instrText>
      </w:r>
      <w:r w:rsidR="00EC75AE">
        <w:rPr>
          <w:rFonts w:hint="eastAsia"/>
        </w:rPr>
        <w:instrText>双面光伏组件的光</w:instrText>
      </w:r>
      <w:r w:rsidR="00EC75AE">
        <w:rPr>
          <w:rFonts w:hint="eastAsia"/>
        </w:rPr>
        <w:instrText>-</w:instrText>
      </w:r>
      <w:r w:rsidR="00EC75AE">
        <w:rPr>
          <w:rFonts w:hint="eastAsia"/>
        </w:rPr>
        <w:instrText>电</w:instrText>
      </w:r>
      <w:r w:rsidR="00EC75AE">
        <w:rPr>
          <w:rFonts w:hint="eastAsia"/>
        </w:rPr>
        <w:instrText>-</w:instrText>
      </w:r>
      <w:r w:rsidR="00EC75AE">
        <w:rPr>
          <w:rFonts w:hint="eastAsia"/>
        </w:rPr>
        <w:instrText>热耦合模型</w:instrText>
      </w:r>
      <w:r w:rsidR="00EC75AE">
        <w:rPr>
          <w:rFonts w:hint="eastAsia"/>
        </w:rPr>
        <w:instrText xml:space="preserve">\nabstractTranslation: </w:instrText>
      </w:r>
      <w:r w:rsidR="00EC75AE">
        <w:rPr>
          <w:rFonts w:hint="eastAsia"/>
        </w:rPr>
        <w:instrText>双面光伏（</w:instrText>
      </w:r>
      <w:r w:rsidR="00EC75AE">
        <w:rPr>
          <w:rFonts w:hint="eastAsia"/>
        </w:rPr>
        <w:instrText>PV</w:instrText>
      </w:r>
      <w:r w:rsidR="00EC75AE">
        <w:rPr>
          <w:rFonts w:hint="eastAsia"/>
        </w:rPr>
        <w:instrText>）技术可同时从前后两面收集太阳光以实现高发电量，近年来已在全球市场盛行，但学术界对这一新技术的关注有限，尤其是多物理场仿真理论研究。本文建立了双面光伏组件的光</w:instrText>
      </w:r>
      <w:r w:rsidR="00EC75AE">
        <w:rPr>
          <w:rFonts w:hint="eastAsia"/>
        </w:rPr>
        <w:instrText>-</w:instrText>
      </w:r>
      <w:r w:rsidR="00EC75AE">
        <w:rPr>
          <w:rFonts w:hint="eastAsia"/>
        </w:rPr>
        <w:instrText>电</w:instrText>
      </w:r>
      <w:r w:rsidR="00EC75AE">
        <w:rPr>
          <w:rFonts w:hint="eastAsia"/>
        </w:rPr>
        <w:instrText>-</w:instrText>
      </w:r>
      <w:r w:rsidR="00EC75AE">
        <w:rPr>
          <w:rFonts w:hint="eastAsia"/>
        </w:rPr>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00EC75AE">
        <w:rPr>
          <w:rFonts w:hint="eastAsia"/>
        </w:rPr>
        <w:instrText xml:space="preserve"> 25.58% </w:instrText>
      </w:r>
      <w:r w:rsidR="00EC75AE">
        <w:rPr>
          <w:rFonts w:hint="eastAsia"/>
        </w:rPr>
        <w:instrText>和</w:instrText>
      </w:r>
      <w:r w:rsidR="00EC75AE">
        <w:rPr>
          <w:rFonts w:hint="eastAsia"/>
        </w:rPr>
        <w:instrText xml:space="preserve"> 28.21%</w:instrText>
      </w:r>
      <w:r w:rsidR="00EC75AE">
        <w:rPr>
          <w:rFonts w:hint="eastAsia"/>
        </w:rPr>
        <w:instrText>，香港和上海的年双面增益超过</w:instrText>
      </w:r>
      <w:r w:rsidR="00EC75AE">
        <w:rPr>
          <w:rFonts w:hint="eastAsia"/>
        </w:rPr>
        <w:instrText xml:space="preserve"> 22%</w:instrText>
      </w:r>
      <w:r w:rsidR="00EC75AE">
        <w:rPr>
          <w:rFonts w:hint="eastAsia"/>
        </w:rPr>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00EC75AE">
        <w:rPr>
          <w:rFonts w:hint="eastAsia"/>
        </w:rPr>
        <w:instrText>","page":"114075","source":"DOI.org (Crossref)","title":"A coupled optical-electrical-thermal model of the bifacial photovoltaic modu</w:instrText>
      </w:r>
      <w:r w:rsidR="00EC75AE">
        <w:instrText xml:space="preserve">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Pr="00E35D8F">
        <w:fldChar w:fldCharType="separate"/>
      </w:r>
      <w:r w:rsidRPr="00E35D8F">
        <w:t xml:space="preserve">Gu et al. </w:t>
      </w:r>
      <w:r w:rsidRPr="00E35D8F">
        <w:rPr>
          <w:lang w:eastAsia="zh-CN"/>
        </w:rPr>
        <w:t>(</w:t>
      </w:r>
      <w:r w:rsidRPr="00E35D8F">
        <w:t>2020)</w:t>
      </w:r>
      <w:r w:rsidRPr="00E35D8F">
        <w:fldChar w:fldCharType="end"/>
      </w:r>
      <w:r w:rsidR="00887CF6" w:rsidRPr="00887CF6">
        <w:t>,</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9"/>
        <w:gridCol w:w="688"/>
      </w:tblGrid>
      <w:tr w:rsidR="005924EB" w:rsidRPr="00E35D8F" w14:paraId="581C0BCB" w14:textId="77777777" w:rsidTr="003A221B">
        <w:trPr>
          <w:jc w:val="center"/>
        </w:trPr>
        <w:tc>
          <w:tcPr>
            <w:tcW w:w="8069" w:type="dxa"/>
            <w:vAlign w:val="center"/>
          </w:tcPr>
          <w:p w14:paraId="3C366563" w14:textId="77777777" w:rsidR="005924EB" w:rsidRPr="00E35D8F" w:rsidRDefault="009030AC" w:rsidP="003A221B">
            <w:pPr>
              <w:pStyle w:val="SWCText"/>
              <w:spacing w:after="0"/>
              <w:rPr>
                <w:i/>
                <w:lang w:eastAsia="zh-CN"/>
              </w:rPr>
            </w:pPr>
            <m:oMathPara>
              <m:oMath>
                <m:sSub>
                  <m:sSubPr>
                    <m:ctrlPr>
                      <w:rPr>
                        <w:rFonts w:ascii="Cambria Math" w:hAnsi="Cambria Math"/>
                        <w:i/>
                        <w:lang w:eastAsia="zh-CN"/>
                      </w:rPr>
                    </m:ctrlPr>
                  </m:sSubPr>
                  <m:e>
                    <m:r>
                      <m:rPr>
                        <m:nor/>
                      </m:rPr>
                      <w:rPr>
                        <w:i/>
                        <w:lang w:eastAsia="zh-CN"/>
                      </w:rPr>
                      <m:t>G</m:t>
                    </m:r>
                  </m:e>
                  <m:sub>
                    <m:r>
                      <m:rPr>
                        <m:nor/>
                      </m:rPr>
                      <w:rPr>
                        <w:i/>
                        <w:lang w:eastAsia="zh-CN"/>
                      </w:rPr>
                      <m:t>eq</m:t>
                    </m:r>
                  </m:sub>
                </m:sSub>
                <m:r>
                  <m:rPr>
                    <m:nor/>
                  </m:rPr>
                  <w:rPr>
                    <w:i/>
                    <w:lang w:eastAsia="zh-CN"/>
                  </w:rPr>
                  <m:t>=</m:t>
                </m:r>
                <m:sSub>
                  <m:sSubPr>
                    <m:ctrlPr>
                      <w:rPr>
                        <w:rFonts w:ascii="Cambria Math" w:hAnsi="Cambria Math"/>
                        <w:i/>
                        <w:lang w:eastAsia="zh-CN"/>
                      </w:rPr>
                    </m:ctrlPr>
                  </m:sSubPr>
                  <m:e>
                    <m:r>
                      <m:rPr>
                        <m:nor/>
                      </m:rPr>
                      <w:rPr>
                        <w:i/>
                        <w:lang w:eastAsia="zh-CN"/>
                      </w:rPr>
                      <m:t>G</m:t>
                    </m:r>
                  </m:e>
                  <m:sub>
                    <m:r>
                      <m:rPr>
                        <m:nor/>
                      </m:rPr>
                      <w:rPr>
                        <w:i/>
                        <w:lang w:eastAsia="zh-CN"/>
                      </w:rPr>
                      <m:t>f</m:t>
                    </m:r>
                  </m:sub>
                </m:sSub>
                <m:r>
                  <m:rPr>
                    <m:nor/>
                  </m:rPr>
                  <w:rPr>
                    <w:i/>
                    <w:lang w:eastAsia="zh-CN"/>
                  </w:rPr>
                  <m:t>+φ</m:t>
                </m:r>
                <m:sSub>
                  <m:sSubPr>
                    <m:ctrlPr>
                      <w:rPr>
                        <w:rFonts w:ascii="Cambria Math" w:hAnsi="Cambria Math"/>
                        <w:i/>
                        <w:lang w:eastAsia="zh-CN"/>
                      </w:rPr>
                    </m:ctrlPr>
                  </m:sSubPr>
                  <m:e>
                    <m:r>
                      <m:rPr>
                        <m:nor/>
                      </m:rPr>
                      <w:rPr>
                        <w:i/>
                        <w:lang w:eastAsia="zh-CN"/>
                      </w:rPr>
                      <m:t>G</m:t>
                    </m:r>
                  </m:e>
                  <m:sub>
                    <m:r>
                      <m:rPr>
                        <m:nor/>
                      </m:rPr>
                      <w:rPr>
                        <w:i/>
                        <w:lang w:eastAsia="zh-CN"/>
                      </w:rPr>
                      <m:t>r</m:t>
                    </m:r>
                  </m:sub>
                </m:sSub>
              </m:oMath>
            </m:oMathPara>
          </w:p>
        </w:tc>
        <w:tc>
          <w:tcPr>
            <w:tcW w:w="688" w:type="dxa"/>
            <w:vAlign w:val="center"/>
          </w:tcPr>
          <w:p w14:paraId="0DDC50FF" w14:textId="77777777" w:rsidR="005924EB" w:rsidRPr="00E35D8F" w:rsidRDefault="005924EB" w:rsidP="003A221B">
            <w:pPr>
              <w:pStyle w:val="SWCText"/>
              <w:spacing w:after="0"/>
              <w:rPr>
                <w:lang w:eastAsia="zh-CN"/>
              </w:rPr>
            </w:pPr>
            <w:r w:rsidRPr="00E35D8F">
              <w:rPr>
                <w:lang w:eastAsia="zh-CN"/>
              </w:rPr>
              <w:t>(eq.5)</w:t>
            </w:r>
          </w:p>
        </w:tc>
      </w:tr>
    </w:tbl>
    <w:p w14:paraId="46FD5DB0" w14:textId="18F3B157" w:rsidR="005924EB" w:rsidRDefault="005924EB" w:rsidP="00EE09F2">
      <w:pPr>
        <w:pStyle w:val="SWCText"/>
        <w:rPr>
          <w:lang w:eastAsia="zh-CN"/>
        </w:rPr>
      </w:pPr>
      <w:r w:rsidRPr="00E35D8F">
        <w:rPr>
          <w:lang w:eastAsia="zh-CN"/>
        </w:rPr>
        <w:t>where</w:t>
      </w:r>
      <m:oMath>
        <m:sSub>
          <m:sSubPr>
            <m:ctrlPr>
              <w:rPr>
                <w:rFonts w:ascii="Cambria Math" w:hAnsi="Cambria Math"/>
                <w:i/>
                <w:lang w:eastAsia="zh-CN"/>
              </w:rPr>
            </m:ctrlPr>
          </m:sSubPr>
          <m:e>
            <m:r>
              <m:rPr>
                <m:nor/>
              </m:rPr>
              <w:rPr>
                <w:rFonts w:ascii="Cambria Math"/>
                <w:i/>
                <w:lang w:eastAsia="zh-CN"/>
              </w:rPr>
              <m:t xml:space="preserve"> </m:t>
            </m:r>
            <m:r>
              <m:rPr>
                <m:nor/>
              </m:rPr>
              <w:rPr>
                <w:i/>
                <w:lang w:eastAsia="zh-CN"/>
              </w:rPr>
              <m:t>G</m:t>
            </m:r>
          </m:e>
          <m:sub>
            <m:r>
              <m:rPr>
                <m:nor/>
              </m:rPr>
              <w:rPr>
                <w:i/>
                <w:lang w:eastAsia="zh-CN"/>
              </w:rPr>
              <m:t>eq</m:t>
            </m:r>
          </m:sub>
        </m:sSub>
      </m:oMath>
      <w:r w:rsidRPr="00E35D8F">
        <w:rPr>
          <w:lang w:eastAsia="zh-CN"/>
        </w:rPr>
        <w:t xml:space="preserve">​ is the equivalent bifacial irradiance, </w:t>
      </w:r>
      <m:oMath>
        <m:sSub>
          <m:sSubPr>
            <m:ctrlPr>
              <w:rPr>
                <w:rFonts w:ascii="Cambria Math" w:hAnsi="Cambria Math"/>
                <w:i/>
                <w:lang w:eastAsia="zh-CN"/>
              </w:rPr>
            </m:ctrlPr>
          </m:sSubPr>
          <m:e>
            <m:r>
              <m:rPr>
                <m:nor/>
              </m:rPr>
              <w:rPr>
                <w:i/>
                <w:lang w:eastAsia="zh-CN"/>
              </w:rPr>
              <m:t>G</m:t>
            </m:r>
          </m:e>
          <m:sub>
            <m:r>
              <m:rPr>
                <m:nor/>
              </m:rPr>
              <w:rPr>
                <w:i/>
                <w:lang w:eastAsia="zh-CN"/>
              </w:rPr>
              <m:t>f</m:t>
            </m:r>
          </m:sub>
        </m:sSub>
      </m:oMath>
      <w:r w:rsidRPr="00E35D8F">
        <w:rPr>
          <w:lang w:eastAsia="zh-CN"/>
        </w:rPr>
        <w:t xml:space="preserve">​ and </w:t>
      </w:r>
      <m:oMath>
        <m:sSub>
          <m:sSubPr>
            <m:ctrlPr>
              <w:rPr>
                <w:rFonts w:ascii="Cambria Math" w:hAnsi="Cambria Math"/>
                <w:i/>
                <w:lang w:eastAsia="zh-CN"/>
              </w:rPr>
            </m:ctrlPr>
          </m:sSubPr>
          <m:e>
            <m:r>
              <m:rPr>
                <m:nor/>
              </m:rPr>
              <w:rPr>
                <w:i/>
                <w:lang w:eastAsia="zh-CN"/>
              </w:rPr>
              <m:t>G</m:t>
            </m:r>
          </m:e>
          <m:sub>
            <m:r>
              <m:rPr>
                <m:nor/>
              </m:rPr>
              <w:rPr>
                <w:i/>
                <w:lang w:eastAsia="zh-CN"/>
              </w:rPr>
              <m:t>r</m:t>
            </m:r>
          </m:sub>
        </m:sSub>
      </m:oMath>
      <w:r w:rsidRPr="00E35D8F">
        <w:rPr>
          <w:lang w:eastAsia="zh-CN"/>
        </w:rPr>
        <w:t xml:space="preserve">​ are the </w:t>
      </w:r>
      <w:proofErr w:type="spellStart"/>
      <w:r w:rsidR="008D49C7" w:rsidRPr="008D49C7">
        <w:rPr>
          <w:lang w:eastAsia="zh-CN"/>
        </w:rPr>
        <w:t>EnergyPlus</w:t>
      </w:r>
      <w:proofErr w:type="spellEnd"/>
      <w:r w:rsidR="008D49C7" w:rsidRPr="008D49C7">
        <w:rPr>
          <w:lang w:eastAsia="zh-CN"/>
        </w:rPr>
        <w:t xml:space="preserve">-calculated front- and rear-side irradiances, respectively, and </w:t>
      </w:r>
      <w:r w:rsidR="008D49C7" w:rsidRPr="008D49C7">
        <w:rPr>
          <w:i/>
          <w:iCs/>
          <w:lang w:eastAsia="zh-CN"/>
        </w:rPr>
        <w:t>φ</w:t>
      </w:r>
      <w:r w:rsidR="008D49C7">
        <w:rPr>
          <w:rFonts w:hint="eastAsia"/>
          <w:lang w:eastAsia="zh-CN"/>
        </w:rPr>
        <w:t xml:space="preserve"> </w:t>
      </w:r>
      <w:r w:rsidR="008D49C7" w:rsidRPr="008D49C7">
        <w:rPr>
          <w:lang w:eastAsia="zh-CN"/>
        </w:rPr>
        <w:t>=</w:t>
      </w:r>
      <w:r w:rsidR="008D49C7">
        <w:rPr>
          <w:rFonts w:hint="eastAsia"/>
          <w:lang w:eastAsia="zh-CN"/>
        </w:rPr>
        <w:t xml:space="preserve"> </w:t>
      </w:r>
      <w:r w:rsidR="008D49C7" w:rsidRPr="008D49C7">
        <w:rPr>
          <w:lang w:eastAsia="zh-CN"/>
        </w:rPr>
        <w:t xml:space="preserve">0.70 is the nominal </w:t>
      </w:r>
      <w:proofErr w:type="spellStart"/>
      <w:r w:rsidR="008D49C7" w:rsidRPr="008D49C7">
        <w:rPr>
          <w:lang w:eastAsia="zh-CN"/>
        </w:rPr>
        <w:t>bifaciality</w:t>
      </w:r>
      <w:proofErr w:type="spellEnd"/>
      <w:r w:rsidR="008D49C7" w:rsidRPr="008D49C7">
        <w:rPr>
          <w:lang w:eastAsia="zh-CN"/>
        </w:rPr>
        <w:t xml:space="preserve"> factor of the selected </w:t>
      </w:r>
      <w:proofErr w:type="spellStart"/>
      <w:r w:rsidR="008D49C7" w:rsidRPr="008D49C7">
        <w:rPr>
          <w:lang w:eastAsia="zh-CN"/>
        </w:rPr>
        <w:t>LONGi</w:t>
      </w:r>
      <w:proofErr w:type="spellEnd"/>
      <w:r w:rsidR="008D49C7" w:rsidRPr="008D49C7">
        <w:rPr>
          <w:lang w:eastAsia="zh-CN"/>
        </w:rPr>
        <w:t xml:space="preserve"> Hi-MO 9 module.</w:t>
      </w:r>
    </w:p>
    <w:p w14:paraId="365A0C54" w14:textId="7E5A814E" w:rsidR="002362DE" w:rsidRPr="00E35D8F" w:rsidRDefault="001F6BFB" w:rsidP="00EE09F2">
      <w:pPr>
        <w:pStyle w:val="SWCText"/>
        <w:rPr>
          <w:lang w:eastAsia="zh-CN"/>
        </w:rPr>
      </w:pPr>
      <w:r w:rsidRPr="001F6BFB">
        <w:rPr>
          <w:lang w:val="de-DE" w:eastAsia="zh-CN"/>
        </w:rPr>
        <w:t>The electrical output was calculated using the five-parameter single-diode model adapted from</w:t>
      </w:r>
      <w:r>
        <w:rPr>
          <w:rFonts w:hint="eastAsia"/>
          <w:lang w:val="de-DE" w:eastAsia="zh-CN"/>
        </w:rPr>
        <w:t xml:space="preserve"> </w:t>
      </w:r>
      <w:r w:rsidRPr="00E35D8F">
        <w:fldChar w:fldCharType="begin"/>
      </w:r>
      <w:r w:rsidR="00EC75AE">
        <w:instrText xml:space="preserve"> ADDIN ZOTERO_ITEM CSL_CITATION {"citationID":"QSrj4Ijt","properties":{"unsorted":false,"formattedCitation":"(Gu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w:instrText>
      </w:r>
      <w:r w:rsidR="00EC75AE">
        <w:rPr>
          <w:rFonts w:hint="eastAsia"/>
        </w:rPr>
        <w:instrText xml:space="preserve">iner-title":"Applied Energy","DOI":"10.1016/j.apenergy.2019.114075","ISSN":"03062619","journalAbbreviation":"Applied Energy","language":"en","note":"titleTranslation: </w:instrText>
      </w:r>
      <w:r w:rsidR="00EC75AE">
        <w:rPr>
          <w:rFonts w:hint="eastAsia"/>
        </w:rPr>
        <w:instrText>双面光伏组件的光</w:instrText>
      </w:r>
      <w:r w:rsidR="00EC75AE">
        <w:rPr>
          <w:rFonts w:hint="eastAsia"/>
        </w:rPr>
        <w:instrText>-</w:instrText>
      </w:r>
      <w:r w:rsidR="00EC75AE">
        <w:rPr>
          <w:rFonts w:hint="eastAsia"/>
        </w:rPr>
        <w:instrText>电</w:instrText>
      </w:r>
      <w:r w:rsidR="00EC75AE">
        <w:rPr>
          <w:rFonts w:hint="eastAsia"/>
        </w:rPr>
        <w:instrText>-</w:instrText>
      </w:r>
      <w:r w:rsidR="00EC75AE">
        <w:rPr>
          <w:rFonts w:hint="eastAsia"/>
        </w:rPr>
        <w:instrText>热耦合模型</w:instrText>
      </w:r>
      <w:r w:rsidR="00EC75AE">
        <w:rPr>
          <w:rFonts w:hint="eastAsia"/>
        </w:rPr>
        <w:instrText xml:space="preserve">\nabstractTranslation: </w:instrText>
      </w:r>
      <w:r w:rsidR="00EC75AE">
        <w:rPr>
          <w:rFonts w:hint="eastAsia"/>
        </w:rPr>
        <w:instrText>双面光伏（</w:instrText>
      </w:r>
      <w:r w:rsidR="00EC75AE">
        <w:rPr>
          <w:rFonts w:hint="eastAsia"/>
        </w:rPr>
        <w:instrText>PV</w:instrText>
      </w:r>
      <w:r w:rsidR="00EC75AE">
        <w:rPr>
          <w:rFonts w:hint="eastAsia"/>
        </w:rPr>
        <w:instrText>）技术可同时从前后两面收集太阳光以实现高发电量，近年来已在全球市场盛行，但学术界对这一新技术的关注有限，尤其是多物理场仿真理论研究。本文建立了双面光伏组件的光</w:instrText>
      </w:r>
      <w:r w:rsidR="00EC75AE">
        <w:rPr>
          <w:rFonts w:hint="eastAsia"/>
        </w:rPr>
        <w:instrText>-</w:instrText>
      </w:r>
      <w:r w:rsidR="00EC75AE">
        <w:rPr>
          <w:rFonts w:hint="eastAsia"/>
        </w:rPr>
        <w:instrText>电</w:instrText>
      </w:r>
      <w:r w:rsidR="00EC75AE">
        <w:rPr>
          <w:rFonts w:hint="eastAsia"/>
        </w:rPr>
        <w:instrText>-</w:instrText>
      </w:r>
      <w:r w:rsidR="00EC75AE">
        <w:rPr>
          <w:rFonts w:hint="eastAsia"/>
        </w:rPr>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00EC75AE">
        <w:rPr>
          <w:rFonts w:hint="eastAsia"/>
        </w:rPr>
        <w:instrText xml:space="preserve"> 25.58% </w:instrText>
      </w:r>
      <w:r w:rsidR="00EC75AE">
        <w:rPr>
          <w:rFonts w:hint="eastAsia"/>
        </w:rPr>
        <w:instrText>和</w:instrText>
      </w:r>
      <w:r w:rsidR="00EC75AE">
        <w:rPr>
          <w:rFonts w:hint="eastAsia"/>
        </w:rPr>
        <w:instrText xml:space="preserve"> 28.21%</w:instrText>
      </w:r>
      <w:r w:rsidR="00EC75AE">
        <w:rPr>
          <w:rFonts w:hint="eastAsia"/>
        </w:rPr>
        <w:instrText>，香港和上海的年双面增益超过</w:instrText>
      </w:r>
      <w:r w:rsidR="00EC75AE">
        <w:rPr>
          <w:rFonts w:hint="eastAsia"/>
        </w:rPr>
        <w:instrText xml:space="preserve"> 22%</w:instrText>
      </w:r>
      <w:r w:rsidR="00EC75AE">
        <w:rPr>
          <w:rFonts w:hint="eastAsia"/>
        </w:rPr>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00EC75AE">
        <w:rPr>
          <w:rFonts w:hint="eastAsia"/>
        </w:rPr>
        <w:instrText>","page":"114075","source":"DOI.org (Crossref)","title":"A coupled optical-electrical-thermal model of the bifacial photovoltaic modu</w:instrText>
      </w:r>
      <w:r w:rsidR="00EC75AE">
        <w:instrText xml:space="preserve">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Pr="00E35D8F">
        <w:fldChar w:fldCharType="separate"/>
      </w:r>
      <w:r w:rsidRPr="00E35D8F">
        <w:t xml:space="preserve">Gu et al. </w:t>
      </w:r>
      <w:r w:rsidRPr="00E35D8F">
        <w:rPr>
          <w:lang w:eastAsia="zh-CN"/>
        </w:rPr>
        <w:t>(</w:t>
      </w:r>
      <w:r w:rsidRPr="00E35D8F">
        <w:t>2020)</w:t>
      </w:r>
      <w:r w:rsidRPr="00E35D8F">
        <w:fldChar w:fldCharType="end"/>
      </w:r>
      <w:r w:rsidR="002362DE" w:rsidRPr="002362DE">
        <w:rPr>
          <w:lang w:val="de-DE" w:eastAsia="zh-CN"/>
        </w:rPr>
        <w:t>,</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9"/>
        <w:gridCol w:w="688"/>
      </w:tblGrid>
      <w:tr w:rsidR="000D04C9" w:rsidRPr="00E35D8F" w14:paraId="7733B674" w14:textId="77777777" w:rsidTr="00F36DA6">
        <w:trPr>
          <w:jc w:val="center"/>
        </w:trPr>
        <w:tc>
          <w:tcPr>
            <w:tcW w:w="8079" w:type="dxa"/>
            <w:vAlign w:val="center"/>
          </w:tcPr>
          <w:p w14:paraId="00FFF4D8" w14:textId="77777777" w:rsidR="00EE026F" w:rsidRPr="000D04C9" w:rsidRDefault="002F7358" w:rsidP="00D03ED9">
            <w:pPr>
              <w:pStyle w:val="SWCText"/>
              <w:spacing w:beforeLines="50" w:before="120" w:afterLines="50"/>
              <w:rPr>
                <w:rFonts w:eastAsia="宋体"/>
                <w:i/>
                <w:iCs/>
                <w:lang w:eastAsia="zh-CN"/>
              </w:rPr>
            </w:pPr>
            <m:oMathPara>
              <m:oMath>
                <m:r>
                  <w:rPr>
                    <w:rFonts w:ascii="Cambria Math" w:hAnsi="Cambria Math"/>
                    <w:lang w:eastAsia="zh-CN"/>
                  </w:rPr>
                  <m:t>I</m:t>
                </m:r>
                <m:r>
                  <m:rPr>
                    <m:nor/>
                  </m:rPr>
                  <w:rPr>
                    <w:i/>
                    <w:iCs/>
                    <w:lang w:eastAsia="zh-CN"/>
                  </w:rPr>
                  <m:t>=</m:t>
                </m:r>
                <m:sSub>
                  <m:sSubPr>
                    <m:ctrlPr>
                      <w:rPr>
                        <w:rFonts w:ascii="Cambria Math" w:hAnsi="Cambria Math"/>
                        <w:i/>
                        <w:iCs/>
                        <w:lang w:eastAsia="zh-CN"/>
                      </w:rPr>
                    </m:ctrlPr>
                  </m:sSubPr>
                  <m:e>
                    <m:r>
                      <m:rPr>
                        <m:nor/>
                      </m:rPr>
                      <w:rPr>
                        <w:i/>
                        <w:iCs/>
                        <w:lang w:eastAsia="zh-CN"/>
                      </w:rPr>
                      <m:t>I</m:t>
                    </m:r>
                  </m:e>
                  <m:sub>
                    <w:proofErr w:type="spellStart"/>
                    <m:r>
                      <m:rPr>
                        <m:nor/>
                      </m:rPr>
                      <w:rPr>
                        <w:i/>
                        <w:iCs/>
                        <w:lang w:eastAsia="zh-CN"/>
                      </w:rPr>
                      <m:t>ph</m:t>
                    </m:r>
                    <w:proofErr w:type="spellEnd"/>
                  </m:sub>
                </m:sSub>
                <m:r>
                  <m:rPr>
                    <m:nor/>
                  </m:rPr>
                  <w:rPr>
                    <w:i/>
                    <w:iCs/>
                    <w:lang w:eastAsia="zh-CN"/>
                  </w:rPr>
                  <m:t>-</m:t>
                </m:r>
                <m:sSub>
                  <m:sSubPr>
                    <m:ctrlPr>
                      <w:rPr>
                        <w:rFonts w:ascii="Cambria Math" w:hAnsi="Cambria Math"/>
                        <w:i/>
                        <w:iCs/>
                        <w:lang w:eastAsia="zh-CN"/>
                      </w:rPr>
                    </m:ctrlPr>
                  </m:sSubPr>
                  <m:e>
                    <m:r>
                      <m:rPr>
                        <m:nor/>
                      </m:rPr>
                      <w:rPr>
                        <w:i/>
                        <w:iCs/>
                        <w:lang w:eastAsia="zh-CN"/>
                      </w:rPr>
                      <m:t>I</m:t>
                    </m:r>
                  </m:e>
                  <m:sub>
                    <m:r>
                      <m:rPr>
                        <m:nor/>
                      </m:rPr>
                      <w:rPr>
                        <w:i/>
                        <w:iCs/>
                        <w:lang w:eastAsia="zh-CN"/>
                      </w:rPr>
                      <m:t>0</m:t>
                    </m:r>
                  </m:sub>
                </m:sSub>
                <m:d>
                  <m:dPr>
                    <m:begChr m:val="["/>
                    <m:endChr m:val="]"/>
                    <m:ctrlPr>
                      <w:rPr>
                        <w:rFonts w:ascii="Cambria Math" w:hAnsi="Cambria Math"/>
                        <w:i/>
                        <w:iCs/>
                        <w:lang w:eastAsia="zh-CN"/>
                      </w:rPr>
                    </m:ctrlPr>
                  </m:dPr>
                  <m:e>
                    <m:r>
                      <m:rPr>
                        <m:nor/>
                      </m:rPr>
                      <w:rPr>
                        <w:i/>
                        <w:iCs/>
                        <w:lang w:eastAsia="zh-CN"/>
                      </w:rPr>
                      <m:t>exp</m:t>
                    </m:r>
                    <m:d>
                      <m:dPr>
                        <m:ctrlPr>
                          <w:rPr>
                            <w:rFonts w:ascii="Cambria Math" w:hAnsi="Cambria Math"/>
                            <w:i/>
                            <w:iCs/>
                            <w:lang w:eastAsia="zh-CN"/>
                          </w:rPr>
                        </m:ctrlPr>
                      </m:dPr>
                      <m:e>
                        <m:f>
                          <m:fPr>
                            <m:ctrlPr>
                              <w:rPr>
                                <w:rFonts w:ascii="Cambria Math" w:hAnsi="Cambria Math"/>
                                <w:i/>
                                <w:iCs/>
                                <w:lang w:eastAsia="zh-CN"/>
                              </w:rPr>
                            </m:ctrlPr>
                          </m:fPr>
                          <m:num>
                            <m:f>
                              <m:fPr>
                                <m:type m:val="lin"/>
                                <m:ctrlPr>
                                  <w:rPr>
                                    <w:rFonts w:ascii="Cambria Math" w:hAnsi="Cambria Math"/>
                                    <w:i/>
                                    <w:iCs/>
                                    <w:lang w:eastAsia="zh-CN"/>
                                  </w:rPr>
                                </m:ctrlPr>
                              </m:fPr>
                              <m:num>
                                <m:r>
                                  <m:rPr>
                                    <m:nor/>
                                  </m:rPr>
                                  <w:rPr>
                                    <w:i/>
                                    <w:iCs/>
                                    <w:lang w:eastAsia="zh-CN"/>
                                  </w:rPr>
                                  <m:t>V</m:t>
                                </m:r>
                              </m:num>
                              <m:den>
                                <m:sSub>
                                  <m:sSubPr>
                                    <m:ctrlPr>
                                      <w:rPr>
                                        <w:rFonts w:ascii="Cambria Math" w:hAnsi="Cambria Math"/>
                                        <w:i/>
                                        <w:iCs/>
                                        <w:lang w:eastAsia="zh-CN"/>
                                      </w:rPr>
                                    </m:ctrlPr>
                                  </m:sSubPr>
                                  <m:e>
                                    <m:r>
                                      <m:rPr>
                                        <m:nor/>
                                      </m:rPr>
                                      <w:rPr>
                                        <w:i/>
                                        <w:iCs/>
                                        <w:lang w:eastAsia="zh-CN"/>
                                      </w:rPr>
                                      <m:t>N</m:t>
                                    </m:r>
                                  </m:e>
                                  <m:sub>
                                    <m:r>
                                      <m:rPr>
                                        <m:nor/>
                                      </m:rPr>
                                      <w:rPr>
                                        <w:i/>
                                        <w:iCs/>
                                        <w:lang w:eastAsia="zh-CN"/>
                                      </w:rPr>
                                      <m:t>s</m:t>
                                    </m:r>
                                  </m:sub>
                                </m:sSub>
                                <m:r>
                                  <m:rPr>
                                    <m:nor/>
                                  </m:rPr>
                                  <w:rPr>
                                    <w:i/>
                                    <w:iCs/>
                                    <w:lang w:eastAsia="zh-CN"/>
                                  </w:rPr>
                                  <m:t>+I</m:t>
                                </m:r>
                                <m:sSub>
                                  <m:sSubPr>
                                    <m:ctrlPr>
                                      <w:rPr>
                                        <w:rFonts w:ascii="Cambria Math" w:hAnsi="Cambria Math"/>
                                        <w:i/>
                                        <w:iCs/>
                                        <w:lang w:eastAsia="zh-CN"/>
                                      </w:rPr>
                                    </m:ctrlPr>
                                  </m:sSubPr>
                                  <m:e>
                                    <m:r>
                                      <m:rPr>
                                        <m:nor/>
                                      </m:rPr>
                                      <w:rPr>
                                        <w:i/>
                                        <w:iCs/>
                                        <w:lang w:eastAsia="zh-CN"/>
                                      </w:rPr>
                                      <m:t>R</m:t>
                                    </m:r>
                                  </m:e>
                                  <m:sub>
                                    <m:r>
                                      <m:rPr>
                                        <m:nor/>
                                      </m:rPr>
                                      <w:rPr>
                                        <w:i/>
                                        <w:iCs/>
                                        <w:lang w:eastAsia="zh-CN"/>
                                      </w:rPr>
                                      <m:t>s</m:t>
                                    </m:r>
                                  </m:sub>
                                </m:sSub>
                              </m:den>
                            </m:f>
                          </m:num>
                          <m:den>
                            <m:sSub>
                              <m:sSubPr>
                                <m:ctrlPr>
                                  <w:rPr>
                                    <w:rFonts w:ascii="Cambria Math" w:hAnsi="Cambria Math"/>
                                    <w:i/>
                                    <w:iCs/>
                                    <w:lang w:eastAsia="zh-CN"/>
                                  </w:rPr>
                                </m:ctrlPr>
                              </m:sSubPr>
                              <m:e>
                                <m:r>
                                  <m:rPr>
                                    <m:nor/>
                                  </m:rPr>
                                  <w:rPr>
                                    <w:i/>
                                    <w:iCs/>
                                    <w:lang w:eastAsia="zh-CN"/>
                                  </w:rPr>
                                  <m:t>V</m:t>
                                </m:r>
                              </m:e>
                              <m:sub>
                                <m:r>
                                  <m:rPr>
                                    <m:nor/>
                                  </m:rPr>
                                  <w:rPr>
                                    <w:i/>
                                    <w:iCs/>
                                    <w:lang w:eastAsia="zh-CN"/>
                                  </w:rPr>
                                  <m:t>t</m:t>
                                </m:r>
                              </m:sub>
                            </m:sSub>
                          </m:den>
                        </m:f>
                      </m:e>
                    </m:d>
                    <m:r>
                      <m:rPr>
                        <m:nor/>
                      </m:rPr>
                      <w:rPr>
                        <w:i/>
                        <w:iCs/>
                        <w:lang w:eastAsia="zh-CN"/>
                      </w:rPr>
                      <m:t>-1</m:t>
                    </m:r>
                  </m:e>
                </m:d>
                <m:r>
                  <m:rPr>
                    <m:nor/>
                  </m:rPr>
                  <w:rPr>
                    <w:i/>
                    <w:iCs/>
                    <w:lang w:eastAsia="zh-CN"/>
                  </w:rPr>
                  <m:t>-</m:t>
                </m:r>
                <m:f>
                  <m:fPr>
                    <m:ctrlPr>
                      <w:rPr>
                        <w:rFonts w:ascii="Cambria Math" w:hAnsi="Cambria Math"/>
                        <w:i/>
                        <w:iCs/>
                        <w:lang w:eastAsia="zh-CN"/>
                      </w:rPr>
                    </m:ctrlPr>
                  </m:fPr>
                  <m:num>
                    <m:f>
                      <m:fPr>
                        <m:type m:val="lin"/>
                        <m:ctrlPr>
                          <w:rPr>
                            <w:rFonts w:ascii="Cambria Math" w:hAnsi="Cambria Math"/>
                            <w:i/>
                            <w:iCs/>
                            <w:lang w:eastAsia="zh-CN"/>
                          </w:rPr>
                        </m:ctrlPr>
                      </m:fPr>
                      <m:num>
                        <m:r>
                          <m:rPr>
                            <m:nor/>
                          </m:rPr>
                          <w:rPr>
                            <w:i/>
                            <w:iCs/>
                            <w:lang w:eastAsia="zh-CN"/>
                          </w:rPr>
                          <m:t>V</m:t>
                        </m:r>
                      </m:num>
                      <m:den>
                        <m:sSub>
                          <m:sSubPr>
                            <m:ctrlPr>
                              <w:rPr>
                                <w:rFonts w:ascii="Cambria Math" w:hAnsi="Cambria Math"/>
                                <w:i/>
                                <w:iCs/>
                                <w:lang w:eastAsia="zh-CN"/>
                              </w:rPr>
                            </m:ctrlPr>
                          </m:sSubPr>
                          <m:e>
                            <m:r>
                              <m:rPr>
                                <m:nor/>
                              </m:rPr>
                              <w:rPr>
                                <w:i/>
                                <w:iCs/>
                                <w:lang w:eastAsia="zh-CN"/>
                              </w:rPr>
                              <m:t>N</m:t>
                            </m:r>
                          </m:e>
                          <m:sub>
                            <m:r>
                              <m:rPr>
                                <m:nor/>
                              </m:rPr>
                              <w:rPr>
                                <w:i/>
                                <w:iCs/>
                                <w:lang w:eastAsia="zh-CN"/>
                              </w:rPr>
                              <m:t>s</m:t>
                            </m:r>
                          </m:sub>
                        </m:sSub>
                        <m:r>
                          <m:rPr>
                            <m:nor/>
                          </m:rPr>
                          <w:rPr>
                            <w:i/>
                            <w:iCs/>
                            <w:lang w:eastAsia="zh-CN"/>
                          </w:rPr>
                          <m:t>+I</m:t>
                        </m:r>
                        <m:sSub>
                          <m:sSubPr>
                            <m:ctrlPr>
                              <w:rPr>
                                <w:rFonts w:ascii="Cambria Math" w:hAnsi="Cambria Math"/>
                                <w:i/>
                                <w:iCs/>
                                <w:lang w:eastAsia="zh-CN"/>
                              </w:rPr>
                            </m:ctrlPr>
                          </m:sSubPr>
                          <m:e>
                            <m:r>
                              <m:rPr>
                                <m:nor/>
                              </m:rPr>
                              <w:rPr>
                                <w:i/>
                                <w:iCs/>
                                <w:lang w:eastAsia="zh-CN"/>
                              </w:rPr>
                              <m:t>R</m:t>
                            </m:r>
                          </m:e>
                          <m:sub>
                            <m:r>
                              <m:rPr>
                                <m:nor/>
                              </m:rPr>
                              <w:rPr>
                                <w:i/>
                                <w:iCs/>
                                <w:lang w:eastAsia="zh-CN"/>
                              </w:rPr>
                              <m:t>s</m:t>
                            </m:r>
                          </m:sub>
                        </m:sSub>
                      </m:den>
                    </m:f>
                  </m:num>
                  <m:den>
                    <m:sSub>
                      <m:sSubPr>
                        <m:ctrlPr>
                          <w:rPr>
                            <w:rFonts w:ascii="Cambria Math" w:hAnsi="Cambria Math"/>
                            <w:i/>
                            <w:iCs/>
                            <w:lang w:eastAsia="zh-CN"/>
                          </w:rPr>
                        </m:ctrlPr>
                      </m:sSubPr>
                      <m:e>
                        <m:r>
                          <m:rPr>
                            <m:nor/>
                          </m:rPr>
                          <w:rPr>
                            <w:i/>
                            <w:iCs/>
                            <w:lang w:eastAsia="zh-CN"/>
                          </w:rPr>
                          <m:t>R</m:t>
                        </m:r>
                      </m:e>
                      <m:sub>
                        <m:r>
                          <m:rPr>
                            <m:nor/>
                          </m:rPr>
                          <w:rPr>
                            <w:i/>
                            <w:iCs/>
                            <w:lang w:eastAsia="zh-CN"/>
                          </w:rPr>
                          <m:t>p</m:t>
                        </m:r>
                      </m:sub>
                    </m:sSub>
                  </m:den>
                </m:f>
              </m:oMath>
            </m:oMathPara>
          </w:p>
        </w:tc>
        <w:tc>
          <w:tcPr>
            <w:tcW w:w="688" w:type="dxa"/>
            <w:vAlign w:val="center"/>
          </w:tcPr>
          <w:p w14:paraId="7660B604" w14:textId="0EAB0B23" w:rsidR="008F7B9A" w:rsidRPr="00E35D8F" w:rsidRDefault="00C03A38" w:rsidP="000D04C9">
            <w:pPr>
              <w:pStyle w:val="SWCText"/>
              <w:spacing w:beforeLines="50" w:before="120" w:afterLines="50"/>
              <w:jc w:val="right"/>
              <w:rPr>
                <w:lang w:eastAsia="zh-CN"/>
              </w:rPr>
            </w:pPr>
            <w:r w:rsidRPr="00E35D8F">
              <w:rPr>
                <w:lang w:eastAsia="zh-CN"/>
              </w:rPr>
              <w:t>(eq.6)</w:t>
            </w:r>
          </w:p>
        </w:tc>
      </w:tr>
    </w:tbl>
    <w:p w14:paraId="58655BAA" w14:textId="4B403CA9" w:rsidR="003A59AE" w:rsidRDefault="00F36DA6" w:rsidP="0099632E">
      <w:pPr>
        <w:pStyle w:val="SWCText"/>
        <w:rPr>
          <w:lang w:eastAsia="zh-CN"/>
        </w:rPr>
      </w:pPr>
      <w:r>
        <w:t xml:space="preserve">where </w:t>
      </w:r>
      <w:r w:rsidRPr="00D50792">
        <w:rPr>
          <w:i/>
          <w:iCs/>
        </w:rPr>
        <w:t>V</w:t>
      </w:r>
      <w:r>
        <w:t xml:space="preserve"> is the module terminal voltage and </w:t>
      </w:r>
      <w:r w:rsidRPr="00D50792">
        <w:rPr>
          <w:i/>
          <w:iCs/>
        </w:rPr>
        <w:t>I</w:t>
      </w:r>
      <w:r>
        <w:t xml:space="preserve"> is the module current. The selected module contained </w:t>
      </w:r>
      <w:r w:rsidRPr="00D50792">
        <w:rPr>
          <w:i/>
          <w:iCs/>
        </w:rPr>
        <w:t>N</w:t>
      </w:r>
      <w:r w:rsidRPr="00D50792">
        <w:rPr>
          <w:i/>
          <w:iCs/>
          <w:vertAlign w:val="subscript"/>
        </w:rPr>
        <w:t>s</w:t>
      </w:r>
      <w:r w:rsidR="00D50792">
        <w:rPr>
          <w:rFonts w:hint="eastAsia"/>
          <w:i/>
          <w:iCs/>
          <w:vertAlign w:val="subscript"/>
          <w:lang w:eastAsia="zh-CN"/>
        </w:rPr>
        <w:t xml:space="preserve"> </w:t>
      </w:r>
      <w:r>
        <w:t>=</w:t>
      </w:r>
      <w:r w:rsidR="00D50792">
        <w:rPr>
          <w:rFonts w:hint="eastAsia"/>
          <w:lang w:eastAsia="zh-CN"/>
        </w:rPr>
        <w:t xml:space="preserve"> </w:t>
      </w:r>
      <w:r>
        <w:t xml:space="preserve">72 series-connected cells, and </w:t>
      </w:r>
      <w:r w:rsidRPr="00A232CD">
        <w:rPr>
          <w:i/>
          <w:iCs/>
        </w:rPr>
        <w:t>V</w:t>
      </w:r>
      <w:r w:rsidR="00A232CD" w:rsidRPr="00A232CD">
        <w:rPr>
          <w:rFonts w:hint="eastAsia"/>
          <w:i/>
          <w:iCs/>
          <w:lang w:eastAsia="zh-CN"/>
        </w:rPr>
        <w:t xml:space="preserve"> </w:t>
      </w:r>
      <w:r w:rsidRPr="00A232CD">
        <w:rPr>
          <w:i/>
          <w:iCs/>
        </w:rPr>
        <w:t>/</w:t>
      </w:r>
      <w:r w:rsidR="00A232CD" w:rsidRPr="00A232CD">
        <w:rPr>
          <w:rFonts w:hint="eastAsia"/>
          <w:i/>
          <w:iCs/>
          <w:lang w:eastAsia="zh-CN"/>
        </w:rPr>
        <w:t xml:space="preserve"> </w:t>
      </w:r>
      <w:r w:rsidRPr="00A232CD">
        <w:rPr>
          <w:i/>
          <w:iCs/>
        </w:rPr>
        <w:t>N</w:t>
      </w:r>
      <w:r w:rsidRPr="00A232CD">
        <w:rPr>
          <w:i/>
          <w:iCs/>
          <w:vertAlign w:val="subscript"/>
        </w:rPr>
        <w:t>s</w:t>
      </w:r>
      <w:r>
        <w:rPr>
          <w:rFonts w:hint="eastAsia"/>
          <w:lang w:eastAsia="zh-CN"/>
        </w:rPr>
        <w:t xml:space="preserve"> </w:t>
      </w:r>
      <w:r>
        <w:t>therefore represents the average voltage across one cell.</w:t>
      </w:r>
      <w:r w:rsidR="00D50792" w:rsidRPr="00D50792">
        <w:rPr>
          <w:color w:val="auto"/>
          <w:sz w:val="24"/>
          <w:szCs w:val="24"/>
          <w:lang w:val="de-DE"/>
        </w:rPr>
        <w:t xml:space="preserve"> </w:t>
      </w:r>
      <w:r w:rsidR="00D50792" w:rsidRPr="00D50792">
        <w:rPr>
          <w:lang w:val="de-DE"/>
        </w:rPr>
        <w:t xml:space="preserve">In Eq. (6), </w:t>
      </w:r>
      <w:r w:rsidR="00D50792" w:rsidRPr="00A232CD">
        <w:rPr>
          <w:i/>
          <w:iCs/>
          <w:lang w:val="de-DE"/>
        </w:rPr>
        <w:t>R</w:t>
      </w:r>
      <w:r w:rsidR="00D50792" w:rsidRPr="00A232CD">
        <w:rPr>
          <w:i/>
          <w:iCs/>
          <w:vertAlign w:val="subscript"/>
          <w:lang w:val="de-DE"/>
        </w:rPr>
        <w:t>s</w:t>
      </w:r>
      <w:r w:rsidR="00D50792" w:rsidRPr="00D50792">
        <w:rPr>
          <w:lang w:val="de-DE"/>
        </w:rPr>
        <w:t xml:space="preserve">​, </w:t>
      </w:r>
      <w:r w:rsidR="00D50792" w:rsidRPr="006552F8">
        <w:rPr>
          <w:i/>
          <w:iCs/>
          <w:lang w:val="de-DE"/>
        </w:rPr>
        <w:t>R</w:t>
      </w:r>
      <w:r w:rsidR="00D50792" w:rsidRPr="006552F8">
        <w:rPr>
          <w:i/>
          <w:iCs/>
          <w:vertAlign w:val="subscript"/>
          <w:lang w:val="de-DE"/>
        </w:rPr>
        <w:t>p</w:t>
      </w:r>
      <w:r w:rsidR="00D50792" w:rsidRPr="00D50792">
        <w:rPr>
          <w:lang w:val="de-DE"/>
        </w:rPr>
        <w:t xml:space="preserve">​, and </w:t>
      </w:r>
      <w:r w:rsidR="00D50792" w:rsidRPr="006552F8">
        <w:rPr>
          <w:i/>
          <w:iCs/>
          <w:lang w:val="de-DE"/>
        </w:rPr>
        <w:t>V</w:t>
      </w:r>
      <w:r w:rsidR="00D50792" w:rsidRPr="006552F8">
        <w:rPr>
          <w:i/>
          <w:iCs/>
          <w:vertAlign w:val="subscript"/>
          <w:lang w:val="de-DE"/>
        </w:rPr>
        <w:t>t</w:t>
      </w:r>
      <w:r w:rsidR="00D50792" w:rsidRPr="006552F8">
        <w:rPr>
          <w:vertAlign w:val="subscript"/>
          <w:lang w:val="de-DE"/>
        </w:rPr>
        <w:t>​</w:t>
      </w:r>
      <w:r w:rsidR="00D50792" w:rsidRPr="00D50792">
        <w:rPr>
          <w:lang w:val="de-DE"/>
        </w:rPr>
        <w:t xml:space="preserve"> are expressed on an equivalent single-cell basis. </w:t>
      </w:r>
      <w:r w:rsidR="006552F8" w:rsidRPr="00A232CD">
        <w:rPr>
          <w:i/>
          <w:iCs/>
          <w:lang w:val="de-DE"/>
        </w:rPr>
        <w:t>R</w:t>
      </w:r>
      <w:r w:rsidR="006552F8" w:rsidRPr="00A232CD">
        <w:rPr>
          <w:i/>
          <w:iCs/>
          <w:vertAlign w:val="subscript"/>
          <w:lang w:val="de-DE"/>
        </w:rPr>
        <w:t>s</w:t>
      </w:r>
      <w:r w:rsidR="006552F8" w:rsidRPr="00D50792">
        <w:rPr>
          <w:lang w:val="de-DE"/>
        </w:rPr>
        <w:t>​</w:t>
      </w:r>
      <w:r w:rsidR="00D50792" w:rsidRPr="00D50792">
        <w:rPr>
          <w:lang w:val="de-DE"/>
        </w:rPr>
        <w:t xml:space="preserve">​ and </w:t>
      </w:r>
      <w:r w:rsidR="006552F8" w:rsidRPr="006552F8">
        <w:rPr>
          <w:i/>
          <w:iCs/>
          <w:lang w:val="de-DE"/>
        </w:rPr>
        <w:t>R</w:t>
      </w:r>
      <w:r w:rsidR="006552F8" w:rsidRPr="006552F8">
        <w:rPr>
          <w:i/>
          <w:iCs/>
          <w:vertAlign w:val="subscript"/>
          <w:lang w:val="de-DE"/>
        </w:rPr>
        <w:t>p</w:t>
      </w:r>
      <w:r w:rsidR="006552F8" w:rsidRPr="00D50792">
        <w:rPr>
          <w:lang w:val="de-DE"/>
        </w:rPr>
        <w:t>​</w:t>
      </w:r>
      <w:r w:rsidR="00D50792" w:rsidRPr="00D50792">
        <w:rPr>
          <w:lang w:val="de-DE"/>
        </w:rPr>
        <w:t xml:space="preserve">​ are the equivalent series and shunt resistances, </w:t>
      </w:r>
      <m:oMath>
        <m:sSub>
          <m:sSubPr>
            <m:ctrlPr>
              <w:rPr>
                <w:rFonts w:ascii="Cambria Math" w:hAnsi="Cambria Math"/>
                <w:i/>
                <w:lang w:val="de-DE" w:eastAsia="zh-CN"/>
              </w:rPr>
            </m:ctrlPr>
          </m:sSubPr>
          <m:e>
            <m:r>
              <m:rPr>
                <m:nor/>
              </m:rPr>
              <w:rPr>
                <w:i/>
                <w:lang w:val="de-DE" w:eastAsia="zh-CN"/>
              </w:rPr>
              <m:t>V</m:t>
            </m:r>
          </m:e>
          <m:sub>
            <m:r>
              <m:rPr>
                <m:nor/>
              </m:rPr>
              <w:rPr>
                <w:i/>
                <w:lang w:val="de-DE" w:eastAsia="zh-CN"/>
              </w:rPr>
              <m:t>t</m:t>
            </m:r>
          </m:sub>
        </m:sSub>
        <m:r>
          <m:rPr>
            <m:nor/>
          </m:rPr>
          <w:rPr>
            <w:i/>
            <w:lang w:val="de-DE" w:eastAsia="zh-CN"/>
          </w:rPr>
          <m:t>​=n</m:t>
        </m:r>
        <m:sSub>
          <m:sSubPr>
            <m:ctrlPr>
              <w:rPr>
                <w:rFonts w:ascii="Cambria Math" w:hAnsi="Cambria Math"/>
                <w:i/>
                <w:lang w:val="de-DE" w:eastAsia="zh-CN"/>
              </w:rPr>
            </m:ctrlPr>
          </m:sSubPr>
          <m:e>
            <m:r>
              <m:rPr>
                <m:nor/>
              </m:rPr>
              <w:rPr>
                <w:i/>
                <w:lang w:val="de-DE" w:eastAsia="zh-CN"/>
              </w:rPr>
              <m:t>k</m:t>
            </m:r>
          </m:e>
          <m:sub>
            <m:r>
              <m:rPr>
                <m:nor/>
              </m:rPr>
              <w:rPr>
                <w:i/>
                <w:lang w:val="de-DE" w:eastAsia="zh-CN"/>
              </w:rPr>
              <m:t>B</m:t>
            </m:r>
          </m:sub>
        </m:sSub>
        <m:sSub>
          <m:sSubPr>
            <m:ctrlPr>
              <w:rPr>
                <w:rFonts w:ascii="Cambria Math" w:hAnsi="Cambria Math"/>
                <w:i/>
                <w:lang w:val="de-DE" w:eastAsia="zh-CN"/>
              </w:rPr>
            </m:ctrlPr>
          </m:sSubPr>
          <m:e>
            <m:r>
              <m:rPr>
                <m:nor/>
              </m:rPr>
              <w:rPr>
                <w:i/>
                <w:lang w:val="de-DE" w:eastAsia="zh-CN"/>
              </w:rPr>
              <m:t>T</m:t>
            </m:r>
          </m:e>
          <m:sub>
            <m:r>
              <m:rPr>
                <m:nor/>
              </m:rPr>
              <w:rPr>
                <w:i/>
                <w:lang w:val="de-DE" w:eastAsia="zh-CN"/>
              </w:rPr>
              <m:t>c</m:t>
            </m:r>
          </m:sub>
        </m:sSub>
        <m:r>
          <m:rPr>
            <m:nor/>
          </m:rPr>
          <w:rPr>
            <w:i/>
            <w:lang w:val="de-DE" w:eastAsia="zh-CN"/>
          </w:rPr>
          <m:t>​​/q</m:t>
        </m:r>
      </m:oMath>
      <w:r w:rsidR="00D50792" w:rsidRPr="00D50792">
        <w:rPr>
          <w:lang w:val="de-DE"/>
        </w:rPr>
        <w:t xml:space="preserve"> is the diode thermal voltage, </w:t>
      </w:r>
      <w:r w:rsidR="00D50792" w:rsidRPr="000D1B1D">
        <w:rPr>
          <w:i/>
          <w:iCs/>
          <w:lang w:val="de-DE"/>
        </w:rPr>
        <w:t>n</w:t>
      </w:r>
      <w:r w:rsidR="00D50792" w:rsidRPr="00D50792">
        <w:rPr>
          <w:lang w:val="de-DE"/>
        </w:rPr>
        <w:t xml:space="preserve"> is the diode ideality factor, </w:t>
      </w:r>
      <w:r w:rsidR="00D50792" w:rsidRPr="00AA5288">
        <w:rPr>
          <w:i/>
          <w:iCs/>
          <w:lang w:val="de-DE"/>
        </w:rPr>
        <w:t>k</w:t>
      </w:r>
      <w:r w:rsidR="00D50792" w:rsidRPr="00AA5288">
        <w:rPr>
          <w:i/>
          <w:iCs/>
          <w:vertAlign w:val="subscript"/>
          <w:lang w:val="de-DE"/>
        </w:rPr>
        <w:t>B</w:t>
      </w:r>
      <w:r w:rsidR="00D50792" w:rsidRPr="00D50792">
        <w:rPr>
          <w:lang w:val="de-DE"/>
        </w:rPr>
        <w:t xml:space="preserve"> is the Boltzmann constant, </w:t>
      </w:r>
      <w:r w:rsidR="00D50792" w:rsidRPr="00AA5288">
        <w:rPr>
          <w:i/>
          <w:iCs/>
          <w:lang w:val="de-DE"/>
        </w:rPr>
        <w:t>q</w:t>
      </w:r>
      <w:r w:rsidR="00D50792" w:rsidRPr="00D50792">
        <w:rPr>
          <w:lang w:val="de-DE"/>
        </w:rPr>
        <w:t xml:space="preserve"> is the elementary charge, and </w:t>
      </w:r>
      <w:r w:rsidR="00D50792" w:rsidRPr="00AA5288">
        <w:rPr>
          <w:i/>
          <w:iCs/>
          <w:lang w:val="de-DE"/>
        </w:rPr>
        <w:t>T</w:t>
      </w:r>
      <w:r w:rsidR="00D50792" w:rsidRPr="00AA5288">
        <w:rPr>
          <w:i/>
          <w:iCs/>
          <w:vertAlign w:val="subscript"/>
          <w:lang w:val="de-DE"/>
        </w:rPr>
        <w:t>c</w:t>
      </w:r>
      <w:r w:rsidR="00D50792" w:rsidRPr="00D50792">
        <w:rPr>
          <w:lang w:val="de-DE"/>
        </w:rPr>
        <w:t xml:space="preserve"> is the cell temperature. The corresponding module-equivalent resistances are </w:t>
      </w:r>
      <w:r w:rsidR="00D50792" w:rsidRPr="003966FD">
        <w:rPr>
          <w:i/>
          <w:iCs/>
          <w:lang w:val="de-DE"/>
        </w:rPr>
        <w:t>N</w:t>
      </w:r>
      <w:r w:rsidR="00D50792" w:rsidRPr="003966FD">
        <w:rPr>
          <w:i/>
          <w:iCs/>
          <w:vertAlign w:val="subscript"/>
          <w:lang w:val="de-DE"/>
        </w:rPr>
        <w:t>s</w:t>
      </w:r>
      <w:r w:rsidR="00D50792" w:rsidRPr="003966FD">
        <w:rPr>
          <w:i/>
          <w:iCs/>
          <w:lang w:val="de-DE"/>
        </w:rPr>
        <w:t>R</w:t>
      </w:r>
      <w:r w:rsidR="00D50792" w:rsidRPr="003966FD">
        <w:rPr>
          <w:i/>
          <w:iCs/>
          <w:vertAlign w:val="subscript"/>
          <w:lang w:val="de-DE"/>
        </w:rPr>
        <w:t>s</w:t>
      </w:r>
      <w:r w:rsidR="003966FD" w:rsidRPr="00D50792">
        <w:rPr>
          <w:lang w:val="de-DE"/>
        </w:rPr>
        <w:t xml:space="preserve"> </w:t>
      </w:r>
      <w:r w:rsidR="00D50792" w:rsidRPr="00D50792">
        <w:rPr>
          <w:lang w:val="de-DE"/>
        </w:rPr>
        <w:t xml:space="preserve">​ and </w:t>
      </w:r>
      <w:r w:rsidR="00D50792" w:rsidRPr="003966FD">
        <w:rPr>
          <w:i/>
          <w:iCs/>
          <w:lang w:val="de-DE"/>
        </w:rPr>
        <w:t>N</w:t>
      </w:r>
      <w:r w:rsidR="00D50792" w:rsidRPr="003966FD">
        <w:rPr>
          <w:i/>
          <w:iCs/>
          <w:vertAlign w:val="subscript"/>
          <w:lang w:val="de-DE"/>
        </w:rPr>
        <w:t>s</w:t>
      </w:r>
      <w:r w:rsidR="00D50792" w:rsidRPr="003966FD">
        <w:rPr>
          <w:i/>
          <w:iCs/>
          <w:lang w:val="de-DE"/>
        </w:rPr>
        <w:t>R</w:t>
      </w:r>
      <w:r w:rsidR="00D50792" w:rsidRPr="003966FD">
        <w:rPr>
          <w:i/>
          <w:iCs/>
          <w:vertAlign w:val="subscript"/>
          <w:lang w:val="de-DE"/>
        </w:rPr>
        <w:t>p</w:t>
      </w:r>
      <w:r w:rsidR="00D50792" w:rsidRPr="00D50792">
        <w:rPr>
          <w:lang w:val="de-DE"/>
        </w:rPr>
        <w:t>.</w:t>
      </w:r>
      <w:r w:rsidR="00E93436">
        <w:rPr>
          <w:rFonts w:hint="eastAsia"/>
          <w:lang w:eastAsia="zh-CN"/>
        </w:rPr>
        <w:t xml:space="preserve"> </w:t>
      </w:r>
      <w:r w:rsidR="0084736B" w:rsidRPr="0084736B">
        <w:rPr>
          <w:lang w:val="de-DE"/>
        </w:rPr>
        <w:t>The principal module parameters under standard test conditions were</w:t>
      </w:r>
      <w:r w:rsidR="0084736B">
        <w:rPr>
          <w:rFonts w:hint="eastAsia"/>
          <w:lang w:eastAsia="zh-CN"/>
        </w:rPr>
        <w:t xml:space="preserve"> </w:t>
      </w:r>
      <w:r w:rsidR="004B0CD0" w:rsidRPr="000A1B8C">
        <w:rPr>
          <w:i/>
          <w:iCs/>
          <w:lang w:val="de-DE"/>
        </w:rPr>
        <w:t>P</w:t>
      </w:r>
      <w:r w:rsidR="004B0CD0" w:rsidRPr="000A1B8C">
        <w:rPr>
          <w:i/>
          <w:iCs/>
          <w:vertAlign w:val="subscript"/>
          <w:lang w:val="de-DE"/>
        </w:rPr>
        <w:t>max,ref</w:t>
      </w:r>
      <w:r w:rsidR="004B6220">
        <w:rPr>
          <w:rFonts w:hint="eastAsia"/>
          <w:i/>
          <w:iCs/>
          <w:vertAlign w:val="subscript"/>
          <w:lang w:val="de-DE" w:eastAsia="zh-CN"/>
        </w:rPr>
        <w:t xml:space="preserve"> </w:t>
      </w:r>
      <w:r w:rsidR="004B0CD0" w:rsidRPr="004B0CD0">
        <w:rPr>
          <w:lang w:val="de-DE"/>
        </w:rPr>
        <w:t>=</w:t>
      </w:r>
      <w:r w:rsidR="004B6220">
        <w:rPr>
          <w:rFonts w:hint="eastAsia"/>
          <w:lang w:val="de-DE" w:eastAsia="zh-CN"/>
        </w:rPr>
        <w:t xml:space="preserve"> </w:t>
      </w:r>
      <w:r w:rsidR="004B0CD0" w:rsidRPr="004B0CD0">
        <w:rPr>
          <w:lang w:val="de-DE"/>
        </w:rPr>
        <w:t>645</w:t>
      </w:r>
      <w:r w:rsidR="004B6220">
        <w:rPr>
          <w:rFonts w:hint="eastAsia"/>
          <w:lang w:val="de-DE" w:eastAsia="zh-CN"/>
        </w:rPr>
        <w:t xml:space="preserve"> </w:t>
      </w:r>
      <w:r w:rsidR="004B0CD0" w:rsidRPr="004B0CD0">
        <w:rPr>
          <w:lang w:val="de-DE"/>
        </w:rPr>
        <w:t>W,</w:t>
      </w:r>
      <w:r w:rsidR="004B6220">
        <w:rPr>
          <w:rFonts w:hint="eastAsia"/>
          <w:lang w:val="de-DE" w:eastAsia="zh-CN"/>
        </w:rPr>
        <w:t xml:space="preserve"> </w:t>
      </w:r>
      <w:r w:rsidR="004B0CD0" w:rsidRPr="004B6220">
        <w:rPr>
          <w:i/>
          <w:iCs/>
          <w:lang w:val="de-DE"/>
        </w:rPr>
        <w:t>V</w:t>
      </w:r>
      <w:r w:rsidR="004B0CD0" w:rsidRPr="004B6220">
        <w:rPr>
          <w:i/>
          <w:iCs/>
          <w:vertAlign w:val="subscript"/>
          <w:lang w:val="de-DE"/>
        </w:rPr>
        <w:t>oc,ref</w:t>
      </w:r>
      <w:r w:rsidR="004B6220">
        <w:rPr>
          <w:rFonts w:hint="eastAsia"/>
          <w:vertAlign w:val="subscript"/>
          <w:lang w:val="de-DE" w:eastAsia="zh-CN"/>
        </w:rPr>
        <w:t xml:space="preserve"> </w:t>
      </w:r>
      <w:r w:rsidR="004B0CD0" w:rsidRPr="004B0CD0">
        <w:rPr>
          <w:lang w:val="de-DE"/>
        </w:rPr>
        <w:t>=</w:t>
      </w:r>
      <w:r w:rsidR="004B6220">
        <w:rPr>
          <w:rFonts w:hint="eastAsia"/>
          <w:lang w:val="de-DE" w:eastAsia="zh-CN"/>
        </w:rPr>
        <w:t xml:space="preserve"> </w:t>
      </w:r>
      <w:r w:rsidR="004B0CD0" w:rsidRPr="004B0CD0">
        <w:rPr>
          <w:lang w:val="de-DE"/>
        </w:rPr>
        <w:t>54.12</w:t>
      </w:r>
      <w:r w:rsidR="004B6220">
        <w:rPr>
          <w:rFonts w:hint="eastAsia"/>
          <w:lang w:val="de-DE" w:eastAsia="zh-CN"/>
        </w:rPr>
        <w:t xml:space="preserve"> </w:t>
      </w:r>
      <w:r w:rsidR="004B0CD0" w:rsidRPr="004B0CD0">
        <w:rPr>
          <w:lang w:val="de-DE"/>
        </w:rPr>
        <w:t xml:space="preserve">V, </w:t>
      </w:r>
      <w:r w:rsidR="004B0CD0" w:rsidRPr="004B6220">
        <w:rPr>
          <w:i/>
          <w:iCs/>
          <w:lang w:val="de-DE"/>
        </w:rPr>
        <w:t>I</w:t>
      </w:r>
      <w:r w:rsidR="004B0CD0" w:rsidRPr="004B6220">
        <w:rPr>
          <w:i/>
          <w:iCs/>
          <w:vertAlign w:val="subscript"/>
          <w:lang w:val="de-DE"/>
        </w:rPr>
        <w:t>sc,ref</w:t>
      </w:r>
      <w:r w:rsidR="004B6220">
        <w:rPr>
          <w:rFonts w:hint="eastAsia"/>
          <w:i/>
          <w:iCs/>
          <w:vertAlign w:val="subscript"/>
          <w:lang w:val="de-DE" w:eastAsia="zh-CN"/>
        </w:rPr>
        <w:t xml:space="preserve"> </w:t>
      </w:r>
      <w:r w:rsidR="004B0CD0" w:rsidRPr="004B0CD0">
        <w:rPr>
          <w:lang w:val="de-DE"/>
        </w:rPr>
        <w:t>=</w:t>
      </w:r>
      <w:r w:rsidR="004B6220">
        <w:rPr>
          <w:rFonts w:hint="eastAsia"/>
          <w:lang w:val="de-DE" w:eastAsia="zh-CN"/>
        </w:rPr>
        <w:t xml:space="preserve"> </w:t>
      </w:r>
      <w:r w:rsidR="004B0CD0" w:rsidRPr="004B0CD0">
        <w:rPr>
          <w:lang w:val="de-DE"/>
        </w:rPr>
        <w:t>15.06</w:t>
      </w:r>
      <w:r w:rsidR="004B6220">
        <w:rPr>
          <w:rFonts w:hint="eastAsia"/>
          <w:lang w:val="de-DE" w:eastAsia="zh-CN"/>
        </w:rPr>
        <w:t xml:space="preserve"> </w:t>
      </w:r>
      <w:r w:rsidR="004B0CD0" w:rsidRPr="004B0CD0">
        <w:rPr>
          <w:lang w:val="de-DE"/>
        </w:rPr>
        <w:t xml:space="preserve">A, </w:t>
      </w:r>
      <w:r w:rsidR="004B0CD0" w:rsidRPr="004B6220">
        <w:rPr>
          <w:i/>
          <w:iCs/>
          <w:lang w:val="de-DE"/>
        </w:rPr>
        <w:t>V</w:t>
      </w:r>
      <w:r w:rsidR="004B0CD0" w:rsidRPr="004B6220">
        <w:rPr>
          <w:i/>
          <w:iCs/>
          <w:vertAlign w:val="subscript"/>
          <w:lang w:val="de-DE"/>
        </w:rPr>
        <w:t>mp,ref</w:t>
      </w:r>
      <w:r w:rsidR="004B6220">
        <w:rPr>
          <w:rFonts w:hint="eastAsia"/>
          <w:i/>
          <w:iCs/>
          <w:vertAlign w:val="subscript"/>
          <w:lang w:val="de-DE" w:eastAsia="zh-CN"/>
        </w:rPr>
        <w:t xml:space="preserve"> </w:t>
      </w:r>
      <w:r w:rsidR="004B0CD0" w:rsidRPr="004B0CD0">
        <w:rPr>
          <w:lang w:val="de-DE"/>
        </w:rPr>
        <w:t>=</w:t>
      </w:r>
      <w:r w:rsidR="004B6220">
        <w:rPr>
          <w:rFonts w:hint="eastAsia"/>
          <w:lang w:val="de-DE" w:eastAsia="zh-CN"/>
        </w:rPr>
        <w:t xml:space="preserve"> </w:t>
      </w:r>
      <w:r w:rsidR="004B0CD0" w:rsidRPr="004B0CD0">
        <w:rPr>
          <w:lang w:val="de-DE"/>
        </w:rPr>
        <w:t xml:space="preserve">44.77 V, </w:t>
      </w:r>
      <w:r w:rsidR="004B0CD0" w:rsidRPr="004B6220">
        <w:rPr>
          <w:i/>
          <w:iCs/>
          <w:lang w:val="de-DE"/>
        </w:rPr>
        <w:t>I</w:t>
      </w:r>
      <w:r w:rsidR="004B0CD0" w:rsidRPr="004B6220">
        <w:rPr>
          <w:i/>
          <w:iCs/>
          <w:vertAlign w:val="subscript"/>
          <w:lang w:val="de-DE"/>
        </w:rPr>
        <w:t>mp,ref</w:t>
      </w:r>
      <w:r w:rsidR="004B6220">
        <w:rPr>
          <w:rFonts w:hint="eastAsia"/>
          <w:i/>
          <w:iCs/>
          <w:vertAlign w:val="subscript"/>
          <w:lang w:val="de-DE" w:eastAsia="zh-CN"/>
        </w:rPr>
        <w:t xml:space="preserve"> </w:t>
      </w:r>
      <w:r w:rsidR="004B0CD0" w:rsidRPr="004B0CD0">
        <w:rPr>
          <w:lang w:val="de-DE"/>
        </w:rPr>
        <w:t>=</w:t>
      </w:r>
      <w:r w:rsidR="004B6220">
        <w:rPr>
          <w:rFonts w:hint="eastAsia"/>
          <w:lang w:val="de-DE" w:eastAsia="zh-CN"/>
        </w:rPr>
        <w:t xml:space="preserve"> </w:t>
      </w:r>
      <w:r w:rsidR="004B0CD0" w:rsidRPr="004B0CD0">
        <w:rPr>
          <w:lang w:val="de-DE"/>
        </w:rPr>
        <w:t>14.41</w:t>
      </w:r>
      <w:r w:rsidR="009F4DF6">
        <w:rPr>
          <w:rFonts w:hint="eastAsia"/>
          <w:lang w:val="de-DE" w:eastAsia="zh-CN"/>
        </w:rPr>
        <w:t xml:space="preserve"> </w:t>
      </w:r>
      <w:r w:rsidR="004B0CD0" w:rsidRPr="004B0CD0">
        <w:rPr>
          <w:lang w:val="de-DE"/>
        </w:rPr>
        <w:t xml:space="preserve">A. </w:t>
      </w:r>
      <w:r w:rsidR="001D6B41" w:rsidRPr="001D6B41">
        <w:rPr>
          <w:lang w:val="de-DE"/>
        </w:rPr>
        <w:t>Under non-standard conditions, the five electrical parameters were translated with equivalent irradiance and cell temperature following the relationships adopted from</w:t>
      </w:r>
      <w:r w:rsidR="001D6B41">
        <w:rPr>
          <w:rFonts w:hint="eastAsia"/>
          <w:lang w:val="de-DE" w:eastAsia="zh-CN"/>
        </w:rPr>
        <w:t xml:space="preserve"> </w:t>
      </w:r>
      <w:r w:rsidR="0084736B" w:rsidRPr="00E35D8F">
        <w:fldChar w:fldCharType="begin"/>
      </w:r>
      <w:r w:rsidR="0084736B" w:rsidRPr="00E35D8F">
        <w:instrText xml:space="preserve"> ADDIN ZOTERO_ITEM CSL_CITATION {"citationID":"0vUOkn0X","properties":{"unsorted":false,"formattedCitation":"(Gu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gain.","container-title":"Applied Energy","DOI":"10.1016/j.apenergy.2019.114075","ISSN":"03062619","journalAbbreviation":"Applied Energy","language":"en","note":"titleTranslation: </w:instrText>
      </w:r>
      <w:r w:rsidR="0084736B" w:rsidRPr="00E35D8F">
        <w:instrText>双面光伏组件的光</w:instrText>
      </w:r>
      <w:r w:rsidR="0084736B" w:rsidRPr="00E35D8F">
        <w:instrText>-</w:instrText>
      </w:r>
      <w:r w:rsidR="0084736B" w:rsidRPr="00E35D8F">
        <w:instrText>电</w:instrText>
      </w:r>
      <w:r w:rsidR="0084736B" w:rsidRPr="00E35D8F">
        <w:instrText>-</w:instrText>
      </w:r>
      <w:r w:rsidR="0084736B" w:rsidRPr="00E35D8F">
        <w:instrText>热耦合模型</w:instrText>
      </w:r>
      <w:r w:rsidR="0084736B" w:rsidRPr="00E35D8F">
        <w:instrText xml:space="preserve">\nabstractTranslation: </w:instrText>
      </w:r>
      <w:r w:rsidR="0084736B" w:rsidRPr="00E35D8F">
        <w:instrText>双面光伏（</w:instrText>
      </w:r>
      <w:r w:rsidR="0084736B" w:rsidRPr="00E35D8F">
        <w:instrText>PV</w:instrText>
      </w:r>
      <w:r w:rsidR="0084736B" w:rsidRPr="00E35D8F">
        <w:instrText>）技术可同时从前后两面收集太阳光以实现高发电量，近年来已在全球市场盛行，但学术界对这一新技术的关注有限，尤其是多物理场仿真理论研究。本文建立了双面光伏组件的光</w:instrText>
      </w:r>
      <w:r w:rsidR="0084736B" w:rsidRPr="00E35D8F">
        <w:instrText>-</w:instrText>
      </w:r>
      <w:r w:rsidR="0084736B" w:rsidRPr="00E35D8F">
        <w:instrText>电</w:instrText>
      </w:r>
      <w:r w:rsidR="0084736B" w:rsidRPr="00E35D8F">
        <w:instrText>-</w:instrText>
      </w:r>
      <w:r w:rsidR="0084736B" w:rsidRPr="00E35D8F">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0084736B" w:rsidRPr="00E35D8F">
        <w:instrText xml:space="preserve"> 25.58% </w:instrText>
      </w:r>
      <w:r w:rsidR="0084736B" w:rsidRPr="00E35D8F">
        <w:instrText>和</w:instrText>
      </w:r>
      <w:r w:rsidR="0084736B" w:rsidRPr="00E35D8F">
        <w:instrText xml:space="preserve"> 28.21%</w:instrText>
      </w:r>
      <w:r w:rsidR="0084736B" w:rsidRPr="00E35D8F">
        <w:instrText>，香港和上海的年双面增益超过</w:instrText>
      </w:r>
      <w:r w:rsidR="0084736B" w:rsidRPr="00E35D8F">
        <w:instrText xml:space="preserve"> 22%</w:instrText>
      </w:r>
      <w:r w:rsidR="0084736B" w:rsidRPr="00E35D8F">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0084736B" w:rsidRPr="00E35D8F">
        <w:instrText xml:space="preserve">","page":"114075","source":"DOI.org (Crossref)","title":"A coupled optical-electrical-thermal model of the bifacial photovoltaic modu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0084736B" w:rsidRPr="00E35D8F">
        <w:fldChar w:fldCharType="separate"/>
      </w:r>
      <w:r w:rsidR="0084736B" w:rsidRPr="00E35D8F">
        <w:t xml:space="preserve">Gu et al. </w:t>
      </w:r>
      <w:r w:rsidR="0084736B" w:rsidRPr="00E35D8F">
        <w:rPr>
          <w:lang w:eastAsia="zh-CN"/>
        </w:rPr>
        <w:t>(</w:t>
      </w:r>
      <w:r w:rsidR="0084736B" w:rsidRPr="00E35D8F">
        <w:t>2020)</w:t>
      </w:r>
      <w:r w:rsidR="0084736B" w:rsidRPr="00E35D8F">
        <w:fldChar w:fldCharType="end"/>
      </w:r>
      <w:r w:rsidR="0015207E">
        <w:rPr>
          <w:rFonts w:hint="eastAsia"/>
          <w:lang w:eastAsia="zh-CN"/>
        </w:rPr>
        <w:t>:</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244"/>
      </w:tblGrid>
      <w:tr w:rsidR="00AD0CF6" w14:paraId="4EFCEE96" w14:textId="77777777" w:rsidTr="00E645D3">
        <w:trPr>
          <w:jc w:val="center"/>
        </w:trPr>
        <w:tc>
          <w:tcPr>
            <w:tcW w:w="7513" w:type="dxa"/>
          </w:tcPr>
          <w:p w14:paraId="30FA1AB1" w14:textId="2DB5B9DB" w:rsidR="00AD0CF6" w:rsidRPr="004E6DDD" w:rsidRDefault="009030AC" w:rsidP="00D0732D">
            <w:pPr>
              <w:pStyle w:val="SWCText"/>
              <w:spacing w:after="0" w:line="240" w:lineRule="auto"/>
              <w:rPr>
                <w:i/>
                <w:lang w:eastAsia="zh-CN"/>
              </w:rPr>
            </w:pPr>
            <m:oMathPara>
              <m:oMath>
                <m:sSub>
                  <m:sSubPr>
                    <m:ctrlPr>
                      <w:rPr>
                        <w:rFonts w:ascii="Cambria Math" w:hAnsi="Cambria Math"/>
                        <w:i/>
                        <w:lang w:eastAsia="zh-CN"/>
                      </w:rPr>
                    </m:ctrlPr>
                  </m:sSubPr>
                  <m:e>
                    <m:r>
                      <m:rPr>
                        <m:nor/>
                      </m:rPr>
                      <w:rPr>
                        <w:i/>
                        <w:lang w:eastAsia="zh-CN"/>
                      </w:rPr>
                      <m:t>I</m:t>
                    </m:r>
                  </m:e>
                  <m:sub>
                    <w:proofErr w:type="spellStart"/>
                    <m:r>
                      <m:rPr>
                        <m:nor/>
                      </m:rPr>
                      <w:rPr>
                        <w:i/>
                        <w:lang w:eastAsia="zh-CN"/>
                      </w:rPr>
                      <m:t>ph</m:t>
                    </m:r>
                    <w:proofErr w:type="spellEnd"/>
                  </m:sub>
                </m:sSub>
                <m:r>
                  <m:rPr>
                    <m:nor/>
                  </m:rPr>
                  <w:rPr>
                    <w:i/>
                    <w:lang w:eastAsia="zh-CN"/>
                  </w:rPr>
                  <m:t>=</m:t>
                </m:r>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G</m:t>
                        </m:r>
                      </m:e>
                      <m:sub>
                        <m:r>
                          <m:rPr>
                            <m:nor/>
                          </m:rPr>
                          <w:rPr>
                            <w:i/>
                            <w:lang w:eastAsia="zh-CN"/>
                          </w:rPr>
                          <m:t>eq</m:t>
                        </m:r>
                      </m:sub>
                    </m:sSub>
                  </m:num>
                  <m:den>
                    <m:sSub>
                      <m:sSubPr>
                        <m:ctrlPr>
                          <w:rPr>
                            <w:rFonts w:ascii="Cambria Math" w:hAnsi="Cambria Math"/>
                            <w:i/>
                            <w:lang w:eastAsia="zh-CN"/>
                          </w:rPr>
                        </m:ctrlPr>
                      </m:sSubPr>
                      <m:e>
                        <m:r>
                          <m:rPr>
                            <m:nor/>
                          </m:rPr>
                          <w:rPr>
                            <w:i/>
                            <w:lang w:eastAsia="zh-CN"/>
                          </w:rPr>
                          <m:t>G</m:t>
                        </m:r>
                      </m:e>
                      <m:sub>
                        <m:r>
                          <m:rPr>
                            <m:nor/>
                          </m:rPr>
                          <w:rPr>
                            <w:i/>
                            <w:lang w:eastAsia="zh-CN"/>
                          </w:rPr>
                          <m:t>ref</m:t>
                        </m:r>
                      </m:sub>
                    </m:sSub>
                  </m:den>
                </m:f>
                <m:d>
                  <m:dPr>
                    <m:begChr m:val="["/>
                    <m:endChr m:val="]"/>
                    <m:ctrlPr>
                      <w:rPr>
                        <w:rFonts w:ascii="Cambria Math" w:hAnsi="Cambria Math"/>
                        <w:i/>
                        <w:lang w:eastAsia="zh-CN"/>
                      </w:rPr>
                    </m:ctrlPr>
                  </m:dPr>
                  <m:e>
                    <m:sSub>
                      <m:sSubPr>
                        <m:ctrlPr>
                          <w:rPr>
                            <w:rFonts w:ascii="Cambria Math" w:hAnsi="Cambria Math"/>
                            <w:i/>
                            <w:lang w:eastAsia="zh-CN"/>
                          </w:rPr>
                        </m:ctrlPr>
                      </m:sSubPr>
                      <m:e>
                        <m:r>
                          <m:rPr>
                            <m:nor/>
                          </m:rPr>
                          <w:rPr>
                            <w:i/>
                            <w:lang w:eastAsia="zh-CN"/>
                          </w:rPr>
                          <m:t>I</m:t>
                        </m:r>
                      </m:e>
                      <m:sub>
                        <w:proofErr w:type="spellStart"/>
                        <m:r>
                          <m:rPr>
                            <m:nor/>
                          </m:rPr>
                          <w:rPr>
                            <w:i/>
                            <w:lang w:eastAsia="zh-CN"/>
                          </w:rPr>
                          <m:t>ph,ref</m:t>
                        </m:r>
                        <w:proofErr w:type="spellEnd"/>
                      </m:sub>
                    </m:sSub>
                    <m:r>
                      <m:rPr>
                        <m:nor/>
                      </m:rPr>
                      <w:rPr>
                        <w:i/>
                        <w:lang w:eastAsia="zh-CN"/>
                      </w:rPr>
                      <m:t>+</m:t>
                    </m:r>
                    <m:sSub>
                      <m:sSubPr>
                        <m:ctrlPr>
                          <w:rPr>
                            <w:rFonts w:ascii="Cambria Math" w:hAnsi="Cambria Math"/>
                            <w:i/>
                            <w:lang w:eastAsia="zh-CN"/>
                          </w:rPr>
                        </m:ctrlPr>
                      </m:sSubPr>
                      <m:e>
                        <m:r>
                          <m:rPr>
                            <m:nor/>
                          </m:rPr>
                          <w:rPr>
                            <w:i/>
                            <w:lang w:eastAsia="zh-CN"/>
                          </w:rPr>
                          <m:t>α</m:t>
                        </m:r>
                      </m:e>
                      <m:sub>
                        <w:proofErr w:type="spellStart"/>
                        <m:r>
                          <m:rPr>
                            <m:nor/>
                          </m:rPr>
                          <w:rPr>
                            <w:i/>
                            <w:lang w:eastAsia="zh-CN"/>
                          </w:rPr>
                          <m:t>Isc</m:t>
                        </m:r>
                        <w:proofErr w:type="spellEnd"/>
                      </m:sub>
                    </m:sSub>
                    <m:d>
                      <m:dPr>
                        <m:ctrlPr>
                          <w:rPr>
                            <w:rFonts w:ascii="Cambria Math" w:hAnsi="Cambria Math"/>
                            <w:i/>
                            <w:lang w:eastAsia="zh-CN"/>
                          </w:rPr>
                        </m:ctrlPr>
                      </m:dPr>
                      <m:e>
                        <m:sSub>
                          <m:sSubPr>
                            <m:ctrlPr>
                              <w:rPr>
                                <w:rFonts w:ascii="Cambria Math" w:hAnsi="Cambria Math"/>
                                <w:i/>
                                <w:lang w:eastAsia="zh-CN"/>
                              </w:rPr>
                            </m:ctrlPr>
                          </m:sSubPr>
                          <m:e>
                            <m:r>
                              <m:rPr>
                                <m:nor/>
                              </m:rPr>
                              <w:rPr>
                                <w:i/>
                                <w:lang w:eastAsia="zh-CN"/>
                              </w:rPr>
                              <m:t>T</m:t>
                            </m:r>
                          </m:e>
                          <m:sub>
                            <m:r>
                              <m:rPr>
                                <m:nor/>
                              </m:rPr>
                              <w:rPr>
                                <w:i/>
                                <w:lang w:eastAsia="zh-CN"/>
                              </w:rPr>
                              <m:t>c</m:t>
                            </m:r>
                          </m:sub>
                        </m:sSub>
                        <m:r>
                          <m:rPr>
                            <m:nor/>
                          </m:rPr>
                          <w:rPr>
                            <w:i/>
                            <w:lang w:eastAsia="zh-CN"/>
                          </w:rPr>
                          <m:t>-</m:t>
                        </m:r>
                        <m:sSub>
                          <m:sSubPr>
                            <m:ctrlPr>
                              <w:rPr>
                                <w:rFonts w:ascii="Cambria Math" w:hAnsi="Cambria Math"/>
                                <w:i/>
                                <w:lang w:eastAsia="zh-CN"/>
                              </w:rPr>
                            </m:ctrlPr>
                          </m:sSubPr>
                          <m:e>
                            <m:r>
                              <m:rPr>
                                <m:nor/>
                              </m:rPr>
                              <w:rPr>
                                <w:i/>
                                <w:lang w:eastAsia="zh-CN"/>
                              </w:rPr>
                              <m:t>T</m:t>
                            </m:r>
                          </m:e>
                          <m:sub>
                            <m:r>
                              <m:rPr>
                                <m:nor/>
                              </m:rPr>
                              <w:rPr>
                                <w:i/>
                                <w:lang w:eastAsia="zh-CN"/>
                              </w:rPr>
                              <m:t>ref</m:t>
                            </m:r>
                          </m:sub>
                        </m:sSub>
                      </m:e>
                    </m:d>
                  </m:e>
                </m:d>
                <m:r>
                  <m:rPr>
                    <m:nor/>
                  </m:rPr>
                  <w:rPr>
                    <w:i/>
                    <w:lang w:eastAsia="zh-CN"/>
                  </w:rPr>
                  <m:t xml:space="preserve"> ,</m:t>
                </m:r>
              </m:oMath>
            </m:oMathPara>
          </w:p>
        </w:tc>
        <w:tc>
          <w:tcPr>
            <w:tcW w:w="1244" w:type="dxa"/>
            <w:vAlign w:val="center"/>
          </w:tcPr>
          <w:p w14:paraId="05DECA20" w14:textId="64822780" w:rsidR="00AD0CF6" w:rsidRDefault="00AD0CF6" w:rsidP="00D0732D">
            <w:pPr>
              <w:pStyle w:val="SWCText"/>
              <w:spacing w:after="0" w:line="240" w:lineRule="auto"/>
              <w:jc w:val="right"/>
              <w:rPr>
                <w:lang w:eastAsia="zh-CN"/>
              </w:rPr>
            </w:pPr>
            <w:r w:rsidRPr="00E35D8F">
              <w:rPr>
                <w:lang w:eastAsia="zh-CN"/>
              </w:rPr>
              <w:t>(eq.</w:t>
            </w:r>
            <w:r>
              <w:rPr>
                <w:rFonts w:hint="eastAsia"/>
                <w:lang w:eastAsia="zh-CN"/>
              </w:rPr>
              <w:t>6a</w:t>
            </w:r>
            <w:r w:rsidRPr="00E35D8F">
              <w:rPr>
                <w:lang w:eastAsia="zh-CN"/>
              </w:rPr>
              <w:t>)</w:t>
            </w:r>
          </w:p>
        </w:tc>
      </w:tr>
      <w:tr w:rsidR="00AD0CF6" w14:paraId="0310559C" w14:textId="77777777" w:rsidTr="00E645D3">
        <w:trPr>
          <w:jc w:val="center"/>
        </w:trPr>
        <w:tc>
          <w:tcPr>
            <w:tcW w:w="7513" w:type="dxa"/>
          </w:tcPr>
          <w:p w14:paraId="5859DCD6" w14:textId="6F8CC15D" w:rsidR="00AD0CF6" w:rsidRPr="004E6DDD" w:rsidRDefault="009030AC" w:rsidP="00D0732D">
            <w:pPr>
              <w:pStyle w:val="SWCText"/>
              <w:spacing w:after="0" w:line="240" w:lineRule="auto"/>
              <w:rPr>
                <w:i/>
                <w:lang w:eastAsia="zh-CN"/>
              </w:rPr>
            </w:pPr>
            <m:oMathPara>
              <m:oMath>
                <m:sSub>
                  <m:sSubPr>
                    <m:ctrlPr>
                      <w:rPr>
                        <w:rFonts w:ascii="Cambria Math" w:hAnsi="Cambria Math"/>
                        <w:i/>
                        <w:lang w:eastAsia="zh-CN"/>
                      </w:rPr>
                    </m:ctrlPr>
                  </m:sSubPr>
                  <m:e>
                    <m:r>
                      <m:rPr>
                        <m:nor/>
                      </m:rPr>
                      <w:rPr>
                        <w:i/>
                        <w:lang w:eastAsia="zh-CN"/>
                      </w:rPr>
                      <m:t>I</m:t>
                    </m:r>
                  </m:e>
                  <m:sub>
                    <m:r>
                      <m:rPr>
                        <m:nor/>
                      </m:rPr>
                      <w:rPr>
                        <w:i/>
                        <w:lang w:eastAsia="zh-CN"/>
                      </w:rPr>
                      <m:t>0</m:t>
                    </m:r>
                  </m:sub>
                </m:sSub>
                <m:r>
                  <m:rPr>
                    <m:nor/>
                  </m:rPr>
                  <w:rPr>
                    <w:i/>
                    <w:lang w:eastAsia="zh-CN"/>
                  </w:rPr>
                  <m:t>=</m:t>
                </m:r>
                <m:sSub>
                  <m:sSubPr>
                    <m:ctrlPr>
                      <w:rPr>
                        <w:rFonts w:ascii="Cambria Math" w:hAnsi="Cambria Math"/>
                        <w:i/>
                        <w:lang w:eastAsia="zh-CN"/>
                      </w:rPr>
                    </m:ctrlPr>
                  </m:sSubPr>
                  <m:e>
                    <m:r>
                      <m:rPr>
                        <m:nor/>
                      </m:rPr>
                      <w:rPr>
                        <w:i/>
                        <w:lang w:eastAsia="zh-CN"/>
                      </w:rPr>
                      <m:t>I</m:t>
                    </m:r>
                  </m:e>
                  <m:sub>
                    <m:r>
                      <m:rPr>
                        <m:nor/>
                      </m:rPr>
                      <w:rPr>
                        <w:i/>
                        <w:lang w:eastAsia="zh-CN"/>
                      </w:rPr>
                      <m:t>0,ref</m:t>
                    </m:r>
                  </m:sub>
                </m:sSub>
                <m:sSup>
                  <m:sSupPr>
                    <m:ctrlPr>
                      <w:rPr>
                        <w:rFonts w:ascii="Cambria Math" w:hAnsi="Cambria Math"/>
                        <w:i/>
                        <w:lang w:eastAsia="zh-CN"/>
                      </w:rPr>
                    </m:ctrlPr>
                  </m:sSupPr>
                  <m:e>
                    <m:d>
                      <m:dPr>
                        <m:ctrlPr>
                          <w:rPr>
                            <w:rFonts w:ascii="Cambria Math" w:hAnsi="Cambria Math"/>
                            <w:i/>
                            <w:lang w:eastAsia="zh-CN"/>
                          </w:rPr>
                        </m:ctrlPr>
                      </m:dPr>
                      <m:e>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T</m:t>
                                </m:r>
                              </m:e>
                              <m:sub>
                                <m:r>
                                  <m:rPr>
                                    <m:nor/>
                                  </m:rPr>
                                  <w:rPr>
                                    <w:i/>
                                    <w:lang w:eastAsia="zh-CN"/>
                                  </w:rPr>
                                  <m:t>c</m:t>
                                </m:r>
                              </m:sub>
                            </m:sSub>
                          </m:num>
                          <m:den>
                            <m:sSub>
                              <m:sSubPr>
                                <m:ctrlPr>
                                  <w:rPr>
                                    <w:rFonts w:ascii="Cambria Math" w:hAnsi="Cambria Math"/>
                                    <w:i/>
                                    <w:lang w:eastAsia="zh-CN"/>
                                  </w:rPr>
                                </m:ctrlPr>
                              </m:sSubPr>
                              <m:e>
                                <m:r>
                                  <m:rPr>
                                    <m:nor/>
                                  </m:rPr>
                                  <w:rPr>
                                    <w:i/>
                                    <w:lang w:eastAsia="zh-CN"/>
                                  </w:rPr>
                                  <m:t>T</m:t>
                                </m:r>
                              </m:e>
                              <m:sub>
                                <m:r>
                                  <m:rPr>
                                    <m:nor/>
                                  </m:rPr>
                                  <w:rPr>
                                    <w:i/>
                                    <w:lang w:eastAsia="zh-CN"/>
                                  </w:rPr>
                                  <m:t>ref</m:t>
                                </m:r>
                              </m:sub>
                            </m:sSub>
                          </m:den>
                        </m:f>
                      </m:e>
                    </m:d>
                  </m:e>
                  <m:sup>
                    <m:r>
                      <m:rPr>
                        <m:nor/>
                      </m:rPr>
                      <w:rPr>
                        <w:i/>
                        <w:lang w:eastAsia="zh-CN"/>
                      </w:rPr>
                      <m:t>3</m:t>
                    </m:r>
                  </m:sup>
                </m:sSup>
                <m:r>
                  <m:rPr>
                    <m:nor/>
                  </m:rPr>
                  <w:rPr>
                    <w:i/>
                    <w:lang w:eastAsia="zh-CN"/>
                  </w:rPr>
                  <m:t>exp</m:t>
                </m:r>
                <m:d>
                  <m:dPr>
                    <m:begChr m:val="["/>
                    <m:endChr m:val="]"/>
                    <m:ctrlPr>
                      <w:rPr>
                        <w:rFonts w:ascii="Cambria Math" w:hAnsi="Cambria Math"/>
                        <w:i/>
                        <w:lang w:eastAsia="zh-CN"/>
                      </w:rPr>
                    </m:ctrlPr>
                  </m:dPr>
                  <m:e>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E</m:t>
                            </m:r>
                          </m:e>
                          <m:sub>
                            <m:r>
                              <m:rPr>
                                <m:nor/>
                              </m:rPr>
                              <w:rPr>
                                <w:i/>
                                <w:lang w:eastAsia="zh-CN"/>
                              </w:rPr>
                              <m:t>g</m:t>
                            </m:r>
                          </m:sub>
                        </m:sSub>
                      </m:num>
                      <m:den>
                        <m:sSub>
                          <m:sSubPr>
                            <m:ctrlPr>
                              <w:rPr>
                                <w:rFonts w:ascii="Cambria Math" w:hAnsi="Cambria Math"/>
                                <w:i/>
                                <w:lang w:eastAsia="zh-CN"/>
                              </w:rPr>
                            </m:ctrlPr>
                          </m:sSubPr>
                          <m:e>
                            <m:r>
                              <m:rPr>
                                <m:nor/>
                              </m:rPr>
                              <w:rPr>
                                <w:i/>
                                <w:lang w:eastAsia="zh-CN"/>
                              </w:rPr>
                              <m:t>k</m:t>
                            </m:r>
                          </m:e>
                          <m:sub>
                            <m:r>
                              <m:rPr>
                                <m:nor/>
                              </m:rPr>
                              <w:rPr>
                                <w:i/>
                                <w:lang w:eastAsia="zh-CN"/>
                              </w:rPr>
                              <m:t>B</m:t>
                            </m:r>
                          </m:sub>
                        </m:sSub>
                      </m:den>
                    </m:f>
                    <m:d>
                      <m:dPr>
                        <m:ctrlPr>
                          <w:rPr>
                            <w:rFonts w:ascii="Cambria Math" w:hAnsi="Cambria Math"/>
                            <w:i/>
                            <w:lang w:eastAsia="zh-CN"/>
                          </w:rPr>
                        </m:ctrlPr>
                      </m:dPr>
                      <m:e>
                        <m:f>
                          <m:fPr>
                            <m:ctrlPr>
                              <w:rPr>
                                <w:rFonts w:ascii="Cambria Math" w:hAnsi="Cambria Math"/>
                                <w:i/>
                                <w:lang w:eastAsia="zh-CN"/>
                              </w:rPr>
                            </m:ctrlPr>
                          </m:fPr>
                          <m:num>
                            <m:r>
                              <m:rPr>
                                <m:nor/>
                              </m:rPr>
                              <w:rPr>
                                <w:i/>
                                <w:lang w:eastAsia="zh-CN"/>
                              </w:rPr>
                              <m:t>1</m:t>
                            </m:r>
                          </m:num>
                          <m:den>
                            <m:sSub>
                              <m:sSubPr>
                                <m:ctrlPr>
                                  <w:rPr>
                                    <w:rFonts w:ascii="Cambria Math" w:hAnsi="Cambria Math"/>
                                    <w:i/>
                                    <w:lang w:eastAsia="zh-CN"/>
                                  </w:rPr>
                                </m:ctrlPr>
                              </m:sSubPr>
                              <m:e>
                                <m:r>
                                  <m:rPr>
                                    <m:nor/>
                                  </m:rPr>
                                  <w:rPr>
                                    <w:i/>
                                    <w:lang w:eastAsia="zh-CN"/>
                                  </w:rPr>
                                  <m:t>T</m:t>
                                </m:r>
                              </m:e>
                              <m:sub>
                                <m:r>
                                  <m:rPr>
                                    <m:nor/>
                                  </m:rPr>
                                  <w:rPr>
                                    <w:i/>
                                    <w:lang w:eastAsia="zh-CN"/>
                                  </w:rPr>
                                  <m:t>ref</m:t>
                                </m:r>
                              </m:sub>
                            </m:sSub>
                          </m:den>
                        </m:f>
                        <m:r>
                          <m:rPr>
                            <m:nor/>
                          </m:rPr>
                          <w:rPr>
                            <w:i/>
                            <w:lang w:eastAsia="zh-CN"/>
                          </w:rPr>
                          <m:t>-</m:t>
                        </m:r>
                        <m:f>
                          <m:fPr>
                            <m:ctrlPr>
                              <w:rPr>
                                <w:rFonts w:ascii="Cambria Math" w:hAnsi="Cambria Math"/>
                                <w:i/>
                                <w:lang w:eastAsia="zh-CN"/>
                              </w:rPr>
                            </m:ctrlPr>
                          </m:fPr>
                          <m:num>
                            <m:r>
                              <m:rPr>
                                <m:nor/>
                              </m:rPr>
                              <w:rPr>
                                <w:i/>
                                <w:lang w:eastAsia="zh-CN"/>
                              </w:rPr>
                              <m:t>1</m:t>
                            </m:r>
                          </m:num>
                          <m:den>
                            <m:sSub>
                              <m:sSubPr>
                                <m:ctrlPr>
                                  <w:rPr>
                                    <w:rFonts w:ascii="Cambria Math" w:hAnsi="Cambria Math"/>
                                    <w:i/>
                                    <w:lang w:eastAsia="zh-CN"/>
                                  </w:rPr>
                                </m:ctrlPr>
                              </m:sSubPr>
                              <m:e>
                                <m:r>
                                  <m:rPr>
                                    <m:nor/>
                                  </m:rPr>
                                  <w:rPr>
                                    <w:i/>
                                    <w:lang w:eastAsia="zh-CN"/>
                                  </w:rPr>
                                  <m:t>T</m:t>
                                </m:r>
                              </m:e>
                              <m:sub>
                                <m:r>
                                  <m:rPr>
                                    <m:nor/>
                                  </m:rPr>
                                  <w:rPr>
                                    <w:i/>
                                    <w:lang w:eastAsia="zh-CN"/>
                                  </w:rPr>
                                  <m:t>c</m:t>
                                </m:r>
                              </m:sub>
                            </m:sSub>
                          </m:den>
                        </m:f>
                      </m:e>
                    </m:d>
                  </m:e>
                </m:d>
                <m:r>
                  <m:rPr>
                    <m:nor/>
                  </m:rPr>
                  <w:rPr>
                    <w:i/>
                    <w:lang w:eastAsia="zh-CN"/>
                  </w:rPr>
                  <m:t xml:space="preserve"> ,</m:t>
                </m:r>
              </m:oMath>
            </m:oMathPara>
          </w:p>
        </w:tc>
        <w:tc>
          <w:tcPr>
            <w:tcW w:w="1244" w:type="dxa"/>
            <w:vAlign w:val="center"/>
          </w:tcPr>
          <w:p w14:paraId="0A79F09C" w14:textId="415846C0" w:rsidR="00AD0CF6" w:rsidRDefault="00AD0CF6" w:rsidP="00D0732D">
            <w:pPr>
              <w:pStyle w:val="SWCText"/>
              <w:spacing w:after="0" w:line="240" w:lineRule="auto"/>
              <w:jc w:val="right"/>
              <w:rPr>
                <w:lang w:eastAsia="zh-CN"/>
              </w:rPr>
            </w:pPr>
            <w:r w:rsidRPr="00E35D8F">
              <w:rPr>
                <w:lang w:eastAsia="zh-CN"/>
              </w:rPr>
              <w:t>(eq.</w:t>
            </w:r>
            <w:r>
              <w:rPr>
                <w:rFonts w:hint="eastAsia"/>
                <w:lang w:eastAsia="zh-CN"/>
              </w:rPr>
              <w:t>6b</w:t>
            </w:r>
            <w:r w:rsidRPr="00E35D8F">
              <w:rPr>
                <w:lang w:eastAsia="zh-CN"/>
              </w:rPr>
              <w:t>)</w:t>
            </w:r>
          </w:p>
        </w:tc>
      </w:tr>
      <w:tr w:rsidR="00AD0CF6" w14:paraId="0E835698" w14:textId="77777777" w:rsidTr="00E645D3">
        <w:trPr>
          <w:trHeight w:val="553"/>
          <w:jc w:val="center"/>
        </w:trPr>
        <w:tc>
          <w:tcPr>
            <w:tcW w:w="7513" w:type="dxa"/>
          </w:tcPr>
          <w:p w14:paraId="24B0F958" w14:textId="3D09E7FF" w:rsidR="00AD0CF6" w:rsidRPr="004E6DDD" w:rsidRDefault="009030AC" w:rsidP="00D0732D">
            <w:pPr>
              <w:pStyle w:val="SWCText"/>
              <w:spacing w:after="0" w:line="240" w:lineRule="auto"/>
              <w:rPr>
                <w:i/>
                <w:lang w:eastAsia="zh-CN"/>
              </w:rPr>
            </w:pPr>
            <m:oMathPara>
              <m:oMath>
                <m:sSub>
                  <m:sSubPr>
                    <m:ctrlPr>
                      <w:rPr>
                        <w:rFonts w:ascii="Cambria Math" w:hAnsi="Cambria Math"/>
                        <w:i/>
                        <w:lang w:eastAsia="zh-CN"/>
                      </w:rPr>
                    </m:ctrlPr>
                  </m:sSubPr>
                  <m:e>
                    <m:r>
                      <m:rPr>
                        <m:nor/>
                      </m:rPr>
                      <w:rPr>
                        <w:i/>
                        <w:lang w:eastAsia="zh-CN"/>
                      </w:rPr>
                      <m:t>R</m:t>
                    </m:r>
                  </m:e>
                  <m:sub>
                    <m:r>
                      <m:rPr>
                        <m:nor/>
                      </m:rPr>
                      <w:rPr>
                        <w:i/>
                        <w:lang w:eastAsia="zh-CN"/>
                      </w:rPr>
                      <m:t>s</m:t>
                    </m:r>
                  </m:sub>
                </m:sSub>
                <m:r>
                  <m:rPr>
                    <m:nor/>
                  </m:rPr>
                  <w:rPr>
                    <w:i/>
                    <w:lang w:eastAsia="zh-CN"/>
                  </w:rPr>
                  <m:t>=</m:t>
                </m:r>
                <m:sSub>
                  <m:sSubPr>
                    <m:ctrlPr>
                      <w:rPr>
                        <w:rFonts w:ascii="Cambria Math" w:hAnsi="Cambria Math"/>
                        <w:i/>
                        <w:lang w:eastAsia="zh-CN"/>
                      </w:rPr>
                    </m:ctrlPr>
                  </m:sSubPr>
                  <m:e>
                    <m:r>
                      <m:rPr>
                        <m:nor/>
                      </m:rPr>
                      <w:rPr>
                        <w:i/>
                        <w:lang w:eastAsia="zh-CN"/>
                      </w:rPr>
                      <m:t>R</m:t>
                    </m:r>
                  </m:e>
                  <m:sub>
                    <w:proofErr w:type="spellStart"/>
                    <m:r>
                      <m:rPr>
                        <m:nor/>
                      </m:rPr>
                      <w:rPr>
                        <w:i/>
                        <w:lang w:eastAsia="zh-CN"/>
                      </w:rPr>
                      <m:t>s,ref</m:t>
                    </m:r>
                    <w:proofErr w:type="spellEnd"/>
                    <m:r>
                      <m:rPr>
                        <m:nor/>
                      </m:rPr>
                      <w:rPr>
                        <w:i/>
                        <w:lang w:eastAsia="zh-CN"/>
                      </w:rPr>
                      <m:t xml:space="preserve"> </m:t>
                    </m:r>
                  </m:sub>
                </m:sSub>
                <m:r>
                  <m:rPr>
                    <m:nor/>
                  </m:rPr>
                  <w:rPr>
                    <w:rFonts w:hint="eastAsia"/>
                    <w:i/>
                    <w:lang w:eastAsia="zh-CN"/>
                  </w:rPr>
                  <m:t xml:space="preserve">,          </m:t>
                </m:r>
                <m:r>
                  <m:rPr>
                    <m:nor/>
                  </m:rPr>
                  <w:rPr>
                    <w:i/>
                    <w:lang w:eastAsia="zh-CN"/>
                  </w:rPr>
                  <m:t xml:space="preserve"> </m:t>
                </m:r>
                <m:sSub>
                  <m:sSubPr>
                    <m:ctrlPr>
                      <w:rPr>
                        <w:rFonts w:ascii="Cambria Math" w:hAnsi="Cambria Math"/>
                        <w:i/>
                        <w:lang w:eastAsia="zh-CN"/>
                      </w:rPr>
                    </m:ctrlPr>
                  </m:sSubPr>
                  <m:e>
                    <m:r>
                      <m:rPr>
                        <m:nor/>
                      </m:rPr>
                      <w:rPr>
                        <w:i/>
                        <w:lang w:eastAsia="zh-CN"/>
                      </w:rPr>
                      <m:t>R</m:t>
                    </m:r>
                  </m:e>
                  <m:sub>
                    <m:r>
                      <m:rPr>
                        <m:nor/>
                      </m:rPr>
                      <w:rPr>
                        <w:i/>
                        <w:lang w:eastAsia="zh-CN"/>
                      </w:rPr>
                      <m:t>p</m:t>
                    </m:r>
                  </m:sub>
                </m:sSub>
                <m:r>
                  <m:rPr>
                    <m:nor/>
                  </m:rPr>
                  <w:rPr>
                    <w:i/>
                    <w:lang w:eastAsia="zh-CN"/>
                  </w:rPr>
                  <m:t>=</m:t>
                </m:r>
                <m:sSub>
                  <m:sSubPr>
                    <m:ctrlPr>
                      <w:rPr>
                        <w:rFonts w:ascii="Cambria Math" w:hAnsi="Cambria Math"/>
                        <w:i/>
                        <w:lang w:eastAsia="zh-CN"/>
                      </w:rPr>
                    </m:ctrlPr>
                  </m:sSubPr>
                  <m:e>
                    <m:r>
                      <m:rPr>
                        <m:nor/>
                      </m:rPr>
                      <w:rPr>
                        <w:i/>
                        <w:lang w:eastAsia="zh-CN"/>
                      </w:rPr>
                      <m:t>R</m:t>
                    </m:r>
                  </m:e>
                  <m:sub>
                    <w:proofErr w:type="spellStart"/>
                    <m:r>
                      <m:rPr>
                        <m:nor/>
                      </m:rPr>
                      <w:rPr>
                        <w:i/>
                        <w:lang w:eastAsia="zh-CN"/>
                      </w:rPr>
                      <m:t>p,ref</m:t>
                    </m:r>
                    <w:proofErr w:type="spellEnd"/>
                    <m:r>
                      <m:rPr>
                        <m:nor/>
                      </m:rPr>
                      <w:rPr>
                        <w:i/>
                        <w:lang w:eastAsia="zh-CN"/>
                      </w:rPr>
                      <m:t xml:space="preserve"> </m:t>
                    </m:r>
                  </m:sub>
                </m:sSub>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G</m:t>
                        </m:r>
                      </m:e>
                      <m:sub>
                        <m:r>
                          <m:rPr>
                            <m:nor/>
                          </m:rPr>
                          <w:rPr>
                            <w:i/>
                            <w:lang w:eastAsia="zh-CN"/>
                          </w:rPr>
                          <m:t>ref</m:t>
                        </m:r>
                      </m:sub>
                    </m:sSub>
                  </m:num>
                  <m:den>
                    <m:sSub>
                      <m:sSubPr>
                        <m:ctrlPr>
                          <w:rPr>
                            <w:rFonts w:ascii="Cambria Math" w:hAnsi="Cambria Math"/>
                            <w:i/>
                            <w:lang w:eastAsia="zh-CN"/>
                          </w:rPr>
                        </m:ctrlPr>
                      </m:sSubPr>
                      <m:e>
                        <m:r>
                          <m:rPr>
                            <m:nor/>
                          </m:rPr>
                          <w:rPr>
                            <w:i/>
                            <w:lang w:eastAsia="zh-CN"/>
                          </w:rPr>
                          <m:t>G</m:t>
                        </m:r>
                      </m:e>
                      <m:sub>
                        <m:r>
                          <m:rPr>
                            <m:nor/>
                          </m:rPr>
                          <w:rPr>
                            <w:i/>
                            <w:lang w:eastAsia="zh-CN"/>
                          </w:rPr>
                          <m:t>eq</m:t>
                        </m:r>
                      </m:sub>
                    </m:sSub>
                  </m:den>
                </m:f>
                <m:r>
                  <m:rPr>
                    <m:nor/>
                  </m:rPr>
                  <w:rPr>
                    <w:i/>
                    <w:lang w:eastAsia="zh-CN"/>
                  </w:rPr>
                  <m:t xml:space="preserve">  </m:t>
                </m:r>
                <m:r>
                  <m:rPr>
                    <m:nor/>
                  </m:rPr>
                  <w:rPr>
                    <w:rFonts w:hint="eastAsia"/>
                    <w:i/>
                    <w:lang w:eastAsia="zh-CN"/>
                  </w:rPr>
                  <m:t xml:space="preserve">,          </m:t>
                </m:r>
                <m:sSub>
                  <m:sSubPr>
                    <m:ctrlPr>
                      <w:rPr>
                        <w:rFonts w:ascii="Cambria Math" w:hAnsi="Cambria Math"/>
                        <w:i/>
                        <w:lang w:eastAsia="zh-CN"/>
                      </w:rPr>
                    </m:ctrlPr>
                  </m:sSubPr>
                  <m:e>
                    <m:r>
                      <m:rPr>
                        <m:nor/>
                      </m:rPr>
                      <w:rPr>
                        <w:i/>
                        <w:lang w:eastAsia="zh-CN"/>
                      </w:rPr>
                      <m:t>V</m:t>
                    </m:r>
                  </m:e>
                  <m:sub>
                    <m:r>
                      <m:rPr>
                        <m:nor/>
                      </m:rPr>
                      <w:rPr>
                        <w:i/>
                        <w:lang w:eastAsia="zh-CN"/>
                      </w:rPr>
                      <m:t>t</m:t>
                    </m:r>
                  </m:sub>
                </m:sSub>
                <m:r>
                  <m:rPr>
                    <m:nor/>
                  </m:rPr>
                  <w:rPr>
                    <w:i/>
                    <w:lang w:eastAsia="zh-CN"/>
                  </w:rPr>
                  <m:t>=</m:t>
                </m:r>
                <m:sSub>
                  <m:sSubPr>
                    <m:ctrlPr>
                      <w:rPr>
                        <w:rFonts w:ascii="Cambria Math" w:hAnsi="Cambria Math"/>
                        <w:i/>
                        <w:lang w:eastAsia="zh-CN"/>
                      </w:rPr>
                    </m:ctrlPr>
                  </m:sSubPr>
                  <m:e>
                    <m:r>
                      <m:rPr>
                        <m:nor/>
                      </m:rPr>
                      <w:rPr>
                        <w:i/>
                        <w:lang w:eastAsia="zh-CN"/>
                      </w:rPr>
                      <m:t>V</m:t>
                    </m:r>
                  </m:e>
                  <m:sub>
                    <w:proofErr w:type="spellStart"/>
                    <m:r>
                      <m:rPr>
                        <m:nor/>
                      </m:rPr>
                      <w:rPr>
                        <w:i/>
                        <w:lang w:eastAsia="zh-CN"/>
                      </w:rPr>
                      <m:t>t,ref</m:t>
                    </m:r>
                    <w:proofErr w:type="spellEnd"/>
                  </m:sub>
                </m:sSub>
                <m:r>
                  <m:rPr>
                    <m:nor/>
                  </m:rPr>
                  <w:rPr>
                    <w:i/>
                    <w:lang w:eastAsia="zh-CN"/>
                  </w:rPr>
                  <m:t xml:space="preserve"> </m:t>
                </m:r>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T</m:t>
                        </m:r>
                      </m:e>
                      <m:sub>
                        <m:r>
                          <m:rPr>
                            <m:nor/>
                          </m:rPr>
                          <w:rPr>
                            <w:i/>
                            <w:lang w:eastAsia="zh-CN"/>
                          </w:rPr>
                          <m:t>c</m:t>
                        </m:r>
                      </m:sub>
                    </m:sSub>
                  </m:num>
                  <m:den>
                    <m:sSub>
                      <m:sSubPr>
                        <m:ctrlPr>
                          <w:rPr>
                            <w:rFonts w:ascii="Cambria Math" w:hAnsi="Cambria Math"/>
                            <w:i/>
                            <w:lang w:eastAsia="zh-CN"/>
                          </w:rPr>
                        </m:ctrlPr>
                      </m:sSubPr>
                      <m:e>
                        <m:r>
                          <m:rPr>
                            <m:nor/>
                          </m:rPr>
                          <w:rPr>
                            <w:i/>
                            <w:lang w:eastAsia="zh-CN"/>
                          </w:rPr>
                          <m:t>T</m:t>
                        </m:r>
                      </m:e>
                      <m:sub>
                        <m:r>
                          <m:rPr>
                            <m:nor/>
                          </m:rPr>
                          <w:rPr>
                            <w:i/>
                            <w:lang w:eastAsia="zh-CN"/>
                          </w:rPr>
                          <m:t>ref</m:t>
                        </m:r>
                      </m:sub>
                    </m:sSub>
                  </m:den>
                </m:f>
                <m:r>
                  <m:rPr>
                    <m:nor/>
                  </m:rPr>
                  <w:rPr>
                    <w:i/>
                    <w:lang w:eastAsia="zh-CN"/>
                  </w:rPr>
                  <m:t xml:space="preserve">  .  </m:t>
                </m:r>
              </m:oMath>
            </m:oMathPara>
          </w:p>
        </w:tc>
        <w:tc>
          <w:tcPr>
            <w:tcW w:w="1244" w:type="dxa"/>
            <w:vAlign w:val="center"/>
          </w:tcPr>
          <w:p w14:paraId="345A7D3D" w14:textId="068C204A" w:rsidR="00AD0CF6" w:rsidRDefault="00AD0CF6" w:rsidP="00D0732D">
            <w:pPr>
              <w:pStyle w:val="SWCText"/>
              <w:spacing w:after="0" w:line="240" w:lineRule="auto"/>
              <w:jc w:val="right"/>
              <w:rPr>
                <w:lang w:eastAsia="zh-CN"/>
              </w:rPr>
            </w:pPr>
            <w:r w:rsidRPr="00E35D8F">
              <w:rPr>
                <w:lang w:eastAsia="zh-CN"/>
              </w:rPr>
              <w:t>(eq.</w:t>
            </w:r>
            <w:r>
              <w:rPr>
                <w:rFonts w:hint="eastAsia"/>
                <w:lang w:eastAsia="zh-CN"/>
              </w:rPr>
              <w:t>6c-</w:t>
            </w:r>
            <w:r w:rsidR="00E645D3">
              <w:rPr>
                <w:rFonts w:hint="eastAsia"/>
                <w:lang w:eastAsia="zh-CN"/>
              </w:rPr>
              <w:t>6e</w:t>
            </w:r>
            <w:r w:rsidRPr="00E35D8F">
              <w:rPr>
                <w:lang w:eastAsia="zh-CN"/>
              </w:rPr>
              <w:t>)</w:t>
            </w:r>
          </w:p>
        </w:tc>
      </w:tr>
    </w:tbl>
    <w:p w14:paraId="0ACC97BC" w14:textId="675862E8" w:rsidR="00A1237B" w:rsidRDefault="00891C3C" w:rsidP="00891C3C">
      <w:pPr>
        <w:pStyle w:val="SWCText"/>
        <w:rPr>
          <w:lang w:eastAsia="zh-CN"/>
        </w:rPr>
      </w:pPr>
      <w:r>
        <w:rPr>
          <w:lang w:eastAsia="zh-CN"/>
        </w:rPr>
        <w:t xml:space="preserve">Here, </w:t>
      </w:r>
      <w:proofErr w:type="spellStart"/>
      <w:r w:rsidRPr="00891C3C">
        <w:rPr>
          <w:i/>
          <w:iCs/>
          <w:lang w:eastAsia="zh-CN"/>
        </w:rPr>
        <w:t>G</w:t>
      </w:r>
      <w:r w:rsidRPr="00891C3C">
        <w:rPr>
          <w:i/>
          <w:iCs/>
          <w:vertAlign w:val="subscript"/>
          <w:lang w:eastAsia="zh-CN"/>
        </w:rPr>
        <w:t>ref</w:t>
      </w:r>
      <w:proofErr w:type="spellEnd"/>
      <w:r>
        <w:rPr>
          <w:rFonts w:hint="eastAsia"/>
          <w:i/>
          <w:iCs/>
          <w:vertAlign w:val="subscript"/>
          <w:lang w:eastAsia="zh-CN"/>
        </w:rPr>
        <w:t xml:space="preserve"> </w:t>
      </w:r>
      <w:r>
        <w:rPr>
          <w:lang w:eastAsia="zh-CN"/>
        </w:rPr>
        <w:t>=</w:t>
      </w:r>
      <w:r>
        <w:rPr>
          <w:rFonts w:hint="eastAsia"/>
          <w:lang w:eastAsia="zh-CN"/>
        </w:rPr>
        <w:t xml:space="preserve"> </w:t>
      </w:r>
      <w:r>
        <w:rPr>
          <w:lang w:eastAsia="zh-CN"/>
        </w:rPr>
        <w:t>1000 W</w:t>
      </w:r>
      <w:r>
        <w:rPr>
          <w:rFonts w:hint="eastAsia"/>
          <w:lang w:eastAsia="zh-CN"/>
        </w:rPr>
        <w:t xml:space="preserve"> </w:t>
      </w:r>
      <w:r>
        <w:rPr>
          <w:lang w:eastAsia="zh-CN"/>
        </w:rPr>
        <w:t>m</w:t>
      </w:r>
      <w:r w:rsidRPr="00891C3C">
        <w:rPr>
          <w:vertAlign w:val="superscript"/>
          <w:lang w:eastAsia="zh-CN"/>
        </w:rPr>
        <w:t>−2</w:t>
      </w:r>
      <w:r>
        <w:rPr>
          <w:lang w:eastAsia="zh-CN"/>
        </w:rPr>
        <w:t xml:space="preserve">, </w:t>
      </w:r>
      <w:proofErr w:type="spellStart"/>
      <w:r w:rsidRPr="00891C3C">
        <w:rPr>
          <w:i/>
          <w:iCs/>
          <w:lang w:eastAsia="zh-CN"/>
        </w:rPr>
        <w:t>T</w:t>
      </w:r>
      <w:r w:rsidRPr="00891C3C">
        <w:rPr>
          <w:i/>
          <w:iCs/>
          <w:vertAlign w:val="subscript"/>
          <w:lang w:eastAsia="zh-CN"/>
        </w:rPr>
        <w:t>ref</w:t>
      </w:r>
      <w:proofErr w:type="spellEnd"/>
      <w:r>
        <w:rPr>
          <w:rFonts w:hint="eastAsia"/>
          <w:lang w:eastAsia="zh-CN"/>
        </w:rPr>
        <w:t xml:space="preserve"> </w:t>
      </w:r>
      <w:r>
        <w:rPr>
          <w:lang w:eastAsia="zh-CN"/>
        </w:rPr>
        <w:t>=</w:t>
      </w:r>
      <w:r>
        <w:rPr>
          <w:rFonts w:hint="eastAsia"/>
          <w:lang w:eastAsia="zh-CN"/>
        </w:rPr>
        <w:t xml:space="preserve"> </w:t>
      </w:r>
      <w:r>
        <w:rPr>
          <w:lang w:eastAsia="zh-CN"/>
        </w:rPr>
        <w:t xml:space="preserve">298.15 K, </w:t>
      </w:r>
      <w:r w:rsidRPr="00891C3C">
        <w:rPr>
          <w:i/>
          <w:iCs/>
          <w:lang w:eastAsia="zh-CN"/>
        </w:rPr>
        <w:t>α</w:t>
      </w:r>
      <w:proofErr w:type="spellStart"/>
      <w:r w:rsidRPr="00891C3C">
        <w:rPr>
          <w:i/>
          <w:iCs/>
          <w:vertAlign w:val="subscript"/>
          <w:lang w:eastAsia="zh-CN"/>
        </w:rPr>
        <w:t>Isc</w:t>
      </w:r>
      <w:proofErr w:type="spellEnd"/>
      <w:r>
        <w:rPr>
          <w:rFonts w:hint="eastAsia"/>
          <w:lang w:eastAsia="zh-CN"/>
        </w:rPr>
        <w:t xml:space="preserve"> </w:t>
      </w:r>
      <w:r>
        <w:rPr>
          <w:lang w:eastAsia="zh-CN"/>
        </w:rPr>
        <w:t>=</w:t>
      </w:r>
      <w:r>
        <w:rPr>
          <w:rFonts w:hint="eastAsia"/>
          <w:lang w:eastAsia="zh-CN"/>
        </w:rPr>
        <w:t xml:space="preserve"> </w:t>
      </w:r>
      <w:r>
        <w:rPr>
          <w:lang w:eastAsia="zh-CN"/>
        </w:rPr>
        <w:t>7.53×10</w:t>
      </w:r>
      <w:r w:rsidRPr="00891C3C">
        <w:rPr>
          <w:vertAlign w:val="superscript"/>
          <w:lang w:eastAsia="zh-CN"/>
        </w:rPr>
        <w:t>−3</w:t>
      </w:r>
      <w:r>
        <w:rPr>
          <w:lang w:eastAsia="zh-CN"/>
        </w:rPr>
        <w:t xml:space="preserve"> A</w:t>
      </w:r>
      <w:r>
        <w:rPr>
          <w:rFonts w:hint="eastAsia"/>
          <w:lang w:eastAsia="zh-CN"/>
        </w:rPr>
        <w:t xml:space="preserve"> </w:t>
      </w:r>
      <w:r>
        <w:rPr>
          <w:lang w:eastAsia="zh-CN"/>
        </w:rPr>
        <w:t>K</w:t>
      </w:r>
      <w:r w:rsidRPr="00891C3C">
        <w:rPr>
          <w:vertAlign w:val="superscript"/>
          <w:lang w:eastAsia="zh-CN"/>
        </w:rPr>
        <w:t>−1</w:t>
      </w:r>
      <w:r>
        <w:rPr>
          <w:lang w:eastAsia="zh-CN"/>
        </w:rPr>
        <w:t xml:space="preserve">, and </w:t>
      </w:r>
      <w:proofErr w:type="spellStart"/>
      <w:r w:rsidRPr="00891C3C">
        <w:rPr>
          <w:i/>
          <w:iCs/>
          <w:lang w:eastAsia="zh-CN"/>
        </w:rPr>
        <w:t>E</w:t>
      </w:r>
      <w:r w:rsidRPr="00891C3C">
        <w:rPr>
          <w:i/>
          <w:iCs/>
          <w:vertAlign w:val="subscript"/>
          <w:lang w:eastAsia="zh-CN"/>
        </w:rPr>
        <w:t>g</w:t>
      </w:r>
      <w:proofErr w:type="spellEnd"/>
      <w:r>
        <w:rPr>
          <w:rFonts w:hint="eastAsia"/>
          <w:i/>
          <w:iCs/>
          <w:lang w:eastAsia="zh-CN"/>
        </w:rPr>
        <w:t xml:space="preserve"> </w:t>
      </w:r>
      <w:r>
        <w:rPr>
          <w:lang w:eastAsia="zh-CN"/>
        </w:rPr>
        <w:t>=</w:t>
      </w:r>
      <w:r>
        <w:rPr>
          <w:rFonts w:hint="eastAsia"/>
          <w:lang w:eastAsia="zh-CN"/>
        </w:rPr>
        <w:t xml:space="preserve"> </w:t>
      </w:r>
      <w:r>
        <w:rPr>
          <w:lang w:eastAsia="zh-CN"/>
        </w:rPr>
        <w:t>1.7936×10</w:t>
      </w:r>
      <w:r w:rsidRPr="00891C3C">
        <w:rPr>
          <w:vertAlign w:val="superscript"/>
          <w:lang w:eastAsia="zh-CN"/>
        </w:rPr>
        <w:t>−19</w:t>
      </w:r>
      <w:r>
        <w:rPr>
          <w:lang w:eastAsia="zh-CN"/>
        </w:rPr>
        <w:t xml:space="preserve"> J. The temperature dependence of power output was represented through this single-diode parameter translation. No additional linear maximum-power temperature correction was applied.</w:t>
      </w:r>
    </w:p>
    <w:p w14:paraId="0229CBD1" w14:textId="524A7063" w:rsidR="004817D6" w:rsidRDefault="00E83A6F" w:rsidP="00E83A6F">
      <w:pPr>
        <w:pStyle w:val="SWCText"/>
        <w:rPr>
          <w:lang w:eastAsia="zh-CN"/>
        </w:rPr>
      </w:pPr>
      <w:r>
        <w:rPr>
          <w:lang w:eastAsia="zh-CN"/>
        </w:rPr>
        <w:t xml:space="preserve">At each electro-thermal update, the implicit single-diode equation was solved using Newton iteration at 500 </w:t>
      </w:r>
      <w:r>
        <w:rPr>
          <w:lang w:eastAsia="zh-CN"/>
        </w:rPr>
        <w:lastRenderedPageBreak/>
        <w:t xml:space="preserve">uniformly spaced voltage points between zero and </w:t>
      </w:r>
      <w:proofErr w:type="spellStart"/>
      <w:r w:rsidRPr="00E83A6F">
        <w:rPr>
          <w:i/>
          <w:iCs/>
          <w:lang w:eastAsia="zh-CN"/>
        </w:rPr>
        <w:t>V</w:t>
      </w:r>
      <w:r w:rsidRPr="00E83A6F">
        <w:rPr>
          <w:i/>
          <w:iCs/>
          <w:vertAlign w:val="subscript"/>
          <w:lang w:eastAsia="zh-CN"/>
        </w:rPr>
        <w:t>oc,ref</w:t>
      </w:r>
      <w:proofErr w:type="spellEnd"/>
      <w:r>
        <w:rPr>
          <w:rFonts w:hint="eastAsia"/>
          <w:lang w:eastAsia="zh-CN"/>
        </w:rPr>
        <w:t>.</w:t>
      </w:r>
      <w:r>
        <w:rPr>
          <w:lang w:eastAsia="zh-CN"/>
        </w:rPr>
        <w:t xml:space="preserve"> The voltage–current pair producing the maximum value of </w:t>
      </w:r>
      <w:r w:rsidRPr="00A3409F">
        <w:rPr>
          <w:i/>
          <w:iCs/>
          <w:lang w:eastAsia="zh-CN"/>
        </w:rPr>
        <w:t>VI</w:t>
      </w:r>
      <w:r>
        <w:rPr>
          <w:lang w:eastAsia="zh-CN"/>
        </w:rPr>
        <w:t xml:space="preserve"> was selected as the module </w:t>
      </w:r>
      <w:r w:rsidR="005C120E">
        <w:rPr>
          <w:rFonts w:hint="eastAsia"/>
          <w:lang w:eastAsia="zh-CN"/>
        </w:rPr>
        <w:t>MPP</w:t>
      </w:r>
      <w:r>
        <w:rPr>
          <w:lang w:eastAsia="zh-CN"/>
        </w:rPr>
        <w:t xml:space="preserve">. </w:t>
      </w:r>
    </w:p>
    <w:p w14:paraId="3C632E27" w14:textId="2819D1A4" w:rsidR="0066084D" w:rsidRDefault="0066084D" w:rsidP="00EE09F2">
      <w:pPr>
        <w:pStyle w:val="SWCText"/>
      </w:pPr>
      <w:r w:rsidRPr="0066084D">
        <w:t xml:space="preserve">The thermal model represented the </w:t>
      </w:r>
      <w:proofErr w:type="spellStart"/>
      <w:r w:rsidRPr="0066084D">
        <w:t>bPV</w:t>
      </w:r>
      <w:proofErr w:type="spellEnd"/>
      <w:r w:rsidRPr="0066084D">
        <w:t xml:space="preserve"> module as a lumped five-node transient </w:t>
      </w:r>
      <w:r w:rsidR="00400075" w:rsidRPr="00400075">
        <w:rPr>
          <w:lang w:val="de-DE"/>
        </w:rPr>
        <w:t>RC</w:t>
      </w:r>
      <w:r w:rsidRPr="0066084D">
        <w:t xml:space="preserve"> network consisting of front glass, upper ethylene-vinyl acetate</w:t>
      </w:r>
      <w:r w:rsidR="004B15EA">
        <w:rPr>
          <w:rFonts w:hint="eastAsia"/>
          <w:lang w:eastAsia="zh-CN"/>
        </w:rPr>
        <w:t xml:space="preserve"> </w:t>
      </w:r>
      <w:r w:rsidR="004B15EA" w:rsidRPr="004B15EA">
        <w:rPr>
          <w:lang w:val="de-DE"/>
        </w:rPr>
        <w:t>(EVA)</w:t>
      </w:r>
      <w:r w:rsidRPr="0066084D">
        <w:t xml:space="preserve">, the PV cell layer, lower </w:t>
      </w:r>
      <w:r w:rsidR="008A543A" w:rsidRPr="004B15EA">
        <w:rPr>
          <w:lang w:val="de-DE"/>
        </w:rPr>
        <w:t>EVA</w:t>
      </w:r>
      <w:r w:rsidRPr="0066084D">
        <w:t xml:space="preserve">, and rear glass, following </w:t>
      </w:r>
      <w:r w:rsidRPr="00E35D8F">
        <w:fldChar w:fldCharType="begin"/>
      </w:r>
      <w:r w:rsidRPr="00E35D8F">
        <w:instrText xml:space="preserve"> ADDIN ZOTERO_ITEM CSL_CITATION {"citationID":"NUATaS3F","properties":{"unsorted":false,"formattedCitation":"(Gu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gain.","container-title":"Applied Energy","DOI":"10.1016/j.apenergy.2019.114075","ISSN":"03062619","journalAbbreviation":"Applied Energy","language":"en","note":"titleTranslation: </w:instrText>
      </w:r>
      <w:r w:rsidRPr="00E35D8F">
        <w:instrText>双面光伏组件的光</w:instrText>
      </w:r>
      <w:r w:rsidRPr="00E35D8F">
        <w:instrText>-</w:instrText>
      </w:r>
      <w:r w:rsidRPr="00E35D8F">
        <w:instrText>电</w:instrText>
      </w:r>
      <w:r w:rsidRPr="00E35D8F">
        <w:instrText>-</w:instrText>
      </w:r>
      <w:r w:rsidRPr="00E35D8F">
        <w:instrText>热耦合模型</w:instrText>
      </w:r>
      <w:r w:rsidRPr="00E35D8F">
        <w:instrText xml:space="preserve">\nabstractTranslation: </w:instrText>
      </w:r>
      <w:r w:rsidRPr="00E35D8F">
        <w:instrText>双面光伏（</w:instrText>
      </w:r>
      <w:r w:rsidRPr="00E35D8F">
        <w:instrText>PV</w:instrText>
      </w:r>
      <w:r w:rsidRPr="00E35D8F">
        <w:instrText>）技术可同时从前后两面收集太阳光以实现高发电量，近年来已在全球市场盛行，但学术界对这一新技术的关注有限，尤其是多物理场仿真理论研究。本文建立了双面光伏组件的光</w:instrText>
      </w:r>
      <w:r w:rsidRPr="00E35D8F">
        <w:instrText>-</w:instrText>
      </w:r>
      <w:r w:rsidRPr="00E35D8F">
        <w:instrText>电</w:instrText>
      </w:r>
      <w:r w:rsidRPr="00E35D8F">
        <w:instrText>-</w:instrText>
      </w:r>
      <w:r w:rsidRPr="00E35D8F">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Pr="00E35D8F">
        <w:instrText xml:space="preserve"> 25.58% </w:instrText>
      </w:r>
      <w:r w:rsidRPr="00E35D8F">
        <w:instrText>和</w:instrText>
      </w:r>
      <w:r w:rsidRPr="00E35D8F">
        <w:instrText xml:space="preserve"> 28.21%</w:instrText>
      </w:r>
      <w:r w:rsidRPr="00E35D8F">
        <w:instrText>，香港和上海的年双面增益超过</w:instrText>
      </w:r>
      <w:r w:rsidRPr="00E35D8F">
        <w:instrText xml:space="preserve"> 22%</w:instrText>
      </w:r>
      <w:r w:rsidRPr="00E35D8F">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Pr="00E35D8F">
        <w:instrText xml:space="preserve">","page":"114075","source":"DOI.org (Crossref)","title":"A coupled optical-electrical-thermal model of the bifacial photovoltaic modu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Pr="00E35D8F">
        <w:fldChar w:fldCharType="separate"/>
      </w:r>
      <w:r w:rsidRPr="00E35D8F">
        <w:t xml:space="preserve">Gu et al. </w:t>
      </w:r>
      <w:r w:rsidRPr="00E35D8F">
        <w:rPr>
          <w:lang w:eastAsia="zh-CN"/>
        </w:rPr>
        <w:t>(</w:t>
      </w:r>
      <w:r w:rsidRPr="00E35D8F">
        <w:t>2020)</w:t>
      </w:r>
      <w:r w:rsidRPr="00E35D8F">
        <w:fldChar w:fldCharType="end"/>
      </w:r>
      <w:r w:rsidRPr="0066084D">
        <w:t>. The model accounted for inter-layer conduction, solar absorption by the two glass layers, transmitted irradiance absorbed by the cell layer, electrical power extraction from the cell-layer heat balance, convective heat exchange at both module surfaces, front-side longwave radiation to the sky, and rear-side longwave radiation to the equivalent roof radiative environment.</w:t>
      </w:r>
    </w:p>
    <w:p w14:paraId="2CD0FD3A" w14:textId="3FE783D9" w:rsidR="00F81CA3" w:rsidRDefault="00F81CA3" w:rsidP="00EE09F2">
      <w:pPr>
        <w:pStyle w:val="SWCText"/>
      </w:pPr>
      <w:r w:rsidRPr="00F81CA3">
        <w:t>The effective module area used in the thermal model was 2.7 m</w:t>
      </w:r>
      <w:r w:rsidRPr="00F81CA3">
        <w:rPr>
          <w:vertAlign w:val="superscript"/>
        </w:rPr>
        <w:t>2</w:t>
      </w:r>
      <w:r w:rsidRPr="00F81CA3">
        <w:t xml:space="preserve">. The glass emissivity, solar absorptivity, and solar transmittance were 0.85, 0.018, and 0.95, respectively. The thicknesses and thermophysical properties of the glass, EVA, and silicon-cell layers were adopted from </w:t>
      </w:r>
      <w:r w:rsidR="00DE65CB" w:rsidRPr="00E35D8F">
        <w:fldChar w:fldCharType="begin"/>
      </w:r>
      <w:r w:rsidR="00EC75AE">
        <w:instrText xml:space="preserve"> ADDIN ZOTERO_ITEM CSL_CITATION {"citationID":"BdDvNCLu","properties":{"unsorted":false,"formattedCitation":"(Gu et al., 2020)","plainCitation":"(Gu et al., 2020)","dontUpdate":true,"noteIndex":0},"citationItems":[{"id":205,"uris":["http://zotero.org/users/17474343/items/PFZVXNHQ"],"itemData":{"id":205,"type":"article-journal","abstract":"The bifacial photovoltaic (PV) technology has become prevalent in the global market in recent years as it can simultaneously collect the sunlight from both front and rear sides to achieve high power generation, however, there is limited attention from academic circle on this new technology particularly theory study in multiphysics simulation. This paper develops a comprehensive optical-electrical-thermal model for the bifacial PV module, in which the global irradiances of the tilted front and rear surfaces are obtained through the optical model, the cell temperature through the thermal model, and the power output through the electrical model accordingly. After validation, the coupled model is employed to conduct daily and yearly performance estimations, demonstrating 25.58% and 28.21% of the daily bifacial gain for sunny and cloudy days, respectively, and more than 22% of the yearly bifacial gain for Hong Kong and Shanghai. Besides, it is found that the bifacial gain under low irradiance is relatively high due to high diffuse fraction, indicating that bifacial modules have an advantage in adapting to various weather conditions, especially cloudy days. Furthermore, some suggestions are proposed to optimize the bifacial module by considering the effects of various installation and weather parameters on the PV generation. A tracking bifacial module, installed at an optimum tilt angle with high albedo, elevation, irradiance and wind velocity, but low ambient temperature, could achieve high energy yield, while a bifacial module facing east with high albedo, tilt angle, elevation, diffuse fraction, ambient temperature and wind velocity could achieve high bifacial gain.","conta</w:instrText>
      </w:r>
      <w:r w:rsidR="00EC75AE">
        <w:rPr>
          <w:rFonts w:hint="eastAsia"/>
        </w:rPr>
        <w:instrText xml:space="preserve">iner-title":"Applied Energy","DOI":"10.1016/j.apenergy.2019.114075","ISSN":"03062619","journalAbbreviation":"Applied Energy","language":"en","note":"titleTranslation: </w:instrText>
      </w:r>
      <w:r w:rsidR="00EC75AE">
        <w:rPr>
          <w:rFonts w:hint="eastAsia"/>
        </w:rPr>
        <w:instrText>双面光伏组件的光</w:instrText>
      </w:r>
      <w:r w:rsidR="00EC75AE">
        <w:rPr>
          <w:rFonts w:hint="eastAsia"/>
        </w:rPr>
        <w:instrText>-</w:instrText>
      </w:r>
      <w:r w:rsidR="00EC75AE">
        <w:rPr>
          <w:rFonts w:hint="eastAsia"/>
        </w:rPr>
        <w:instrText>电</w:instrText>
      </w:r>
      <w:r w:rsidR="00EC75AE">
        <w:rPr>
          <w:rFonts w:hint="eastAsia"/>
        </w:rPr>
        <w:instrText>-</w:instrText>
      </w:r>
      <w:r w:rsidR="00EC75AE">
        <w:rPr>
          <w:rFonts w:hint="eastAsia"/>
        </w:rPr>
        <w:instrText>热耦合模型</w:instrText>
      </w:r>
      <w:r w:rsidR="00EC75AE">
        <w:rPr>
          <w:rFonts w:hint="eastAsia"/>
        </w:rPr>
        <w:instrText xml:space="preserve">\nabstractTranslation: </w:instrText>
      </w:r>
      <w:r w:rsidR="00EC75AE">
        <w:rPr>
          <w:rFonts w:hint="eastAsia"/>
        </w:rPr>
        <w:instrText>双面光伏（</w:instrText>
      </w:r>
      <w:r w:rsidR="00EC75AE">
        <w:rPr>
          <w:rFonts w:hint="eastAsia"/>
        </w:rPr>
        <w:instrText>PV</w:instrText>
      </w:r>
      <w:r w:rsidR="00EC75AE">
        <w:rPr>
          <w:rFonts w:hint="eastAsia"/>
        </w:rPr>
        <w:instrText>）技术可同时从前后两面收集太阳光以实现高发电量，近年来已在全球市场盛行，但学术界对这一新技术的关注有限，尤其是多物理场仿真理论研究。本文建立了双面光伏组件的光</w:instrText>
      </w:r>
      <w:r w:rsidR="00EC75AE">
        <w:rPr>
          <w:rFonts w:hint="eastAsia"/>
        </w:rPr>
        <w:instrText>-</w:instrText>
      </w:r>
      <w:r w:rsidR="00EC75AE">
        <w:rPr>
          <w:rFonts w:hint="eastAsia"/>
        </w:rPr>
        <w:instrText>电</w:instrText>
      </w:r>
      <w:r w:rsidR="00EC75AE">
        <w:rPr>
          <w:rFonts w:hint="eastAsia"/>
        </w:rPr>
        <w:instrText>-</w:instrText>
      </w:r>
      <w:r w:rsidR="00EC75AE">
        <w:rPr>
          <w:rFonts w:hint="eastAsia"/>
        </w:rPr>
        <w:instrText>热综合模型，通过光学模型获得倾斜前后表面的全局辐照度，通过热学模型获得电池温度，通过电学模型获得相应的功率输出。经过验证后，利用耦合模型进行了日性能和年性能估算，结果表明晴天和阴天的日双面增益分别为</w:instrText>
      </w:r>
      <w:r w:rsidR="00EC75AE">
        <w:rPr>
          <w:rFonts w:hint="eastAsia"/>
        </w:rPr>
        <w:instrText xml:space="preserve"> 25.58% </w:instrText>
      </w:r>
      <w:r w:rsidR="00EC75AE">
        <w:rPr>
          <w:rFonts w:hint="eastAsia"/>
        </w:rPr>
        <w:instrText>和</w:instrText>
      </w:r>
      <w:r w:rsidR="00EC75AE">
        <w:rPr>
          <w:rFonts w:hint="eastAsia"/>
        </w:rPr>
        <w:instrText xml:space="preserve"> 28.21%</w:instrText>
      </w:r>
      <w:r w:rsidR="00EC75AE">
        <w:rPr>
          <w:rFonts w:hint="eastAsia"/>
        </w:rPr>
        <w:instrText>，香港和上海的年双面增益超过</w:instrText>
      </w:r>
      <w:r w:rsidR="00EC75AE">
        <w:rPr>
          <w:rFonts w:hint="eastAsia"/>
        </w:rPr>
        <w:instrText xml:space="preserve"> 22%</w:instrText>
      </w:r>
      <w:r w:rsidR="00EC75AE">
        <w:rPr>
          <w:rFonts w:hint="eastAsia"/>
        </w:rPr>
        <w:instrText>。此外，研究还发现，由于漫射部分较高，低辐照度下的双面增益相对较高，这表明双面组件在适应各种天气条件（尤其是阴天）方面具有优势。此外，考虑到各种安装和天气参数对光伏发电的影响，还提出了一些优化双面组件的建议。在反照率、仰角、辐照度和风速较高但环境温度较低的最佳倾角下安装跟踪式双面组件，可获得较高的发电量；而在反照率、倾角、仰角、漫射部分、环境温度和风速较高的情况下，朝东安装双面组件，可获得较高的双面增益。</w:instrText>
      </w:r>
      <w:r w:rsidR="00EC75AE">
        <w:rPr>
          <w:rFonts w:hint="eastAsia"/>
        </w:rPr>
        <w:instrText>","page":"114075","source":"DOI.org (Crossref)","title":"A coupled optical-electrical-thermal model of the bifacial photovoltaic modu</w:instrText>
      </w:r>
      <w:r w:rsidR="00EC75AE">
        <w:instrText xml:space="preserve">le","URL":"https://linkinghub.elsevier.com/retrieve/pii/S0306261919317623","volume":"258","author":[{"family":"Gu","given":"Wenbo"},{"family":"Ma","given":"Tao"},{"family":"Li","given":"Meng"},{"family":"Shen","given":"Lu"},{"family":"Zhang","given":"Yijie"}],"accessed":{"date-parts":[["2025",9,26]]},"issued":{"date-parts":[["2020",1]]}}}],"schema":"https://github.com/citation-style-language/schema/raw/master/csl-citation.json"} </w:instrText>
      </w:r>
      <w:r w:rsidR="00DE65CB" w:rsidRPr="00E35D8F">
        <w:fldChar w:fldCharType="separate"/>
      </w:r>
      <w:r w:rsidR="00DE65CB" w:rsidRPr="00E35D8F">
        <w:t xml:space="preserve">Gu et al. </w:t>
      </w:r>
      <w:r w:rsidR="00DE65CB" w:rsidRPr="00E35D8F">
        <w:rPr>
          <w:lang w:eastAsia="zh-CN"/>
        </w:rPr>
        <w:t>(</w:t>
      </w:r>
      <w:r w:rsidR="00DE65CB" w:rsidRPr="00E35D8F">
        <w:t>2020)</w:t>
      </w:r>
      <w:r w:rsidR="00DE65CB" w:rsidRPr="00E35D8F">
        <w:fldChar w:fldCharType="end"/>
      </w:r>
      <w:r w:rsidRPr="00F81CA3">
        <w:t xml:space="preserve">. </w:t>
      </w:r>
    </w:p>
    <w:p w14:paraId="21B31B8E" w14:textId="02762A6D" w:rsidR="004C5A6E" w:rsidRPr="00E35D8F" w:rsidRDefault="00F45BF6" w:rsidP="00EE09F2">
      <w:pPr>
        <w:pStyle w:val="SWCText"/>
        <w:rPr>
          <w:lang w:eastAsia="zh-CN"/>
        </w:rPr>
      </w:pPr>
      <w:r w:rsidRPr="00F45BF6">
        <w:rPr>
          <w:lang w:val="de-DE"/>
        </w:rPr>
        <w:t>The transient heat balance of the PV cell layer was represented as</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9"/>
        <w:gridCol w:w="688"/>
      </w:tblGrid>
      <w:tr w:rsidR="00252BCD" w:rsidRPr="00E35D8F" w14:paraId="784B5C05" w14:textId="77777777" w:rsidTr="003A221B">
        <w:trPr>
          <w:jc w:val="center"/>
        </w:trPr>
        <w:tc>
          <w:tcPr>
            <w:tcW w:w="8069" w:type="dxa"/>
            <w:vAlign w:val="center"/>
          </w:tcPr>
          <w:p w14:paraId="6F34C9C2" w14:textId="77777777" w:rsidR="00252BCD" w:rsidRPr="00330E17" w:rsidRDefault="009030AC" w:rsidP="003A221B">
            <w:pPr>
              <w:pStyle w:val="SWCText"/>
              <w:spacing w:after="0"/>
              <w:rPr>
                <w:i/>
                <w:lang w:eastAsia="zh-CN"/>
              </w:rPr>
            </w:pPr>
            <m:oMathPara>
              <m:oMathParaPr>
                <m:jc m:val="center"/>
              </m:oMathParaPr>
              <m:oMath>
                <m:sSub>
                  <m:sSubPr>
                    <m:ctrlPr>
                      <w:rPr>
                        <w:rFonts w:ascii="Cambria Math" w:hAnsi="Cambria Math"/>
                        <w:i/>
                        <w:lang w:eastAsia="zh-CN"/>
                      </w:rPr>
                    </m:ctrlPr>
                  </m:sSubPr>
                  <m:e>
                    <m:r>
                      <m:rPr>
                        <m:nor/>
                      </m:rPr>
                      <w:rPr>
                        <w:i/>
                        <w:lang w:eastAsia="zh-CN"/>
                      </w:rPr>
                      <m:t>C</m:t>
                    </m:r>
                  </m:e>
                  <m:sub>
                    <w:proofErr w:type="spellStart"/>
                    <m:r>
                      <m:rPr>
                        <m:nor/>
                      </m:rPr>
                      <w:rPr>
                        <w:i/>
                        <w:lang w:eastAsia="zh-CN"/>
                      </w:rPr>
                      <m:t>c</m:t>
                    </m:r>
                    <w:proofErr w:type="spellEnd"/>
                  </m:sub>
                </m:sSub>
                <m:f>
                  <m:fPr>
                    <m:ctrlPr>
                      <w:rPr>
                        <w:rFonts w:ascii="Cambria Math" w:hAnsi="Cambria Math"/>
                        <w:i/>
                        <w:lang w:eastAsia="zh-CN"/>
                      </w:rPr>
                    </m:ctrlPr>
                  </m:fPr>
                  <m:num>
                    <m:box>
                      <m:boxPr>
                        <m:diff m:val="1"/>
                        <m:ctrlPr>
                          <w:rPr>
                            <w:rFonts w:ascii="Cambria Math" w:hAnsi="Cambria Math"/>
                            <w:i/>
                            <w:lang w:eastAsia="zh-CN"/>
                          </w:rPr>
                        </m:ctrlPr>
                      </m:boxPr>
                      <m:e>
                        <m:r>
                          <m:rPr>
                            <m:nor/>
                          </m:rPr>
                          <w:rPr>
                            <w:i/>
                          </w:rPr>
                          <m:t>d</m:t>
                        </m:r>
                        <m:sSub>
                          <m:sSubPr>
                            <m:ctrlPr>
                              <w:rPr>
                                <w:rFonts w:ascii="Cambria Math" w:hAnsi="Cambria Math"/>
                                <w:i/>
                              </w:rPr>
                            </m:ctrlPr>
                          </m:sSubPr>
                          <m:e>
                            <m:r>
                              <m:rPr>
                                <m:nor/>
                              </m:rPr>
                              <w:rPr>
                                <w:i/>
                              </w:rPr>
                              <m:t>T</m:t>
                            </m:r>
                          </m:e>
                          <m:sub>
                            <m:r>
                              <m:rPr>
                                <m:nor/>
                              </m:rPr>
                              <w:rPr>
                                <w:i/>
                              </w:rPr>
                              <m:t>c</m:t>
                            </m:r>
                          </m:sub>
                        </m:sSub>
                      </m:e>
                    </m:box>
                  </m:num>
                  <m:den>
                    <m:box>
                      <m:boxPr>
                        <m:diff m:val="1"/>
                        <m:ctrlPr>
                          <w:rPr>
                            <w:rFonts w:ascii="Cambria Math" w:hAnsi="Cambria Math"/>
                            <w:i/>
                            <w:lang w:eastAsia="zh-CN"/>
                          </w:rPr>
                        </m:ctrlPr>
                      </m:boxPr>
                      <m:e>
                        <m:r>
                          <m:rPr>
                            <m:nor/>
                          </m:rPr>
                          <w:rPr>
                            <w:i/>
                          </w:rPr>
                          <m:t>dt</m:t>
                        </m:r>
                      </m:e>
                    </m:box>
                  </m:den>
                </m:f>
                <m:r>
                  <m:rPr>
                    <m:nor/>
                  </m:rPr>
                  <w:rPr>
                    <w:i/>
                    <w:lang w:eastAsia="zh-CN"/>
                  </w:rPr>
                  <m:t>=</m:t>
                </m:r>
                <m:sSub>
                  <m:sSubPr>
                    <m:ctrlPr>
                      <w:rPr>
                        <w:rFonts w:ascii="Cambria Math" w:hAnsi="Cambria Math"/>
                        <w:i/>
                        <w:lang w:eastAsia="zh-CN"/>
                      </w:rPr>
                    </m:ctrlPr>
                  </m:sSubPr>
                  <m:e>
                    <m:r>
                      <m:rPr>
                        <m:nor/>
                      </m:rPr>
                      <w:rPr>
                        <w:i/>
                        <w:lang w:eastAsia="zh-CN"/>
                      </w:rPr>
                      <m:t>Q</m:t>
                    </m:r>
                  </m:e>
                  <m:sub>
                    <w:proofErr w:type="spellStart"/>
                    <m:r>
                      <m:rPr>
                        <m:nor/>
                      </m:rPr>
                      <w:rPr>
                        <w:i/>
                        <w:lang w:eastAsia="zh-CN"/>
                      </w:rPr>
                      <m:t>abs,c</m:t>
                    </m:r>
                    <w:proofErr w:type="spellEnd"/>
                  </m:sub>
                </m:sSub>
                <m:r>
                  <m:rPr>
                    <m:nor/>
                  </m:rPr>
                  <w:rPr>
                    <w:i/>
                    <w:lang w:eastAsia="zh-CN"/>
                  </w:rPr>
                  <m:t>-</m:t>
                </m:r>
                <m:sSub>
                  <m:sSubPr>
                    <m:ctrlPr>
                      <w:rPr>
                        <w:rFonts w:ascii="Cambria Math" w:hAnsi="Cambria Math"/>
                        <w:i/>
                        <w:lang w:eastAsia="zh-CN"/>
                      </w:rPr>
                    </m:ctrlPr>
                  </m:sSubPr>
                  <m:e>
                    <m:r>
                      <m:rPr>
                        <m:nor/>
                      </m:rPr>
                      <w:rPr>
                        <w:i/>
                        <w:lang w:eastAsia="zh-CN"/>
                      </w:rPr>
                      <m:t>P</m:t>
                    </m:r>
                  </m:e>
                  <m:sub>
                    <m:r>
                      <m:rPr>
                        <m:nor/>
                      </m:rPr>
                      <w:rPr>
                        <w:i/>
                        <w:lang w:eastAsia="zh-CN"/>
                      </w:rPr>
                      <m:t>PV</m:t>
                    </m:r>
                  </m:sub>
                </m:sSub>
                <m:r>
                  <m:rPr>
                    <m:nor/>
                  </m:rPr>
                  <w:rPr>
                    <w:i/>
                    <w:lang w:eastAsia="zh-CN"/>
                  </w:rPr>
                  <m:t>-</m:t>
                </m:r>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T</m:t>
                        </m:r>
                      </m:e>
                      <m:sub>
                        <m:r>
                          <m:rPr>
                            <m:nor/>
                          </m:rPr>
                          <w:rPr>
                            <w:i/>
                            <w:lang w:eastAsia="zh-CN"/>
                          </w:rPr>
                          <m:t>c</m:t>
                        </m:r>
                      </m:sub>
                    </m:sSub>
                    <m:r>
                      <m:rPr>
                        <m:nor/>
                      </m:rPr>
                      <w:rPr>
                        <w:i/>
                        <w:lang w:eastAsia="zh-CN"/>
                      </w:rPr>
                      <m:t>-</m:t>
                    </m:r>
                    <m:sSub>
                      <m:sSubPr>
                        <m:ctrlPr>
                          <w:rPr>
                            <w:rFonts w:ascii="Cambria Math" w:hAnsi="Cambria Math"/>
                            <w:i/>
                            <w:lang w:eastAsia="zh-CN"/>
                          </w:rPr>
                        </m:ctrlPr>
                      </m:sSubPr>
                      <m:e>
                        <m:r>
                          <m:rPr>
                            <m:nor/>
                          </m:rPr>
                          <w:rPr>
                            <w:i/>
                            <w:lang w:eastAsia="zh-CN"/>
                          </w:rPr>
                          <m:t>T</m:t>
                        </m:r>
                      </m:e>
                      <m:sub>
                        <w:proofErr w:type="spellStart"/>
                        <m:r>
                          <m:rPr>
                            <m:nor/>
                          </m:rPr>
                          <w:rPr>
                            <w:i/>
                            <w:lang w:eastAsia="zh-CN"/>
                          </w:rPr>
                          <m:t>EVA,u</m:t>
                        </m:r>
                        <w:proofErr w:type="spellEnd"/>
                      </m:sub>
                    </m:sSub>
                  </m:num>
                  <m:den>
                    <m:sSub>
                      <m:sSubPr>
                        <m:ctrlPr>
                          <w:rPr>
                            <w:rFonts w:ascii="Cambria Math" w:hAnsi="Cambria Math"/>
                            <w:i/>
                            <w:lang w:eastAsia="zh-CN"/>
                          </w:rPr>
                        </m:ctrlPr>
                      </m:sSubPr>
                      <m:e>
                        <m:r>
                          <m:rPr>
                            <m:nor/>
                          </m:rPr>
                          <w:rPr>
                            <w:i/>
                            <w:lang w:eastAsia="zh-CN"/>
                          </w:rPr>
                          <m:t>R</m:t>
                        </m:r>
                      </m:e>
                      <m:sub>
                        <m:r>
                          <m:rPr>
                            <m:nor/>
                          </m:rPr>
                          <w:rPr>
                            <w:i/>
                            <w:lang w:eastAsia="zh-CN"/>
                          </w:rPr>
                          <m:t>c-u</m:t>
                        </m:r>
                      </m:sub>
                    </m:sSub>
                  </m:den>
                </m:f>
                <m:r>
                  <m:rPr>
                    <m:nor/>
                  </m:rPr>
                  <w:rPr>
                    <w:i/>
                    <w:lang w:eastAsia="zh-CN"/>
                  </w:rPr>
                  <m:t>-</m:t>
                </m:r>
                <m:f>
                  <m:fPr>
                    <m:ctrlPr>
                      <w:rPr>
                        <w:rFonts w:ascii="Cambria Math" w:hAnsi="Cambria Math"/>
                        <w:i/>
                        <w:lang w:eastAsia="zh-CN"/>
                      </w:rPr>
                    </m:ctrlPr>
                  </m:fPr>
                  <m:num>
                    <m:sSub>
                      <m:sSubPr>
                        <m:ctrlPr>
                          <w:rPr>
                            <w:rFonts w:ascii="Cambria Math" w:hAnsi="Cambria Math"/>
                            <w:i/>
                            <w:lang w:eastAsia="zh-CN"/>
                          </w:rPr>
                        </m:ctrlPr>
                      </m:sSubPr>
                      <m:e>
                        <m:r>
                          <m:rPr>
                            <m:nor/>
                          </m:rPr>
                          <w:rPr>
                            <w:i/>
                            <w:lang w:eastAsia="zh-CN"/>
                          </w:rPr>
                          <m:t>T</m:t>
                        </m:r>
                      </m:e>
                      <m:sub>
                        <m:r>
                          <m:rPr>
                            <m:nor/>
                          </m:rPr>
                          <w:rPr>
                            <w:i/>
                            <w:lang w:eastAsia="zh-CN"/>
                          </w:rPr>
                          <m:t>c</m:t>
                        </m:r>
                      </m:sub>
                    </m:sSub>
                    <m:r>
                      <m:rPr>
                        <m:nor/>
                      </m:rPr>
                      <w:rPr>
                        <w:i/>
                        <w:lang w:eastAsia="zh-CN"/>
                      </w:rPr>
                      <m:t>-</m:t>
                    </m:r>
                    <m:sSub>
                      <m:sSubPr>
                        <m:ctrlPr>
                          <w:rPr>
                            <w:rFonts w:ascii="Cambria Math" w:hAnsi="Cambria Math"/>
                            <w:i/>
                            <w:lang w:eastAsia="zh-CN"/>
                          </w:rPr>
                        </m:ctrlPr>
                      </m:sSubPr>
                      <m:e>
                        <m:r>
                          <m:rPr>
                            <m:nor/>
                          </m:rPr>
                          <w:rPr>
                            <w:i/>
                            <w:lang w:eastAsia="zh-CN"/>
                          </w:rPr>
                          <m:t>T</m:t>
                        </m:r>
                      </m:e>
                      <m:sub>
                        <w:proofErr w:type="spellStart"/>
                        <m:r>
                          <m:rPr>
                            <m:nor/>
                          </m:rPr>
                          <w:rPr>
                            <w:i/>
                            <w:lang w:eastAsia="zh-CN"/>
                          </w:rPr>
                          <m:t>EVA,l</m:t>
                        </m:r>
                        <w:proofErr w:type="spellEnd"/>
                      </m:sub>
                    </m:sSub>
                  </m:num>
                  <m:den>
                    <m:sSub>
                      <m:sSubPr>
                        <m:ctrlPr>
                          <w:rPr>
                            <w:rFonts w:ascii="Cambria Math" w:hAnsi="Cambria Math"/>
                            <w:i/>
                            <w:lang w:eastAsia="zh-CN"/>
                          </w:rPr>
                        </m:ctrlPr>
                      </m:sSubPr>
                      <m:e>
                        <m:r>
                          <m:rPr>
                            <m:nor/>
                          </m:rPr>
                          <w:rPr>
                            <w:i/>
                            <w:lang w:eastAsia="zh-CN"/>
                          </w:rPr>
                          <m:t>R</m:t>
                        </m:r>
                      </m:e>
                      <m:sub>
                        <m:r>
                          <m:rPr>
                            <m:nor/>
                          </m:rPr>
                          <w:rPr>
                            <w:i/>
                            <w:lang w:eastAsia="zh-CN"/>
                          </w:rPr>
                          <m:t>c-l</m:t>
                        </m:r>
                      </m:sub>
                    </m:sSub>
                  </m:den>
                </m:f>
              </m:oMath>
            </m:oMathPara>
          </w:p>
        </w:tc>
        <w:tc>
          <w:tcPr>
            <w:tcW w:w="688" w:type="dxa"/>
            <w:vAlign w:val="center"/>
          </w:tcPr>
          <w:p w14:paraId="572D1A00" w14:textId="7104984C" w:rsidR="00252BCD" w:rsidRPr="00E35D8F" w:rsidRDefault="00252BCD" w:rsidP="003A221B">
            <w:pPr>
              <w:pStyle w:val="SWCText"/>
              <w:spacing w:after="0"/>
              <w:rPr>
                <w:lang w:eastAsia="zh-CN"/>
              </w:rPr>
            </w:pPr>
            <w:r w:rsidRPr="00E35D8F">
              <w:rPr>
                <w:lang w:eastAsia="zh-CN"/>
              </w:rPr>
              <w:t>(eq.</w:t>
            </w:r>
            <w:r w:rsidR="004A030B">
              <w:rPr>
                <w:lang w:eastAsia="zh-CN"/>
              </w:rPr>
              <w:t>7</w:t>
            </w:r>
            <w:r w:rsidRPr="00E35D8F">
              <w:rPr>
                <w:lang w:eastAsia="zh-CN"/>
              </w:rPr>
              <w:t>)</w:t>
            </w:r>
          </w:p>
        </w:tc>
      </w:tr>
    </w:tbl>
    <w:p w14:paraId="5AC826A4" w14:textId="4DAB5BD9" w:rsidR="00C84CBC" w:rsidRPr="00E35D8F" w:rsidRDefault="00252BCD" w:rsidP="00EE09F2">
      <w:pPr>
        <w:pStyle w:val="SWCText"/>
      </w:pPr>
      <w:r w:rsidRPr="00E35D8F">
        <w:t xml:space="preserve">where </w:t>
      </w:r>
      <w:r w:rsidRPr="00E35D8F">
        <w:rPr>
          <w:i/>
          <w:iCs/>
        </w:rPr>
        <w:t>C</w:t>
      </w:r>
      <w:r w:rsidRPr="00E35D8F">
        <w:rPr>
          <w:i/>
          <w:iCs/>
          <w:vertAlign w:val="subscript"/>
        </w:rPr>
        <w:t>c</w:t>
      </w:r>
      <w:r w:rsidRPr="00E35D8F">
        <w:t xml:space="preserve"> </w:t>
      </w:r>
      <w:r w:rsidR="00263841" w:rsidRPr="00263841">
        <w:rPr>
          <w:lang w:val="de-DE"/>
        </w:rPr>
        <w:t>=1761.</w:t>
      </w:r>
      <w:r w:rsidR="00263841">
        <w:rPr>
          <w:rFonts w:hint="eastAsia"/>
          <w:lang w:val="de-DE" w:eastAsia="zh-CN"/>
        </w:rPr>
        <w:t>5</w:t>
      </w:r>
      <w:r w:rsidR="00263841" w:rsidRPr="00263841">
        <w:rPr>
          <w:lang w:val="de-DE"/>
        </w:rPr>
        <w:t> J</w:t>
      </w:r>
      <w:r w:rsidR="00263841">
        <w:rPr>
          <w:rFonts w:hint="eastAsia"/>
          <w:lang w:val="de-DE" w:eastAsia="zh-CN"/>
        </w:rPr>
        <w:t xml:space="preserve"> </w:t>
      </w:r>
      <w:r w:rsidR="00263841" w:rsidRPr="00263841">
        <w:rPr>
          <w:lang w:val="de-DE"/>
        </w:rPr>
        <w:t>K</w:t>
      </w:r>
      <w:r w:rsidR="00263841" w:rsidRPr="00263841">
        <w:rPr>
          <w:vertAlign w:val="superscript"/>
          <w:lang w:val="de-DE"/>
        </w:rPr>
        <w:t>−1</w:t>
      </w:r>
      <w:r w:rsidR="00856008">
        <w:rPr>
          <w:rFonts w:hint="eastAsia"/>
          <w:vertAlign w:val="superscript"/>
          <w:lang w:val="de-DE" w:eastAsia="zh-CN"/>
        </w:rPr>
        <w:t xml:space="preserve"> </w:t>
      </w:r>
      <w:r w:rsidRPr="00E35D8F">
        <w:t xml:space="preserve">​is the </w:t>
      </w:r>
      <w:r w:rsidR="00E635AC" w:rsidRPr="00E635AC">
        <w:rPr>
          <w:lang w:val="de-DE"/>
        </w:rPr>
        <w:t>lumped thermal capacitance</w:t>
      </w:r>
      <w:r w:rsidRPr="00E35D8F">
        <w:t xml:space="preserve"> of the cell layer, </w:t>
      </w:r>
      <w:proofErr w:type="spellStart"/>
      <w:r w:rsidRPr="00E35D8F">
        <w:rPr>
          <w:i/>
          <w:iCs/>
        </w:rPr>
        <w:t>Q</w:t>
      </w:r>
      <w:r w:rsidRPr="00E35D8F">
        <w:rPr>
          <w:i/>
          <w:iCs/>
          <w:vertAlign w:val="subscript"/>
        </w:rPr>
        <w:t>abs,c</w:t>
      </w:r>
      <w:proofErr w:type="spellEnd"/>
      <w:r w:rsidRPr="00E35D8F">
        <w:t xml:space="preserve"> ​is </w:t>
      </w:r>
      <w:r w:rsidR="00C25325" w:rsidRPr="00C25325">
        <w:rPr>
          <w:lang w:val="de-DE"/>
        </w:rPr>
        <w:t>the solar heat absorbed by the cell layer</w:t>
      </w:r>
      <w:r w:rsidRPr="00E35D8F">
        <w:t xml:space="preserve">, </w:t>
      </w:r>
      <w:r w:rsidRPr="00E35D8F">
        <w:rPr>
          <w:i/>
          <w:iCs/>
        </w:rPr>
        <w:t>P</w:t>
      </w:r>
      <w:r w:rsidRPr="00E35D8F">
        <w:rPr>
          <w:i/>
          <w:iCs/>
          <w:vertAlign w:val="subscript"/>
        </w:rPr>
        <w:t>PV</w:t>
      </w:r>
      <w:r w:rsidRPr="00E35D8F">
        <w:t xml:space="preserve"> is the electrical power output, </w:t>
      </w:r>
      <w:proofErr w:type="spellStart"/>
      <w:r w:rsidRPr="00E35D8F">
        <w:rPr>
          <w:i/>
          <w:iCs/>
        </w:rPr>
        <w:t>T</w:t>
      </w:r>
      <w:r w:rsidRPr="00E35D8F">
        <w:rPr>
          <w:i/>
          <w:iCs/>
          <w:vertAlign w:val="subscript"/>
        </w:rPr>
        <w:t>EVA,u</w:t>
      </w:r>
      <w:proofErr w:type="spellEnd"/>
      <w:r w:rsidRPr="00E35D8F">
        <w:t xml:space="preserve"> and </w:t>
      </w:r>
      <w:proofErr w:type="spellStart"/>
      <w:r w:rsidRPr="00E35D8F">
        <w:rPr>
          <w:i/>
          <w:iCs/>
        </w:rPr>
        <w:t>T</w:t>
      </w:r>
      <w:r w:rsidRPr="00E35D8F">
        <w:rPr>
          <w:i/>
          <w:iCs/>
          <w:vertAlign w:val="subscript"/>
        </w:rPr>
        <w:t>EVA,l</w:t>
      </w:r>
      <w:proofErr w:type="spellEnd"/>
      <w:r w:rsidRPr="00E35D8F">
        <w:t xml:space="preserve"> ​are the upper- and lower-EVA temperatures, and </w:t>
      </w:r>
      <w:proofErr w:type="spellStart"/>
      <w:r w:rsidRPr="00E35D8F">
        <w:rPr>
          <w:i/>
          <w:iCs/>
        </w:rPr>
        <w:t>R</w:t>
      </w:r>
      <w:r w:rsidRPr="00E35D8F">
        <w:rPr>
          <w:i/>
          <w:iCs/>
          <w:vertAlign w:val="subscript"/>
        </w:rPr>
        <w:t>c</w:t>
      </w:r>
      <w:proofErr w:type="spellEnd"/>
      <w:r w:rsidRPr="00E35D8F">
        <w:rPr>
          <w:i/>
          <w:iCs/>
          <w:vertAlign w:val="subscript"/>
        </w:rPr>
        <w:t>−u</w:t>
      </w:r>
      <w:r w:rsidRPr="00E35D8F">
        <w:t xml:space="preserve"> and </w:t>
      </w:r>
      <w:proofErr w:type="spellStart"/>
      <w:r w:rsidRPr="00E35D8F">
        <w:rPr>
          <w:i/>
          <w:iCs/>
        </w:rPr>
        <w:t>R</w:t>
      </w:r>
      <w:r w:rsidRPr="00E35D8F">
        <w:rPr>
          <w:i/>
          <w:iCs/>
          <w:vertAlign w:val="subscript"/>
        </w:rPr>
        <w:t>c</w:t>
      </w:r>
      <w:proofErr w:type="spellEnd"/>
      <w:r w:rsidRPr="00E35D8F">
        <w:rPr>
          <w:i/>
          <w:iCs/>
          <w:vertAlign w:val="subscript"/>
        </w:rPr>
        <w:t>−l</w:t>
      </w:r>
      <w:r w:rsidRPr="00E35D8F">
        <w:t xml:space="preserve"> ​</w:t>
      </w:r>
      <w:r w:rsidR="008E2B41" w:rsidRPr="008E2B41">
        <w:rPr>
          <w:lang w:val="de-DE"/>
        </w:rPr>
        <w:t>=2.6505×10</w:t>
      </w:r>
      <w:r w:rsidR="008E2B41" w:rsidRPr="008E2B41">
        <w:rPr>
          <w:vertAlign w:val="superscript"/>
          <w:lang w:val="de-DE"/>
        </w:rPr>
        <w:t>−4</w:t>
      </w:r>
      <w:r w:rsidR="008E2B41" w:rsidRPr="008E2B41">
        <w:rPr>
          <w:lang w:val="de-DE"/>
        </w:rPr>
        <w:t> K</w:t>
      </w:r>
      <w:r w:rsidR="008E2B41">
        <w:rPr>
          <w:rFonts w:hint="eastAsia"/>
          <w:lang w:val="de-DE" w:eastAsia="zh-CN"/>
        </w:rPr>
        <w:t xml:space="preserve"> </w:t>
      </w:r>
      <w:r w:rsidR="008E2B41" w:rsidRPr="008E2B41">
        <w:rPr>
          <w:lang w:val="de-DE"/>
        </w:rPr>
        <w:t>W</w:t>
      </w:r>
      <w:r w:rsidR="008E2B41" w:rsidRPr="008E2B41">
        <w:rPr>
          <w:vertAlign w:val="superscript"/>
          <w:lang w:val="de-DE"/>
        </w:rPr>
        <w:t>−1</w:t>
      </w:r>
      <w:r w:rsidRPr="00E35D8F">
        <w:t xml:space="preserve"> are the conductive thermal resistances between the cell layer and the two EVA layers.</w:t>
      </w:r>
      <w:r w:rsidR="00E635AC">
        <w:rPr>
          <w:rFonts w:hint="eastAsia"/>
          <w:lang w:eastAsia="zh-CN"/>
        </w:rPr>
        <w:t xml:space="preserve"> </w:t>
      </w:r>
      <w:r w:rsidR="00C84CBC" w:rsidRPr="00C84CBC">
        <w:rPr>
          <w:lang w:val="de-DE" w:eastAsia="zh-CN"/>
        </w:rPr>
        <w:t xml:space="preserve">The remaining node equations followed the same transient heat-balance form. The five-node thermal network was evaluated using an implicit Euler scheme with a time increment of 600 s. </w:t>
      </w:r>
    </w:p>
    <w:p w14:paraId="33C32C37" w14:textId="36376F8E" w:rsidR="00D67C1F" w:rsidRPr="00E35D8F" w:rsidRDefault="00394BA4" w:rsidP="00E711A1">
      <w:pPr>
        <w:spacing w:before="160" w:after="80" w:line="240" w:lineRule="exact"/>
        <w:outlineLvl w:val="1"/>
        <w:rPr>
          <w:rFonts w:ascii="Arial" w:hAnsi="Arial" w:cs="Arial"/>
          <w:i/>
          <w:iCs/>
          <w:sz w:val="20"/>
          <w:szCs w:val="20"/>
          <w:lang w:val="en-US" w:eastAsia="zh-CN"/>
        </w:rPr>
      </w:pPr>
      <w:r w:rsidRPr="00E35D8F">
        <w:rPr>
          <w:rFonts w:ascii="Arial" w:hAnsi="Arial" w:cs="Arial"/>
          <w:i/>
          <w:iCs/>
          <w:sz w:val="20"/>
          <w:szCs w:val="20"/>
          <w:lang w:val="en-US" w:eastAsia="zh-CN"/>
        </w:rPr>
        <w:t xml:space="preserve">2.3. Sampling-based uncertainty and </w:t>
      </w:r>
      <w:r w:rsidR="00AD4345">
        <w:rPr>
          <w:rFonts w:ascii="Arial" w:hAnsi="Arial" w:cs="Arial"/>
          <w:i/>
          <w:iCs/>
          <w:sz w:val="20"/>
          <w:szCs w:val="20"/>
          <w:lang w:val="en-US" w:eastAsia="zh-CN"/>
        </w:rPr>
        <w:t xml:space="preserve">global </w:t>
      </w:r>
      <w:r w:rsidRPr="00E35D8F">
        <w:rPr>
          <w:rFonts w:ascii="Arial" w:hAnsi="Arial" w:cs="Arial"/>
          <w:i/>
          <w:iCs/>
          <w:sz w:val="20"/>
          <w:szCs w:val="20"/>
          <w:lang w:val="en-US" w:eastAsia="zh-CN"/>
        </w:rPr>
        <w:t>sensitivity analysis framework</w:t>
      </w:r>
    </w:p>
    <w:p w14:paraId="23F62595" w14:textId="77777777"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2.3.1. Input parameters and uncertainty ranges</w:t>
      </w:r>
    </w:p>
    <w:p w14:paraId="350C8D23" w14:textId="3C7BC398" w:rsidR="00D83C96" w:rsidRPr="00E35D8F" w:rsidRDefault="005B225F" w:rsidP="00A45C23">
      <w:pPr>
        <w:pStyle w:val="SWCText"/>
        <w:rPr>
          <w:lang w:eastAsia="zh-CN"/>
        </w:rPr>
      </w:pPr>
      <w:r w:rsidRPr="00E35D8F">
        <w:t xml:space="preserve">Seven input variables were selected to represent the main geometric, optical, and thermal-boundary pathways through which the rooftop </w:t>
      </w:r>
      <w:proofErr w:type="spellStart"/>
      <w:r w:rsidRPr="00E35D8F">
        <w:t>bPV</w:t>
      </w:r>
      <w:proofErr w:type="spellEnd"/>
      <w:r w:rsidRPr="00E35D8F">
        <w:t xml:space="preserve"> array interacts with the building roof, including four geometric or optical design parameters and three CHTCs.</w:t>
      </w:r>
      <w:r w:rsidR="00B31EAE" w:rsidRPr="00E35D8F">
        <w:t xml:space="preserve"> The geometric and optical parameters were roof albedo, module </w:t>
      </w:r>
      <w:r w:rsidR="00E51133" w:rsidRPr="00E51133">
        <w:rPr>
          <w:lang w:val="de-DE"/>
        </w:rPr>
        <w:t>mounting</w:t>
      </w:r>
      <w:r w:rsidR="00B31EAE" w:rsidRPr="00E35D8F">
        <w:t xml:space="preserve"> height, row spacing, and tilt angle. The thermal-boundary parameters were the CHTCs of the PV front</w:t>
      </w:r>
      <w:r w:rsidR="0097658A">
        <w:rPr>
          <w:rFonts w:hint="eastAsia"/>
          <w:lang w:eastAsia="zh-CN"/>
        </w:rPr>
        <w:t>-</w:t>
      </w:r>
      <w:r w:rsidR="004469EB">
        <w:rPr>
          <w:rFonts w:hint="eastAsia"/>
          <w:lang w:eastAsia="zh-CN"/>
        </w:rPr>
        <w:t>side</w:t>
      </w:r>
      <w:r w:rsidR="00B31EAE" w:rsidRPr="00E35D8F">
        <w:t>, PV rear</w:t>
      </w:r>
      <w:r w:rsidR="0097658A">
        <w:rPr>
          <w:rFonts w:hint="eastAsia"/>
          <w:lang w:eastAsia="zh-CN"/>
        </w:rPr>
        <w:t>-</w:t>
      </w:r>
      <w:r w:rsidR="004469EB">
        <w:rPr>
          <w:rFonts w:hint="eastAsia"/>
          <w:lang w:eastAsia="zh-CN"/>
        </w:rPr>
        <w:t>side</w:t>
      </w:r>
      <w:r w:rsidR="00B31EAE" w:rsidRPr="00E35D8F">
        <w:t xml:space="preserve">, and roof exterior surface beneath the PV array. The adopted ranges are summarized in </w:t>
      </w:r>
      <w:r w:rsidR="00551E6F">
        <w:fldChar w:fldCharType="begin"/>
      </w:r>
      <w:r w:rsidR="00551E6F">
        <w:instrText xml:space="preserve"> REF _Ref236872207 \h </w:instrText>
      </w:r>
      <w:r w:rsidR="00551E6F">
        <w:fldChar w:fldCharType="separate"/>
      </w:r>
      <w:r w:rsidR="00551E6F">
        <w:t>Table 2</w:t>
      </w:r>
      <w:r w:rsidR="00551E6F">
        <w:fldChar w:fldCharType="end"/>
      </w:r>
      <w:r w:rsidR="005F7CE6" w:rsidRPr="00E35D8F">
        <w:rPr>
          <w:lang w:eastAsia="zh-CN"/>
        </w:rPr>
        <w:t>.</w:t>
      </w:r>
    </w:p>
    <w:p w14:paraId="651DAF73" w14:textId="339C06A9" w:rsidR="001273C5" w:rsidRPr="00E35D8F" w:rsidRDefault="001273C5" w:rsidP="001273C5">
      <w:pPr>
        <w:pStyle w:val="SWCText"/>
        <w:rPr>
          <w:lang w:eastAsia="zh-CN"/>
        </w:rPr>
      </w:pPr>
      <w:r w:rsidRPr="00E35D8F">
        <w:rPr>
          <w:lang w:eastAsia="zh-CN"/>
        </w:rPr>
        <w:t xml:space="preserve">The roof albedo range of 0.1–0.9 was selected to represent roof surfaces from conventional dark roofs to highly reflective cool-roof coatings </w:t>
      </w:r>
      <w:r w:rsidR="005A6F03" w:rsidRPr="00E35D8F">
        <w:rPr>
          <w:lang w:eastAsia="zh-CN"/>
        </w:rPr>
        <w:fldChar w:fldCharType="begin"/>
      </w:r>
      <w:r w:rsidR="005A6F03" w:rsidRPr="00E35D8F">
        <w:rPr>
          <w:lang w:eastAsia="zh-CN"/>
        </w:rPr>
        <w:instrText xml:space="preserve"> ADDIN ZOTERO_ITEM CSL_CITATION {"citationID":"gsrVC6p4","properties":{"unsorted":false,"formattedCitation":"(Guo et al., 2020)","plainCitation":"(Guo et al., 2020)","noteIndex":0},"citationItems":[{"id":98,"uris":["http://zotero.org/users/17474343/items/5EIF3546"],"itemData":{"id":98,"type":"article-journal","abstract":"Increasing roof albedo (using a “cool” roof) and night ventilation are passive cooling technologies that can reduce the cooling loads in buildings, but existing studies have not comprehensively explored the potential beneﬁts of integrating these two technologies. This study combines an experiment in the summer and transition seasons with an annual simulation so as to evaluate the thermal performance, energy savings and thermal comfort improvement that could be obtained by coupling a cool roof with night ventilation. A holistic approach integrating sensitivity analysis and multi-objective optimization is developed to explore key design parameters (roof albedo, night ventilation air change rate, roof insulation level and internal thermal mass level) and optimal design options for the combined application of the cool roof and night ventilation. The proposed approach is validated and demonstrated through studies on a six-storey ofﬁce building in Xiamen, a cooling-dominated city in southeast China. Simulations show that combining a cool roof with night ventilation can signiﬁcantly decrease the annual cooling energy consumption by 27% compared to using a black roof without night ventilation and by 13% compared to using a cool roof without night ventilation. Roof albedo is the most inﬂuential parameter for both building energy performance and indoor thermal comfort. Optimal use of the cool roof and night ventilation can reduce the annual cooling energy use by 28% during occupied hours when airconditioners are on and reduce the uncomfortable time slightly during occupied hours when airconditioners are off.","container-title":"Renewable Energy","DOI":"10.1016/j.renene.2019.10.032","ISSN":"09601481","journalAbbreviation":"Renewable Energy","language":"en","page":"2279-2294","source":"DOI.org (Crossref)","title":"Optimization of cool roof and night ventilation in office buildings: a case study in xiamen, china","title-short":"Optimization of cool roof and night ventilation in office buildings","URL":"https://linkinghub.elsevier.com/retrieve/pii/S096014811931523X","volume":"147","author":[{"family":"Guo","given":"Rui"},{"family":"Gao","given":"Yafeng"},{"family":"Zhuang","given":"Chaoqun"},{"family":"Heiselberg","given":"Per"},{"family":"Levinson","given":"Ronnen"},{"family":"Zhao","given":"Xia"},{"family":"Shi","given":"Dachuan"}],"accessed":{"date-parts":[["2025",8,1]]},"issued":{"date-parts":[["2020",3]]}}}],"schema":"https://github.com/citation-style-language/schema/raw/master/csl-citation.json"} </w:instrText>
      </w:r>
      <w:r w:rsidR="005A6F03" w:rsidRPr="00E35D8F">
        <w:rPr>
          <w:lang w:eastAsia="zh-CN"/>
        </w:rPr>
        <w:fldChar w:fldCharType="separate"/>
      </w:r>
      <w:r w:rsidR="005A6F03" w:rsidRPr="00E35D8F">
        <w:t>(Guo et al., 2020)</w:t>
      </w:r>
      <w:r w:rsidR="005A6F03" w:rsidRPr="00E35D8F">
        <w:rPr>
          <w:lang w:eastAsia="zh-CN"/>
        </w:rPr>
        <w:fldChar w:fldCharType="end"/>
      </w:r>
      <w:r w:rsidRPr="00E35D8F">
        <w:rPr>
          <w:lang w:eastAsia="zh-CN"/>
        </w:rPr>
        <w:t xml:space="preserve">. The </w:t>
      </w:r>
      <w:r w:rsidR="00E51133" w:rsidRPr="00E51133">
        <w:rPr>
          <w:lang w:val="de-DE" w:eastAsia="zh-CN"/>
        </w:rPr>
        <w:t>mounting</w:t>
      </w:r>
      <w:r w:rsidRPr="00E35D8F">
        <w:rPr>
          <w:lang w:eastAsia="zh-CN"/>
        </w:rPr>
        <w:t xml:space="preserve"> height was varied from 0.25 m to 1.50 m, covering low-clearance and elevated mounting conditions reported for </w:t>
      </w:r>
      <w:proofErr w:type="spellStart"/>
      <w:r w:rsidRPr="00E35D8F">
        <w:rPr>
          <w:lang w:eastAsia="zh-CN"/>
        </w:rPr>
        <w:t>bPV</w:t>
      </w:r>
      <w:proofErr w:type="spellEnd"/>
      <w:r w:rsidRPr="00E35D8F">
        <w:rPr>
          <w:lang w:eastAsia="zh-CN"/>
        </w:rPr>
        <w:t xml:space="preserve"> modules </w:t>
      </w:r>
      <w:r w:rsidR="003717AC" w:rsidRPr="00E35D8F">
        <w:rPr>
          <w:lang w:eastAsia="zh-CN"/>
        </w:rPr>
        <w:fldChar w:fldCharType="begin"/>
      </w:r>
      <w:r w:rsidR="003717AC" w:rsidRPr="00E35D8F">
        <w:rPr>
          <w:lang w:eastAsia="zh-CN"/>
        </w:rPr>
        <w:instrText xml:space="preserve"> ADDIN ZOTERO_ITEM CSL_CITATION {"citationID":"CRriBbv6","properties":{"unsorted":false,"formattedCitation":"(Ganesan et al., 2024)","plainCitation":"(Ganesan et al., 2024)","noteIndex":0},"citationItems":[{"id":2561,"uris":["http://zotero.org/users/17474343/items/EJ4NER5Q"],"itemData":{"id":2561,"type":"article-journal","abstract":"In recent years, bifacial solar photovoltaic (bPV) cells have gained much interest in the solar PV market as they produce additional electrical energy at a marginally higher cost. Their ability to generate additional energy mainly depends on their rear side response. Module elevation, albedo, row spacing, and frame structure are the few factors that affect its rear side response and thus the overall efficiency. In this research work, the performance of a bPV module installed at the geographical location of latitude 9.673◦ N, and longitude 77.964◦ E is analyzed with different module elevations. Module elevation is one of the key installation parameters that causes the non-uniformity in the rear side irradiance. At low elevations, the non-uniformity is higher and starts reducing with the increase in elevation, reaching a negligible value at greater elevations. The experimental results showed that for the module elevation of above 1m, the non-uniformity is reduced to 5 % from 12 % at 0.25m. The peak power output for the elevation of above 1m is around 375W at which the bifaciality factor is about 25 %. Overall, it is observed that the bifacial solar PV module at a higher optimum elevation produces lesser non-uniformity and a higher energy yield.","container-title":"Renewable Energy","DOI":"10.1016/j.renene.2024.120526","ISSN":"09601481","journalAbbreviation":"Renewable Energy","language":"en","page":"120526","source":"DOI.org (Crossref)","title":"Performance investigation of n-type PERT bifacial solar photovoltaic module installed at different elevations","URL":"https://linkinghub.elsevier.com/retrieve/pii/S0960148124005913","volume":"227","author":[{"family":"Ganesan","given":"K."},{"family":"Winston","given":"D. Prince"},{"family":"Sugumar","given":"S."},{"family":"Prasath","given":"T. Hari"}],"accessed":{"date-parts":[["2026",5,25]]},"issued":{"date-parts":[["2024",6]]}}}],"schema":"https://github.com/citation-style-language/schema/raw/master/csl-citation.json"} </w:instrText>
      </w:r>
      <w:r w:rsidR="003717AC" w:rsidRPr="00E35D8F">
        <w:rPr>
          <w:lang w:eastAsia="zh-CN"/>
        </w:rPr>
        <w:fldChar w:fldCharType="separate"/>
      </w:r>
      <w:r w:rsidR="003717AC" w:rsidRPr="00E35D8F">
        <w:t>(Ganesan et al., 2024)</w:t>
      </w:r>
      <w:r w:rsidR="003717AC" w:rsidRPr="00E35D8F">
        <w:rPr>
          <w:lang w:eastAsia="zh-CN"/>
        </w:rPr>
        <w:fldChar w:fldCharType="end"/>
      </w:r>
      <w:r w:rsidRPr="00E35D8F">
        <w:rPr>
          <w:lang w:eastAsia="zh-CN"/>
        </w:rPr>
        <w:t xml:space="preserve">. The row spacing ranged from 1.53 m to 2.54 m. The lower bound was determined by combining the module width with the minimum maintenance pathway requirement specified in </w:t>
      </w:r>
      <w:r w:rsidR="007A2BF3" w:rsidRPr="00E35D8F">
        <w:rPr>
          <w:lang w:eastAsia="zh-CN"/>
        </w:rPr>
        <w:fldChar w:fldCharType="begin"/>
      </w:r>
      <w:r w:rsidR="00043632">
        <w:rPr>
          <w:lang w:eastAsia="zh-CN"/>
        </w:rPr>
        <w:instrText xml:space="preserve"> ADDIN ZOTERO_ITEM CSL_CITATION {"citationID":"QMRBUzmI","properties":{"unsorted":false,"formattedCitation":"(MOHURD, 2019)","plainCitation":"(MOHURD, 2019)","dontUpdate":true,"noteIndex":0},"citationItems":[{"id":2593,"uris":["http://zotero.org/users/17474343/items/H37EYZ7V"],"itemData":{"id":2593,"type":"report","genre":"Standard","language":"en-US","number":"GB/T 51368-2019","publisher":"Ministry of Housing and Urban-Rural Development of the People’s Republic of China","publisher-place":"Beijing","title":"Technical standard for application of photovoltaic system of buildings","URL":"https://www.mohurd.gov.cn/gongkai/zc/wjk/art/2019/art_17339_242199.html","author":[{"literal":"MOHURD"}],"issued":{"date-parts":[["2019"]]}}}],"schema":"https://github.com/citation-style-language/schema/raw/master/csl-citation.json"} </w:instrText>
      </w:r>
      <w:r w:rsidR="007A2BF3" w:rsidRPr="00E35D8F">
        <w:rPr>
          <w:lang w:eastAsia="zh-CN"/>
        </w:rPr>
        <w:fldChar w:fldCharType="separate"/>
      </w:r>
      <w:r w:rsidR="00EC75AE" w:rsidRPr="00EC75AE">
        <w:t xml:space="preserve">MOHURD </w:t>
      </w:r>
      <w:r w:rsidR="00420C6F" w:rsidRPr="00EC75AE">
        <w:t>(</w:t>
      </w:r>
      <w:r w:rsidR="00EC75AE" w:rsidRPr="00EC75AE">
        <w:t>2019)</w:t>
      </w:r>
      <w:r w:rsidR="007A2BF3" w:rsidRPr="00E35D8F">
        <w:rPr>
          <w:lang w:eastAsia="zh-CN"/>
        </w:rPr>
        <w:fldChar w:fldCharType="end"/>
      </w:r>
      <w:r w:rsidRPr="00E35D8F">
        <w:rPr>
          <w:lang w:eastAsia="zh-CN"/>
        </w:rPr>
        <w:t xml:space="preserve">, while the upper bound was constrained by the available roof width and setback distance. The module tilt angle was varied from 0° to 90°, covering the full range from horizontal to vertical </w:t>
      </w:r>
      <w:r w:rsidR="00E51133" w:rsidRPr="00E51133">
        <w:rPr>
          <w:lang w:val="de-DE" w:eastAsia="zh-CN"/>
        </w:rPr>
        <w:t>mounting</w:t>
      </w:r>
      <w:r w:rsidRPr="00E35D8F">
        <w:rPr>
          <w:lang w:eastAsia="zh-CN"/>
        </w:rPr>
        <w:t>, consistent with recent PV tilt</w:t>
      </w:r>
      <w:r w:rsidR="004F2157" w:rsidRPr="00E35D8F">
        <w:rPr>
          <w:lang w:eastAsia="zh-CN"/>
        </w:rPr>
        <w:t xml:space="preserve"> </w:t>
      </w:r>
      <w:r w:rsidRPr="00E35D8F">
        <w:rPr>
          <w:lang w:eastAsia="zh-CN"/>
        </w:rPr>
        <w:t xml:space="preserve">angle studies </w:t>
      </w:r>
      <w:r w:rsidR="00314F68" w:rsidRPr="00E35D8F">
        <w:rPr>
          <w:lang w:eastAsia="zh-CN"/>
        </w:rPr>
        <w:fldChar w:fldCharType="begin"/>
      </w:r>
      <w:r w:rsidR="00314F68" w:rsidRPr="00E35D8F">
        <w:rPr>
          <w:lang w:eastAsia="zh-CN"/>
        </w:rPr>
        <w:instrText xml:space="preserve"> ADDIN ZOTERO_ITEM CSL_CITATION {"citationID":"4faySvCt","properties":{"unsorted":false,"formattedCitation":"(Basak et al., 2025)","plainCitation":"(Basak et al., 2025)","noteIndex":0},"citationItems":[{"id":2554,"uris":["http://zotero.org/users/17474343/items/TV8CG2Q2"],"itemData":{"id":2554,"type":"article-journal","abstract":"This study investigates the performance of a 440 W bifacial solar photovoltaic (PV) module installed on the rooftop of the Technology Tower (TT) building at Vellore Institute of Technology (VIT), Vellore. The influence of tilt angle on energy generation was examined by systematically adjusting the module from 0° to 90° during sunny days in February 2024. Measurements were collected at one-hour intervals between 9:00 AM and 5:00 PM. To enhance rear irradiation, the ground beneath the module was painted with white reflective material. Key performance parameters were recorded, and irradiation ratios were calculated for each tilt angle. Results showed a maximum daily average power generation of 316.85 W at a tilt angle of 30°. The corresponding bifacial irradiation ratio ranged from 0.20 to 0.40. Daily average power exhibited a progressive increase from 0° to 30° tilt, followed by a decline to a minimum of 148.51 W at 90°. Interestingly, the irradiation ratio displayed the opposite trend, increasing from 0.32 to 0.96 at 90°. These observations suggest that while overall irradiation reaching the module increases with tilt angle, optimal power generation is achieved at a 30° tilt due to a balance between front and rear irradiance. This study highlights the critical role of tilt angle and ground reflectance when using white paint in maximizing energy output from bifacial PV modules. Within the experimental setup, the PV module's power output remained relatively stable for tilt angles between 13° and 45°, even when considering a 5 % measurement uncertainty. Further investigations are affirmed to explore the impact of seasonal variations and weather conditions on the performance of bifacial modules in this specific geographical location.","container-title":"Applied Energy","DOI":"10.1016/j.apenergy.2024.124525","ISSN":"0306-2619","journalAbbreviation":"Applied Energy","page":"124525","source":"ScienceDirect","title":"Tilt angle optimization for bifacial PV module: Balancing direct and reflected irradiance on white painted ground surfaces","title-short":"Tilt angle optimization for bifacial PV module","URL":"https://www.sciencedirect.com/science/article/pii/S0306261924019081","volume":"377","author":[{"family":"Basak","given":"Achintya"},{"family":"Chakraborty","given":"Suprava"},{"family":"Behura","given":"Aruna Kumar"}],"accessed":{"date-parts":[["2026",5,25]]},"issued":{"date-parts":[["2025",1,1]]}}}],"schema":"https://github.com/citation-style-language/schema/raw/master/csl-citation.json"} </w:instrText>
      </w:r>
      <w:r w:rsidR="00314F68" w:rsidRPr="00E35D8F">
        <w:rPr>
          <w:lang w:eastAsia="zh-CN"/>
        </w:rPr>
        <w:fldChar w:fldCharType="separate"/>
      </w:r>
      <w:r w:rsidR="00314F68" w:rsidRPr="00E35D8F">
        <w:t>(Basak et al., 2025)</w:t>
      </w:r>
      <w:r w:rsidR="00314F68" w:rsidRPr="00E35D8F">
        <w:rPr>
          <w:lang w:eastAsia="zh-CN"/>
        </w:rPr>
        <w:fldChar w:fldCharType="end"/>
      </w:r>
      <w:r w:rsidRPr="00E35D8F">
        <w:rPr>
          <w:lang w:eastAsia="zh-CN"/>
        </w:rPr>
        <w:t>.</w:t>
      </w:r>
    </w:p>
    <w:p w14:paraId="3EE0B4AE" w14:textId="0F17711F" w:rsidR="007F0FDD" w:rsidRPr="00E35D8F" w:rsidRDefault="00035B6B" w:rsidP="007F0FDD">
      <w:pPr>
        <w:pStyle w:val="SWCText"/>
        <w:rPr>
          <w:lang w:eastAsia="zh-CN"/>
        </w:rPr>
      </w:pPr>
      <w:r w:rsidRPr="00E35D8F">
        <w:rPr>
          <w:lang w:eastAsia="zh-CN"/>
        </w:rPr>
        <w:t xml:space="preserve">Unlike the geometric and optical variables, the three CHTCs were treated as uncertain thermal-boundary inputs rather than directly controllable design parameters. </w:t>
      </w:r>
      <w:r w:rsidR="00DC6B59" w:rsidRPr="00DC6B59">
        <w:rPr>
          <w:lang w:eastAsia="zh-CN"/>
        </w:rPr>
        <w:t>For each LHS case, the sampled PV front-</w:t>
      </w:r>
      <w:r w:rsidR="00E00856">
        <w:rPr>
          <w:rFonts w:hint="eastAsia"/>
          <w:lang w:val="de-DE" w:eastAsia="zh-CN"/>
        </w:rPr>
        <w:t>side</w:t>
      </w:r>
      <w:r w:rsidR="00DC6B59" w:rsidRPr="00DC6B59">
        <w:rPr>
          <w:lang w:eastAsia="zh-CN"/>
        </w:rPr>
        <w:t>, PV rear</w:t>
      </w:r>
      <w:r w:rsidR="00FB0BED">
        <w:rPr>
          <w:rFonts w:hint="eastAsia"/>
          <w:lang w:eastAsia="zh-CN"/>
        </w:rPr>
        <w:t>-</w:t>
      </w:r>
      <w:r w:rsidR="00E00856">
        <w:rPr>
          <w:rFonts w:hint="eastAsia"/>
          <w:lang w:val="de-DE" w:eastAsia="zh-CN"/>
        </w:rPr>
        <w:t>side</w:t>
      </w:r>
      <w:r w:rsidR="00DC6B59" w:rsidRPr="00DC6B59">
        <w:rPr>
          <w:lang w:eastAsia="zh-CN"/>
        </w:rPr>
        <w:t>, and roof exterior CHTCs were held constant throughout the annual simulation rather than calculated using wind-speed-based empirical correlations. For the PV front and rear surfaces, this treatment differs from the wind-dependent formulation adopted by Gu et al. (2020).</w:t>
      </w:r>
      <w:r w:rsidR="00DC6B59">
        <w:rPr>
          <w:rFonts w:hint="eastAsia"/>
          <w:lang w:eastAsia="zh-CN"/>
        </w:rPr>
        <w:t xml:space="preserve"> </w:t>
      </w:r>
      <w:r w:rsidRPr="00E35D8F">
        <w:rPr>
          <w:lang w:eastAsia="zh-CN"/>
        </w:rPr>
        <w:t xml:space="preserve">In rooftop </w:t>
      </w:r>
      <w:proofErr w:type="spellStart"/>
      <w:r w:rsidRPr="00E35D8F">
        <w:rPr>
          <w:lang w:eastAsia="zh-CN"/>
        </w:rPr>
        <w:t>bPV</w:t>
      </w:r>
      <w:proofErr w:type="spellEnd"/>
      <w:r w:rsidRPr="00E35D8F">
        <w:rPr>
          <w:lang w:eastAsia="zh-CN"/>
        </w:rPr>
        <w:t xml:space="preserve"> systems, local convection is affected by wind conditions, module inclination, row spacing, </w:t>
      </w:r>
      <w:r w:rsidR="00E51133" w:rsidRPr="00E51133">
        <w:rPr>
          <w:lang w:val="de-DE" w:eastAsia="zh-CN"/>
        </w:rPr>
        <w:t>mounting</w:t>
      </w:r>
      <w:r w:rsidRPr="00E35D8F">
        <w:rPr>
          <w:lang w:eastAsia="zh-CN"/>
        </w:rPr>
        <w:t xml:space="preserve"> height, and array-induced airflow shielding. Since most exterior CHTC correlations were developed for bare building surfaces, isolated plates, or roof-mounted collectors, their applicability to PV-covered rooftops remains uncertain. Previous studies have shown that exterior CHTC model selection can strongly affect building energy predictions, and that conventional correlations may misrepresent PV-panel and PV-shaded-roof convection under non-uniform array-induced airflow</w:t>
      </w:r>
      <w:r w:rsidR="00350484" w:rsidRPr="00E35D8F">
        <w:rPr>
          <w:lang w:eastAsia="zh-CN"/>
        </w:rPr>
        <w:t xml:space="preserve"> </w:t>
      </w:r>
      <w:r w:rsidRPr="00E35D8F">
        <w:rPr>
          <w:lang w:eastAsia="zh-CN"/>
        </w:rPr>
        <w:t>(</w:t>
      </w:r>
      <w:proofErr w:type="spellStart"/>
      <w:r w:rsidR="00A76C6A" w:rsidRPr="00E35D8F">
        <w:rPr>
          <w:lang w:eastAsia="zh-CN"/>
        </w:rPr>
        <w:fldChar w:fldCharType="begin"/>
      </w:r>
      <w:r w:rsidR="00066E54" w:rsidRPr="00E35D8F">
        <w:rPr>
          <w:lang w:eastAsia="zh-CN"/>
        </w:rPr>
        <w:instrText xml:space="preserve"> ADDIN ZOTERO_ITEM CSL_CITATION {"citationID":"IanaMu4D","properties":{"unsorted":false,"formattedCitation":"(Mirsadeghi et al., 2013)","plainCitation":"(Mirsadeghi et al., 2013)","dontUpdate":true,"noteIndex":0},"citationItems":[{"id":129,"uris":["http://zotero.org/users/17474343/items/GD4TAC2H"],"itemData":{"id":129,"type":"article-journal","abstract":"Convective heat transfer coefficients for external building surfaces (hc,ext) are essential in building energy simulation (BES) to calculate convective heat gains and losses from building facades and roofs to the environment. These coefficients are complex functions of, among other factors, building geometry, building surroundings, building facade roughness, local air flow patterns and temperature differences. Previous research on hc,ext has led to a number of empirical models, many of which are implemented in BES programs. This paper first provides an extensive overview of such models for hc,ext calculation implemented in BES programs together with the corresponding assumptions. Next, the factors taken into account by each model are listed, in order to clarify model capabilities and deficiencies. Finally, the uncertainty related to the use of these models is discussed by means of a case study, where the use of different models shows deviations up to ±30% in the yearly cooling energy demand (in relation to the average result) and ±14% in the hourly peak cooling energy demand of an isolated, well-insulated building, while deviations in yearly heating energy demand are around ±6%. The paper concludes that each model has a specific range of application, which is identified in this review paper. It also concludes that there is considerable uncertainty in the prediction of hc,ext, which can be transferred to the BES results. This large uncertainty highlights the importance of using an appropriate convection model for simulations of a specific building, certainly for calculating cooling demands and related important performance indicators such as indoor temperatures, indoor relatively humidity, thermal comfort, etc.","container-title":"Applied Thermal Engineering","DOI":"10.1016/j.applthermaleng.2013.03.003","ISSN":"1359-4311","issue":"1","journalAbbreviation":"Applied Thermal Engineering","language":"en-US","page":"134-151","source":"ScienceDirect","title":"Review of external convective heat transfer coefficient models in building energy simulation programs: Implementation and uncertainty","title-short":"Review of external convective heat transfer coefficient models in building energy simulation programs","URL":"https://www.sciencedirect.com/science/article/pii/S1359431113001543","volume":"56","author":[{"family":"Mirsadeghi","given":"M."},{"family":"Cóstola","given":"D."},{"family":"Blocken","given":"B."},{"family":"Hensen","given":"J. L. M."}],"accessed":{"date-parts":[["2025",11,6]]},"issued":{"date-parts":[["2013",7,1]]}}}],"schema":"https://github.com/citation-style-language/schema/raw/master/csl-citation.json"} </w:instrText>
      </w:r>
      <w:r w:rsidR="00A76C6A" w:rsidRPr="00E35D8F">
        <w:rPr>
          <w:lang w:eastAsia="zh-CN"/>
        </w:rPr>
        <w:fldChar w:fldCharType="separate"/>
      </w:r>
      <w:r w:rsidR="00A76C6A" w:rsidRPr="00E35D8F">
        <w:t>Mirsadeghi</w:t>
      </w:r>
      <w:proofErr w:type="spellEnd"/>
      <w:r w:rsidR="00A76C6A" w:rsidRPr="00E35D8F">
        <w:t xml:space="preserve"> et al.</w:t>
      </w:r>
      <w:r w:rsidR="008237E1" w:rsidRPr="00E35D8F">
        <w:rPr>
          <w:lang w:eastAsia="zh-CN"/>
        </w:rPr>
        <w:t>,</w:t>
      </w:r>
      <w:r w:rsidR="00A76C6A" w:rsidRPr="00E35D8F">
        <w:t xml:space="preserve"> 2013</w:t>
      </w:r>
      <w:r w:rsidR="008237E1" w:rsidRPr="00E35D8F">
        <w:rPr>
          <w:lang w:eastAsia="zh-CN"/>
        </w:rPr>
        <w:t>;</w:t>
      </w:r>
      <w:r w:rsidR="00A76C6A" w:rsidRPr="00E35D8F">
        <w:rPr>
          <w:lang w:eastAsia="zh-CN"/>
        </w:rPr>
        <w:fldChar w:fldCharType="end"/>
      </w:r>
      <w:r w:rsidR="008237E1" w:rsidRPr="00E35D8F">
        <w:rPr>
          <w:lang w:eastAsia="zh-CN"/>
        </w:rPr>
        <w:t xml:space="preserve"> </w:t>
      </w:r>
      <w:r w:rsidR="00476A70" w:rsidRPr="00E35D8F">
        <w:rPr>
          <w:lang w:eastAsia="zh-CN"/>
        </w:rPr>
        <w:fldChar w:fldCharType="begin"/>
      </w:r>
      <w:r w:rsidR="00066E54" w:rsidRPr="00E35D8F">
        <w:rPr>
          <w:lang w:eastAsia="zh-CN"/>
        </w:rPr>
        <w:instrText xml:space="preserve"> ADDIN ZOTERO_ITEM CSL_CITATION {"citationID":"tMNeC8aR","properties":{"unsorted":false,"formattedCitation":"(Tian et al., 2025)","plainCitation":"(Tian et al., 2025)","dontUpdate":true,"noteIndex":0},"citationItems":[{"id":162,"uris":["http://zotero.org/users/17474343/items/LK8W4P8S"],"itemData":{"id":162,"type":"article-journal","abstract":"Due to the wind shielding effect, the convective heat transfer coefficient (CHTC) exhibits a non-uniform distribution across different regions of the rooftop photovoltaic (PV) array. However, existing calculation correlations for CHTC neglected this effect, which may lead to significant errors in predicting the heat transfer and power conversion efficiency (PCE) of the PV array. Therefore, based on the generalized form of Newton’s law of cooling and the validated simulation model, this study conducted numerical investigations under hundreds of test conditions, corrected existing calculation correlations, and compared the prediction accuracy between existing calculation correlations and corrected calculation correlations. Finally, an optimal layout scheme for the rooftop PV array was proposed. The main research results are as follows: (1) Corrected calculation correlations comprehensively account for the effects of installation height, tilt angle, and other critical parameters on the CHTC, and achieve coefficients of determination of no less than 0.8237; (2) Existing calculation correlations exhibit significant prediction deviations exceeding 50 % for PV array temperatures, while corrected calculation correlations achieve substantially improved accuracy with an average deviation of approximately 20 %; (3) Installation height shows the dominant influence on the PV array’s PCE, followed by row spacing, where increasing both parameters enhances airflow to reduce module operating temperatures and consequently improve PCE. The above research findings provide practical guidance for engineering projects and can facilitate the widespread adoption of rooftop PV systems.","container-title":"Sustainable Energy Technologies and Assessments","DOI":"10.1016/j.seta.2025.104571","ISSN":"2213-1388","journalAbbreviation":"Sustainable Energy Technologies and Assessments","language":"en-US","page":"104571","source":"ScienceDirect","title":"Research on non-uniform distribution characteristic and correction of convective heat transfer in the rooftop photovoltaic array","URL":"https://www.sciencedirect.com/science/article/pii/S2213138825004023","volume":"83","author":[{"family":"Tian","given":"Xusong"},{"family":"Yin","given":"Yalan"},{"family":"Wang","given":"Jiawei"},{"family":"Jiang","given":"Fujian"},{"family":"Ji","given":"Wenhui"},{"family":"Zhou","given":"Jinzhi"}],"accessed":{"date-parts":[["2025",10,19]]},"issued":{"date-parts":[["2025",11,1]]}}}],"schema":"https://github.com/citation-style-language/schema/raw/master/csl-citation.json"} </w:instrText>
      </w:r>
      <w:r w:rsidR="00476A70" w:rsidRPr="00E35D8F">
        <w:rPr>
          <w:lang w:eastAsia="zh-CN"/>
        </w:rPr>
        <w:fldChar w:fldCharType="separate"/>
      </w:r>
      <w:r w:rsidR="00476A70" w:rsidRPr="00E35D8F">
        <w:t>Tian et al.</w:t>
      </w:r>
      <w:r w:rsidR="008237E1" w:rsidRPr="00E35D8F">
        <w:rPr>
          <w:lang w:eastAsia="zh-CN"/>
        </w:rPr>
        <w:t>,</w:t>
      </w:r>
      <w:r w:rsidR="00476A70" w:rsidRPr="00E35D8F">
        <w:t xml:space="preserve"> 2025)</w:t>
      </w:r>
      <w:r w:rsidR="00476A70" w:rsidRPr="00E35D8F">
        <w:rPr>
          <w:lang w:eastAsia="zh-CN"/>
        </w:rPr>
        <w:fldChar w:fldCharType="end"/>
      </w:r>
      <w:r w:rsidR="008237E1" w:rsidRPr="00E35D8F">
        <w:rPr>
          <w:lang w:eastAsia="zh-CN"/>
        </w:rPr>
        <w:t>.</w:t>
      </w:r>
      <w:r w:rsidR="007F0FDD" w:rsidRPr="00E35D8F">
        <w:rPr>
          <w:lang w:eastAsia="zh-CN"/>
        </w:rPr>
        <w:t xml:space="preserve"> </w:t>
      </w:r>
      <w:r w:rsidRPr="00E35D8F">
        <w:rPr>
          <w:lang w:eastAsia="zh-CN"/>
        </w:rPr>
        <w:t xml:space="preserve">Therefore, </w:t>
      </w:r>
      <w:r w:rsidR="00880245" w:rsidRPr="00880245">
        <w:rPr>
          <w:lang w:val="de-DE" w:eastAsia="zh-CN"/>
        </w:rPr>
        <w:t>the PV front-</w:t>
      </w:r>
      <w:r w:rsidR="00E00856">
        <w:rPr>
          <w:rFonts w:hint="eastAsia"/>
          <w:lang w:val="de-DE" w:eastAsia="zh-CN"/>
        </w:rPr>
        <w:t>side</w:t>
      </w:r>
      <w:r w:rsidR="00880245" w:rsidRPr="00880245">
        <w:rPr>
          <w:lang w:val="de-DE" w:eastAsia="zh-CN"/>
        </w:rPr>
        <w:t>, PV rear-</w:t>
      </w:r>
      <w:r w:rsidR="00E00856" w:rsidRPr="00E00856">
        <w:rPr>
          <w:rFonts w:hint="eastAsia"/>
          <w:lang w:val="de-DE" w:eastAsia="zh-CN"/>
        </w:rPr>
        <w:t xml:space="preserve"> </w:t>
      </w:r>
      <w:r w:rsidR="00E00856">
        <w:rPr>
          <w:rFonts w:hint="eastAsia"/>
          <w:lang w:val="de-DE" w:eastAsia="zh-CN"/>
        </w:rPr>
        <w:t>side</w:t>
      </w:r>
      <w:r w:rsidR="00880245" w:rsidRPr="00880245">
        <w:rPr>
          <w:lang w:val="de-DE" w:eastAsia="zh-CN"/>
        </w:rPr>
        <w:t xml:space="preserve">, and roof exterior CHTCs were sampled independently to isolate their relative contribution to thermal-boundary uncertainty. This independent sampling assumption represents a screening setting for uncertainty and sensitivity analysis, </w:t>
      </w:r>
      <w:r w:rsidR="00880245" w:rsidRPr="00880245">
        <w:rPr>
          <w:lang w:val="de-DE" w:eastAsia="zh-CN"/>
        </w:rPr>
        <w:lastRenderedPageBreak/>
        <w:t xml:space="preserve">rather than measured probabilistic distributions. In real rooftop bPV systems, these CHTCs may be correlated with wind conditions and geometric parameters such as tilt angle, </w:t>
      </w:r>
      <w:r w:rsidR="00E51133" w:rsidRPr="00E51133">
        <w:rPr>
          <w:lang w:val="de-DE" w:eastAsia="zh-CN"/>
        </w:rPr>
        <w:t>mounting</w:t>
      </w:r>
      <w:r w:rsidR="00880245" w:rsidRPr="00880245">
        <w:rPr>
          <w:lang w:val="de-DE" w:eastAsia="zh-CN"/>
        </w:rPr>
        <w:t xml:space="preserve"> height, and row spacing.</w:t>
      </w:r>
    </w:p>
    <w:p w14:paraId="4D805240" w14:textId="237C6C6B" w:rsidR="00B31EAE" w:rsidRDefault="00974AC2" w:rsidP="00591152">
      <w:pPr>
        <w:pStyle w:val="SWCText"/>
        <w:spacing w:after="0"/>
        <w:rPr>
          <w:lang w:eastAsia="zh-CN"/>
        </w:rPr>
      </w:pPr>
      <w:r w:rsidRPr="00E35D8F">
        <w:rPr>
          <w:lang w:eastAsia="zh-CN"/>
        </w:rPr>
        <w:t xml:space="preserve">The adopted CHTC ranges were derived from reported numerical and experimental values for rooftop PV arrays, PV panels, and roof-mounted inclined plates. </w:t>
      </w:r>
      <w:r w:rsidR="00C17AC8" w:rsidRPr="00E35D8F">
        <w:rPr>
          <w:lang w:eastAsia="zh-CN"/>
        </w:rPr>
        <w:t>The PV front-</w:t>
      </w:r>
      <w:r w:rsidR="00E00856">
        <w:rPr>
          <w:rFonts w:hint="eastAsia"/>
          <w:lang w:val="de-DE" w:eastAsia="zh-CN"/>
        </w:rPr>
        <w:t>side</w:t>
      </w:r>
      <w:r w:rsidR="00C17AC8" w:rsidRPr="00E35D8F">
        <w:rPr>
          <w:lang w:eastAsia="zh-CN"/>
        </w:rPr>
        <w:t xml:space="preserve"> CHTC was set to 5–25 </w:t>
      </w:r>
      <w:r w:rsidR="00D36745" w:rsidRPr="00F81CA3">
        <w:t>W m</w:t>
      </w:r>
      <w:r w:rsidR="00D36745" w:rsidRPr="00DE65CB">
        <w:rPr>
          <w:vertAlign w:val="superscript"/>
        </w:rPr>
        <w:t>−2</w:t>
      </w:r>
      <w:r w:rsidR="00D36745" w:rsidRPr="00F81CA3">
        <w:t> K</w:t>
      </w:r>
      <w:r w:rsidR="00D36745" w:rsidRPr="00DE65CB">
        <w:rPr>
          <w:vertAlign w:val="superscript"/>
        </w:rPr>
        <w:t>−1</w:t>
      </w:r>
      <w:r w:rsidR="00C17AC8" w:rsidRPr="00E35D8F">
        <w:rPr>
          <w:lang w:eastAsia="zh-CN"/>
        </w:rPr>
        <w:t>, the PV rear-</w:t>
      </w:r>
      <w:r w:rsidR="00E00856">
        <w:rPr>
          <w:rFonts w:hint="eastAsia"/>
          <w:lang w:val="de-DE" w:eastAsia="zh-CN"/>
        </w:rPr>
        <w:t>side</w:t>
      </w:r>
      <w:r w:rsidR="00C17AC8" w:rsidRPr="00E35D8F">
        <w:rPr>
          <w:lang w:eastAsia="zh-CN"/>
        </w:rPr>
        <w:t xml:space="preserve"> CHTC to 2–20 </w:t>
      </w:r>
      <w:r w:rsidR="00D36745" w:rsidRPr="00F81CA3">
        <w:t>W m</w:t>
      </w:r>
      <w:r w:rsidR="00D36745" w:rsidRPr="00DE65CB">
        <w:rPr>
          <w:vertAlign w:val="superscript"/>
        </w:rPr>
        <w:t>−2</w:t>
      </w:r>
      <w:r w:rsidR="00D36745" w:rsidRPr="00F81CA3">
        <w:t> K</w:t>
      </w:r>
      <w:r w:rsidR="00D36745" w:rsidRPr="00DE65CB">
        <w:rPr>
          <w:vertAlign w:val="superscript"/>
        </w:rPr>
        <w:t>−1</w:t>
      </w:r>
      <w:r w:rsidR="00C17AC8" w:rsidRPr="00E35D8F">
        <w:rPr>
          <w:lang w:eastAsia="zh-CN"/>
        </w:rPr>
        <w:t xml:space="preserve">, and the roof exterior CHTC beneath the PV array to 2–15 </w:t>
      </w:r>
      <w:r w:rsidR="00D36745" w:rsidRPr="00F81CA3">
        <w:t>W m</w:t>
      </w:r>
      <w:r w:rsidR="00D36745" w:rsidRPr="00DE65CB">
        <w:rPr>
          <w:vertAlign w:val="superscript"/>
        </w:rPr>
        <w:t>−2</w:t>
      </w:r>
      <w:r w:rsidR="00D36745" w:rsidRPr="00F81CA3">
        <w:t> K</w:t>
      </w:r>
      <w:r w:rsidR="00D36745" w:rsidRPr="00DE65CB">
        <w:rPr>
          <w:vertAlign w:val="superscript"/>
        </w:rPr>
        <w:t>−1</w:t>
      </w:r>
      <w:r w:rsidR="00C17AC8" w:rsidRPr="00E35D8F">
        <w:rPr>
          <w:lang w:eastAsia="zh-CN"/>
        </w:rPr>
        <w:t>, with reference to</w:t>
      </w:r>
      <w:r w:rsidR="007F0FDD" w:rsidRPr="00E35D8F">
        <w:rPr>
          <w:lang w:eastAsia="zh-CN"/>
        </w:rPr>
        <w:t xml:space="preserve"> </w:t>
      </w:r>
      <w:r w:rsidR="00EE0576" w:rsidRPr="00E35D8F">
        <w:rPr>
          <w:lang w:eastAsia="zh-CN"/>
        </w:rPr>
        <w:fldChar w:fldCharType="begin"/>
      </w:r>
      <w:r w:rsidR="00066E54" w:rsidRPr="00E35D8F">
        <w:rPr>
          <w:lang w:eastAsia="zh-CN"/>
        </w:rPr>
        <w:instrText xml:space="preserve"> ADDIN ZOTERO_ITEM CSL_CITATION {"citationID":"Us4lp11Y","properties":{"unsorted":false,"formattedCitation":"(Tian et al., 2025)","plainCitation":"(Tian et al., 2025)","dontUpdate":true,"noteIndex":0},"citationItems":[{"id":162,"uris":["http://zotero.org/users/17474343/items/LK8W4P8S"],"itemData":{"id":162,"type":"article-journal","abstract":"Due to the wind shielding effect, the convective heat transfer coefficient (CHTC) exhibits a non-uniform distribution across different regions of the rooftop photovoltaic (PV) array. However, existing calculation correlations for CHTC neglected this effect, which may lead to significant errors in predicting the heat transfer and power conversion efficiency (PCE) of the PV array. Therefore, based on the generalized form of Newton’s law of cooling and the validated simulation model, this study conducted numerical investigations under hundreds of test conditions, corrected existing calculation correlations, and compared the prediction accuracy between existing calculation correlations and corrected calculation correlations. Finally, an optimal layout scheme for the rooftop PV array was proposed. The main research results are as follows: (1) Corrected calculation correlations comprehensively account for the effects of installation height, tilt angle, and other critical parameters on the CHTC, and achieve coefficients of determination of no less than 0.8237; (2) Existing calculation correlations exhibit significant prediction deviations exceeding 50 % for PV array temperatures, while corrected calculation correlations achieve substantially improved accuracy with an average deviation of approximately 20 %; (3) Installation height shows the dominant influence on the PV array’s PCE, followed by row spacing, where increasing both parameters enhances airflow to reduce module operating temperatures and consequently improve PCE. The above research findings provide practical guidance for engineering projects and can facilitate the widespread adoption of rooftop PV systems.","container-title":"Sustainable Energy Technologies and Assessments","DOI":"10.1016/j.seta.2025.104571","ISSN":"2213-1388","journalAbbreviation":"Sustainable Energy Technologies and Assessments","language":"en-US","page":"104571","source":"ScienceDirect","title":"Research on non-uniform distribution characteristic and correction of convective heat transfer in the rooftop photovoltaic array","URL":"https://www.sciencedirect.com/science/article/pii/S2213138825004023","volume":"83","author":[{"family":"Tian","given":"Xusong"},{"family":"Yin","given":"Yalan"},{"family":"Wang","given":"Jiawei"},{"family":"Jiang","given":"Fujian"},{"family":"Ji","given":"Wenhui"},{"family":"Zhou","given":"Jinzhi"}],"accessed":{"date-parts":[["2025",10,19]]},"issued":{"date-parts":[["2025",11,1]]}}}],"schema":"https://github.com/citation-style-language/schema/raw/master/csl-citation.json"} </w:instrText>
      </w:r>
      <w:r w:rsidR="00EE0576" w:rsidRPr="00E35D8F">
        <w:rPr>
          <w:lang w:eastAsia="zh-CN"/>
        </w:rPr>
        <w:fldChar w:fldCharType="separate"/>
      </w:r>
      <w:r w:rsidR="00EE0576" w:rsidRPr="00E35D8F">
        <w:t xml:space="preserve">Tian et al. </w:t>
      </w:r>
      <w:r w:rsidR="00AE3A0C" w:rsidRPr="00E35D8F">
        <w:rPr>
          <w:lang w:eastAsia="zh-CN"/>
        </w:rPr>
        <w:t>(</w:t>
      </w:r>
      <w:r w:rsidR="00EE0576" w:rsidRPr="00E35D8F">
        <w:t>2025)</w:t>
      </w:r>
      <w:r w:rsidR="00EE0576" w:rsidRPr="00E35D8F">
        <w:rPr>
          <w:lang w:eastAsia="zh-CN"/>
        </w:rPr>
        <w:fldChar w:fldCharType="end"/>
      </w:r>
      <w:r w:rsidR="00C17AC8" w:rsidRPr="00E35D8F">
        <w:rPr>
          <w:lang w:eastAsia="zh-CN"/>
        </w:rPr>
        <w:t>,</w:t>
      </w:r>
      <w:r w:rsidR="007F0FDD" w:rsidRPr="00E35D8F">
        <w:rPr>
          <w:lang w:eastAsia="zh-CN"/>
        </w:rPr>
        <w:t xml:space="preserve"> </w:t>
      </w:r>
      <w:r w:rsidR="0058768A" w:rsidRPr="00E35D8F">
        <w:rPr>
          <w:lang w:eastAsia="zh-CN"/>
        </w:rPr>
        <w:fldChar w:fldCharType="begin"/>
      </w:r>
      <w:r w:rsidR="00066E54" w:rsidRPr="00E35D8F">
        <w:rPr>
          <w:lang w:eastAsia="zh-CN"/>
        </w:rPr>
        <w:instrText xml:space="preserve"> ADDIN ZOTERO_ITEM CSL_CITATION {"citationID":"xXjMPB4J","properties":{"unsorted":false,"formattedCitation":"(Sharples and Charlesworth, 1998)","plainCitation":"(Sharples and Charlesworth, 1998)","dontUpdate":true,"noteIndex":0},"citationItems":[{"id":165,"uris":["http://zotero.org/users/17474343/items/6IEW2I9T"],"itemData":{"id":165,"type":"article-journal","abstract":"A series of full-scale measurements in the real environment were made to assess the magnitude and variability of wind-induced convective heat transfer from a raised heated surface mounted directly on to the pitched roof of a domestic size building. The heated plate had dimensions similar to those of a typical flat-plate solar collector (1.81×0.89m2), giving a Reynolds number range of approximately 1×105 to 5×105. The measured forced convective heat transfer coefficient hw was correlated against the wind speed V and the wind direction prevailing at the site of the building during the periods of measurement. For a range of wind directions it was found that both power and linear relationships between hw and V adequately represented the experimental results. Some sheltering effects were observed when the heated plate was leeward to the prevailing wind direction. Values of hw measured in this study were in good agreement with data derived from previous wind tunnel and field work.","container-title":"Solar Energy","DOI":"10.1016/S0038-092X(97)00119-9","ISSN":"0038-092X","issue":"2","journalAbbreviation":"Solar Energy","language":"en-US","page":"69-77","source":"ScienceDirect","title":"Full-scale measurements of wind-induced convective heat transfer from a roof-mounted flat plate solar collector","URL":"https://www.sciencedirect.com/science/article/pii/S0038092X97001199","volume":"62","author":[{"family":"Sharples","given":"S."},{"family":"Charlesworth","given":"P. S."}],"accessed":{"date-parts":[["2025",10,26]]},"issued":{"date-parts":[["1998",2,1]]}}}],"schema":"https://github.com/citation-style-language/schema/raw/master/csl-citation.json"} </w:instrText>
      </w:r>
      <w:r w:rsidR="0058768A" w:rsidRPr="00E35D8F">
        <w:rPr>
          <w:lang w:eastAsia="zh-CN"/>
        </w:rPr>
        <w:fldChar w:fldCharType="separate"/>
      </w:r>
      <w:r w:rsidR="0058768A" w:rsidRPr="00E35D8F">
        <w:t xml:space="preserve">Sharples and Charlesworth </w:t>
      </w:r>
      <w:r w:rsidR="003D6522" w:rsidRPr="00E35D8F">
        <w:rPr>
          <w:lang w:eastAsia="zh-CN"/>
        </w:rPr>
        <w:t>(</w:t>
      </w:r>
      <w:r w:rsidR="0058768A" w:rsidRPr="00E35D8F">
        <w:t>1998)</w:t>
      </w:r>
      <w:r w:rsidR="0058768A" w:rsidRPr="00E35D8F">
        <w:rPr>
          <w:lang w:eastAsia="zh-CN"/>
        </w:rPr>
        <w:fldChar w:fldCharType="end"/>
      </w:r>
      <w:r w:rsidR="00E062A9" w:rsidRPr="00E35D8F">
        <w:rPr>
          <w:lang w:eastAsia="zh-CN"/>
        </w:rPr>
        <w:t>,</w:t>
      </w:r>
      <w:r w:rsidR="007F0FDD" w:rsidRPr="00E35D8F">
        <w:rPr>
          <w:lang w:eastAsia="zh-CN"/>
        </w:rPr>
        <w:t xml:space="preserve"> </w:t>
      </w:r>
      <w:r w:rsidR="00E062A9" w:rsidRPr="00E35D8F">
        <w:rPr>
          <w:lang w:eastAsia="zh-CN"/>
        </w:rPr>
        <w:t xml:space="preserve">and </w:t>
      </w:r>
      <w:r w:rsidR="006D309D" w:rsidRPr="00E35D8F">
        <w:rPr>
          <w:lang w:eastAsia="zh-CN"/>
        </w:rPr>
        <w:fldChar w:fldCharType="begin"/>
      </w:r>
      <w:r w:rsidR="00066E54" w:rsidRPr="00E35D8F">
        <w:rPr>
          <w:lang w:eastAsia="zh-CN"/>
        </w:rPr>
        <w:instrText xml:space="preserve"> ADDIN ZOTERO_ITEM CSL_CITATION {"citationID":"VH98NO8e","properties":{"unsorted":false,"formattedCitation":"(Wang et al., 2025)","plainCitation":"(Wang et al., 2025)","dontUpdate":true,"noteIndex":0},"citationItems":[{"id":201,"uris":["http://zotero.org/users/17474343/items/4VRDNPXT"],"itemData":{"id":201,"type":"article-journal","abstract":"The wind and thermal microenvironment around PV arrays play an important role on their structural safety and power output. Most existing research predominantly focuses on numerical simulation methods, which usually involve various idealized assumptions that may lead to distortions in the simulation results. This study employs field tests to investigate the wind and thermal microenvironment of distributed PV array in a high-altitude cold region, which has higher wind speeds, lower atmospheric pressure and colder temperatures. The experiment compared the roof microenvironment with and without the PV arrays, and analyzed the wind speed, roof and PV panel temperatures and wind loads. The experimental results indicated that the installation of PV array significantly alters the wind environment and convective heat transfer on the roof, reducing the surface temperature of the roof, decreasing radiation and convective heat transfer and improving energy efficiency and sustainability. The convective heat transfer intensity at the front of the PV array reached 36.19 W/(m2·°C) at 15:00, which is twice the convective heat transfer coefficient of the unoccupied roof. The surface temperature of the PV panels reached its peak of 49.47 °C around 13:30. The wind load fluctuations on the front side of the PV panels were found to be significant, especially in the first row of panels, which calls for careful design and installation methods to ensure the structural integrity and safe operation of distributed PV array.","container-title":"Journal of Building Engineering","DOI":"10.1016/j.jobe.2025.112492","ISSN":"2352-7102","journalAbbreviation":"Journal of Building Engineering","language":"en-US","page":"112492","source":"ScienceDirect","title":"Field measurement on the wind and thermal microenvironment of distributed PV array","URL":"https://www.sciencedirect.com/science/article/pii/S2352710225007296","volume":"105","author":[{"family":"Wang","given":"Jiawei"},{"family":"Jiang","given":"Fujian"},{"family":"Lin","given":"Xiaowen"},{"family":"Yousif","given":"Charles"},{"family":"Ji","given":"Wenhui"},{"family":"Yuan","given":"Yanping"},{"family":"Zhou","given":"Jinzhi"}],"accessed":{"date-parts":[["2025",10,19]]},"issued":{"date-parts":[["2025",7,1]]}}}],"schema":"https://github.com/citation-style-language/schema/raw/master/csl-citation.json"} </w:instrText>
      </w:r>
      <w:r w:rsidR="006D309D" w:rsidRPr="00E35D8F">
        <w:rPr>
          <w:lang w:eastAsia="zh-CN"/>
        </w:rPr>
        <w:fldChar w:fldCharType="separate"/>
      </w:r>
      <w:r w:rsidR="006D309D" w:rsidRPr="00E35D8F">
        <w:t xml:space="preserve">Wang et al. </w:t>
      </w:r>
      <w:r w:rsidR="006D309D" w:rsidRPr="00E35D8F">
        <w:rPr>
          <w:lang w:eastAsia="zh-CN"/>
        </w:rPr>
        <w:t>(</w:t>
      </w:r>
      <w:r w:rsidR="006D309D" w:rsidRPr="00E35D8F">
        <w:t>2025)</w:t>
      </w:r>
      <w:r w:rsidR="006D309D" w:rsidRPr="00E35D8F">
        <w:rPr>
          <w:lang w:eastAsia="zh-CN"/>
        </w:rPr>
        <w:fldChar w:fldCharType="end"/>
      </w:r>
      <w:r w:rsidR="007F0FDD" w:rsidRPr="00E35D8F">
        <w:rPr>
          <w:lang w:eastAsia="zh-CN"/>
        </w:rPr>
        <w:t xml:space="preserve">. </w:t>
      </w:r>
      <w:r w:rsidRPr="00E35D8F">
        <w:rPr>
          <w:lang w:eastAsia="zh-CN"/>
        </w:rPr>
        <w:t>Accordingly, the SRRC values of these three CHTCs should be interpreted as uncertainty-importance measures for thermal-boundary modelling rather than direct design-control effects</w:t>
      </w:r>
      <w:r w:rsidR="00745656" w:rsidRPr="00E35D8F">
        <w:rPr>
          <w:lang w:eastAsia="zh-CN"/>
        </w:rPr>
        <w:t>.</w:t>
      </w:r>
    </w:p>
    <w:p w14:paraId="24478261" w14:textId="064BFADA" w:rsidR="00423BFB" w:rsidRPr="00423BFB" w:rsidRDefault="00551E6F" w:rsidP="00591152">
      <w:pPr>
        <w:pStyle w:val="SWCTableFigureCaption"/>
        <w:spacing w:before="0" w:after="0"/>
        <w:ind w:left="0" w:right="0"/>
      </w:pPr>
      <w:bookmarkStart w:id="4" w:name="_Ref236872207"/>
      <w:r>
        <w:t>Tab</w:t>
      </w:r>
      <w:r w:rsidR="005733CD">
        <w:rPr>
          <w:rFonts w:hint="eastAsia"/>
          <w:lang w:eastAsia="zh-CN"/>
        </w:rPr>
        <w:t>.</w:t>
      </w:r>
      <w:r>
        <w:t xml:space="preserve"> </w:t>
      </w:r>
      <w:r>
        <w:fldChar w:fldCharType="begin"/>
      </w:r>
      <w:r>
        <w:instrText xml:space="preserve"> SEQ Table \* ARABIC </w:instrText>
      </w:r>
      <w:r>
        <w:fldChar w:fldCharType="separate"/>
      </w:r>
      <w:r>
        <w:t>2</w:t>
      </w:r>
      <w:r>
        <w:fldChar w:fldCharType="end"/>
      </w:r>
      <w:bookmarkEnd w:id="4"/>
      <w:r w:rsidR="00423BFB" w:rsidRPr="00E35D8F">
        <w:t>: Input parameters and uncertainty ranges used in the sampling analysis</w:t>
      </w:r>
    </w:p>
    <w:tbl>
      <w:tblPr>
        <w:tblStyle w:val="aa"/>
        <w:tblW w:w="0" w:type="auto"/>
        <w:jc w:val="center"/>
        <w:tblLook w:val="04A0" w:firstRow="1" w:lastRow="0" w:firstColumn="1" w:lastColumn="0" w:noHBand="0" w:noVBand="1"/>
      </w:tblPr>
      <w:tblGrid>
        <w:gridCol w:w="2919"/>
        <w:gridCol w:w="2919"/>
        <w:gridCol w:w="2919"/>
      </w:tblGrid>
      <w:tr w:rsidR="00423BFB" w:rsidRPr="00E35D8F" w14:paraId="594A8F75" w14:textId="77777777" w:rsidTr="0022319E">
        <w:trPr>
          <w:jc w:val="center"/>
        </w:trPr>
        <w:tc>
          <w:tcPr>
            <w:tcW w:w="2919" w:type="dxa"/>
            <w:vAlign w:val="center"/>
          </w:tcPr>
          <w:p w14:paraId="7E7DA789" w14:textId="77777777" w:rsidR="00423BFB" w:rsidRPr="00E35D8F" w:rsidRDefault="00423BFB" w:rsidP="0022319E">
            <w:pPr>
              <w:pStyle w:val="SWCTableFigureCaption"/>
              <w:spacing w:before="0" w:after="0"/>
              <w:ind w:left="0" w:right="0"/>
              <w:rPr>
                <w:sz w:val="20"/>
                <w:lang w:eastAsia="zh-CN"/>
              </w:rPr>
            </w:pPr>
            <w:r w:rsidRPr="00E35D8F">
              <w:rPr>
                <w:sz w:val="20"/>
              </w:rPr>
              <w:t>Parameter</w:t>
            </w:r>
          </w:p>
        </w:tc>
        <w:tc>
          <w:tcPr>
            <w:tcW w:w="2919" w:type="dxa"/>
            <w:vAlign w:val="center"/>
          </w:tcPr>
          <w:p w14:paraId="35911FA4" w14:textId="77777777" w:rsidR="00423BFB" w:rsidRPr="00E35D8F" w:rsidRDefault="00423BFB" w:rsidP="0022319E">
            <w:pPr>
              <w:pStyle w:val="SWCTableFigureCaption"/>
              <w:spacing w:before="0" w:after="0"/>
              <w:ind w:left="0" w:right="0"/>
              <w:rPr>
                <w:sz w:val="20"/>
                <w:lang w:eastAsia="zh-CN"/>
              </w:rPr>
            </w:pPr>
            <w:r w:rsidRPr="00E35D8F">
              <w:rPr>
                <w:sz w:val="20"/>
              </w:rPr>
              <w:t>Unit</w:t>
            </w:r>
          </w:p>
        </w:tc>
        <w:tc>
          <w:tcPr>
            <w:tcW w:w="2919" w:type="dxa"/>
            <w:vAlign w:val="center"/>
          </w:tcPr>
          <w:p w14:paraId="1B77AD93" w14:textId="77777777" w:rsidR="00423BFB" w:rsidRPr="00E35D8F" w:rsidRDefault="00423BFB" w:rsidP="0022319E">
            <w:pPr>
              <w:pStyle w:val="SWCTableFigureCaption"/>
              <w:spacing w:before="0" w:after="0"/>
              <w:ind w:left="0" w:right="0"/>
              <w:rPr>
                <w:sz w:val="20"/>
                <w:lang w:eastAsia="zh-CN"/>
              </w:rPr>
            </w:pPr>
            <w:r w:rsidRPr="00E35D8F">
              <w:rPr>
                <w:sz w:val="20"/>
              </w:rPr>
              <w:t>Range</w:t>
            </w:r>
          </w:p>
        </w:tc>
      </w:tr>
      <w:tr w:rsidR="00423BFB" w:rsidRPr="00E35D8F" w14:paraId="0544ED9F" w14:textId="77777777" w:rsidTr="0022319E">
        <w:trPr>
          <w:jc w:val="center"/>
        </w:trPr>
        <w:tc>
          <w:tcPr>
            <w:tcW w:w="2919" w:type="dxa"/>
          </w:tcPr>
          <w:p w14:paraId="1C6E580B" w14:textId="26984755" w:rsidR="00423BFB" w:rsidRPr="00E35D8F" w:rsidRDefault="002F2901" w:rsidP="0022319E">
            <w:pPr>
              <w:pStyle w:val="SWCTableText"/>
              <w:spacing w:after="0"/>
              <w:rPr>
                <w:lang w:val="en-US"/>
              </w:rPr>
            </w:pPr>
            <w:r>
              <w:rPr>
                <w:rFonts w:hint="eastAsia"/>
                <w:lang w:val="en-US" w:eastAsia="zh-CN"/>
              </w:rPr>
              <w:t>R</w:t>
            </w:r>
            <w:r w:rsidR="00423BFB" w:rsidRPr="00E35D8F">
              <w:rPr>
                <w:lang w:val="en-US"/>
              </w:rPr>
              <w:t>oof albedo</w:t>
            </w:r>
          </w:p>
        </w:tc>
        <w:tc>
          <w:tcPr>
            <w:tcW w:w="2919" w:type="dxa"/>
          </w:tcPr>
          <w:p w14:paraId="50345DFC" w14:textId="77777777" w:rsidR="00423BFB" w:rsidRPr="00E35D8F" w:rsidRDefault="00423BFB" w:rsidP="0022319E">
            <w:pPr>
              <w:pStyle w:val="SWCTableText"/>
              <w:spacing w:after="0"/>
              <w:rPr>
                <w:lang w:val="en-US"/>
              </w:rPr>
            </w:pPr>
            <w:r w:rsidRPr="00E35D8F">
              <w:rPr>
                <w:lang w:val="en-US"/>
              </w:rPr>
              <w:t>-</w:t>
            </w:r>
          </w:p>
        </w:tc>
        <w:tc>
          <w:tcPr>
            <w:tcW w:w="2919" w:type="dxa"/>
          </w:tcPr>
          <w:p w14:paraId="04066B09" w14:textId="40CB00FB" w:rsidR="00423BFB" w:rsidRPr="00E35D8F" w:rsidRDefault="00423BFB" w:rsidP="0022319E">
            <w:pPr>
              <w:pStyle w:val="SWCTableText"/>
              <w:spacing w:after="0"/>
              <w:rPr>
                <w:lang w:val="en-US"/>
              </w:rPr>
            </w:pPr>
            <w:r w:rsidRPr="00E35D8F">
              <w:rPr>
                <w:lang w:val="en-US"/>
              </w:rPr>
              <w:t>0.1</w:t>
            </w:r>
            <w:r w:rsidR="00DF5BD1" w:rsidRPr="00E35D8F">
              <w:rPr>
                <w:lang w:eastAsia="zh-CN"/>
              </w:rPr>
              <w:t>–</w:t>
            </w:r>
            <w:r w:rsidRPr="00E35D8F">
              <w:rPr>
                <w:lang w:val="en-US"/>
              </w:rPr>
              <w:t>0.9</w:t>
            </w:r>
          </w:p>
        </w:tc>
      </w:tr>
      <w:tr w:rsidR="00423BFB" w:rsidRPr="00E35D8F" w14:paraId="0D87A6DC" w14:textId="77777777" w:rsidTr="0022319E">
        <w:trPr>
          <w:jc w:val="center"/>
        </w:trPr>
        <w:tc>
          <w:tcPr>
            <w:tcW w:w="2919" w:type="dxa"/>
          </w:tcPr>
          <w:p w14:paraId="405CACD3" w14:textId="0443C315" w:rsidR="00423BFB" w:rsidRPr="00E35D8F" w:rsidRDefault="003A58B6" w:rsidP="0022319E">
            <w:pPr>
              <w:pStyle w:val="SWCTableText"/>
              <w:spacing w:after="0"/>
              <w:rPr>
                <w:lang w:val="en-US"/>
              </w:rPr>
            </w:pPr>
            <w:r>
              <w:rPr>
                <w:rFonts w:hint="eastAsia"/>
                <w:lang w:val="en-US" w:eastAsia="zh-CN"/>
              </w:rPr>
              <w:t>M</w:t>
            </w:r>
            <w:r w:rsidR="00D577E1">
              <w:rPr>
                <w:rFonts w:hint="eastAsia"/>
                <w:lang w:val="en-US" w:eastAsia="zh-CN"/>
              </w:rPr>
              <w:t>ounting</w:t>
            </w:r>
            <w:r w:rsidR="00423BFB" w:rsidRPr="00E35D8F">
              <w:rPr>
                <w:lang w:val="en-US"/>
              </w:rPr>
              <w:t xml:space="preserve"> height </w:t>
            </w:r>
          </w:p>
        </w:tc>
        <w:tc>
          <w:tcPr>
            <w:tcW w:w="2919" w:type="dxa"/>
          </w:tcPr>
          <w:p w14:paraId="3E5F001B" w14:textId="77777777" w:rsidR="00423BFB" w:rsidRPr="00E35D8F" w:rsidRDefault="00423BFB" w:rsidP="0022319E">
            <w:pPr>
              <w:pStyle w:val="SWCTableText"/>
              <w:spacing w:after="0"/>
              <w:rPr>
                <w:lang w:val="en-US" w:eastAsia="zh-CN"/>
              </w:rPr>
            </w:pPr>
            <w:r w:rsidRPr="00E35D8F">
              <w:rPr>
                <w:lang w:val="en-US" w:eastAsia="zh-CN"/>
              </w:rPr>
              <w:t>m</w:t>
            </w:r>
          </w:p>
        </w:tc>
        <w:tc>
          <w:tcPr>
            <w:tcW w:w="2919" w:type="dxa"/>
          </w:tcPr>
          <w:p w14:paraId="5D93E366" w14:textId="333F6351" w:rsidR="00423BFB" w:rsidRPr="00E35D8F" w:rsidRDefault="00423BFB" w:rsidP="0022319E">
            <w:pPr>
              <w:pStyle w:val="SWCTableText"/>
              <w:spacing w:after="0"/>
              <w:rPr>
                <w:lang w:val="en-US" w:eastAsia="zh-CN"/>
              </w:rPr>
            </w:pPr>
            <w:r w:rsidRPr="00E35D8F">
              <w:rPr>
                <w:lang w:val="en-US" w:eastAsia="zh-CN"/>
              </w:rPr>
              <w:t>0.25</w:t>
            </w:r>
            <w:r w:rsidR="00DF5BD1" w:rsidRPr="00E35D8F">
              <w:rPr>
                <w:lang w:eastAsia="zh-CN"/>
              </w:rPr>
              <w:t>–</w:t>
            </w:r>
            <w:r w:rsidRPr="00E35D8F">
              <w:rPr>
                <w:lang w:val="en-US" w:eastAsia="zh-CN"/>
              </w:rPr>
              <w:t>1.5</w:t>
            </w:r>
          </w:p>
        </w:tc>
      </w:tr>
      <w:tr w:rsidR="00423BFB" w:rsidRPr="00E35D8F" w14:paraId="5CC5A07D" w14:textId="77777777" w:rsidTr="0022319E">
        <w:trPr>
          <w:jc w:val="center"/>
        </w:trPr>
        <w:tc>
          <w:tcPr>
            <w:tcW w:w="2919" w:type="dxa"/>
          </w:tcPr>
          <w:p w14:paraId="2819017E" w14:textId="77777777" w:rsidR="00423BFB" w:rsidRPr="00E35D8F" w:rsidRDefault="00423BFB" w:rsidP="0022319E">
            <w:pPr>
              <w:pStyle w:val="SWCTableText"/>
              <w:spacing w:after="0"/>
              <w:rPr>
                <w:lang w:val="en-US"/>
              </w:rPr>
            </w:pPr>
            <w:r w:rsidRPr="00E35D8F">
              <w:rPr>
                <w:lang w:val="en-US" w:eastAsia="zh-CN"/>
              </w:rPr>
              <w:t>Row</w:t>
            </w:r>
            <w:r w:rsidRPr="00E35D8F">
              <w:rPr>
                <w:lang w:val="en-US"/>
              </w:rPr>
              <w:t xml:space="preserve"> spacing</w:t>
            </w:r>
          </w:p>
        </w:tc>
        <w:tc>
          <w:tcPr>
            <w:tcW w:w="2919" w:type="dxa"/>
          </w:tcPr>
          <w:p w14:paraId="625B01C2" w14:textId="77777777" w:rsidR="00423BFB" w:rsidRPr="00E35D8F" w:rsidRDefault="00423BFB" w:rsidP="0022319E">
            <w:pPr>
              <w:pStyle w:val="SWCTableText"/>
              <w:spacing w:after="0"/>
              <w:rPr>
                <w:lang w:val="en-US" w:eastAsia="zh-CN"/>
              </w:rPr>
            </w:pPr>
            <w:r w:rsidRPr="00E35D8F">
              <w:rPr>
                <w:lang w:val="en-US" w:eastAsia="zh-CN"/>
              </w:rPr>
              <w:t>m</w:t>
            </w:r>
          </w:p>
        </w:tc>
        <w:tc>
          <w:tcPr>
            <w:tcW w:w="2919" w:type="dxa"/>
          </w:tcPr>
          <w:p w14:paraId="585F5826" w14:textId="31D406BD" w:rsidR="00423BFB" w:rsidRPr="00E35D8F" w:rsidRDefault="00423BFB" w:rsidP="0022319E">
            <w:pPr>
              <w:pStyle w:val="SWCTableText"/>
              <w:spacing w:after="0"/>
              <w:rPr>
                <w:lang w:val="en-US" w:eastAsia="zh-CN"/>
              </w:rPr>
            </w:pPr>
            <w:r w:rsidRPr="00E35D8F">
              <w:rPr>
                <w:lang w:val="en-US" w:eastAsia="zh-CN"/>
              </w:rPr>
              <w:t>1.53</w:t>
            </w:r>
            <w:r w:rsidR="00DF5BD1" w:rsidRPr="00E35D8F">
              <w:rPr>
                <w:lang w:eastAsia="zh-CN"/>
              </w:rPr>
              <w:t>–</w:t>
            </w:r>
            <w:r w:rsidRPr="00E35D8F">
              <w:rPr>
                <w:lang w:val="en-US" w:eastAsia="zh-CN"/>
              </w:rPr>
              <w:t>2.54</w:t>
            </w:r>
          </w:p>
        </w:tc>
      </w:tr>
      <w:tr w:rsidR="00423BFB" w:rsidRPr="00E35D8F" w14:paraId="0C901079" w14:textId="77777777" w:rsidTr="0022319E">
        <w:trPr>
          <w:jc w:val="center"/>
        </w:trPr>
        <w:tc>
          <w:tcPr>
            <w:tcW w:w="2919" w:type="dxa"/>
          </w:tcPr>
          <w:p w14:paraId="24AAD0D3" w14:textId="77777777" w:rsidR="00423BFB" w:rsidRPr="00E35D8F" w:rsidRDefault="00423BFB" w:rsidP="0022319E">
            <w:pPr>
              <w:pStyle w:val="SWCTableText"/>
              <w:spacing w:after="0"/>
              <w:rPr>
                <w:lang w:val="en-US"/>
              </w:rPr>
            </w:pPr>
            <w:r w:rsidRPr="00E35D8F">
              <w:rPr>
                <w:lang w:val="en-US"/>
              </w:rPr>
              <w:t>PV tilt angle</w:t>
            </w:r>
          </w:p>
        </w:tc>
        <w:tc>
          <w:tcPr>
            <w:tcW w:w="2919" w:type="dxa"/>
          </w:tcPr>
          <w:p w14:paraId="4819FA54" w14:textId="77777777" w:rsidR="00423BFB" w:rsidRPr="00E35D8F" w:rsidRDefault="00423BFB" w:rsidP="0022319E">
            <w:pPr>
              <w:pStyle w:val="SWCTableText"/>
              <w:spacing w:after="0"/>
              <w:rPr>
                <w:lang w:val="en-US"/>
              </w:rPr>
            </w:pPr>
            <w:r w:rsidRPr="00E35D8F">
              <w:rPr>
                <w:lang w:val="en-US"/>
              </w:rPr>
              <w:t>°</w:t>
            </w:r>
          </w:p>
        </w:tc>
        <w:tc>
          <w:tcPr>
            <w:tcW w:w="2919" w:type="dxa"/>
          </w:tcPr>
          <w:p w14:paraId="27A553E4" w14:textId="3C0B008A" w:rsidR="00423BFB" w:rsidRPr="00E35D8F" w:rsidRDefault="00423BFB" w:rsidP="0022319E">
            <w:pPr>
              <w:pStyle w:val="SWCTableText"/>
              <w:spacing w:after="0"/>
              <w:rPr>
                <w:lang w:val="en-US" w:eastAsia="zh-CN"/>
              </w:rPr>
            </w:pPr>
            <w:r w:rsidRPr="00E35D8F">
              <w:rPr>
                <w:lang w:val="en-US" w:eastAsia="zh-CN"/>
              </w:rPr>
              <w:t>0</w:t>
            </w:r>
            <w:r w:rsidR="00DF5BD1" w:rsidRPr="00E35D8F">
              <w:rPr>
                <w:lang w:eastAsia="zh-CN"/>
              </w:rPr>
              <w:t>–</w:t>
            </w:r>
            <w:r w:rsidRPr="00E35D8F">
              <w:rPr>
                <w:lang w:val="en-US" w:eastAsia="zh-CN"/>
              </w:rPr>
              <w:t>90</w:t>
            </w:r>
          </w:p>
        </w:tc>
      </w:tr>
      <w:tr w:rsidR="00423BFB" w:rsidRPr="00E35D8F" w14:paraId="50685F5B" w14:textId="77777777" w:rsidTr="0022319E">
        <w:trPr>
          <w:jc w:val="center"/>
        </w:trPr>
        <w:tc>
          <w:tcPr>
            <w:tcW w:w="2919" w:type="dxa"/>
          </w:tcPr>
          <w:p w14:paraId="0DD49FBE" w14:textId="2A91CCC9" w:rsidR="00423BFB" w:rsidRPr="00E35D8F" w:rsidRDefault="00423BFB" w:rsidP="0022319E">
            <w:pPr>
              <w:pStyle w:val="SWCTableText"/>
              <w:spacing w:after="0"/>
              <w:rPr>
                <w:lang w:val="en-US"/>
              </w:rPr>
            </w:pPr>
            <w:r w:rsidRPr="00E35D8F">
              <w:rPr>
                <w:lang w:val="en-US" w:eastAsia="zh-CN"/>
              </w:rPr>
              <w:t xml:space="preserve">PV </w:t>
            </w:r>
            <w:r w:rsidRPr="00E35D8F">
              <w:rPr>
                <w:lang w:val="en-US"/>
              </w:rPr>
              <w:t>front-</w:t>
            </w:r>
            <w:r w:rsidR="00E00856">
              <w:rPr>
                <w:rFonts w:hint="eastAsia"/>
                <w:lang w:val="de-DE" w:eastAsia="zh-CN"/>
              </w:rPr>
              <w:t>side</w:t>
            </w:r>
            <w:r w:rsidRPr="00E35D8F">
              <w:rPr>
                <w:lang w:val="en-US"/>
              </w:rPr>
              <w:t xml:space="preserve"> CHTC</w:t>
            </w:r>
          </w:p>
        </w:tc>
        <w:tc>
          <w:tcPr>
            <w:tcW w:w="2919" w:type="dxa"/>
          </w:tcPr>
          <w:p w14:paraId="3100EED3" w14:textId="562AD91A" w:rsidR="00423BFB" w:rsidRPr="00E35D8F" w:rsidRDefault="00FE5103" w:rsidP="0022319E">
            <w:pPr>
              <w:pStyle w:val="SWCTableText"/>
              <w:spacing w:after="0"/>
              <w:rPr>
                <w:lang w:val="en-US"/>
              </w:rPr>
            </w:pPr>
            <w:r w:rsidRPr="00F81CA3">
              <w:t>W m</w:t>
            </w:r>
            <w:r w:rsidRPr="00DE65CB">
              <w:rPr>
                <w:vertAlign w:val="superscript"/>
              </w:rPr>
              <w:t>−2</w:t>
            </w:r>
            <w:r w:rsidRPr="00F81CA3">
              <w:t> K</w:t>
            </w:r>
            <w:r w:rsidRPr="00DE65CB">
              <w:rPr>
                <w:vertAlign w:val="superscript"/>
              </w:rPr>
              <w:t>−1</w:t>
            </w:r>
          </w:p>
        </w:tc>
        <w:tc>
          <w:tcPr>
            <w:tcW w:w="2919" w:type="dxa"/>
          </w:tcPr>
          <w:p w14:paraId="0BD6F457" w14:textId="4EE8A07D" w:rsidR="00423BFB" w:rsidRPr="00E35D8F" w:rsidRDefault="00423BFB" w:rsidP="0022319E">
            <w:pPr>
              <w:pStyle w:val="SWCTableText"/>
              <w:spacing w:after="0"/>
              <w:rPr>
                <w:lang w:val="en-US" w:eastAsia="zh-CN"/>
              </w:rPr>
            </w:pPr>
            <w:r w:rsidRPr="00E35D8F">
              <w:rPr>
                <w:lang w:val="en-US" w:eastAsia="zh-CN"/>
              </w:rPr>
              <w:t>5</w:t>
            </w:r>
            <w:r w:rsidR="00DF5BD1" w:rsidRPr="00E35D8F">
              <w:rPr>
                <w:lang w:eastAsia="zh-CN"/>
              </w:rPr>
              <w:t>–</w:t>
            </w:r>
            <w:r w:rsidRPr="00E35D8F">
              <w:rPr>
                <w:lang w:val="en-US" w:eastAsia="zh-CN"/>
              </w:rPr>
              <w:t>25</w:t>
            </w:r>
          </w:p>
        </w:tc>
      </w:tr>
      <w:tr w:rsidR="00423BFB" w:rsidRPr="00E35D8F" w14:paraId="5147AA6E" w14:textId="77777777" w:rsidTr="0022319E">
        <w:trPr>
          <w:jc w:val="center"/>
        </w:trPr>
        <w:tc>
          <w:tcPr>
            <w:tcW w:w="2919" w:type="dxa"/>
          </w:tcPr>
          <w:p w14:paraId="4F1F1746" w14:textId="46CA4CBF" w:rsidR="00423BFB" w:rsidRPr="00E35D8F" w:rsidRDefault="00423BFB" w:rsidP="0022319E">
            <w:pPr>
              <w:pStyle w:val="SWCTableText"/>
              <w:spacing w:after="0"/>
              <w:rPr>
                <w:lang w:val="en-US"/>
              </w:rPr>
            </w:pPr>
            <w:r w:rsidRPr="00E35D8F">
              <w:rPr>
                <w:lang w:val="en-US" w:eastAsia="zh-CN"/>
              </w:rPr>
              <w:t xml:space="preserve">PV </w:t>
            </w:r>
            <w:r w:rsidRPr="00E35D8F">
              <w:rPr>
                <w:lang w:val="en-US"/>
              </w:rPr>
              <w:t>rear-</w:t>
            </w:r>
            <w:r w:rsidR="00E00856">
              <w:rPr>
                <w:rFonts w:hint="eastAsia"/>
                <w:lang w:val="de-DE" w:eastAsia="zh-CN"/>
              </w:rPr>
              <w:t>side</w:t>
            </w:r>
            <w:r w:rsidRPr="00E35D8F">
              <w:rPr>
                <w:lang w:val="en-US"/>
              </w:rPr>
              <w:t xml:space="preserve"> CHTC</w:t>
            </w:r>
          </w:p>
        </w:tc>
        <w:tc>
          <w:tcPr>
            <w:tcW w:w="2919" w:type="dxa"/>
          </w:tcPr>
          <w:p w14:paraId="76CCC3E0" w14:textId="57FC6E90" w:rsidR="00423BFB" w:rsidRPr="00E35D8F" w:rsidRDefault="00FE5103" w:rsidP="0022319E">
            <w:pPr>
              <w:pStyle w:val="SWCTableText"/>
              <w:spacing w:after="0"/>
              <w:rPr>
                <w:lang w:val="en-US"/>
              </w:rPr>
            </w:pPr>
            <w:r w:rsidRPr="00F81CA3">
              <w:t>W m</w:t>
            </w:r>
            <w:r w:rsidRPr="00DE65CB">
              <w:rPr>
                <w:vertAlign w:val="superscript"/>
              </w:rPr>
              <w:t>−2</w:t>
            </w:r>
            <w:r w:rsidRPr="00F81CA3">
              <w:t> K</w:t>
            </w:r>
            <w:r w:rsidRPr="00DE65CB">
              <w:rPr>
                <w:vertAlign w:val="superscript"/>
              </w:rPr>
              <w:t>−1</w:t>
            </w:r>
          </w:p>
        </w:tc>
        <w:tc>
          <w:tcPr>
            <w:tcW w:w="2919" w:type="dxa"/>
          </w:tcPr>
          <w:p w14:paraId="28835459" w14:textId="557460AA" w:rsidR="00423BFB" w:rsidRPr="00E35D8F" w:rsidRDefault="00423BFB" w:rsidP="0022319E">
            <w:pPr>
              <w:pStyle w:val="SWCTableText"/>
              <w:spacing w:after="0"/>
              <w:rPr>
                <w:lang w:val="en-US" w:eastAsia="zh-CN"/>
              </w:rPr>
            </w:pPr>
            <w:r w:rsidRPr="00E35D8F">
              <w:rPr>
                <w:lang w:val="en-US" w:eastAsia="zh-CN"/>
              </w:rPr>
              <w:t>2</w:t>
            </w:r>
            <w:r w:rsidR="00DF5BD1" w:rsidRPr="00E35D8F">
              <w:rPr>
                <w:lang w:eastAsia="zh-CN"/>
              </w:rPr>
              <w:t>–</w:t>
            </w:r>
            <w:r w:rsidRPr="00E35D8F">
              <w:rPr>
                <w:lang w:val="en-US" w:eastAsia="zh-CN"/>
              </w:rPr>
              <w:t>20</w:t>
            </w:r>
          </w:p>
        </w:tc>
      </w:tr>
      <w:tr w:rsidR="00423BFB" w:rsidRPr="00E35D8F" w14:paraId="332EBCA7" w14:textId="77777777" w:rsidTr="0022319E">
        <w:trPr>
          <w:jc w:val="center"/>
        </w:trPr>
        <w:tc>
          <w:tcPr>
            <w:tcW w:w="2919" w:type="dxa"/>
          </w:tcPr>
          <w:p w14:paraId="45621E78" w14:textId="5BF1A6DE" w:rsidR="00423BFB" w:rsidRPr="00E35D8F" w:rsidRDefault="00423BFB" w:rsidP="0022319E">
            <w:pPr>
              <w:pStyle w:val="SWCTableText"/>
              <w:spacing w:after="0"/>
              <w:rPr>
                <w:lang w:val="en-US"/>
              </w:rPr>
            </w:pPr>
            <w:r w:rsidRPr="00E35D8F">
              <w:rPr>
                <w:lang w:val="en-US" w:eastAsia="zh-CN"/>
              </w:rPr>
              <w:t>R</w:t>
            </w:r>
            <w:r w:rsidRPr="00E35D8F">
              <w:rPr>
                <w:lang w:val="en-US"/>
              </w:rPr>
              <w:t>oof exterior CHTC</w:t>
            </w:r>
          </w:p>
        </w:tc>
        <w:tc>
          <w:tcPr>
            <w:tcW w:w="2919" w:type="dxa"/>
          </w:tcPr>
          <w:p w14:paraId="6037B9A2" w14:textId="1AF17412" w:rsidR="00423BFB" w:rsidRPr="00E35D8F" w:rsidRDefault="00FE5103" w:rsidP="0022319E">
            <w:pPr>
              <w:pStyle w:val="SWCTableText"/>
              <w:spacing w:after="0"/>
              <w:rPr>
                <w:lang w:val="en-US"/>
              </w:rPr>
            </w:pPr>
            <w:bookmarkStart w:id="5" w:name="_Hlk236860673"/>
            <w:r w:rsidRPr="00F81CA3">
              <w:t>W m</w:t>
            </w:r>
            <w:r w:rsidRPr="00DE65CB">
              <w:rPr>
                <w:vertAlign w:val="superscript"/>
              </w:rPr>
              <w:t>−2</w:t>
            </w:r>
            <w:r w:rsidRPr="00F81CA3">
              <w:t> K</w:t>
            </w:r>
            <w:r w:rsidRPr="00DE65CB">
              <w:rPr>
                <w:vertAlign w:val="superscript"/>
              </w:rPr>
              <w:t>−1</w:t>
            </w:r>
            <w:bookmarkEnd w:id="5"/>
          </w:p>
        </w:tc>
        <w:tc>
          <w:tcPr>
            <w:tcW w:w="2919" w:type="dxa"/>
          </w:tcPr>
          <w:p w14:paraId="54D96619" w14:textId="482153ED" w:rsidR="00423BFB" w:rsidRPr="00E35D8F" w:rsidRDefault="00423BFB" w:rsidP="0022319E">
            <w:pPr>
              <w:pStyle w:val="SWCTableText"/>
              <w:spacing w:after="0"/>
              <w:rPr>
                <w:lang w:val="en-US" w:eastAsia="zh-CN"/>
              </w:rPr>
            </w:pPr>
            <w:r w:rsidRPr="00E35D8F">
              <w:rPr>
                <w:lang w:val="en-US" w:eastAsia="zh-CN"/>
              </w:rPr>
              <w:t>2</w:t>
            </w:r>
            <w:r w:rsidR="00DF5BD1" w:rsidRPr="00E35D8F">
              <w:rPr>
                <w:lang w:eastAsia="zh-CN"/>
              </w:rPr>
              <w:t>–</w:t>
            </w:r>
            <w:r w:rsidRPr="00E35D8F">
              <w:rPr>
                <w:lang w:val="en-US" w:eastAsia="zh-CN"/>
              </w:rPr>
              <w:t>15</w:t>
            </w:r>
          </w:p>
        </w:tc>
      </w:tr>
    </w:tbl>
    <w:p w14:paraId="4EE02F53" w14:textId="77777777"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2.3.2. Performance indicators</w:t>
      </w:r>
    </w:p>
    <w:p w14:paraId="743A6BD7" w14:textId="773EB59C" w:rsidR="00975B43" w:rsidRDefault="00975B43" w:rsidP="00193AFF">
      <w:pPr>
        <w:pStyle w:val="SWCText"/>
      </w:pPr>
      <w:r w:rsidRPr="00975B43">
        <w:t xml:space="preserve">The simulation outputs were grouped into PV-side, building-demand-side, and integrated annual energy-balance indicators. The PV-side indicators included annual PV generation reported on the DC side and </w:t>
      </w:r>
      <w:r w:rsidR="00CF36D3" w:rsidRPr="007E54E2">
        <w:rPr>
          <w:lang w:val="de-DE"/>
        </w:rPr>
        <w:t>array-side</w:t>
      </w:r>
      <w:r w:rsidRPr="00975B43">
        <w:t xml:space="preserve"> DC peak power. The reported </w:t>
      </w:r>
      <w:r w:rsidR="00CF36D3" w:rsidRPr="007E54E2">
        <w:rPr>
          <w:lang w:val="de-DE"/>
        </w:rPr>
        <w:t>array-side</w:t>
      </w:r>
      <w:r w:rsidRPr="00975B43">
        <w:t xml:space="preserve"> DC peak power refers to the </w:t>
      </w:r>
      <w:r w:rsidR="00CF36D3" w:rsidRPr="007E54E2">
        <w:rPr>
          <w:lang w:val="de-DE"/>
        </w:rPr>
        <w:t>array-side</w:t>
      </w:r>
      <w:r w:rsidRPr="00975B43">
        <w:t xml:space="preserve"> DC output calculated by the </w:t>
      </w:r>
      <w:proofErr w:type="spellStart"/>
      <w:r w:rsidRPr="00975B43">
        <w:t>bPV</w:t>
      </w:r>
      <w:proofErr w:type="spellEnd"/>
      <w:r w:rsidRPr="00975B43">
        <w:t xml:space="preserve"> electro-thermal model, without considering inverter clipping, DC-to-alternating-current (AC) conversion losses, or AC-side power constraints. </w:t>
      </w:r>
      <w:r w:rsidR="00B44C97" w:rsidRPr="00B44C97">
        <w:t xml:space="preserve">The building-demand-side indicators included annual HVAC electricity use intensity, annual cooling electricity use intensity, annual heating electricity use intensity, and HVAC peak electric power density. </w:t>
      </w:r>
      <w:r w:rsidR="0024436F" w:rsidRPr="0024436F">
        <w:t>The annual HVAC, cooling, and heating electricity use intensities were calculated by normalizing the corresponding annual electricity use by the conditioned floor area of 1264.8 m² and are reported in kWh m⁻². HVAC peak electric power density was calculated using the same conditioned floor area and is reported in W m⁻²</w:t>
      </w:r>
      <w:r w:rsidR="00B44C97" w:rsidRPr="00B44C97">
        <w:t>. Annual total building electricity use, comprising HVAC, lighting, and equipment electricity use under the same simulation boundary, was retained on an absolute-energy basis for the integrated annual energy-balance assessment</w:t>
      </w:r>
      <w:r w:rsidRPr="00975B43">
        <w:t>.</w:t>
      </w:r>
    </w:p>
    <w:p w14:paraId="377CFC19" w14:textId="78CD9EEE" w:rsidR="00193AFF" w:rsidRPr="00E35D8F" w:rsidRDefault="005F126D" w:rsidP="00193AFF">
      <w:pPr>
        <w:pStyle w:val="SWCText"/>
        <w:rPr>
          <w:lang w:eastAsia="zh-CN"/>
        </w:rPr>
      </w:pPr>
      <w:r w:rsidRPr="005F126D">
        <w:t>To provide a simple annual comparison between rooftop PV generation and building electricity use, the annual PV-to-building electricity use ratio was defined as</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688"/>
      </w:tblGrid>
      <w:tr w:rsidR="00E2191F" w:rsidRPr="00E35D8F" w14:paraId="284284FD" w14:textId="77777777" w:rsidTr="00DB58B5">
        <w:trPr>
          <w:jc w:val="center"/>
        </w:trPr>
        <w:tc>
          <w:tcPr>
            <w:tcW w:w="8075" w:type="dxa"/>
            <w:vAlign w:val="center"/>
          </w:tcPr>
          <w:p w14:paraId="50E02B37" w14:textId="285A6C6F" w:rsidR="00E2191F" w:rsidRPr="00E66D63" w:rsidRDefault="009030AC" w:rsidP="003A221B">
            <w:pPr>
              <w:pStyle w:val="SWCText"/>
              <w:spacing w:after="0"/>
              <w:rPr>
                <w:i/>
                <w:iCs/>
                <w:lang w:eastAsia="zh-CN"/>
              </w:rPr>
            </w:pPr>
            <m:oMathPara>
              <m:oMath>
                <m:sSub>
                  <m:sSubPr>
                    <m:ctrlPr>
                      <w:rPr>
                        <w:rFonts w:ascii="Cambria Math" w:hAnsi="Cambria Math"/>
                        <w:i/>
                        <w:iCs/>
                        <w:lang w:eastAsia="zh-CN"/>
                      </w:rPr>
                    </m:ctrlPr>
                  </m:sSubPr>
                  <m:e>
                    <m:r>
                      <m:rPr>
                        <m:nor/>
                      </m:rPr>
                      <w:rPr>
                        <w:i/>
                        <w:iCs/>
                        <w:lang w:eastAsia="zh-CN"/>
                      </w:rPr>
                      <m:t>R</m:t>
                    </m:r>
                  </m:e>
                  <m:sub>
                    <m:r>
                      <m:rPr>
                        <m:nor/>
                      </m:rPr>
                      <w:rPr>
                        <w:i/>
                        <w:iCs/>
                        <w:lang w:eastAsia="zh-CN"/>
                      </w:rPr>
                      <m:t>PV-</m:t>
                    </m:r>
                    <w:proofErr w:type="spellStart"/>
                    <m:r>
                      <m:rPr>
                        <m:nor/>
                      </m:rPr>
                      <w:rPr>
                        <w:i/>
                        <w:iCs/>
                        <w:lang w:eastAsia="zh-CN"/>
                      </w:rPr>
                      <m:t>elec</m:t>
                    </m:r>
                    <w:proofErr w:type="spellEnd"/>
                  </m:sub>
                </m:sSub>
                <m:r>
                  <m:rPr>
                    <m:nor/>
                  </m:rPr>
                  <w:rPr>
                    <w:i/>
                    <w:iCs/>
                    <w:lang w:eastAsia="zh-CN"/>
                  </w:rPr>
                  <m:t>=</m:t>
                </m:r>
                <m:f>
                  <m:fPr>
                    <m:ctrlPr>
                      <w:rPr>
                        <w:rFonts w:ascii="Cambria Math" w:hAnsi="Cambria Math"/>
                        <w:i/>
                        <w:iCs/>
                        <w:lang w:eastAsia="zh-CN"/>
                      </w:rPr>
                    </m:ctrlPr>
                  </m:fPr>
                  <m:num>
                    <m:sSub>
                      <m:sSubPr>
                        <m:ctrlPr>
                          <w:rPr>
                            <w:rFonts w:ascii="Cambria Math" w:hAnsi="Cambria Math"/>
                            <w:i/>
                            <w:iCs/>
                            <w:lang w:eastAsia="zh-CN"/>
                          </w:rPr>
                        </m:ctrlPr>
                      </m:sSubPr>
                      <m:e>
                        <m:r>
                          <m:rPr>
                            <m:nor/>
                          </m:rPr>
                          <w:rPr>
                            <w:i/>
                            <w:iCs/>
                            <w:lang w:eastAsia="zh-CN"/>
                          </w:rPr>
                          <m:t>E</m:t>
                        </m:r>
                      </m:e>
                      <m:sub>
                        <w:proofErr w:type="spellStart"/>
                        <m:r>
                          <m:rPr>
                            <m:nor/>
                          </m:rPr>
                          <w:rPr>
                            <w:i/>
                            <w:iCs/>
                            <w:lang w:eastAsia="zh-CN"/>
                          </w:rPr>
                          <m:t>PV,DC,ann</m:t>
                        </m:r>
                        <w:proofErr w:type="spellEnd"/>
                      </m:sub>
                    </m:sSub>
                  </m:num>
                  <m:den>
                    <m:sSub>
                      <m:sSubPr>
                        <m:ctrlPr>
                          <w:rPr>
                            <w:rFonts w:ascii="Cambria Math" w:hAnsi="Cambria Math"/>
                            <w:i/>
                            <w:iCs/>
                            <w:lang w:eastAsia="zh-CN"/>
                          </w:rPr>
                        </m:ctrlPr>
                      </m:sSubPr>
                      <m:e>
                        <m:r>
                          <m:rPr>
                            <m:nor/>
                          </m:rPr>
                          <w:rPr>
                            <w:i/>
                            <w:iCs/>
                            <w:lang w:eastAsia="zh-CN"/>
                          </w:rPr>
                          <m:t>E</m:t>
                        </m:r>
                      </m:e>
                      <m:sub>
                        <w:proofErr w:type="spellStart"/>
                        <m:r>
                          <m:rPr>
                            <m:nor/>
                          </m:rPr>
                          <w:rPr>
                            <w:i/>
                            <w:iCs/>
                            <w:lang w:eastAsia="zh-CN"/>
                          </w:rPr>
                          <m:t>bldg,elec,ann</m:t>
                        </m:r>
                        <w:proofErr w:type="spellEnd"/>
                      </m:sub>
                    </m:sSub>
                  </m:den>
                </m:f>
                <m:r>
                  <m:rPr>
                    <m:nor/>
                  </m:rPr>
                  <w:rPr>
                    <w:i/>
                    <w:iCs/>
                    <w:lang w:eastAsia="zh-CN"/>
                  </w:rPr>
                  <m:t>×100%</m:t>
                </m:r>
              </m:oMath>
            </m:oMathPara>
          </w:p>
        </w:tc>
        <w:tc>
          <w:tcPr>
            <w:tcW w:w="688" w:type="dxa"/>
            <w:vAlign w:val="center"/>
          </w:tcPr>
          <w:p w14:paraId="42E6B88B" w14:textId="1D86A9EA" w:rsidR="00E2191F" w:rsidRPr="00E35D8F" w:rsidRDefault="00E2191F" w:rsidP="003A221B">
            <w:pPr>
              <w:pStyle w:val="SWCText"/>
              <w:spacing w:after="0"/>
              <w:rPr>
                <w:lang w:eastAsia="zh-CN"/>
              </w:rPr>
            </w:pPr>
            <w:r w:rsidRPr="00E35D8F">
              <w:rPr>
                <w:lang w:eastAsia="zh-CN"/>
              </w:rPr>
              <w:t>(eq.</w:t>
            </w:r>
            <w:r w:rsidR="00FA2BEE">
              <w:rPr>
                <w:rFonts w:hint="eastAsia"/>
                <w:lang w:eastAsia="zh-CN"/>
              </w:rPr>
              <w:t>8</w:t>
            </w:r>
            <w:r w:rsidRPr="00E35D8F">
              <w:rPr>
                <w:lang w:eastAsia="zh-CN"/>
              </w:rPr>
              <w:t>)</w:t>
            </w:r>
          </w:p>
        </w:tc>
      </w:tr>
    </w:tbl>
    <w:p w14:paraId="1AF4A53F" w14:textId="2C0DB7C6" w:rsidR="00A14C25" w:rsidRPr="00E35D8F" w:rsidRDefault="00DB58B5" w:rsidP="00DB58B5">
      <w:pPr>
        <w:pStyle w:val="SWCText"/>
      </w:pPr>
      <w:r>
        <w:t xml:space="preserve">where </w:t>
      </w:r>
      <w:proofErr w:type="spellStart"/>
      <w:r w:rsidRPr="00DB58B5">
        <w:rPr>
          <w:i/>
          <w:iCs/>
        </w:rPr>
        <w:t>E</w:t>
      </w:r>
      <w:r w:rsidRPr="00DB58B5">
        <w:rPr>
          <w:i/>
          <w:iCs/>
          <w:vertAlign w:val="subscript"/>
        </w:rPr>
        <w:t>PV,DC,ann</w:t>
      </w:r>
      <w:proofErr w:type="spellEnd"/>
      <w:r>
        <w:t xml:space="preserve"> is the annual DC electricity generation predicted by the </w:t>
      </w:r>
      <w:proofErr w:type="spellStart"/>
      <w:r>
        <w:t>bPV</w:t>
      </w:r>
      <w:proofErr w:type="spellEnd"/>
      <w:r>
        <w:t xml:space="preserve"> model and </w:t>
      </w:r>
      <w:proofErr w:type="spellStart"/>
      <w:r w:rsidRPr="00DB58B5">
        <w:rPr>
          <w:i/>
          <w:iCs/>
        </w:rPr>
        <w:t>E</w:t>
      </w:r>
      <w:r w:rsidRPr="00DB58B5">
        <w:rPr>
          <w:i/>
          <w:iCs/>
          <w:vertAlign w:val="subscript"/>
        </w:rPr>
        <w:t>bldg,elec,ann</w:t>
      </w:r>
      <w:proofErr w:type="spellEnd"/>
      <w:r>
        <w:rPr>
          <w:rFonts w:hint="eastAsia"/>
          <w:i/>
          <w:iCs/>
          <w:vertAlign w:val="subscript"/>
          <w:lang w:eastAsia="zh-CN"/>
        </w:rPr>
        <w:t xml:space="preserve"> </w:t>
      </w:r>
      <w:r>
        <w:t>is the annual total building electricity use, including HVAC, lighting, and equipment electricity use. The annual PV-to-building electricity use ratio therefore represents the ratio of annual rooftop PV generation to annual building electricity use on an energy-balance basis. Because both quantities were aggregated annually, temporal matching between PV generation and building electricity use was not considered. Grid export, energy storage, inverter clipping, and DC-to-AC conversion losses were also excluded. Therefore, this indicator should not be interpreted as an operational PV self-sufficiency ratio.</w:t>
      </w:r>
    </w:p>
    <w:p w14:paraId="3674125E" w14:textId="77777777"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2.3.3. Latin Hypercube Sampling and simulation design</w:t>
      </w:r>
    </w:p>
    <w:p w14:paraId="51217044" w14:textId="1074CAF2" w:rsidR="009A0D74" w:rsidRPr="00E35D8F" w:rsidRDefault="009A0D74" w:rsidP="009A0D74">
      <w:pPr>
        <w:pStyle w:val="SWCText"/>
        <w:rPr>
          <w:lang w:eastAsia="zh-CN"/>
        </w:rPr>
      </w:pPr>
      <w:r w:rsidRPr="00E35D8F">
        <w:t>LHS</w:t>
      </w:r>
      <w:r w:rsidR="00204B40" w:rsidRPr="00E35D8F">
        <w:rPr>
          <w:lang w:eastAsia="zh-CN"/>
        </w:rPr>
        <w:t xml:space="preserve"> </w:t>
      </w:r>
      <w:r w:rsidRPr="00E35D8F">
        <w:t xml:space="preserve">was adopted to generate the input combinations for the uncertainty and sensitivity analyses. LHS was selected because it provides an efficient stratified sampling scheme and ensures that the full range of each input variable is represented with a limited number of simulations, which is advantageous for building performance analysis </w:t>
      </w:r>
      <w:r w:rsidR="005D571D" w:rsidRPr="00E35D8F">
        <w:fldChar w:fldCharType="begin"/>
      </w:r>
      <w:r w:rsidR="005D571D" w:rsidRPr="00E35D8F">
        <w:instrText xml:space="preserve"> ADDIN ZOTERO_ITEM CSL_CITATION {"citationID":"SGqVBpjq","properties":{"unsorted":false,"formattedCitation":"(Tian, 2013)","plainCitation":"(Tian, 2013)","noteIndex":0},"citationItems":[{"id":2454,"uris":["http://zotero.org/users/17474343/items/Q7W2Y9ZZ"],"itemData":{"id":2454,"type":"article-journal","abstract":"Sensitivity analysis plays an important role in building energy analysis. It can be used to identify the key variables affecting building thermal performance from both energy simulation models and observational study. This paper is focused on the application of sensitivity analysis in the ﬁeld of building performance analysis. First, the typical steps of implementation of sensitivity analysis in building analysis are described. A number of practical issues in applying sensitivity analysis are also discussed, such as the determination of input variations, the choice of building energy programs, how to reduce computational time for energy models. Second, the sensitivity analysis methods used in building performance analysis are reviewed. These methods can be categorized into local and global sensitivity analysis. The global methods can be further divided into four approaches: regression, screening-based, variance-based, and meta-model sensitivity analysis. Recent research has been concentrated on global methods because they can explore the whole input space and most of them allow the self-veriﬁcation, i.e., how much variance of the model output (building energy consumption) has been explained by the method used in the analysis. Third, we discuss several important topics, which are often overlooked in the domain of building performance analysis. These topics include the application of sensitivity analysis in observational study, how to deal with correlated inputs, the computation of the variations of sensitivity index, and the software issues. Lastly, the practical guidance is given based on the advantages and disadvantaged of different sensitivity analysis methods in assessing building thermal performance. The recommendations for further research in the future are made to provide more robust analysis in assessing building energy performance.","container-title":"Renewable and Sustainable Energy Reviews","DOI":"10.1016/j.rser.2012.12.014","ISSN":"13640321","journalAbbreviation":"Renewable and Sustainable Energy Reviews","language":"en","license":"https://www.elsevier.com/tdm/userlicense/1.0/","page":"411-419","source":"DOI.org (Crossref)","title":"A review of sensitivity analysis methods in building energy analysis","URL":"https://linkinghub.elsevier.com/retrieve/pii/S1364032112007101","volume":"20","author":[{"family":"Tian","given":"Wei"}],"accessed":{"date-parts":[["2026",3,27]]},"issued":{"date-parts":[["2013",4]]}}}],"schema":"https://github.com/citation-style-language/schema/raw/master/csl-citation.json"} </w:instrText>
      </w:r>
      <w:r w:rsidR="005D571D" w:rsidRPr="00E35D8F">
        <w:fldChar w:fldCharType="separate"/>
      </w:r>
      <w:r w:rsidR="005D571D" w:rsidRPr="00E35D8F">
        <w:t>(Tian, 2013)</w:t>
      </w:r>
      <w:r w:rsidR="005D571D" w:rsidRPr="00E35D8F">
        <w:fldChar w:fldCharType="end"/>
      </w:r>
      <w:r w:rsidRPr="00E35D8F">
        <w:t>.</w:t>
      </w:r>
      <w:r w:rsidR="0024261C">
        <w:rPr>
          <w:rFonts w:hint="eastAsia"/>
          <w:lang w:eastAsia="zh-CN"/>
        </w:rPr>
        <w:t xml:space="preserve"> </w:t>
      </w:r>
      <w:r w:rsidRPr="00E35D8F">
        <w:t xml:space="preserve">A total of 400 samples were generated for the seven input variables. This sample size satisfies the commonly used requirement that the number of model executions should be higher than </w:t>
      </w:r>
      <w:r w:rsidRPr="00E35D8F">
        <w:rPr>
          <w:lang w:eastAsia="zh-CN"/>
        </w:rPr>
        <w:t>10</w:t>
      </w:r>
      <w:r w:rsidRPr="00E35D8F">
        <w:t xml:space="preserve"> times the number of input variables for regression-based sensitivity analysis </w:t>
      </w:r>
      <w:r w:rsidR="00F63B89" w:rsidRPr="00E35D8F">
        <w:fldChar w:fldCharType="begin"/>
      </w:r>
      <w:r w:rsidR="00F63B89" w:rsidRPr="00E35D8F">
        <w:instrText xml:space="preserve"> ADDIN ZOTERO_ITEM CSL_CITATION {"citationID":"F7njRHFv","properties":{"unsorted":false,"formattedCitation":"(European Commission - IPSC, 2008)","plainCitation":"(European Commission - IPSC, 2008)","noteIndex":0},"citationItems":[{"id":2656,"uris":["http://zotero.org/users/17474343/items/28RGQYDK"],"itemData":{"id":2656,"type":"software","title":"Simlab 2.2: Reference manual","URL":"https://ec.europa.eu/jrc/en/samo/simlab","author":[{"literal":"European Commission - IPSC"}],"issued":{"date-parts":[["2008"]]}}}],"schema":"https://github.com/citation-style-language/schema/raw/master/csl-citation.json"} </w:instrText>
      </w:r>
      <w:r w:rsidR="00F63B89" w:rsidRPr="00E35D8F">
        <w:fldChar w:fldCharType="separate"/>
      </w:r>
      <w:r w:rsidR="00F63B89" w:rsidRPr="00E35D8F">
        <w:t>(European Commission - IPSC, 2008)</w:t>
      </w:r>
      <w:r w:rsidR="00F63B89" w:rsidRPr="00E35D8F">
        <w:fldChar w:fldCharType="end"/>
      </w:r>
      <w:r w:rsidRPr="00E35D8F">
        <w:t xml:space="preserve">. In the absence of measured probability distributions, all input variables were assumed to be independent and </w:t>
      </w:r>
      <w:r w:rsidRPr="00E35D8F">
        <w:lastRenderedPageBreak/>
        <w:t xml:space="preserve">uniformly distributed within the ranges listed in </w:t>
      </w:r>
      <w:r w:rsidR="00551E6F">
        <w:fldChar w:fldCharType="begin"/>
      </w:r>
      <w:r w:rsidR="00551E6F">
        <w:instrText xml:space="preserve"> REF _Ref236872207 \h </w:instrText>
      </w:r>
      <w:r w:rsidR="00551E6F">
        <w:fldChar w:fldCharType="separate"/>
      </w:r>
      <w:r w:rsidR="00551E6F">
        <w:t>Table 2</w:t>
      </w:r>
      <w:r w:rsidR="00551E6F">
        <w:fldChar w:fldCharType="end"/>
      </w:r>
      <w:r w:rsidRPr="00E35D8F">
        <w:t>.</w:t>
      </w:r>
      <w:r w:rsidR="00602BED" w:rsidRPr="00602BED">
        <w:t xml:space="preserve"> </w:t>
      </w:r>
    </w:p>
    <w:p w14:paraId="0ADCC64F" w14:textId="15DEAE90" w:rsidR="003B5368" w:rsidRPr="00E35D8F" w:rsidRDefault="009A0D74" w:rsidP="009A0D74">
      <w:pPr>
        <w:pStyle w:val="SWCText"/>
        <w:rPr>
          <w:lang w:eastAsia="zh-CN"/>
        </w:rPr>
      </w:pPr>
      <w:r w:rsidRPr="00E35D8F">
        <w:t>The same (</w:t>
      </w:r>
      <w:r w:rsidR="009C3D76">
        <w:t>400 × 7</w:t>
      </w:r>
      <w:r w:rsidRPr="00E35D8F">
        <w:t xml:space="preserve">) LHS matrix was applied to both the new and existing </w:t>
      </w:r>
      <w:r w:rsidR="00BD308A">
        <w:rPr>
          <w:rFonts w:hint="eastAsia"/>
          <w:lang w:eastAsia="zh-CN"/>
        </w:rPr>
        <w:t>building</w:t>
      </w:r>
      <w:r w:rsidR="00BD308A" w:rsidRPr="00E35D8F">
        <w:t xml:space="preserve"> </w:t>
      </w:r>
      <w:r w:rsidRPr="00E35D8F">
        <w:t xml:space="preserve">envelope scenarios. Each sampled combination was therefore simulated once for the new building and once for the existing building. This paired design ensured that differences between the two </w:t>
      </w:r>
      <w:r w:rsidR="00BD308A">
        <w:rPr>
          <w:rFonts w:hint="eastAsia"/>
          <w:lang w:eastAsia="zh-CN"/>
        </w:rPr>
        <w:t>building</w:t>
      </w:r>
      <w:r w:rsidR="00BD308A" w:rsidRPr="00E35D8F">
        <w:t xml:space="preserve"> </w:t>
      </w:r>
      <w:r w:rsidRPr="00E35D8F">
        <w:t xml:space="preserve">envelope cases were attributable to </w:t>
      </w:r>
      <w:r w:rsidR="00BD308A">
        <w:rPr>
          <w:rFonts w:hint="eastAsia"/>
          <w:lang w:eastAsia="zh-CN"/>
        </w:rPr>
        <w:t>building</w:t>
      </w:r>
      <w:r w:rsidR="00BD308A" w:rsidRPr="00E35D8F">
        <w:t xml:space="preserve"> </w:t>
      </w:r>
      <w:r w:rsidRPr="00E35D8F">
        <w:t>envelope thermal performance rather than to sampling variability. The simulation outputs were then used for the subsequent uncertainty analysis and SRRC-based global sensitivity analysis.</w:t>
      </w:r>
    </w:p>
    <w:p w14:paraId="52B083DD" w14:textId="7760251D" w:rsidR="005E151B" w:rsidRPr="00E35D8F" w:rsidRDefault="005E151B" w:rsidP="00150259">
      <w:pPr>
        <w:spacing w:before="160" w:after="80" w:line="240" w:lineRule="exact"/>
        <w:outlineLvl w:val="2"/>
        <w:rPr>
          <w:rFonts w:ascii="Arial" w:hAnsi="Arial" w:cs="Arial"/>
          <w:i/>
          <w:iCs/>
          <w:sz w:val="20"/>
          <w:szCs w:val="20"/>
          <w:lang w:val="en-US" w:eastAsia="zh-CN"/>
        </w:rPr>
      </w:pPr>
      <w:r w:rsidRPr="00E35D8F">
        <w:rPr>
          <w:rFonts w:ascii="Arial" w:hAnsi="Arial" w:cs="Arial"/>
          <w:i/>
          <w:iCs/>
          <w:sz w:val="20"/>
          <w:szCs w:val="20"/>
          <w:lang w:val="en-US" w:eastAsia="zh-CN"/>
        </w:rPr>
        <w:t xml:space="preserve">2.3.4. </w:t>
      </w:r>
      <w:r w:rsidR="005C41B2" w:rsidRPr="005C41B2">
        <w:rPr>
          <w:rFonts w:ascii="Arial" w:hAnsi="Arial" w:cs="Arial"/>
          <w:i/>
          <w:iCs/>
          <w:sz w:val="20"/>
          <w:szCs w:val="20"/>
          <w:lang w:val="en-US" w:eastAsia="zh-CN"/>
        </w:rPr>
        <w:t xml:space="preserve">Uncertainty </w:t>
      </w:r>
      <w:r w:rsidR="00BC5923">
        <w:rPr>
          <w:rFonts w:ascii="Arial" w:hAnsi="Arial" w:cs="Arial"/>
          <w:i/>
          <w:iCs/>
          <w:sz w:val="20"/>
          <w:szCs w:val="20"/>
          <w:lang w:val="en-US" w:eastAsia="zh-CN"/>
        </w:rPr>
        <w:t xml:space="preserve">analysis </w:t>
      </w:r>
      <w:r w:rsidR="005C41B2" w:rsidRPr="005C41B2">
        <w:rPr>
          <w:rFonts w:ascii="Arial" w:hAnsi="Arial" w:cs="Arial"/>
          <w:i/>
          <w:iCs/>
          <w:sz w:val="20"/>
          <w:szCs w:val="20"/>
          <w:lang w:val="en-US" w:eastAsia="zh-CN"/>
        </w:rPr>
        <w:t xml:space="preserve">and </w:t>
      </w:r>
      <w:r w:rsidR="00BC5923">
        <w:rPr>
          <w:rFonts w:ascii="Arial" w:hAnsi="Arial" w:cs="Arial"/>
          <w:i/>
          <w:iCs/>
          <w:sz w:val="20"/>
          <w:szCs w:val="20"/>
          <w:lang w:val="en-US" w:eastAsia="zh-CN"/>
        </w:rPr>
        <w:t>global</w:t>
      </w:r>
      <w:r w:rsidR="005C41B2" w:rsidRPr="005C41B2">
        <w:rPr>
          <w:rFonts w:ascii="Arial" w:hAnsi="Arial" w:cs="Arial"/>
          <w:i/>
          <w:iCs/>
          <w:sz w:val="20"/>
          <w:szCs w:val="20"/>
          <w:lang w:val="en-US" w:eastAsia="zh-CN"/>
        </w:rPr>
        <w:t xml:space="preserve"> sensitivity analysis</w:t>
      </w:r>
    </w:p>
    <w:p w14:paraId="58BF93D8" w14:textId="2FEF9023" w:rsidR="006B71DD" w:rsidRPr="00E35D8F" w:rsidRDefault="0013768A" w:rsidP="00C6077A">
      <w:pPr>
        <w:pStyle w:val="SWCText"/>
        <w:rPr>
          <w:lang w:eastAsia="zh-CN"/>
        </w:rPr>
      </w:pPr>
      <w:r w:rsidRPr="0013768A">
        <w:rPr>
          <w:lang w:val="de-DE" w:eastAsia="zh-CN"/>
        </w:rPr>
        <w:t>Output uncertainty was summarized using raincloud plots, which combine individual simulation results, kernel-density distributions, and embedded percentile-based box summaries</w:t>
      </w:r>
      <w:r w:rsidR="00406651" w:rsidRPr="00406651">
        <w:rPr>
          <w:lang w:val="de-DE" w:eastAsia="zh-CN"/>
        </w:rPr>
        <w:t xml:space="preserve"> </w:t>
      </w:r>
      <w:r w:rsidR="00BB7C33">
        <w:rPr>
          <w:lang w:val="de-DE" w:eastAsia="zh-CN"/>
        </w:rPr>
        <w:fldChar w:fldCharType="begin"/>
      </w:r>
      <w:r w:rsidR="00BB7C33">
        <w:rPr>
          <w:lang w:val="de-DE" w:eastAsia="zh-CN"/>
        </w:rPr>
        <w:instrText xml:space="preserve"> ADDIN ZOTERO_ITEM CSL_CITATION {"citationID":"P723OZUg","properties":{"unsorted":false,"formattedCitation":"(Allen et al., 2019)","plainCitation":"(Allen et al., 2019)","noteIndex":0},"citationItems":[{"id":2668,"uris":["http://zotero.org/users/17474343/items/TSQHILSV"],"itemData":{"id":2668,"type":"article-journal","abstract":"Across scientific disciplines, there is a rapidly growing recognition of the need for more statistically robust, transparent approaches to data visualization. Complementary to this, many scientists have called for plotting tools that accurately and transparently convey key aspects of statistical effects and raw data with minimal distortion. Previously common approaches, such as plotting conditional mean or median barplots together with error-bars have been criticized for distorting effect size, hiding underlying patterns in the raw data, and obscuring the assumptions upon which the most commonly used statistical tests are based. Here we describe a data visualization approach which overcomes these issues, providing maximal statistical information while preserving the desired ‘inference at a glance’ nature of barplots and other similar visualization devices. These “raincloud plots” can visualize raw data, probability density, and key summary statistics such as median, mean, and relevant confidence intervals in an appealing and flexible format with minimal redundancy. In this tutorial paper, we provide basic demonstrations of the strength of raincloud plots and similar approaches, outline potential modifications for their optimal use, and provide open-source code for their streamlined implementation in R, Python and Matlab (\n              https://github.com/RainCloudPlots/RainCloudPlots\n              ). Readers can investigate the R and Python tutorials interactively in the browser using Binder by Project Jupyter.","container-title":"Wellcome Open Research","DOI":"10.12688/wellcomeopenres.15191.1","ISSN":"2398-502X","journalAbbreviation":"Wellcome Open Res","language":"en","page":"63","source":"DOI.org (Crossref)","title":"Raincloud plots: a multi-platform tool for robust data visualization","title-short":"Raincloud plots","URL":"https://wellcomeopenresearch.org/articles/4-63/v1","volume":"4","author":[{"family":"Allen","given":"Micah"},{"family":"Poggiali","given":"Davide"},{"family":"Whitaker","given":"Kirstie"},{"family":"Marshall","given":"Tom Rhys"},{"family":"Kievit","given":"Rogier A."}],"accessed":{"date-parts":[["2026",7,7]]},"issued":{"date-parts":[["2019",4,1]]}}}],"schema":"https://github.com/citation-style-language/schema/raw/master/csl-citation.json"} </w:instrText>
      </w:r>
      <w:r w:rsidR="00BB7C33">
        <w:rPr>
          <w:lang w:val="de-DE" w:eastAsia="zh-CN"/>
        </w:rPr>
        <w:fldChar w:fldCharType="separate"/>
      </w:r>
      <w:r w:rsidR="00BB7C33" w:rsidRPr="00BB7C33">
        <w:t>(Allen et al., 2019)</w:t>
      </w:r>
      <w:r w:rsidR="00BB7C33">
        <w:rPr>
          <w:lang w:val="de-DE" w:eastAsia="zh-CN"/>
        </w:rPr>
        <w:fldChar w:fldCharType="end"/>
      </w:r>
      <w:r w:rsidR="00406651" w:rsidRPr="00406651">
        <w:rPr>
          <w:lang w:val="de-DE" w:eastAsia="zh-CN"/>
        </w:rPr>
        <w:t xml:space="preserve">. In each embedded box, the box spans the 25th–75th percentiles, the central line denotes the median, and the whiskers indicate the 5th–95th percentiles, representing the central 90% uncertainty range. </w:t>
      </w:r>
    </w:p>
    <w:p w14:paraId="00E3C401" w14:textId="72229F8A" w:rsidR="003B5368" w:rsidRPr="00E35D8F" w:rsidRDefault="00D84356" w:rsidP="005C796F">
      <w:pPr>
        <w:pStyle w:val="SWCText"/>
        <w:rPr>
          <w:lang w:eastAsia="zh-CN"/>
        </w:rPr>
      </w:pPr>
      <w:r w:rsidRPr="00E35D8F">
        <w:t>Global sensitivity analysis was conducted to identify the input parameters that mainly contributed to the variability of each performance indicator. The SRRC was adopted as the sensitivity index because it is suitable for monotonic but potentially nonlinear input–output relationships, which are commonly observed in building energy and solar performance simulations</w:t>
      </w:r>
      <w:r w:rsidRPr="00E35D8F">
        <w:rPr>
          <w:lang w:eastAsia="zh-CN"/>
        </w:rPr>
        <w:t xml:space="preserve"> </w:t>
      </w:r>
      <w:r w:rsidR="00BE3D88" w:rsidRPr="00E35D8F">
        <w:fldChar w:fldCharType="begin"/>
      </w:r>
      <w:r w:rsidR="006F0C1A">
        <w:instrText xml:space="preserve"> ADDIN ZOTERO_ITEM CSL_CITATION {"citationID":"E5ypmNFQ","properties":{"unsorted":false,"formattedCitation":"(Helton et al., 2006; Tian, 2013)","plainCitation":"(Helton et al., 2006; Tian, 2013)","noteIndex":0},"citationItems":[{"id":2642,"uris":["http://zotero.org/users/17474343/items/EPDDAPHE"],"itemData":{"id":2642,"type":"article-journal","abstract":"Sampling-based methods for uncertainty and sensitivity analysis are reviewed. The following topics are considered: (i) Definition of probability distributions to characterize epistemic uncertainty in analysis inputs, (ii) Generation of samples from uncertain analysis inputs, (iii) Propagation of sampled inputs through an analysis, (iv) Presentation of uncertainty analysis results, and (v) Determination of sensitivity analysis results. Special attention is given to the determination of sensitivity analysis results, with brief descriptions and illustrations given for the following procedures/techniques: examination of scatterplots, correlation analysis, regression analysis, partial correlation analysis, rank transformations, statistical tests for patterns based on gridding, entropy tests for patterns based on gridding, nonparametric regression analysis, squared rank differences/rank correlation coefficient test, two dimensional Kolmogorov-Smirnov test, tests for patterns based on distance measures, top down coefficient of concordance, and variance decomposition.","language":"en","source":"Zotero","title":"Survey of Sampling-Based Methods for Uncertainty and Sensitivity Analysis","author":[{"family":"Helton","given":"J C"},{"family":"Johnson","given":"J D"},{"family":"Sallaberry","given":"C J"},{"family":"Storlie","given":"C B"}],"issued":{"date-parts":[["2006"]]}}},{"id":2454,"uris":["http://zotero.org/users/17474343/items/Q7W2Y9ZZ"],"itemData":{"id":2454,"type":"article-journal","abstract":"Sensitivity analysis plays an important role in building energy analysis. It can be used to identify the key variables affecting building thermal performance from both energy simulation models and observational study. This paper is focused on the application of sensitivity analysis in the ﬁeld of building performance analysis. First, the typical steps of implementation of sensitivity analysis in building analysis are described. A number of practical issues in applying sensitivity analysis are also discussed, such as the determination of input variations, the choice of building energy programs, how to reduce computational time for energy models. Second, the sensitivity analysis methods used in building performance analysis are reviewed. These methods can be categorized into local and global sensitivity analysis. The global methods can be further divided into four approaches: regression, screening-based, variance-based, and meta-model sensitivity analysis. Recent research has been concentrated on global methods because they can explore the whole input space and most of them allow the self-veriﬁcation, i.e., how much variance of the model output (building energy consumption) has been explained by the method used in the analysis. Third, we discuss several important topics, which are often overlooked in the domain of building performance analysis. These topics include the application of sensitivity analysis in observational study, how to deal with correlated inputs, the computation of the variations of sensitivity index, and the software issues. Lastly, the practical guidance is given based on the advantages and disadvantaged of different sensitivity analysis methods in assessing building thermal performance. The recommendations for further research in the future are made to provide more robust analysis in assessing building energy performance.","container-title":"Renewable and Sustainable Energy Reviews","DOI":"10.1016/j.rser.2012.12.014","ISSN":"13640321","journalAbbreviation":"Renewable and Sustainable Energy Reviews","language":"en","license":"https://www.elsevier.com/tdm/userlicense/1.0/","page":"411-419","source":"DOI.org (Crossref)","title":"A review of sensitivity analysis methods in building energy analysis","URL":"https://linkinghub.elsevier.com/retrieve/pii/S1364032112007101","volume":"20","author":[{"family":"Tian","given":"Wei"}],"accessed":{"date-parts":[["2026",3,27]]},"issued":{"date-parts":[["2013",4]]}}}],"schema":"https://github.com/citation-style-language/schema/raw/master/csl-citation.json"} </w:instrText>
      </w:r>
      <w:r w:rsidR="00BE3D88" w:rsidRPr="00E35D8F">
        <w:fldChar w:fldCharType="separate"/>
      </w:r>
      <w:r w:rsidR="006F0C1A" w:rsidRPr="006F0C1A">
        <w:t>(Helton et al., 2006; Tian, 2013)</w:t>
      </w:r>
      <w:r w:rsidR="00BE3D88" w:rsidRPr="00E35D8F">
        <w:fldChar w:fldCharType="end"/>
      </w:r>
      <w:r w:rsidR="00627360" w:rsidRPr="00E35D8F">
        <w:t>.</w:t>
      </w:r>
      <w:r w:rsidR="009121BA">
        <w:rPr>
          <w:rFonts w:hint="eastAsia"/>
          <w:lang w:eastAsia="zh-CN"/>
        </w:rPr>
        <w:t xml:space="preserve"> </w:t>
      </w:r>
      <w:r w:rsidR="009121BA" w:rsidRPr="009121BA">
        <w:t xml:space="preserve">For each performance indicator, inputs and outputs were rank-transformed, and a multiple linear regression model was fitted to the ranked variables. The sign of the SRRC indicates the direction of influence, while its absolute value reflects relative importance within the sampled range. The rank-regression R² was used to assess the reliability of SRRC interpretation. Since SRRC does not explicitly quantify interaction effects, the results were interpreted as </w:t>
      </w:r>
      <w:r w:rsidR="00B037F4" w:rsidRPr="00B037F4">
        <w:rPr>
          <w:lang w:val="de-DE"/>
        </w:rPr>
        <w:t>global monotonic sensitivity indicators</w:t>
      </w:r>
      <w:r w:rsidR="009121BA" w:rsidRPr="009121BA">
        <w:t xml:space="preserve"> rather than full variance-decomposition indices. For </w:t>
      </w:r>
      <w:r w:rsidR="00542B66" w:rsidRPr="00542B66">
        <w:t>the annual PV-to-building electricity use ratio</w:t>
      </w:r>
      <w:r w:rsidR="009121BA" w:rsidRPr="009121BA">
        <w:t xml:space="preserve">, </w:t>
      </w:r>
      <w:r w:rsidR="00542B66">
        <w:rPr>
          <w:rFonts w:hint="eastAsia"/>
          <w:lang w:eastAsia="zh-CN"/>
        </w:rPr>
        <w:t xml:space="preserve">the </w:t>
      </w:r>
      <w:r w:rsidR="009121BA" w:rsidRPr="009121BA">
        <w:t xml:space="preserve">SRRC values represent integrated sensitivity measures because this indicator depends on both annual PV generation and annual building electricity </w:t>
      </w:r>
      <w:r w:rsidR="007E54E2">
        <w:t>use</w:t>
      </w:r>
      <w:r w:rsidR="00627360" w:rsidRPr="00E35D8F">
        <w:t>.</w:t>
      </w:r>
    </w:p>
    <w:p w14:paraId="3CE30825" w14:textId="33285E6A" w:rsidR="00BD380B" w:rsidRPr="00E35D8F" w:rsidRDefault="0089439E" w:rsidP="0089439E">
      <w:pPr>
        <w:pStyle w:val="SWCHeading1"/>
        <w:numPr>
          <w:ilvl w:val="0"/>
          <w:numId w:val="0"/>
        </w:numPr>
        <w:jc w:val="left"/>
        <w:outlineLvl w:val="0"/>
      </w:pPr>
      <w:r>
        <w:rPr>
          <w:rFonts w:hint="eastAsia"/>
          <w:lang w:eastAsia="zh-CN"/>
        </w:rPr>
        <w:t>3.</w:t>
      </w:r>
      <w:r w:rsidR="00686EE0">
        <w:rPr>
          <w:rFonts w:hint="eastAsia"/>
          <w:lang w:eastAsia="zh-CN"/>
        </w:rPr>
        <w:t xml:space="preserve"> </w:t>
      </w:r>
      <w:r w:rsidR="00D32EF0" w:rsidRPr="00E35D8F">
        <w:t>Results and Discussion</w:t>
      </w:r>
    </w:p>
    <w:p w14:paraId="6CBC4C9B" w14:textId="36D27E1F" w:rsidR="00D67C1F" w:rsidRPr="00E35D8F" w:rsidRDefault="00394BA4" w:rsidP="00E711A1">
      <w:pPr>
        <w:spacing w:before="160" w:after="80" w:line="240" w:lineRule="exact"/>
        <w:outlineLvl w:val="1"/>
        <w:rPr>
          <w:rFonts w:ascii="Arial" w:hAnsi="Arial" w:cs="Arial"/>
          <w:i/>
          <w:iCs/>
          <w:sz w:val="20"/>
          <w:szCs w:val="20"/>
          <w:lang w:val="en-US" w:eastAsia="zh-CN"/>
        </w:rPr>
      </w:pPr>
      <w:r w:rsidRPr="00E35D8F">
        <w:rPr>
          <w:rFonts w:ascii="Arial" w:hAnsi="Arial" w:cs="Arial"/>
          <w:i/>
          <w:iCs/>
          <w:sz w:val="20"/>
          <w:szCs w:val="20"/>
          <w:lang w:val="en-US" w:eastAsia="zh-CN"/>
        </w:rPr>
        <w:t xml:space="preserve">3.1. </w:t>
      </w:r>
      <w:r w:rsidR="00CB1068" w:rsidRPr="00CB1068">
        <w:rPr>
          <w:rFonts w:ascii="Arial" w:hAnsi="Arial" w:cs="Arial"/>
          <w:i/>
          <w:iCs/>
          <w:sz w:val="20"/>
          <w:szCs w:val="20"/>
          <w:lang w:val="en-US" w:eastAsia="zh-CN"/>
        </w:rPr>
        <w:t>Uncertainty distributions of annual and peak building–</w:t>
      </w:r>
      <w:proofErr w:type="spellStart"/>
      <w:r w:rsidR="00CB1068" w:rsidRPr="00CB1068">
        <w:rPr>
          <w:rFonts w:ascii="Arial" w:hAnsi="Arial" w:cs="Arial"/>
          <w:i/>
          <w:iCs/>
          <w:sz w:val="20"/>
          <w:szCs w:val="20"/>
          <w:lang w:val="en-US" w:eastAsia="zh-CN"/>
        </w:rPr>
        <w:t>bPV</w:t>
      </w:r>
      <w:proofErr w:type="spellEnd"/>
      <w:r w:rsidR="00CB1068" w:rsidRPr="00CB1068">
        <w:rPr>
          <w:rFonts w:ascii="Arial" w:hAnsi="Arial" w:cs="Arial"/>
          <w:i/>
          <w:iCs/>
          <w:sz w:val="20"/>
          <w:szCs w:val="20"/>
          <w:lang w:val="en-US" w:eastAsia="zh-CN"/>
        </w:rPr>
        <w:t xml:space="preserve"> performance indicators</w:t>
      </w:r>
    </w:p>
    <w:p w14:paraId="089C7957" w14:textId="67BE2F41" w:rsidR="00B242C8" w:rsidRDefault="000A2406" w:rsidP="00C11996">
      <w:pPr>
        <w:pStyle w:val="SWCText"/>
        <w:rPr>
          <w:lang w:eastAsia="zh-CN"/>
        </w:rPr>
      </w:pPr>
      <w:r w:rsidRPr="000A2406">
        <w:rPr>
          <w:szCs w:val="20"/>
        </w:rPr>
        <w:fldChar w:fldCharType="begin"/>
      </w:r>
      <w:r w:rsidRPr="000A2406">
        <w:rPr>
          <w:szCs w:val="20"/>
        </w:rPr>
        <w:instrText xml:space="preserve"> REF _Ref236870351 \h  \* MERGEFORMAT </w:instrText>
      </w:r>
      <w:r w:rsidRPr="000A2406">
        <w:rPr>
          <w:szCs w:val="20"/>
        </w:rPr>
      </w:r>
      <w:r w:rsidRPr="000A2406">
        <w:rPr>
          <w:szCs w:val="20"/>
        </w:rPr>
        <w:fldChar w:fldCharType="separate"/>
      </w:r>
      <w:r w:rsidRPr="000A2406">
        <w:rPr>
          <w:szCs w:val="20"/>
        </w:rPr>
        <w:t>Fig</w:t>
      </w:r>
      <w:r w:rsidR="007E54E2">
        <w:rPr>
          <w:szCs w:val="20"/>
          <w:lang w:eastAsia="zh-CN"/>
        </w:rPr>
        <w:t>.</w:t>
      </w:r>
      <w:r w:rsidRPr="000A2406">
        <w:rPr>
          <w:szCs w:val="20"/>
        </w:rPr>
        <w:t xml:space="preserve"> 3</w:t>
      </w:r>
      <w:r w:rsidRPr="000A2406">
        <w:rPr>
          <w:szCs w:val="20"/>
        </w:rPr>
        <w:fldChar w:fldCharType="end"/>
      </w:r>
      <w:r w:rsidR="00A46C63" w:rsidRPr="00E35D8F">
        <w:t xml:space="preserve"> </w:t>
      </w:r>
      <w:r w:rsidR="003F5942" w:rsidRPr="003F5942">
        <w:t>summarizes the annual and peak</w:t>
      </w:r>
      <w:r w:rsidR="00C61617">
        <w:rPr>
          <w:rFonts w:hint="eastAsia"/>
          <w:lang w:eastAsia="zh-CN"/>
        </w:rPr>
        <w:t xml:space="preserve"> </w:t>
      </w:r>
      <w:r w:rsidR="00A46C63" w:rsidRPr="00E35D8F">
        <w:t xml:space="preserve">performance indicators </w:t>
      </w:r>
      <w:r w:rsidR="005D3C6C" w:rsidRPr="005D3C6C">
        <w:rPr>
          <w:lang w:val="de-DE"/>
        </w:rPr>
        <w:t>from the 400 LHS cases</w:t>
      </w:r>
      <w:r w:rsidR="00A46C63" w:rsidRPr="00E35D8F">
        <w:t xml:space="preserve">. The PV-side indicators show substantial variability across the sampled rooftop </w:t>
      </w:r>
      <w:proofErr w:type="spellStart"/>
      <w:r w:rsidR="00A46C63" w:rsidRPr="00E35D8F">
        <w:t>bPV</w:t>
      </w:r>
      <w:proofErr w:type="spellEnd"/>
      <w:r w:rsidR="00A46C63" w:rsidRPr="00E35D8F">
        <w:t xml:space="preserve">-related parameters, but little dependence on the </w:t>
      </w:r>
      <w:r w:rsidR="00BD308A">
        <w:rPr>
          <w:rFonts w:hint="eastAsia"/>
          <w:lang w:eastAsia="zh-CN"/>
        </w:rPr>
        <w:t>building</w:t>
      </w:r>
      <w:r w:rsidR="00BD308A" w:rsidRPr="00E35D8F">
        <w:t xml:space="preserve"> </w:t>
      </w:r>
      <w:r w:rsidR="00A46C63" w:rsidRPr="00E35D8F">
        <w:t>envelope scenario. Annual PV generation varies from 21.4 to 3</w:t>
      </w:r>
      <w:r w:rsidR="004D281E">
        <w:rPr>
          <w:rFonts w:hint="eastAsia"/>
          <w:lang w:eastAsia="zh-CN"/>
        </w:rPr>
        <w:t>2.9</w:t>
      </w:r>
      <w:r w:rsidR="00A46C63" w:rsidRPr="00E35D8F">
        <w:t xml:space="preserve"> MWh within the 5th–95th percentile range, while </w:t>
      </w:r>
      <w:bookmarkStart w:id="6" w:name="_Hlk237100847"/>
      <w:r w:rsidR="007E54E2" w:rsidRPr="007E54E2">
        <w:rPr>
          <w:lang w:val="de-DE"/>
        </w:rPr>
        <w:t>array-side</w:t>
      </w:r>
      <w:bookmarkEnd w:id="6"/>
      <w:r w:rsidR="007E54E2" w:rsidRPr="007E54E2">
        <w:rPr>
          <w:lang w:val="de-DE"/>
        </w:rPr>
        <w:t xml:space="preserve"> DC peak power</w:t>
      </w:r>
      <w:r w:rsidR="00A46C63" w:rsidRPr="00E35D8F">
        <w:t xml:space="preserve"> ranges from 35.5 to 46.9 kW. </w:t>
      </w:r>
      <w:r w:rsidR="00E25608" w:rsidRPr="00E25608">
        <w:rPr>
          <w:lang w:val="de-DE"/>
        </w:rPr>
        <w:t>The peak power can exceed the nominal installed capacity of 32.</w:t>
      </w:r>
      <w:r w:rsidR="00A30E8A">
        <w:rPr>
          <w:lang w:val="de-DE"/>
        </w:rPr>
        <w:t xml:space="preserve">3 </w:t>
      </w:r>
      <w:r w:rsidR="00E25608" w:rsidRPr="00E25608">
        <w:rPr>
          <w:lang w:val="de-DE"/>
        </w:rPr>
        <w:t xml:space="preserve">kWp because it represents the </w:t>
      </w:r>
      <w:r w:rsidR="004F5176" w:rsidRPr="007E54E2">
        <w:rPr>
          <w:lang w:val="de-DE"/>
        </w:rPr>
        <w:t>array-side</w:t>
      </w:r>
      <w:r w:rsidR="00E25608" w:rsidRPr="00E25608">
        <w:rPr>
          <w:lang w:val="de-DE"/>
        </w:rPr>
        <w:t xml:space="preserve"> DC output under bifacial irradiance before inverter clipping and DC-to-AC conversion losses are considered.</w:t>
      </w:r>
      <w:r w:rsidR="00E25608">
        <w:rPr>
          <w:rFonts w:hint="eastAsia"/>
          <w:lang w:val="de-DE" w:eastAsia="zh-CN"/>
        </w:rPr>
        <w:t xml:space="preserve"> </w:t>
      </w:r>
      <w:r w:rsidR="0006025B" w:rsidRPr="0006025B">
        <w:rPr>
          <w:lang w:val="de-DE"/>
        </w:rPr>
        <w:t xml:space="preserve">The two </w:t>
      </w:r>
      <w:r w:rsidR="00BD308A">
        <w:rPr>
          <w:rFonts w:hint="eastAsia"/>
          <w:lang w:eastAsia="zh-CN"/>
        </w:rPr>
        <w:t>building</w:t>
      </w:r>
      <w:r w:rsidR="00BD308A" w:rsidRPr="0006025B">
        <w:rPr>
          <w:lang w:val="de-DE"/>
        </w:rPr>
        <w:t xml:space="preserve"> </w:t>
      </w:r>
      <w:r w:rsidR="0006025B" w:rsidRPr="0006025B">
        <w:rPr>
          <w:lang w:val="de-DE"/>
        </w:rPr>
        <w:t>envelope cases show almost overlapping PV distributions</w:t>
      </w:r>
      <w:r w:rsidR="00AC03C5" w:rsidRPr="00AC03C5">
        <w:rPr>
          <w:lang w:val="de-DE"/>
        </w:rPr>
        <w:t>, with mean annual PV generation of 28.1 MWh in both cases.</w:t>
      </w:r>
      <w:r w:rsidR="00A46C63" w:rsidRPr="00E35D8F">
        <w:t xml:space="preserve"> This indicates that PV-side uncertainty is mainly governed by the optical, geometric, and </w:t>
      </w:r>
      <w:r w:rsidR="004F5176" w:rsidRPr="007E54E2">
        <w:rPr>
          <w:lang w:val="de-DE"/>
        </w:rPr>
        <w:t>array-side</w:t>
      </w:r>
      <w:r w:rsidR="00A46C63" w:rsidRPr="00E35D8F">
        <w:t xml:space="preserve"> thermal conditions of the rooftop </w:t>
      </w:r>
      <w:proofErr w:type="spellStart"/>
      <w:r w:rsidR="00A46C63" w:rsidRPr="00E35D8F">
        <w:t>bPV</w:t>
      </w:r>
      <w:proofErr w:type="spellEnd"/>
      <w:r w:rsidR="00A46C63" w:rsidRPr="00E35D8F">
        <w:t xml:space="preserve"> array</w:t>
      </w:r>
      <w:r w:rsidR="00BF79BB">
        <w:rPr>
          <w:rFonts w:hint="eastAsia"/>
          <w:lang w:eastAsia="zh-CN"/>
        </w:rPr>
        <w:t xml:space="preserve"> </w:t>
      </w:r>
      <w:r w:rsidR="00A46C63" w:rsidRPr="00E35D8F">
        <w:t xml:space="preserve">rather than by </w:t>
      </w:r>
      <w:r w:rsidR="00CB4983">
        <w:rPr>
          <w:rFonts w:hint="eastAsia"/>
          <w:lang w:eastAsia="zh-CN"/>
        </w:rPr>
        <w:t xml:space="preserve">building </w:t>
      </w:r>
      <w:r w:rsidR="00A46C63" w:rsidRPr="00E35D8F">
        <w:t xml:space="preserve">envelope </w:t>
      </w:r>
      <w:r w:rsidR="00BF79BB" w:rsidRPr="00BF79BB">
        <w:rPr>
          <w:lang w:val="de-DE"/>
        </w:rPr>
        <w:t>thermal performance</w:t>
      </w:r>
      <w:r w:rsidR="006C36E6" w:rsidRPr="00E35D8F">
        <w:t>.</w:t>
      </w:r>
    </w:p>
    <w:p w14:paraId="6CB175C0" w14:textId="5B70EBC1" w:rsidR="006C36E6" w:rsidRDefault="004028D0" w:rsidP="006C36E6">
      <w:pPr>
        <w:pStyle w:val="SWCText"/>
        <w:rPr>
          <w:lang w:val="de-DE"/>
        </w:rPr>
      </w:pPr>
      <w:r w:rsidRPr="004028D0">
        <w:t>In contrast, the HVAC-side indicators differed between the two building scenarios. Within the 5th–95th percentile range, annual HVAC electricity use intensity was 15.8–16.4 kWh m⁻²</w:t>
      </w:r>
      <w:r w:rsidR="001D1E59">
        <w:rPr>
          <w:rFonts w:hint="eastAsia"/>
          <w:lang w:val="de-DE" w:eastAsia="zh-CN"/>
        </w:rPr>
        <w:t xml:space="preserve"> </w:t>
      </w:r>
      <w:r w:rsidRPr="004028D0">
        <w:t>for the new</w:t>
      </w:r>
      <w:r w:rsidR="009F20DE">
        <w:rPr>
          <w:rFonts w:hint="eastAsia"/>
          <w:lang w:eastAsia="zh-CN"/>
        </w:rPr>
        <w:t xml:space="preserve"> </w:t>
      </w:r>
      <w:r w:rsidRPr="004028D0">
        <w:t>building scenario and 23.3–26.6 kWh m⁻² for the existing</w:t>
      </w:r>
      <w:r w:rsidR="009F20DE">
        <w:rPr>
          <w:rFonts w:hint="eastAsia"/>
          <w:lang w:eastAsia="zh-CN"/>
        </w:rPr>
        <w:t xml:space="preserve"> </w:t>
      </w:r>
      <w:r w:rsidRPr="004028D0">
        <w:t xml:space="preserve">building scenario. This indicates that the sampled rooftop </w:t>
      </w:r>
      <w:proofErr w:type="spellStart"/>
      <w:r w:rsidRPr="004028D0">
        <w:t>bPV</w:t>
      </w:r>
      <w:proofErr w:type="spellEnd"/>
      <w:r w:rsidRPr="004028D0">
        <w:t>-related parameters introduced relatively limited demand-side variability, whereas building envelope thermal performance primarily shifted the overall level of HVAC electricity use. The difference was particularly evident for heating electricity, whose mean annual electricity use intensity increased from 3.6 kWh m⁻² in the new</w:t>
      </w:r>
      <w:r w:rsidR="009F20DE">
        <w:rPr>
          <w:rFonts w:hint="eastAsia"/>
          <w:lang w:eastAsia="zh-CN"/>
        </w:rPr>
        <w:t xml:space="preserve"> </w:t>
      </w:r>
      <w:r w:rsidRPr="004028D0">
        <w:t>building scenario to 10.2 kWh m⁻² in the existing</w:t>
      </w:r>
      <w:r w:rsidR="009F20DE">
        <w:rPr>
          <w:rFonts w:hint="eastAsia"/>
          <w:lang w:eastAsia="zh-CN"/>
        </w:rPr>
        <w:t xml:space="preserve"> </w:t>
      </w:r>
      <w:r w:rsidRPr="004028D0">
        <w:t>building scenario. The existing</w:t>
      </w:r>
      <w:r w:rsidR="009F20DE">
        <w:rPr>
          <w:rFonts w:hint="eastAsia"/>
          <w:lang w:eastAsia="zh-CN"/>
        </w:rPr>
        <w:t xml:space="preserve"> </w:t>
      </w:r>
      <w:r w:rsidRPr="004028D0">
        <w:t>building scenario also showed a substantially higher mean HVAC peak electric power density of 58.0 W m⁻², compared with 22.1 W m⁻² for the new</w:t>
      </w:r>
      <w:r w:rsidR="009F20DE">
        <w:rPr>
          <w:rFonts w:hint="eastAsia"/>
          <w:lang w:eastAsia="zh-CN"/>
        </w:rPr>
        <w:t xml:space="preserve"> </w:t>
      </w:r>
      <w:r w:rsidRPr="004028D0">
        <w:t>building scenario. The upper tail in the new</w:t>
      </w:r>
      <w:r w:rsidR="009F20DE">
        <w:rPr>
          <w:rFonts w:hint="eastAsia"/>
          <w:lang w:eastAsia="zh-CN"/>
        </w:rPr>
        <w:t xml:space="preserve"> </w:t>
      </w:r>
      <w:r w:rsidRPr="004028D0">
        <w:t>building HVAC peak electric power density distribution was caused by the 23 cases whose annual peaks occurred during the morning heating start-up rather than during the summer cooling event, as discussed in Section 3.4.</w:t>
      </w:r>
      <w:r w:rsidR="002B681D">
        <w:rPr>
          <w:lang w:val="de-DE"/>
        </w:rPr>
        <w:t xml:space="preserve"> </w:t>
      </w:r>
    </w:p>
    <w:p w14:paraId="6EFF3531" w14:textId="5884EBD6" w:rsidR="0078672F" w:rsidRDefault="009A45DF" w:rsidP="00871190">
      <w:pPr>
        <w:pStyle w:val="SWCText"/>
        <w:spacing w:after="0"/>
      </w:pPr>
      <w:r w:rsidRPr="009A45DF">
        <w:t>The annual PV-to-building electricity use ratio provides an annual energy-balance comparison between rooftop PV generation and total building electricity use. Its 5th–95th percentile ranges were 26.0–40.2% for the new</w:t>
      </w:r>
      <w:r w:rsidR="00FC0A1F">
        <w:rPr>
          <w:rFonts w:hint="eastAsia"/>
          <w:lang w:eastAsia="zh-CN"/>
        </w:rPr>
        <w:t xml:space="preserve"> </w:t>
      </w:r>
      <w:r w:rsidRPr="009A45DF">
        <w:t xml:space="preserve">building scenario and 22.6–36.0% for the existing-building scenario. Because the two building envelope </w:t>
      </w:r>
      <w:r w:rsidRPr="009A45DF">
        <w:lastRenderedPageBreak/>
        <w:t>scenarios showed nearly identical annual PV generation, the higher ratio in the new</w:t>
      </w:r>
      <w:r w:rsidR="00E471AA">
        <w:rPr>
          <w:rFonts w:hint="eastAsia"/>
          <w:lang w:eastAsia="zh-CN"/>
        </w:rPr>
        <w:t xml:space="preserve"> </w:t>
      </w:r>
      <w:r w:rsidRPr="009A45DF">
        <w:t xml:space="preserve">building scenario was mainly attributable to its lower annual building electricity use. Thus, improving the building envelope did not directly increase PV generation but increased the relative contribution of the same rooftop </w:t>
      </w:r>
      <w:proofErr w:type="spellStart"/>
      <w:r w:rsidRPr="009A45DF">
        <w:t>bPV</w:t>
      </w:r>
      <w:proofErr w:type="spellEnd"/>
      <w:r w:rsidRPr="009A45DF">
        <w:t xml:space="preserve"> system to annual building electricity use</w:t>
      </w:r>
      <w:r w:rsidR="007A0CDE" w:rsidRPr="00E35D8F">
        <w:t>.</w:t>
      </w:r>
    </w:p>
    <w:p w14:paraId="07F6D338" w14:textId="739FCF84" w:rsidR="003935B6" w:rsidRPr="00E35D8F" w:rsidRDefault="00FC0A1F" w:rsidP="003935B6">
      <w:pPr>
        <w:pStyle w:val="SWCText"/>
        <w:spacing w:after="0" w:line="240" w:lineRule="auto"/>
        <w:jc w:val="center"/>
        <w:rPr>
          <w:lang w:eastAsia="zh-CN"/>
        </w:rPr>
      </w:pPr>
      <w:r>
        <w:rPr>
          <w:noProof/>
        </w:rPr>
        <w:drawing>
          <wp:inline distT="0" distB="0" distL="0" distR="0" wp14:anchorId="54E8F41C" wp14:editId="3F086E81">
            <wp:extent cx="5567045" cy="2785745"/>
            <wp:effectExtent l="0" t="0" r="0" b="0"/>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567045" cy="2785745"/>
                    </a:xfrm>
                    <a:prstGeom prst="rect">
                      <a:avLst/>
                    </a:prstGeom>
                  </pic:spPr>
                </pic:pic>
              </a:graphicData>
            </a:graphic>
          </wp:inline>
        </w:drawing>
      </w:r>
    </w:p>
    <w:p w14:paraId="3C4396A4" w14:textId="07BE51F1" w:rsidR="003935B6" w:rsidRPr="003935B6" w:rsidRDefault="003935B6" w:rsidP="003935B6">
      <w:pPr>
        <w:pStyle w:val="SWCText"/>
        <w:keepNext/>
        <w:spacing w:line="240" w:lineRule="auto"/>
        <w:jc w:val="center"/>
        <w:rPr>
          <w:b/>
          <w:sz w:val="16"/>
          <w:szCs w:val="20"/>
          <w:lang w:eastAsia="zh-CN"/>
        </w:rPr>
      </w:pPr>
      <w:bookmarkStart w:id="7" w:name="_Ref236870351"/>
      <w:r w:rsidRPr="000A2406">
        <w:rPr>
          <w:b/>
          <w:sz w:val="16"/>
          <w:szCs w:val="20"/>
        </w:rPr>
        <w:t xml:space="preserve">Fig. </w:t>
      </w:r>
      <w:r w:rsidRPr="000A2406">
        <w:rPr>
          <w:b/>
          <w:sz w:val="16"/>
          <w:szCs w:val="20"/>
        </w:rPr>
        <w:fldChar w:fldCharType="begin"/>
      </w:r>
      <w:r w:rsidRPr="000A2406">
        <w:rPr>
          <w:b/>
          <w:sz w:val="16"/>
          <w:szCs w:val="20"/>
        </w:rPr>
        <w:instrText xml:space="preserve"> SEQ Fig. \* ARABIC </w:instrText>
      </w:r>
      <w:r w:rsidRPr="000A2406">
        <w:rPr>
          <w:b/>
          <w:sz w:val="16"/>
          <w:szCs w:val="20"/>
        </w:rPr>
        <w:fldChar w:fldCharType="separate"/>
      </w:r>
      <w:r>
        <w:rPr>
          <w:b/>
          <w:noProof/>
          <w:sz w:val="16"/>
          <w:szCs w:val="20"/>
        </w:rPr>
        <w:t>3</w:t>
      </w:r>
      <w:r w:rsidRPr="000A2406">
        <w:rPr>
          <w:b/>
          <w:sz w:val="16"/>
          <w:szCs w:val="20"/>
        </w:rPr>
        <w:fldChar w:fldCharType="end"/>
      </w:r>
      <w:bookmarkEnd w:id="7"/>
      <w:r w:rsidRPr="00E35D8F">
        <w:rPr>
          <w:b/>
          <w:sz w:val="16"/>
          <w:szCs w:val="20"/>
        </w:rPr>
        <w:t xml:space="preserve">: </w:t>
      </w:r>
      <w:r w:rsidRPr="000A2406">
        <w:rPr>
          <w:b/>
          <w:sz w:val="16"/>
          <w:szCs w:val="20"/>
        </w:rPr>
        <w:t>Uncertainty distributions of annual and peak building–</w:t>
      </w:r>
      <w:proofErr w:type="spellStart"/>
      <w:r w:rsidRPr="000A2406">
        <w:rPr>
          <w:b/>
          <w:sz w:val="16"/>
          <w:szCs w:val="20"/>
        </w:rPr>
        <w:t>bPV</w:t>
      </w:r>
      <w:proofErr w:type="spellEnd"/>
      <w:r w:rsidRPr="000A2406">
        <w:rPr>
          <w:b/>
          <w:sz w:val="16"/>
          <w:szCs w:val="20"/>
        </w:rPr>
        <w:t xml:space="preserve"> performance indicator</w:t>
      </w:r>
      <w:r>
        <w:rPr>
          <w:rFonts w:hint="eastAsia"/>
          <w:b/>
          <w:sz w:val="16"/>
          <w:szCs w:val="20"/>
        </w:rPr>
        <w:t>s</w:t>
      </w:r>
    </w:p>
    <w:p w14:paraId="2A9DB1F7" w14:textId="405926BE" w:rsidR="00D67C1F" w:rsidRPr="00E35D8F" w:rsidRDefault="00394BA4" w:rsidP="00551589">
      <w:pPr>
        <w:spacing w:before="160" w:after="80" w:line="240" w:lineRule="exact"/>
        <w:jc w:val="both"/>
        <w:outlineLvl w:val="1"/>
        <w:rPr>
          <w:rFonts w:ascii="Arial" w:hAnsi="Arial" w:cs="Arial"/>
          <w:i/>
          <w:iCs/>
          <w:sz w:val="20"/>
          <w:szCs w:val="20"/>
          <w:lang w:val="en-US" w:eastAsia="zh-CN"/>
        </w:rPr>
      </w:pPr>
      <w:r w:rsidRPr="00E35D8F">
        <w:rPr>
          <w:rFonts w:ascii="Arial" w:hAnsi="Arial" w:cs="Arial"/>
          <w:i/>
          <w:iCs/>
          <w:sz w:val="20"/>
          <w:szCs w:val="20"/>
          <w:lang w:val="en-US" w:eastAsia="zh-CN"/>
        </w:rPr>
        <w:t xml:space="preserve">3.2. </w:t>
      </w:r>
      <w:r w:rsidR="009C2B2B" w:rsidRPr="009C2B2B">
        <w:rPr>
          <w:rFonts w:ascii="Arial" w:hAnsi="Arial" w:cs="Arial"/>
          <w:i/>
          <w:iCs/>
          <w:sz w:val="20"/>
          <w:szCs w:val="20"/>
          <w:lang w:val="en-US" w:eastAsia="zh-CN"/>
        </w:rPr>
        <w:t xml:space="preserve">Sensitivity of annual PV generation, </w:t>
      </w:r>
      <w:r w:rsidR="004F5176" w:rsidRPr="004F5176">
        <w:rPr>
          <w:rFonts w:ascii="Arial" w:hAnsi="Arial" w:cs="Arial"/>
          <w:i/>
          <w:iCs/>
          <w:sz w:val="20"/>
          <w:szCs w:val="20"/>
          <w:lang w:val="en-US" w:eastAsia="zh-CN"/>
        </w:rPr>
        <w:t>array-side</w:t>
      </w:r>
      <w:r w:rsidR="009C2B2B" w:rsidRPr="009C2B2B">
        <w:rPr>
          <w:rFonts w:ascii="Arial" w:hAnsi="Arial" w:cs="Arial"/>
          <w:i/>
          <w:iCs/>
          <w:sz w:val="20"/>
          <w:szCs w:val="20"/>
          <w:lang w:val="en-US" w:eastAsia="zh-CN"/>
        </w:rPr>
        <w:t xml:space="preserve"> DC peak power, and </w:t>
      </w:r>
      <w:r w:rsidR="00551589" w:rsidRPr="00551589">
        <w:rPr>
          <w:rFonts w:ascii="Arial" w:hAnsi="Arial" w:cs="Arial"/>
          <w:i/>
          <w:iCs/>
          <w:sz w:val="20"/>
          <w:szCs w:val="20"/>
          <w:lang w:val="en-US" w:eastAsia="zh-CN"/>
        </w:rPr>
        <w:t>annual PV-to-building electricity use ratio</w:t>
      </w:r>
    </w:p>
    <w:p w14:paraId="7EC10FBE" w14:textId="6BCD2E65" w:rsidR="00183D4D" w:rsidRDefault="00A9439C" w:rsidP="00BD108E">
      <w:pPr>
        <w:pStyle w:val="SWCText"/>
        <w:rPr>
          <w:lang w:eastAsia="zh-CN"/>
        </w:rPr>
      </w:pPr>
      <w:r>
        <w:rPr>
          <w:lang w:eastAsia="zh-CN"/>
        </w:rPr>
        <w:fldChar w:fldCharType="begin"/>
      </w:r>
      <w:r>
        <w:rPr>
          <w:lang w:eastAsia="zh-CN"/>
        </w:rPr>
        <w:instrText xml:space="preserve"> REF _Ref236870717 \h  \* MERGEFORMAT </w:instrText>
      </w:r>
      <w:r>
        <w:rPr>
          <w:lang w:eastAsia="zh-CN"/>
        </w:rPr>
      </w:r>
      <w:r>
        <w:rPr>
          <w:lang w:eastAsia="zh-CN"/>
        </w:rPr>
        <w:fldChar w:fldCharType="separate"/>
      </w:r>
      <w:r w:rsidRPr="00A9439C">
        <w:rPr>
          <w:lang w:eastAsia="zh-CN"/>
        </w:rPr>
        <w:t>Fig</w:t>
      </w:r>
      <w:r w:rsidR="009B029D">
        <w:rPr>
          <w:rFonts w:hint="eastAsia"/>
          <w:lang w:eastAsia="zh-CN"/>
        </w:rPr>
        <w:t>.</w:t>
      </w:r>
      <w:r w:rsidRPr="00A9439C">
        <w:rPr>
          <w:lang w:eastAsia="zh-CN"/>
        </w:rPr>
        <w:t xml:space="preserve"> 4</w:t>
      </w:r>
      <w:r>
        <w:rPr>
          <w:lang w:eastAsia="zh-CN"/>
        </w:rPr>
        <w:fldChar w:fldCharType="end"/>
      </w:r>
      <w:r w:rsidR="00BD108E">
        <w:rPr>
          <w:lang w:eastAsia="zh-CN"/>
        </w:rPr>
        <w:t xml:space="preserve"> presents the signed SRRC values for annual PV generation, </w:t>
      </w:r>
      <w:r w:rsidR="004F5176" w:rsidRPr="007E54E2">
        <w:rPr>
          <w:lang w:val="de-DE"/>
        </w:rPr>
        <w:t>array-side</w:t>
      </w:r>
      <w:r w:rsidR="00BD108E">
        <w:rPr>
          <w:lang w:eastAsia="zh-CN"/>
        </w:rPr>
        <w:t xml:space="preserve"> DC peak power, and </w:t>
      </w:r>
      <w:r w:rsidR="00CB7EC9" w:rsidRPr="00CB7EC9">
        <w:rPr>
          <w:lang w:eastAsia="zh-CN"/>
        </w:rPr>
        <w:t>the annual PV-to-building electricity use ratio</w:t>
      </w:r>
      <w:r w:rsidR="00BD108E">
        <w:rPr>
          <w:lang w:eastAsia="zh-CN"/>
        </w:rPr>
        <w:t xml:space="preserve">. Across the three indicators, PV tilt angle and roof albedo were consistently the dominant parameters, while mounting height, row spacing, and roof exterior CHTC generally showed weaker effects. The PV front- and rear-side CHTCs were more relevant to peak power than to annual </w:t>
      </w:r>
      <w:r w:rsidR="00CC625F">
        <w:rPr>
          <w:rFonts w:hint="eastAsia"/>
          <w:lang w:eastAsia="zh-CN"/>
        </w:rPr>
        <w:t xml:space="preserve">PV </w:t>
      </w:r>
      <w:r w:rsidR="00BD108E">
        <w:rPr>
          <w:lang w:eastAsia="zh-CN"/>
        </w:rPr>
        <w:t xml:space="preserve">generation. Similar rankings were obtained for the two </w:t>
      </w:r>
      <w:r w:rsidR="00BD308A">
        <w:rPr>
          <w:rFonts w:hint="eastAsia"/>
          <w:lang w:eastAsia="zh-CN"/>
        </w:rPr>
        <w:t>building</w:t>
      </w:r>
      <w:r w:rsidR="00BD308A">
        <w:rPr>
          <w:lang w:eastAsia="zh-CN"/>
        </w:rPr>
        <w:t xml:space="preserve"> </w:t>
      </w:r>
      <w:r w:rsidR="00BD108E">
        <w:rPr>
          <w:lang w:eastAsia="zh-CN"/>
        </w:rPr>
        <w:t>envelope scenarios, and the rank-regression models achieved R</w:t>
      </w:r>
      <w:r w:rsidR="00BD108E" w:rsidRPr="00BD108E">
        <w:rPr>
          <w:vertAlign w:val="superscript"/>
          <w:lang w:eastAsia="zh-CN"/>
        </w:rPr>
        <w:t>2</w:t>
      </w:r>
      <w:r w:rsidR="00BD108E">
        <w:rPr>
          <w:lang w:eastAsia="zh-CN"/>
        </w:rPr>
        <w:t xml:space="preserve"> values of 0.85–0.92.</w:t>
      </w:r>
      <w:r w:rsidR="00BD108E">
        <w:rPr>
          <w:rFonts w:hint="eastAsia"/>
          <w:lang w:eastAsia="zh-CN"/>
        </w:rPr>
        <w:t xml:space="preserve"> </w:t>
      </w:r>
      <w:r w:rsidR="00BD108E">
        <w:rPr>
          <w:lang w:eastAsia="zh-CN"/>
        </w:rPr>
        <w:t xml:space="preserve">For annual PV generation, PV tilt angle was the most influential parameter, with an SRRC of −0.73. </w:t>
      </w:r>
      <w:r w:rsidR="009E3105" w:rsidRPr="009E3105">
        <w:rPr>
          <w:lang w:eastAsia="zh-CN"/>
        </w:rPr>
        <w:t>Roof albedo ranked second, with SRRCs of 0.62 and 0.63 for the new and existing</w:t>
      </w:r>
      <w:r w:rsidR="009E3105">
        <w:rPr>
          <w:rFonts w:hint="eastAsia"/>
          <w:lang w:eastAsia="zh-CN"/>
        </w:rPr>
        <w:t xml:space="preserve"> </w:t>
      </w:r>
      <w:r w:rsidR="009E3105" w:rsidRPr="009E3105">
        <w:rPr>
          <w:lang w:eastAsia="zh-CN"/>
        </w:rPr>
        <w:t>building scenarios, respectively.</w:t>
      </w:r>
      <w:r w:rsidR="001464E7">
        <w:rPr>
          <w:rFonts w:hint="eastAsia"/>
          <w:lang w:eastAsia="zh-CN"/>
        </w:rPr>
        <w:t xml:space="preserve"> </w:t>
      </w:r>
      <w:r w:rsidR="00BD108E">
        <w:rPr>
          <w:lang w:eastAsia="zh-CN"/>
        </w:rPr>
        <w:t>The negative</w:t>
      </w:r>
      <w:r w:rsidR="0035568C">
        <w:rPr>
          <w:rFonts w:hint="eastAsia"/>
          <w:lang w:eastAsia="zh-CN"/>
        </w:rPr>
        <w:t xml:space="preserve"> PV</w:t>
      </w:r>
      <w:r w:rsidR="00BD108E">
        <w:rPr>
          <w:lang w:eastAsia="zh-CN"/>
        </w:rPr>
        <w:t xml:space="preserve"> tilt</w:t>
      </w:r>
      <w:r w:rsidR="005F6441">
        <w:rPr>
          <w:rFonts w:hint="eastAsia"/>
          <w:lang w:eastAsia="zh-CN"/>
        </w:rPr>
        <w:t xml:space="preserve"> </w:t>
      </w:r>
      <w:r w:rsidR="00BD108E">
        <w:rPr>
          <w:lang w:eastAsia="zh-CN"/>
        </w:rPr>
        <w:t>angle SRRC indicates that generation generally decreased with increasing tilt over the sampled range of 0°–90°. This should not be interpreted as evidence that a horizontal array is universally optimal, because the optimum tilt depends on local solar conditions, array geometry, and rear-side irradiance. The positive roof</w:t>
      </w:r>
      <w:r w:rsidR="00323F77">
        <w:rPr>
          <w:rFonts w:hint="eastAsia"/>
          <w:lang w:eastAsia="zh-CN"/>
        </w:rPr>
        <w:t xml:space="preserve"> </w:t>
      </w:r>
      <w:r w:rsidR="00BD108E">
        <w:rPr>
          <w:lang w:eastAsia="zh-CN"/>
        </w:rPr>
        <w:t xml:space="preserve">albedo effect mainly resulted from increased rear-side irradiance, consistent with previous </w:t>
      </w:r>
      <w:proofErr w:type="spellStart"/>
      <w:r w:rsidR="00BD108E">
        <w:rPr>
          <w:lang w:eastAsia="zh-CN"/>
        </w:rPr>
        <w:t>bPV</w:t>
      </w:r>
      <w:proofErr w:type="spellEnd"/>
      <w:r w:rsidR="00BD108E">
        <w:rPr>
          <w:lang w:eastAsia="zh-CN"/>
        </w:rPr>
        <w:t xml:space="preserve"> studies</w:t>
      </w:r>
      <w:r w:rsidR="008E310C" w:rsidRPr="00E35D8F">
        <w:rPr>
          <w:lang w:eastAsia="zh-CN"/>
        </w:rPr>
        <w:t xml:space="preserve"> </w:t>
      </w:r>
      <w:r w:rsidR="001C05FF" w:rsidRPr="00E35D8F">
        <w:rPr>
          <w:lang w:eastAsia="zh-CN"/>
        </w:rPr>
        <w:fldChar w:fldCharType="begin"/>
      </w:r>
      <w:r w:rsidR="00094A74" w:rsidRPr="00E35D8F">
        <w:rPr>
          <w:lang w:eastAsia="zh-CN"/>
        </w:rPr>
        <w:instrText xml:space="preserve"> ADDIN ZOTERO_ITEM CSL_CITATION {"citationID":"IzhOrvwH","properties":{"unsorted":false,"formattedCitation":"(Basak et al., 2025; Gu et al., 2021; Patel et al., 2019)","plainCitation":"(Basak et al., 2025; Gu et al., 2021; Patel et al., 2019)","noteIndex":0},"citationItems":[{"id":2554,"uris":["http://zotero.org/users/17474343/items/TV8CG2Q2"],"itemData":{"id":2554,"type":"article-journal","abstract":"This study investigates the performance of a 440 W bifacial solar photovoltaic (PV) module installed on the rooftop of the Technology Tower (TT) building at Vellore Institute of Technology (VIT), Vellore. The influence of tilt angle on energy generation was examined by systematically adjusting the module from 0° to 90° during sunny days in February 2024. Measurements were collected at one-hour intervals between 9:00 AM and 5:00 PM. To enhance rear irradiation, the ground beneath the module was painted with white reflective material. Key performance parameters were recorded, and irradiation ratios were calculated for each tilt angle. Results showed a maximum daily average power generation of 316.85 W at a tilt angle of 30°. The corresponding bifacial irradiation ratio ranged from 0.20 to 0.40. Daily average power exhibited a progressive increase from 0° to 30° tilt, followed by a decline to a minimum of 148.51 W at 90°. Interestingly, the irradiation ratio displayed the opposite trend, increasing from 0.32 to 0.96 at 90°. These observations suggest that while overall irradiation reaching the module increases with tilt angle, optimal power generation is achieved at a 30° tilt due to a balance between front and rear irradiance. This study highlights the critical role of tilt angle and ground reflectance when using white paint in maximizing energy output from bifacial PV modules. Within the experimental setup, the PV module's power output remained relatively stable for tilt angles between 13° and 45°, even when considering a 5 % measurement uncertainty. Further investigations are affirmed to explore the impact of seasonal variations and weather conditions on the performance of bifacial modules in this specific geographical location.","container-title":"Applied Energy","DOI":"10.1016/j.apenergy.2024.124525","ISSN":"0306-2619","journalAbbreviation":"Applied Energy","page":"124525","source":"ScienceDirect","title":"Tilt angle optimization for bifacial PV module: Balancing direct and reflected irradiance on white painted ground surfaces","title-short":"Tilt angle optimization for bifacial PV module","URL":"https://www.sciencedirect.com/science/article/pii/S0306261924019081","volume":"377","author":[{"family":"Basak","given":"Achintya"},{"family":"Chakraborty","given":"Suprava"},{"family":"Behura","given":"Aruna Kumar"}],"accessed":{"date-parts":[["2026",5,25]]},"issued":{"date-parts":[["2025",1,1]]}}},{"id":141,"uris":["http://zotero.org/users/17474343/items/EHWPGME4"],"itemData":{"id":141,"type":"article-journal","abstract":"In this study, the bifacial photovoltaic (bPV) and mono-facial photovoltaic (mPV) modules, with similar structure, are employed to validate the previously developed coupled model, and also to estimate the onsite bPV performance. Besides, the daily bPV and mPV electrical and thermal performances are measured and compared under the same conditions. Results show that the bPV module outperforms the mPV module obviously and the average daily bifacial gain is 13.08% and 16.54% for the sunny and cloudy days, respectively, demonstrating that the bPV technology has an obvious advantage in adapting to various weather conditions, especially under low irradiance. For the thermal performance, the temperature of the bPV cells is higher than the mPV under high irradiance but lower under low irradiance. In addition, weekly performance evaluations for the bPV module are also conducted. Results show that the daily bifacial gain for the bPV module ranges from 12.94% to 16.94% and thus the weekly bifacial gain of 14.54% can be achieved. Furthermore, some suggestions are provided for achieving higher bPV power output by investigating the effects of albedo, tilt angle and orientation on the bPV performance. It is recommended to install a bPV module on the high albedo ground, with a tracking technology at an optimum tilt angle to obtain high power output. Finally, long-term predictions of the bPV performance are performed, illustrating that the yearly bifacial gain, array yield, production factor and energy efficiency is up to 14.77%, 3.76 h/d, 87.23% and 17.20%, respectively.","container-title":"Renewable Energy","DOI":"10.1016/j.renene.2020.12.024","ISSN":"0960-1481","journalAbbreviation":"Renewable Energy","language":"en-US","page":"1111-1122","source":"ScienceDirect","title":"Experimental investigation of the bifacial photovoltaic module under real conditions","URL":"https://www.sciencedirect.com/science/article/pii/S0960148120319509","volume":"173","author":[{"family":"Gu","given":"Wenbo"},{"family":"Li","given":"Senji"},{"family":"Liu","given":"Xing"},{"family":"Chen","given":"Zhenwu"},{"family":"Zhang","given":"Xiaochun"},{"family":"Ma","given":"Tao"}],"accessed":{"date-parts":[["2025",10,15]]},"issued":{"date-parts":[["2021",8,1]]}}},{"id":22,"uris":["http://zotero.org/users/17474343/items/93Z828JN"],"itemData":{"id":22,"type":"article-journal","abstract":"The steady decrease in the levelized cost of solar energy (LCOE) has made it increasingly cost-competitive against fossil fuels. The cost reduction is supported by a combination of material, device, and system innovations. To this end, bifacial solar farms are expected to decrease LCOE further by increasing the energy yield; but given the rapid pace of design/manufacturing innovations, a cost-inclusive optimization of bifacial PV systems at the farm-level (including land costs) has not been reported. In our worldwide study, we use a fundamentally new approach to decouple energy yield from cost considerations by parameterizing the LCOE formula in terms of “land-related cost” and “module-related cost” to show that an interplay of these parameters defines the optimum design of bifacial farms. For ground-mounted solar panels, we observe that the panels must be oriented horizontally and packed densely for locations with high “land-related cost”, whereas the panels should be optimally tilted for places with high “module-related cost”. For systems with relatively high “module-related costs” and for locations with |latitude| &gt; 30°, the bifacial modules must be tilted </w:instrText>
      </w:r>
      <w:r w:rsidR="00094A74" w:rsidRPr="00E35D8F">
        <w:rPr>
          <w:rFonts w:ascii="Cambria Math" w:hAnsi="Cambria Math" w:cs="Cambria Math"/>
          <w:lang w:eastAsia="zh-CN"/>
        </w:rPr>
        <w:instrText>∼</w:instrText>
      </w:r>
      <w:r w:rsidR="00094A74" w:rsidRPr="00E35D8F">
        <w:rPr>
          <w:lang w:eastAsia="zh-CN"/>
        </w:rPr>
        <w:instrText xml:space="preserve">10°–15° higher and will reduce LCOE by 2–6% compared to their monofacial counterparts. The results in this paper will guide the deployment of LCOE-minimized ground-mounted tilted bifacial farms around the world.","container-title":"Applied Energy","DOI":"10.1016/j.apenergy.2019.03.150","ISSN":"0306-2619","journalAbbreviation":"Applied Energy","language":"en-US","page":"467-479","source":"ScienceDirect","title":"A worldwide cost-based design and optimization of tilted bifacial solar farms","URL":"https://www.sciencedirect.com/science/article/pii/S0306261919305604","volume":"247","author":[{"family":"Patel","given":"M. Tahir"},{"family":"Khan","given":"M. Ryyan"},{"family":"Sun","given":"Xingshu"},{"family":"Alam","given":"Muhammad A."}],"accessed":{"date-parts":[["2025",10,15]]},"issued":{"date-parts":[["2019",8,1]]}}}],"schema":"https://github.com/citation-style-language/schema/raw/master/csl-citation.json"} </w:instrText>
      </w:r>
      <w:r w:rsidR="001C05FF" w:rsidRPr="00E35D8F">
        <w:rPr>
          <w:lang w:eastAsia="zh-CN"/>
        </w:rPr>
        <w:fldChar w:fldCharType="separate"/>
      </w:r>
      <w:r w:rsidR="00094A74" w:rsidRPr="00E35D8F">
        <w:t>(Basak et al., 2025; Gu et al., 2021; Patel et al., 2019)</w:t>
      </w:r>
      <w:r w:rsidR="001C05FF" w:rsidRPr="00E35D8F">
        <w:rPr>
          <w:lang w:eastAsia="zh-CN"/>
        </w:rPr>
        <w:fldChar w:fldCharType="end"/>
      </w:r>
      <w:r w:rsidR="00183D4D" w:rsidRPr="00E35D8F">
        <w:rPr>
          <w:lang w:eastAsia="zh-CN"/>
        </w:rPr>
        <w:t>.</w:t>
      </w:r>
      <w:r w:rsidR="00BD108E" w:rsidRPr="00E35D8F">
        <w:rPr>
          <w:lang w:eastAsia="zh-CN"/>
        </w:rPr>
        <w:t xml:space="preserve"> </w:t>
      </w:r>
    </w:p>
    <w:p w14:paraId="19816547" w14:textId="4236FD7D" w:rsidR="000F41CF" w:rsidRDefault="003A0C5F" w:rsidP="000F41CF">
      <w:pPr>
        <w:pStyle w:val="SWCText"/>
        <w:rPr>
          <w:lang w:eastAsia="zh-CN"/>
        </w:rPr>
      </w:pPr>
      <w:r w:rsidRPr="003A0C5F">
        <w:rPr>
          <w:lang w:eastAsia="zh-CN"/>
        </w:rPr>
        <w:t xml:space="preserve">For </w:t>
      </w:r>
      <w:r w:rsidR="004F5176" w:rsidRPr="007E54E2">
        <w:rPr>
          <w:lang w:val="de-DE"/>
        </w:rPr>
        <w:t>array-side</w:t>
      </w:r>
      <w:r w:rsidRPr="003A0C5F">
        <w:rPr>
          <w:lang w:eastAsia="zh-CN"/>
        </w:rPr>
        <w:t xml:space="preserve"> DC peak power, PV tilt angle and roof albedo remained the two dominant parameters, while the PV front- and rear-side CHTCs became more influential than for annual PV generation. The front-side CHTC had SRRC values of 0.17 and 0.16 for the new and existing</w:t>
      </w:r>
      <w:r w:rsidR="00E471AA">
        <w:rPr>
          <w:rFonts w:hint="eastAsia"/>
          <w:lang w:eastAsia="zh-CN"/>
        </w:rPr>
        <w:t xml:space="preserve"> </w:t>
      </w:r>
      <w:r w:rsidRPr="003A0C5F">
        <w:rPr>
          <w:lang w:eastAsia="zh-CN"/>
        </w:rPr>
        <w:t>building scenarios, respectively, compared with 0.03 and 0.02 for annual PV generation. Similarly, the rear-side CHTC had an SRRC of 0.13 in both scenarios for DC peak power, compared with 0.02 for annual PV generation. The positive coefficients indicate that stronger convective cooling reduced module temperature and increased instantaneous DC output. Because the CHTCs were treated as uncertain thermal-boundary inputs, these sensitivities represent modelling uncertainty rather than direct design-control effects</w:t>
      </w:r>
      <w:r w:rsidR="000F41CF">
        <w:rPr>
          <w:lang w:eastAsia="zh-CN"/>
        </w:rPr>
        <w:t>.</w:t>
      </w:r>
    </w:p>
    <w:p w14:paraId="4F85E302" w14:textId="7DC885D6" w:rsidR="00A14C25" w:rsidRDefault="005301C4" w:rsidP="000F41CF">
      <w:pPr>
        <w:pStyle w:val="SWCText"/>
      </w:pPr>
      <w:r w:rsidRPr="005301C4">
        <w:rPr>
          <w:lang w:eastAsia="zh-CN"/>
        </w:rPr>
        <w:t xml:space="preserve">The annual PV-to-building electricity use ratio broadly followed the sensitivity pattern of annual PV generation. PV tilt angle remained the strongest negative parameter, whereas roof albedo remained the strongest positive parameter. </w:t>
      </w:r>
      <w:r w:rsidR="00541E35" w:rsidRPr="00541E35">
        <w:rPr>
          <w:lang w:eastAsia="zh-CN"/>
        </w:rPr>
        <w:t>Although roof albedo affected both PV generation and annual building electricity use, the similarity of the sensitivity ranking to that of annual PV generation suggests that PV-generation-side variability played an important role within the sampled ranges</w:t>
      </w:r>
      <w:r w:rsidRPr="005301C4">
        <w:rPr>
          <w:lang w:eastAsia="zh-CN"/>
        </w:rPr>
        <w:t>. The new</w:t>
      </w:r>
      <w:r w:rsidR="00CD0614">
        <w:rPr>
          <w:rFonts w:hint="eastAsia"/>
          <w:lang w:eastAsia="zh-CN"/>
        </w:rPr>
        <w:t xml:space="preserve"> </w:t>
      </w:r>
      <w:r w:rsidRPr="005301C4">
        <w:rPr>
          <w:lang w:eastAsia="zh-CN"/>
        </w:rPr>
        <w:t>building scenario showed a higher annual PV-to-building electricity use ratio because of its lower annual building electricity use, while the overall sensitivity ranking remained largely unchanged</w:t>
      </w:r>
      <w:r w:rsidR="00605971" w:rsidRPr="00E35D8F">
        <w:t>.</w:t>
      </w:r>
    </w:p>
    <w:p w14:paraId="517948FA" w14:textId="6DDD4AB6" w:rsidR="003935B6" w:rsidRPr="00E35D8F" w:rsidRDefault="00ED7BC2" w:rsidP="003935B6">
      <w:pPr>
        <w:pStyle w:val="SWCText"/>
        <w:spacing w:after="0" w:line="240" w:lineRule="auto"/>
        <w:rPr>
          <w:lang w:eastAsia="zh-CN"/>
        </w:rPr>
      </w:pPr>
      <w:r>
        <w:rPr>
          <w:noProof/>
        </w:rPr>
        <w:lastRenderedPageBreak/>
        <w:drawing>
          <wp:inline distT="0" distB="0" distL="0" distR="0" wp14:anchorId="5D882C24" wp14:editId="7E23FD03">
            <wp:extent cx="5567045" cy="1540510"/>
            <wp:effectExtent l="0" t="0" r="0" b="2540"/>
            <wp:docPr id="6" name="图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567045" cy="1540510"/>
                    </a:xfrm>
                    <a:prstGeom prst="rect">
                      <a:avLst/>
                    </a:prstGeom>
                  </pic:spPr>
                </pic:pic>
              </a:graphicData>
            </a:graphic>
          </wp:inline>
        </w:drawing>
      </w:r>
    </w:p>
    <w:p w14:paraId="046929E8" w14:textId="717AA6EA" w:rsidR="003935B6" w:rsidRPr="003935B6" w:rsidRDefault="003935B6" w:rsidP="003935B6">
      <w:pPr>
        <w:pStyle w:val="SWCText"/>
        <w:keepNext/>
        <w:jc w:val="center"/>
        <w:rPr>
          <w:b/>
          <w:sz w:val="16"/>
          <w:szCs w:val="20"/>
          <w:lang w:eastAsia="zh-CN"/>
        </w:rPr>
      </w:pPr>
      <w:bookmarkStart w:id="8" w:name="_Ref236870717"/>
      <w:r w:rsidRPr="00A9439C">
        <w:rPr>
          <w:b/>
          <w:sz w:val="16"/>
          <w:szCs w:val="20"/>
        </w:rPr>
        <w:t xml:space="preserve">Fig. </w:t>
      </w:r>
      <w:r w:rsidRPr="00A9439C">
        <w:rPr>
          <w:b/>
          <w:sz w:val="16"/>
          <w:szCs w:val="20"/>
        </w:rPr>
        <w:fldChar w:fldCharType="begin"/>
      </w:r>
      <w:r w:rsidRPr="00A9439C">
        <w:rPr>
          <w:b/>
          <w:sz w:val="16"/>
          <w:szCs w:val="20"/>
        </w:rPr>
        <w:instrText xml:space="preserve"> SEQ Fig. \* ARABIC </w:instrText>
      </w:r>
      <w:r w:rsidRPr="00A9439C">
        <w:rPr>
          <w:b/>
          <w:sz w:val="16"/>
          <w:szCs w:val="20"/>
        </w:rPr>
        <w:fldChar w:fldCharType="separate"/>
      </w:r>
      <w:r>
        <w:rPr>
          <w:b/>
          <w:noProof/>
          <w:sz w:val="16"/>
          <w:szCs w:val="20"/>
        </w:rPr>
        <w:t>4</w:t>
      </w:r>
      <w:r w:rsidRPr="00A9439C">
        <w:rPr>
          <w:b/>
          <w:sz w:val="16"/>
          <w:szCs w:val="20"/>
        </w:rPr>
        <w:fldChar w:fldCharType="end"/>
      </w:r>
      <w:bookmarkEnd w:id="8"/>
      <w:r w:rsidRPr="00E35D8F">
        <w:rPr>
          <w:b/>
          <w:sz w:val="16"/>
          <w:szCs w:val="20"/>
        </w:rPr>
        <w:t xml:space="preserve">: </w:t>
      </w:r>
      <w:r w:rsidRPr="003D434D">
        <w:rPr>
          <w:b/>
          <w:sz w:val="16"/>
          <w:szCs w:val="20"/>
        </w:rPr>
        <w:t xml:space="preserve">Global sensitivity of annual PV generation, </w:t>
      </w:r>
      <w:r w:rsidR="004F5176" w:rsidRPr="004F5176">
        <w:rPr>
          <w:b/>
          <w:sz w:val="16"/>
          <w:szCs w:val="20"/>
        </w:rPr>
        <w:t>array-side</w:t>
      </w:r>
      <w:r w:rsidRPr="003D434D">
        <w:rPr>
          <w:b/>
          <w:sz w:val="16"/>
          <w:szCs w:val="20"/>
        </w:rPr>
        <w:t xml:space="preserve"> DC peak power, and annual PV-to-building electricity use rati</w:t>
      </w:r>
      <w:r w:rsidRPr="00E35D8F">
        <w:rPr>
          <w:b/>
          <w:sz w:val="16"/>
          <w:szCs w:val="20"/>
        </w:rPr>
        <w:t>o</w:t>
      </w:r>
    </w:p>
    <w:p w14:paraId="5A7B9FCB" w14:textId="29B9F156" w:rsidR="00D67C1F" w:rsidRPr="00E35D8F" w:rsidRDefault="00394BA4" w:rsidP="00E711A1">
      <w:pPr>
        <w:spacing w:before="160" w:after="80" w:line="240" w:lineRule="exact"/>
        <w:outlineLvl w:val="1"/>
        <w:rPr>
          <w:rFonts w:ascii="Arial" w:hAnsi="Arial" w:cs="Arial"/>
          <w:i/>
          <w:iCs/>
          <w:sz w:val="20"/>
          <w:szCs w:val="20"/>
          <w:lang w:val="en-US" w:eastAsia="zh-CN"/>
        </w:rPr>
      </w:pPr>
      <w:r w:rsidRPr="00E35D8F">
        <w:rPr>
          <w:rFonts w:ascii="Arial" w:hAnsi="Arial" w:cs="Arial"/>
          <w:i/>
          <w:iCs/>
          <w:sz w:val="20"/>
          <w:szCs w:val="20"/>
          <w:lang w:val="en-US" w:eastAsia="zh-CN"/>
        </w:rPr>
        <w:t xml:space="preserve">3.3. </w:t>
      </w:r>
      <w:r w:rsidR="00C97C6A" w:rsidRPr="00C97C6A">
        <w:rPr>
          <w:rFonts w:ascii="Arial" w:hAnsi="Arial" w:cs="Arial"/>
          <w:i/>
          <w:iCs/>
          <w:sz w:val="20"/>
          <w:szCs w:val="20"/>
          <w:lang w:val="en-US" w:eastAsia="zh-CN"/>
        </w:rPr>
        <w:t xml:space="preserve">Sensitivity of annual HVAC electricity use </w:t>
      </w:r>
      <w:bookmarkStart w:id="9" w:name="_Hlk237026315"/>
      <w:r w:rsidR="00C97C6A" w:rsidRPr="00C97C6A">
        <w:rPr>
          <w:rFonts w:ascii="Arial" w:hAnsi="Arial" w:cs="Arial"/>
          <w:i/>
          <w:iCs/>
          <w:sz w:val="20"/>
          <w:szCs w:val="20"/>
          <w:lang w:val="en-US" w:eastAsia="zh-CN"/>
        </w:rPr>
        <w:t>intensity</w:t>
      </w:r>
      <w:bookmarkEnd w:id="9"/>
      <w:r w:rsidR="00C97C6A" w:rsidRPr="00C97C6A">
        <w:rPr>
          <w:rFonts w:ascii="Arial" w:hAnsi="Arial" w:cs="Arial"/>
          <w:i/>
          <w:iCs/>
          <w:sz w:val="20"/>
          <w:szCs w:val="20"/>
          <w:lang w:val="en-US" w:eastAsia="zh-CN"/>
        </w:rPr>
        <w:t xml:space="preserve"> and its cooling and heating component</w:t>
      </w:r>
      <w:r w:rsidR="006E3F5A" w:rsidRPr="006E3F5A">
        <w:rPr>
          <w:rFonts w:ascii="Arial" w:hAnsi="Arial" w:cs="Arial"/>
          <w:i/>
          <w:iCs/>
          <w:sz w:val="20"/>
          <w:szCs w:val="20"/>
          <w:lang w:val="en-US" w:eastAsia="zh-CN"/>
        </w:rPr>
        <w:t>s</w:t>
      </w:r>
    </w:p>
    <w:p w14:paraId="53AE05A9" w14:textId="7484C8AD" w:rsidR="000F4509" w:rsidRDefault="00D4694D" w:rsidP="000F4509">
      <w:pPr>
        <w:pStyle w:val="SWCText"/>
        <w:rPr>
          <w:lang w:val="de-DE" w:eastAsia="zh-CN"/>
        </w:rPr>
      </w:pPr>
      <w:r>
        <w:rPr>
          <w:lang w:eastAsia="zh-CN"/>
        </w:rPr>
        <w:fldChar w:fldCharType="begin"/>
      </w:r>
      <w:r>
        <w:rPr>
          <w:lang w:eastAsia="zh-CN"/>
        </w:rPr>
        <w:instrText xml:space="preserve"> REF _Ref236870798 \h  \* MERGEFORMAT </w:instrText>
      </w:r>
      <w:r>
        <w:rPr>
          <w:lang w:eastAsia="zh-CN"/>
        </w:rPr>
      </w:r>
      <w:r>
        <w:rPr>
          <w:lang w:eastAsia="zh-CN"/>
        </w:rPr>
        <w:fldChar w:fldCharType="separate"/>
      </w:r>
      <w:r w:rsidRPr="00D4694D">
        <w:rPr>
          <w:lang w:eastAsia="zh-CN"/>
        </w:rPr>
        <w:t>Fi</w:t>
      </w:r>
      <w:r w:rsidR="009B029D">
        <w:rPr>
          <w:rFonts w:hint="eastAsia"/>
          <w:lang w:eastAsia="zh-CN"/>
        </w:rPr>
        <w:t>g.</w:t>
      </w:r>
      <w:r w:rsidRPr="00D4694D">
        <w:rPr>
          <w:lang w:eastAsia="zh-CN"/>
        </w:rPr>
        <w:t xml:space="preserve"> 5</w:t>
      </w:r>
      <w:r>
        <w:rPr>
          <w:lang w:eastAsia="zh-CN"/>
        </w:rPr>
        <w:fldChar w:fldCharType="end"/>
      </w:r>
      <w:r w:rsidR="000F4509" w:rsidRPr="00E35D8F">
        <w:rPr>
          <w:lang w:eastAsia="zh-CN"/>
        </w:rPr>
        <w:t xml:space="preserve"> </w:t>
      </w:r>
      <w:r w:rsidR="003963E6" w:rsidRPr="003963E6">
        <w:rPr>
          <w:lang w:eastAsia="zh-CN"/>
        </w:rPr>
        <w:t>compares the SRRC values for annual HVAC, cooling, and heating electricity use intensities</w:t>
      </w:r>
      <w:r w:rsidR="000F4509" w:rsidRPr="00E35D8F">
        <w:rPr>
          <w:lang w:eastAsia="zh-CN"/>
        </w:rPr>
        <w:t>. For annual HVAC electricity</w:t>
      </w:r>
      <w:r w:rsidR="008A7745">
        <w:rPr>
          <w:rFonts w:hint="eastAsia"/>
          <w:lang w:eastAsia="zh-CN"/>
        </w:rPr>
        <w:t xml:space="preserve"> use</w:t>
      </w:r>
      <w:r w:rsidR="001E657B">
        <w:rPr>
          <w:rFonts w:hint="eastAsia"/>
          <w:lang w:eastAsia="zh-CN"/>
        </w:rPr>
        <w:t xml:space="preserve"> </w:t>
      </w:r>
      <w:r w:rsidR="00B55B4B" w:rsidRPr="00B55B4B">
        <w:rPr>
          <w:lang w:eastAsia="zh-CN"/>
        </w:rPr>
        <w:t>intensity</w:t>
      </w:r>
      <w:r w:rsidR="000F4509" w:rsidRPr="00E35D8F">
        <w:rPr>
          <w:lang w:eastAsia="zh-CN"/>
        </w:rPr>
        <w:t xml:space="preserve">, roof albedo </w:t>
      </w:r>
      <w:r w:rsidR="009B029D">
        <w:rPr>
          <w:rFonts w:hint="eastAsia"/>
          <w:lang w:eastAsia="zh-CN"/>
        </w:rPr>
        <w:t>was</w:t>
      </w:r>
      <w:r w:rsidR="000F4509" w:rsidRPr="00E35D8F">
        <w:rPr>
          <w:lang w:eastAsia="zh-CN"/>
        </w:rPr>
        <w:t xml:space="preserve"> the dominant </w:t>
      </w:r>
      <w:r w:rsidR="0014695B" w:rsidRPr="0014695B">
        <w:rPr>
          <w:lang w:val="de-DE" w:eastAsia="zh-CN"/>
        </w:rPr>
        <w:t>sampled</w:t>
      </w:r>
      <w:r w:rsidR="0014695B">
        <w:rPr>
          <w:rFonts w:hint="eastAsia"/>
          <w:lang w:val="de-DE" w:eastAsia="zh-CN"/>
        </w:rPr>
        <w:t xml:space="preserve"> </w:t>
      </w:r>
      <w:r w:rsidR="000F4509" w:rsidRPr="00E35D8F">
        <w:rPr>
          <w:lang w:eastAsia="zh-CN"/>
        </w:rPr>
        <w:t xml:space="preserve">parameter in both </w:t>
      </w:r>
      <w:r w:rsidR="00BD308A">
        <w:rPr>
          <w:rFonts w:hint="eastAsia"/>
          <w:lang w:eastAsia="zh-CN"/>
        </w:rPr>
        <w:t>building</w:t>
      </w:r>
      <w:r w:rsidR="00BD308A" w:rsidRPr="00E35D8F">
        <w:rPr>
          <w:lang w:eastAsia="zh-CN"/>
        </w:rPr>
        <w:t xml:space="preserve"> </w:t>
      </w:r>
      <w:r w:rsidR="000F4509" w:rsidRPr="00E35D8F">
        <w:rPr>
          <w:lang w:eastAsia="zh-CN"/>
        </w:rPr>
        <w:t xml:space="preserve">envelope cases, with negative SRRC values of −0.87 for the new building and −0.92 for the existing building. Roof exterior CHTC </w:t>
      </w:r>
      <w:r w:rsidR="0056569D" w:rsidRPr="0056569D">
        <w:rPr>
          <w:lang w:val="de-DE" w:eastAsia="zh-CN"/>
        </w:rPr>
        <w:t>was</w:t>
      </w:r>
      <w:r w:rsidR="000F4509" w:rsidRPr="00E35D8F">
        <w:rPr>
          <w:lang w:eastAsia="zh-CN"/>
        </w:rPr>
        <w:t xml:space="preserve"> the second most important factor, whereas </w:t>
      </w:r>
      <w:r w:rsidR="00E51133" w:rsidRPr="00E51133">
        <w:rPr>
          <w:lang w:val="de-DE" w:eastAsia="zh-CN"/>
        </w:rPr>
        <w:t>mounting</w:t>
      </w:r>
      <w:r w:rsidR="000F4509" w:rsidRPr="00E35D8F">
        <w:rPr>
          <w:lang w:eastAsia="zh-CN"/>
        </w:rPr>
        <w:t xml:space="preserve"> height, row spacing, and PV-side CHTCs ha</w:t>
      </w:r>
      <w:r w:rsidR="00E172EC">
        <w:rPr>
          <w:rFonts w:hint="eastAsia"/>
          <w:lang w:eastAsia="zh-CN"/>
        </w:rPr>
        <w:t>d</w:t>
      </w:r>
      <w:r w:rsidR="000F4509" w:rsidRPr="00E35D8F">
        <w:rPr>
          <w:lang w:eastAsia="zh-CN"/>
        </w:rPr>
        <w:t xml:space="preserve"> weaker effects.</w:t>
      </w:r>
      <w:r w:rsidR="00D22D8E" w:rsidRPr="00D22D8E">
        <w:rPr>
          <w:color w:val="auto"/>
          <w:sz w:val="24"/>
          <w:szCs w:val="24"/>
          <w:lang w:val="de-DE"/>
        </w:rPr>
        <w:t xml:space="preserve"> </w:t>
      </w:r>
      <w:r w:rsidR="00D22D8E" w:rsidRPr="00D22D8E">
        <w:rPr>
          <w:lang w:val="de-DE" w:eastAsia="zh-CN"/>
        </w:rPr>
        <w:t>The rank-regression models for the annual HVAC electricity indicators showed high goodness of fit, with R² values ranging from 0.9</w:t>
      </w:r>
      <w:r w:rsidR="00EC1288">
        <w:rPr>
          <w:rFonts w:hint="eastAsia"/>
          <w:lang w:val="de-DE" w:eastAsia="zh-CN"/>
        </w:rPr>
        <w:t>4</w:t>
      </w:r>
      <w:r w:rsidR="00D22D8E" w:rsidRPr="00D22D8E">
        <w:rPr>
          <w:lang w:val="de-DE" w:eastAsia="zh-CN"/>
        </w:rPr>
        <w:t xml:space="preserve"> to 0.96.</w:t>
      </w:r>
    </w:p>
    <w:p w14:paraId="0EFFE6EA" w14:textId="0A728A33" w:rsidR="003B7505" w:rsidRDefault="00B6328A" w:rsidP="00946F2C">
      <w:pPr>
        <w:pStyle w:val="SWCText"/>
        <w:rPr>
          <w:lang w:eastAsia="zh-CN"/>
        </w:rPr>
      </w:pPr>
      <w:r w:rsidRPr="00B6328A">
        <w:rPr>
          <w:lang w:eastAsia="zh-CN"/>
        </w:rPr>
        <w:t>Annual cooling electricity use intensity exhibited nearly identical sensitivity rankings in the two building envelope scenarios</w:t>
      </w:r>
      <w:r w:rsidR="00946F2C">
        <w:rPr>
          <w:lang w:eastAsia="zh-CN"/>
        </w:rPr>
        <w:t xml:space="preserve">. Roof albedo was the dominant parameter, with SRRC values </w:t>
      </w:r>
      <w:r w:rsidR="00A270BA">
        <w:rPr>
          <w:lang w:eastAsia="zh-CN"/>
        </w:rPr>
        <w:t xml:space="preserve">of </w:t>
      </w:r>
      <w:r w:rsidR="00946F2C">
        <w:rPr>
          <w:lang w:eastAsia="zh-CN"/>
        </w:rPr>
        <w:t xml:space="preserve">−0.91, followed by roof exterior CHTC. In the coupled model, roof albedo simultaneously affected absorbed solar radiation at the roof, rear-side </w:t>
      </w:r>
      <w:proofErr w:type="spellStart"/>
      <w:r w:rsidR="00946F2C">
        <w:rPr>
          <w:lang w:eastAsia="zh-CN"/>
        </w:rPr>
        <w:t>bPV</w:t>
      </w:r>
      <w:proofErr w:type="spellEnd"/>
      <w:r w:rsidR="00946F2C">
        <w:rPr>
          <w:lang w:eastAsia="zh-CN"/>
        </w:rPr>
        <w:t xml:space="preserve"> irradiance, module temperatures, and roof–</w:t>
      </w:r>
      <w:proofErr w:type="spellStart"/>
      <w:r w:rsidR="00946F2C">
        <w:rPr>
          <w:lang w:eastAsia="zh-CN"/>
        </w:rPr>
        <w:t>bPV</w:t>
      </w:r>
      <w:proofErr w:type="spellEnd"/>
      <w:r w:rsidR="00946F2C">
        <w:rPr>
          <w:lang w:eastAsia="zh-CN"/>
        </w:rPr>
        <w:t xml:space="preserve"> longwave radiative exchange. Therefore, the negative SRRC should be interpreted as the net response of these coupled pathways within the sampled parameter ranges, rather than as the isolated effect of reduced roof solar absorption. </w:t>
      </w:r>
      <w:r w:rsidR="00454EE8" w:rsidRPr="00454EE8">
        <w:rPr>
          <w:lang w:eastAsia="zh-CN"/>
        </w:rPr>
        <w:t>The net result was lower annual cooling electricity use intensity at higher roof albedo</w:t>
      </w:r>
      <w:r w:rsidR="00946F2C">
        <w:rPr>
          <w:lang w:eastAsia="zh-CN"/>
        </w:rPr>
        <w:t>.</w:t>
      </w:r>
      <w:r w:rsidR="00946F2C">
        <w:rPr>
          <w:rFonts w:hint="eastAsia"/>
          <w:lang w:eastAsia="zh-CN"/>
        </w:rPr>
        <w:t xml:space="preserve"> </w:t>
      </w:r>
      <w:r w:rsidR="00C24665">
        <w:rPr>
          <w:rFonts w:hint="eastAsia"/>
          <w:lang w:eastAsia="zh-CN"/>
        </w:rPr>
        <w:t>A</w:t>
      </w:r>
      <w:r w:rsidR="00C24665" w:rsidRPr="00C24665">
        <w:rPr>
          <w:lang w:val="de-DE" w:eastAsia="zh-CN"/>
        </w:rPr>
        <w:t>nnual heating electricity use</w:t>
      </w:r>
      <w:r w:rsidR="004363DD" w:rsidRPr="004363DD">
        <w:rPr>
          <w:color w:val="auto"/>
          <w:sz w:val="24"/>
          <w:szCs w:val="24"/>
          <w:lang w:val="de-DE"/>
        </w:rPr>
        <w:t xml:space="preserve"> </w:t>
      </w:r>
      <w:r w:rsidR="004363DD" w:rsidRPr="004363DD">
        <w:rPr>
          <w:lang w:val="de-DE" w:eastAsia="zh-CN"/>
        </w:rPr>
        <w:t>intensity</w:t>
      </w:r>
      <w:r w:rsidR="00946F2C">
        <w:rPr>
          <w:lang w:eastAsia="zh-CN"/>
        </w:rPr>
        <w:t xml:space="preserve"> showed the opposite net response, with roof</w:t>
      </w:r>
      <w:r w:rsidR="00480EB9">
        <w:rPr>
          <w:rFonts w:hint="eastAsia"/>
          <w:lang w:eastAsia="zh-CN"/>
        </w:rPr>
        <w:t xml:space="preserve"> </w:t>
      </w:r>
      <w:r w:rsidR="00946F2C">
        <w:rPr>
          <w:lang w:eastAsia="zh-CN"/>
        </w:rPr>
        <w:t>albedo SRRC values of 0.93 for the new</w:t>
      </w:r>
      <w:r w:rsidR="00480EB9" w:rsidRPr="00480EB9">
        <w:rPr>
          <w:rFonts w:hint="eastAsia"/>
          <w:lang w:eastAsia="zh-CN"/>
        </w:rPr>
        <w:t xml:space="preserve"> </w:t>
      </w:r>
      <w:r w:rsidR="00480EB9">
        <w:rPr>
          <w:rFonts w:hint="eastAsia"/>
          <w:lang w:eastAsia="zh-CN"/>
        </w:rPr>
        <w:t>building</w:t>
      </w:r>
      <w:r w:rsidR="00946F2C">
        <w:rPr>
          <w:lang w:eastAsia="zh-CN"/>
        </w:rPr>
        <w:t xml:space="preserve"> scenario and 0.88 for the existing</w:t>
      </w:r>
      <w:r w:rsidR="00480EB9">
        <w:rPr>
          <w:rFonts w:hint="eastAsia"/>
          <w:lang w:eastAsia="zh-CN"/>
        </w:rPr>
        <w:t xml:space="preserve"> building</w:t>
      </w:r>
      <w:r w:rsidR="00946F2C">
        <w:rPr>
          <w:lang w:eastAsia="zh-CN"/>
        </w:rPr>
        <w:t xml:space="preserve"> scenario. Within the sampled ranges, higher roof albedo was associated with lower useful solar heat gains during the heating season and consequently higher annual heating electricity use</w:t>
      </w:r>
      <w:r w:rsidR="004363DD" w:rsidRPr="004363DD">
        <w:rPr>
          <w:color w:val="auto"/>
          <w:sz w:val="24"/>
          <w:szCs w:val="24"/>
          <w:lang w:val="de-DE"/>
        </w:rPr>
        <w:t xml:space="preserve"> </w:t>
      </w:r>
      <w:r w:rsidR="004363DD" w:rsidRPr="004363DD">
        <w:rPr>
          <w:lang w:val="de-DE" w:eastAsia="zh-CN"/>
        </w:rPr>
        <w:t>intensity</w:t>
      </w:r>
      <w:r w:rsidR="00946F2C">
        <w:rPr>
          <w:lang w:eastAsia="zh-CN"/>
        </w:rPr>
        <w:t>. Roof exterior CHTC should be interpreted as a thermal-boundary uncertainty parameter rather than a directly controllable design variable.</w:t>
      </w:r>
    </w:p>
    <w:p w14:paraId="3B1A7572" w14:textId="77777777" w:rsidR="003935B6" w:rsidRPr="00E35D8F" w:rsidRDefault="003935B6" w:rsidP="003935B6">
      <w:pPr>
        <w:pStyle w:val="SWCText"/>
        <w:spacing w:after="0" w:line="240" w:lineRule="auto"/>
        <w:rPr>
          <w:lang w:eastAsia="zh-CN"/>
        </w:rPr>
      </w:pPr>
      <w:r>
        <w:rPr>
          <w:noProof/>
          <w:lang w:eastAsia="zh-CN"/>
        </w:rPr>
        <w:drawing>
          <wp:inline distT="0" distB="0" distL="0" distR="0" wp14:anchorId="20E5074E" wp14:editId="0D5607B1">
            <wp:extent cx="5567045" cy="1540510"/>
            <wp:effectExtent l="0" t="0" r="0" b="2540"/>
            <wp:docPr id="4" name="图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形 4"/>
                    <pic:cNvPicPr/>
                  </pic:nvPicPr>
                  <pic:blipFill>
                    <a:blip r:embed="rId15">
                      <a:extLst>
                        <a:ext uri="{96DAC541-7B7A-43D3-8B79-37D633B846F1}">
                          <asvg:svgBlip xmlns:asvg="http://schemas.microsoft.com/office/drawing/2016/SVG/main" r:embed="rId16"/>
                        </a:ext>
                      </a:extLst>
                    </a:blip>
                    <a:stretch>
                      <a:fillRect/>
                    </a:stretch>
                  </pic:blipFill>
                  <pic:spPr>
                    <a:xfrm>
                      <a:off x="0" y="0"/>
                      <a:ext cx="5567045" cy="1540510"/>
                    </a:xfrm>
                    <a:prstGeom prst="rect">
                      <a:avLst/>
                    </a:prstGeom>
                  </pic:spPr>
                </pic:pic>
              </a:graphicData>
            </a:graphic>
          </wp:inline>
        </w:drawing>
      </w:r>
    </w:p>
    <w:p w14:paraId="6548F636" w14:textId="370DE73C" w:rsidR="003935B6" w:rsidRPr="003935B6" w:rsidRDefault="003935B6" w:rsidP="003935B6">
      <w:pPr>
        <w:pStyle w:val="SWCText"/>
        <w:keepNext/>
        <w:jc w:val="center"/>
        <w:rPr>
          <w:b/>
          <w:sz w:val="16"/>
          <w:szCs w:val="20"/>
          <w:lang w:eastAsia="zh-CN"/>
        </w:rPr>
      </w:pPr>
      <w:bookmarkStart w:id="10" w:name="_Ref236870798"/>
      <w:r w:rsidRPr="00D4694D">
        <w:rPr>
          <w:b/>
          <w:sz w:val="16"/>
          <w:szCs w:val="20"/>
        </w:rPr>
        <w:t xml:space="preserve">Fig. </w:t>
      </w:r>
      <w:r w:rsidRPr="00D4694D">
        <w:rPr>
          <w:b/>
          <w:sz w:val="16"/>
          <w:szCs w:val="20"/>
        </w:rPr>
        <w:fldChar w:fldCharType="begin"/>
      </w:r>
      <w:r w:rsidRPr="00D4694D">
        <w:rPr>
          <w:b/>
          <w:sz w:val="16"/>
          <w:szCs w:val="20"/>
        </w:rPr>
        <w:instrText xml:space="preserve"> SEQ Fig. \* ARABIC </w:instrText>
      </w:r>
      <w:r w:rsidRPr="00D4694D">
        <w:rPr>
          <w:b/>
          <w:sz w:val="16"/>
          <w:szCs w:val="20"/>
        </w:rPr>
        <w:fldChar w:fldCharType="separate"/>
      </w:r>
      <w:r>
        <w:rPr>
          <w:b/>
          <w:noProof/>
          <w:sz w:val="16"/>
          <w:szCs w:val="20"/>
        </w:rPr>
        <w:t>5</w:t>
      </w:r>
      <w:r w:rsidRPr="00D4694D">
        <w:rPr>
          <w:b/>
          <w:sz w:val="16"/>
          <w:szCs w:val="20"/>
        </w:rPr>
        <w:fldChar w:fldCharType="end"/>
      </w:r>
      <w:bookmarkEnd w:id="10"/>
      <w:r w:rsidRPr="00E35D8F">
        <w:rPr>
          <w:b/>
          <w:sz w:val="16"/>
          <w:szCs w:val="20"/>
        </w:rPr>
        <w:t xml:space="preserve">: </w:t>
      </w:r>
      <w:r w:rsidRPr="00677627">
        <w:rPr>
          <w:b/>
          <w:sz w:val="16"/>
          <w:szCs w:val="20"/>
        </w:rPr>
        <w:t>Global sensitivity of annual HVAC, cooling, and heating electricity use intensitie</w:t>
      </w:r>
      <w:r w:rsidRPr="00E35D8F">
        <w:rPr>
          <w:b/>
          <w:sz w:val="16"/>
          <w:szCs w:val="20"/>
        </w:rPr>
        <w:t>s</w:t>
      </w:r>
    </w:p>
    <w:p w14:paraId="0827DE86" w14:textId="6FA3E2AA" w:rsidR="00D67C1F" w:rsidRPr="00E35D8F" w:rsidRDefault="00394BA4" w:rsidP="00E711A1">
      <w:pPr>
        <w:spacing w:before="160" w:after="80" w:line="240" w:lineRule="exact"/>
        <w:outlineLvl w:val="1"/>
        <w:rPr>
          <w:rFonts w:ascii="Arial" w:hAnsi="Arial" w:cs="Arial"/>
          <w:i/>
          <w:iCs/>
          <w:sz w:val="20"/>
          <w:szCs w:val="20"/>
          <w:lang w:val="en-US" w:eastAsia="zh-CN"/>
        </w:rPr>
      </w:pPr>
      <w:r w:rsidRPr="00E35D8F">
        <w:rPr>
          <w:rFonts w:ascii="Arial" w:hAnsi="Arial" w:cs="Arial"/>
          <w:i/>
          <w:iCs/>
          <w:sz w:val="20"/>
          <w:szCs w:val="20"/>
          <w:lang w:val="en-US" w:eastAsia="zh-CN"/>
        </w:rPr>
        <w:t xml:space="preserve">3.4. </w:t>
      </w:r>
      <w:r w:rsidR="00173E60" w:rsidRPr="00173E60">
        <w:rPr>
          <w:rFonts w:ascii="Arial" w:hAnsi="Arial" w:cs="Arial"/>
          <w:i/>
          <w:iCs/>
          <w:sz w:val="20"/>
          <w:szCs w:val="20"/>
          <w:lang w:val="en-US" w:eastAsia="zh-CN"/>
        </w:rPr>
        <w:t>Sensitivity analysis of HVAC peak electric power density</w:t>
      </w:r>
    </w:p>
    <w:p w14:paraId="3B92FFDC" w14:textId="7D62C617" w:rsidR="00AA7581" w:rsidRDefault="00B97263" w:rsidP="00591152">
      <w:pPr>
        <w:pStyle w:val="SWCText"/>
        <w:rPr>
          <w:lang w:eastAsia="zh-CN"/>
        </w:rPr>
      </w:pPr>
      <w:r>
        <w:rPr>
          <w:lang w:eastAsia="zh-CN"/>
        </w:rPr>
        <w:fldChar w:fldCharType="begin"/>
      </w:r>
      <w:r>
        <w:rPr>
          <w:lang w:eastAsia="zh-CN"/>
        </w:rPr>
        <w:instrText xml:space="preserve"> REF _Ref236870864 \h  \* MERGEFORMAT </w:instrText>
      </w:r>
      <w:r>
        <w:rPr>
          <w:lang w:eastAsia="zh-CN"/>
        </w:rPr>
      </w:r>
      <w:r>
        <w:rPr>
          <w:lang w:eastAsia="zh-CN"/>
        </w:rPr>
        <w:fldChar w:fldCharType="separate"/>
      </w:r>
      <w:r w:rsidRPr="00B97263">
        <w:rPr>
          <w:lang w:eastAsia="zh-CN"/>
        </w:rPr>
        <w:t>Fig. 6</w:t>
      </w:r>
      <w:r>
        <w:rPr>
          <w:lang w:eastAsia="zh-CN"/>
        </w:rPr>
        <w:fldChar w:fldCharType="end"/>
      </w:r>
      <w:r w:rsidR="001B6ED4" w:rsidRPr="00E35D8F">
        <w:rPr>
          <w:lang w:eastAsia="zh-CN"/>
        </w:rPr>
        <w:t xml:space="preserve"> presents the SRRC results for HVAC peak electric power</w:t>
      </w:r>
      <w:r w:rsidR="00173E60" w:rsidRPr="00173E60">
        <w:rPr>
          <w:color w:val="auto"/>
          <w:sz w:val="24"/>
          <w:szCs w:val="24"/>
          <w:lang w:val="de-DE"/>
        </w:rPr>
        <w:t xml:space="preserve"> </w:t>
      </w:r>
      <w:r w:rsidR="00173E60" w:rsidRPr="00173E60">
        <w:rPr>
          <w:lang w:val="de-DE" w:eastAsia="zh-CN"/>
        </w:rPr>
        <w:t>density</w:t>
      </w:r>
      <w:r w:rsidR="00D10E6D">
        <w:rPr>
          <w:rFonts w:hint="eastAsia"/>
          <w:lang w:eastAsia="zh-CN"/>
        </w:rPr>
        <w:t>.</w:t>
      </w:r>
      <w:r w:rsidR="001B6ED4" w:rsidRPr="00E35D8F">
        <w:rPr>
          <w:lang w:eastAsia="zh-CN"/>
        </w:rPr>
        <w:t xml:space="preserve"> </w:t>
      </w:r>
      <w:r w:rsidR="001A3A8B" w:rsidRPr="001A3A8B">
        <w:rPr>
          <w:lang w:eastAsia="zh-CN"/>
        </w:rPr>
        <w:t>Unlike annual HVAC electricity use intensity, this indicator is determined by the specific time step at which the maximum HVAC electric power occurs</w:t>
      </w:r>
      <w:r w:rsidR="001B6ED4" w:rsidRPr="00E35D8F">
        <w:rPr>
          <w:lang w:eastAsia="zh-CN"/>
        </w:rPr>
        <w:t>. Therefore, its sensitivity should be interpreted together with the peak-event category and timing.</w:t>
      </w:r>
      <w:r w:rsidR="00591152">
        <w:rPr>
          <w:rFonts w:hint="eastAsia"/>
          <w:lang w:eastAsia="zh-CN"/>
        </w:rPr>
        <w:t xml:space="preserve"> </w:t>
      </w:r>
      <w:r w:rsidR="00FD1F37" w:rsidRPr="00FD1F37">
        <w:rPr>
          <w:lang w:eastAsia="zh-CN"/>
        </w:rPr>
        <w:t>The annual HVAC peak occurred during the morning heating start-up period on 5 February in all 400 existing</w:t>
      </w:r>
      <w:r w:rsidR="001F5FB7">
        <w:rPr>
          <w:rFonts w:hint="eastAsia"/>
          <w:lang w:eastAsia="zh-CN"/>
        </w:rPr>
        <w:t xml:space="preserve"> </w:t>
      </w:r>
      <w:r w:rsidR="00FD1F37" w:rsidRPr="00FD1F37">
        <w:rPr>
          <w:lang w:eastAsia="zh-CN"/>
        </w:rPr>
        <w:t>building cases, with a mean peak electric power density of 58.0 W m⁻². Roof albedo was the dominant parameter, with a positive SRRC of 0.95, followed by the roof exterior CHTC, with an SRRC of 0.21</w:t>
      </w:r>
      <w:r w:rsidR="009F41F9">
        <w:rPr>
          <w:lang w:eastAsia="zh-CN"/>
        </w:rPr>
        <w:t>. The high rank-regression R² of 0.96 further suggests that the existing</w:t>
      </w:r>
      <w:r w:rsidR="00446F24">
        <w:rPr>
          <w:rFonts w:hint="eastAsia"/>
          <w:lang w:eastAsia="zh-CN"/>
        </w:rPr>
        <w:t xml:space="preserve"> </w:t>
      </w:r>
      <w:r w:rsidR="009F41F9">
        <w:rPr>
          <w:lang w:eastAsia="zh-CN"/>
        </w:rPr>
        <w:t>building peak response was well represented by a monotonic sensitivity structure.</w:t>
      </w:r>
      <w:r w:rsidR="0065668B">
        <w:rPr>
          <w:rFonts w:hint="eastAsia"/>
          <w:lang w:eastAsia="zh-CN"/>
        </w:rPr>
        <w:t xml:space="preserve"> </w:t>
      </w:r>
      <w:r w:rsidR="009F41F9">
        <w:rPr>
          <w:lang w:eastAsia="zh-CN"/>
        </w:rPr>
        <w:t xml:space="preserve">For the new building, the annual peaks occurred in two different event categories. </w:t>
      </w:r>
      <w:r w:rsidR="0069445E" w:rsidRPr="0069445E">
        <w:rPr>
          <w:lang w:eastAsia="zh-CN"/>
        </w:rPr>
        <w:t xml:space="preserve">Among the 400 LHS samples, 377 cases reached their annual peak during the late-morning cooling </w:t>
      </w:r>
      <w:r w:rsidR="0069445E" w:rsidRPr="0069445E">
        <w:rPr>
          <w:lang w:eastAsia="zh-CN"/>
        </w:rPr>
        <w:lastRenderedPageBreak/>
        <w:t>event on 16 August, with a mean peak electric power density of 21.5 W m⁻², whereas 23 cases peaked during the morning heating start-up period on 5 February, with a higher mean value of 32.2 W m⁻²</w:t>
      </w:r>
      <w:r w:rsidR="009F41F9">
        <w:rPr>
          <w:lang w:eastAsia="zh-CN"/>
        </w:rPr>
        <w:t>. The presence of these less frequent but higher heating peaks explains the upper tail observed in the new</w:t>
      </w:r>
      <w:r w:rsidR="009E4CC9">
        <w:rPr>
          <w:rFonts w:hint="eastAsia"/>
          <w:lang w:eastAsia="zh-CN"/>
        </w:rPr>
        <w:t xml:space="preserve"> </w:t>
      </w:r>
      <w:r w:rsidR="009F41F9">
        <w:rPr>
          <w:lang w:eastAsia="zh-CN"/>
        </w:rPr>
        <w:t>building peak-power distribution and helps explain the lower rank-regression R² of 0.67. Therefore, the SRRC values for new</w:t>
      </w:r>
      <w:r w:rsidR="009E4CC9">
        <w:rPr>
          <w:rFonts w:hint="eastAsia"/>
          <w:lang w:eastAsia="zh-CN"/>
        </w:rPr>
        <w:t xml:space="preserve"> </w:t>
      </w:r>
      <w:r w:rsidR="009F41F9">
        <w:rPr>
          <w:lang w:eastAsia="zh-CN"/>
        </w:rPr>
        <w:t>building peak power should be interpreted as indicative rather than fully explanatory</w:t>
      </w:r>
      <w:r w:rsidR="002E3894" w:rsidRPr="002E3894">
        <w:rPr>
          <w:lang w:val="de-DE" w:eastAsia="zh-CN"/>
        </w:rPr>
        <w:t>.</w:t>
      </w:r>
      <w:r w:rsidR="00822F95">
        <w:rPr>
          <w:rFonts w:hint="eastAsia"/>
          <w:lang w:eastAsia="zh-CN"/>
        </w:rPr>
        <w:t xml:space="preserve"> </w:t>
      </w:r>
      <w:r w:rsidR="008F4F69" w:rsidRPr="008F4F69">
        <w:rPr>
          <w:lang w:val="de-DE" w:eastAsia="zh-CN"/>
        </w:rPr>
        <w:t>The opposite SRRC signs of roof albedo therefore reflect different peak-load mechanisms rather than inconsistent model behaviour</w:t>
      </w:r>
      <w:r w:rsidR="008F4F69">
        <w:rPr>
          <w:rFonts w:hint="eastAsia"/>
          <w:lang w:val="de-DE" w:eastAsia="zh-CN"/>
        </w:rPr>
        <w:t>.</w:t>
      </w:r>
      <w:r w:rsidR="008F4F69" w:rsidRPr="008F4F69">
        <w:rPr>
          <w:lang w:val="de-DE" w:eastAsia="zh-CN"/>
        </w:rPr>
        <w:t xml:space="preserve"> </w:t>
      </w:r>
      <w:r w:rsidR="008F4F69">
        <w:rPr>
          <w:rFonts w:hint="eastAsia"/>
          <w:lang w:val="de-DE" w:eastAsia="zh-CN"/>
        </w:rPr>
        <w:t>T</w:t>
      </w:r>
      <w:r w:rsidR="008F4F69" w:rsidRPr="008F4F69">
        <w:rPr>
          <w:lang w:val="de-DE" w:eastAsia="zh-CN"/>
        </w:rPr>
        <w:t>he existing building is consistently heating-dominated, whereas the new building is mainly cooling</w:t>
      </w:r>
      <w:r w:rsidR="00E20C5D" w:rsidRPr="008F4F69">
        <w:rPr>
          <w:lang w:val="de-DE" w:eastAsia="zh-CN"/>
        </w:rPr>
        <w:t>-</w:t>
      </w:r>
      <w:r w:rsidR="008F4F69" w:rsidRPr="008F4F69">
        <w:rPr>
          <w:lang w:val="de-DE" w:eastAsia="zh-CN"/>
        </w:rPr>
        <w:t>dominated but includes a small number of high-magnitude heating-peak cases. This highlights the need to report peak-event timing and end-use category when interpreting sensitivity indices for HVAC peak demand</w:t>
      </w:r>
      <w:r w:rsidR="001B6ED4" w:rsidRPr="00E35D8F">
        <w:rPr>
          <w:lang w:eastAsia="zh-CN"/>
        </w:rPr>
        <w:t>.</w:t>
      </w:r>
    </w:p>
    <w:p w14:paraId="514794A8" w14:textId="77777777" w:rsidR="003935B6" w:rsidRPr="00E35D8F" w:rsidRDefault="003935B6" w:rsidP="003935B6">
      <w:pPr>
        <w:pStyle w:val="SWCText"/>
        <w:spacing w:after="0" w:line="240" w:lineRule="auto"/>
        <w:jc w:val="center"/>
        <w:rPr>
          <w:lang w:eastAsia="zh-CN"/>
        </w:rPr>
      </w:pPr>
      <w:r>
        <w:rPr>
          <w:noProof/>
          <w:lang w:eastAsia="zh-CN"/>
        </w:rPr>
        <w:drawing>
          <wp:inline distT="0" distB="0" distL="0" distR="0" wp14:anchorId="32C11A07" wp14:editId="35105D07">
            <wp:extent cx="2793033" cy="1656641"/>
            <wp:effectExtent l="0" t="0" r="7620" b="1270"/>
            <wp:docPr id="5"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形 5"/>
                    <pic:cNvPicPr/>
                  </pic:nvPicPr>
                  <pic:blipFill>
                    <a:blip r:embed="rId17">
                      <a:extLst>
                        <a:ext uri="{96DAC541-7B7A-43D3-8B79-37D633B846F1}">
                          <asvg:svgBlip xmlns:asvg="http://schemas.microsoft.com/office/drawing/2016/SVG/main" r:embed="rId18"/>
                        </a:ext>
                      </a:extLst>
                    </a:blip>
                    <a:stretch>
                      <a:fillRect/>
                    </a:stretch>
                  </pic:blipFill>
                  <pic:spPr>
                    <a:xfrm>
                      <a:off x="0" y="0"/>
                      <a:ext cx="2800398" cy="1661009"/>
                    </a:xfrm>
                    <a:prstGeom prst="rect">
                      <a:avLst/>
                    </a:prstGeom>
                  </pic:spPr>
                </pic:pic>
              </a:graphicData>
            </a:graphic>
          </wp:inline>
        </w:drawing>
      </w:r>
    </w:p>
    <w:p w14:paraId="78EDAE60" w14:textId="61CCF215" w:rsidR="003935B6" w:rsidRPr="003935B6" w:rsidRDefault="003935B6" w:rsidP="003935B6">
      <w:pPr>
        <w:pStyle w:val="SWCText"/>
        <w:keepNext/>
        <w:spacing w:after="0"/>
        <w:jc w:val="center"/>
        <w:rPr>
          <w:b/>
          <w:sz w:val="16"/>
          <w:szCs w:val="20"/>
          <w:lang w:eastAsia="zh-CN"/>
        </w:rPr>
      </w:pPr>
      <w:bookmarkStart w:id="11" w:name="_Ref236870864"/>
      <w:r w:rsidRPr="00B97263">
        <w:rPr>
          <w:b/>
          <w:sz w:val="16"/>
          <w:szCs w:val="20"/>
        </w:rPr>
        <w:t xml:space="preserve">Fig. </w:t>
      </w:r>
      <w:r w:rsidRPr="00B97263">
        <w:rPr>
          <w:b/>
          <w:sz w:val="16"/>
          <w:szCs w:val="20"/>
        </w:rPr>
        <w:fldChar w:fldCharType="begin"/>
      </w:r>
      <w:r w:rsidRPr="00B97263">
        <w:rPr>
          <w:b/>
          <w:sz w:val="16"/>
          <w:szCs w:val="20"/>
        </w:rPr>
        <w:instrText xml:space="preserve"> SEQ Fig. \* ARABIC </w:instrText>
      </w:r>
      <w:r w:rsidRPr="00B97263">
        <w:rPr>
          <w:b/>
          <w:sz w:val="16"/>
          <w:szCs w:val="20"/>
        </w:rPr>
        <w:fldChar w:fldCharType="separate"/>
      </w:r>
      <w:r w:rsidRPr="00B97263">
        <w:rPr>
          <w:b/>
          <w:sz w:val="16"/>
          <w:szCs w:val="20"/>
        </w:rPr>
        <w:t>6</w:t>
      </w:r>
      <w:r w:rsidRPr="00B97263">
        <w:rPr>
          <w:b/>
          <w:sz w:val="16"/>
          <w:szCs w:val="20"/>
        </w:rPr>
        <w:fldChar w:fldCharType="end"/>
      </w:r>
      <w:bookmarkEnd w:id="11"/>
      <w:r w:rsidRPr="00E35D8F">
        <w:rPr>
          <w:b/>
          <w:sz w:val="16"/>
          <w:szCs w:val="20"/>
        </w:rPr>
        <w:t xml:space="preserve">: </w:t>
      </w:r>
      <w:r w:rsidRPr="001D08EA">
        <w:rPr>
          <w:b/>
          <w:sz w:val="16"/>
          <w:szCs w:val="20"/>
        </w:rPr>
        <w:t>Global sensitivity of HVAC peak electric power density</w:t>
      </w:r>
    </w:p>
    <w:p w14:paraId="7CAAC4D0" w14:textId="2EBAD503" w:rsidR="00BD380B" w:rsidRPr="00E35D8F" w:rsidRDefault="0089439E" w:rsidP="0089439E">
      <w:pPr>
        <w:pStyle w:val="SWCHeading1"/>
        <w:numPr>
          <w:ilvl w:val="0"/>
          <w:numId w:val="0"/>
        </w:numPr>
        <w:jc w:val="left"/>
        <w:outlineLvl w:val="0"/>
      </w:pPr>
      <w:r>
        <w:rPr>
          <w:rFonts w:hint="eastAsia"/>
          <w:lang w:eastAsia="zh-CN"/>
        </w:rPr>
        <w:t>4.</w:t>
      </w:r>
      <w:r w:rsidR="00686EE0">
        <w:rPr>
          <w:rFonts w:hint="eastAsia"/>
          <w:lang w:eastAsia="zh-CN"/>
        </w:rPr>
        <w:t xml:space="preserve"> </w:t>
      </w:r>
      <w:r w:rsidR="00D32EF0" w:rsidRPr="00E35D8F">
        <w:t>Conclusion</w:t>
      </w:r>
    </w:p>
    <w:p w14:paraId="36E75067" w14:textId="68C7F137" w:rsidR="00453296" w:rsidRPr="00E35D8F" w:rsidRDefault="00591152" w:rsidP="00323B16">
      <w:pPr>
        <w:pStyle w:val="SWCText"/>
        <w:rPr>
          <w:lang w:eastAsia="zh-CN"/>
        </w:rPr>
      </w:pPr>
      <w:r w:rsidRPr="00591152">
        <w:t xml:space="preserve">This study applied uncertainty analysis and global sensitivity analysis using </w:t>
      </w:r>
      <w:r w:rsidR="009030AC">
        <w:rPr>
          <w:rFonts w:hint="eastAsia"/>
          <w:lang w:eastAsia="zh-CN"/>
        </w:rPr>
        <w:t xml:space="preserve">the </w:t>
      </w:r>
      <w:r w:rsidRPr="00591152">
        <w:t>regression method to identify the importance of relevant design and thermal-boundary parameters in a coupled building–bifacial photovoltaic (</w:t>
      </w:r>
      <w:proofErr w:type="spellStart"/>
      <w:r w:rsidRPr="00591152">
        <w:t>bPV</w:t>
      </w:r>
      <w:proofErr w:type="spellEnd"/>
      <w:r w:rsidRPr="00591152">
        <w:t>) system under new and existing building envelope scenarios.</w:t>
      </w:r>
      <w:r w:rsidR="00323B16">
        <w:t xml:space="preserve"> The results showed that annual PV generation varied from 21.4 to 32.9 MWh within the 5th–95th percentile range, with the same mean value of 28.1 MWh in both scenarios, indicating that building envelope performance had little influence on PV generation. In contrast, annual heating, ventilation, and air-conditioning (HVAC) electricity use intensity decreased substantially from 23.3–26.6 kWh m⁻² for the existing building to 15.8–16.4 kWh m⁻² for the new building.</w:t>
      </w:r>
      <w:r w:rsidR="00323B16">
        <w:rPr>
          <w:rFonts w:hint="eastAsia"/>
          <w:lang w:eastAsia="zh-CN"/>
        </w:rPr>
        <w:t xml:space="preserve"> </w:t>
      </w:r>
      <w:r w:rsidR="00323B16">
        <w:t>Within the adopted parameter ranges, annual PV generation was most sensitive to PV tilt angle, with standardized rank regression coefficients (SRRCs) of −0.73 in both scenarios, followed by roof albedo, with SRRCs of 0.62 and 0.63 for the new and existing</w:t>
      </w:r>
      <w:r w:rsidR="002420F4">
        <w:rPr>
          <w:rFonts w:hint="eastAsia"/>
          <w:lang w:eastAsia="zh-CN"/>
        </w:rPr>
        <w:t xml:space="preserve"> </w:t>
      </w:r>
      <w:r w:rsidR="00323B16">
        <w:t>building scenarios, respectively. Increasing PV tilt generally reduced annual PV generation, whereas increasing roof albedo increased it. The prescribed PV-side convective heat transfer coefficients (CHTCs) were more influential for array-side direct-current (DC) peak power than for annual PV generation. For example, the front-side CHTC had SRRCs of 0.17 and 0.16 for DC peak power, compared with 0.03 and 0.02 for annual PV generation in the new and existing</w:t>
      </w:r>
      <w:r w:rsidR="00DD5CA4">
        <w:rPr>
          <w:rFonts w:hint="eastAsia"/>
          <w:lang w:eastAsia="zh-CN"/>
        </w:rPr>
        <w:t xml:space="preserve"> </w:t>
      </w:r>
      <w:r w:rsidR="00323B16">
        <w:t>building scenarios, respectively.</w:t>
      </w:r>
      <w:r w:rsidR="00323B16">
        <w:rPr>
          <w:rFonts w:hint="eastAsia"/>
          <w:lang w:eastAsia="zh-CN"/>
        </w:rPr>
        <w:t xml:space="preserve"> </w:t>
      </w:r>
      <w:r w:rsidR="00323B16">
        <w:t>On the building side, annual HVAC electricity use intensity was most sensitive to roof albedo, with SRRCs of −0.87 and −0.92 for the new and existing</w:t>
      </w:r>
      <w:r w:rsidR="00DD5CA4">
        <w:rPr>
          <w:rFonts w:hint="eastAsia"/>
          <w:lang w:eastAsia="zh-CN"/>
        </w:rPr>
        <w:t xml:space="preserve"> </w:t>
      </w:r>
      <w:r w:rsidR="00323B16">
        <w:t xml:space="preserve">building scenarios, respectively, followed by roof exterior CHTC. Higher roof albedo reduced annual HVAC and cooling electricity use </w:t>
      </w:r>
      <w:r w:rsidR="00F44639" w:rsidRPr="00F44639">
        <w:rPr>
          <w:lang w:val="de-DE"/>
        </w:rPr>
        <w:t>intensities</w:t>
      </w:r>
      <w:r w:rsidR="00F44639">
        <w:rPr>
          <w:rFonts w:hint="eastAsia"/>
          <w:lang w:val="de-DE" w:eastAsia="zh-CN"/>
        </w:rPr>
        <w:t xml:space="preserve"> </w:t>
      </w:r>
      <w:r w:rsidR="00323B16">
        <w:t>but increased heating electricity use</w:t>
      </w:r>
      <w:r w:rsidR="00DB4BDD" w:rsidRPr="00DB4BDD">
        <w:t xml:space="preserve"> </w:t>
      </w:r>
      <w:r w:rsidR="00DB4BDD">
        <w:t>intensity</w:t>
      </w:r>
      <w:r w:rsidR="00323B16">
        <w:t xml:space="preserve">. </w:t>
      </w:r>
      <w:r w:rsidR="004B0229" w:rsidRPr="004B0229">
        <w:rPr>
          <w:lang w:val="de-DE"/>
        </w:rPr>
        <w:t>For HVAC peak electric power density, all 400 existing</w:t>
      </w:r>
      <w:r w:rsidR="00D16837">
        <w:rPr>
          <w:rFonts w:hint="eastAsia"/>
          <w:lang w:val="de-DE" w:eastAsia="zh-CN"/>
        </w:rPr>
        <w:t xml:space="preserve"> </w:t>
      </w:r>
      <w:r w:rsidR="004B0229" w:rsidRPr="004B0229">
        <w:rPr>
          <w:lang w:val="de-DE"/>
        </w:rPr>
        <w:t xml:space="preserve">building </w:t>
      </w:r>
      <w:r w:rsidR="00670708">
        <w:rPr>
          <w:rFonts w:hint="eastAsia"/>
          <w:lang w:val="de-DE" w:eastAsia="zh-CN"/>
        </w:rPr>
        <w:t>case</w:t>
      </w:r>
      <w:r w:rsidR="00BA03D7">
        <w:t>s</w:t>
      </w:r>
      <w:r w:rsidR="004B0229" w:rsidRPr="004B0229">
        <w:rPr>
          <w:lang w:val="de-DE"/>
        </w:rPr>
        <w:t xml:space="preserve"> peaked during morning heating start-up, with a mean value of 58.0 W m⁻². In contrast, 377 of the 400 new</w:t>
      </w:r>
      <w:r w:rsidR="00D16837">
        <w:rPr>
          <w:rFonts w:hint="eastAsia"/>
          <w:lang w:val="de-DE" w:eastAsia="zh-CN"/>
        </w:rPr>
        <w:t xml:space="preserve"> </w:t>
      </w:r>
      <w:r w:rsidR="004B0229" w:rsidRPr="004B0229">
        <w:rPr>
          <w:lang w:val="de-DE"/>
        </w:rPr>
        <w:t xml:space="preserve">building </w:t>
      </w:r>
      <w:r w:rsidR="00E978B9">
        <w:rPr>
          <w:rFonts w:hint="eastAsia"/>
          <w:lang w:val="de-DE" w:eastAsia="zh-CN"/>
        </w:rPr>
        <w:t>case</w:t>
      </w:r>
      <w:r w:rsidR="00BA03D7">
        <w:t>s</w:t>
      </w:r>
      <w:r w:rsidR="004B0229" w:rsidRPr="004B0229">
        <w:rPr>
          <w:lang w:val="de-DE"/>
        </w:rPr>
        <w:t xml:space="preserve"> peaked during summer cooling, with a mean value of 21.5 W m⁻², while the remaining 23 </w:t>
      </w:r>
      <w:r w:rsidR="00E978B9">
        <w:rPr>
          <w:rFonts w:hint="eastAsia"/>
          <w:lang w:val="de-DE" w:eastAsia="zh-CN"/>
        </w:rPr>
        <w:t>case</w:t>
      </w:r>
      <w:r w:rsidR="00F159BD">
        <w:t>s</w:t>
      </w:r>
      <w:r w:rsidR="004B0229" w:rsidRPr="004B0229">
        <w:rPr>
          <w:lang w:val="de-DE"/>
        </w:rPr>
        <w:t xml:space="preserve"> peaked during morning heating start-up.</w:t>
      </w:r>
      <w:r w:rsidR="00A932C1">
        <w:rPr>
          <w:rFonts w:hint="eastAsia"/>
          <w:lang w:eastAsia="zh-CN"/>
        </w:rPr>
        <w:t xml:space="preserve"> </w:t>
      </w:r>
      <w:r w:rsidR="00323B16">
        <w:t xml:space="preserve">Overall, PV tilt primarily affected annual PV generation, whereas roof albedo influenced both PV generation and HVAC electricity use. PV-side convective heat transfer uncertainty was more relevant to DC peak power than to annual PV generation. Future work could extend the framework to other climates and building types and investigate multi-objective rooftop </w:t>
      </w:r>
      <w:proofErr w:type="spellStart"/>
      <w:r w:rsidR="00323B16">
        <w:t>bPV</w:t>
      </w:r>
      <w:proofErr w:type="spellEnd"/>
      <w:r w:rsidR="00323B16">
        <w:t xml:space="preserve"> design</w:t>
      </w:r>
      <w:r w:rsidR="002D2837">
        <w:t>.</w:t>
      </w:r>
    </w:p>
    <w:p w14:paraId="630451B0" w14:textId="545DA592" w:rsidR="00BD380B" w:rsidRPr="00E35D8F" w:rsidRDefault="0089439E" w:rsidP="0089439E">
      <w:pPr>
        <w:pStyle w:val="SWCHeading1"/>
        <w:numPr>
          <w:ilvl w:val="0"/>
          <w:numId w:val="0"/>
        </w:numPr>
        <w:jc w:val="left"/>
        <w:outlineLvl w:val="0"/>
      </w:pPr>
      <w:r>
        <w:rPr>
          <w:rFonts w:hint="eastAsia"/>
          <w:lang w:eastAsia="zh-CN"/>
        </w:rPr>
        <w:t>5.</w:t>
      </w:r>
      <w:r w:rsidR="00686EE0">
        <w:rPr>
          <w:rFonts w:hint="eastAsia"/>
          <w:lang w:eastAsia="zh-CN"/>
        </w:rPr>
        <w:t xml:space="preserve"> </w:t>
      </w:r>
      <w:r w:rsidR="00D32EF0" w:rsidRPr="00E35D8F">
        <w:t>References</w:t>
      </w:r>
    </w:p>
    <w:p w14:paraId="071829E2" w14:textId="77777777" w:rsidR="007272E2" w:rsidRPr="007272E2" w:rsidRDefault="007E4147" w:rsidP="007272E2">
      <w:pPr>
        <w:pStyle w:val="af3"/>
        <w:ind w:left="0" w:firstLine="0"/>
        <w:rPr>
          <w:sz w:val="20"/>
          <w:szCs w:val="20"/>
        </w:rPr>
      </w:pPr>
      <w:r w:rsidRPr="007272E2">
        <w:rPr>
          <w:sz w:val="20"/>
          <w:szCs w:val="20"/>
          <w:lang w:val="en-US"/>
        </w:rPr>
        <w:lastRenderedPageBreak/>
        <w:fldChar w:fldCharType="begin"/>
      </w:r>
      <w:r w:rsidRPr="007272E2">
        <w:rPr>
          <w:sz w:val="20"/>
          <w:szCs w:val="20"/>
          <w:lang w:val="en-US"/>
        </w:rPr>
        <w:instrText xml:space="preserve"> ADDIN ZOTERO_BIBL {"uncited":[],"omitted":[],"custom":[]} CSL_BIBLIOGRAPHY </w:instrText>
      </w:r>
      <w:r w:rsidRPr="007272E2">
        <w:rPr>
          <w:sz w:val="20"/>
          <w:szCs w:val="20"/>
          <w:lang w:val="en-US"/>
        </w:rPr>
        <w:fldChar w:fldCharType="separate"/>
      </w:r>
      <w:r w:rsidR="007272E2" w:rsidRPr="007272E2">
        <w:rPr>
          <w:sz w:val="20"/>
          <w:szCs w:val="20"/>
        </w:rPr>
        <w:t>Allen, M., Poggiali, D., Whitaker, K., Marshall, T.R., Kievit, R.A., 2019. Raincloud plots: a multi-platform tool for robust data visualization. Wellcome Open Res. 4, 63. https://doi.org/10.12688/wellcomeopenres.15191.1</w:t>
      </w:r>
    </w:p>
    <w:p w14:paraId="450B6784" w14:textId="77777777" w:rsidR="007272E2" w:rsidRPr="007272E2" w:rsidRDefault="007272E2" w:rsidP="007272E2">
      <w:pPr>
        <w:pStyle w:val="af3"/>
        <w:ind w:left="0" w:firstLine="0"/>
        <w:rPr>
          <w:sz w:val="20"/>
          <w:szCs w:val="20"/>
        </w:rPr>
      </w:pPr>
      <w:r w:rsidRPr="007272E2">
        <w:rPr>
          <w:sz w:val="20"/>
          <w:szCs w:val="20"/>
        </w:rPr>
        <w:t>Basak, A., Chakraborty, S., Behura, A.K., 2025. Tilt angle optimization for bifacial PV module: Balancing direct and reflected irradiance on white painted ground surfaces. Appl. Energy 377, 124525. https://doi.org/10.1016/j.apenergy.2024.124525</w:t>
      </w:r>
    </w:p>
    <w:p w14:paraId="618F176E" w14:textId="77777777" w:rsidR="007272E2" w:rsidRPr="007272E2" w:rsidRDefault="007272E2" w:rsidP="007272E2">
      <w:pPr>
        <w:pStyle w:val="af3"/>
        <w:ind w:left="0" w:firstLine="0"/>
        <w:rPr>
          <w:sz w:val="20"/>
          <w:szCs w:val="20"/>
        </w:rPr>
      </w:pPr>
      <w:r w:rsidRPr="007272E2">
        <w:rPr>
          <w:sz w:val="20"/>
          <w:szCs w:val="20"/>
        </w:rPr>
        <w:t>European Commission - IPSC, 2008. Simlab 2.2: Reference manual.</w:t>
      </w:r>
    </w:p>
    <w:p w14:paraId="4982C70E" w14:textId="77777777" w:rsidR="007272E2" w:rsidRPr="007272E2" w:rsidRDefault="007272E2" w:rsidP="007272E2">
      <w:pPr>
        <w:pStyle w:val="af3"/>
        <w:ind w:left="0" w:firstLine="0"/>
        <w:rPr>
          <w:sz w:val="20"/>
          <w:szCs w:val="20"/>
        </w:rPr>
      </w:pPr>
      <w:r w:rsidRPr="007272E2">
        <w:rPr>
          <w:sz w:val="20"/>
          <w:szCs w:val="20"/>
        </w:rPr>
        <w:t>Ganesan, K., Winston, D.P., Sugumar, S., Prasath, T.H., 2024. Performance investigation of n-type PERT bifacial solar photovoltaic module installed at different elevations. Renew. Energy 227, 120526. https://doi.org/10.1016/j.renene.2024.120526</w:t>
      </w:r>
    </w:p>
    <w:p w14:paraId="391B33BC" w14:textId="77777777" w:rsidR="007272E2" w:rsidRPr="007272E2" w:rsidRDefault="007272E2" w:rsidP="007272E2">
      <w:pPr>
        <w:pStyle w:val="af3"/>
        <w:ind w:left="0" w:firstLine="0"/>
        <w:rPr>
          <w:sz w:val="20"/>
          <w:szCs w:val="20"/>
        </w:rPr>
      </w:pPr>
      <w:r w:rsidRPr="007272E2">
        <w:rPr>
          <w:sz w:val="20"/>
          <w:szCs w:val="20"/>
        </w:rPr>
        <w:t>Gu, W., Li, S., Liu, X., Chen, Z., Zhang, X., Ma, T., 2021. Experimental investigation of the bifacial photovoltaic module under real conditions. Renew. Energy 173, 1111–1122. https://doi.org/10.1016/j.renene.2020.12.024</w:t>
      </w:r>
    </w:p>
    <w:p w14:paraId="639C905B" w14:textId="77777777" w:rsidR="007272E2" w:rsidRPr="007272E2" w:rsidRDefault="007272E2" w:rsidP="007272E2">
      <w:pPr>
        <w:pStyle w:val="af3"/>
        <w:ind w:left="0" w:firstLine="0"/>
        <w:rPr>
          <w:sz w:val="20"/>
          <w:szCs w:val="20"/>
        </w:rPr>
      </w:pPr>
      <w:r w:rsidRPr="007272E2">
        <w:rPr>
          <w:sz w:val="20"/>
          <w:szCs w:val="20"/>
        </w:rPr>
        <w:t>Gu, W., Ma, T., Li, M., Shen, L., Zhang, Y., 2020. A coupled optical-electrical-thermal model of the bifacial photovoltaic module. Appl. Energy 258, 114075. https://doi.org/10.1016/j.apenergy.2019.114075</w:t>
      </w:r>
    </w:p>
    <w:p w14:paraId="085AE3D4" w14:textId="0815E535" w:rsidR="007272E2" w:rsidRPr="007272E2" w:rsidRDefault="007272E2" w:rsidP="007272E2">
      <w:pPr>
        <w:pStyle w:val="af3"/>
        <w:ind w:left="0" w:firstLine="0"/>
        <w:rPr>
          <w:sz w:val="20"/>
          <w:szCs w:val="20"/>
        </w:rPr>
      </w:pPr>
      <w:r w:rsidRPr="007272E2">
        <w:rPr>
          <w:sz w:val="20"/>
          <w:szCs w:val="20"/>
        </w:rPr>
        <w:t xml:space="preserve">Guo, R., Gao, Y., Zhuang, C., Heiselberg, P., Levinson, R., Zhao, X., Shi, D., 2020. Optimization of cool roof and night ventilation in office buildings: a case study in </w:t>
      </w:r>
      <w:r w:rsidR="00E110A0">
        <w:rPr>
          <w:rFonts w:hint="eastAsia"/>
          <w:sz w:val="20"/>
          <w:szCs w:val="20"/>
          <w:lang w:eastAsia="zh-CN"/>
        </w:rPr>
        <w:t>X</w:t>
      </w:r>
      <w:r w:rsidRPr="007272E2">
        <w:rPr>
          <w:sz w:val="20"/>
          <w:szCs w:val="20"/>
        </w:rPr>
        <w:t xml:space="preserve">iamen, </w:t>
      </w:r>
      <w:r w:rsidR="00E110A0">
        <w:rPr>
          <w:rFonts w:hint="eastAsia"/>
          <w:sz w:val="20"/>
          <w:szCs w:val="20"/>
          <w:lang w:eastAsia="zh-CN"/>
        </w:rPr>
        <w:t>C</w:t>
      </w:r>
      <w:r w:rsidRPr="007272E2">
        <w:rPr>
          <w:sz w:val="20"/>
          <w:szCs w:val="20"/>
        </w:rPr>
        <w:t>hina. Renew. Energy 147, 2279–2294. https://doi.org/10.1016/j.renene.2019.10.032</w:t>
      </w:r>
    </w:p>
    <w:p w14:paraId="21E2FDA8" w14:textId="0E135CB9" w:rsidR="007272E2" w:rsidRPr="007272E2" w:rsidRDefault="00CC625F" w:rsidP="007272E2">
      <w:pPr>
        <w:pStyle w:val="af3"/>
        <w:ind w:left="0" w:firstLine="0"/>
        <w:rPr>
          <w:sz w:val="20"/>
          <w:szCs w:val="20"/>
        </w:rPr>
      </w:pPr>
      <w:r w:rsidRPr="00CC625F">
        <w:rPr>
          <w:sz w:val="20"/>
          <w:szCs w:val="20"/>
        </w:rPr>
        <w:t>Helton, J.C., Johnson, J.D., Sallaberry, C.J., Storlie, C.B., 2006. Survey of sampling-based methods for uncertainty and sensitivity analysis. Reliab. Eng. Syst. Saf. 91, 1175–1209. https://doi.org/10.1016/j.ress.2005.11.017</w:t>
      </w:r>
    </w:p>
    <w:p w14:paraId="1C29CE01" w14:textId="43547CEA" w:rsidR="007272E2" w:rsidRPr="007272E2" w:rsidRDefault="007272E2" w:rsidP="007272E2">
      <w:pPr>
        <w:pStyle w:val="af3"/>
        <w:ind w:left="0" w:firstLine="0"/>
        <w:rPr>
          <w:sz w:val="20"/>
          <w:szCs w:val="20"/>
        </w:rPr>
      </w:pPr>
      <w:r w:rsidRPr="007272E2">
        <w:rPr>
          <w:sz w:val="20"/>
          <w:szCs w:val="20"/>
        </w:rPr>
        <w:t>LONGi Green Energy Technology Co., Ltd., 2024. Hi-MO 9 LR7-72HYD 625–660M Product Datasheet.</w:t>
      </w:r>
    </w:p>
    <w:p w14:paraId="06E78F63" w14:textId="77777777" w:rsidR="007272E2" w:rsidRPr="007272E2" w:rsidRDefault="007272E2" w:rsidP="007272E2">
      <w:pPr>
        <w:pStyle w:val="af3"/>
        <w:ind w:left="0" w:firstLine="0"/>
        <w:rPr>
          <w:sz w:val="20"/>
          <w:szCs w:val="20"/>
        </w:rPr>
      </w:pPr>
      <w:r w:rsidRPr="007272E2">
        <w:rPr>
          <w:sz w:val="20"/>
          <w:szCs w:val="20"/>
        </w:rPr>
        <w:t>Mirsadeghi, M., Cóstola, D., Blocken, B., Hensen, J.L.M., 2013. Review of external convective heat transfer coefficient models in building energy simulation programs: Implementation and uncertainty. Appl. Therm. Eng. 56, 134–151. https://doi.org/10.1016/j.applthermaleng.2013.03.003</w:t>
      </w:r>
    </w:p>
    <w:p w14:paraId="7C74874D" w14:textId="77777777" w:rsidR="007272E2" w:rsidRPr="007272E2" w:rsidRDefault="007272E2" w:rsidP="007272E2">
      <w:pPr>
        <w:pStyle w:val="af3"/>
        <w:ind w:left="0" w:firstLine="0"/>
        <w:rPr>
          <w:sz w:val="20"/>
          <w:szCs w:val="20"/>
        </w:rPr>
      </w:pPr>
      <w:r w:rsidRPr="007272E2">
        <w:rPr>
          <w:sz w:val="20"/>
          <w:szCs w:val="20"/>
        </w:rPr>
        <w:t>MOHURD, 2019. Technical standard for application of photovoltaic system of buildings (Standard No. GB/T 51368-2019). Ministry of Housing and Urban-Rural Development of the People’s Republic of China, Beijing.</w:t>
      </w:r>
    </w:p>
    <w:p w14:paraId="1D7799F9" w14:textId="77777777" w:rsidR="007272E2" w:rsidRPr="007272E2" w:rsidRDefault="007272E2" w:rsidP="007272E2">
      <w:pPr>
        <w:pStyle w:val="af3"/>
        <w:ind w:left="0" w:firstLine="0"/>
        <w:rPr>
          <w:sz w:val="20"/>
          <w:szCs w:val="20"/>
        </w:rPr>
      </w:pPr>
      <w:r w:rsidRPr="007272E2">
        <w:rPr>
          <w:sz w:val="20"/>
          <w:szCs w:val="20"/>
        </w:rPr>
        <w:t>MOHURD, 2015. Design standard for energy efficiency of public buildings (Standard No. GB 50189-2015). Ministry of Housing and Urban-Rural Development of the People’s Republic of China, Beijing.</w:t>
      </w:r>
    </w:p>
    <w:p w14:paraId="105AA8D2" w14:textId="77777777" w:rsidR="007272E2" w:rsidRPr="007272E2" w:rsidRDefault="007272E2" w:rsidP="007272E2">
      <w:pPr>
        <w:pStyle w:val="af3"/>
        <w:ind w:left="0" w:firstLine="0"/>
        <w:rPr>
          <w:sz w:val="20"/>
          <w:szCs w:val="20"/>
        </w:rPr>
      </w:pPr>
      <w:r w:rsidRPr="007272E2">
        <w:rPr>
          <w:sz w:val="20"/>
          <w:szCs w:val="20"/>
        </w:rPr>
        <w:t>Patel, M.T., Khan, M.R., Sun, X., Alam, M.A., 2019. A worldwide cost-based design and optimization of tilted bifacial solar farms. Appl. Energy 247, 467–479. https://doi.org/10.1016/j.apenergy.2019.03.150</w:t>
      </w:r>
    </w:p>
    <w:p w14:paraId="010B3F15" w14:textId="77777777" w:rsidR="007272E2" w:rsidRPr="007272E2" w:rsidRDefault="007272E2" w:rsidP="007272E2">
      <w:pPr>
        <w:pStyle w:val="af3"/>
        <w:ind w:left="0" w:firstLine="0"/>
        <w:rPr>
          <w:sz w:val="20"/>
          <w:szCs w:val="20"/>
        </w:rPr>
      </w:pPr>
      <w:r w:rsidRPr="007272E2">
        <w:rPr>
          <w:sz w:val="20"/>
          <w:szCs w:val="20"/>
        </w:rPr>
        <w:t>Sharples, S., Charlesworth, P.S., 1998. Full-scale measurements of wind-induced convective heat transfer from a roof-mounted flat plate solar collector. Sol. Energy 62, 69–77. https://doi.org/10.1016/S0038-092X(97)00119-9</w:t>
      </w:r>
    </w:p>
    <w:p w14:paraId="277FC459" w14:textId="77777777" w:rsidR="007272E2" w:rsidRPr="007272E2" w:rsidRDefault="007272E2" w:rsidP="007272E2">
      <w:pPr>
        <w:pStyle w:val="af3"/>
        <w:ind w:left="0" w:firstLine="0"/>
        <w:rPr>
          <w:sz w:val="20"/>
          <w:szCs w:val="20"/>
        </w:rPr>
      </w:pPr>
      <w:r w:rsidRPr="007272E2">
        <w:rPr>
          <w:sz w:val="20"/>
          <w:szCs w:val="20"/>
        </w:rPr>
        <w:t>Tian, W., 2013. A review of sensitivity analysis methods in building energy analysis. Renew. Sustain. Energy Rev. 20, 411–419. https://doi.org/10.1016/j.rser.2012.12.014</w:t>
      </w:r>
    </w:p>
    <w:p w14:paraId="6B9C5B41" w14:textId="77777777" w:rsidR="007272E2" w:rsidRPr="007272E2" w:rsidRDefault="007272E2" w:rsidP="007272E2">
      <w:pPr>
        <w:pStyle w:val="af3"/>
        <w:ind w:left="0" w:firstLine="0"/>
        <w:rPr>
          <w:sz w:val="20"/>
          <w:szCs w:val="20"/>
        </w:rPr>
      </w:pPr>
      <w:r w:rsidRPr="007272E2">
        <w:rPr>
          <w:sz w:val="20"/>
          <w:szCs w:val="20"/>
        </w:rPr>
        <w:t>Tian, X., Yin, Y., Wang, J., Jiang, F., Ji, W., Zhou, J., 2025. Research on non-uniform distribution characteristic and correction of convective heat transfer in the rooftop photovoltaic array. Sustain. Energy Technol. Assess. 83, 104571. https://doi.org/10.1016/j.seta.2025.104571</w:t>
      </w:r>
    </w:p>
    <w:p w14:paraId="6865B88C" w14:textId="77777777" w:rsidR="007272E2" w:rsidRPr="007272E2" w:rsidRDefault="007272E2" w:rsidP="007272E2">
      <w:pPr>
        <w:pStyle w:val="af3"/>
        <w:ind w:left="0" w:firstLine="0"/>
        <w:rPr>
          <w:sz w:val="20"/>
          <w:szCs w:val="20"/>
        </w:rPr>
      </w:pPr>
      <w:r w:rsidRPr="007272E2">
        <w:rPr>
          <w:sz w:val="20"/>
          <w:szCs w:val="20"/>
        </w:rPr>
        <w:t>United Nations Environment Programme, 2025. Not just another brick in the wall: The solutions exist - Scaling them will build on progress and cut emissions fast. Global Status Report for Buildings and Construction 2024/2025. United Nations Environment Programme. https://doi.org/10.59117/20.500.11822/47214</w:t>
      </w:r>
    </w:p>
    <w:p w14:paraId="2165B2B2" w14:textId="77777777" w:rsidR="007272E2" w:rsidRPr="007272E2" w:rsidRDefault="007272E2" w:rsidP="007272E2">
      <w:pPr>
        <w:pStyle w:val="af3"/>
        <w:ind w:left="0" w:firstLine="0"/>
        <w:rPr>
          <w:sz w:val="20"/>
          <w:szCs w:val="20"/>
        </w:rPr>
      </w:pPr>
      <w:r w:rsidRPr="007272E2">
        <w:rPr>
          <w:sz w:val="20"/>
          <w:szCs w:val="20"/>
        </w:rPr>
        <w:t>U.S. Department of Energy, 2024. EnergyPlus Input Output Reference: Version 24.2 (Input Output Reference). U.S. Department of Energy.</w:t>
      </w:r>
    </w:p>
    <w:p w14:paraId="5585165A" w14:textId="0DC0412B" w:rsidR="007272E2" w:rsidRPr="007272E2" w:rsidRDefault="007272E2" w:rsidP="007272E2">
      <w:pPr>
        <w:pStyle w:val="af3"/>
        <w:ind w:left="0" w:firstLine="0"/>
        <w:rPr>
          <w:sz w:val="20"/>
          <w:szCs w:val="20"/>
        </w:rPr>
      </w:pPr>
      <w:r w:rsidRPr="007272E2">
        <w:rPr>
          <w:sz w:val="20"/>
          <w:szCs w:val="20"/>
        </w:rPr>
        <w:t>U.S. Department of Energy, n.d. EnergyPlus weather data: Chongqing, Chongqing, Shapingba 575160 (CSWD). EnergyPlus. https://energyplus.net/weather-location/asia_wmo_region_2/CHN/CHN_Chongqing.Chongqing.Shapingba.575160_CSWD (accessed 6.22.26).</w:t>
      </w:r>
    </w:p>
    <w:p w14:paraId="6DB763AB" w14:textId="77777777" w:rsidR="007272E2" w:rsidRPr="007272E2" w:rsidRDefault="007272E2" w:rsidP="007272E2">
      <w:pPr>
        <w:pStyle w:val="af3"/>
        <w:ind w:left="0" w:firstLine="0"/>
        <w:rPr>
          <w:sz w:val="20"/>
          <w:szCs w:val="20"/>
        </w:rPr>
      </w:pPr>
      <w:r w:rsidRPr="007272E2">
        <w:rPr>
          <w:sz w:val="20"/>
          <w:szCs w:val="20"/>
        </w:rPr>
        <w:t>Wang, J., Jiang, F., Lin, X., Yousif, C., Ji, W., Yuan, Y., Zhou, J., 2025. Field measurement on the wind and thermal microenvironment of distributed PV array. J. Build. Eng. 105, 112492. https://doi.org/10.1016/j.jobe.2025.112492</w:t>
      </w:r>
    </w:p>
    <w:p w14:paraId="2F778352" w14:textId="77777777" w:rsidR="007272E2" w:rsidRPr="007272E2" w:rsidRDefault="007272E2" w:rsidP="007272E2">
      <w:pPr>
        <w:pStyle w:val="af3"/>
        <w:ind w:left="0" w:firstLine="0"/>
        <w:rPr>
          <w:sz w:val="20"/>
          <w:szCs w:val="20"/>
        </w:rPr>
      </w:pPr>
      <w:r w:rsidRPr="007272E2">
        <w:rPr>
          <w:sz w:val="20"/>
          <w:szCs w:val="20"/>
        </w:rPr>
        <w:t>Zhong, J., Zhang, W., Xie, L., Zhao, O., Wu, X., Zeng, X., Guo, J., 2023. Development and challenges of bifacial photovoltaic technology and application in buildings: A review. Renew. Sustain. Energy Rev. 187, 113706. https://doi.org/10.1016/j.rser.2023.113706</w:t>
      </w:r>
    </w:p>
    <w:p w14:paraId="16F59F5B" w14:textId="0BA2229E" w:rsidR="007272E2" w:rsidRPr="007272E2" w:rsidRDefault="007272E2" w:rsidP="007272E2">
      <w:pPr>
        <w:pStyle w:val="af3"/>
        <w:ind w:left="0" w:firstLine="0"/>
        <w:rPr>
          <w:sz w:val="20"/>
          <w:szCs w:val="20"/>
        </w:rPr>
      </w:pPr>
      <w:r w:rsidRPr="007272E2">
        <w:rPr>
          <w:sz w:val="20"/>
          <w:szCs w:val="20"/>
        </w:rPr>
        <w:t xml:space="preserve">Zhuang, C., Gao, Y., Zhao, Y., Levinson, R., Heiselberg, P., Wang, Z., Guo, R., 2021. Potential benefits and optimization of cool-coated office buildings: A case study in </w:t>
      </w:r>
      <w:r w:rsidR="001E3FF5">
        <w:rPr>
          <w:rFonts w:hint="eastAsia"/>
          <w:sz w:val="20"/>
          <w:szCs w:val="20"/>
          <w:lang w:eastAsia="zh-CN"/>
        </w:rPr>
        <w:t>C</w:t>
      </w:r>
      <w:r w:rsidRPr="007272E2">
        <w:rPr>
          <w:sz w:val="20"/>
          <w:szCs w:val="20"/>
        </w:rPr>
        <w:t>hongqing, China. Energy 226, 120373. https://doi.org/10.1016/j.energy.2021.120373</w:t>
      </w:r>
    </w:p>
    <w:p w14:paraId="3F5B2475" w14:textId="5E8D6215" w:rsidR="002E41A7" w:rsidRPr="00E35D8F" w:rsidRDefault="007E4147" w:rsidP="005A7FDF">
      <w:pPr>
        <w:pStyle w:val="af3"/>
        <w:spacing w:line="20" w:lineRule="exact"/>
        <w:ind w:left="0" w:firstLine="0"/>
        <w:rPr>
          <w:sz w:val="20"/>
          <w:lang w:val="en-US"/>
        </w:rPr>
      </w:pPr>
      <w:r w:rsidRPr="007272E2">
        <w:rPr>
          <w:sz w:val="20"/>
          <w:szCs w:val="20"/>
          <w:lang w:val="en-US"/>
        </w:rPr>
        <w:fldChar w:fldCharType="end"/>
      </w:r>
    </w:p>
    <w:sectPr w:rsidR="002E41A7" w:rsidRPr="00E35D8F" w:rsidSect="001E3D8C">
      <w:footnotePr>
        <w:numRestart w:val="eachPage"/>
      </w:footnotePr>
      <w:pgSz w:w="11908" w:h="16838" w:code="9"/>
      <w:pgMar w:top="1701" w:right="1440" w:bottom="1440"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30C99" w14:textId="77777777" w:rsidR="00D44EC5" w:rsidRDefault="00D44EC5">
      <w:r>
        <w:separator/>
      </w:r>
    </w:p>
  </w:endnote>
  <w:endnote w:type="continuationSeparator" w:id="0">
    <w:p w14:paraId="2ED0F82B" w14:textId="77777777" w:rsidR="00D44EC5" w:rsidRDefault="00D4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64CE3" w14:textId="77777777" w:rsidR="00D44EC5" w:rsidRDefault="00D44EC5">
      <w:r>
        <w:separator/>
      </w:r>
    </w:p>
  </w:footnote>
  <w:footnote w:type="continuationSeparator" w:id="0">
    <w:p w14:paraId="0F8EE8A6" w14:textId="77777777" w:rsidR="00D44EC5" w:rsidRDefault="00D44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E48A1394"/>
    <w:lvl w:ilvl="0">
      <w:start w:val="1"/>
      <w:numFmt w:val="decimal"/>
      <w:pStyle w:val="5"/>
      <w:lvlText w:val="%1."/>
      <w:lvlJc w:val="left"/>
      <w:pPr>
        <w:tabs>
          <w:tab w:val="num" w:pos="2040"/>
        </w:tabs>
        <w:ind w:leftChars="800" w:left="2040" w:hangingChars="200" w:hanging="360"/>
      </w:pPr>
    </w:lvl>
  </w:abstractNum>
  <w:abstractNum w:abstractNumId="2" w15:restartNumberingAfterBreak="0">
    <w:nsid w:val="FFFFFF7D"/>
    <w:multiLevelType w:val="singleLevel"/>
    <w:tmpl w:val="4ECA335A"/>
    <w:lvl w:ilvl="0">
      <w:start w:val="1"/>
      <w:numFmt w:val="decimal"/>
      <w:pStyle w:val="4"/>
      <w:lvlText w:val="%1."/>
      <w:lvlJc w:val="left"/>
      <w:pPr>
        <w:tabs>
          <w:tab w:val="num" w:pos="1620"/>
        </w:tabs>
        <w:ind w:leftChars="600" w:left="1620" w:hangingChars="200" w:hanging="360"/>
      </w:pPr>
    </w:lvl>
  </w:abstractNum>
  <w:abstractNum w:abstractNumId="3" w15:restartNumberingAfterBreak="0">
    <w:nsid w:val="FFFFFF7E"/>
    <w:multiLevelType w:val="singleLevel"/>
    <w:tmpl w:val="0194D9F4"/>
    <w:lvl w:ilvl="0">
      <w:start w:val="1"/>
      <w:numFmt w:val="decimal"/>
      <w:pStyle w:val="3"/>
      <w:lvlText w:val="%1."/>
      <w:lvlJc w:val="left"/>
      <w:pPr>
        <w:tabs>
          <w:tab w:val="num" w:pos="1200"/>
        </w:tabs>
        <w:ind w:leftChars="400" w:left="1200" w:hangingChars="200" w:hanging="360"/>
      </w:pPr>
    </w:lvl>
  </w:abstractNum>
  <w:abstractNum w:abstractNumId="4" w15:restartNumberingAfterBreak="0">
    <w:nsid w:val="FFFFFF7F"/>
    <w:multiLevelType w:val="singleLevel"/>
    <w:tmpl w:val="9BD84FB6"/>
    <w:lvl w:ilvl="0">
      <w:start w:val="1"/>
      <w:numFmt w:val="decimal"/>
      <w:pStyle w:val="2"/>
      <w:lvlText w:val="%1."/>
      <w:lvlJc w:val="left"/>
      <w:pPr>
        <w:tabs>
          <w:tab w:val="num" w:pos="780"/>
        </w:tabs>
        <w:ind w:leftChars="200" w:left="780" w:hangingChars="200" w:hanging="360"/>
      </w:pPr>
    </w:lvl>
  </w:abstractNum>
  <w:abstractNum w:abstractNumId="5" w15:restartNumberingAfterBreak="0">
    <w:nsid w:val="FFFFFF80"/>
    <w:multiLevelType w:val="singleLevel"/>
    <w:tmpl w:val="3A02C94A"/>
    <w:lvl w:ilvl="0">
      <w:start w:val="1"/>
      <w:numFmt w:val="bullet"/>
      <w:pStyle w:val="50"/>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A26D57A"/>
    <w:lvl w:ilvl="0">
      <w:start w:val="1"/>
      <w:numFmt w:val="bullet"/>
      <w:pStyle w:val="40"/>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854EA0E"/>
    <w:lvl w:ilvl="0">
      <w:start w:val="1"/>
      <w:numFmt w:val="bullet"/>
      <w:pStyle w:val="30"/>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E76E4E0"/>
    <w:lvl w:ilvl="0">
      <w:start w:val="1"/>
      <w:numFmt w:val="bullet"/>
      <w:pStyle w:val="20"/>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64415A6"/>
    <w:lvl w:ilvl="0">
      <w:start w:val="1"/>
      <w:numFmt w:val="decimal"/>
      <w:pStyle w:val="a"/>
      <w:lvlText w:val="%1."/>
      <w:lvlJc w:val="left"/>
      <w:pPr>
        <w:tabs>
          <w:tab w:val="num" w:pos="360"/>
        </w:tabs>
        <w:ind w:left="360" w:hangingChars="200" w:hanging="360"/>
      </w:pPr>
    </w:lvl>
  </w:abstractNum>
  <w:abstractNum w:abstractNumId="10" w15:restartNumberingAfterBreak="0">
    <w:nsid w:val="FFFFFF89"/>
    <w:multiLevelType w:val="singleLevel"/>
    <w:tmpl w:val="6E8C6812"/>
    <w:lvl w:ilvl="0">
      <w:start w:val="1"/>
      <w:numFmt w:val="bullet"/>
      <w:pStyle w:val="a0"/>
      <w:lvlText w:val=""/>
      <w:lvlJc w:val="left"/>
      <w:pPr>
        <w:tabs>
          <w:tab w:val="num" w:pos="360"/>
        </w:tabs>
        <w:ind w:left="360" w:hanging="360"/>
      </w:pPr>
      <w:rPr>
        <w:rFonts w:ascii="Symbol" w:hAnsi="Symbol" w:hint="default"/>
      </w:rPr>
    </w:lvl>
  </w:abstractNum>
  <w:abstractNum w:abstractNumId="11" w15:restartNumberingAfterBreak="0">
    <w:nsid w:val="10FC579D"/>
    <w:multiLevelType w:val="multilevel"/>
    <w:tmpl w:val="E8C8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D421E"/>
    <w:multiLevelType w:val="multilevel"/>
    <w:tmpl w:val="9708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20936872"/>
    <w:multiLevelType w:val="hybridMultilevel"/>
    <w:tmpl w:val="2EC48AA6"/>
    <w:lvl w:ilvl="0" w:tplc="CCEAC496">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5"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27FC1C5B"/>
    <w:multiLevelType w:val="hybridMultilevel"/>
    <w:tmpl w:val="A61612F2"/>
    <w:lvl w:ilvl="0" w:tplc="CF72EF3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2EDE349C"/>
    <w:multiLevelType w:val="hybridMultilevel"/>
    <w:tmpl w:val="B394BD98"/>
    <w:lvl w:ilvl="0" w:tplc="6708F788">
      <w:start w:val="5"/>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4B664809"/>
    <w:multiLevelType w:val="hybridMultilevel"/>
    <w:tmpl w:val="4B1AB592"/>
    <w:lvl w:ilvl="0" w:tplc="64687448">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8" w15:restartNumberingAfterBreak="0">
    <w:nsid w:val="57CF76D3"/>
    <w:multiLevelType w:val="hybridMultilevel"/>
    <w:tmpl w:val="9DE25A2E"/>
    <w:lvl w:ilvl="0" w:tplc="B9FED69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B1B63C6"/>
    <w:multiLevelType w:val="multilevel"/>
    <w:tmpl w:val="CFA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019694037">
    <w:abstractNumId w:val="10"/>
  </w:num>
  <w:num w:numId="2" w16cid:durableId="1707757371">
    <w:abstractNumId w:val="21"/>
  </w:num>
  <w:num w:numId="3" w16cid:durableId="1648514683">
    <w:abstractNumId w:val="20"/>
  </w:num>
  <w:num w:numId="4" w16cid:durableId="1721250697">
    <w:abstractNumId w:val="35"/>
  </w:num>
  <w:num w:numId="5" w16cid:durableId="2034648956">
    <w:abstractNumId w:val="8"/>
  </w:num>
  <w:num w:numId="6" w16cid:durableId="1570269059">
    <w:abstractNumId w:val="7"/>
  </w:num>
  <w:num w:numId="7" w16cid:durableId="450708861">
    <w:abstractNumId w:val="0"/>
  </w:num>
  <w:num w:numId="8" w16cid:durableId="358776666">
    <w:abstractNumId w:val="6"/>
  </w:num>
  <w:num w:numId="9" w16cid:durableId="1757095331">
    <w:abstractNumId w:val="5"/>
  </w:num>
  <w:num w:numId="10" w16cid:durableId="1475875484">
    <w:abstractNumId w:val="13"/>
  </w:num>
  <w:num w:numId="11" w16cid:durableId="582766223">
    <w:abstractNumId w:val="31"/>
  </w:num>
  <w:num w:numId="12" w16cid:durableId="44725327">
    <w:abstractNumId w:val="25"/>
  </w:num>
  <w:num w:numId="13" w16cid:durableId="252469865">
    <w:abstractNumId w:val="13"/>
    <w:lvlOverride w:ilvl="0">
      <w:startOverride w:val="1"/>
    </w:lvlOverride>
  </w:num>
  <w:num w:numId="14" w16cid:durableId="373698422">
    <w:abstractNumId w:val="29"/>
  </w:num>
  <w:num w:numId="15" w16cid:durableId="1429541823">
    <w:abstractNumId w:val="15"/>
  </w:num>
  <w:num w:numId="16" w16cid:durableId="570700264">
    <w:abstractNumId w:val="24"/>
  </w:num>
  <w:num w:numId="17" w16cid:durableId="1937980818">
    <w:abstractNumId w:val="27"/>
  </w:num>
  <w:num w:numId="18" w16cid:durableId="620306190">
    <w:abstractNumId w:val="33"/>
  </w:num>
  <w:num w:numId="19" w16cid:durableId="226306234">
    <w:abstractNumId w:val="19"/>
  </w:num>
  <w:num w:numId="20" w16cid:durableId="832183473">
    <w:abstractNumId w:val="16"/>
  </w:num>
  <w:num w:numId="21" w16cid:durableId="431630060">
    <w:abstractNumId w:val="22"/>
  </w:num>
  <w:num w:numId="22" w16cid:durableId="1359743924">
    <w:abstractNumId w:val="32"/>
  </w:num>
  <w:num w:numId="23" w16cid:durableId="1766609465">
    <w:abstractNumId w:val="26"/>
  </w:num>
  <w:num w:numId="24" w16cid:durableId="1374306324">
    <w:abstractNumId w:val="34"/>
  </w:num>
  <w:num w:numId="25" w16cid:durableId="1408654174">
    <w:abstractNumId w:val="14"/>
  </w:num>
  <w:num w:numId="26" w16cid:durableId="1937782954">
    <w:abstractNumId w:val="28"/>
  </w:num>
  <w:num w:numId="27" w16cid:durableId="365103231">
    <w:abstractNumId w:val="17"/>
  </w:num>
  <w:num w:numId="28" w16cid:durableId="315690557">
    <w:abstractNumId w:val="23"/>
  </w:num>
  <w:num w:numId="29" w16cid:durableId="1324089722">
    <w:abstractNumId w:val="18"/>
  </w:num>
  <w:num w:numId="30" w16cid:durableId="137040669">
    <w:abstractNumId w:val="12"/>
  </w:num>
  <w:num w:numId="31" w16cid:durableId="54160427">
    <w:abstractNumId w:val="30"/>
  </w:num>
  <w:num w:numId="32" w16cid:durableId="1477798244">
    <w:abstractNumId w:val="9"/>
  </w:num>
  <w:num w:numId="33" w16cid:durableId="1192106762">
    <w:abstractNumId w:val="4"/>
  </w:num>
  <w:num w:numId="34" w16cid:durableId="242762057">
    <w:abstractNumId w:val="3"/>
  </w:num>
  <w:num w:numId="35" w16cid:durableId="2047172515">
    <w:abstractNumId w:val="2"/>
  </w:num>
  <w:num w:numId="36" w16cid:durableId="1733583013">
    <w:abstractNumId w:val="1"/>
  </w:num>
  <w:num w:numId="37" w16cid:durableId="204875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O1NDU3Mjc0MDI0MzRQ0lEKTi0uzszPAykwtagFAHlKhgQtAAAA"/>
  </w:docVars>
  <w:rsids>
    <w:rsidRoot w:val="00B2716E"/>
    <w:rsid w:val="00001009"/>
    <w:rsid w:val="00003572"/>
    <w:rsid w:val="00004866"/>
    <w:rsid w:val="0000498D"/>
    <w:rsid w:val="00005037"/>
    <w:rsid w:val="000067DB"/>
    <w:rsid w:val="0000711C"/>
    <w:rsid w:val="000075DC"/>
    <w:rsid w:val="00010142"/>
    <w:rsid w:val="00010262"/>
    <w:rsid w:val="00017D76"/>
    <w:rsid w:val="00020437"/>
    <w:rsid w:val="00022112"/>
    <w:rsid w:val="0002267F"/>
    <w:rsid w:val="0002272C"/>
    <w:rsid w:val="00023655"/>
    <w:rsid w:val="00024D79"/>
    <w:rsid w:val="0002557E"/>
    <w:rsid w:val="0002636D"/>
    <w:rsid w:val="0002671B"/>
    <w:rsid w:val="000300EE"/>
    <w:rsid w:val="00032923"/>
    <w:rsid w:val="000333AD"/>
    <w:rsid w:val="00033F33"/>
    <w:rsid w:val="00035412"/>
    <w:rsid w:val="00035B08"/>
    <w:rsid w:val="00035B6B"/>
    <w:rsid w:val="00040516"/>
    <w:rsid w:val="00041054"/>
    <w:rsid w:val="0004235D"/>
    <w:rsid w:val="00043632"/>
    <w:rsid w:val="00044211"/>
    <w:rsid w:val="00045952"/>
    <w:rsid w:val="000459FE"/>
    <w:rsid w:val="00050114"/>
    <w:rsid w:val="000525C8"/>
    <w:rsid w:val="000533E4"/>
    <w:rsid w:val="000534F5"/>
    <w:rsid w:val="0005388C"/>
    <w:rsid w:val="00053E02"/>
    <w:rsid w:val="00055435"/>
    <w:rsid w:val="000555C5"/>
    <w:rsid w:val="00055DB9"/>
    <w:rsid w:val="00056DFA"/>
    <w:rsid w:val="00057B5E"/>
    <w:rsid w:val="0006025B"/>
    <w:rsid w:val="00060551"/>
    <w:rsid w:val="00060B46"/>
    <w:rsid w:val="00060C21"/>
    <w:rsid w:val="00060D43"/>
    <w:rsid w:val="00062D15"/>
    <w:rsid w:val="00063F51"/>
    <w:rsid w:val="00063F56"/>
    <w:rsid w:val="00064305"/>
    <w:rsid w:val="0006481D"/>
    <w:rsid w:val="0006563B"/>
    <w:rsid w:val="00065BF0"/>
    <w:rsid w:val="00065EEC"/>
    <w:rsid w:val="00065F33"/>
    <w:rsid w:val="00066B26"/>
    <w:rsid w:val="00066E54"/>
    <w:rsid w:val="000677B9"/>
    <w:rsid w:val="000678AC"/>
    <w:rsid w:val="00067C3C"/>
    <w:rsid w:val="00070E5F"/>
    <w:rsid w:val="000712A1"/>
    <w:rsid w:val="000717EF"/>
    <w:rsid w:val="00072987"/>
    <w:rsid w:val="00073A74"/>
    <w:rsid w:val="00073F81"/>
    <w:rsid w:val="000748A0"/>
    <w:rsid w:val="00074DBF"/>
    <w:rsid w:val="00075A04"/>
    <w:rsid w:val="000768DB"/>
    <w:rsid w:val="00076EF8"/>
    <w:rsid w:val="000774E5"/>
    <w:rsid w:val="00077634"/>
    <w:rsid w:val="00077909"/>
    <w:rsid w:val="000779B4"/>
    <w:rsid w:val="00077F18"/>
    <w:rsid w:val="00080F3F"/>
    <w:rsid w:val="0008309E"/>
    <w:rsid w:val="00086FBB"/>
    <w:rsid w:val="00087D50"/>
    <w:rsid w:val="00090580"/>
    <w:rsid w:val="000906E8"/>
    <w:rsid w:val="00090CBA"/>
    <w:rsid w:val="00091E28"/>
    <w:rsid w:val="000928AF"/>
    <w:rsid w:val="00092ED5"/>
    <w:rsid w:val="00093F22"/>
    <w:rsid w:val="00094A74"/>
    <w:rsid w:val="00096F5A"/>
    <w:rsid w:val="00096FE0"/>
    <w:rsid w:val="00097E7E"/>
    <w:rsid w:val="000A0ADB"/>
    <w:rsid w:val="000A0B2F"/>
    <w:rsid w:val="000A1B8C"/>
    <w:rsid w:val="000A1DC1"/>
    <w:rsid w:val="000A2406"/>
    <w:rsid w:val="000A24E8"/>
    <w:rsid w:val="000A30A5"/>
    <w:rsid w:val="000A36B5"/>
    <w:rsid w:val="000A3D36"/>
    <w:rsid w:val="000A52A1"/>
    <w:rsid w:val="000A560F"/>
    <w:rsid w:val="000A5B28"/>
    <w:rsid w:val="000A5F64"/>
    <w:rsid w:val="000A6543"/>
    <w:rsid w:val="000A725D"/>
    <w:rsid w:val="000A79C4"/>
    <w:rsid w:val="000B0366"/>
    <w:rsid w:val="000B049C"/>
    <w:rsid w:val="000B04BE"/>
    <w:rsid w:val="000B15D7"/>
    <w:rsid w:val="000B1F4D"/>
    <w:rsid w:val="000B20D4"/>
    <w:rsid w:val="000B257D"/>
    <w:rsid w:val="000B3567"/>
    <w:rsid w:val="000B4B1A"/>
    <w:rsid w:val="000B7144"/>
    <w:rsid w:val="000B74EA"/>
    <w:rsid w:val="000B7EAC"/>
    <w:rsid w:val="000C0090"/>
    <w:rsid w:val="000C0230"/>
    <w:rsid w:val="000C1ADC"/>
    <w:rsid w:val="000C232B"/>
    <w:rsid w:val="000C2344"/>
    <w:rsid w:val="000C4902"/>
    <w:rsid w:val="000C507F"/>
    <w:rsid w:val="000C5C74"/>
    <w:rsid w:val="000C5DB9"/>
    <w:rsid w:val="000C7C9F"/>
    <w:rsid w:val="000D04C9"/>
    <w:rsid w:val="000D0863"/>
    <w:rsid w:val="000D0EEC"/>
    <w:rsid w:val="000D17C3"/>
    <w:rsid w:val="000D1B1D"/>
    <w:rsid w:val="000D204A"/>
    <w:rsid w:val="000D353E"/>
    <w:rsid w:val="000D6429"/>
    <w:rsid w:val="000D6E1A"/>
    <w:rsid w:val="000D702F"/>
    <w:rsid w:val="000D749D"/>
    <w:rsid w:val="000D76C2"/>
    <w:rsid w:val="000D7856"/>
    <w:rsid w:val="000E038D"/>
    <w:rsid w:val="000E0998"/>
    <w:rsid w:val="000E0CBA"/>
    <w:rsid w:val="000E11C8"/>
    <w:rsid w:val="000E1855"/>
    <w:rsid w:val="000E3578"/>
    <w:rsid w:val="000E3830"/>
    <w:rsid w:val="000E4334"/>
    <w:rsid w:val="000E569D"/>
    <w:rsid w:val="000E5734"/>
    <w:rsid w:val="000E579E"/>
    <w:rsid w:val="000E6214"/>
    <w:rsid w:val="000E6756"/>
    <w:rsid w:val="000E6CE3"/>
    <w:rsid w:val="000E7BDD"/>
    <w:rsid w:val="000F0021"/>
    <w:rsid w:val="000F022F"/>
    <w:rsid w:val="000F0F3B"/>
    <w:rsid w:val="000F2660"/>
    <w:rsid w:val="000F3A47"/>
    <w:rsid w:val="000F41CF"/>
    <w:rsid w:val="000F4509"/>
    <w:rsid w:val="000F451F"/>
    <w:rsid w:val="000F4628"/>
    <w:rsid w:val="000F4C34"/>
    <w:rsid w:val="000F4DD3"/>
    <w:rsid w:val="000F5189"/>
    <w:rsid w:val="000F712D"/>
    <w:rsid w:val="000F739B"/>
    <w:rsid w:val="00100E98"/>
    <w:rsid w:val="00100F10"/>
    <w:rsid w:val="00101A38"/>
    <w:rsid w:val="0010382C"/>
    <w:rsid w:val="0010484E"/>
    <w:rsid w:val="0010501A"/>
    <w:rsid w:val="001050C7"/>
    <w:rsid w:val="001053C0"/>
    <w:rsid w:val="001065D4"/>
    <w:rsid w:val="00107854"/>
    <w:rsid w:val="00107E76"/>
    <w:rsid w:val="00110864"/>
    <w:rsid w:val="00111734"/>
    <w:rsid w:val="00111F54"/>
    <w:rsid w:val="001141DB"/>
    <w:rsid w:val="001146F9"/>
    <w:rsid w:val="00115959"/>
    <w:rsid w:val="001160D8"/>
    <w:rsid w:val="001165EE"/>
    <w:rsid w:val="001208DC"/>
    <w:rsid w:val="00120EEB"/>
    <w:rsid w:val="00121F10"/>
    <w:rsid w:val="001234AF"/>
    <w:rsid w:val="00124BC0"/>
    <w:rsid w:val="00126913"/>
    <w:rsid w:val="00126D25"/>
    <w:rsid w:val="001273C5"/>
    <w:rsid w:val="00127B8C"/>
    <w:rsid w:val="0013055E"/>
    <w:rsid w:val="0013078A"/>
    <w:rsid w:val="00132310"/>
    <w:rsid w:val="00132522"/>
    <w:rsid w:val="0013360B"/>
    <w:rsid w:val="00135C59"/>
    <w:rsid w:val="00136101"/>
    <w:rsid w:val="0013697B"/>
    <w:rsid w:val="00136D80"/>
    <w:rsid w:val="0013768A"/>
    <w:rsid w:val="00137DA1"/>
    <w:rsid w:val="001450FF"/>
    <w:rsid w:val="001458ED"/>
    <w:rsid w:val="00145BDE"/>
    <w:rsid w:val="001464E7"/>
    <w:rsid w:val="0014695B"/>
    <w:rsid w:val="0014695C"/>
    <w:rsid w:val="00146D95"/>
    <w:rsid w:val="0014774C"/>
    <w:rsid w:val="00150259"/>
    <w:rsid w:val="0015090D"/>
    <w:rsid w:val="001509FA"/>
    <w:rsid w:val="00150A86"/>
    <w:rsid w:val="00150C3A"/>
    <w:rsid w:val="00151335"/>
    <w:rsid w:val="00151BD7"/>
    <w:rsid w:val="00151C09"/>
    <w:rsid w:val="0015207E"/>
    <w:rsid w:val="00153281"/>
    <w:rsid w:val="0015449D"/>
    <w:rsid w:val="00154C39"/>
    <w:rsid w:val="00154D4F"/>
    <w:rsid w:val="0015535D"/>
    <w:rsid w:val="00155FB8"/>
    <w:rsid w:val="00157CE5"/>
    <w:rsid w:val="00160B73"/>
    <w:rsid w:val="00161B01"/>
    <w:rsid w:val="00163523"/>
    <w:rsid w:val="00163636"/>
    <w:rsid w:val="00163F6F"/>
    <w:rsid w:val="001646F8"/>
    <w:rsid w:val="001647D2"/>
    <w:rsid w:val="001657ED"/>
    <w:rsid w:val="00166C42"/>
    <w:rsid w:val="001705FB"/>
    <w:rsid w:val="0017071F"/>
    <w:rsid w:val="0017160B"/>
    <w:rsid w:val="001720F7"/>
    <w:rsid w:val="00173451"/>
    <w:rsid w:val="00173E60"/>
    <w:rsid w:val="00174AB5"/>
    <w:rsid w:val="00174F40"/>
    <w:rsid w:val="00176EF6"/>
    <w:rsid w:val="0018015C"/>
    <w:rsid w:val="001818BB"/>
    <w:rsid w:val="00181B9A"/>
    <w:rsid w:val="00183D4D"/>
    <w:rsid w:val="00184908"/>
    <w:rsid w:val="00184A15"/>
    <w:rsid w:val="00184F6A"/>
    <w:rsid w:val="00185257"/>
    <w:rsid w:val="001853BC"/>
    <w:rsid w:val="00187A3C"/>
    <w:rsid w:val="00190026"/>
    <w:rsid w:val="00190495"/>
    <w:rsid w:val="001904A7"/>
    <w:rsid w:val="0019088E"/>
    <w:rsid w:val="00190DBC"/>
    <w:rsid w:val="0019232E"/>
    <w:rsid w:val="00192EE7"/>
    <w:rsid w:val="001930A7"/>
    <w:rsid w:val="00193AFF"/>
    <w:rsid w:val="00194E9A"/>
    <w:rsid w:val="00194F77"/>
    <w:rsid w:val="00195C45"/>
    <w:rsid w:val="001968B5"/>
    <w:rsid w:val="0019698F"/>
    <w:rsid w:val="001969B9"/>
    <w:rsid w:val="00196EAC"/>
    <w:rsid w:val="00197286"/>
    <w:rsid w:val="001A05FC"/>
    <w:rsid w:val="001A117A"/>
    <w:rsid w:val="001A11C2"/>
    <w:rsid w:val="001A1824"/>
    <w:rsid w:val="001A2B54"/>
    <w:rsid w:val="001A2D02"/>
    <w:rsid w:val="001A3A8B"/>
    <w:rsid w:val="001A46A3"/>
    <w:rsid w:val="001A4BA8"/>
    <w:rsid w:val="001A4F58"/>
    <w:rsid w:val="001A6740"/>
    <w:rsid w:val="001A6846"/>
    <w:rsid w:val="001A775B"/>
    <w:rsid w:val="001A7C73"/>
    <w:rsid w:val="001A7F40"/>
    <w:rsid w:val="001B13D6"/>
    <w:rsid w:val="001B1D61"/>
    <w:rsid w:val="001B2566"/>
    <w:rsid w:val="001B327F"/>
    <w:rsid w:val="001B3793"/>
    <w:rsid w:val="001B4655"/>
    <w:rsid w:val="001B4FCE"/>
    <w:rsid w:val="001B51FA"/>
    <w:rsid w:val="001B5788"/>
    <w:rsid w:val="001B6BCF"/>
    <w:rsid w:val="001B6ED4"/>
    <w:rsid w:val="001B6F1C"/>
    <w:rsid w:val="001B741C"/>
    <w:rsid w:val="001B7B01"/>
    <w:rsid w:val="001C05FF"/>
    <w:rsid w:val="001C2382"/>
    <w:rsid w:val="001C2D6C"/>
    <w:rsid w:val="001C2DC1"/>
    <w:rsid w:val="001C2E18"/>
    <w:rsid w:val="001C2E2F"/>
    <w:rsid w:val="001C3877"/>
    <w:rsid w:val="001C3A3D"/>
    <w:rsid w:val="001C48A8"/>
    <w:rsid w:val="001C63A2"/>
    <w:rsid w:val="001D0290"/>
    <w:rsid w:val="001D0384"/>
    <w:rsid w:val="001D08EA"/>
    <w:rsid w:val="001D0CE5"/>
    <w:rsid w:val="001D157F"/>
    <w:rsid w:val="001D1CE3"/>
    <w:rsid w:val="001D1E59"/>
    <w:rsid w:val="001D34A4"/>
    <w:rsid w:val="001D4912"/>
    <w:rsid w:val="001D4CA4"/>
    <w:rsid w:val="001D5499"/>
    <w:rsid w:val="001D6B41"/>
    <w:rsid w:val="001E00DA"/>
    <w:rsid w:val="001E09AC"/>
    <w:rsid w:val="001E0AC6"/>
    <w:rsid w:val="001E14D7"/>
    <w:rsid w:val="001E28FF"/>
    <w:rsid w:val="001E2B93"/>
    <w:rsid w:val="001E3693"/>
    <w:rsid w:val="001E3891"/>
    <w:rsid w:val="001E3D8C"/>
    <w:rsid w:val="001E3FF5"/>
    <w:rsid w:val="001E464C"/>
    <w:rsid w:val="001E583E"/>
    <w:rsid w:val="001E5BF4"/>
    <w:rsid w:val="001E657B"/>
    <w:rsid w:val="001E7539"/>
    <w:rsid w:val="001F1F35"/>
    <w:rsid w:val="001F1F5E"/>
    <w:rsid w:val="001F2881"/>
    <w:rsid w:val="001F339D"/>
    <w:rsid w:val="001F3698"/>
    <w:rsid w:val="001F414F"/>
    <w:rsid w:val="001F4DD7"/>
    <w:rsid w:val="001F599E"/>
    <w:rsid w:val="001F5FB7"/>
    <w:rsid w:val="001F6BFB"/>
    <w:rsid w:val="0020076C"/>
    <w:rsid w:val="00200AE1"/>
    <w:rsid w:val="002031C5"/>
    <w:rsid w:val="00203905"/>
    <w:rsid w:val="002040FA"/>
    <w:rsid w:val="002049A8"/>
    <w:rsid w:val="00204B40"/>
    <w:rsid w:val="00205626"/>
    <w:rsid w:val="00206116"/>
    <w:rsid w:val="0020733E"/>
    <w:rsid w:val="00212628"/>
    <w:rsid w:val="002128CA"/>
    <w:rsid w:val="0021305B"/>
    <w:rsid w:val="002143E3"/>
    <w:rsid w:val="00214CBB"/>
    <w:rsid w:val="00215A59"/>
    <w:rsid w:val="00216257"/>
    <w:rsid w:val="00216BE0"/>
    <w:rsid w:val="00222163"/>
    <w:rsid w:val="0022299B"/>
    <w:rsid w:val="00223347"/>
    <w:rsid w:val="00223F6F"/>
    <w:rsid w:val="0022429C"/>
    <w:rsid w:val="002246B2"/>
    <w:rsid w:val="00224A82"/>
    <w:rsid w:val="002256D1"/>
    <w:rsid w:val="00225724"/>
    <w:rsid w:val="002264E0"/>
    <w:rsid w:val="00226624"/>
    <w:rsid w:val="00226B37"/>
    <w:rsid w:val="00227042"/>
    <w:rsid w:val="00227B95"/>
    <w:rsid w:val="00227DC1"/>
    <w:rsid w:val="002312CA"/>
    <w:rsid w:val="00231F93"/>
    <w:rsid w:val="0023278A"/>
    <w:rsid w:val="00232A02"/>
    <w:rsid w:val="00232F61"/>
    <w:rsid w:val="00233056"/>
    <w:rsid w:val="002332E1"/>
    <w:rsid w:val="0023379D"/>
    <w:rsid w:val="0023406C"/>
    <w:rsid w:val="002355C2"/>
    <w:rsid w:val="002362DE"/>
    <w:rsid w:val="00237E2E"/>
    <w:rsid w:val="002420F4"/>
    <w:rsid w:val="0024261C"/>
    <w:rsid w:val="00243214"/>
    <w:rsid w:val="00243D4F"/>
    <w:rsid w:val="0024436F"/>
    <w:rsid w:val="00245B03"/>
    <w:rsid w:val="00246268"/>
    <w:rsid w:val="002464B6"/>
    <w:rsid w:val="00250EA2"/>
    <w:rsid w:val="002511CC"/>
    <w:rsid w:val="00251E75"/>
    <w:rsid w:val="002524CE"/>
    <w:rsid w:val="00252BCD"/>
    <w:rsid w:val="0025447C"/>
    <w:rsid w:val="00255D67"/>
    <w:rsid w:val="00255FDC"/>
    <w:rsid w:val="0025605E"/>
    <w:rsid w:val="002560BF"/>
    <w:rsid w:val="00256836"/>
    <w:rsid w:val="00257D6C"/>
    <w:rsid w:val="0026014E"/>
    <w:rsid w:val="00261EBF"/>
    <w:rsid w:val="00262502"/>
    <w:rsid w:val="002629F1"/>
    <w:rsid w:val="00262B87"/>
    <w:rsid w:val="00263841"/>
    <w:rsid w:val="00263EED"/>
    <w:rsid w:val="002647A0"/>
    <w:rsid w:val="002650D8"/>
    <w:rsid w:val="00266E47"/>
    <w:rsid w:val="00267089"/>
    <w:rsid w:val="00270E75"/>
    <w:rsid w:val="002720C4"/>
    <w:rsid w:val="0027288C"/>
    <w:rsid w:val="00273341"/>
    <w:rsid w:val="002734B7"/>
    <w:rsid w:val="002747B7"/>
    <w:rsid w:val="00274A6F"/>
    <w:rsid w:val="00276354"/>
    <w:rsid w:val="00276827"/>
    <w:rsid w:val="002773C9"/>
    <w:rsid w:val="00277470"/>
    <w:rsid w:val="002774F4"/>
    <w:rsid w:val="002801B1"/>
    <w:rsid w:val="002832DA"/>
    <w:rsid w:val="00284835"/>
    <w:rsid w:val="00287C6C"/>
    <w:rsid w:val="002900A9"/>
    <w:rsid w:val="00290328"/>
    <w:rsid w:val="00290F12"/>
    <w:rsid w:val="002917DF"/>
    <w:rsid w:val="00292F08"/>
    <w:rsid w:val="00293CC7"/>
    <w:rsid w:val="0029485E"/>
    <w:rsid w:val="00295508"/>
    <w:rsid w:val="00295A40"/>
    <w:rsid w:val="0029646F"/>
    <w:rsid w:val="002972D1"/>
    <w:rsid w:val="002A04A9"/>
    <w:rsid w:val="002A12F3"/>
    <w:rsid w:val="002A1577"/>
    <w:rsid w:val="002A246A"/>
    <w:rsid w:val="002A2971"/>
    <w:rsid w:val="002A2AAC"/>
    <w:rsid w:val="002A39BB"/>
    <w:rsid w:val="002A4AC5"/>
    <w:rsid w:val="002A7DE9"/>
    <w:rsid w:val="002A7F8D"/>
    <w:rsid w:val="002B177C"/>
    <w:rsid w:val="002B1F47"/>
    <w:rsid w:val="002B24D9"/>
    <w:rsid w:val="002B29C2"/>
    <w:rsid w:val="002B417A"/>
    <w:rsid w:val="002B4BC4"/>
    <w:rsid w:val="002B4D2E"/>
    <w:rsid w:val="002B64E7"/>
    <w:rsid w:val="002B681D"/>
    <w:rsid w:val="002B75E0"/>
    <w:rsid w:val="002C089D"/>
    <w:rsid w:val="002C0BDB"/>
    <w:rsid w:val="002C23D5"/>
    <w:rsid w:val="002C473B"/>
    <w:rsid w:val="002C5406"/>
    <w:rsid w:val="002C63BD"/>
    <w:rsid w:val="002C68AD"/>
    <w:rsid w:val="002D0623"/>
    <w:rsid w:val="002D15CD"/>
    <w:rsid w:val="002D1E56"/>
    <w:rsid w:val="002D2837"/>
    <w:rsid w:val="002D322C"/>
    <w:rsid w:val="002D4864"/>
    <w:rsid w:val="002D4FA8"/>
    <w:rsid w:val="002D518C"/>
    <w:rsid w:val="002D5349"/>
    <w:rsid w:val="002D5595"/>
    <w:rsid w:val="002D77E4"/>
    <w:rsid w:val="002D7D35"/>
    <w:rsid w:val="002E052A"/>
    <w:rsid w:val="002E0F0E"/>
    <w:rsid w:val="002E186B"/>
    <w:rsid w:val="002E1BE4"/>
    <w:rsid w:val="002E1F29"/>
    <w:rsid w:val="002E30F9"/>
    <w:rsid w:val="002E366B"/>
    <w:rsid w:val="002E3894"/>
    <w:rsid w:val="002E3D64"/>
    <w:rsid w:val="002E41A7"/>
    <w:rsid w:val="002E42BA"/>
    <w:rsid w:val="002E5B30"/>
    <w:rsid w:val="002E5D62"/>
    <w:rsid w:val="002E71B0"/>
    <w:rsid w:val="002E71F5"/>
    <w:rsid w:val="002E7935"/>
    <w:rsid w:val="002F0270"/>
    <w:rsid w:val="002F1386"/>
    <w:rsid w:val="002F2901"/>
    <w:rsid w:val="002F35D7"/>
    <w:rsid w:val="002F36DF"/>
    <w:rsid w:val="002F3DA3"/>
    <w:rsid w:val="002F5363"/>
    <w:rsid w:val="002F5B92"/>
    <w:rsid w:val="002F6025"/>
    <w:rsid w:val="002F6B4A"/>
    <w:rsid w:val="002F6B87"/>
    <w:rsid w:val="002F7197"/>
    <w:rsid w:val="002F7358"/>
    <w:rsid w:val="002F73A6"/>
    <w:rsid w:val="00300B40"/>
    <w:rsid w:val="0030110D"/>
    <w:rsid w:val="00302E0D"/>
    <w:rsid w:val="00303345"/>
    <w:rsid w:val="00303757"/>
    <w:rsid w:val="00305942"/>
    <w:rsid w:val="0030597B"/>
    <w:rsid w:val="00305D8A"/>
    <w:rsid w:val="00306707"/>
    <w:rsid w:val="0030758C"/>
    <w:rsid w:val="003076E7"/>
    <w:rsid w:val="00310361"/>
    <w:rsid w:val="0031164D"/>
    <w:rsid w:val="00311B81"/>
    <w:rsid w:val="00312FCB"/>
    <w:rsid w:val="003145EE"/>
    <w:rsid w:val="003148CC"/>
    <w:rsid w:val="00314F68"/>
    <w:rsid w:val="003158CB"/>
    <w:rsid w:val="00315946"/>
    <w:rsid w:val="00315B1E"/>
    <w:rsid w:val="00315BEF"/>
    <w:rsid w:val="00316080"/>
    <w:rsid w:val="0031637B"/>
    <w:rsid w:val="00316EB5"/>
    <w:rsid w:val="003172AA"/>
    <w:rsid w:val="003179B9"/>
    <w:rsid w:val="0032055E"/>
    <w:rsid w:val="0032079C"/>
    <w:rsid w:val="00321EAC"/>
    <w:rsid w:val="00322D53"/>
    <w:rsid w:val="00323B16"/>
    <w:rsid w:val="00323F77"/>
    <w:rsid w:val="00325C2D"/>
    <w:rsid w:val="003261D1"/>
    <w:rsid w:val="00326280"/>
    <w:rsid w:val="00330873"/>
    <w:rsid w:val="00330E17"/>
    <w:rsid w:val="003321B6"/>
    <w:rsid w:val="00332433"/>
    <w:rsid w:val="00332745"/>
    <w:rsid w:val="00332D3B"/>
    <w:rsid w:val="0033330B"/>
    <w:rsid w:val="003351AE"/>
    <w:rsid w:val="003357AC"/>
    <w:rsid w:val="003357E1"/>
    <w:rsid w:val="00337D3E"/>
    <w:rsid w:val="003400D0"/>
    <w:rsid w:val="00340BA8"/>
    <w:rsid w:val="00342FB8"/>
    <w:rsid w:val="00343BFE"/>
    <w:rsid w:val="003445AF"/>
    <w:rsid w:val="00344D95"/>
    <w:rsid w:val="00344FA1"/>
    <w:rsid w:val="00344FE7"/>
    <w:rsid w:val="00345A7D"/>
    <w:rsid w:val="00345F60"/>
    <w:rsid w:val="003468DC"/>
    <w:rsid w:val="00346C9C"/>
    <w:rsid w:val="00347B83"/>
    <w:rsid w:val="00350484"/>
    <w:rsid w:val="00350A7A"/>
    <w:rsid w:val="00350F9D"/>
    <w:rsid w:val="00351275"/>
    <w:rsid w:val="00351AD7"/>
    <w:rsid w:val="003528A3"/>
    <w:rsid w:val="00353408"/>
    <w:rsid w:val="00354113"/>
    <w:rsid w:val="003545FF"/>
    <w:rsid w:val="003548F9"/>
    <w:rsid w:val="00355243"/>
    <w:rsid w:val="0035568C"/>
    <w:rsid w:val="00355ABE"/>
    <w:rsid w:val="0035638A"/>
    <w:rsid w:val="003566DA"/>
    <w:rsid w:val="003570BC"/>
    <w:rsid w:val="00357ADB"/>
    <w:rsid w:val="003605B9"/>
    <w:rsid w:val="0036178B"/>
    <w:rsid w:val="00361993"/>
    <w:rsid w:val="00362122"/>
    <w:rsid w:val="00362589"/>
    <w:rsid w:val="003625BA"/>
    <w:rsid w:val="0036268B"/>
    <w:rsid w:val="0036397C"/>
    <w:rsid w:val="00363A10"/>
    <w:rsid w:val="00364706"/>
    <w:rsid w:val="00364A52"/>
    <w:rsid w:val="00365453"/>
    <w:rsid w:val="00365B62"/>
    <w:rsid w:val="00366ED9"/>
    <w:rsid w:val="003701E5"/>
    <w:rsid w:val="00370BBE"/>
    <w:rsid w:val="003717AC"/>
    <w:rsid w:val="00371F2F"/>
    <w:rsid w:val="00372DD2"/>
    <w:rsid w:val="00372E23"/>
    <w:rsid w:val="00373159"/>
    <w:rsid w:val="00373951"/>
    <w:rsid w:val="00373F97"/>
    <w:rsid w:val="00374216"/>
    <w:rsid w:val="0037567B"/>
    <w:rsid w:val="00376C5A"/>
    <w:rsid w:val="00377712"/>
    <w:rsid w:val="003777D0"/>
    <w:rsid w:val="00380351"/>
    <w:rsid w:val="003811F3"/>
    <w:rsid w:val="0038183B"/>
    <w:rsid w:val="00382C78"/>
    <w:rsid w:val="003830AA"/>
    <w:rsid w:val="00383385"/>
    <w:rsid w:val="003833B0"/>
    <w:rsid w:val="00383A04"/>
    <w:rsid w:val="00384A59"/>
    <w:rsid w:val="0038545D"/>
    <w:rsid w:val="0038622C"/>
    <w:rsid w:val="003869E8"/>
    <w:rsid w:val="00386D7B"/>
    <w:rsid w:val="00387B63"/>
    <w:rsid w:val="00390055"/>
    <w:rsid w:val="00390642"/>
    <w:rsid w:val="00390C28"/>
    <w:rsid w:val="00391288"/>
    <w:rsid w:val="00391EDD"/>
    <w:rsid w:val="00391F60"/>
    <w:rsid w:val="00392B22"/>
    <w:rsid w:val="00392ECA"/>
    <w:rsid w:val="003935B6"/>
    <w:rsid w:val="00393976"/>
    <w:rsid w:val="00393CE6"/>
    <w:rsid w:val="00394BA4"/>
    <w:rsid w:val="00395E5A"/>
    <w:rsid w:val="003963E6"/>
    <w:rsid w:val="003964BD"/>
    <w:rsid w:val="003966FD"/>
    <w:rsid w:val="0039742D"/>
    <w:rsid w:val="003A036B"/>
    <w:rsid w:val="003A0737"/>
    <w:rsid w:val="003A0C5F"/>
    <w:rsid w:val="003A18D1"/>
    <w:rsid w:val="003A3438"/>
    <w:rsid w:val="003A3A38"/>
    <w:rsid w:val="003A3A78"/>
    <w:rsid w:val="003A47B1"/>
    <w:rsid w:val="003A47C4"/>
    <w:rsid w:val="003A5367"/>
    <w:rsid w:val="003A58B6"/>
    <w:rsid w:val="003A59AE"/>
    <w:rsid w:val="003A69F3"/>
    <w:rsid w:val="003A72BF"/>
    <w:rsid w:val="003A7DB9"/>
    <w:rsid w:val="003B1C20"/>
    <w:rsid w:val="003B2055"/>
    <w:rsid w:val="003B2C13"/>
    <w:rsid w:val="003B2DAF"/>
    <w:rsid w:val="003B3434"/>
    <w:rsid w:val="003B4227"/>
    <w:rsid w:val="003B5368"/>
    <w:rsid w:val="003B64BB"/>
    <w:rsid w:val="003B654E"/>
    <w:rsid w:val="003B707E"/>
    <w:rsid w:val="003B7242"/>
    <w:rsid w:val="003B7505"/>
    <w:rsid w:val="003C07C0"/>
    <w:rsid w:val="003C0806"/>
    <w:rsid w:val="003C08B6"/>
    <w:rsid w:val="003C18DE"/>
    <w:rsid w:val="003C19A4"/>
    <w:rsid w:val="003C1B31"/>
    <w:rsid w:val="003C2A5F"/>
    <w:rsid w:val="003C2B1A"/>
    <w:rsid w:val="003C379A"/>
    <w:rsid w:val="003C39C6"/>
    <w:rsid w:val="003C3E7A"/>
    <w:rsid w:val="003C7446"/>
    <w:rsid w:val="003C7A2B"/>
    <w:rsid w:val="003D0C22"/>
    <w:rsid w:val="003D1480"/>
    <w:rsid w:val="003D27DB"/>
    <w:rsid w:val="003D434D"/>
    <w:rsid w:val="003D4619"/>
    <w:rsid w:val="003D585C"/>
    <w:rsid w:val="003D5E76"/>
    <w:rsid w:val="003D6522"/>
    <w:rsid w:val="003D6DD9"/>
    <w:rsid w:val="003D75EB"/>
    <w:rsid w:val="003E197D"/>
    <w:rsid w:val="003E1E1C"/>
    <w:rsid w:val="003E28DF"/>
    <w:rsid w:val="003E4B55"/>
    <w:rsid w:val="003E4F9E"/>
    <w:rsid w:val="003E6730"/>
    <w:rsid w:val="003E696D"/>
    <w:rsid w:val="003E7A38"/>
    <w:rsid w:val="003F03C5"/>
    <w:rsid w:val="003F0403"/>
    <w:rsid w:val="003F0765"/>
    <w:rsid w:val="003F1825"/>
    <w:rsid w:val="003F18E9"/>
    <w:rsid w:val="003F2582"/>
    <w:rsid w:val="003F300D"/>
    <w:rsid w:val="003F4993"/>
    <w:rsid w:val="003F52E6"/>
    <w:rsid w:val="003F5942"/>
    <w:rsid w:val="003F5B99"/>
    <w:rsid w:val="003F6188"/>
    <w:rsid w:val="003F6B01"/>
    <w:rsid w:val="00400075"/>
    <w:rsid w:val="00400E4E"/>
    <w:rsid w:val="004019FD"/>
    <w:rsid w:val="00401D66"/>
    <w:rsid w:val="0040272A"/>
    <w:rsid w:val="004028D0"/>
    <w:rsid w:val="00403DB9"/>
    <w:rsid w:val="00403E6A"/>
    <w:rsid w:val="004053B5"/>
    <w:rsid w:val="00405A40"/>
    <w:rsid w:val="0040615A"/>
    <w:rsid w:val="00406651"/>
    <w:rsid w:val="00411B2D"/>
    <w:rsid w:val="00411E29"/>
    <w:rsid w:val="004128E8"/>
    <w:rsid w:val="00412BED"/>
    <w:rsid w:val="00412FE6"/>
    <w:rsid w:val="00414973"/>
    <w:rsid w:val="00416072"/>
    <w:rsid w:val="0042033E"/>
    <w:rsid w:val="0042051B"/>
    <w:rsid w:val="00420C6F"/>
    <w:rsid w:val="004212B3"/>
    <w:rsid w:val="0042235B"/>
    <w:rsid w:val="00422510"/>
    <w:rsid w:val="004232CE"/>
    <w:rsid w:val="004234FE"/>
    <w:rsid w:val="00423BFB"/>
    <w:rsid w:val="00424E92"/>
    <w:rsid w:val="00426EF0"/>
    <w:rsid w:val="004270DC"/>
    <w:rsid w:val="0042748C"/>
    <w:rsid w:val="004333DE"/>
    <w:rsid w:val="00433CBF"/>
    <w:rsid w:val="00433FDB"/>
    <w:rsid w:val="00435099"/>
    <w:rsid w:val="004357AD"/>
    <w:rsid w:val="00435B25"/>
    <w:rsid w:val="004363DD"/>
    <w:rsid w:val="004423DD"/>
    <w:rsid w:val="00442543"/>
    <w:rsid w:val="00442700"/>
    <w:rsid w:val="004427B9"/>
    <w:rsid w:val="00442D10"/>
    <w:rsid w:val="00443D8A"/>
    <w:rsid w:val="0044435D"/>
    <w:rsid w:val="00444A98"/>
    <w:rsid w:val="0044527A"/>
    <w:rsid w:val="004454A2"/>
    <w:rsid w:val="00446562"/>
    <w:rsid w:val="004465C6"/>
    <w:rsid w:val="004469EB"/>
    <w:rsid w:val="00446B02"/>
    <w:rsid w:val="00446F24"/>
    <w:rsid w:val="00451442"/>
    <w:rsid w:val="00451465"/>
    <w:rsid w:val="0045148F"/>
    <w:rsid w:val="00453296"/>
    <w:rsid w:val="00453A84"/>
    <w:rsid w:val="00454377"/>
    <w:rsid w:val="00454EE8"/>
    <w:rsid w:val="004562BC"/>
    <w:rsid w:val="0045630C"/>
    <w:rsid w:val="004563ED"/>
    <w:rsid w:val="004564B0"/>
    <w:rsid w:val="00456755"/>
    <w:rsid w:val="004574CE"/>
    <w:rsid w:val="00460F92"/>
    <w:rsid w:val="00461447"/>
    <w:rsid w:val="004617FE"/>
    <w:rsid w:val="00461FC7"/>
    <w:rsid w:val="004633E3"/>
    <w:rsid w:val="00463DD3"/>
    <w:rsid w:val="0046560A"/>
    <w:rsid w:val="0046577E"/>
    <w:rsid w:val="00467DFD"/>
    <w:rsid w:val="00470D05"/>
    <w:rsid w:val="0047495E"/>
    <w:rsid w:val="004750F3"/>
    <w:rsid w:val="00475179"/>
    <w:rsid w:val="004762FC"/>
    <w:rsid w:val="00476391"/>
    <w:rsid w:val="00476879"/>
    <w:rsid w:val="00476A70"/>
    <w:rsid w:val="00476C0C"/>
    <w:rsid w:val="00477ADD"/>
    <w:rsid w:val="0048079B"/>
    <w:rsid w:val="00480EB9"/>
    <w:rsid w:val="004817D6"/>
    <w:rsid w:val="004817E5"/>
    <w:rsid w:val="00482A13"/>
    <w:rsid w:val="00482CDC"/>
    <w:rsid w:val="0048318A"/>
    <w:rsid w:val="004843D3"/>
    <w:rsid w:val="0048515A"/>
    <w:rsid w:val="00485896"/>
    <w:rsid w:val="00486006"/>
    <w:rsid w:val="004869B4"/>
    <w:rsid w:val="00490274"/>
    <w:rsid w:val="0049030F"/>
    <w:rsid w:val="00490F10"/>
    <w:rsid w:val="0049122A"/>
    <w:rsid w:val="004915D2"/>
    <w:rsid w:val="00491AFC"/>
    <w:rsid w:val="004923F9"/>
    <w:rsid w:val="00493C81"/>
    <w:rsid w:val="00494006"/>
    <w:rsid w:val="00494C0A"/>
    <w:rsid w:val="00496170"/>
    <w:rsid w:val="00497FDD"/>
    <w:rsid w:val="004A00AD"/>
    <w:rsid w:val="004A030B"/>
    <w:rsid w:val="004A0643"/>
    <w:rsid w:val="004A075D"/>
    <w:rsid w:val="004A0E00"/>
    <w:rsid w:val="004A32F9"/>
    <w:rsid w:val="004A3506"/>
    <w:rsid w:val="004A3D98"/>
    <w:rsid w:val="004A61D0"/>
    <w:rsid w:val="004A641E"/>
    <w:rsid w:val="004A7881"/>
    <w:rsid w:val="004A7D38"/>
    <w:rsid w:val="004B0157"/>
    <w:rsid w:val="004B0229"/>
    <w:rsid w:val="004B0CD0"/>
    <w:rsid w:val="004B15EA"/>
    <w:rsid w:val="004B1C28"/>
    <w:rsid w:val="004B1F33"/>
    <w:rsid w:val="004B437B"/>
    <w:rsid w:val="004B4EF5"/>
    <w:rsid w:val="004B52BC"/>
    <w:rsid w:val="004B55C3"/>
    <w:rsid w:val="004B5BBB"/>
    <w:rsid w:val="004B5BDC"/>
    <w:rsid w:val="004B6220"/>
    <w:rsid w:val="004B6252"/>
    <w:rsid w:val="004B641D"/>
    <w:rsid w:val="004C05D0"/>
    <w:rsid w:val="004C28E0"/>
    <w:rsid w:val="004C3042"/>
    <w:rsid w:val="004C3696"/>
    <w:rsid w:val="004C39AD"/>
    <w:rsid w:val="004C4EE9"/>
    <w:rsid w:val="004C5A6E"/>
    <w:rsid w:val="004C7C0B"/>
    <w:rsid w:val="004D0E40"/>
    <w:rsid w:val="004D1C1F"/>
    <w:rsid w:val="004D281E"/>
    <w:rsid w:val="004D5367"/>
    <w:rsid w:val="004D6749"/>
    <w:rsid w:val="004E0115"/>
    <w:rsid w:val="004E17FA"/>
    <w:rsid w:val="004E273D"/>
    <w:rsid w:val="004E318F"/>
    <w:rsid w:val="004E3B91"/>
    <w:rsid w:val="004E423F"/>
    <w:rsid w:val="004E479B"/>
    <w:rsid w:val="004E493C"/>
    <w:rsid w:val="004E4B63"/>
    <w:rsid w:val="004E5D79"/>
    <w:rsid w:val="004E61A6"/>
    <w:rsid w:val="004E644B"/>
    <w:rsid w:val="004E6615"/>
    <w:rsid w:val="004E6DDD"/>
    <w:rsid w:val="004E6FFC"/>
    <w:rsid w:val="004E73C7"/>
    <w:rsid w:val="004F1225"/>
    <w:rsid w:val="004F2157"/>
    <w:rsid w:val="004F2BF3"/>
    <w:rsid w:val="004F2CEB"/>
    <w:rsid w:val="004F2F26"/>
    <w:rsid w:val="004F2F7F"/>
    <w:rsid w:val="004F433F"/>
    <w:rsid w:val="004F4814"/>
    <w:rsid w:val="004F4904"/>
    <w:rsid w:val="004F5176"/>
    <w:rsid w:val="004F5FF9"/>
    <w:rsid w:val="004F6076"/>
    <w:rsid w:val="004F7F6A"/>
    <w:rsid w:val="00500640"/>
    <w:rsid w:val="0050066B"/>
    <w:rsid w:val="00500B55"/>
    <w:rsid w:val="00500D7D"/>
    <w:rsid w:val="00501C34"/>
    <w:rsid w:val="00504B6D"/>
    <w:rsid w:val="00505406"/>
    <w:rsid w:val="005065B6"/>
    <w:rsid w:val="005067AC"/>
    <w:rsid w:val="00506C5A"/>
    <w:rsid w:val="005071B7"/>
    <w:rsid w:val="00507998"/>
    <w:rsid w:val="005112DC"/>
    <w:rsid w:val="00511A9D"/>
    <w:rsid w:val="005125BB"/>
    <w:rsid w:val="00512953"/>
    <w:rsid w:val="00513182"/>
    <w:rsid w:val="00514890"/>
    <w:rsid w:val="0051584D"/>
    <w:rsid w:val="005162A3"/>
    <w:rsid w:val="00516ADC"/>
    <w:rsid w:val="00516B83"/>
    <w:rsid w:val="00517869"/>
    <w:rsid w:val="005201D2"/>
    <w:rsid w:val="005206C7"/>
    <w:rsid w:val="00521AD7"/>
    <w:rsid w:val="00521B20"/>
    <w:rsid w:val="005224DE"/>
    <w:rsid w:val="005243AC"/>
    <w:rsid w:val="00527263"/>
    <w:rsid w:val="00527C5B"/>
    <w:rsid w:val="005301C4"/>
    <w:rsid w:val="00532138"/>
    <w:rsid w:val="00534135"/>
    <w:rsid w:val="0053532A"/>
    <w:rsid w:val="00535544"/>
    <w:rsid w:val="005364CA"/>
    <w:rsid w:val="00536784"/>
    <w:rsid w:val="005404F1"/>
    <w:rsid w:val="00541C29"/>
    <w:rsid w:val="00541DF4"/>
    <w:rsid w:val="00541E35"/>
    <w:rsid w:val="005427B2"/>
    <w:rsid w:val="00542B66"/>
    <w:rsid w:val="00544901"/>
    <w:rsid w:val="00545035"/>
    <w:rsid w:val="00545533"/>
    <w:rsid w:val="00545A26"/>
    <w:rsid w:val="00546754"/>
    <w:rsid w:val="00546BF3"/>
    <w:rsid w:val="00547C91"/>
    <w:rsid w:val="00550776"/>
    <w:rsid w:val="00551442"/>
    <w:rsid w:val="00551589"/>
    <w:rsid w:val="00551E6F"/>
    <w:rsid w:val="00552BF6"/>
    <w:rsid w:val="00556004"/>
    <w:rsid w:val="0055618A"/>
    <w:rsid w:val="0055728B"/>
    <w:rsid w:val="00557A83"/>
    <w:rsid w:val="00557FDD"/>
    <w:rsid w:val="005641C4"/>
    <w:rsid w:val="005646F9"/>
    <w:rsid w:val="005650DB"/>
    <w:rsid w:val="005653F5"/>
    <w:rsid w:val="0056569D"/>
    <w:rsid w:val="00565E03"/>
    <w:rsid w:val="00566460"/>
    <w:rsid w:val="00566BEE"/>
    <w:rsid w:val="005679F5"/>
    <w:rsid w:val="0057075C"/>
    <w:rsid w:val="00571762"/>
    <w:rsid w:val="005721F8"/>
    <w:rsid w:val="0057295F"/>
    <w:rsid w:val="0057327B"/>
    <w:rsid w:val="005733CD"/>
    <w:rsid w:val="00573ACB"/>
    <w:rsid w:val="00573F91"/>
    <w:rsid w:val="005746B8"/>
    <w:rsid w:val="00574E1D"/>
    <w:rsid w:val="00576446"/>
    <w:rsid w:val="00576659"/>
    <w:rsid w:val="00580EC3"/>
    <w:rsid w:val="005819C8"/>
    <w:rsid w:val="00581E28"/>
    <w:rsid w:val="005836C7"/>
    <w:rsid w:val="005842C0"/>
    <w:rsid w:val="00585087"/>
    <w:rsid w:val="00585413"/>
    <w:rsid w:val="00585480"/>
    <w:rsid w:val="0058564D"/>
    <w:rsid w:val="00585718"/>
    <w:rsid w:val="00585E49"/>
    <w:rsid w:val="00586794"/>
    <w:rsid w:val="0058768A"/>
    <w:rsid w:val="00591064"/>
    <w:rsid w:val="00591152"/>
    <w:rsid w:val="00591A03"/>
    <w:rsid w:val="00591AF1"/>
    <w:rsid w:val="005924EB"/>
    <w:rsid w:val="00595655"/>
    <w:rsid w:val="005957E7"/>
    <w:rsid w:val="00596996"/>
    <w:rsid w:val="005971A3"/>
    <w:rsid w:val="005973BC"/>
    <w:rsid w:val="005A091C"/>
    <w:rsid w:val="005A2CBE"/>
    <w:rsid w:val="005A2D43"/>
    <w:rsid w:val="005A4618"/>
    <w:rsid w:val="005A50DF"/>
    <w:rsid w:val="005A5161"/>
    <w:rsid w:val="005A59A1"/>
    <w:rsid w:val="005A5FD3"/>
    <w:rsid w:val="005A6422"/>
    <w:rsid w:val="005A6F03"/>
    <w:rsid w:val="005A7951"/>
    <w:rsid w:val="005A7FDF"/>
    <w:rsid w:val="005B225F"/>
    <w:rsid w:val="005B2516"/>
    <w:rsid w:val="005B3E86"/>
    <w:rsid w:val="005B43E7"/>
    <w:rsid w:val="005B4EBE"/>
    <w:rsid w:val="005B55E8"/>
    <w:rsid w:val="005B676E"/>
    <w:rsid w:val="005B67D7"/>
    <w:rsid w:val="005B6F55"/>
    <w:rsid w:val="005B7140"/>
    <w:rsid w:val="005C0BCC"/>
    <w:rsid w:val="005C120E"/>
    <w:rsid w:val="005C16BF"/>
    <w:rsid w:val="005C1C66"/>
    <w:rsid w:val="005C1E39"/>
    <w:rsid w:val="005C2256"/>
    <w:rsid w:val="005C2779"/>
    <w:rsid w:val="005C36CF"/>
    <w:rsid w:val="005C391E"/>
    <w:rsid w:val="005C3C20"/>
    <w:rsid w:val="005C3F24"/>
    <w:rsid w:val="005C41B2"/>
    <w:rsid w:val="005C4657"/>
    <w:rsid w:val="005C50AF"/>
    <w:rsid w:val="005C5B81"/>
    <w:rsid w:val="005C5C4D"/>
    <w:rsid w:val="005C6C45"/>
    <w:rsid w:val="005C70C5"/>
    <w:rsid w:val="005C7536"/>
    <w:rsid w:val="005C796F"/>
    <w:rsid w:val="005D0730"/>
    <w:rsid w:val="005D0A98"/>
    <w:rsid w:val="005D0F02"/>
    <w:rsid w:val="005D14D7"/>
    <w:rsid w:val="005D197F"/>
    <w:rsid w:val="005D234A"/>
    <w:rsid w:val="005D2AE4"/>
    <w:rsid w:val="005D3203"/>
    <w:rsid w:val="005D35FD"/>
    <w:rsid w:val="005D3C6C"/>
    <w:rsid w:val="005D4465"/>
    <w:rsid w:val="005D571D"/>
    <w:rsid w:val="005D5CF6"/>
    <w:rsid w:val="005D5D02"/>
    <w:rsid w:val="005E0094"/>
    <w:rsid w:val="005E0213"/>
    <w:rsid w:val="005E04EA"/>
    <w:rsid w:val="005E0D7D"/>
    <w:rsid w:val="005E151B"/>
    <w:rsid w:val="005E1803"/>
    <w:rsid w:val="005E1E14"/>
    <w:rsid w:val="005E2282"/>
    <w:rsid w:val="005E3F55"/>
    <w:rsid w:val="005E4668"/>
    <w:rsid w:val="005E468B"/>
    <w:rsid w:val="005E4B7B"/>
    <w:rsid w:val="005E7208"/>
    <w:rsid w:val="005F044B"/>
    <w:rsid w:val="005F0ACE"/>
    <w:rsid w:val="005F126D"/>
    <w:rsid w:val="005F12F4"/>
    <w:rsid w:val="005F33BF"/>
    <w:rsid w:val="005F37EB"/>
    <w:rsid w:val="005F39A5"/>
    <w:rsid w:val="005F4096"/>
    <w:rsid w:val="005F458E"/>
    <w:rsid w:val="005F588D"/>
    <w:rsid w:val="005F6441"/>
    <w:rsid w:val="005F735B"/>
    <w:rsid w:val="005F7CE6"/>
    <w:rsid w:val="006008D6"/>
    <w:rsid w:val="006018E4"/>
    <w:rsid w:val="00602BED"/>
    <w:rsid w:val="00602D9E"/>
    <w:rsid w:val="00605971"/>
    <w:rsid w:val="00606287"/>
    <w:rsid w:val="006069F8"/>
    <w:rsid w:val="00607C4E"/>
    <w:rsid w:val="00610EA6"/>
    <w:rsid w:val="006119B6"/>
    <w:rsid w:val="00611C76"/>
    <w:rsid w:val="00613177"/>
    <w:rsid w:val="00613AF9"/>
    <w:rsid w:val="00615DA1"/>
    <w:rsid w:val="00615F67"/>
    <w:rsid w:val="006170D7"/>
    <w:rsid w:val="0061732F"/>
    <w:rsid w:val="00617829"/>
    <w:rsid w:val="0062029D"/>
    <w:rsid w:val="00620967"/>
    <w:rsid w:val="006214AB"/>
    <w:rsid w:val="0062257E"/>
    <w:rsid w:val="00622F28"/>
    <w:rsid w:val="0062313B"/>
    <w:rsid w:val="006249C7"/>
    <w:rsid w:val="006256AE"/>
    <w:rsid w:val="0062577E"/>
    <w:rsid w:val="00625BC2"/>
    <w:rsid w:val="00625CDE"/>
    <w:rsid w:val="00627360"/>
    <w:rsid w:val="00627E34"/>
    <w:rsid w:val="006309AA"/>
    <w:rsid w:val="0063133B"/>
    <w:rsid w:val="00633473"/>
    <w:rsid w:val="00633630"/>
    <w:rsid w:val="00633ABB"/>
    <w:rsid w:val="006342C7"/>
    <w:rsid w:val="0063464C"/>
    <w:rsid w:val="00634E6D"/>
    <w:rsid w:val="00635466"/>
    <w:rsid w:val="00635891"/>
    <w:rsid w:val="0063598E"/>
    <w:rsid w:val="0063626A"/>
    <w:rsid w:val="006368AE"/>
    <w:rsid w:val="00636D41"/>
    <w:rsid w:val="006379BD"/>
    <w:rsid w:val="00640384"/>
    <w:rsid w:val="00640D1A"/>
    <w:rsid w:val="00641739"/>
    <w:rsid w:val="00641E61"/>
    <w:rsid w:val="00642910"/>
    <w:rsid w:val="006435D1"/>
    <w:rsid w:val="0064403B"/>
    <w:rsid w:val="006440C6"/>
    <w:rsid w:val="0064682D"/>
    <w:rsid w:val="0064704A"/>
    <w:rsid w:val="006500EC"/>
    <w:rsid w:val="006505B5"/>
    <w:rsid w:val="00650B1E"/>
    <w:rsid w:val="00650FB7"/>
    <w:rsid w:val="00651085"/>
    <w:rsid w:val="0065148B"/>
    <w:rsid w:val="00651CE3"/>
    <w:rsid w:val="00652071"/>
    <w:rsid w:val="00653551"/>
    <w:rsid w:val="00653D30"/>
    <w:rsid w:val="00654164"/>
    <w:rsid w:val="006552F8"/>
    <w:rsid w:val="0065563B"/>
    <w:rsid w:val="0065566A"/>
    <w:rsid w:val="006562F2"/>
    <w:rsid w:val="0065668B"/>
    <w:rsid w:val="0066084D"/>
    <w:rsid w:val="00661C49"/>
    <w:rsid w:val="00662061"/>
    <w:rsid w:val="00662F39"/>
    <w:rsid w:val="0066362F"/>
    <w:rsid w:val="00663B24"/>
    <w:rsid w:val="006641B7"/>
    <w:rsid w:val="00665471"/>
    <w:rsid w:val="006654D2"/>
    <w:rsid w:val="00666A45"/>
    <w:rsid w:val="00666F45"/>
    <w:rsid w:val="006673D7"/>
    <w:rsid w:val="00667620"/>
    <w:rsid w:val="006677C6"/>
    <w:rsid w:val="0067008B"/>
    <w:rsid w:val="00670708"/>
    <w:rsid w:val="006722C6"/>
    <w:rsid w:val="00672769"/>
    <w:rsid w:val="00673846"/>
    <w:rsid w:val="00674162"/>
    <w:rsid w:val="0067428D"/>
    <w:rsid w:val="00675F4A"/>
    <w:rsid w:val="00677627"/>
    <w:rsid w:val="00680133"/>
    <w:rsid w:val="006805B3"/>
    <w:rsid w:val="00680DFD"/>
    <w:rsid w:val="006817A8"/>
    <w:rsid w:val="00684046"/>
    <w:rsid w:val="00684CF2"/>
    <w:rsid w:val="006854E9"/>
    <w:rsid w:val="00686EE0"/>
    <w:rsid w:val="0068771B"/>
    <w:rsid w:val="00692D7F"/>
    <w:rsid w:val="0069332F"/>
    <w:rsid w:val="0069445E"/>
    <w:rsid w:val="00694816"/>
    <w:rsid w:val="006953BD"/>
    <w:rsid w:val="006959F4"/>
    <w:rsid w:val="00695B9C"/>
    <w:rsid w:val="00696D4D"/>
    <w:rsid w:val="00697B33"/>
    <w:rsid w:val="006A0AE2"/>
    <w:rsid w:val="006A2F10"/>
    <w:rsid w:val="006A441B"/>
    <w:rsid w:val="006A4FF9"/>
    <w:rsid w:val="006A50DF"/>
    <w:rsid w:val="006A56D2"/>
    <w:rsid w:val="006A59A7"/>
    <w:rsid w:val="006A6027"/>
    <w:rsid w:val="006A77D0"/>
    <w:rsid w:val="006A7EC0"/>
    <w:rsid w:val="006B0248"/>
    <w:rsid w:val="006B2251"/>
    <w:rsid w:val="006B2722"/>
    <w:rsid w:val="006B44BC"/>
    <w:rsid w:val="006B4C9F"/>
    <w:rsid w:val="006B5106"/>
    <w:rsid w:val="006B63A6"/>
    <w:rsid w:val="006B71DD"/>
    <w:rsid w:val="006B738D"/>
    <w:rsid w:val="006C0ED4"/>
    <w:rsid w:val="006C2508"/>
    <w:rsid w:val="006C31A9"/>
    <w:rsid w:val="006C32AB"/>
    <w:rsid w:val="006C36A5"/>
    <w:rsid w:val="006C36E6"/>
    <w:rsid w:val="006C3D55"/>
    <w:rsid w:val="006C3EB9"/>
    <w:rsid w:val="006C4044"/>
    <w:rsid w:val="006C4321"/>
    <w:rsid w:val="006C4699"/>
    <w:rsid w:val="006C5224"/>
    <w:rsid w:val="006C6621"/>
    <w:rsid w:val="006C756C"/>
    <w:rsid w:val="006C7853"/>
    <w:rsid w:val="006C7A3D"/>
    <w:rsid w:val="006D0C54"/>
    <w:rsid w:val="006D0C7B"/>
    <w:rsid w:val="006D1D02"/>
    <w:rsid w:val="006D1E44"/>
    <w:rsid w:val="006D2B70"/>
    <w:rsid w:val="006D309D"/>
    <w:rsid w:val="006D3D1B"/>
    <w:rsid w:val="006D45AA"/>
    <w:rsid w:val="006D4A96"/>
    <w:rsid w:val="006D4E4D"/>
    <w:rsid w:val="006D5CD4"/>
    <w:rsid w:val="006D5F06"/>
    <w:rsid w:val="006D65E0"/>
    <w:rsid w:val="006D671A"/>
    <w:rsid w:val="006D7D81"/>
    <w:rsid w:val="006E020E"/>
    <w:rsid w:val="006E05ED"/>
    <w:rsid w:val="006E0B73"/>
    <w:rsid w:val="006E18CA"/>
    <w:rsid w:val="006E1AD2"/>
    <w:rsid w:val="006E2C78"/>
    <w:rsid w:val="006E3B2D"/>
    <w:rsid w:val="006E3F5A"/>
    <w:rsid w:val="006E4DEA"/>
    <w:rsid w:val="006E4EED"/>
    <w:rsid w:val="006E67AD"/>
    <w:rsid w:val="006E69AF"/>
    <w:rsid w:val="006E6D6D"/>
    <w:rsid w:val="006E75DE"/>
    <w:rsid w:val="006E7607"/>
    <w:rsid w:val="006F0173"/>
    <w:rsid w:val="006F092D"/>
    <w:rsid w:val="006F0C1A"/>
    <w:rsid w:val="006F300F"/>
    <w:rsid w:val="006F38D0"/>
    <w:rsid w:val="006F3DF9"/>
    <w:rsid w:val="006F42B5"/>
    <w:rsid w:val="006F45A0"/>
    <w:rsid w:val="006F5B85"/>
    <w:rsid w:val="0070116A"/>
    <w:rsid w:val="00701C42"/>
    <w:rsid w:val="00702904"/>
    <w:rsid w:val="0070297F"/>
    <w:rsid w:val="00702AC0"/>
    <w:rsid w:val="00702AE0"/>
    <w:rsid w:val="007046BA"/>
    <w:rsid w:val="00704B3D"/>
    <w:rsid w:val="00704C17"/>
    <w:rsid w:val="00707A18"/>
    <w:rsid w:val="00711FB7"/>
    <w:rsid w:val="007127FD"/>
    <w:rsid w:val="00712AB8"/>
    <w:rsid w:val="00713B44"/>
    <w:rsid w:val="00713DBB"/>
    <w:rsid w:val="0071473C"/>
    <w:rsid w:val="0071558F"/>
    <w:rsid w:val="0071636C"/>
    <w:rsid w:val="007164EB"/>
    <w:rsid w:val="007174DA"/>
    <w:rsid w:val="00720F6A"/>
    <w:rsid w:val="00721175"/>
    <w:rsid w:val="00721791"/>
    <w:rsid w:val="00722C2F"/>
    <w:rsid w:val="00724579"/>
    <w:rsid w:val="007245E0"/>
    <w:rsid w:val="0072466C"/>
    <w:rsid w:val="00725ED2"/>
    <w:rsid w:val="00725F3D"/>
    <w:rsid w:val="007272E2"/>
    <w:rsid w:val="00727D26"/>
    <w:rsid w:val="00730535"/>
    <w:rsid w:val="00731EAF"/>
    <w:rsid w:val="00732CE2"/>
    <w:rsid w:val="0073341A"/>
    <w:rsid w:val="00734289"/>
    <w:rsid w:val="0073564F"/>
    <w:rsid w:val="007359F6"/>
    <w:rsid w:val="0074319D"/>
    <w:rsid w:val="00744804"/>
    <w:rsid w:val="00744D7D"/>
    <w:rsid w:val="007455E7"/>
    <w:rsid w:val="00745656"/>
    <w:rsid w:val="0074574B"/>
    <w:rsid w:val="00745F71"/>
    <w:rsid w:val="00746727"/>
    <w:rsid w:val="00746B82"/>
    <w:rsid w:val="00747088"/>
    <w:rsid w:val="00751A2A"/>
    <w:rsid w:val="00752D10"/>
    <w:rsid w:val="00753286"/>
    <w:rsid w:val="007533C9"/>
    <w:rsid w:val="007535ED"/>
    <w:rsid w:val="0075406E"/>
    <w:rsid w:val="00755084"/>
    <w:rsid w:val="00755C35"/>
    <w:rsid w:val="00756702"/>
    <w:rsid w:val="00757BE3"/>
    <w:rsid w:val="00760051"/>
    <w:rsid w:val="007624F6"/>
    <w:rsid w:val="00762A86"/>
    <w:rsid w:val="00762EA3"/>
    <w:rsid w:val="00762FD1"/>
    <w:rsid w:val="007630DB"/>
    <w:rsid w:val="0076330D"/>
    <w:rsid w:val="007637F6"/>
    <w:rsid w:val="007645BA"/>
    <w:rsid w:val="00764E71"/>
    <w:rsid w:val="00765A76"/>
    <w:rsid w:val="00765F10"/>
    <w:rsid w:val="00770DAB"/>
    <w:rsid w:val="00772859"/>
    <w:rsid w:val="007728A3"/>
    <w:rsid w:val="00773E0B"/>
    <w:rsid w:val="007763A5"/>
    <w:rsid w:val="007763CB"/>
    <w:rsid w:val="00776630"/>
    <w:rsid w:val="007802BA"/>
    <w:rsid w:val="007804A7"/>
    <w:rsid w:val="00782223"/>
    <w:rsid w:val="007825B7"/>
    <w:rsid w:val="0078323D"/>
    <w:rsid w:val="00784DFB"/>
    <w:rsid w:val="00785DE9"/>
    <w:rsid w:val="0078672F"/>
    <w:rsid w:val="007874F3"/>
    <w:rsid w:val="007875A6"/>
    <w:rsid w:val="007908F6"/>
    <w:rsid w:val="00791836"/>
    <w:rsid w:val="00791E99"/>
    <w:rsid w:val="00793A51"/>
    <w:rsid w:val="007954D9"/>
    <w:rsid w:val="00796AF2"/>
    <w:rsid w:val="00796D0B"/>
    <w:rsid w:val="00796ECC"/>
    <w:rsid w:val="00797213"/>
    <w:rsid w:val="0079772D"/>
    <w:rsid w:val="007A08F2"/>
    <w:rsid w:val="007A0CDE"/>
    <w:rsid w:val="007A2BF3"/>
    <w:rsid w:val="007A4014"/>
    <w:rsid w:val="007A4C77"/>
    <w:rsid w:val="007A4C94"/>
    <w:rsid w:val="007A4CAB"/>
    <w:rsid w:val="007A582F"/>
    <w:rsid w:val="007A66EC"/>
    <w:rsid w:val="007A7952"/>
    <w:rsid w:val="007B015A"/>
    <w:rsid w:val="007B0628"/>
    <w:rsid w:val="007B0BDB"/>
    <w:rsid w:val="007B3213"/>
    <w:rsid w:val="007B33DF"/>
    <w:rsid w:val="007B3526"/>
    <w:rsid w:val="007B3EE2"/>
    <w:rsid w:val="007B64E1"/>
    <w:rsid w:val="007C06D2"/>
    <w:rsid w:val="007C0E00"/>
    <w:rsid w:val="007C0E2A"/>
    <w:rsid w:val="007C1632"/>
    <w:rsid w:val="007C2D99"/>
    <w:rsid w:val="007C33E3"/>
    <w:rsid w:val="007C36EF"/>
    <w:rsid w:val="007C4CEC"/>
    <w:rsid w:val="007C5AA8"/>
    <w:rsid w:val="007C67AA"/>
    <w:rsid w:val="007C6BDE"/>
    <w:rsid w:val="007D0678"/>
    <w:rsid w:val="007D093B"/>
    <w:rsid w:val="007D0EA8"/>
    <w:rsid w:val="007D1C2C"/>
    <w:rsid w:val="007D1D03"/>
    <w:rsid w:val="007D4055"/>
    <w:rsid w:val="007D535F"/>
    <w:rsid w:val="007D6190"/>
    <w:rsid w:val="007D66FD"/>
    <w:rsid w:val="007D69CC"/>
    <w:rsid w:val="007D73B6"/>
    <w:rsid w:val="007E2DD0"/>
    <w:rsid w:val="007E354D"/>
    <w:rsid w:val="007E3C60"/>
    <w:rsid w:val="007E4147"/>
    <w:rsid w:val="007E54AE"/>
    <w:rsid w:val="007E54E2"/>
    <w:rsid w:val="007E6AB9"/>
    <w:rsid w:val="007E7634"/>
    <w:rsid w:val="007F018F"/>
    <w:rsid w:val="007F0FDD"/>
    <w:rsid w:val="007F14EC"/>
    <w:rsid w:val="007F22B5"/>
    <w:rsid w:val="007F3DD7"/>
    <w:rsid w:val="007F6269"/>
    <w:rsid w:val="007F7A0A"/>
    <w:rsid w:val="007F7F0D"/>
    <w:rsid w:val="00800032"/>
    <w:rsid w:val="008005D6"/>
    <w:rsid w:val="00800DBF"/>
    <w:rsid w:val="00800E25"/>
    <w:rsid w:val="00801634"/>
    <w:rsid w:val="00802DFE"/>
    <w:rsid w:val="0080397B"/>
    <w:rsid w:val="0080537B"/>
    <w:rsid w:val="00805BE5"/>
    <w:rsid w:val="00805EC9"/>
    <w:rsid w:val="00806CC6"/>
    <w:rsid w:val="0080785A"/>
    <w:rsid w:val="008078E9"/>
    <w:rsid w:val="00807F1C"/>
    <w:rsid w:val="00810598"/>
    <w:rsid w:val="0081151E"/>
    <w:rsid w:val="00811D35"/>
    <w:rsid w:val="00811FDB"/>
    <w:rsid w:val="008131CD"/>
    <w:rsid w:val="00813613"/>
    <w:rsid w:val="008139B9"/>
    <w:rsid w:val="00813BB5"/>
    <w:rsid w:val="00815C9B"/>
    <w:rsid w:val="008166E7"/>
    <w:rsid w:val="0081791C"/>
    <w:rsid w:val="00820312"/>
    <w:rsid w:val="00821273"/>
    <w:rsid w:val="008219CF"/>
    <w:rsid w:val="00822F95"/>
    <w:rsid w:val="0082369C"/>
    <w:rsid w:val="008237E1"/>
    <w:rsid w:val="0082420A"/>
    <w:rsid w:val="00825C87"/>
    <w:rsid w:val="0082698B"/>
    <w:rsid w:val="00826DC4"/>
    <w:rsid w:val="008321F0"/>
    <w:rsid w:val="0083271E"/>
    <w:rsid w:val="00834062"/>
    <w:rsid w:val="008347F2"/>
    <w:rsid w:val="00834F5E"/>
    <w:rsid w:val="008354AD"/>
    <w:rsid w:val="00837104"/>
    <w:rsid w:val="00837418"/>
    <w:rsid w:val="00837A4F"/>
    <w:rsid w:val="00840E8F"/>
    <w:rsid w:val="0084100F"/>
    <w:rsid w:val="008415DF"/>
    <w:rsid w:val="0084456C"/>
    <w:rsid w:val="008447B3"/>
    <w:rsid w:val="00845AE3"/>
    <w:rsid w:val="0084699B"/>
    <w:rsid w:val="00846A02"/>
    <w:rsid w:val="0084736B"/>
    <w:rsid w:val="00847943"/>
    <w:rsid w:val="00856008"/>
    <w:rsid w:val="008570DD"/>
    <w:rsid w:val="0085728F"/>
    <w:rsid w:val="00857E80"/>
    <w:rsid w:val="00857EE2"/>
    <w:rsid w:val="00860687"/>
    <w:rsid w:val="00860AE2"/>
    <w:rsid w:val="00861084"/>
    <w:rsid w:val="00862787"/>
    <w:rsid w:val="00862FD3"/>
    <w:rsid w:val="00863711"/>
    <w:rsid w:val="00864673"/>
    <w:rsid w:val="00865B81"/>
    <w:rsid w:val="00866E0C"/>
    <w:rsid w:val="00867346"/>
    <w:rsid w:val="00871190"/>
    <w:rsid w:val="00873231"/>
    <w:rsid w:val="008732E7"/>
    <w:rsid w:val="008743F4"/>
    <w:rsid w:val="00876191"/>
    <w:rsid w:val="00876227"/>
    <w:rsid w:val="00876D60"/>
    <w:rsid w:val="008779A5"/>
    <w:rsid w:val="00877B58"/>
    <w:rsid w:val="00877C16"/>
    <w:rsid w:val="0088014C"/>
    <w:rsid w:val="00880245"/>
    <w:rsid w:val="0088166F"/>
    <w:rsid w:val="0088189C"/>
    <w:rsid w:val="00881B79"/>
    <w:rsid w:val="00883867"/>
    <w:rsid w:val="008847A9"/>
    <w:rsid w:val="00887052"/>
    <w:rsid w:val="00887CF6"/>
    <w:rsid w:val="008900AC"/>
    <w:rsid w:val="0089012B"/>
    <w:rsid w:val="00891C3C"/>
    <w:rsid w:val="0089203E"/>
    <w:rsid w:val="008923C6"/>
    <w:rsid w:val="00892466"/>
    <w:rsid w:val="00893500"/>
    <w:rsid w:val="00894281"/>
    <w:rsid w:val="0089439E"/>
    <w:rsid w:val="008945CE"/>
    <w:rsid w:val="008948AA"/>
    <w:rsid w:val="00896BE7"/>
    <w:rsid w:val="00897CEB"/>
    <w:rsid w:val="00897F56"/>
    <w:rsid w:val="008A0606"/>
    <w:rsid w:val="008A1B45"/>
    <w:rsid w:val="008A21D6"/>
    <w:rsid w:val="008A3766"/>
    <w:rsid w:val="008A44B0"/>
    <w:rsid w:val="008A543A"/>
    <w:rsid w:val="008A7745"/>
    <w:rsid w:val="008B03BF"/>
    <w:rsid w:val="008B04D2"/>
    <w:rsid w:val="008B0F05"/>
    <w:rsid w:val="008B1334"/>
    <w:rsid w:val="008B13EF"/>
    <w:rsid w:val="008B2445"/>
    <w:rsid w:val="008B2F71"/>
    <w:rsid w:val="008B35AA"/>
    <w:rsid w:val="008B566B"/>
    <w:rsid w:val="008B56AC"/>
    <w:rsid w:val="008B618F"/>
    <w:rsid w:val="008B65F4"/>
    <w:rsid w:val="008B6D22"/>
    <w:rsid w:val="008B7E93"/>
    <w:rsid w:val="008C10A5"/>
    <w:rsid w:val="008C2941"/>
    <w:rsid w:val="008C3A85"/>
    <w:rsid w:val="008C4A21"/>
    <w:rsid w:val="008C7043"/>
    <w:rsid w:val="008D0797"/>
    <w:rsid w:val="008D1E0F"/>
    <w:rsid w:val="008D1F92"/>
    <w:rsid w:val="008D30A6"/>
    <w:rsid w:val="008D44C5"/>
    <w:rsid w:val="008D49C7"/>
    <w:rsid w:val="008D52CD"/>
    <w:rsid w:val="008D56DA"/>
    <w:rsid w:val="008D7DC7"/>
    <w:rsid w:val="008D7E85"/>
    <w:rsid w:val="008E107C"/>
    <w:rsid w:val="008E1800"/>
    <w:rsid w:val="008E19FF"/>
    <w:rsid w:val="008E2B41"/>
    <w:rsid w:val="008E310C"/>
    <w:rsid w:val="008E38C9"/>
    <w:rsid w:val="008E4073"/>
    <w:rsid w:val="008E53FF"/>
    <w:rsid w:val="008E7654"/>
    <w:rsid w:val="008E7D3F"/>
    <w:rsid w:val="008F04BB"/>
    <w:rsid w:val="008F0833"/>
    <w:rsid w:val="008F09E3"/>
    <w:rsid w:val="008F0CA1"/>
    <w:rsid w:val="008F10BC"/>
    <w:rsid w:val="008F249D"/>
    <w:rsid w:val="008F2E62"/>
    <w:rsid w:val="008F3237"/>
    <w:rsid w:val="008F3D80"/>
    <w:rsid w:val="008F4F69"/>
    <w:rsid w:val="008F51B4"/>
    <w:rsid w:val="008F5233"/>
    <w:rsid w:val="008F5328"/>
    <w:rsid w:val="008F54F8"/>
    <w:rsid w:val="008F7B9A"/>
    <w:rsid w:val="008F7E57"/>
    <w:rsid w:val="008F7FD4"/>
    <w:rsid w:val="00900137"/>
    <w:rsid w:val="009011AA"/>
    <w:rsid w:val="00901299"/>
    <w:rsid w:val="00901954"/>
    <w:rsid w:val="00902472"/>
    <w:rsid w:val="009030AC"/>
    <w:rsid w:val="00903145"/>
    <w:rsid w:val="00903448"/>
    <w:rsid w:val="00903C93"/>
    <w:rsid w:val="00906CC3"/>
    <w:rsid w:val="00907C6F"/>
    <w:rsid w:val="00910135"/>
    <w:rsid w:val="009121BA"/>
    <w:rsid w:val="00914CE7"/>
    <w:rsid w:val="00916393"/>
    <w:rsid w:val="00917D56"/>
    <w:rsid w:val="00922D1D"/>
    <w:rsid w:val="00923550"/>
    <w:rsid w:val="00924412"/>
    <w:rsid w:val="009244FE"/>
    <w:rsid w:val="00924510"/>
    <w:rsid w:val="009252D9"/>
    <w:rsid w:val="009269CF"/>
    <w:rsid w:val="00927189"/>
    <w:rsid w:val="009276B2"/>
    <w:rsid w:val="00927B94"/>
    <w:rsid w:val="009315B1"/>
    <w:rsid w:val="0093162F"/>
    <w:rsid w:val="00931C9D"/>
    <w:rsid w:val="00932C93"/>
    <w:rsid w:val="0093349F"/>
    <w:rsid w:val="00933A00"/>
    <w:rsid w:val="00933BFD"/>
    <w:rsid w:val="0093443E"/>
    <w:rsid w:val="009347CF"/>
    <w:rsid w:val="00937061"/>
    <w:rsid w:val="00937352"/>
    <w:rsid w:val="00937E12"/>
    <w:rsid w:val="00940AC0"/>
    <w:rsid w:val="009413C3"/>
    <w:rsid w:val="00941691"/>
    <w:rsid w:val="00941906"/>
    <w:rsid w:val="00941BB2"/>
    <w:rsid w:val="00942AED"/>
    <w:rsid w:val="00943254"/>
    <w:rsid w:val="00943AE6"/>
    <w:rsid w:val="00944E10"/>
    <w:rsid w:val="00944E25"/>
    <w:rsid w:val="00944E74"/>
    <w:rsid w:val="00945653"/>
    <w:rsid w:val="00946F2C"/>
    <w:rsid w:val="0094763C"/>
    <w:rsid w:val="00950D04"/>
    <w:rsid w:val="0095108F"/>
    <w:rsid w:val="009511D7"/>
    <w:rsid w:val="00951427"/>
    <w:rsid w:val="009515D1"/>
    <w:rsid w:val="00951D12"/>
    <w:rsid w:val="009529D0"/>
    <w:rsid w:val="00952A44"/>
    <w:rsid w:val="00953F15"/>
    <w:rsid w:val="00954007"/>
    <w:rsid w:val="009574FE"/>
    <w:rsid w:val="009604EF"/>
    <w:rsid w:val="0096279A"/>
    <w:rsid w:val="00962B21"/>
    <w:rsid w:val="00963DD1"/>
    <w:rsid w:val="009642AB"/>
    <w:rsid w:val="00964984"/>
    <w:rsid w:val="00964BA2"/>
    <w:rsid w:val="0096542E"/>
    <w:rsid w:val="00965672"/>
    <w:rsid w:val="009672BF"/>
    <w:rsid w:val="00967496"/>
    <w:rsid w:val="0097074D"/>
    <w:rsid w:val="00970ABB"/>
    <w:rsid w:val="00970F68"/>
    <w:rsid w:val="0097104A"/>
    <w:rsid w:val="00971476"/>
    <w:rsid w:val="00971A2F"/>
    <w:rsid w:val="0097426A"/>
    <w:rsid w:val="00974417"/>
    <w:rsid w:val="009744DE"/>
    <w:rsid w:val="00974AC2"/>
    <w:rsid w:val="00975749"/>
    <w:rsid w:val="00975B43"/>
    <w:rsid w:val="00975DBF"/>
    <w:rsid w:val="0097658A"/>
    <w:rsid w:val="009803D8"/>
    <w:rsid w:val="009828E8"/>
    <w:rsid w:val="00982BCB"/>
    <w:rsid w:val="009832DC"/>
    <w:rsid w:val="0098368E"/>
    <w:rsid w:val="0098511F"/>
    <w:rsid w:val="009858DF"/>
    <w:rsid w:val="0098666C"/>
    <w:rsid w:val="00992ED5"/>
    <w:rsid w:val="00993768"/>
    <w:rsid w:val="00993F03"/>
    <w:rsid w:val="0099435F"/>
    <w:rsid w:val="00995A03"/>
    <w:rsid w:val="00995A42"/>
    <w:rsid w:val="00995B10"/>
    <w:rsid w:val="0099632E"/>
    <w:rsid w:val="009965CD"/>
    <w:rsid w:val="00996BC5"/>
    <w:rsid w:val="00997601"/>
    <w:rsid w:val="009A0C54"/>
    <w:rsid w:val="009A0CC9"/>
    <w:rsid w:val="009A0D74"/>
    <w:rsid w:val="009A111B"/>
    <w:rsid w:val="009A18FD"/>
    <w:rsid w:val="009A27D6"/>
    <w:rsid w:val="009A2EBA"/>
    <w:rsid w:val="009A45DF"/>
    <w:rsid w:val="009A4845"/>
    <w:rsid w:val="009A4B1B"/>
    <w:rsid w:val="009A4E82"/>
    <w:rsid w:val="009A6D34"/>
    <w:rsid w:val="009A710F"/>
    <w:rsid w:val="009A7964"/>
    <w:rsid w:val="009A7C9B"/>
    <w:rsid w:val="009A7D1C"/>
    <w:rsid w:val="009B029D"/>
    <w:rsid w:val="009B10B8"/>
    <w:rsid w:val="009B2ADD"/>
    <w:rsid w:val="009B4816"/>
    <w:rsid w:val="009B777D"/>
    <w:rsid w:val="009C08E9"/>
    <w:rsid w:val="009C1BA8"/>
    <w:rsid w:val="009C28BA"/>
    <w:rsid w:val="009C2B2B"/>
    <w:rsid w:val="009C2D0D"/>
    <w:rsid w:val="009C33C5"/>
    <w:rsid w:val="009C342F"/>
    <w:rsid w:val="009C3492"/>
    <w:rsid w:val="009C3AAA"/>
    <w:rsid w:val="009C3D76"/>
    <w:rsid w:val="009C4038"/>
    <w:rsid w:val="009C437F"/>
    <w:rsid w:val="009C4901"/>
    <w:rsid w:val="009C49C6"/>
    <w:rsid w:val="009C58E1"/>
    <w:rsid w:val="009C5AA4"/>
    <w:rsid w:val="009C6A5B"/>
    <w:rsid w:val="009C6C03"/>
    <w:rsid w:val="009C7061"/>
    <w:rsid w:val="009C75EA"/>
    <w:rsid w:val="009C7F88"/>
    <w:rsid w:val="009D01F0"/>
    <w:rsid w:val="009D02D4"/>
    <w:rsid w:val="009D1200"/>
    <w:rsid w:val="009D1B9A"/>
    <w:rsid w:val="009D26A9"/>
    <w:rsid w:val="009D4F79"/>
    <w:rsid w:val="009D5B79"/>
    <w:rsid w:val="009D60E3"/>
    <w:rsid w:val="009D6821"/>
    <w:rsid w:val="009D6FE8"/>
    <w:rsid w:val="009D7290"/>
    <w:rsid w:val="009D7870"/>
    <w:rsid w:val="009D7B0F"/>
    <w:rsid w:val="009E037C"/>
    <w:rsid w:val="009E058A"/>
    <w:rsid w:val="009E06E1"/>
    <w:rsid w:val="009E0D67"/>
    <w:rsid w:val="009E11AA"/>
    <w:rsid w:val="009E14ED"/>
    <w:rsid w:val="009E1509"/>
    <w:rsid w:val="009E15EE"/>
    <w:rsid w:val="009E1F3C"/>
    <w:rsid w:val="009E3105"/>
    <w:rsid w:val="009E3DC4"/>
    <w:rsid w:val="009E4356"/>
    <w:rsid w:val="009E4985"/>
    <w:rsid w:val="009E4CC9"/>
    <w:rsid w:val="009E5DCB"/>
    <w:rsid w:val="009E6AAD"/>
    <w:rsid w:val="009E7100"/>
    <w:rsid w:val="009E7FDC"/>
    <w:rsid w:val="009F017A"/>
    <w:rsid w:val="009F0814"/>
    <w:rsid w:val="009F16C5"/>
    <w:rsid w:val="009F1BAD"/>
    <w:rsid w:val="009F20DE"/>
    <w:rsid w:val="009F234A"/>
    <w:rsid w:val="009F2C85"/>
    <w:rsid w:val="009F3E11"/>
    <w:rsid w:val="009F41F9"/>
    <w:rsid w:val="009F4C5F"/>
    <w:rsid w:val="009F4DF6"/>
    <w:rsid w:val="009F54F5"/>
    <w:rsid w:val="009F5BC7"/>
    <w:rsid w:val="009F6AAC"/>
    <w:rsid w:val="009F6AEF"/>
    <w:rsid w:val="009F6AF8"/>
    <w:rsid w:val="009F6E78"/>
    <w:rsid w:val="009F7C7E"/>
    <w:rsid w:val="009F7C92"/>
    <w:rsid w:val="00A002DA"/>
    <w:rsid w:val="00A006DA"/>
    <w:rsid w:val="00A00F51"/>
    <w:rsid w:val="00A0107F"/>
    <w:rsid w:val="00A01148"/>
    <w:rsid w:val="00A022AB"/>
    <w:rsid w:val="00A02D3E"/>
    <w:rsid w:val="00A03007"/>
    <w:rsid w:val="00A03507"/>
    <w:rsid w:val="00A0420A"/>
    <w:rsid w:val="00A04BC7"/>
    <w:rsid w:val="00A05660"/>
    <w:rsid w:val="00A06244"/>
    <w:rsid w:val="00A077EB"/>
    <w:rsid w:val="00A1137D"/>
    <w:rsid w:val="00A11636"/>
    <w:rsid w:val="00A11BCF"/>
    <w:rsid w:val="00A11FE5"/>
    <w:rsid w:val="00A12055"/>
    <w:rsid w:val="00A1237B"/>
    <w:rsid w:val="00A12918"/>
    <w:rsid w:val="00A12AA2"/>
    <w:rsid w:val="00A1442E"/>
    <w:rsid w:val="00A14703"/>
    <w:rsid w:val="00A14709"/>
    <w:rsid w:val="00A14C25"/>
    <w:rsid w:val="00A14FE0"/>
    <w:rsid w:val="00A1518A"/>
    <w:rsid w:val="00A15296"/>
    <w:rsid w:val="00A1748B"/>
    <w:rsid w:val="00A17548"/>
    <w:rsid w:val="00A17F31"/>
    <w:rsid w:val="00A20461"/>
    <w:rsid w:val="00A21116"/>
    <w:rsid w:val="00A221E3"/>
    <w:rsid w:val="00A22507"/>
    <w:rsid w:val="00A22C0C"/>
    <w:rsid w:val="00A232CD"/>
    <w:rsid w:val="00A23CAD"/>
    <w:rsid w:val="00A240FB"/>
    <w:rsid w:val="00A24B90"/>
    <w:rsid w:val="00A25766"/>
    <w:rsid w:val="00A2693F"/>
    <w:rsid w:val="00A270BA"/>
    <w:rsid w:val="00A309E8"/>
    <w:rsid w:val="00A30A22"/>
    <w:rsid w:val="00A30E8A"/>
    <w:rsid w:val="00A31DC5"/>
    <w:rsid w:val="00A3409F"/>
    <w:rsid w:val="00A34753"/>
    <w:rsid w:val="00A35628"/>
    <w:rsid w:val="00A35903"/>
    <w:rsid w:val="00A35E16"/>
    <w:rsid w:val="00A3616E"/>
    <w:rsid w:val="00A36710"/>
    <w:rsid w:val="00A37499"/>
    <w:rsid w:val="00A40C81"/>
    <w:rsid w:val="00A40EC5"/>
    <w:rsid w:val="00A41412"/>
    <w:rsid w:val="00A41980"/>
    <w:rsid w:val="00A42AD9"/>
    <w:rsid w:val="00A436CD"/>
    <w:rsid w:val="00A437E9"/>
    <w:rsid w:val="00A45C23"/>
    <w:rsid w:val="00A46331"/>
    <w:rsid w:val="00A46C63"/>
    <w:rsid w:val="00A4700D"/>
    <w:rsid w:val="00A502F5"/>
    <w:rsid w:val="00A50BE2"/>
    <w:rsid w:val="00A5180B"/>
    <w:rsid w:val="00A51A4A"/>
    <w:rsid w:val="00A51F32"/>
    <w:rsid w:val="00A52396"/>
    <w:rsid w:val="00A52956"/>
    <w:rsid w:val="00A53429"/>
    <w:rsid w:val="00A53D10"/>
    <w:rsid w:val="00A53D1D"/>
    <w:rsid w:val="00A53DEA"/>
    <w:rsid w:val="00A55E36"/>
    <w:rsid w:val="00A572A0"/>
    <w:rsid w:val="00A57DCE"/>
    <w:rsid w:val="00A600AF"/>
    <w:rsid w:val="00A611D6"/>
    <w:rsid w:val="00A61FAB"/>
    <w:rsid w:val="00A6265D"/>
    <w:rsid w:val="00A63BDA"/>
    <w:rsid w:val="00A6457C"/>
    <w:rsid w:val="00A6608F"/>
    <w:rsid w:val="00A6611D"/>
    <w:rsid w:val="00A67228"/>
    <w:rsid w:val="00A67AA8"/>
    <w:rsid w:val="00A73015"/>
    <w:rsid w:val="00A7403A"/>
    <w:rsid w:val="00A742BC"/>
    <w:rsid w:val="00A76699"/>
    <w:rsid w:val="00A76C6A"/>
    <w:rsid w:val="00A77CB3"/>
    <w:rsid w:val="00A8008B"/>
    <w:rsid w:val="00A8176C"/>
    <w:rsid w:val="00A87012"/>
    <w:rsid w:val="00A8739C"/>
    <w:rsid w:val="00A8757B"/>
    <w:rsid w:val="00A90A6C"/>
    <w:rsid w:val="00A92044"/>
    <w:rsid w:val="00A92536"/>
    <w:rsid w:val="00A92841"/>
    <w:rsid w:val="00A92AEA"/>
    <w:rsid w:val="00A92B0C"/>
    <w:rsid w:val="00A932C1"/>
    <w:rsid w:val="00A934FD"/>
    <w:rsid w:val="00A937D7"/>
    <w:rsid w:val="00A94029"/>
    <w:rsid w:val="00A9439C"/>
    <w:rsid w:val="00A96650"/>
    <w:rsid w:val="00A96BC3"/>
    <w:rsid w:val="00A971C0"/>
    <w:rsid w:val="00A9727D"/>
    <w:rsid w:val="00AA0663"/>
    <w:rsid w:val="00AA06CC"/>
    <w:rsid w:val="00AA16B9"/>
    <w:rsid w:val="00AA16C4"/>
    <w:rsid w:val="00AA26CF"/>
    <w:rsid w:val="00AA47DC"/>
    <w:rsid w:val="00AA4959"/>
    <w:rsid w:val="00AA5288"/>
    <w:rsid w:val="00AA63C5"/>
    <w:rsid w:val="00AA7581"/>
    <w:rsid w:val="00AB0A4D"/>
    <w:rsid w:val="00AB0AFF"/>
    <w:rsid w:val="00AB172C"/>
    <w:rsid w:val="00AB1B85"/>
    <w:rsid w:val="00AB2188"/>
    <w:rsid w:val="00AB3F17"/>
    <w:rsid w:val="00AB3F31"/>
    <w:rsid w:val="00AB4398"/>
    <w:rsid w:val="00AB4A36"/>
    <w:rsid w:val="00AB4E38"/>
    <w:rsid w:val="00AB624E"/>
    <w:rsid w:val="00AB7A8D"/>
    <w:rsid w:val="00AC0316"/>
    <w:rsid w:val="00AC03C5"/>
    <w:rsid w:val="00AC0F4E"/>
    <w:rsid w:val="00AC0FAC"/>
    <w:rsid w:val="00AC1189"/>
    <w:rsid w:val="00AC17A7"/>
    <w:rsid w:val="00AC2C09"/>
    <w:rsid w:val="00AC2FA0"/>
    <w:rsid w:val="00AC62D5"/>
    <w:rsid w:val="00AC6B6F"/>
    <w:rsid w:val="00AC737F"/>
    <w:rsid w:val="00AC7C71"/>
    <w:rsid w:val="00AD0CF6"/>
    <w:rsid w:val="00AD0F95"/>
    <w:rsid w:val="00AD199C"/>
    <w:rsid w:val="00AD1ECF"/>
    <w:rsid w:val="00AD33EA"/>
    <w:rsid w:val="00AD42DB"/>
    <w:rsid w:val="00AD4345"/>
    <w:rsid w:val="00AD43E5"/>
    <w:rsid w:val="00AD5939"/>
    <w:rsid w:val="00AE11FC"/>
    <w:rsid w:val="00AE32EA"/>
    <w:rsid w:val="00AE37B3"/>
    <w:rsid w:val="00AE3A0C"/>
    <w:rsid w:val="00AE4110"/>
    <w:rsid w:val="00AE42BE"/>
    <w:rsid w:val="00AE518E"/>
    <w:rsid w:val="00AE5EE4"/>
    <w:rsid w:val="00AE6354"/>
    <w:rsid w:val="00AF0721"/>
    <w:rsid w:val="00AF1008"/>
    <w:rsid w:val="00AF127C"/>
    <w:rsid w:val="00AF15AF"/>
    <w:rsid w:val="00AF21F9"/>
    <w:rsid w:val="00AF251F"/>
    <w:rsid w:val="00AF276F"/>
    <w:rsid w:val="00AF4524"/>
    <w:rsid w:val="00AF4662"/>
    <w:rsid w:val="00AF4A45"/>
    <w:rsid w:val="00AF4EAB"/>
    <w:rsid w:val="00AF50A7"/>
    <w:rsid w:val="00AF5FC1"/>
    <w:rsid w:val="00AF6774"/>
    <w:rsid w:val="00AF6EB4"/>
    <w:rsid w:val="00AF73FD"/>
    <w:rsid w:val="00B00804"/>
    <w:rsid w:val="00B01141"/>
    <w:rsid w:val="00B01CA2"/>
    <w:rsid w:val="00B021B8"/>
    <w:rsid w:val="00B02E33"/>
    <w:rsid w:val="00B037F4"/>
    <w:rsid w:val="00B04CF2"/>
    <w:rsid w:val="00B05881"/>
    <w:rsid w:val="00B05FDB"/>
    <w:rsid w:val="00B1010D"/>
    <w:rsid w:val="00B10476"/>
    <w:rsid w:val="00B106AE"/>
    <w:rsid w:val="00B11C66"/>
    <w:rsid w:val="00B1328B"/>
    <w:rsid w:val="00B1363A"/>
    <w:rsid w:val="00B14C7B"/>
    <w:rsid w:val="00B17772"/>
    <w:rsid w:val="00B210EF"/>
    <w:rsid w:val="00B214A1"/>
    <w:rsid w:val="00B22C06"/>
    <w:rsid w:val="00B22D5C"/>
    <w:rsid w:val="00B242C8"/>
    <w:rsid w:val="00B260B4"/>
    <w:rsid w:val="00B263F0"/>
    <w:rsid w:val="00B266B3"/>
    <w:rsid w:val="00B2716E"/>
    <w:rsid w:val="00B31E70"/>
    <w:rsid w:val="00B31EAE"/>
    <w:rsid w:val="00B320D7"/>
    <w:rsid w:val="00B32703"/>
    <w:rsid w:val="00B32744"/>
    <w:rsid w:val="00B3439A"/>
    <w:rsid w:val="00B35277"/>
    <w:rsid w:val="00B36C31"/>
    <w:rsid w:val="00B3765B"/>
    <w:rsid w:val="00B40230"/>
    <w:rsid w:val="00B41E41"/>
    <w:rsid w:val="00B43B6A"/>
    <w:rsid w:val="00B44C97"/>
    <w:rsid w:val="00B44ECB"/>
    <w:rsid w:val="00B46202"/>
    <w:rsid w:val="00B5086D"/>
    <w:rsid w:val="00B51F48"/>
    <w:rsid w:val="00B54313"/>
    <w:rsid w:val="00B55629"/>
    <w:rsid w:val="00B5571B"/>
    <w:rsid w:val="00B55B4B"/>
    <w:rsid w:val="00B60209"/>
    <w:rsid w:val="00B60B5F"/>
    <w:rsid w:val="00B6328A"/>
    <w:rsid w:val="00B633C6"/>
    <w:rsid w:val="00B63997"/>
    <w:rsid w:val="00B648FE"/>
    <w:rsid w:val="00B6496F"/>
    <w:rsid w:val="00B64E15"/>
    <w:rsid w:val="00B657E2"/>
    <w:rsid w:val="00B66199"/>
    <w:rsid w:val="00B67D5E"/>
    <w:rsid w:val="00B70507"/>
    <w:rsid w:val="00B70995"/>
    <w:rsid w:val="00B70BC6"/>
    <w:rsid w:val="00B70D6F"/>
    <w:rsid w:val="00B71D6A"/>
    <w:rsid w:val="00B7376B"/>
    <w:rsid w:val="00B744AC"/>
    <w:rsid w:val="00B74542"/>
    <w:rsid w:val="00B7500D"/>
    <w:rsid w:val="00B751BD"/>
    <w:rsid w:val="00B7676D"/>
    <w:rsid w:val="00B77C1A"/>
    <w:rsid w:val="00B77E4E"/>
    <w:rsid w:val="00B8064D"/>
    <w:rsid w:val="00B80F06"/>
    <w:rsid w:val="00B81C32"/>
    <w:rsid w:val="00B820E3"/>
    <w:rsid w:val="00B82265"/>
    <w:rsid w:val="00B827C6"/>
    <w:rsid w:val="00B83035"/>
    <w:rsid w:val="00B83697"/>
    <w:rsid w:val="00B836E1"/>
    <w:rsid w:val="00B84CEB"/>
    <w:rsid w:val="00B855C4"/>
    <w:rsid w:val="00B86CCE"/>
    <w:rsid w:val="00B87487"/>
    <w:rsid w:val="00B8774B"/>
    <w:rsid w:val="00B87BA1"/>
    <w:rsid w:val="00B87F17"/>
    <w:rsid w:val="00B90E5E"/>
    <w:rsid w:val="00B914FB"/>
    <w:rsid w:val="00B91F55"/>
    <w:rsid w:val="00B92336"/>
    <w:rsid w:val="00B92DE0"/>
    <w:rsid w:val="00B936D5"/>
    <w:rsid w:val="00B93F09"/>
    <w:rsid w:val="00B94209"/>
    <w:rsid w:val="00B95F0D"/>
    <w:rsid w:val="00B97263"/>
    <w:rsid w:val="00BA01F9"/>
    <w:rsid w:val="00BA02F4"/>
    <w:rsid w:val="00BA03D7"/>
    <w:rsid w:val="00BA1030"/>
    <w:rsid w:val="00BA1673"/>
    <w:rsid w:val="00BA1820"/>
    <w:rsid w:val="00BA4184"/>
    <w:rsid w:val="00BA5859"/>
    <w:rsid w:val="00BA7BF1"/>
    <w:rsid w:val="00BA7E9E"/>
    <w:rsid w:val="00BB1390"/>
    <w:rsid w:val="00BB176A"/>
    <w:rsid w:val="00BB289B"/>
    <w:rsid w:val="00BB3740"/>
    <w:rsid w:val="00BB3854"/>
    <w:rsid w:val="00BB3EF7"/>
    <w:rsid w:val="00BB4B81"/>
    <w:rsid w:val="00BB54AA"/>
    <w:rsid w:val="00BB66D8"/>
    <w:rsid w:val="00BB69E9"/>
    <w:rsid w:val="00BB75C0"/>
    <w:rsid w:val="00BB7AA9"/>
    <w:rsid w:val="00BB7C33"/>
    <w:rsid w:val="00BC092C"/>
    <w:rsid w:val="00BC0E04"/>
    <w:rsid w:val="00BC1724"/>
    <w:rsid w:val="00BC192A"/>
    <w:rsid w:val="00BC240E"/>
    <w:rsid w:val="00BC27B3"/>
    <w:rsid w:val="00BC41DF"/>
    <w:rsid w:val="00BC4377"/>
    <w:rsid w:val="00BC58F3"/>
    <w:rsid w:val="00BC5923"/>
    <w:rsid w:val="00BC604F"/>
    <w:rsid w:val="00BC738E"/>
    <w:rsid w:val="00BC7390"/>
    <w:rsid w:val="00BD0576"/>
    <w:rsid w:val="00BD108E"/>
    <w:rsid w:val="00BD129D"/>
    <w:rsid w:val="00BD308A"/>
    <w:rsid w:val="00BD380B"/>
    <w:rsid w:val="00BD3A5D"/>
    <w:rsid w:val="00BD5521"/>
    <w:rsid w:val="00BD6F59"/>
    <w:rsid w:val="00BD71E1"/>
    <w:rsid w:val="00BD763A"/>
    <w:rsid w:val="00BD7F9F"/>
    <w:rsid w:val="00BE040E"/>
    <w:rsid w:val="00BE083A"/>
    <w:rsid w:val="00BE2236"/>
    <w:rsid w:val="00BE3089"/>
    <w:rsid w:val="00BE3D88"/>
    <w:rsid w:val="00BE5065"/>
    <w:rsid w:val="00BE50D0"/>
    <w:rsid w:val="00BE537F"/>
    <w:rsid w:val="00BE573B"/>
    <w:rsid w:val="00BE65F9"/>
    <w:rsid w:val="00BF118C"/>
    <w:rsid w:val="00BF16FE"/>
    <w:rsid w:val="00BF1C0D"/>
    <w:rsid w:val="00BF3CD5"/>
    <w:rsid w:val="00BF71E9"/>
    <w:rsid w:val="00BF79BB"/>
    <w:rsid w:val="00C0041E"/>
    <w:rsid w:val="00C00A82"/>
    <w:rsid w:val="00C012F5"/>
    <w:rsid w:val="00C014C9"/>
    <w:rsid w:val="00C01DA5"/>
    <w:rsid w:val="00C03720"/>
    <w:rsid w:val="00C03991"/>
    <w:rsid w:val="00C03A38"/>
    <w:rsid w:val="00C0412A"/>
    <w:rsid w:val="00C042C9"/>
    <w:rsid w:val="00C067CE"/>
    <w:rsid w:val="00C068BC"/>
    <w:rsid w:val="00C06BED"/>
    <w:rsid w:val="00C07AD2"/>
    <w:rsid w:val="00C07F2B"/>
    <w:rsid w:val="00C11996"/>
    <w:rsid w:val="00C12239"/>
    <w:rsid w:val="00C13A0F"/>
    <w:rsid w:val="00C17081"/>
    <w:rsid w:val="00C17AC8"/>
    <w:rsid w:val="00C17F96"/>
    <w:rsid w:val="00C203D9"/>
    <w:rsid w:val="00C20482"/>
    <w:rsid w:val="00C2092A"/>
    <w:rsid w:val="00C20A85"/>
    <w:rsid w:val="00C20BE3"/>
    <w:rsid w:val="00C22A75"/>
    <w:rsid w:val="00C22FD8"/>
    <w:rsid w:val="00C23598"/>
    <w:rsid w:val="00C24665"/>
    <w:rsid w:val="00C25325"/>
    <w:rsid w:val="00C25796"/>
    <w:rsid w:val="00C259F7"/>
    <w:rsid w:val="00C263A9"/>
    <w:rsid w:val="00C2736D"/>
    <w:rsid w:val="00C277A3"/>
    <w:rsid w:val="00C27FD4"/>
    <w:rsid w:val="00C27FF3"/>
    <w:rsid w:val="00C30B2F"/>
    <w:rsid w:val="00C31D61"/>
    <w:rsid w:val="00C3258D"/>
    <w:rsid w:val="00C333C0"/>
    <w:rsid w:val="00C35087"/>
    <w:rsid w:val="00C35733"/>
    <w:rsid w:val="00C35FE1"/>
    <w:rsid w:val="00C365E2"/>
    <w:rsid w:val="00C36864"/>
    <w:rsid w:val="00C37471"/>
    <w:rsid w:val="00C37E8C"/>
    <w:rsid w:val="00C418B2"/>
    <w:rsid w:val="00C42F39"/>
    <w:rsid w:val="00C4308D"/>
    <w:rsid w:val="00C44AC9"/>
    <w:rsid w:val="00C44EFB"/>
    <w:rsid w:val="00C45353"/>
    <w:rsid w:val="00C4604C"/>
    <w:rsid w:val="00C4619A"/>
    <w:rsid w:val="00C4742B"/>
    <w:rsid w:val="00C47B86"/>
    <w:rsid w:val="00C5036A"/>
    <w:rsid w:val="00C50D56"/>
    <w:rsid w:val="00C5188C"/>
    <w:rsid w:val="00C51E7D"/>
    <w:rsid w:val="00C52197"/>
    <w:rsid w:val="00C533E8"/>
    <w:rsid w:val="00C54ADD"/>
    <w:rsid w:val="00C55264"/>
    <w:rsid w:val="00C557B6"/>
    <w:rsid w:val="00C55BA4"/>
    <w:rsid w:val="00C55D30"/>
    <w:rsid w:val="00C569FC"/>
    <w:rsid w:val="00C6077A"/>
    <w:rsid w:val="00C608E2"/>
    <w:rsid w:val="00C61617"/>
    <w:rsid w:val="00C632AE"/>
    <w:rsid w:val="00C663A0"/>
    <w:rsid w:val="00C6695C"/>
    <w:rsid w:val="00C66D8C"/>
    <w:rsid w:val="00C66E8E"/>
    <w:rsid w:val="00C6726C"/>
    <w:rsid w:val="00C71436"/>
    <w:rsid w:val="00C74A44"/>
    <w:rsid w:val="00C757DE"/>
    <w:rsid w:val="00C77025"/>
    <w:rsid w:val="00C77961"/>
    <w:rsid w:val="00C8010E"/>
    <w:rsid w:val="00C80C21"/>
    <w:rsid w:val="00C82117"/>
    <w:rsid w:val="00C82535"/>
    <w:rsid w:val="00C825EA"/>
    <w:rsid w:val="00C83FDF"/>
    <w:rsid w:val="00C84CBC"/>
    <w:rsid w:val="00C86337"/>
    <w:rsid w:val="00C871AB"/>
    <w:rsid w:val="00C8738E"/>
    <w:rsid w:val="00C87E87"/>
    <w:rsid w:val="00C905A5"/>
    <w:rsid w:val="00C90766"/>
    <w:rsid w:val="00C90B67"/>
    <w:rsid w:val="00C9129C"/>
    <w:rsid w:val="00C93893"/>
    <w:rsid w:val="00C95F6A"/>
    <w:rsid w:val="00C960E6"/>
    <w:rsid w:val="00C96CB4"/>
    <w:rsid w:val="00C97707"/>
    <w:rsid w:val="00C97946"/>
    <w:rsid w:val="00C97C6A"/>
    <w:rsid w:val="00CA078D"/>
    <w:rsid w:val="00CA16A5"/>
    <w:rsid w:val="00CA2205"/>
    <w:rsid w:val="00CA29C0"/>
    <w:rsid w:val="00CA2CB5"/>
    <w:rsid w:val="00CA39BE"/>
    <w:rsid w:val="00CA3DC2"/>
    <w:rsid w:val="00CA4370"/>
    <w:rsid w:val="00CA4F91"/>
    <w:rsid w:val="00CA593F"/>
    <w:rsid w:val="00CA59C7"/>
    <w:rsid w:val="00CA5CF8"/>
    <w:rsid w:val="00CA6C2A"/>
    <w:rsid w:val="00CA7ABB"/>
    <w:rsid w:val="00CB037B"/>
    <w:rsid w:val="00CB1068"/>
    <w:rsid w:val="00CB1EB6"/>
    <w:rsid w:val="00CB33DF"/>
    <w:rsid w:val="00CB3CAB"/>
    <w:rsid w:val="00CB4145"/>
    <w:rsid w:val="00CB4983"/>
    <w:rsid w:val="00CB52BB"/>
    <w:rsid w:val="00CB57E5"/>
    <w:rsid w:val="00CB6C9C"/>
    <w:rsid w:val="00CB71E4"/>
    <w:rsid w:val="00CB7A8A"/>
    <w:rsid w:val="00CB7EC9"/>
    <w:rsid w:val="00CB7EE8"/>
    <w:rsid w:val="00CC0BDA"/>
    <w:rsid w:val="00CC0DDB"/>
    <w:rsid w:val="00CC1F4F"/>
    <w:rsid w:val="00CC2E0A"/>
    <w:rsid w:val="00CC3459"/>
    <w:rsid w:val="00CC3AC5"/>
    <w:rsid w:val="00CC3B0C"/>
    <w:rsid w:val="00CC46B0"/>
    <w:rsid w:val="00CC48DB"/>
    <w:rsid w:val="00CC57F4"/>
    <w:rsid w:val="00CC625F"/>
    <w:rsid w:val="00CC72C2"/>
    <w:rsid w:val="00CD0614"/>
    <w:rsid w:val="00CD12BD"/>
    <w:rsid w:val="00CD1EE6"/>
    <w:rsid w:val="00CD1FDB"/>
    <w:rsid w:val="00CD34CF"/>
    <w:rsid w:val="00CD3E84"/>
    <w:rsid w:val="00CD3F74"/>
    <w:rsid w:val="00CD4596"/>
    <w:rsid w:val="00CD4EFC"/>
    <w:rsid w:val="00CD5C48"/>
    <w:rsid w:val="00CD620A"/>
    <w:rsid w:val="00CD6962"/>
    <w:rsid w:val="00CD6A6F"/>
    <w:rsid w:val="00CE1A68"/>
    <w:rsid w:val="00CE377A"/>
    <w:rsid w:val="00CE41DD"/>
    <w:rsid w:val="00CE432C"/>
    <w:rsid w:val="00CE59A6"/>
    <w:rsid w:val="00CE5A58"/>
    <w:rsid w:val="00CE6338"/>
    <w:rsid w:val="00CE6A9F"/>
    <w:rsid w:val="00CE6DBB"/>
    <w:rsid w:val="00CE7201"/>
    <w:rsid w:val="00CF01CC"/>
    <w:rsid w:val="00CF1830"/>
    <w:rsid w:val="00CF36D3"/>
    <w:rsid w:val="00CF3AF6"/>
    <w:rsid w:val="00CF443E"/>
    <w:rsid w:val="00CF527D"/>
    <w:rsid w:val="00D0092C"/>
    <w:rsid w:val="00D01607"/>
    <w:rsid w:val="00D0186C"/>
    <w:rsid w:val="00D03ED9"/>
    <w:rsid w:val="00D03FD2"/>
    <w:rsid w:val="00D04088"/>
    <w:rsid w:val="00D0520C"/>
    <w:rsid w:val="00D06692"/>
    <w:rsid w:val="00D06D16"/>
    <w:rsid w:val="00D0732D"/>
    <w:rsid w:val="00D074C3"/>
    <w:rsid w:val="00D108E6"/>
    <w:rsid w:val="00D10E6D"/>
    <w:rsid w:val="00D11714"/>
    <w:rsid w:val="00D1279E"/>
    <w:rsid w:val="00D144D6"/>
    <w:rsid w:val="00D14555"/>
    <w:rsid w:val="00D152DF"/>
    <w:rsid w:val="00D16837"/>
    <w:rsid w:val="00D17DCC"/>
    <w:rsid w:val="00D17F71"/>
    <w:rsid w:val="00D21756"/>
    <w:rsid w:val="00D21F95"/>
    <w:rsid w:val="00D2279D"/>
    <w:rsid w:val="00D22B36"/>
    <w:rsid w:val="00D22D8E"/>
    <w:rsid w:val="00D233DD"/>
    <w:rsid w:val="00D244E3"/>
    <w:rsid w:val="00D24CD8"/>
    <w:rsid w:val="00D24F2B"/>
    <w:rsid w:val="00D25952"/>
    <w:rsid w:val="00D27ACF"/>
    <w:rsid w:val="00D30680"/>
    <w:rsid w:val="00D30DC5"/>
    <w:rsid w:val="00D30ED4"/>
    <w:rsid w:val="00D30FB7"/>
    <w:rsid w:val="00D31227"/>
    <w:rsid w:val="00D31359"/>
    <w:rsid w:val="00D32449"/>
    <w:rsid w:val="00D32EF0"/>
    <w:rsid w:val="00D33B05"/>
    <w:rsid w:val="00D34665"/>
    <w:rsid w:val="00D347D6"/>
    <w:rsid w:val="00D35408"/>
    <w:rsid w:val="00D35E52"/>
    <w:rsid w:val="00D3622D"/>
    <w:rsid w:val="00D36745"/>
    <w:rsid w:val="00D36D26"/>
    <w:rsid w:val="00D36FA6"/>
    <w:rsid w:val="00D37135"/>
    <w:rsid w:val="00D3767E"/>
    <w:rsid w:val="00D37A8C"/>
    <w:rsid w:val="00D40D7E"/>
    <w:rsid w:val="00D41000"/>
    <w:rsid w:val="00D41E9A"/>
    <w:rsid w:val="00D424CD"/>
    <w:rsid w:val="00D426D0"/>
    <w:rsid w:val="00D42F51"/>
    <w:rsid w:val="00D442CB"/>
    <w:rsid w:val="00D44A55"/>
    <w:rsid w:val="00D44EC5"/>
    <w:rsid w:val="00D4694D"/>
    <w:rsid w:val="00D46DA0"/>
    <w:rsid w:val="00D472FC"/>
    <w:rsid w:val="00D50792"/>
    <w:rsid w:val="00D50DD0"/>
    <w:rsid w:val="00D513D9"/>
    <w:rsid w:val="00D51609"/>
    <w:rsid w:val="00D51777"/>
    <w:rsid w:val="00D52EEE"/>
    <w:rsid w:val="00D53F31"/>
    <w:rsid w:val="00D53F33"/>
    <w:rsid w:val="00D54802"/>
    <w:rsid w:val="00D54944"/>
    <w:rsid w:val="00D55377"/>
    <w:rsid w:val="00D5584D"/>
    <w:rsid w:val="00D56346"/>
    <w:rsid w:val="00D56EF5"/>
    <w:rsid w:val="00D577E1"/>
    <w:rsid w:val="00D57B5D"/>
    <w:rsid w:val="00D60591"/>
    <w:rsid w:val="00D62269"/>
    <w:rsid w:val="00D62EDC"/>
    <w:rsid w:val="00D63CA7"/>
    <w:rsid w:val="00D63D44"/>
    <w:rsid w:val="00D657EF"/>
    <w:rsid w:val="00D65DFB"/>
    <w:rsid w:val="00D675E3"/>
    <w:rsid w:val="00D67C1F"/>
    <w:rsid w:val="00D70910"/>
    <w:rsid w:val="00D72396"/>
    <w:rsid w:val="00D72F1C"/>
    <w:rsid w:val="00D730D4"/>
    <w:rsid w:val="00D733AF"/>
    <w:rsid w:val="00D735A1"/>
    <w:rsid w:val="00D752FE"/>
    <w:rsid w:val="00D75663"/>
    <w:rsid w:val="00D75AD4"/>
    <w:rsid w:val="00D7645B"/>
    <w:rsid w:val="00D764AE"/>
    <w:rsid w:val="00D778C4"/>
    <w:rsid w:val="00D824C7"/>
    <w:rsid w:val="00D8255E"/>
    <w:rsid w:val="00D8258A"/>
    <w:rsid w:val="00D83C96"/>
    <w:rsid w:val="00D84225"/>
    <w:rsid w:val="00D84356"/>
    <w:rsid w:val="00D8480F"/>
    <w:rsid w:val="00D878C4"/>
    <w:rsid w:val="00D87AD4"/>
    <w:rsid w:val="00D900D4"/>
    <w:rsid w:val="00D90119"/>
    <w:rsid w:val="00D90435"/>
    <w:rsid w:val="00D90A05"/>
    <w:rsid w:val="00D94C40"/>
    <w:rsid w:val="00D95171"/>
    <w:rsid w:val="00D95878"/>
    <w:rsid w:val="00D96070"/>
    <w:rsid w:val="00D96721"/>
    <w:rsid w:val="00D976DC"/>
    <w:rsid w:val="00D9780C"/>
    <w:rsid w:val="00D978E5"/>
    <w:rsid w:val="00DA00D7"/>
    <w:rsid w:val="00DA244B"/>
    <w:rsid w:val="00DA24E7"/>
    <w:rsid w:val="00DA2D3B"/>
    <w:rsid w:val="00DA3304"/>
    <w:rsid w:val="00DA5EB5"/>
    <w:rsid w:val="00DA5EB6"/>
    <w:rsid w:val="00DA6FCE"/>
    <w:rsid w:val="00DA719F"/>
    <w:rsid w:val="00DA7CCF"/>
    <w:rsid w:val="00DA7F88"/>
    <w:rsid w:val="00DB0288"/>
    <w:rsid w:val="00DB2CBD"/>
    <w:rsid w:val="00DB451C"/>
    <w:rsid w:val="00DB4BDD"/>
    <w:rsid w:val="00DB52E7"/>
    <w:rsid w:val="00DB58B5"/>
    <w:rsid w:val="00DB614C"/>
    <w:rsid w:val="00DB6E4F"/>
    <w:rsid w:val="00DC0318"/>
    <w:rsid w:val="00DC09DC"/>
    <w:rsid w:val="00DC211D"/>
    <w:rsid w:val="00DC55BD"/>
    <w:rsid w:val="00DC65DD"/>
    <w:rsid w:val="00DC6B59"/>
    <w:rsid w:val="00DC6F29"/>
    <w:rsid w:val="00DC7A18"/>
    <w:rsid w:val="00DD0460"/>
    <w:rsid w:val="00DD13CA"/>
    <w:rsid w:val="00DD13D3"/>
    <w:rsid w:val="00DD1D5F"/>
    <w:rsid w:val="00DD2E32"/>
    <w:rsid w:val="00DD5CA4"/>
    <w:rsid w:val="00DD5CE1"/>
    <w:rsid w:val="00DD6EE6"/>
    <w:rsid w:val="00DD7528"/>
    <w:rsid w:val="00DD7E78"/>
    <w:rsid w:val="00DE0269"/>
    <w:rsid w:val="00DE2D1C"/>
    <w:rsid w:val="00DE2EFA"/>
    <w:rsid w:val="00DE359F"/>
    <w:rsid w:val="00DE466E"/>
    <w:rsid w:val="00DE50FE"/>
    <w:rsid w:val="00DE6174"/>
    <w:rsid w:val="00DE65CB"/>
    <w:rsid w:val="00DE6E27"/>
    <w:rsid w:val="00DE7569"/>
    <w:rsid w:val="00DF06A7"/>
    <w:rsid w:val="00DF0C6D"/>
    <w:rsid w:val="00DF216E"/>
    <w:rsid w:val="00DF271E"/>
    <w:rsid w:val="00DF2C14"/>
    <w:rsid w:val="00DF48CF"/>
    <w:rsid w:val="00DF504D"/>
    <w:rsid w:val="00DF53CE"/>
    <w:rsid w:val="00DF5BD1"/>
    <w:rsid w:val="00DF5E23"/>
    <w:rsid w:val="00DF77ED"/>
    <w:rsid w:val="00E00856"/>
    <w:rsid w:val="00E012C5"/>
    <w:rsid w:val="00E01AE7"/>
    <w:rsid w:val="00E023A9"/>
    <w:rsid w:val="00E028D4"/>
    <w:rsid w:val="00E02DD4"/>
    <w:rsid w:val="00E04FCB"/>
    <w:rsid w:val="00E051F8"/>
    <w:rsid w:val="00E05415"/>
    <w:rsid w:val="00E05887"/>
    <w:rsid w:val="00E062A9"/>
    <w:rsid w:val="00E06F73"/>
    <w:rsid w:val="00E0712A"/>
    <w:rsid w:val="00E077B5"/>
    <w:rsid w:val="00E07D1B"/>
    <w:rsid w:val="00E110A0"/>
    <w:rsid w:val="00E119CB"/>
    <w:rsid w:val="00E12530"/>
    <w:rsid w:val="00E12569"/>
    <w:rsid w:val="00E1295A"/>
    <w:rsid w:val="00E134BD"/>
    <w:rsid w:val="00E172EC"/>
    <w:rsid w:val="00E20258"/>
    <w:rsid w:val="00E20B94"/>
    <w:rsid w:val="00E20C5D"/>
    <w:rsid w:val="00E21875"/>
    <w:rsid w:val="00E218E2"/>
    <w:rsid w:val="00E2191F"/>
    <w:rsid w:val="00E21AF0"/>
    <w:rsid w:val="00E21C53"/>
    <w:rsid w:val="00E220C1"/>
    <w:rsid w:val="00E22DCE"/>
    <w:rsid w:val="00E23FEE"/>
    <w:rsid w:val="00E252E3"/>
    <w:rsid w:val="00E25608"/>
    <w:rsid w:val="00E2696A"/>
    <w:rsid w:val="00E3108C"/>
    <w:rsid w:val="00E347F8"/>
    <w:rsid w:val="00E34C37"/>
    <w:rsid w:val="00E34F26"/>
    <w:rsid w:val="00E357BB"/>
    <w:rsid w:val="00E35930"/>
    <w:rsid w:val="00E35D8F"/>
    <w:rsid w:val="00E3615C"/>
    <w:rsid w:val="00E367AA"/>
    <w:rsid w:val="00E3694E"/>
    <w:rsid w:val="00E36DE3"/>
    <w:rsid w:val="00E404F7"/>
    <w:rsid w:val="00E40B33"/>
    <w:rsid w:val="00E417C3"/>
    <w:rsid w:val="00E41FFE"/>
    <w:rsid w:val="00E42441"/>
    <w:rsid w:val="00E427C7"/>
    <w:rsid w:val="00E44838"/>
    <w:rsid w:val="00E462CD"/>
    <w:rsid w:val="00E471AA"/>
    <w:rsid w:val="00E51133"/>
    <w:rsid w:val="00E51A27"/>
    <w:rsid w:val="00E51A5C"/>
    <w:rsid w:val="00E53040"/>
    <w:rsid w:val="00E53829"/>
    <w:rsid w:val="00E548A7"/>
    <w:rsid w:val="00E57492"/>
    <w:rsid w:val="00E57E49"/>
    <w:rsid w:val="00E600AC"/>
    <w:rsid w:val="00E61C50"/>
    <w:rsid w:val="00E61D63"/>
    <w:rsid w:val="00E62B2D"/>
    <w:rsid w:val="00E62EE1"/>
    <w:rsid w:val="00E635AC"/>
    <w:rsid w:val="00E645D3"/>
    <w:rsid w:val="00E6487C"/>
    <w:rsid w:val="00E64DFE"/>
    <w:rsid w:val="00E6515A"/>
    <w:rsid w:val="00E658E7"/>
    <w:rsid w:val="00E65AE2"/>
    <w:rsid w:val="00E65D4A"/>
    <w:rsid w:val="00E662B0"/>
    <w:rsid w:val="00E665DD"/>
    <w:rsid w:val="00E66D63"/>
    <w:rsid w:val="00E66FFA"/>
    <w:rsid w:val="00E67C58"/>
    <w:rsid w:val="00E70873"/>
    <w:rsid w:val="00E711A1"/>
    <w:rsid w:val="00E7237D"/>
    <w:rsid w:val="00E73630"/>
    <w:rsid w:val="00E74292"/>
    <w:rsid w:val="00E743E9"/>
    <w:rsid w:val="00E74908"/>
    <w:rsid w:val="00E801B2"/>
    <w:rsid w:val="00E8060D"/>
    <w:rsid w:val="00E83A6F"/>
    <w:rsid w:val="00E84399"/>
    <w:rsid w:val="00E84990"/>
    <w:rsid w:val="00E85317"/>
    <w:rsid w:val="00E92239"/>
    <w:rsid w:val="00E9249A"/>
    <w:rsid w:val="00E93436"/>
    <w:rsid w:val="00E93550"/>
    <w:rsid w:val="00E93710"/>
    <w:rsid w:val="00E94329"/>
    <w:rsid w:val="00E94D2F"/>
    <w:rsid w:val="00E95A9D"/>
    <w:rsid w:val="00E95ECD"/>
    <w:rsid w:val="00E96814"/>
    <w:rsid w:val="00E978B9"/>
    <w:rsid w:val="00EA32F4"/>
    <w:rsid w:val="00EA334C"/>
    <w:rsid w:val="00EA4781"/>
    <w:rsid w:val="00EA47B2"/>
    <w:rsid w:val="00EA503A"/>
    <w:rsid w:val="00EA50D7"/>
    <w:rsid w:val="00EA5330"/>
    <w:rsid w:val="00EA56BF"/>
    <w:rsid w:val="00EA5980"/>
    <w:rsid w:val="00EA6447"/>
    <w:rsid w:val="00EA65C2"/>
    <w:rsid w:val="00EA7509"/>
    <w:rsid w:val="00EA76DC"/>
    <w:rsid w:val="00EB0C2A"/>
    <w:rsid w:val="00EB2DA9"/>
    <w:rsid w:val="00EB3071"/>
    <w:rsid w:val="00EB4295"/>
    <w:rsid w:val="00EB4770"/>
    <w:rsid w:val="00EB4C5E"/>
    <w:rsid w:val="00EB53B0"/>
    <w:rsid w:val="00EB56CF"/>
    <w:rsid w:val="00EB5C40"/>
    <w:rsid w:val="00EB795A"/>
    <w:rsid w:val="00EB7C8C"/>
    <w:rsid w:val="00EC0B2F"/>
    <w:rsid w:val="00EC1288"/>
    <w:rsid w:val="00EC18E8"/>
    <w:rsid w:val="00EC218D"/>
    <w:rsid w:val="00EC2F9E"/>
    <w:rsid w:val="00EC3533"/>
    <w:rsid w:val="00EC53B3"/>
    <w:rsid w:val="00EC5F6E"/>
    <w:rsid w:val="00EC6784"/>
    <w:rsid w:val="00EC6B33"/>
    <w:rsid w:val="00EC75AE"/>
    <w:rsid w:val="00EC76B7"/>
    <w:rsid w:val="00EC7899"/>
    <w:rsid w:val="00EC78D2"/>
    <w:rsid w:val="00EC7FCF"/>
    <w:rsid w:val="00ED2FF5"/>
    <w:rsid w:val="00ED3530"/>
    <w:rsid w:val="00ED3CFC"/>
    <w:rsid w:val="00ED3E74"/>
    <w:rsid w:val="00ED4050"/>
    <w:rsid w:val="00ED5796"/>
    <w:rsid w:val="00ED5BC8"/>
    <w:rsid w:val="00ED5E56"/>
    <w:rsid w:val="00ED7BC2"/>
    <w:rsid w:val="00EE026F"/>
    <w:rsid w:val="00EE0576"/>
    <w:rsid w:val="00EE09F2"/>
    <w:rsid w:val="00EE0B23"/>
    <w:rsid w:val="00EE0E63"/>
    <w:rsid w:val="00EE1D6E"/>
    <w:rsid w:val="00EE2E83"/>
    <w:rsid w:val="00EE51E8"/>
    <w:rsid w:val="00EE55A6"/>
    <w:rsid w:val="00EE6D7A"/>
    <w:rsid w:val="00EE7539"/>
    <w:rsid w:val="00EE7AA5"/>
    <w:rsid w:val="00EE7BC3"/>
    <w:rsid w:val="00EF07C1"/>
    <w:rsid w:val="00EF20FB"/>
    <w:rsid w:val="00EF29D4"/>
    <w:rsid w:val="00EF2F33"/>
    <w:rsid w:val="00EF435A"/>
    <w:rsid w:val="00EF4E45"/>
    <w:rsid w:val="00EF4FAB"/>
    <w:rsid w:val="00EF5025"/>
    <w:rsid w:val="00EF596C"/>
    <w:rsid w:val="00F003CC"/>
    <w:rsid w:val="00F02490"/>
    <w:rsid w:val="00F04794"/>
    <w:rsid w:val="00F059C8"/>
    <w:rsid w:val="00F05D36"/>
    <w:rsid w:val="00F06236"/>
    <w:rsid w:val="00F06CFD"/>
    <w:rsid w:val="00F07750"/>
    <w:rsid w:val="00F07E10"/>
    <w:rsid w:val="00F10680"/>
    <w:rsid w:val="00F109FD"/>
    <w:rsid w:val="00F11453"/>
    <w:rsid w:val="00F133D1"/>
    <w:rsid w:val="00F139BA"/>
    <w:rsid w:val="00F14D0A"/>
    <w:rsid w:val="00F159BD"/>
    <w:rsid w:val="00F17343"/>
    <w:rsid w:val="00F20A41"/>
    <w:rsid w:val="00F219D8"/>
    <w:rsid w:val="00F21B9E"/>
    <w:rsid w:val="00F23791"/>
    <w:rsid w:val="00F25143"/>
    <w:rsid w:val="00F25B48"/>
    <w:rsid w:val="00F25BBC"/>
    <w:rsid w:val="00F25FF9"/>
    <w:rsid w:val="00F26102"/>
    <w:rsid w:val="00F2669A"/>
    <w:rsid w:val="00F271B6"/>
    <w:rsid w:val="00F27677"/>
    <w:rsid w:val="00F2789F"/>
    <w:rsid w:val="00F30A77"/>
    <w:rsid w:val="00F3254A"/>
    <w:rsid w:val="00F3258D"/>
    <w:rsid w:val="00F3320D"/>
    <w:rsid w:val="00F33A15"/>
    <w:rsid w:val="00F33D2A"/>
    <w:rsid w:val="00F3468B"/>
    <w:rsid w:val="00F356E7"/>
    <w:rsid w:val="00F35869"/>
    <w:rsid w:val="00F35B8F"/>
    <w:rsid w:val="00F36DA6"/>
    <w:rsid w:val="00F40D27"/>
    <w:rsid w:val="00F42F88"/>
    <w:rsid w:val="00F432F4"/>
    <w:rsid w:val="00F43549"/>
    <w:rsid w:val="00F43857"/>
    <w:rsid w:val="00F4393F"/>
    <w:rsid w:val="00F43A09"/>
    <w:rsid w:val="00F44639"/>
    <w:rsid w:val="00F44663"/>
    <w:rsid w:val="00F45528"/>
    <w:rsid w:val="00F45BF6"/>
    <w:rsid w:val="00F46A3A"/>
    <w:rsid w:val="00F504C7"/>
    <w:rsid w:val="00F5375D"/>
    <w:rsid w:val="00F5377C"/>
    <w:rsid w:val="00F53A0E"/>
    <w:rsid w:val="00F5454E"/>
    <w:rsid w:val="00F563E8"/>
    <w:rsid w:val="00F56D11"/>
    <w:rsid w:val="00F600EF"/>
    <w:rsid w:val="00F60489"/>
    <w:rsid w:val="00F62F38"/>
    <w:rsid w:val="00F63899"/>
    <w:rsid w:val="00F63B89"/>
    <w:rsid w:val="00F64372"/>
    <w:rsid w:val="00F64997"/>
    <w:rsid w:val="00F6665C"/>
    <w:rsid w:val="00F7012B"/>
    <w:rsid w:val="00F715C3"/>
    <w:rsid w:val="00F718BD"/>
    <w:rsid w:val="00F729C1"/>
    <w:rsid w:val="00F7354D"/>
    <w:rsid w:val="00F74576"/>
    <w:rsid w:val="00F75143"/>
    <w:rsid w:val="00F7558D"/>
    <w:rsid w:val="00F762AD"/>
    <w:rsid w:val="00F76A0A"/>
    <w:rsid w:val="00F776BB"/>
    <w:rsid w:val="00F7791A"/>
    <w:rsid w:val="00F80507"/>
    <w:rsid w:val="00F809E1"/>
    <w:rsid w:val="00F812B5"/>
    <w:rsid w:val="00F81CA3"/>
    <w:rsid w:val="00F82678"/>
    <w:rsid w:val="00F8391E"/>
    <w:rsid w:val="00F83CD3"/>
    <w:rsid w:val="00F84126"/>
    <w:rsid w:val="00F84E57"/>
    <w:rsid w:val="00F85852"/>
    <w:rsid w:val="00F85F61"/>
    <w:rsid w:val="00F90822"/>
    <w:rsid w:val="00F91AC6"/>
    <w:rsid w:val="00F93261"/>
    <w:rsid w:val="00F936B8"/>
    <w:rsid w:val="00F95487"/>
    <w:rsid w:val="00F95B91"/>
    <w:rsid w:val="00F95DEF"/>
    <w:rsid w:val="00FA0422"/>
    <w:rsid w:val="00FA09A1"/>
    <w:rsid w:val="00FA1553"/>
    <w:rsid w:val="00FA1877"/>
    <w:rsid w:val="00FA2BEE"/>
    <w:rsid w:val="00FA4DF8"/>
    <w:rsid w:val="00FA4FA8"/>
    <w:rsid w:val="00FA5737"/>
    <w:rsid w:val="00FA6644"/>
    <w:rsid w:val="00FB0569"/>
    <w:rsid w:val="00FB0ABD"/>
    <w:rsid w:val="00FB0BED"/>
    <w:rsid w:val="00FB45FB"/>
    <w:rsid w:val="00FB6791"/>
    <w:rsid w:val="00FB6E37"/>
    <w:rsid w:val="00FB71A4"/>
    <w:rsid w:val="00FB7B8D"/>
    <w:rsid w:val="00FC09A1"/>
    <w:rsid w:val="00FC0A1F"/>
    <w:rsid w:val="00FC1781"/>
    <w:rsid w:val="00FC1FA8"/>
    <w:rsid w:val="00FC244F"/>
    <w:rsid w:val="00FC2A72"/>
    <w:rsid w:val="00FC3236"/>
    <w:rsid w:val="00FD0E31"/>
    <w:rsid w:val="00FD1C3A"/>
    <w:rsid w:val="00FD1F37"/>
    <w:rsid w:val="00FD2081"/>
    <w:rsid w:val="00FD28F1"/>
    <w:rsid w:val="00FD3A87"/>
    <w:rsid w:val="00FD4898"/>
    <w:rsid w:val="00FD5153"/>
    <w:rsid w:val="00FD51ED"/>
    <w:rsid w:val="00FD619B"/>
    <w:rsid w:val="00FD79DA"/>
    <w:rsid w:val="00FE2ADC"/>
    <w:rsid w:val="00FE45CE"/>
    <w:rsid w:val="00FE4852"/>
    <w:rsid w:val="00FE4F54"/>
    <w:rsid w:val="00FE5103"/>
    <w:rsid w:val="00FE5997"/>
    <w:rsid w:val="00FE6F5F"/>
    <w:rsid w:val="00FE706A"/>
    <w:rsid w:val="00FE7C89"/>
    <w:rsid w:val="00FF0950"/>
    <w:rsid w:val="00FF1BE4"/>
    <w:rsid w:val="00FF1F5A"/>
    <w:rsid w:val="00FF319A"/>
    <w:rsid w:val="00FF520A"/>
    <w:rsid w:val="00FF5484"/>
    <w:rsid w:val="00FF562F"/>
    <w:rsid w:val="00FF6AFB"/>
    <w:rsid w:val="00FF6BDD"/>
    <w:rsid w:val="00FF7828"/>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B6D15"/>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rsid w:val="00AA7581"/>
    <w:rPr>
      <w:sz w:val="24"/>
      <w:szCs w:val="24"/>
      <w:lang w:val="de-DE" w:eastAsia="de-DE"/>
    </w:rPr>
  </w:style>
  <w:style w:type="paragraph" w:styleId="1">
    <w:name w:val="heading 1"/>
    <w:basedOn w:val="a1"/>
    <w:next w:val="a1"/>
    <w:rsid w:val="004C4EE9"/>
    <w:pPr>
      <w:keepNext/>
      <w:outlineLvl w:val="0"/>
    </w:pPr>
    <w:rPr>
      <w:b/>
      <w:sz w:val="28"/>
      <w:szCs w:val="20"/>
      <w:lang w:val="en-GB"/>
    </w:rPr>
  </w:style>
  <w:style w:type="paragraph" w:styleId="21">
    <w:name w:val="heading 2"/>
    <w:basedOn w:val="a1"/>
    <w:next w:val="a1"/>
    <w:autoRedefine/>
    <w:rsid w:val="004C4EE9"/>
    <w:pPr>
      <w:keepNext/>
      <w:spacing w:before="240" w:after="60"/>
      <w:outlineLvl w:val="1"/>
    </w:pPr>
    <w:rPr>
      <w:rFonts w:cs="Arial"/>
      <w:bCs/>
      <w:iCs/>
      <w:sz w:val="22"/>
      <w:szCs w:val="22"/>
    </w:rPr>
  </w:style>
  <w:style w:type="paragraph" w:styleId="31">
    <w:name w:val="heading 3"/>
    <w:basedOn w:val="a1"/>
    <w:next w:val="a1"/>
    <w:autoRedefine/>
    <w:rsid w:val="004C4EE9"/>
    <w:pPr>
      <w:keepNext/>
      <w:outlineLvl w:val="2"/>
    </w:pPr>
    <w:rPr>
      <w:b/>
      <w:lang w:val="en-GB"/>
    </w:rPr>
  </w:style>
  <w:style w:type="paragraph" w:styleId="41">
    <w:name w:val="heading 4"/>
    <w:basedOn w:val="a1"/>
    <w:next w:val="a1"/>
    <w:rsid w:val="004C4EE9"/>
    <w:pPr>
      <w:keepNext/>
      <w:spacing w:before="240" w:after="60"/>
      <w:outlineLvl w:val="3"/>
    </w:pPr>
    <w:rPr>
      <w:b/>
      <w:bCs/>
      <w:sz w:val="28"/>
      <w:szCs w:val="28"/>
    </w:rPr>
  </w:style>
  <w:style w:type="paragraph" w:styleId="51">
    <w:name w:val="heading 5"/>
    <w:basedOn w:val="a1"/>
    <w:next w:val="a1"/>
    <w:autoRedefine/>
    <w:rsid w:val="004C4EE9"/>
    <w:pPr>
      <w:keepNext/>
      <w:outlineLvl w:val="4"/>
    </w:pPr>
    <w:rPr>
      <w:b/>
      <w:sz w:val="20"/>
      <w:szCs w:val="20"/>
      <w:lang w:val="en-GB"/>
    </w:rPr>
  </w:style>
  <w:style w:type="paragraph" w:styleId="6">
    <w:name w:val="heading 6"/>
    <w:basedOn w:val="a1"/>
    <w:next w:val="a1"/>
    <w:autoRedefine/>
    <w:rsid w:val="004C4EE9"/>
    <w:pPr>
      <w:keepNext/>
      <w:jc w:val="center"/>
      <w:outlineLvl w:val="5"/>
    </w:pPr>
    <w:rPr>
      <w:rFonts w:cs="Arial"/>
      <w:color w:val="000000"/>
      <w:sz w:val="22"/>
      <w:szCs w:val="22"/>
    </w:rPr>
  </w:style>
  <w:style w:type="paragraph" w:styleId="7">
    <w:name w:val="heading 7"/>
    <w:basedOn w:val="a1"/>
    <w:next w:val="a1"/>
    <w:rsid w:val="004C4EE9"/>
    <w:pPr>
      <w:spacing w:before="240" w:after="60"/>
      <w:outlineLvl w:val="6"/>
    </w:pPr>
  </w:style>
  <w:style w:type="paragraph" w:styleId="8">
    <w:name w:val="heading 8"/>
    <w:basedOn w:val="a1"/>
    <w:next w:val="a1"/>
    <w:rsid w:val="004C4EE9"/>
    <w:pPr>
      <w:spacing w:before="240" w:after="60"/>
      <w:outlineLvl w:val="7"/>
    </w:pPr>
    <w:rPr>
      <w:i/>
      <w:iCs/>
    </w:rPr>
  </w:style>
  <w:style w:type="paragraph" w:styleId="9">
    <w:name w:val="heading 9"/>
    <w:basedOn w:val="a1"/>
    <w:next w:val="a1"/>
    <w:rsid w:val="004C4EE9"/>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List Bullet"/>
    <w:basedOn w:val="a1"/>
    <w:autoRedefine/>
    <w:rsid w:val="00A55E36"/>
    <w:pPr>
      <w:numPr>
        <w:numId w:val="1"/>
      </w:numPr>
    </w:pPr>
  </w:style>
  <w:style w:type="character" w:customStyle="1" w:styleId="texto">
    <w:name w:val="texto"/>
    <w:basedOn w:val="a2"/>
    <w:rsid w:val="00A6457C"/>
  </w:style>
  <w:style w:type="character" w:styleId="a5">
    <w:name w:val="annotation reference"/>
    <w:basedOn w:val="a2"/>
    <w:semiHidden/>
    <w:rsid w:val="009E4985"/>
    <w:rPr>
      <w:sz w:val="16"/>
      <w:szCs w:val="16"/>
    </w:rPr>
  </w:style>
  <w:style w:type="paragraph" w:styleId="a6">
    <w:name w:val="annotation text"/>
    <w:basedOn w:val="a1"/>
    <w:semiHidden/>
    <w:rsid w:val="009E4985"/>
    <w:rPr>
      <w:sz w:val="20"/>
      <w:szCs w:val="20"/>
    </w:rPr>
  </w:style>
  <w:style w:type="character" w:customStyle="1" w:styleId="SWCBulletedListCar">
    <w:name w:val="SWC_BulletedList Car"/>
    <w:basedOn w:val="a2"/>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2"/>
    <w:link w:val="CPV-7Heading1Character"/>
    <w:rsid w:val="00FE2ADC"/>
    <w:rPr>
      <w:b/>
      <w:color w:val="000000"/>
      <w:sz w:val="22"/>
      <w:szCs w:val="24"/>
      <w:lang w:val="en-US" w:eastAsia="de-DE" w:bidi="ar-SA"/>
    </w:rPr>
  </w:style>
  <w:style w:type="paragraph" w:customStyle="1" w:styleId="SWCHeading11">
    <w:name w:val="SWC_Heading1.1"/>
    <w:basedOn w:val="SWCHeading1"/>
    <w:next w:val="a1"/>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7">
    <w:name w:val="annotation subject"/>
    <w:basedOn w:val="a6"/>
    <w:next w:val="a6"/>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8">
    <w:name w:val="Hyperlink"/>
    <w:basedOn w:val="a2"/>
    <w:rsid w:val="005D5CF6"/>
    <w:rPr>
      <w:color w:val="0000FF"/>
      <w:u w:val="single"/>
    </w:rPr>
  </w:style>
  <w:style w:type="paragraph" w:styleId="a9">
    <w:name w:val="Balloon Text"/>
    <w:basedOn w:val="a1"/>
    <w:semiHidden/>
    <w:rsid w:val="009E4985"/>
    <w:rPr>
      <w:rFonts w:ascii="Tahoma" w:hAnsi="Tahoma" w:cs="Tahoma"/>
      <w:sz w:val="16"/>
      <w:szCs w:val="16"/>
    </w:rPr>
  </w:style>
  <w:style w:type="paragraph" w:customStyle="1" w:styleId="SP09Heading111">
    <w:name w:val="SP09_Heading1.1.1"/>
    <w:basedOn w:val="a1"/>
    <w:rsid w:val="00DC0318"/>
    <w:pPr>
      <w:spacing w:before="160" w:after="80" w:line="240" w:lineRule="exact"/>
    </w:pPr>
    <w:rPr>
      <w:b/>
      <w:color w:val="000000"/>
      <w:sz w:val="20"/>
      <w:szCs w:val="22"/>
      <w:lang w:val="en-US"/>
    </w:rPr>
  </w:style>
  <w:style w:type="table" w:styleId="aa">
    <w:name w:val="Table Grid"/>
    <w:basedOn w:val="a3"/>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1"/>
    <w:next w:val="AuthorAdress"/>
    <w:rsid w:val="00155FB8"/>
    <w:pPr>
      <w:spacing w:after="240"/>
      <w:jc w:val="center"/>
    </w:pPr>
    <w:rPr>
      <w:szCs w:val="20"/>
      <w:lang w:val="en-GB" w:eastAsia="es-ES"/>
    </w:rPr>
  </w:style>
  <w:style w:type="paragraph" w:customStyle="1" w:styleId="AuthorAdress">
    <w:name w:val="AuthorAdress"/>
    <w:basedOn w:val="a1"/>
    <w:next w:val="Affiliations"/>
    <w:rsid w:val="00155FB8"/>
    <w:pPr>
      <w:spacing w:after="120" w:line="320" w:lineRule="atLeast"/>
      <w:jc w:val="center"/>
    </w:pPr>
    <w:rPr>
      <w:i/>
      <w:lang w:val="en-GB" w:eastAsia="es-ES"/>
    </w:rPr>
  </w:style>
  <w:style w:type="paragraph" w:customStyle="1" w:styleId="TableText">
    <w:name w:val="TableText"/>
    <w:basedOn w:val="a1"/>
    <w:next w:val="a1"/>
    <w:rsid w:val="00155FB8"/>
    <w:pPr>
      <w:jc w:val="center"/>
    </w:pPr>
    <w:rPr>
      <w:sz w:val="20"/>
      <w:szCs w:val="20"/>
      <w:lang w:val="es-ES" w:eastAsia="es-ES"/>
    </w:rPr>
  </w:style>
  <w:style w:type="paragraph" w:customStyle="1" w:styleId="Text">
    <w:name w:val="Text"/>
    <w:basedOn w:val="a1"/>
    <w:rsid w:val="009B4816"/>
    <w:pPr>
      <w:spacing w:after="240" w:line="320" w:lineRule="atLeast"/>
      <w:jc w:val="both"/>
    </w:pPr>
    <w:rPr>
      <w:szCs w:val="20"/>
      <w:lang w:val="en-GB" w:eastAsia="es-ES"/>
    </w:rPr>
  </w:style>
  <w:style w:type="paragraph" w:customStyle="1" w:styleId="FigureCaption">
    <w:name w:val="FigureCaption"/>
    <w:basedOn w:val="a1"/>
    <w:next w:val="a1"/>
    <w:rsid w:val="00AC2C09"/>
    <w:pPr>
      <w:jc w:val="center"/>
    </w:pPr>
    <w:rPr>
      <w:szCs w:val="20"/>
      <w:lang w:val="es-ES" w:eastAsia="es-ES"/>
    </w:rPr>
  </w:style>
  <w:style w:type="paragraph" w:customStyle="1" w:styleId="Title2">
    <w:name w:val="Title2"/>
    <w:basedOn w:val="a1"/>
    <w:link w:val="Title2CarCar"/>
    <w:rsid w:val="00AC2C09"/>
    <w:pPr>
      <w:keepNext/>
      <w:spacing w:before="240" w:after="120" w:line="320" w:lineRule="atLeast"/>
    </w:pPr>
    <w:rPr>
      <w:b/>
      <w:szCs w:val="20"/>
      <w:lang w:val="en-GB" w:eastAsia="es-ES"/>
    </w:rPr>
  </w:style>
  <w:style w:type="character" w:customStyle="1" w:styleId="Title2CarCar">
    <w:name w:val="Title2 Car Car"/>
    <w:basedOn w:val="a2"/>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1"/>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a1"/>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b">
    <w:name w:val="footnote text"/>
    <w:basedOn w:val="a1"/>
    <w:semiHidden/>
    <w:rsid w:val="003869E8"/>
    <w:rPr>
      <w:sz w:val="20"/>
      <w:szCs w:val="20"/>
    </w:rPr>
  </w:style>
  <w:style w:type="character" w:styleId="ac">
    <w:name w:val="footnote reference"/>
    <w:basedOn w:val="a2"/>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2"/>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d">
    <w:name w:val="Placeholder Text"/>
    <w:basedOn w:val="a2"/>
    <w:uiPriority w:val="99"/>
    <w:semiHidden/>
    <w:rsid w:val="00653551"/>
    <w:rPr>
      <w:color w:val="808080"/>
    </w:rPr>
  </w:style>
  <w:style w:type="character" w:customStyle="1" w:styleId="NichtaufgelsteErwhnung1">
    <w:name w:val="Nicht aufgelöste Erwähnung1"/>
    <w:basedOn w:val="a2"/>
    <w:uiPriority w:val="99"/>
    <w:semiHidden/>
    <w:unhideWhenUsed/>
    <w:rsid w:val="00E218E2"/>
    <w:rPr>
      <w:color w:val="605E5C"/>
      <w:shd w:val="clear" w:color="auto" w:fill="E1DFDD"/>
    </w:rPr>
  </w:style>
  <w:style w:type="paragraph" w:styleId="ae">
    <w:name w:val="Revision"/>
    <w:hidden/>
    <w:uiPriority w:val="99"/>
    <w:semiHidden/>
    <w:rsid w:val="00FA4DF8"/>
    <w:rPr>
      <w:sz w:val="24"/>
      <w:szCs w:val="24"/>
      <w:lang w:val="de-DE" w:eastAsia="de-DE"/>
    </w:rPr>
  </w:style>
  <w:style w:type="paragraph" w:styleId="af">
    <w:name w:val="header"/>
    <w:basedOn w:val="a1"/>
    <w:link w:val="af0"/>
    <w:uiPriority w:val="99"/>
    <w:unhideWhenUsed/>
    <w:rsid w:val="009F4C5F"/>
    <w:pPr>
      <w:tabs>
        <w:tab w:val="center" w:pos="4153"/>
        <w:tab w:val="right" w:pos="8306"/>
      </w:tabs>
      <w:snapToGrid w:val="0"/>
      <w:jc w:val="center"/>
    </w:pPr>
    <w:rPr>
      <w:sz w:val="18"/>
      <w:szCs w:val="18"/>
    </w:rPr>
  </w:style>
  <w:style w:type="character" w:customStyle="1" w:styleId="af0">
    <w:name w:val="页眉 字符"/>
    <w:basedOn w:val="a2"/>
    <w:link w:val="af"/>
    <w:uiPriority w:val="99"/>
    <w:rsid w:val="009F4C5F"/>
    <w:rPr>
      <w:sz w:val="18"/>
      <w:szCs w:val="18"/>
      <w:lang w:val="de-DE" w:eastAsia="de-DE"/>
    </w:rPr>
  </w:style>
  <w:style w:type="paragraph" w:styleId="af1">
    <w:name w:val="footer"/>
    <w:basedOn w:val="a1"/>
    <w:link w:val="af2"/>
    <w:uiPriority w:val="99"/>
    <w:unhideWhenUsed/>
    <w:rsid w:val="009F4C5F"/>
    <w:pPr>
      <w:tabs>
        <w:tab w:val="center" w:pos="4153"/>
        <w:tab w:val="right" w:pos="8306"/>
      </w:tabs>
      <w:snapToGrid w:val="0"/>
    </w:pPr>
    <w:rPr>
      <w:sz w:val="18"/>
      <w:szCs w:val="18"/>
    </w:rPr>
  </w:style>
  <w:style w:type="character" w:customStyle="1" w:styleId="af2">
    <w:name w:val="页脚 字符"/>
    <w:basedOn w:val="a2"/>
    <w:link w:val="af1"/>
    <w:uiPriority w:val="99"/>
    <w:rsid w:val="009F4C5F"/>
    <w:rPr>
      <w:sz w:val="18"/>
      <w:szCs w:val="18"/>
      <w:lang w:val="de-DE" w:eastAsia="de-DE"/>
    </w:rPr>
  </w:style>
  <w:style w:type="paragraph" w:styleId="af3">
    <w:name w:val="Bibliography"/>
    <w:basedOn w:val="a1"/>
    <w:next w:val="a1"/>
    <w:uiPriority w:val="37"/>
    <w:unhideWhenUsed/>
    <w:rsid w:val="00C47B86"/>
    <w:pPr>
      <w:ind w:left="720" w:hanging="720"/>
    </w:pPr>
  </w:style>
  <w:style w:type="paragraph" w:styleId="af4">
    <w:name w:val="List Paragraph"/>
    <w:basedOn w:val="a1"/>
    <w:uiPriority w:val="34"/>
    <w:rsid w:val="00C3258D"/>
    <w:pPr>
      <w:ind w:firstLineChars="200" w:firstLine="420"/>
    </w:pPr>
  </w:style>
  <w:style w:type="character" w:styleId="af5">
    <w:name w:val="Unresolved Mention"/>
    <w:basedOn w:val="a2"/>
    <w:uiPriority w:val="99"/>
    <w:semiHidden/>
    <w:unhideWhenUsed/>
    <w:rsid w:val="007F3DD7"/>
    <w:rPr>
      <w:color w:val="605E5C"/>
      <w:shd w:val="clear" w:color="auto" w:fill="E1DFDD"/>
    </w:rPr>
  </w:style>
  <w:style w:type="character" w:customStyle="1" w:styleId="katex-mathml">
    <w:name w:val="katex-mathml"/>
    <w:basedOn w:val="a2"/>
    <w:rsid w:val="007C0E2A"/>
  </w:style>
  <w:style w:type="character" w:customStyle="1" w:styleId="mord">
    <w:name w:val="mord"/>
    <w:basedOn w:val="a2"/>
    <w:rsid w:val="007C0E2A"/>
  </w:style>
  <w:style w:type="character" w:customStyle="1" w:styleId="mpunct">
    <w:name w:val="mpunct"/>
    <w:basedOn w:val="a2"/>
    <w:rsid w:val="007C0E2A"/>
  </w:style>
  <w:style w:type="character" w:customStyle="1" w:styleId="vlist-s">
    <w:name w:val="vlist-s"/>
    <w:basedOn w:val="a2"/>
    <w:rsid w:val="007C0E2A"/>
  </w:style>
  <w:style w:type="character" w:customStyle="1" w:styleId="mrel">
    <w:name w:val="mrel"/>
    <w:basedOn w:val="a2"/>
    <w:rsid w:val="007C0E2A"/>
  </w:style>
  <w:style w:type="paragraph" w:customStyle="1" w:styleId="pdq2pgselectionanchorcontainer">
    <w:name w:val="pdq2pg_selectionanchorcontainer"/>
    <w:basedOn w:val="a1"/>
    <w:rsid w:val="005C2779"/>
    <w:pPr>
      <w:spacing w:before="100" w:beforeAutospacing="1" w:after="100" w:afterAutospacing="1"/>
    </w:pPr>
    <w:rPr>
      <w:rFonts w:ascii="宋体" w:eastAsia="宋体" w:hAnsi="宋体" w:cs="宋体"/>
      <w:lang w:val="en-US" w:eastAsia="zh-CN"/>
    </w:rPr>
  </w:style>
  <w:style w:type="paragraph" w:styleId="af6">
    <w:name w:val="Normal (Web)"/>
    <w:basedOn w:val="a1"/>
    <w:uiPriority w:val="99"/>
    <w:semiHidden/>
    <w:unhideWhenUsed/>
    <w:rsid w:val="005C2779"/>
    <w:pPr>
      <w:spacing w:before="100" w:beforeAutospacing="1" w:after="100" w:afterAutospacing="1"/>
    </w:pPr>
    <w:rPr>
      <w:rFonts w:ascii="宋体" w:eastAsia="宋体" w:hAnsi="宋体" w:cs="宋体"/>
      <w:lang w:val="en-US" w:eastAsia="zh-CN"/>
    </w:rPr>
  </w:style>
  <w:style w:type="paragraph" w:styleId="HTML">
    <w:name w:val="HTML Address"/>
    <w:basedOn w:val="a1"/>
    <w:link w:val="HTML0"/>
    <w:uiPriority w:val="99"/>
    <w:semiHidden/>
    <w:unhideWhenUsed/>
    <w:rsid w:val="005D234A"/>
    <w:rPr>
      <w:i/>
      <w:iCs/>
    </w:rPr>
  </w:style>
  <w:style w:type="character" w:customStyle="1" w:styleId="HTML0">
    <w:name w:val="HTML 地址 字符"/>
    <w:basedOn w:val="a2"/>
    <w:link w:val="HTML"/>
    <w:uiPriority w:val="99"/>
    <w:semiHidden/>
    <w:rsid w:val="005D234A"/>
    <w:rPr>
      <w:i/>
      <w:iCs/>
      <w:sz w:val="24"/>
      <w:szCs w:val="24"/>
      <w:lang w:val="de-DE" w:eastAsia="de-DE"/>
    </w:rPr>
  </w:style>
  <w:style w:type="paragraph" w:styleId="HTML1">
    <w:name w:val="HTML Preformatted"/>
    <w:basedOn w:val="a1"/>
    <w:link w:val="HTML2"/>
    <w:uiPriority w:val="99"/>
    <w:semiHidden/>
    <w:unhideWhenUsed/>
    <w:rsid w:val="005D234A"/>
    <w:rPr>
      <w:rFonts w:ascii="Courier New" w:hAnsi="Courier New" w:cs="Courier New"/>
      <w:sz w:val="20"/>
      <w:szCs w:val="20"/>
    </w:rPr>
  </w:style>
  <w:style w:type="character" w:customStyle="1" w:styleId="HTML2">
    <w:name w:val="HTML 预设格式 字符"/>
    <w:basedOn w:val="a2"/>
    <w:link w:val="HTML1"/>
    <w:uiPriority w:val="99"/>
    <w:semiHidden/>
    <w:rsid w:val="005D234A"/>
    <w:rPr>
      <w:rFonts w:ascii="Courier New" w:hAnsi="Courier New" w:cs="Courier New"/>
      <w:lang w:val="de-DE" w:eastAsia="de-DE"/>
    </w:rPr>
  </w:style>
  <w:style w:type="paragraph" w:styleId="TOC1">
    <w:name w:val="toc 1"/>
    <w:basedOn w:val="a1"/>
    <w:next w:val="a1"/>
    <w:autoRedefine/>
    <w:uiPriority w:val="39"/>
    <w:semiHidden/>
    <w:unhideWhenUsed/>
    <w:rsid w:val="005D234A"/>
  </w:style>
  <w:style w:type="paragraph" w:styleId="TOC2">
    <w:name w:val="toc 2"/>
    <w:basedOn w:val="a1"/>
    <w:next w:val="a1"/>
    <w:autoRedefine/>
    <w:uiPriority w:val="39"/>
    <w:semiHidden/>
    <w:unhideWhenUsed/>
    <w:rsid w:val="005D234A"/>
    <w:pPr>
      <w:ind w:leftChars="200" w:left="420"/>
    </w:pPr>
  </w:style>
  <w:style w:type="paragraph" w:styleId="TOC3">
    <w:name w:val="toc 3"/>
    <w:basedOn w:val="a1"/>
    <w:next w:val="a1"/>
    <w:autoRedefine/>
    <w:uiPriority w:val="39"/>
    <w:semiHidden/>
    <w:unhideWhenUsed/>
    <w:rsid w:val="005D234A"/>
    <w:pPr>
      <w:ind w:leftChars="400" w:left="840"/>
    </w:pPr>
  </w:style>
  <w:style w:type="paragraph" w:styleId="TOC4">
    <w:name w:val="toc 4"/>
    <w:basedOn w:val="a1"/>
    <w:next w:val="a1"/>
    <w:autoRedefine/>
    <w:uiPriority w:val="39"/>
    <w:semiHidden/>
    <w:unhideWhenUsed/>
    <w:rsid w:val="005D234A"/>
    <w:pPr>
      <w:ind w:leftChars="600" w:left="1260"/>
    </w:pPr>
  </w:style>
  <w:style w:type="paragraph" w:styleId="TOC5">
    <w:name w:val="toc 5"/>
    <w:basedOn w:val="a1"/>
    <w:next w:val="a1"/>
    <w:autoRedefine/>
    <w:uiPriority w:val="39"/>
    <w:semiHidden/>
    <w:unhideWhenUsed/>
    <w:rsid w:val="005D234A"/>
    <w:pPr>
      <w:ind w:leftChars="800" w:left="1680"/>
    </w:pPr>
  </w:style>
  <w:style w:type="paragraph" w:styleId="TOC6">
    <w:name w:val="toc 6"/>
    <w:basedOn w:val="a1"/>
    <w:next w:val="a1"/>
    <w:autoRedefine/>
    <w:uiPriority w:val="39"/>
    <w:semiHidden/>
    <w:unhideWhenUsed/>
    <w:rsid w:val="005D234A"/>
    <w:pPr>
      <w:ind w:leftChars="1000" w:left="2100"/>
    </w:pPr>
  </w:style>
  <w:style w:type="paragraph" w:styleId="TOC7">
    <w:name w:val="toc 7"/>
    <w:basedOn w:val="a1"/>
    <w:next w:val="a1"/>
    <w:autoRedefine/>
    <w:uiPriority w:val="39"/>
    <w:semiHidden/>
    <w:unhideWhenUsed/>
    <w:rsid w:val="005D234A"/>
    <w:pPr>
      <w:ind w:leftChars="1200" w:left="2520"/>
    </w:pPr>
  </w:style>
  <w:style w:type="paragraph" w:styleId="TOC8">
    <w:name w:val="toc 8"/>
    <w:basedOn w:val="a1"/>
    <w:next w:val="a1"/>
    <w:autoRedefine/>
    <w:uiPriority w:val="39"/>
    <w:semiHidden/>
    <w:unhideWhenUsed/>
    <w:rsid w:val="005D234A"/>
    <w:pPr>
      <w:ind w:leftChars="1400" w:left="2940"/>
    </w:pPr>
  </w:style>
  <w:style w:type="paragraph" w:styleId="TOC9">
    <w:name w:val="toc 9"/>
    <w:basedOn w:val="a1"/>
    <w:next w:val="a1"/>
    <w:autoRedefine/>
    <w:uiPriority w:val="39"/>
    <w:semiHidden/>
    <w:unhideWhenUsed/>
    <w:rsid w:val="005D234A"/>
    <w:pPr>
      <w:ind w:leftChars="1600" w:left="3360"/>
    </w:pPr>
  </w:style>
  <w:style w:type="paragraph" w:styleId="TOC">
    <w:name w:val="TOC Heading"/>
    <w:basedOn w:val="1"/>
    <w:next w:val="a1"/>
    <w:uiPriority w:val="39"/>
    <w:semiHidden/>
    <w:unhideWhenUsed/>
    <w:qFormat/>
    <w:rsid w:val="005D234A"/>
    <w:pPr>
      <w:keepLines/>
      <w:spacing w:before="340" w:after="330" w:line="578" w:lineRule="auto"/>
      <w:outlineLvl w:val="9"/>
    </w:pPr>
    <w:rPr>
      <w:bCs/>
      <w:kern w:val="44"/>
      <w:sz w:val="44"/>
      <w:szCs w:val="44"/>
      <w:lang w:val="de-DE"/>
    </w:rPr>
  </w:style>
  <w:style w:type="paragraph" w:styleId="af7">
    <w:name w:val="Title"/>
    <w:basedOn w:val="a1"/>
    <w:next w:val="a1"/>
    <w:link w:val="af8"/>
    <w:uiPriority w:val="10"/>
    <w:rsid w:val="005D234A"/>
    <w:pPr>
      <w:spacing w:before="240" w:after="60"/>
      <w:jc w:val="center"/>
      <w:outlineLvl w:val="0"/>
    </w:pPr>
    <w:rPr>
      <w:rFonts w:asciiTheme="majorHAnsi" w:eastAsiaTheme="majorEastAsia" w:hAnsiTheme="majorHAnsi" w:cstheme="majorBidi"/>
      <w:b/>
      <w:bCs/>
      <w:sz w:val="32"/>
      <w:szCs w:val="32"/>
    </w:rPr>
  </w:style>
  <w:style w:type="character" w:customStyle="1" w:styleId="af8">
    <w:name w:val="标题 字符"/>
    <w:basedOn w:val="a2"/>
    <w:link w:val="af7"/>
    <w:uiPriority w:val="10"/>
    <w:rsid w:val="005D234A"/>
    <w:rPr>
      <w:rFonts w:asciiTheme="majorHAnsi" w:eastAsiaTheme="majorEastAsia" w:hAnsiTheme="majorHAnsi" w:cstheme="majorBidi"/>
      <w:b/>
      <w:bCs/>
      <w:sz w:val="32"/>
      <w:szCs w:val="32"/>
      <w:lang w:val="de-DE" w:eastAsia="de-DE"/>
    </w:rPr>
  </w:style>
  <w:style w:type="paragraph" w:styleId="af9">
    <w:name w:val="Salutation"/>
    <w:basedOn w:val="a1"/>
    <w:next w:val="a1"/>
    <w:link w:val="afa"/>
    <w:uiPriority w:val="99"/>
    <w:semiHidden/>
    <w:unhideWhenUsed/>
    <w:rsid w:val="005D234A"/>
  </w:style>
  <w:style w:type="character" w:customStyle="1" w:styleId="afa">
    <w:name w:val="称呼 字符"/>
    <w:basedOn w:val="a2"/>
    <w:link w:val="af9"/>
    <w:uiPriority w:val="99"/>
    <w:semiHidden/>
    <w:rsid w:val="005D234A"/>
    <w:rPr>
      <w:sz w:val="24"/>
      <w:szCs w:val="24"/>
      <w:lang w:val="de-DE" w:eastAsia="de-DE"/>
    </w:rPr>
  </w:style>
  <w:style w:type="paragraph" w:styleId="afb">
    <w:name w:val="Plain Text"/>
    <w:basedOn w:val="a1"/>
    <w:link w:val="afc"/>
    <w:uiPriority w:val="99"/>
    <w:semiHidden/>
    <w:unhideWhenUsed/>
    <w:rsid w:val="005D234A"/>
    <w:rPr>
      <w:rFonts w:asciiTheme="minorEastAsia" w:hAnsi="Courier New" w:cs="Courier New"/>
    </w:rPr>
  </w:style>
  <w:style w:type="character" w:customStyle="1" w:styleId="afc">
    <w:name w:val="纯文本 字符"/>
    <w:basedOn w:val="a2"/>
    <w:link w:val="afb"/>
    <w:uiPriority w:val="99"/>
    <w:semiHidden/>
    <w:rsid w:val="005D234A"/>
    <w:rPr>
      <w:rFonts w:asciiTheme="minorEastAsia" w:hAnsi="Courier New" w:cs="Courier New"/>
      <w:sz w:val="24"/>
      <w:szCs w:val="24"/>
      <w:lang w:val="de-DE" w:eastAsia="de-DE"/>
    </w:rPr>
  </w:style>
  <w:style w:type="paragraph" w:styleId="afd">
    <w:name w:val="E-mail Signature"/>
    <w:basedOn w:val="a1"/>
    <w:link w:val="afe"/>
    <w:uiPriority w:val="99"/>
    <w:semiHidden/>
    <w:unhideWhenUsed/>
    <w:rsid w:val="005D234A"/>
  </w:style>
  <w:style w:type="character" w:customStyle="1" w:styleId="afe">
    <w:name w:val="电子邮件签名 字符"/>
    <w:basedOn w:val="a2"/>
    <w:link w:val="afd"/>
    <w:uiPriority w:val="99"/>
    <w:semiHidden/>
    <w:rsid w:val="005D234A"/>
    <w:rPr>
      <w:sz w:val="24"/>
      <w:szCs w:val="24"/>
      <w:lang w:val="de-DE" w:eastAsia="de-DE"/>
    </w:rPr>
  </w:style>
  <w:style w:type="paragraph" w:styleId="aff">
    <w:name w:val="Subtitle"/>
    <w:basedOn w:val="a1"/>
    <w:next w:val="a1"/>
    <w:link w:val="aff0"/>
    <w:uiPriority w:val="11"/>
    <w:rsid w:val="005D234A"/>
    <w:pPr>
      <w:spacing w:before="240" w:after="60" w:line="312" w:lineRule="auto"/>
      <w:jc w:val="center"/>
      <w:outlineLvl w:val="1"/>
    </w:pPr>
    <w:rPr>
      <w:rFonts w:asciiTheme="minorHAnsi" w:hAnsiTheme="minorHAnsi" w:cstheme="minorBidi"/>
      <w:b/>
      <w:bCs/>
      <w:kern w:val="28"/>
      <w:sz w:val="32"/>
      <w:szCs w:val="32"/>
    </w:rPr>
  </w:style>
  <w:style w:type="character" w:customStyle="1" w:styleId="aff0">
    <w:name w:val="副标题 字符"/>
    <w:basedOn w:val="a2"/>
    <w:link w:val="aff"/>
    <w:uiPriority w:val="11"/>
    <w:rsid w:val="005D234A"/>
    <w:rPr>
      <w:rFonts w:asciiTheme="minorHAnsi" w:hAnsiTheme="minorHAnsi" w:cstheme="minorBidi"/>
      <w:b/>
      <w:bCs/>
      <w:kern w:val="28"/>
      <w:sz w:val="32"/>
      <w:szCs w:val="32"/>
      <w:lang w:val="de-DE" w:eastAsia="de-DE"/>
    </w:rPr>
  </w:style>
  <w:style w:type="paragraph" w:styleId="aff1">
    <w:name w:val="macro"/>
    <w:link w:val="aff2"/>
    <w:uiPriority w:val="99"/>
    <w:semiHidden/>
    <w:unhideWhenUsed/>
    <w:rsid w:val="005D234A"/>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lang w:val="de-DE" w:eastAsia="de-DE"/>
    </w:rPr>
  </w:style>
  <w:style w:type="character" w:customStyle="1" w:styleId="aff2">
    <w:name w:val="宏文本 字符"/>
    <w:basedOn w:val="a2"/>
    <w:link w:val="aff1"/>
    <w:uiPriority w:val="99"/>
    <w:semiHidden/>
    <w:rsid w:val="005D234A"/>
    <w:rPr>
      <w:rFonts w:ascii="Courier New" w:eastAsia="宋体" w:hAnsi="Courier New" w:cs="Courier New"/>
      <w:sz w:val="24"/>
      <w:szCs w:val="24"/>
      <w:lang w:val="de-DE" w:eastAsia="de-DE"/>
    </w:rPr>
  </w:style>
  <w:style w:type="paragraph" w:styleId="aff3">
    <w:name w:val="envelope return"/>
    <w:basedOn w:val="a1"/>
    <w:uiPriority w:val="99"/>
    <w:semiHidden/>
    <w:unhideWhenUsed/>
    <w:rsid w:val="005D234A"/>
    <w:pPr>
      <w:snapToGrid w:val="0"/>
    </w:pPr>
    <w:rPr>
      <w:rFonts w:asciiTheme="majorHAnsi" w:eastAsiaTheme="majorEastAsia" w:hAnsiTheme="majorHAnsi" w:cstheme="majorBidi"/>
    </w:rPr>
  </w:style>
  <w:style w:type="paragraph" w:styleId="aff4">
    <w:name w:val="Closing"/>
    <w:basedOn w:val="a1"/>
    <w:link w:val="aff5"/>
    <w:uiPriority w:val="99"/>
    <w:semiHidden/>
    <w:unhideWhenUsed/>
    <w:rsid w:val="005D234A"/>
    <w:pPr>
      <w:ind w:leftChars="2100" w:left="100"/>
    </w:pPr>
  </w:style>
  <w:style w:type="character" w:customStyle="1" w:styleId="aff5">
    <w:name w:val="结束语 字符"/>
    <w:basedOn w:val="a2"/>
    <w:link w:val="aff4"/>
    <w:uiPriority w:val="99"/>
    <w:semiHidden/>
    <w:rsid w:val="005D234A"/>
    <w:rPr>
      <w:sz w:val="24"/>
      <w:szCs w:val="24"/>
      <w:lang w:val="de-DE" w:eastAsia="de-DE"/>
    </w:rPr>
  </w:style>
  <w:style w:type="paragraph" w:styleId="aff6">
    <w:name w:val="List"/>
    <w:basedOn w:val="a1"/>
    <w:uiPriority w:val="99"/>
    <w:semiHidden/>
    <w:unhideWhenUsed/>
    <w:rsid w:val="005D234A"/>
    <w:pPr>
      <w:ind w:left="200" w:hangingChars="200" w:hanging="200"/>
      <w:contextualSpacing/>
    </w:pPr>
  </w:style>
  <w:style w:type="paragraph" w:styleId="22">
    <w:name w:val="List 2"/>
    <w:basedOn w:val="a1"/>
    <w:uiPriority w:val="99"/>
    <w:semiHidden/>
    <w:unhideWhenUsed/>
    <w:rsid w:val="005D234A"/>
    <w:pPr>
      <w:ind w:leftChars="200" w:left="100" w:hangingChars="200" w:hanging="200"/>
      <w:contextualSpacing/>
    </w:pPr>
  </w:style>
  <w:style w:type="paragraph" w:styleId="32">
    <w:name w:val="List 3"/>
    <w:basedOn w:val="a1"/>
    <w:uiPriority w:val="99"/>
    <w:semiHidden/>
    <w:unhideWhenUsed/>
    <w:rsid w:val="005D234A"/>
    <w:pPr>
      <w:ind w:leftChars="400" w:left="100" w:hangingChars="200" w:hanging="200"/>
      <w:contextualSpacing/>
    </w:pPr>
  </w:style>
  <w:style w:type="paragraph" w:styleId="42">
    <w:name w:val="List 4"/>
    <w:basedOn w:val="a1"/>
    <w:uiPriority w:val="99"/>
    <w:semiHidden/>
    <w:unhideWhenUsed/>
    <w:rsid w:val="005D234A"/>
    <w:pPr>
      <w:ind w:leftChars="600" w:left="100" w:hangingChars="200" w:hanging="200"/>
      <w:contextualSpacing/>
    </w:pPr>
  </w:style>
  <w:style w:type="paragraph" w:styleId="52">
    <w:name w:val="List 5"/>
    <w:basedOn w:val="a1"/>
    <w:uiPriority w:val="99"/>
    <w:semiHidden/>
    <w:unhideWhenUsed/>
    <w:rsid w:val="005D234A"/>
    <w:pPr>
      <w:ind w:leftChars="800" w:left="100" w:hangingChars="200" w:hanging="200"/>
      <w:contextualSpacing/>
    </w:pPr>
  </w:style>
  <w:style w:type="paragraph" w:styleId="a">
    <w:name w:val="List Number"/>
    <w:basedOn w:val="a1"/>
    <w:uiPriority w:val="99"/>
    <w:semiHidden/>
    <w:unhideWhenUsed/>
    <w:rsid w:val="005D234A"/>
    <w:pPr>
      <w:numPr>
        <w:numId w:val="32"/>
      </w:numPr>
      <w:contextualSpacing/>
    </w:pPr>
  </w:style>
  <w:style w:type="paragraph" w:styleId="2">
    <w:name w:val="List Number 2"/>
    <w:basedOn w:val="a1"/>
    <w:uiPriority w:val="99"/>
    <w:semiHidden/>
    <w:unhideWhenUsed/>
    <w:rsid w:val="005D234A"/>
    <w:pPr>
      <w:numPr>
        <w:numId w:val="33"/>
      </w:numPr>
      <w:contextualSpacing/>
    </w:pPr>
  </w:style>
  <w:style w:type="paragraph" w:styleId="3">
    <w:name w:val="List Number 3"/>
    <w:basedOn w:val="a1"/>
    <w:uiPriority w:val="99"/>
    <w:semiHidden/>
    <w:unhideWhenUsed/>
    <w:rsid w:val="005D234A"/>
    <w:pPr>
      <w:numPr>
        <w:numId w:val="34"/>
      </w:numPr>
      <w:contextualSpacing/>
    </w:pPr>
  </w:style>
  <w:style w:type="paragraph" w:styleId="4">
    <w:name w:val="List Number 4"/>
    <w:basedOn w:val="a1"/>
    <w:uiPriority w:val="99"/>
    <w:semiHidden/>
    <w:unhideWhenUsed/>
    <w:rsid w:val="005D234A"/>
    <w:pPr>
      <w:numPr>
        <w:numId w:val="35"/>
      </w:numPr>
      <w:contextualSpacing/>
    </w:pPr>
  </w:style>
  <w:style w:type="paragraph" w:styleId="5">
    <w:name w:val="List Number 5"/>
    <w:basedOn w:val="a1"/>
    <w:uiPriority w:val="99"/>
    <w:semiHidden/>
    <w:unhideWhenUsed/>
    <w:rsid w:val="005D234A"/>
    <w:pPr>
      <w:numPr>
        <w:numId w:val="36"/>
      </w:numPr>
      <w:contextualSpacing/>
    </w:pPr>
  </w:style>
  <w:style w:type="paragraph" w:styleId="aff7">
    <w:name w:val="List Continue"/>
    <w:basedOn w:val="a1"/>
    <w:uiPriority w:val="99"/>
    <w:semiHidden/>
    <w:unhideWhenUsed/>
    <w:rsid w:val="005D234A"/>
    <w:pPr>
      <w:spacing w:after="120"/>
      <w:ind w:leftChars="200" w:left="420"/>
      <w:contextualSpacing/>
    </w:pPr>
  </w:style>
  <w:style w:type="paragraph" w:styleId="23">
    <w:name w:val="List Continue 2"/>
    <w:basedOn w:val="a1"/>
    <w:uiPriority w:val="99"/>
    <w:semiHidden/>
    <w:unhideWhenUsed/>
    <w:rsid w:val="005D234A"/>
    <w:pPr>
      <w:spacing w:after="120"/>
      <w:ind w:leftChars="400" w:left="840"/>
      <w:contextualSpacing/>
    </w:pPr>
  </w:style>
  <w:style w:type="paragraph" w:styleId="33">
    <w:name w:val="List Continue 3"/>
    <w:basedOn w:val="a1"/>
    <w:uiPriority w:val="99"/>
    <w:semiHidden/>
    <w:unhideWhenUsed/>
    <w:rsid w:val="005D234A"/>
    <w:pPr>
      <w:spacing w:after="120"/>
      <w:ind w:leftChars="600" w:left="1260"/>
      <w:contextualSpacing/>
    </w:pPr>
  </w:style>
  <w:style w:type="paragraph" w:styleId="43">
    <w:name w:val="List Continue 4"/>
    <w:basedOn w:val="a1"/>
    <w:uiPriority w:val="99"/>
    <w:semiHidden/>
    <w:unhideWhenUsed/>
    <w:rsid w:val="005D234A"/>
    <w:pPr>
      <w:spacing w:after="120"/>
      <w:ind w:leftChars="800" w:left="1680"/>
      <w:contextualSpacing/>
    </w:pPr>
  </w:style>
  <w:style w:type="paragraph" w:styleId="53">
    <w:name w:val="List Continue 5"/>
    <w:basedOn w:val="a1"/>
    <w:uiPriority w:val="99"/>
    <w:semiHidden/>
    <w:unhideWhenUsed/>
    <w:rsid w:val="005D234A"/>
    <w:pPr>
      <w:spacing w:after="120"/>
      <w:ind w:leftChars="1000" w:left="2100"/>
      <w:contextualSpacing/>
    </w:pPr>
  </w:style>
  <w:style w:type="paragraph" w:styleId="20">
    <w:name w:val="List Bullet 2"/>
    <w:basedOn w:val="a1"/>
    <w:uiPriority w:val="99"/>
    <w:semiHidden/>
    <w:unhideWhenUsed/>
    <w:rsid w:val="005D234A"/>
    <w:pPr>
      <w:numPr>
        <w:numId w:val="5"/>
      </w:numPr>
      <w:contextualSpacing/>
    </w:pPr>
  </w:style>
  <w:style w:type="paragraph" w:styleId="30">
    <w:name w:val="List Bullet 3"/>
    <w:basedOn w:val="a1"/>
    <w:uiPriority w:val="99"/>
    <w:semiHidden/>
    <w:unhideWhenUsed/>
    <w:rsid w:val="005D234A"/>
    <w:pPr>
      <w:numPr>
        <w:numId w:val="6"/>
      </w:numPr>
      <w:contextualSpacing/>
    </w:pPr>
  </w:style>
  <w:style w:type="paragraph" w:styleId="40">
    <w:name w:val="List Bullet 4"/>
    <w:basedOn w:val="a1"/>
    <w:uiPriority w:val="99"/>
    <w:semiHidden/>
    <w:unhideWhenUsed/>
    <w:rsid w:val="005D234A"/>
    <w:pPr>
      <w:numPr>
        <w:numId w:val="8"/>
      </w:numPr>
      <w:contextualSpacing/>
    </w:pPr>
  </w:style>
  <w:style w:type="paragraph" w:styleId="50">
    <w:name w:val="List Bullet 5"/>
    <w:basedOn w:val="a1"/>
    <w:uiPriority w:val="99"/>
    <w:semiHidden/>
    <w:unhideWhenUsed/>
    <w:rsid w:val="005D234A"/>
    <w:pPr>
      <w:numPr>
        <w:numId w:val="9"/>
      </w:numPr>
      <w:contextualSpacing/>
    </w:pPr>
  </w:style>
  <w:style w:type="paragraph" w:styleId="aff8">
    <w:name w:val="Intense Quote"/>
    <w:basedOn w:val="a1"/>
    <w:next w:val="a1"/>
    <w:link w:val="aff9"/>
    <w:uiPriority w:val="30"/>
    <w:rsid w:val="005D234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9">
    <w:name w:val="明显引用 字符"/>
    <w:basedOn w:val="a2"/>
    <w:link w:val="aff8"/>
    <w:uiPriority w:val="30"/>
    <w:rsid w:val="005D234A"/>
    <w:rPr>
      <w:i/>
      <w:iCs/>
      <w:color w:val="4F81BD" w:themeColor="accent1"/>
      <w:sz w:val="24"/>
      <w:szCs w:val="24"/>
      <w:lang w:val="de-DE" w:eastAsia="de-DE"/>
    </w:rPr>
  </w:style>
  <w:style w:type="paragraph" w:styleId="affa">
    <w:name w:val="Signature"/>
    <w:basedOn w:val="a1"/>
    <w:link w:val="affb"/>
    <w:uiPriority w:val="99"/>
    <w:semiHidden/>
    <w:unhideWhenUsed/>
    <w:rsid w:val="005D234A"/>
    <w:pPr>
      <w:ind w:leftChars="2100" w:left="100"/>
    </w:pPr>
  </w:style>
  <w:style w:type="character" w:customStyle="1" w:styleId="affb">
    <w:name w:val="签名 字符"/>
    <w:basedOn w:val="a2"/>
    <w:link w:val="affa"/>
    <w:uiPriority w:val="99"/>
    <w:semiHidden/>
    <w:rsid w:val="005D234A"/>
    <w:rPr>
      <w:sz w:val="24"/>
      <w:szCs w:val="24"/>
      <w:lang w:val="de-DE" w:eastAsia="de-DE"/>
    </w:rPr>
  </w:style>
  <w:style w:type="paragraph" w:styleId="affc">
    <w:name w:val="Date"/>
    <w:basedOn w:val="a1"/>
    <w:next w:val="a1"/>
    <w:link w:val="affd"/>
    <w:uiPriority w:val="99"/>
    <w:semiHidden/>
    <w:unhideWhenUsed/>
    <w:rsid w:val="005D234A"/>
    <w:pPr>
      <w:ind w:leftChars="2500" w:left="100"/>
    </w:pPr>
  </w:style>
  <w:style w:type="character" w:customStyle="1" w:styleId="affd">
    <w:name w:val="日期 字符"/>
    <w:basedOn w:val="a2"/>
    <w:link w:val="affc"/>
    <w:uiPriority w:val="99"/>
    <w:semiHidden/>
    <w:rsid w:val="005D234A"/>
    <w:rPr>
      <w:sz w:val="24"/>
      <w:szCs w:val="24"/>
      <w:lang w:val="de-DE" w:eastAsia="de-DE"/>
    </w:rPr>
  </w:style>
  <w:style w:type="paragraph" w:styleId="affe">
    <w:name w:val="envelope address"/>
    <w:basedOn w:val="a1"/>
    <w:uiPriority w:val="99"/>
    <w:semiHidden/>
    <w:unhideWhenUsed/>
    <w:rsid w:val="005D234A"/>
    <w:pPr>
      <w:framePr w:w="7920" w:h="1980" w:hRule="exact" w:hSpace="180" w:wrap="auto" w:hAnchor="page" w:xAlign="center" w:yAlign="bottom"/>
      <w:snapToGrid w:val="0"/>
      <w:ind w:leftChars="1400" w:left="100"/>
    </w:pPr>
    <w:rPr>
      <w:rFonts w:asciiTheme="majorHAnsi" w:eastAsiaTheme="majorEastAsia" w:hAnsiTheme="majorHAnsi" w:cstheme="majorBidi"/>
    </w:rPr>
  </w:style>
  <w:style w:type="paragraph" w:styleId="10">
    <w:name w:val="index 1"/>
    <w:basedOn w:val="a1"/>
    <w:next w:val="a1"/>
    <w:autoRedefine/>
    <w:uiPriority w:val="99"/>
    <w:semiHidden/>
    <w:unhideWhenUsed/>
    <w:rsid w:val="005D234A"/>
  </w:style>
  <w:style w:type="paragraph" w:styleId="24">
    <w:name w:val="index 2"/>
    <w:basedOn w:val="a1"/>
    <w:next w:val="a1"/>
    <w:autoRedefine/>
    <w:uiPriority w:val="99"/>
    <w:semiHidden/>
    <w:unhideWhenUsed/>
    <w:rsid w:val="005D234A"/>
    <w:pPr>
      <w:ind w:leftChars="200" w:left="200"/>
    </w:pPr>
  </w:style>
  <w:style w:type="paragraph" w:styleId="34">
    <w:name w:val="index 3"/>
    <w:basedOn w:val="a1"/>
    <w:next w:val="a1"/>
    <w:autoRedefine/>
    <w:uiPriority w:val="99"/>
    <w:semiHidden/>
    <w:unhideWhenUsed/>
    <w:rsid w:val="005D234A"/>
    <w:pPr>
      <w:ind w:leftChars="400" w:left="400"/>
    </w:pPr>
  </w:style>
  <w:style w:type="paragraph" w:styleId="44">
    <w:name w:val="index 4"/>
    <w:basedOn w:val="a1"/>
    <w:next w:val="a1"/>
    <w:autoRedefine/>
    <w:uiPriority w:val="99"/>
    <w:semiHidden/>
    <w:unhideWhenUsed/>
    <w:rsid w:val="005D234A"/>
    <w:pPr>
      <w:ind w:leftChars="600" w:left="600"/>
    </w:pPr>
  </w:style>
  <w:style w:type="paragraph" w:styleId="54">
    <w:name w:val="index 5"/>
    <w:basedOn w:val="a1"/>
    <w:next w:val="a1"/>
    <w:autoRedefine/>
    <w:uiPriority w:val="99"/>
    <w:semiHidden/>
    <w:unhideWhenUsed/>
    <w:rsid w:val="005D234A"/>
    <w:pPr>
      <w:ind w:leftChars="800" w:left="800"/>
    </w:pPr>
  </w:style>
  <w:style w:type="paragraph" w:styleId="60">
    <w:name w:val="index 6"/>
    <w:basedOn w:val="a1"/>
    <w:next w:val="a1"/>
    <w:autoRedefine/>
    <w:uiPriority w:val="99"/>
    <w:semiHidden/>
    <w:unhideWhenUsed/>
    <w:rsid w:val="005D234A"/>
    <w:pPr>
      <w:ind w:leftChars="1000" w:left="1000"/>
    </w:pPr>
  </w:style>
  <w:style w:type="paragraph" w:styleId="70">
    <w:name w:val="index 7"/>
    <w:basedOn w:val="a1"/>
    <w:next w:val="a1"/>
    <w:autoRedefine/>
    <w:uiPriority w:val="99"/>
    <w:semiHidden/>
    <w:unhideWhenUsed/>
    <w:rsid w:val="005D234A"/>
    <w:pPr>
      <w:ind w:leftChars="1200" w:left="1200"/>
    </w:pPr>
  </w:style>
  <w:style w:type="paragraph" w:styleId="80">
    <w:name w:val="index 8"/>
    <w:basedOn w:val="a1"/>
    <w:next w:val="a1"/>
    <w:autoRedefine/>
    <w:uiPriority w:val="99"/>
    <w:semiHidden/>
    <w:unhideWhenUsed/>
    <w:rsid w:val="005D234A"/>
    <w:pPr>
      <w:ind w:leftChars="1400" w:left="1400"/>
    </w:pPr>
  </w:style>
  <w:style w:type="paragraph" w:styleId="90">
    <w:name w:val="index 9"/>
    <w:basedOn w:val="a1"/>
    <w:next w:val="a1"/>
    <w:autoRedefine/>
    <w:uiPriority w:val="99"/>
    <w:semiHidden/>
    <w:unhideWhenUsed/>
    <w:rsid w:val="005D234A"/>
    <w:pPr>
      <w:ind w:leftChars="1600" w:left="1600"/>
    </w:pPr>
  </w:style>
  <w:style w:type="paragraph" w:styleId="afff">
    <w:name w:val="index heading"/>
    <w:basedOn w:val="a1"/>
    <w:next w:val="10"/>
    <w:uiPriority w:val="99"/>
    <w:semiHidden/>
    <w:unhideWhenUsed/>
    <w:rsid w:val="005D234A"/>
    <w:rPr>
      <w:rFonts w:asciiTheme="majorHAnsi" w:eastAsiaTheme="majorEastAsia" w:hAnsiTheme="majorHAnsi" w:cstheme="majorBidi"/>
      <w:b/>
      <w:bCs/>
    </w:rPr>
  </w:style>
  <w:style w:type="paragraph" w:styleId="afff0">
    <w:name w:val="caption"/>
    <w:basedOn w:val="a1"/>
    <w:next w:val="a1"/>
    <w:uiPriority w:val="35"/>
    <w:unhideWhenUsed/>
    <w:qFormat/>
    <w:rsid w:val="005D234A"/>
    <w:rPr>
      <w:rFonts w:asciiTheme="majorHAnsi" w:eastAsia="黑体" w:hAnsiTheme="majorHAnsi" w:cstheme="majorBidi"/>
      <w:sz w:val="20"/>
      <w:szCs w:val="20"/>
    </w:rPr>
  </w:style>
  <w:style w:type="paragraph" w:styleId="afff1">
    <w:name w:val="table of figures"/>
    <w:basedOn w:val="a1"/>
    <w:next w:val="a1"/>
    <w:uiPriority w:val="99"/>
    <w:semiHidden/>
    <w:unhideWhenUsed/>
    <w:rsid w:val="005D234A"/>
    <w:pPr>
      <w:ind w:leftChars="200" w:left="200" w:hangingChars="200" w:hanging="200"/>
    </w:pPr>
  </w:style>
  <w:style w:type="paragraph" w:styleId="afff2">
    <w:name w:val="endnote text"/>
    <w:basedOn w:val="a1"/>
    <w:link w:val="afff3"/>
    <w:uiPriority w:val="99"/>
    <w:semiHidden/>
    <w:unhideWhenUsed/>
    <w:rsid w:val="005D234A"/>
    <w:pPr>
      <w:snapToGrid w:val="0"/>
    </w:pPr>
  </w:style>
  <w:style w:type="character" w:customStyle="1" w:styleId="afff3">
    <w:name w:val="尾注文本 字符"/>
    <w:basedOn w:val="a2"/>
    <w:link w:val="afff2"/>
    <w:uiPriority w:val="99"/>
    <w:semiHidden/>
    <w:rsid w:val="005D234A"/>
    <w:rPr>
      <w:sz w:val="24"/>
      <w:szCs w:val="24"/>
      <w:lang w:val="de-DE" w:eastAsia="de-DE"/>
    </w:rPr>
  </w:style>
  <w:style w:type="paragraph" w:styleId="afff4">
    <w:name w:val="Block Text"/>
    <w:basedOn w:val="a1"/>
    <w:uiPriority w:val="99"/>
    <w:semiHidden/>
    <w:unhideWhenUsed/>
    <w:rsid w:val="005D234A"/>
    <w:pPr>
      <w:spacing w:after="120"/>
      <w:ind w:leftChars="700" w:left="1440" w:rightChars="700" w:right="1440"/>
    </w:pPr>
  </w:style>
  <w:style w:type="paragraph" w:styleId="afff5">
    <w:name w:val="Document Map"/>
    <w:basedOn w:val="a1"/>
    <w:link w:val="afff6"/>
    <w:uiPriority w:val="99"/>
    <w:semiHidden/>
    <w:unhideWhenUsed/>
    <w:rsid w:val="005D234A"/>
    <w:rPr>
      <w:rFonts w:ascii="Microsoft YaHei UI" w:eastAsia="Microsoft YaHei UI"/>
      <w:sz w:val="18"/>
      <w:szCs w:val="18"/>
    </w:rPr>
  </w:style>
  <w:style w:type="character" w:customStyle="1" w:styleId="afff6">
    <w:name w:val="文档结构图 字符"/>
    <w:basedOn w:val="a2"/>
    <w:link w:val="afff5"/>
    <w:uiPriority w:val="99"/>
    <w:semiHidden/>
    <w:rsid w:val="005D234A"/>
    <w:rPr>
      <w:rFonts w:ascii="Microsoft YaHei UI" w:eastAsia="Microsoft YaHei UI"/>
      <w:sz w:val="18"/>
      <w:szCs w:val="18"/>
      <w:lang w:val="de-DE" w:eastAsia="de-DE"/>
    </w:rPr>
  </w:style>
  <w:style w:type="paragraph" w:styleId="afff7">
    <w:name w:val="No Spacing"/>
    <w:uiPriority w:val="1"/>
    <w:rsid w:val="005D234A"/>
    <w:rPr>
      <w:sz w:val="24"/>
      <w:szCs w:val="24"/>
      <w:lang w:val="de-DE" w:eastAsia="de-DE"/>
    </w:rPr>
  </w:style>
  <w:style w:type="paragraph" w:styleId="afff8">
    <w:name w:val="Message Header"/>
    <w:basedOn w:val="a1"/>
    <w:link w:val="afff9"/>
    <w:uiPriority w:val="99"/>
    <w:semiHidden/>
    <w:unhideWhenUsed/>
    <w:rsid w:val="005D234A"/>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rPr>
  </w:style>
  <w:style w:type="character" w:customStyle="1" w:styleId="afff9">
    <w:name w:val="信息标题 字符"/>
    <w:basedOn w:val="a2"/>
    <w:link w:val="afff8"/>
    <w:uiPriority w:val="99"/>
    <w:semiHidden/>
    <w:rsid w:val="005D234A"/>
    <w:rPr>
      <w:rFonts w:asciiTheme="majorHAnsi" w:eastAsiaTheme="majorEastAsia" w:hAnsiTheme="majorHAnsi" w:cstheme="majorBidi"/>
      <w:sz w:val="24"/>
      <w:szCs w:val="24"/>
      <w:shd w:val="pct20" w:color="auto" w:fill="auto"/>
      <w:lang w:val="de-DE" w:eastAsia="de-DE"/>
    </w:rPr>
  </w:style>
  <w:style w:type="paragraph" w:styleId="afffa">
    <w:name w:val="table of authorities"/>
    <w:basedOn w:val="a1"/>
    <w:next w:val="a1"/>
    <w:uiPriority w:val="99"/>
    <w:semiHidden/>
    <w:unhideWhenUsed/>
    <w:rsid w:val="005D234A"/>
    <w:pPr>
      <w:ind w:leftChars="200" w:left="420"/>
    </w:pPr>
  </w:style>
  <w:style w:type="paragraph" w:styleId="afffb">
    <w:name w:val="toa heading"/>
    <w:basedOn w:val="a1"/>
    <w:next w:val="a1"/>
    <w:uiPriority w:val="99"/>
    <w:semiHidden/>
    <w:unhideWhenUsed/>
    <w:rsid w:val="005D234A"/>
    <w:pPr>
      <w:spacing w:before="120"/>
    </w:pPr>
    <w:rPr>
      <w:rFonts w:asciiTheme="majorHAnsi" w:eastAsiaTheme="majorEastAsia" w:hAnsiTheme="majorHAnsi" w:cstheme="majorBidi"/>
    </w:rPr>
  </w:style>
  <w:style w:type="paragraph" w:styleId="afffc">
    <w:name w:val="Quote"/>
    <w:basedOn w:val="a1"/>
    <w:next w:val="a1"/>
    <w:link w:val="afffd"/>
    <w:uiPriority w:val="29"/>
    <w:rsid w:val="005D234A"/>
    <w:pPr>
      <w:spacing w:before="200" w:after="160"/>
      <w:ind w:left="864" w:right="864"/>
      <w:jc w:val="center"/>
    </w:pPr>
    <w:rPr>
      <w:i/>
      <w:iCs/>
      <w:color w:val="404040" w:themeColor="text1" w:themeTint="BF"/>
    </w:rPr>
  </w:style>
  <w:style w:type="character" w:customStyle="1" w:styleId="afffd">
    <w:name w:val="引用 字符"/>
    <w:basedOn w:val="a2"/>
    <w:link w:val="afffc"/>
    <w:uiPriority w:val="29"/>
    <w:rsid w:val="005D234A"/>
    <w:rPr>
      <w:i/>
      <w:iCs/>
      <w:color w:val="404040" w:themeColor="text1" w:themeTint="BF"/>
      <w:sz w:val="24"/>
      <w:szCs w:val="24"/>
      <w:lang w:val="de-DE" w:eastAsia="de-DE"/>
    </w:rPr>
  </w:style>
  <w:style w:type="paragraph" w:styleId="afffe">
    <w:name w:val="Normal Indent"/>
    <w:basedOn w:val="a1"/>
    <w:uiPriority w:val="99"/>
    <w:semiHidden/>
    <w:unhideWhenUsed/>
    <w:rsid w:val="005D234A"/>
    <w:pPr>
      <w:ind w:firstLineChars="200" w:firstLine="420"/>
    </w:pPr>
  </w:style>
  <w:style w:type="paragraph" w:styleId="affff">
    <w:name w:val="Body Text"/>
    <w:basedOn w:val="a1"/>
    <w:link w:val="affff0"/>
    <w:uiPriority w:val="99"/>
    <w:semiHidden/>
    <w:unhideWhenUsed/>
    <w:rsid w:val="005D234A"/>
    <w:pPr>
      <w:spacing w:after="120"/>
    </w:pPr>
  </w:style>
  <w:style w:type="character" w:customStyle="1" w:styleId="affff0">
    <w:name w:val="正文文本 字符"/>
    <w:basedOn w:val="a2"/>
    <w:link w:val="affff"/>
    <w:uiPriority w:val="99"/>
    <w:semiHidden/>
    <w:rsid w:val="005D234A"/>
    <w:rPr>
      <w:sz w:val="24"/>
      <w:szCs w:val="24"/>
      <w:lang w:val="de-DE" w:eastAsia="de-DE"/>
    </w:rPr>
  </w:style>
  <w:style w:type="paragraph" w:styleId="25">
    <w:name w:val="Body Text 2"/>
    <w:basedOn w:val="a1"/>
    <w:link w:val="26"/>
    <w:uiPriority w:val="99"/>
    <w:semiHidden/>
    <w:unhideWhenUsed/>
    <w:rsid w:val="005D234A"/>
    <w:pPr>
      <w:spacing w:after="120" w:line="480" w:lineRule="auto"/>
    </w:pPr>
  </w:style>
  <w:style w:type="character" w:customStyle="1" w:styleId="26">
    <w:name w:val="正文文本 2 字符"/>
    <w:basedOn w:val="a2"/>
    <w:link w:val="25"/>
    <w:uiPriority w:val="99"/>
    <w:semiHidden/>
    <w:rsid w:val="005D234A"/>
    <w:rPr>
      <w:sz w:val="24"/>
      <w:szCs w:val="24"/>
      <w:lang w:val="de-DE" w:eastAsia="de-DE"/>
    </w:rPr>
  </w:style>
  <w:style w:type="paragraph" w:styleId="35">
    <w:name w:val="Body Text 3"/>
    <w:basedOn w:val="a1"/>
    <w:link w:val="36"/>
    <w:uiPriority w:val="99"/>
    <w:semiHidden/>
    <w:unhideWhenUsed/>
    <w:rsid w:val="005D234A"/>
    <w:pPr>
      <w:spacing w:after="120"/>
    </w:pPr>
    <w:rPr>
      <w:sz w:val="16"/>
      <w:szCs w:val="16"/>
    </w:rPr>
  </w:style>
  <w:style w:type="character" w:customStyle="1" w:styleId="36">
    <w:name w:val="正文文本 3 字符"/>
    <w:basedOn w:val="a2"/>
    <w:link w:val="35"/>
    <w:uiPriority w:val="99"/>
    <w:semiHidden/>
    <w:rsid w:val="005D234A"/>
    <w:rPr>
      <w:sz w:val="16"/>
      <w:szCs w:val="16"/>
      <w:lang w:val="de-DE" w:eastAsia="de-DE"/>
    </w:rPr>
  </w:style>
  <w:style w:type="paragraph" w:styleId="affff1">
    <w:name w:val="Body Text First Indent"/>
    <w:basedOn w:val="affff"/>
    <w:link w:val="affff2"/>
    <w:uiPriority w:val="99"/>
    <w:semiHidden/>
    <w:unhideWhenUsed/>
    <w:rsid w:val="005D234A"/>
    <w:pPr>
      <w:ind w:firstLineChars="100" w:firstLine="420"/>
    </w:pPr>
  </w:style>
  <w:style w:type="character" w:customStyle="1" w:styleId="affff2">
    <w:name w:val="正文文本首行缩进 字符"/>
    <w:basedOn w:val="affff0"/>
    <w:link w:val="affff1"/>
    <w:uiPriority w:val="99"/>
    <w:semiHidden/>
    <w:rsid w:val="005D234A"/>
    <w:rPr>
      <w:sz w:val="24"/>
      <w:szCs w:val="24"/>
      <w:lang w:val="de-DE" w:eastAsia="de-DE"/>
    </w:rPr>
  </w:style>
  <w:style w:type="paragraph" w:styleId="affff3">
    <w:name w:val="Body Text Indent"/>
    <w:basedOn w:val="a1"/>
    <w:link w:val="affff4"/>
    <w:uiPriority w:val="99"/>
    <w:semiHidden/>
    <w:unhideWhenUsed/>
    <w:rsid w:val="005D234A"/>
    <w:pPr>
      <w:spacing w:after="120"/>
      <w:ind w:leftChars="200" w:left="420"/>
    </w:pPr>
  </w:style>
  <w:style w:type="character" w:customStyle="1" w:styleId="affff4">
    <w:name w:val="正文文本缩进 字符"/>
    <w:basedOn w:val="a2"/>
    <w:link w:val="affff3"/>
    <w:uiPriority w:val="99"/>
    <w:semiHidden/>
    <w:rsid w:val="005D234A"/>
    <w:rPr>
      <w:sz w:val="24"/>
      <w:szCs w:val="24"/>
      <w:lang w:val="de-DE" w:eastAsia="de-DE"/>
    </w:rPr>
  </w:style>
  <w:style w:type="paragraph" w:styleId="27">
    <w:name w:val="Body Text First Indent 2"/>
    <w:basedOn w:val="affff3"/>
    <w:link w:val="28"/>
    <w:uiPriority w:val="99"/>
    <w:semiHidden/>
    <w:unhideWhenUsed/>
    <w:rsid w:val="005D234A"/>
    <w:pPr>
      <w:ind w:firstLineChars="200" w:firstLine="420"/>
    </w:pPr>
  </w:style>
  <w:style w:type="character" w:customStyle="1" w:styleId="28">
    <w:name w:val="正文文本首行缩进 2 字符"/>
    <w:basedOn w:val="affff4"/>
    <w:link w:val="27"/>
    <w:uiPriority w:val="99"/>
    <w:semiHidden/>
    <w:rsid w:val="005D234A"/>
    <w:rPr>
      <w:sz w:val="24"/>
      <w:szCs w:val="24"/>
      <w:lang w:val="de-DE" w:eastAsia="de-DE"/>
    </w:rPr>
  </w:style>
  <w:style w:type="paragraph" w:styleId="29">
    <w:name w:val="Body Text Indent 2"/>
    <w:basedOn w:val="a1"/>
    <w:link w:val="2a"/>
    <w:uiPriority w:val="99"/>
    <w:semiHidden/>
    <w:unhideWhenUsed/>
    <w:rsid w:val="005D234A"/>
    <w:pPr>
      <w:spacing w:after="120" w:line="480" w:lineRule="auto"/>
      <w:ind w:leftChars="200" w:left="420"/>
    </w:pPr>
  </w:style>
  <w:style w:type="character" w:customStyle="1" w:styleId="2a">
    <w:name w:val="正文文本缩进 2 字符"/>
    <w:basedOn w:val="a2"/>
    <w:link w:val="29"/>
    <w:uiPriority w:val="99"/>
    <w:semiHidden/>
    <w:rsid w:val="005D234A"/>
    <w:rPr>
      <w:sz w:val="24"/>
      <w:szCs w:val="24"/>
      <w:lang w:val="de-DE" w:eastAsia="de-DE"/>
    </w:rPr>
  </w:style>
  <w:style w:type="paragraph" w:styleId="37">
    <w:name w:val="Body Text Indent 3"/>
    <w:basedOn w:val="a1"/>
    <w:link w:val="38"/>
    <w:uiPriority w:val="99"/>
    <w:semiHidden/>
    <w:unhideWhenUsed/>
    <w:rsid w:val="005D234A"/>
    <w:pPr>
      <w:spacing w:after="120"/>
      <w:ind w:leftChars="200" w:left="420"/>
    </w:pPr>
    <w:rPr>
      <w:sz w:val="16"/>
      <w:szCs w:val="16"/>
    </w:rPr>
  </w:style>
  <w:style w:type="character" w:customStyle="1" w:styleId="38">
    <w:name w:val="正文文本缩进 3 字符"/>
    <w:basedOn w:val="a2"/>
    <w:link w:val="37"/>
    <w:uiPriority w:val="99"/>
    <w:semiHidden/>
    <w:rsid w:val="005D234A"/>
    <w:rPr>
      <w:sz w:val="16"/>
      <w:szCs w:val="16"/>
      <w:lang w:val="de-DE" w:eastAsia="de-DE"/>
    </w:rPr>
  </w:style>
  <w:style w:type="paragraph" w:styleId="affff5">
    <w:name w:val="Note Heading"/>
    <w:basedOn w:val="a1"/>
    <w:next w:val="a1"/>
    <w:link w:val="affff6"/>
    <w:uiPriority w:val="99"/>
    <w:semiHidden/>
    <w:unhideWhenUsed/>
    <w:rsid w:val="005D234A"/>
    <w:pPr>
      <w:jc w:val="center"/>
    </w:pPr>
  </w:style>
  <w:style w:type="character" w:customStyle="1" w:styleId="affff6">
    <w:name w:val="注释标题 字符"/>
    <w:basedOn w:val="a2"/>
    <w:link w:val="affff5"/>
    <w:uiPriority w:val="99"/>
    <w:semiHidden/>
    <w:rsid w:val="005D234A"/>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230252">
      <w:bodyDiv w:val="1"/>
      <w:marLeft w:val="0"/>
      <w:marRight w:val="0"/>
      <w:marTop w:val="0"/>
      <w:marBottom w:val="0"/>
      <w:divBdr>
        <w:top w:val="none" w:sz="0" w:space="0" w:color="auto"/>
        <w:left w:val="none" w:sz="0" w:space="0" w:color="auto"/>
        <w:bottom w:val="none" w:sz="0" w:space="0" w:color="auto"/>
        <w:right w:val="none" w:sz="0" w:space="0" w:color="auto"/>
      </w:divBdr>
    </w:div>
    <w:div w:id="267852264">
      <w:bodyDiv w:val="1"/>
      <w:marLeft w:val="0"/>
      <w:marRight w:val="0"/>
      <w:marTop w:val="0"/>
      <w:marBottom w:val="0"/>
      <w:divBdr>
        <w:top w:val="none" w:sz="0" w:space="0" w:color="auto"/>
        <w:left w:val="none" w:sz="0" w:space="0" w:color="auto"/>
        <w:bottom w:val="none" w:sz="0" w:space="0" w:color="auto"/>
        <w:right w:val="none" w:sz="0" w:space="0" w:color="auto"/>
      </w:divBdr>
    </w:div>
    <w:div w:id="362247814">
      <w:bodyDiv w:val="1"/>
      <w:marLeft w:val="0"/>
      <w:marRight w:val="0"/>
      <w:marTop w:val="0"/>
      <w:marBottom w:val="0"/>
      <w:divBdr>
        <w:top w:val="none" w:sz="0" w:space="0" w:color="auto"/>
        <w:left w:val="none" w:sz="0" w:space="0" w:color="auto"/>
        <w:bottom w:val="none" w:sz="0" w:space="0" w:color="auto"/>
        <w:right w:val="none" w:sz="0" w:space="0" w:color="auto"/>
      </w:divBdr>
    </w:div>
    <w:div w:id="377321009">
      <w:bodyDiv w:val="1"/>
      <w:marLeft w:val="0"/>
      <w:marRight w:val="0"/>
      <w:marTop w:val="0"/>
      <w:marBottom w:val="0"/>
      <w:divBdr>
        <w:top w:val="none" w:sz="0" w:space="0" w:color="auto"/>
        <w:left w:val="none" w:sz="0" w:space="0" w:color="auto"/>
        <w:bottom w:val="none" w:sz="0" w:space="0" w:color="auto"/>
        <w:right w:val="none" w:sz="0" w:space="0" w:color="auto"/>
      </w:divBdr>
    </w:div>
    <w:div w:id="388497762">
      <w:bodyDiv w:val="1"/>
      <w:marLeft w:val="0"/>
      <w:marRight w:val="0"/>
      <w:marTop w:val="0"/>
      <w:marBottom w:val="0"/>
      <w:divBdr>
        <w:top w:val="none" w:sz="0" w:space="0" w:color="auto"/>
        <w:left w:val="none" w:sz="0" w:space="0" w:color="auto"/>
        <w:bottom w:val="none" w:sz="0" w:space="0" w:color="auto"/>
        <w:right w:val="none" w:sz="0" w:space="0" w:color="auto"/>
      </w:divBdr>
    </w:div>
    <w:div w:id="503862345">
      <w:bodyDiv w:val="1"/>
      <w:marLeft w:val="0"/>
      <w:marRight w:val="0"/>
      <w:marTop w:val="0"/>
      <w:marBottom w:val="0"/>
      <w:divBdr>
        <w:top w:val="none" w:sz="0" w:space="0" w:color="auto"/>
        <w:left w:val="none" w:sz="0" w:space="0" w:color="auto"/>
        <w:bottom w:val="none" w:sz="0" w:space="0" w:color="auto"/>
        <w:right w:val="none" w:sz="0" w:space="0" w:color="auto"/>
      </w:divBdr>
    </w:div>
    <w:div w:id="536358525">
      <w:bodyDiv w:val="1"/>
      <w:marLeft w:val="0"/>
      <w:marRight w:val="0"/>
      <w:marTop w:val="0"/>
      <w:marBottom w:val="0"/>
      <w:divBdr>
        <w:top w:val="none" w:sz="0" w:space="0" w:color="auto"/>
        <w:left w:val="none" w:sz="0" w:space="0" w:color="auto"/>
        <w:bottom w:val="none" w:sz="0" w:space="0" w:color="auto"/>
        <w:right w:val="none" w:sz="0" w:space="0" w:color="auto"/>
      </w:divBdr>
    </w:div>
    <w:div w:id="579171716">
      <w:bodyDiv w:val="1"/>
      <w:marLeft w:val="0"/>
      <w:marRight w:val="0"/>
      <w:marTop w:val="0"/>
      <w:marBottom w:val="0"/>
      <w:divBdr>
        <w:top w:val="none" w:sz="0" w:space="0" w:color="auto"/>
        <w:left w:val="none" w:sz="0" w:space="0" w:color="auto"/>
        <w:bottom w:val="none" w:sz="0" w:space="0" w:color="auto"/>
        <w:right w:val="none" w:sz="0" w:space="0" w:color="auto"/>
      </w:divBdr>
    </w:div>
    <w:div w:id="591089766">
      <w:bodyDiv w:val="1"/>
      <w:marLeft w:val="0"/>
      <w:marRight w:val="0"/>
      <w:marTop w:val="0"/>
      <w:marBottom w:val="0"/>
      <w:divBdr>
        <w:top w:val="none" w:sz="0" w:space="0" w:color="auto"/>
        <w:left w:val="none" w:sz="0" w:space="0" w:color="auto"/>
        <w:bottom w:val="none" w:sz="0" w:space="0" w:color="auto"/>
        <w:right w:val="none" w:sz="0" w:space="0" w:color="auto"/>
      </w:divBdr>
      <w:divsChild>
        <w:div w:id="1346860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650014">
      <w:bodyDiv w:val="1"/>
      <w:marLeft w:val="0"/>
      <w:marRight w:val="0"/>
      <w:marTop w:val="0"/>
      <w:marBottom w:val="0"/>
      <w:divBdr>
        <w:top w:val="none" w:sz="0" w:space="0" w:color="auto"/>
        <w:left w:val="none" w:sz="0" w:space="0" w:color="auto"/>
        <w:bottom w:val="none" w:sz="0" w:space="0" w:color="auto"/>
        <w:right w:val="none" w:sz="0" w:space="0" w:color="auto"/>
      </w:divBdr>
    </w:div>
    <w:div w:id="678700299">
      <w:bodyDiv w:val="1"/>
      <w:marLeft w:val="0"/>
      <w:marRight w:val="0"/>
      <w:marTop w:val="0"/>
      <w:marBottom w:val="0"/>
      <w:divBdr>
        <w:top w:val="none" w:sz="0" w:space="0" w:color="auto"/>
        <w:left w:val="none" w:sz="0" w:space="0" w:color="auto"/>
        <w:bottom w:val="none" w:sz="0" w:space="0" w:color="auto"/>
        <w:right w:val="none" w:sz="0" w:space="0" w:color="auto"/>
      </w:divBdr>
    </w:div>
    <w:div w:id="780421875">
      <w:bodyDiv w:val="1"/>
      <w:marLeft w:val="0"/>
      <w:marRight w:val="0"/>
      <w:marTop w:val="0"/>
      <w:marBottom w:val="0"/>
      <w:divBdr>
        <w:top w:val="none" w:sz="0" w:space="0" w:color="auto"/>
        <w:left w:val="none" w:sz="0" w:space="0" w:color="auto"/>
        <w:bottom w:val="none" w:sz="0" w:space="0" w:color="auto"/>
        <w:right w:val="none" w:sz="0" w:space="0" w:color="auto"/>
      </w:divBdr>
    </w:div>
    <w:div w:id="798690179">
      <w:bodyDiv w:val="1"/>
      <w:marLeft w:val="0"/>
      <w:marRight w:val="0"/>
      <w:marTop w:val="0"/>
      <w:marBottom w:val="0"/>
      <w:divBdr>
        <w:top w:val="none" w:sz="0" w:space="0" w:color="auto"/>
        <w:left w:val="none" w:sz="0" w:space="0" w:color="auto"/>
        <w:bottom w:val="none" w:sz="0" w:space="0" w:color="auto"/>
        <w:right w:val="none" w:sz="0" w:space="0" w:color="auto"/>
      </w:divBdr>
    </w:div>
    <w:div w:id="912006454">
      <w:bodyDiv w:val="1"/>
      <w:marLeft w:val="0"/>
      <w:marRight w:val="0"/>
      <w:marTop w:val="0"/>
      <w:marBottom w:val="0"/>
      <w:divBdr>
        <w:top w:val="none" w:sz="0" w:space="0" w:color="auto"/>
        <w:left w:val="none" w:sz="0" w:space="0" w:color="auto"/>
        <w:bottom w:val="none" w:sz="0" w:space="0" w:color="auto"/>
        <w:right w:val="none" w:sz="0" w:space="0" w:color="auto"/>
      </w:divBdr>
    </w:div>
    <w:div w:id="1024744217">
      <w:bodyDiv w:val="1"/>
      <w:marLeft w:val="0"/>
      <w:marRight w:val="0"/>
      <w:marTop w:val="0"/>
      <w:marBottom w:val="0"/>
      <w:divBdr>
        <w:top w:val="none" w:sz="0" w:space="0" w:color="auto"/>
        <w:left w:val="none" w:sz="0" w:space="0" w:color="auto"/>
        <w:bottom w:val="none" w:sz="0" w:space="0" w:color="auto"/>
        <w:right w:val="none" w:sz="0" w:space="0" w:color="auto"/>
      </w:divBdr>
    </w:div>
    <w:div w:id="1096634390">
      <w:bodyDiv w:val="1"/>
      <w:marLeft w:val="0"/>
      <w:marRight w:val="0"/>
      <w:marTop w:val="0"/>
      <w:marBottom w:val="0"/>
      <w:divBdr>
        <w:top w:val="none" w:sz="0" w:space="0" w:color="auto"/>
        <w:left w:val="none" w:sz="0" w:space="0" w:color="auto"/>
        <w:bottom w:val="none" w:sz="0" w:space="0" w:color="auto"/>
        <w:right w:val="none" w:sz="0" w:space="0" w:color="auto"/>
      </w:divBdr>
    </w:div>
    <w:div w:id="1139999006">
      <w:bodyDiv w:val="1"/>
      <w:marLeft w:val="0"/>
      <w:marRight w:val="0"/>
      <w:marTop w:val="0"/>
      <w:marBottom w:val="0"/>
      <w:divBdr>
        <w:top w:val="none" w:sz="0" w:space="0" w:color="auto"/>
        <w:left w:val="none" w:sz="0" w:space="0" w:color="auto"/>
        <w:bottom w:val="none" w:sz="0" w:space="0" w:color="auto"/>
        <w:right w:val="none" w:sz="0" w:space="0" w:color="auto"/>
      </w:divBdr>
    </w:div>
    <w:div w:id="1153988801">
      <w:bodyDiv w:val="1"/>
      <w:marLeft w:val="0"/>
      <w:marRight w:val="0"/>
      <w:marTop w:val="0"/>
      <w:marBottom w:val="0"/>
      <w:divBdr>
        <w:top w:val="none" w:sz="0" w:space="0" w:color="auto"/>
        <w:left w:val="none" w:sz="0" w:space="0" w:color="auto"/>
        <w:bottom w:val="none" w:sz="0" w:space="0" w:color="auto"/>
        <w:right w:val="none" w:sz="0" w:space="0" w:color="auto"/>
      </w:divBdr>
    </w:div>
    <w:div w:id="1168132689">
      <w:bodyDiv w:val="1"/>
      <w:marLeft w:val="0"/>
      <w:marRight w:val="0"/>
      <w:marTop w:val="0"/>
      <w:marBottom w:val="0"/>
      <w:divBdr>
        <w:top w:val="none" w:sz="0" w:space="0" w:color="auto"/>
        <w:left w:val="none" w:sz="0" w:space="0" w:color="auto"/>
        <w:bottom w:val="none" w:sz="0" w:space="0" w:color="auto"/>
        <w:right w:val="none" w:sz="0" w:space="0" w:color="auto"/>
      </w:divBdr>
    </w:div>
    <w:div w:id="1175074245">
      <w:bodyDiv w:val="1"/>
      <w:marLeft w:val="0"/>
      <w:marRight w:val="0"/>
      <w:marTop w:val="0"/>
      <w:marBottom w:val="0"/>
      <w:divBdr>
        <w:top w:val="none" w:sz="0" w:space="0" w:color="auto"/>
        <w:left w:val="none" w:sz="0" w:space="0" w:color="auto"/>
        <w:bottom w:val="none" w:sz="0" w:space="0" w:color="auto"/>
        <w:right w:val="none" w:sz="0" w:space="0" w:color="auto"/>
      </w:divBdr>
      <w:divsChild>
        <w:div w:id="214122969">
          <w:marLeft w:val="0"/>
          <w:marRight w:val="0"/>
          <w:marTop w:val="0"/>
          <w:marBottom w:val="0"/>
          <w:divBdr>
            <w:top w:val="none" w:sz="0" w:space="0" w:color="auto"/>
            <w:left w:val="none" w:sz="0" w:space="0" w:color="auto"/>
            <w:bottom w:val="none" w:sz="0" w:space="0" w:color="auto"/>
            <w:right w:val="none" w:sz="0" w:space="0" w:color="auto"/>
          </w:divBdr>
          <w:divsChild>
            <w:div w:id="10710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94352">
      <w:bodyDiv w:val="1"/>
      <w:marLeft w:val="0"/>
      <w:marRight w:val="0"/>
      <w:marTop w:val="0"/>
      <w:marBottom w:val="0"/>
      <w:divBdr>
        <w:top w:val="none" w:sz="0" w:space="0" w:color="auto"/>
        <w:left w:val="none" w:sz="0" w:space="0" w:color="auto"/>
        <w:bottom w:val="none" w:sz="0" w:space="0" w:color="auto"/>
        <w:right w:val="none" w:sz="0" w:space="0" w:color="auto"/>
      </w:divBdr>
    </w:div>
    <w:div w:id="1265842404">
      <w:bodyDiv w:val="1"/>
      <w:marLeft w:val="0"/>
      <w:marRight w:val="0"/>
      <w:marTop w:val="0"/>
      <w:marBottom w:val="0"/>
      <w:divBdr>
        <w:top w:val="none" w:sz="0" w:space="0" w:color="auto"/>
        <w:left w:val="none" w:sz="0" w:space="0" w:color="auto"/>
        <w:bottom w:val="none" w:sz="0" w:space="0" w:color="auto"/>
        <w:right w:val="none" w:sz="0" w:space="0" w:color="auto"/>
      </w:divBdr>
    </w:div>
    <w:div w:id="1395423701">
      <w:bodyDiv w:val="1"/>
      <w:marLeft w:val="0"/>
      <w:marRight w:val="0"/>
      <w:marTop w:val="0"/>
      <w:marBottom w:val="0"/>
      <w:divBdr>
        <w:top w:val="none" w:sz="0" w:space="0" w:color="auto"/>
        <w:left w:val="none" w:sz="0" w:space="0" w:color="auto"/>
        <w:bottom w:val="none" w:sz="0" w:space="0" w:color="auto"/>
        <w:right w:val="none" w:sz="0" w:space="0" w:color="auto"/>
      </w:divBdr>
    </w:div>
    <w:div w:id="1407848432">
      <w:bodyDiv w:val="1"/>
      <w:marLeft w:val="0"/>
      <w:marRight w:val="0"/>
      <w:marTop w:val="0"/>
      <w:marBottom w:val="0"/>
      <w:divBdr>
        <w:top w:val="none" w:sz="0" w:space="0" w:color="auto"/>
        <w:left w:val="none" w:sz="0" w:space="0" w:color="auto"/>
        <w:bottom w:val="none" w:sz="0" w:space="0" w:color="auto"/>
        <w:right w:val="none" w:sz="0" w:space="0" w:color="auto"/>
      </w:divBdr>
    </w:div>
    <w:div w:id="1408722285">
      <w:bodyDiv w:val="1"/>
      <w:marLeft w:val="0"/>
      <w:marRight w:val="0"/>
      <w:marTop w:val="0"/>
      <w:marBottom w:val="0"/>
      <w:divBdr>
        <w:top w:val="none" w:sz="0" w:space="0" w:color="auto"/>
        <w:left w:val="none" w:sz="0" w:space="0" w:color="auto"/>
        <w:bottom w:val="none" w:sz="0" w:space="0" w:color="auto"/>
        <w:right w:val="none" w:sz="0" w:space="0" w:color="auto"/>
      </w:divBdr>
    </w:div>
    <w:div w:id="1418669945">
      <w:bodyDiv w:val="1"/>
      <w:marLeft w:val="0"/>
      <w:marRight w:val="0"/>
      <w:marTop w:val="0"/>
      <w:marBottom w:val="0"/>
      <w:divBdr>
        <w:top w:val="none" w:sz="0" w:space="0" w:color="auto"/>
        <w:left w:val="none" w:sz="0" w:space="0" w:color="auto"/>
        <w:bottom w:val="none" w:sz="0" w:space="0" w:color="auto"/>
        <w:right w:val="none" w:sz="0" w:space="0" w:color="auto"/>
      </w:divBdr>
    </w:div>
    <w:div w:id="1586261878">
      <w:bodyDiv w:val="1"/>
      <w:marLeft w:val="0"/>
      <w:marRight w:val="0"/>
      <w:marTop w:val="0"/>
      <w:marBottom w:val="0"/>
      <w:divBdr>
        <w:top w:val="none" w:sz="0" w:space="0" w:color="auto"/>
        <w:left w:val="none" w:sz="0" w:space="0" w:color="auto"/>
        <w:bottom w:val="none" w:sz="0" w:space="0" w:color="auto"/>
        <w:right w:val="none" w:sz="0" w:space="0" w:color="auto"/>
      </w:divBdr>
    </w:div>
    <w:div w:id="1778868835">
      <w:bodyDiv w:val="1"/>
      <w:marLeft w:val="0"/>
      <w:marRight w:val="0"/>
      <w:marTop w:val="0"/>
      <w:marBottom w:val="0"/>
      <w:divBdr>
        <w:top w:val="none" w:sz="0" w:space="0" w:color="auto"/>
        <w:left w:val="none" w:sz="0" w:space="0" w:color="auto"/>
        <w:bottom w:val="none" w:sz="0" w:space="0" w:color="auto"/>
        <w:right w:val="none" w:sz="0" w:space="0" w:color="auto"/>
      </w:divBdr>
    </w:div>
    <w:div w:id="1799373224">
      <w:bodyDiv w:val="1"/>
      <w:marLeft w:val="0"/>
      <w:marRight w:val="0"/>
      <w:marTop w:val="0"/>
      <w:marBottom w:val="0"/>
      <w:divBdr>
        <w:top w:val="none" w:sz="0" w:space="0" w:color="auto"/>
        <w:left w:val="none" w:sz="0" w:space="0" w:color="auto"/>
        <w:bottom w:val="none" w:sz="0" w:space="0" w:color="auto"/>
        <w:right w:val="none" w:sz="0" w:space="0" w:color="auto"/>
      </w:divBdr>
    </w:div>
    <w:div w:id="1954704619">
      <w:bodyDiv w:val="1"/>
      <w:marLeft w:val="0"/>
      <w:marRight w:val="0"/>
      <w:marTop w:val="0"/>
      <w:marBottom w:val="0"/>
      <w:divBdr>
        <w:top w:val="none" w:sz="0" w:space="0" w:color="auto"/>
        <w:left w:val="none" w:sz="0" w:space="0" w:color="auto"/>
        <w:bottom w:val="none" w:sz="0" w:space="0" w:color="auto"/>
        <w:right w:val="none" w:sz="0" w:space="0" w:color="auto"/>
      </w:divBdr>
    </w:div>
    <w:div w:id="1979988741">
      <w:bodyDiv w:val="1"/>
      <w:marLeft w:val="0"/>
      <w:marRight w:val="0"/>
      <w:marTop w:val="0"/>
      <w:marBottom w:val="0"/>
      <w:divBdr>
        <w:top w:val="none" w:sz="0" w:space="0" w:color="auto"/>
        <w:left w:val="none" w:sz="0" w:space="0" w:color="auto"/>
        <w:bottom w:val="none" w:sz="0" w:space="0" w:color="auto"/>
        <w:right w:val="none" w:sz="0" w:space="0" w:color="auto"/>
      </w:divBdr>
    </w:div>
    <w:div w:id="2000232068">
      <w:bodyDiv w:val="1"/>
      <w:marLeft w:val="0"/>
      <w:marRight w:val="0"/>
      <w:marTop w:val="0"/>
      <w:marBottom w:val="0"/>
      <w:divBdr>
        <w:top w:val="none" w:sz="0" w:space="0" w:color="auto"/>
        <w:left w:val="none" w:sz="0" w:space="0" w:color="auto"/>
        <w:bottom w:val="none" w:sz="0" w:space="0" w:color="auto"/>
        <w:right w:val="none" w:sz="0" w:space="0" w:color="auto"/>
      </w:divBdr>
    </w:div>
    <w:div w:id="2107339522">
      <w:bodyDiv w:val="1"/>
      <w:marLeft w:val="0"/>
      <w:marRight w:val="0"/>
      <w:marTop w:val="0"/>
      <w:marBottom w:val="0"/>
      <w:divBdr>
        <w:top w:val="none" w:sz="0" w:space="0" w:color="auto"/>
        <w:left w:val="none" w:sz="0" w:space="0" w:color="auto"/>
        <w:bottom w:val="none" w:sz="0" w:space="0" w:color="auto"/>
        <w:right w:val="none" w:sz="0" w:space="0" w:color="auto"/>
      </w:divBdr>
      <w:divsChild>
        <w:div w:id="385834060">
          <w:marLeft w:val="0"/>
          <w:marRight w:val="0"/>
          <w:marTop w:val="0"/>
          <w:marBottom w:val="0"/>
          <w:divBdr>
            <w:top w:val="none" w:sz="0" w:space="0" w:color="auto"/>
            <w:left w:val="none" w:sz="0" w:space="0" w:color="auto"/>
            <w:bottom w:val="none" w:sz="0" w:space="0" w:color="auto"/>
            <w:right w:val="none" w:sz="0" w:space="0" w:color="auto"/>
          </w:divBdr>
          <w:divsChild>
            <w:div w:id="18168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00031">
      <w:bodyDiv w:val="1"/>
      <w:marLeft w:val="0"/>
      <w:marRight w:val="0"/>
      <w:marTop w:val="0"/>
      <w:marBottom w:val="0"/>
      <w:divBdr>
        <w:top w:val="none" w:sz="0" w:space="0" w:color="auto"/>
        <w:left w:val="none" w:sz="0" w:space="0" w:color="auto"/>
        <w:bottom w:val="none" w:sz="0" w:space="0" w:color="auto"/>
        <w:right w:val="none" w:sz="0" w:space="0" w:color="auto"/>
      </w:divBdr>
      <w:divsChild>
        <w:div w:id="1474829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orui@hust.edu.cn" TargetMode="External"/><Relationship Id="rId13" Type="http://schemas.openxmlformats.org/officeDocument/2006/relationships/image" Target="media/image5.png"/><Relationship Id="rId18" Type="http://schemas.openxmlformats.org/officeDocument/2006/relationships/image" Target="media/image10.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sv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6616</Words>
  <Characters>117013</Characters>
  <Application>Microsoft Office Word</Application>
  <DocSecurity>0</DocSecurity>
  <Lines>975</Lines>
  <Paragraphs>246</Paragraphs>
  <ScaleCrop>false</ScaleCrop>
  <Company>Oxford Brookes University</Company>
  <LinksUpToDate>false</LinksUpToDate>
  <CharactersWithSpaces>123383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zhonggui xu</cp:lastModifiedBy>
  <cp:revision>7</cp:revision>
  <cp:lastPrinted>2026-08-05T06:17:00Z</cp:lastPrinted>
  <dcterms:created xsi:type="dcterms:W3CDTF">2026-08-16T10:03:00Z</dcterms:created>
  <dcterms:modified xsi:type="dcterms:W3CDTF">2026-08-16T12:44:00Z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zotero-version="9.0.6"&gt;&lt;session id="MJ6GvjHu"/&gt;&lt;style id="http://www.zotero.org/styles/solar-energy" hasBibliography="1" bibliographyStyleHasBeenSet="1"/&gt;&lt;prefs&gt;&lt;pref name="fieldType" value="Field"/&gt;&lt;pref name="automaticJournalAbbre</vt:lpwstr>
  </property>
  <property fmtid="{D5CDD505-2E9C-101B-9397-08002B2CF9AE}" pid="4" name="ZOTERO_PREF_2">
    <vt:lpwstr>viations" value="true"/&gt;&lt;/prefs&gt;&lt;/data&gt;</vt:lpwstr>
  </property>
</Properties>
</file>