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FC622" w14:textId="2244B01D" w:rsidR="00DB52E7" w:rsidRPr="00C0428D" w:rsidRDefault="004053B5" w:rsidP="00065868">
      <w:pPr>
        <w:pStyle w:val="SWCTitle"/>
        <w:rPr>
          <w:color w:val="auto"/>
          <w:sz w:val="28"/>
          <w:szCs w:val="28"/>
        </w:rPr>
      </w:pPr>
      <w:r w:rsidRPr="00C0428D">
        <w:rPr>
          <w:color w:val="auto"/>
          <w:sz w:val="28"/>
          <w:szCs w:val="28"/>
        </w:rPr>
        <w:t>EuroSun</w:t>
      </w:r>
      <w:r w:rsidR="00FC1781" w:rsidRPr="00C0428D">
        <w:rPr>
          <w:color w:val="auto"/>
          <w:sz w:val="28"/>
          <w:szCs w:val="28"/>
        </w:rPr>
        <w:t>202</w:t>
      </w:r>
      <w:r w:rsidR="00FA4DF8" w:rsidRPr="00C0428D">
        <w:rPr>
          <w:color w:val="auto"/>
          <w:sz w:val="28"/>
          <w:szCs w:val="28"/>
        </w:rPr>
        <w:t>6</w:t>
      </w:r>
    </w:p>
    <w:p w14:paraId="4B3249DD" w14:textId="04F7EB0A" w:rsidR="0C3545CD" w:rsidRPr="00C0428D" w:rsidRDefault="0046616C" w:rsidP="00065868">
      <w:pPr>
        <w:pStyle w:val="SWCTitle"/>
        <w:spacing w:before="0" w:after="0"/>
        <w:rPr>
          <w:rFonts w:ascii="Times New Roman" w:hAnsi="Times New Roman"/>
          <w:b w:val="0"/>
          <w:color w:val="auto"/>
          <w:sz w:val="20"/>
          <w:szCs w:val="20"/>
        </w:rPr>
      </w:pPr>
      <w:r w:rsidRPr="00C0428D">
        <w:rPr>
          <w:color w:val="auto"/>
          <w:sz w:val="28"/>
          <w:szCs w:val="28"/>
        </w:rPr>
        <w:t xml:space="preserve">EVALUATION </w:t>
      </w:r>
      <w:r w:rsidR="00AE2874">
        <w:rPr>
          <w:color w:val="auto"/>
          <w:sz w:val="28"/>
          <w:szCs w:val="28"/>
        </w:rPr>
        <w:t>OF</w:t>
      </w:r>
      <w:r w:rsidR="00D6140D">
        <w:rPr>
          <w:color w:val="auto"/>
          <w:sz w:val="28"/>
          <w:szCs w:val="28"/>
        </w:rPr>
        <w:t xml:space="preserve"> </w:t>
      </w:r>
      <w:r w:rsidR="00AE2874">
        <w:rPr>
          <w:color w:val="auto"/>
          <w:sz w:val="28"/>
          <w:szCs w:val="28"/>
        </w:rPr>
        <w:t>MACHINE</w:t>
      </w:r>
      <w:r w:rsidR="004E4460">
        <w:rPr>
          <w:color w:val="auto"/>
          <w:sz w:val="28"/>
          <w:szCs w:val="28"/>
        </w:rPr>
        <w:t>-</w:t>
      </w:r>
      <w:r w:rsidR="00AE2874">
        <w:rPr>
          <w:color w:val="auto"/>
          <w:sz w:val="28"/>
          <w:szCs w:val="28"/>
        </w:rPr>
        <w:t>LEARNING</w:t>
      </w:r>
      <w:r w:rsidR="005065F3">
        <w:rPr>
          <w:color w:val="auto"/>
          <w:sz w:val="28"/>
          <w:szCs w:val="28"/>
        </w:rPr>
        <w:t>-BASED</w:t>
      </w:r>
      <w:r w:rsidR="001365CD">
        <w:rPr>
          <w:color w:val="auto"/>
          <w:sz w:val="28"/>
          <w:szCs w:val="28"/>
        </w:rPr>
        <w:t xml:space="preserve"> </w:t>
      </w:r>
      <w:r w:rsidR="00F75A2A" w:rsidRPr="00C0428D">
        <w:rPr>
          <w:color w:val="auto"/>
          <w:sz w:val="28"/>
          <w:szCs w:val="28"/>
        </w:rPr>
        <w:t xml:space="preserve">SITE ADAPTATION </w:t>
      </w:r>
      <w:r w:rsidR="007D52F5">
        <w:rPr>
          <w:color w:val="auto"/>
          <w:sz w:val="28"/>
          <w:szCs w:val="28"/>
        </w:rPr>
        <w:t>F</w:t>
      </w:r>
      <w:r w:rsidR="00C76A02">
        <w:rPr>
          <w:color w:val="auto"/>
          <w:sz w:val="28"/>
          <w:szCs w:val="28"/>
        </w:rPr>
        <w:t>OR</w:t>
      </w:r>
      <w:r w:rsidR="007D52F5">
        <w:rPr>
          <w:color w:val="auto"/>
          <w:sz w:val="28"/>
          <w:szCs w:val="28"/>
        </w:rPr>
        <w:t xml:space="preserve"> </w:t>
      </w:r>
      <w:r w:rsidR="00F75A2A" w:rsidRPr="00C0428D">
        <w:rPr>
          <w:color w:val="auto"/>
          <w:sz w:val="28"/>
          <w:szCs w:val="28"/>
        </w:rPr>
        <w:t xml:space="preserve">SATELLITE-DERIVED SOLAR IRRADIANCE IN </w:t>
      </w:r>
      <w:r w:rsidR="00B939F9">
        <w:rPr>
          <w:color w:val="auto"/>
          <w:sz w:val="28"/>
          <w:szCs w:val="28"/>
        </w:rPr>
        <w:t xml:space="preserve">A </w:t>
      </w:r>
      <w:r w:rsidR="00F75A2A" w:rsidRPr="00C0428D">
        <w:rPr>
          <w:color w:val="auto"/>
          <w:sz w:val="28"/>
          <w:szCs w:val="28"/>
        </w:rPr>
        <w:t>HOT DESERT CLIMATE</w:t>
      </w:r>
    </w:p>
    <w:p w14:paraId="5850DC36" w14:textId="5AE3E7DD" w:rsidR="006B3D49" w:rsidRPr="00C0428D" w:rsidRDefault="00D03D78" w:rsidP="00065868">
      <w:pPr>
        <w:pStyle w:val="SWCTitle"/>
        <w:spacing w:before="0" w:after="0"/>
        <w:rPr>
          <w:rFonts w:ascii="Times New Roman" w:hAnsi="Times New Roman"/>
          <w:b w:val="0"/>
          <w:color w:val="auto"/>
          <w:sz w:val="20"/>
          <w:szCs w:val="20"/>
        </w:rPr>
      </w:pPr>
      <w:r w:rsidRPr="00C0428D">
        <w:rPr>
          <w:rFonts w:ascii="Times New Roman" w:hAnsi="Times New Roman"/>
          <w:b w:val="0"/>
          <w:color w:val="auto"/>
          <w:sz w:val="20"/>
          <w:szCs w:val="20"/>
        </w:rPr>
        <w:t>D</w:t>
      </w:r>
      <w:r w:rsidR="00A42CBC" w:rsidRPr="00C0428D">
        <w:rPr>
          <w:rFonts w:ascii="Times New Roman" w:hAnsi="Times New Roman"/>
          <w:b w:val="0"/>
          <w:color w:val="auto"/>
          <w:sz w:val="20"/>
          <w:szCs w:val="20"/>
        </w:rPr>
        <w:t>unia</w:t>
      </w:r>
      <w:r w:rsidRPr="00C0428D">
        <w:rPr>
          <w:rFonts w:ascii="Times New Roman" w:hAnsi="Times New Roman"/>
          <w:b w:val="0"/>
          <w:color w:val="auto"/>
          <w:sz w:val="20"/>
          <w:szCs w:val="20"/>
        </w:rPr>
        <w:t xml:space="preserve"> Bachour</w:t>
      </w:r>
      <w:r w:rsidR="0C3545CD" w:rsidRPr="00C0428D">
        <w:rPr>
          <w:rFonts w:ascii="Times New Roman" w:hAnsi="Times New Roman"/>
          <w:b w:val="0"/>
          <w:color w:val="auto"/>
          <w:sz w:val="20"/>
          <w:szCs w:val="20"/>
        </w:rPr>
        <w:t xml:space="preserve">, </w:t>
      </w:r>
      <w:r w:rsidRPr="00C0428D">
        <w:rPr>
          <w:rFonts w:ascii="Times New Roman" w:hAnsi="Times New Roman"/>
          <w:b w:val="0"/>
          <w:color w:val="auto"/>
          <w:sz w:val="20"/>
          <w:szCs w:val="20"/>
        </w:rPr>
        <w:t>A</w:t>
      </w:r>
      <w:r w:rsidR="004E5785" w:rsidRPr="00C0428D">
        <w:rPr>
          <w:rFonts w:ascii="Times New Roman" w:hAnsi="Times New Roman"/>
          <w:b w:val="0"/>
          <w:color w:val="auto"/>
          <w:sz w:val="20"/>
          <w:szCs w:val="20"/>
        </w:rPr>
        <w:t xml:space="preserve">bdulwahab </w:t>
      </w:r>
      <w:r w:rsidR="000168C5" w:rsidRPr="00C0428D">
        <w:rPr>
          <w:rFonts w:ascii="Times New Roman" w:hAnsi="Times New Roman"/>
          <w:b w:val="0"/>
          <w:color w:val="auto"/>
          <w:sz w:val="20"/>
          <w:szCs w:val="20"/>
        </w:rPr>
        <w:t>Ziaullah</w:t>
      </w:r>
    </w:p>
    <w:p w14:paraId="0205C90E" w14:textId="77777777" w:rsidR="00A72C49" w:rsidRPr="00C0428D" w:rsidRDefault="00A72C49" w:rsidP="00065868">
      <w:pPr>
        <w:pStyle w:val="SWCTitle"/>
        <w:spacing w:before="0" w:after="0"/>
        <w:rPr>
          <w:rFonts w:ascii="Times New Roman" w:hAnsi="Times New Roman"/>
          <w:b w:val="0"/>
          <w:color w:val="auto"/>
          <w:sz w:val="20"/>
          <w:szCs w:val="22"/>
        </w:rPr>
      </w:pPr>
      <w:r w:rsidRPr="00C0428D">
        <w:rPr>
          <w:rFonts w:ascii="Times New Roman" w:hAnsi="Times New Roman"/>
          <w:b w:val="0"/>
          <w:color w:val="auto"/>
          <w:sz w:val="20"/>
          <w:szCs w:val="22"/>
        </w:rPr>
        <w:t>Qatar Environment and Energy Research Institute, Hamad Bin Khalifa University, Doha, Qatar</w:t>
      </w:r>
    </w:p>
    <w:p w14:paraId="29036824" w14:textId="27511DBF" w:rsidR="0046616C" w:rsidRPr="00C0428D" w:rsidRDefault="00A72C49" w:rsidP="00065868">
      <w:pPr>
        <w:pStyle w:val="SWCTitle"/>
        <w:spacing w:before="0" w:after="0"/>
        <w:rPr>
          <w:rFonts w:ascii="Times New Roman" w:hAnsi="Times New Roman"/>
          <w:b w:val="0"/>
          <w:color w:val="auto"/>
          <w:sz w:val="20"/>
          <w:szCs w:val="22"/>
        </w:rPr>
      </w:pPr>
      <w:hyperlink r:id="rId7" w:history="1">
        <w:r w:rsidRPr="00C0428D">
          <w:rPr>
            <w:rStyle w:val="Hyperlink"/>
            <w:rFonts w:ascii="Times New Roman" w:hAnsi="Times New Roman"/>
            <w:b w:val="0"/>
            <w:color w:val="auto"/>
            <w:sz w:val="20"/>
            <w:szCs w:val="22"/>
          </w:rPr>
          <w:t>dbachour@hbku.edu.qa</w:t>
        </w:r>
      </w:hyperlink>
      <w:r w:rsidRPr="00C0428D">
        <w:rPr>
          <w:rFonts w:ascii="Times New Roman" w:hAnsi="Times New Roman"/>
          <w:b w:val="0"/>
          <w:color w:val="auto"/>
          <w:sz w:val="20"/>
          <w:szCs w:val="22"/>
        </w:rPr>
        <w:t xml:space="preserve">, </w:t>
      </w:r>
      <w:hyperlink r:id="rId8" w:history="1">
        <w:r w:rsidR="0046616C" w:rsidRPr="00C0428D">
          <w:rPr>
            <w:rStyle w:val="Hyperlink"/>
            <w:rFonts w:ascii="Times New Roman" w:hAnsi="Times New Roman"/>
            <w:b w:val="0"/>
            <w:color w:val="auto"/>
            <w:sz w:val="20"/>
            <w:szCs w:val="22"/>
          </w:rPr>
          <w:t>awahab@hbku.edu.qa</w:t>
        </w:r>
      </w:hyperlink>
    </w:p>
    <w:p w14:paraId="18FA38F1" w14:textId="7B0E5F05" w:rsidR="006B3D49" w:rsidRPr="00C0428D" w:rsidRDefault="006B3D49" w:rsidP="00065868">
      <w:pPr>
        <w:pStyle w:val="SWCTitle"/>
        <w:spacing w:before="0" w:after="0"/>
        <w:jc w:val="both"/>
        <w:rPr>
          <w:rFonts w:ascii="Times New Roman" w:hAnsi="Times New Roman"/>
          <w:b w:val="0"/>
          <w:color w:val="auto"/>
          <w:sz w:val="20"/>
          <w:szCs w:val="22"/>
        </w:rPr>
      </w:pPr>
    </w:p>
    <w:p w14:paraId="3A7DF4B5" w14:textId="6F51DBA9" w:rsidR="001A775B" w:rsidRPr="00C0428D" w:rsidRDefault="0C3545CD" w:rsidP="005057B2">
      <w:pPr>
        <w:pStyle w:val="SWCSummary"/>
        <w:pBdr>
          <w:bottom w:val="single" w:sz="6" w:space="1" w:color="auto"/>
        </w:pBdr>
        <w:rPr>
          <w:color w:val="auto"/>
        </w:rPr>
      </w:pPr>
      <w:r w:rsidRPr="00C0428D">
        <w:rPr>
          <w:color w:val="auto"/>
        </w:rPr>
        <w:t>Summary</w:t>
      </w:r>
    </w:p>
    <w:p w14:paraId="2D9BF0A8" w14:textId="22F66414" w:rsidR="0031685E" w:rsidRPr="00C0428D" w:rsidRDefault="004D020A" w:rsidP="00065868">
      <w:pPr>
        <w:pStyle w:val="SWCText"/>
        <w:pBdr>
          <w:bottom w:val="single" w:sz="6" w:space="1" w:color="auto"/>
        </w:pBdr>
        <w:rPr>
          <w:color w:val="auto"/>
        </w:rPr>
      </w:pPr>
      <w:r w:rsidRPr="00C0428D">
        <w:rPr>
          <w:color w:val="auto"/>
        </w:rPr>
        <w:t>Accurate satellite-derived solar irradiance is essential for solar-resource assessment where dense ground-monitoring networks are difficult to maintain. This study builds on a recently published benchmark of five site-adaptation approaches</w:t>
      </w:r>
      <w:r w:rsidR="00544EBE" w:rsidRPr="00C0428D">
        <w:rPr>
          <w:color w:val="auto"/>
        </w:rPr>
        <w:t xml:space="preserve"> spanning distribution-based, linear-regression, and nonlinear machine-learning methods</w:t>
      </w:r>
      <w:r w:rsidR="002F356D" w:rsidRPr="00C0428D">
        <w:rPr>
          <w:color w:val="auto"/>
        </w:rPr>
        <w:t xml:space="preserve">, </w:t>
      </w:r>
      <w:r w:rsidRPr="00C0428D">
        <w:rPr>
          <w:color w:val="auto"/>
        </w:rPr>
        <w:t>using five years of 1-min GHI and DNI measurements from 13 stations in Qatar. Models were trained on 2020</w:t>
      </w:r>
      <w:r w:rsidR="00ED5856" w:rsidRPr="00C0428D">
        <w:rPr>
          <w:color w:val="auto"/>
        </w:rPr>
        <w:t>-</w:t>
      </w:r>
      <w:r w:rsidRPr="00C0428D">
        <w:rPr>
          <w:color w:val="auto"/>
        </w:rPr>
        <w:t>2022 observations and independently evaluated over 2023</w:t>
      </w:r>
      <w:r w:rsidR="00ED5856" w:rsidRPr="00C0428D">
        <w:rPr>
          <w:color w:val="auto"/>
        </w:rPr>
        <w:t>-</w:t>
      </w:r>
      <w:r w:rsidRPr="00C0428D">
        <w:rPr>
          <w:color w:val="auto"/>
        </w:rPr>
        <w:t xml:space="preserve">2024 against synchronized CAMS-Rad data. </w:t>
      </w:r>
      <w:r w:rsidR="00663204" w:rsidRPr="00C0428D">
        <w:rPr>
          <w:color w:val="auto"/>
        </w:rPr>
        <w:t>Feed-Forward Neural Network (</w:t>
      </w:r>
      <w:r w:rsidRPr="00C0428D">
        <w:rPr>
          <w:color w:val="auto"/>
        </w:rPr>
        <w:t>FFNN</w:t>
      </w:r>
      <w:r w:rsidR="00663204" w:rsidRPr="00C0428D">
        <w:rPr>
          <w:color w:val="auto"/>
        </w:rPr>
        <w:t>)</w:t>
      </w:r>
      <w:r w:rsidRPr="00C0428D">
        <w:rPr>
          <w:color w:val="auto"/>
        </w:rPr>
        <w:t xml:space="preserve"> achieved the lowest overall </w:t>
      </w:r>
      <w:proofErr w:type="spellStart"/>
      <w:r w:rsidRPr="00C0428D">
        <w:rPr>
          <w:color w:val="auto"/>
        </w:rPr>
        <w:t>rRMSE</w:t>
      </w:r>
      <w:proofErr w:type="spellEnd"/>
      <w:r w:rsidRPr="00C0428D">
        <w:rPr>
          <w:color w:val="auto"/>
        </w:rPr>
        <w:t xml:space="preserve"> and was therefore examined further using all 8,191 possible station combinations. For each network size, the median and interquartile range of </w:t>
      </w:r>
      <w:proofErr w:type="spellStart"/>
      <w:r w:rsidRPr="00C0428D">
        <w:rPr>
          <w:color w:val="auto"/>
        </w:rPr>
        <w:t>rRMSE</w:t>
      </w:r>
      <w:proofErr w:type="spellEnd"/>
      <w:r w:rsidRPr="00C0428D">
        <w:rPr>
          <w:color w:val="auto"/>
        </w:rPr>
        <w:t xml:space="preserve"> were analysed together with the fraction of configurations that did not improve raw CAMS-Rad, allowing both typical performance and sensitivity to station selection to be assessed. The strongest sensitivity occurred for two-station networks, after which the non-improving rate decreased rapidly, reaching zero from seven stations onward for DNI and from eight stations onward for GHI. The two-station </w:t>
      </w:r>
      <w:r w:rsidR="00694DF5" w:rsidRPr="00C0428D">
        <w:rPr>
          <w:color w:val="auto"/>
        </w:rPr>
        <w:t>behavior</w:t>
      </w:r>
      <w:r w:rsidRPr="00C0428D">
        <w:rPr>
          <w:color w:val="auto"/>
        </w:rPr>
        <w:t xml:space="preserve"> was not reproduced by</w:t>
      </w:r>
      <w:r w:rsidR="00694DF5" w:rsidRPr="00C0428D">
        <w:rPr>
          <w:color w:val="auto"/>
        </w:rPr>
        <w:t xml:space="preserve"> </w:t>
      </w:r>
      <w:r w:rsidR="00663204" w:rsidRPr="00C0428D">
        <w:rPr>
          <w:color w:val="auto"/>
        </w:rPr>
        <w:t>Gradient Boosting Machine (</w:t>
      </w:r>
      <w:r w:rsidR="00694DF5" w:rsidRPr="00C0428D">
        <w:rPr>
          <w:color w:val="auto"/>
        </w:rPr>
        <w:t>GBM</w:t>
      </w:r>
      <w:r w:rsidR="00663204" w:rsidRPr="00C0428D">
        <w:rPr>
          <w:color w:val="auto"/>
        </w:rPr>
        <w:t>)</w:t>
      </w:r>
      <w:r w:rsidRPr="00C0428D">
        <w:rPr>
          <w:color w:val="auto"/>
        </w:rPr>
        <w:t xml:space="preserve">, while a separate spatial analysis showed that geographic separation alone does not explain the poorly performing </w:t>
      </w:r>
      <w:r w:rsidR="00490A32" w:rsidRPr="00C0428D">
        <w:rPr>
          <w:color w:val="auto"/>
        </w:rPr>
        <w:t xml:space="preserve">two-station </w:t>
      </w:r>
      <w:r w:rsidRPr="00C0428D">
        <w:rPr>
          <w:color w:val="auto"/>
        </w:rPr>
        <w:t xml:space="preserve">FFNN </w:t>
      </w:r>
      <w:r w:rsidR="00490A32" w:rsidRPr="00C0428D">
        <w:rPr>
          <w:color w:val="auto"/>
        </w:rPr>
        <w:t>configurations</w:t>
      </w:r>
      <w:r w:rsidRPr="00C0428D">
        <w:rPr>
          <w:color w:val="auto"/>
        </w:rPr>
        <w:t xml:space="preserve">. The change in median </w:t>
      </w:r>
      <w:proofErr w:type="spellStart"/>
      <w:r w:rsidRPr="00C0428D">
        <w:rPr>
          <w:color w:val="auto"/>
        </w:rPr>
        <w:t>rRMSE</w:t>
      </w:r>
      <w:proofErr w:type="spellEnd"/>
      <w:r w:rsidRPr="00C0428D">
        <w:rPr>
          <w:color w:val="auto"/>
        </w:rPr>
        <w:t xml:space="preserve"> between successive network sizes further showed that improvements become progressively smaller as the network grows. For the Qatar network, seven calibration stations therefore represent a practical point of diminishing returns: performance is already highly robust to station selection at this size, while further network expansion provides only small additional reductions in median error</w:t>
      </w:r>
      <w:r w:rsidR="2B8E5DD9" w:rsidRPr="00C0428D">
        <w:rPr>
          <w:color w:val="auto"/>
        </w:rPr>
        <w:t>.</w:t>
      </w:r>
    </w:p>
    <w:p w14:paraId="5AB3A3E7" w14:textId="5269BBC8" w:rsidR="00DB52E7" w:rsidRPr="00C0428D" w:rsidRDefault="00DC2A4F" w:rsidP="00065868">
      <w:pPr>
        <w:pStyle w:val="SWCText"/>
        <w:pBdr>
          <w:bottom w:val="single" w:sz="6" w:space="1" w:color="auto"/>
        </w:pBdr>
        <w:rPr>
          <w:i/>
          <w:iCs/>
          <w:color w:val="auto"/>
        </w:rPr>
      </w:pPr>
      <w:r w:rsidRPr="00C0428D">
        <w:rPr>
          <w:i/>
          <w:iCs/>
          <w:color w:val="auto"/>
        </w:rPr>
        <w:t>Satellite irradiance, site adaptation,</w:t>
      </w:r>
      <w:r w:rsidR="00AE2010" w:rsidRPr="00C0428D">
        <w:rPr>
          <w:i/>
          <w:iCs/>
          <w:color w:val="auto"/>
        </w:rPr>
        <w:t xml:space="preserve"> CAMS</w:t>
      </w:r>
      <w:r w:rsidR="00775250" w:rsidRPr="00C0428D">
        <w:rPr>
          <w:i/>
          <w:iCs/>
          <w:color w:val="auto"/>
        </w:rPr>
        <w:t>-Rad,</w:t>
      </w:r>
      <w:r w:rsidRPr="00C0428D">
        <w:rPr>
          <w:i/>
          <w:iCs/>
          <w:color w:val="auto"/>
        </w:rPr>
        <w:t xml:space="preserve"> </w:t>
      </w:r>
      <w:r w:rsidR="00AE2010" w:rsidRPr="00C0428D">
        <w:rPr>
          <w:i/>
          <w:iCs/>
          <w:color w:val="auto"/>
        </w:rPr>
        <w:t>machine learning</w:t>
      </w:r>
      <w:r w:rsidRPr="00C0428D">
        <w:rPr>
          <w:i/>
          <w:iCs/>
          <w:color w:val="auto"/>
        </w:rPr>
        <w:t>, GHI, DNI</w:t>
      </w:r>
      <w:proofErr w:type="gramStart"/>
      <w:r w:rsidRPr="00C0428D">
        <w:rPr>
          <w:i/>
          <w:iCs/>
          <w:color w:val="auto"/>
        </w:rPr>
        <w:t>, arid</w:t>
      </w:r>
      <w:proofErr w:type="gramEnd"/>
      <w:r w:rsidRPr="00C0428D">
        <w:rPr>
          <w:i/>
          <w:iCs/>
          <w:color w:val="auto"/>
        </w:rPr>
        <w:t xml:space="preserve"> climate</w:t>
      </w:r>
    </w:p>
    <w:p w14:paraId="01458796" w14:textId="78C122B5" w:rsidR="00FA4DF8" w:rsidRPr="00C0428D" w:rsidRDefault="002C089D" w:rsidP="00065868">
      <w:pPr>
        <w:pStyle w:val="SWCText"/>
        <w:pBdr>
          <w:bottom w:val="single" w:sz="6" w:space="1" w:color="auto"/>
        </w:pBdr>
        <w:rPr>
          <w:i/>
          <w:iCs/>
          <w:color w:val="auto"/>
        </w:rPr>
      </w:pPr>
      <w:r w:rsidRPr="00C0428D">
        <w:rPr>
          <w:i/>
          <w:iCs/>
          <w:color w:val="auto"/>
        </w:rPr>
        <w:t>Field of application for the findings:</w:t>
      </w:r>
      <w:r w:rsidR="006A1013" w:rsidRPr="00C0428D">
        <w:rPr>
          <w:color w:val="auto"/>
        </w:rPr>
        <w:t xml:space="preserve"> </w:t>
      </w:r>
      <w:r w:rsidR="006A1013" w:rsidRPr="00C0428D">
        <w:rPr>
          <w:i/>
          <w:iCs/>
          <w:color w:val="auto"/>
        </w:rPr>
        <w:t>Solar resource assessment, satellite irradiance site adaptation, and solar monitoring-network planning in arid regions.</w:t>
      </w:r>
    </w:p>
    <w:p w14:paraId="185A319D" w14:textId="4D26B54E" w:rsidR="002C089D" w:rsidRPr="00C0428D" w:rsidRDefault="00CC3B0C" w:rsidP="00065868">
      <w:pPr>
        <w:pStyle w:val="SWCText"/>
        <w:pBdr>
          <w:bottom w:val="single" w:sz="6" w:space="1" w:color="auto"/>
        </w:pBdr>
        <w:rPr>
          <w:i/>
          <w:iCs/>
          <w:color w:val="auto"/>
        </w:rPr>
      </w:pPr>
      <w:r w:rsidRPr="00C0428D">
        <w:rPr>
          <w:i/>
          <w:iCs/>
          <w:color w:val="auto"/>
        </w:rPr>
        <w:t>Addressed audience:</w:t>
      </w:r>
      <w:r w:rsidR="0085091C" w:rsidRPr="00C0428D">
        <w:rPr>
          <w:i/>
          <w:iCs/>
          <w:color w:val="auto"/>
        </w:rPr>
        <w:t xml:space="preserve"> Solar-resource researchers, project developers, monitoring-network operators, and engineers using satellite-derived irradiance in desert climates.</w:t>
      </w:r>
    </w:p>
    <w:p w14:paraId="378F0C31" w14:textId="6864F5D3" w:rsidR="00D32EF0" w:rsidRPr="00C0428D" w:rsidRDefault="0085091C" w:rsidP="00345D6F">
      <w:pPr>
        <w:pStyle w:val="SWCHeading1"/>
        <w:rPr>
          <w:color w:val="auto"/>
        </w:rPr>
      </w:pPr>
      <w:r w:rsidRPr="00C0428D">
        <w:rPr>
          <w:color w:val="auto"/>
        </w:rPr>
        <w:t>Introduction</w:t>
      </w:r>
    </w:p>
    <w:p w14:paraId="0B3132EB" w14:textId="77777777" w:rsidR="003119B4" w:rsidRPr="00C0428D" w:rsidRDefault="003119B4" w:rsidP="00065868">
      <w:pPr>
        <w:pStyle w:val="SWCText"/>
        <w:rPr>
          <w:color w:val="auto"/>
        </w:rPr>
      </w:pPr>
      <w:r w:rsidRPr="00C0428D">
        <w:rPr>
          <w:color w:val="auto"/>
        </w:rPr>
        <w:t>Satellite-derived irradiance products are widely used for solar-resource assessment because they provide continuous spatial coverage and long temporal records. Their direct use can still be problematic in hot desert regions, where aerosol loading, dust events, cloud-screening uncertainty, high clear-sky frequency, and pixel-to-point mismatch can produce systematic errors in surface irradiance estimates. Ground-based site adaptation is therefore required when satellite data are used for bankable resource assessment, plant design, or operational performance evaluation.</w:t>
      </w:r>
    </w:p>
    <w:p w14:paraId="797B0DCD" w14:textId="7D244BB3" w:rsidR="003119B4" w:rsidRPr="00C0428D" w:rsidRDefault="003119B4" w:rsidP="00065868">
      <w:pPr>
        <w:pStyle w:val="SWCText"/>
        <w:rPr>
          <w:color w:val="auto"/>
        </w:rPr>
      </w:pPr>
      <w:r w:rsidRPr="00C0428D">
        <w:rPr>
          <w:color w:val="auto"/>
        </w:rPr>
        <w:t>Existing site-adaptation methods range from distribution mapping to nonlinear machine-learning correction (</w:t>
      </w:r>
      <w:proofErr w:type="spellStart"/>
      <w:r w:rsidRPr="00C0428D">
        <w:rPr>
          <w:color w:val="auto"/>
        </w:rPr>
        <w:t>Maraun</w:t>
      </w:r>
      <w:proofErr w:type="spellEnd"/>
      <w:r w:rsidRPr="00C0428D">
        <w:rPr>
          <w:color w:val="auto"/>
        </w:rPr>
        <w:t xml:space="preserve">, 2015; Friedman, 2001). Multi-site studies have demonstrated the value of local adaptation and statistical learning (Polo et al., 2020; Verbois et al., 2023). Using </w:t>
      </w:r>
      <w:r w:rsidR="001A0B22" w:rsidRPr="00C0428D">
        <w:rPr>
          <w:color w:val="auto"/>
        </w:rPr>
        <w:t>same configuration of</w:t>
      </w:r>
      <w:r w:rsidRPr="00C0428D">
        <w:rPr>
          <w:color w:val="auto"/>
        </w:rPr>
        <w:t xml:space="preserve"> Qatar monitoring </w:t>
      </w:r>
      <w:r w:rsidR="001A0B22" w:rsidRPr="00C0428D">
        <w:rPr>
          <w:color w:val="auto"/>
        </w:rPr>
        <w:t xml:space="preserve">station </w:t>
      </w:r>
      <w:r w:rsidRPr="00C0428D">
        <w:rPr>
          <w:color w:val="auto"/>
        </w:rPr>
        <w:t xml:space="preserve">network, Bachour et al. (2026) showed that spatial behavior is component-dependent: </w:t>
      </w:r>
      <w:r w:rsidR="006973BA" w:rsidRPr="00C0428D">
        <w:rPr>
          <w:color w:val="auto"/>
        </w:rPr>
        <w:t>the global horizontal irradiance (</w:t>
      </w:r>
      <w:r w:rsidRPr="00C0428D">
        <w:rPr>
          <w:color w:val="auto"/>
        </w:rPr>
        <w:t>GHI</w:t>
      </w:r>
      <w:r w:rsidR="006973BA" w:rsidRPr="00C0428D">
        <w:rPr>
          <w:color w:val="auto"/>
        </w:rPr>
        <w:t>)</w:t>
      </w:r>
      <w:r w:rsidRPr="00C0428D">
        <w:rPr>
          <w:color w:val="auto"/>
        </w:rPr>
        <w:t xml:space="preserve"> is comparatively uniform, whereas </w:t>
      </w:r>
      <w:r w:rsidR="006973BA" w:rsidRPr="00C0428D">
        <w:rPr>
          <w:color w:val="auto"/>
        </w:rPr>
        <w:t>the direct normal irradiance (</w:t>
      </w:r>
      <w:r w:rsidRPr="00C0428D">
        <w:rPr>
          <w:color w:val="auto"/>
        </w:rPr>
        <w:t>DNI</w:t>
      </w:r>
      <w:r w:rsidR="006973BA" w:rsidRPr="00C0428D">
        <w:rPr>
          <w:color w:val="auto"/>
        </w:rPr>
        <w:t>)</w:t>
      </w:r>
      <w:r w:rsidRPr="00C0428D">
        <w:rPr>
          <w:color w:val="auto"/>
        </w:rPr>
        <w:t xml:space="preserve"> is more spatially variable and its extrapolation error increases more sharply with station separation. That result is relevant to station placement, but it does not answer whether a small set of stations forms a representative training domain for a regional machine-learning correction. This distinction motivates the present </w:t>
      </w:r>
      <w:r w:rsidR="001A0B22" w:rsidRPr="00C0428D">
        <w:rPr>
          <w:color w:val="auto"/>
        </w:rPr>
        <w:t xml:space="preserve">ground monitoring station </w:t>
      </w:r>
      <w:r w:rsidRPr="00C0428D">
        <w:rPr>
          <w:color w:val="auto"/>
        </w:rPr>
        <w:t>network-robustness analysis.</w:t>
      </w:r>
    </w:p>
    <w:p w14:paraId="0323F5DD" w14:textId="77777777" w:rsidR="008F54F8" w:rsidRPr="00C0428D" w:rsidRDefault="0091137D">
      <w:pPr>
        <w:pStyle w:val="SWCText"/>
        <w:rPr>
          <w:color w:val="auto"/>
          <w:sz w:val="18"/>
        </w:rPr>
      </w:pPr>
      <w:r w:rsidRPr="006F2E9A">
        <w:lastRenderedPageBreak/>
        <w:t>The present study extends the previous cost-error optimization framework</w:t>
      </w:r>
      <w:r w:rsidRPr="001E4C6B">
        <w:rPr>
          <w:color w:val="auto"/>
        </w:rPr>
        <w:t xml:space="preserve"> reported </w:t>
      </w:r>
      <w:r w:rsidR="001E4C6B">
        <w:rPr>
          <w:color w:val="auto"/>
        </w:rPr>
        <w:t xml:space="preserve">by </w:t>
      </w:r>
      <w:r w:rsidRPr="00C0428D">
        <w:rPr>
          <w:color w:val="auto"/>
        </w:rPr>
        <w:t>Ziaullah et al</w:t>
      </w:r>
      <w:r w:rsidR="001E4C6B">
        <w:rPr>
          <w:color w:val="auto"/>
        </w:rPr>
        <w:t>. (</w:t>
      </w:r>
      <w:r w:rsidRPr="00C0428D">
        <w:rPr>
          <w:color w:val="auto"/>
        </w:rPr>
        <w:t>2026)</w:t>
      </w:r>
      <w:r w:rsidRPr="006F2E9A">
        <w:t xml:space="preserve"> by evaluating the robustness of satellite-irradiance site adaptation to calibration-station selection</w:t>
      </w:r>
      <w:r w:rsidR="001E4C6B">
        <w:rPr>
          <w:color w:val="auto"/>
        </w:rPr>
        <w:t>. Rather than only</w:t>
      </w:r>
      <w:r w:rsidRPr="00851090">
        <w:t xml:space="preserve"> identifying the best</w:t>
      </w:r>
      <w:r w:rsidR="001E4C6B">
        <w:rPr>
          <w:color w:val="auto"/>
        </w:rPr>
        <w:t xml:space="preserve">-performing </w:t>
      </w:r>
      <w:r w:rsidRPr="00851090">
        <w:t>adaptation model</w:t>
      </w:r>
      <w:r w:rsidR="001E4C6B">
        <w:rPr>
          <w:color w:val="auto"/>
        </w:rPr>
        <w:t>, the analysis examines</w:t>
      </w:r>
      <w:r w:rsidRPr="00851090">
        <w:t xml:space="preserve"> how </w:t>
      </w:r>
      <w:r w:rsidR="001E4C6B">
        <w:rPr>
          <w:color w:val="auto"/>
        </w:rPr>
        <w:t>consistently</w:t>
      </w:r>
      <w:r w:rsidRPr="00851090">
        <w:t xml:space="preserve"> that model </w:t>
      </w:r>
      <w:r w:rsidR="001E4C6B">
        <w:rPr>
          <w:color w:val="auto"/>
        </w:rPr>
        <w:t>performs</w:t>
      </w:r>
      <w:r w:rsidRPr="00851090">
        <w:t xml:space="preserve"> when different subsets of calibration stations are used.</w:t>
      </w:r>
      <w:r w:rsidRPr="001E4C6B">
        <w:rPr>
          <w:color w:val="auto"/>
        </w:rPr>
        <w:t xml:space="preserve"> </w:t>
      </w:r>
      <w:r w:rsidR="001E4C6B">
        <w:rPr>
          <w:color w:val="auto"/>
        </w:rPr>
        <w:t>The main research questions addressed are:</w:t>
      </w:r>
    </w:p>
    <w:p w14:paraId="643C0974" w14:textId="77777777" w:rsidR="008F54F8" w:rsidRPr="00C0428D" w:rsidRDefault="0091137D" w:rsidP="00200481">
      <w:pPr>
        <w:pStyle w:val="SWCText"/>
        <w:numPr>
          <w:ilvl w:val="0"/>
          <w:numId w:val="27"/>
        </w:numPr>
        <w:rPr>
          <w:color w:val="auto"/>
          <w:sz w:val="18"/>
        </w:rPr>
      </w:pPr>
      <w:r w:rsidRPr="00200481">
        <w:rPr>
          <w:color w:val="auto"/>
        </w:rPr>
        <w:t xml:space="preserve">How </w:t>
      </w:r>
      <w:r w:rsidR="00200481">
        <w:rPr>
          <w:color w:val="auto"/>
        </w:rPr>
        <w:t>sensitive is</w:t>
      </w:r>
      <w:r w:rsidRPr="00200481">
        <w:rPr>
          <w:color w:val="auto"/>
        </w:rPr>
        <w:t xml:space="preserve"> FFNN performance </w:t>
      </w:r>
      <w:r w:rsidR="00200481">
        <w:rPr>
          <w:color w:val="auto"/>
        </w:rPr>
        <w:t>to</w:t>
      </w:r>
      <w:r w:rsidRPr="00200481">
        <w:rPr>
          <w:color w:val="auto"/>
        </w:rPr>
        <w:t xml:space="preserve"> station selection at a fixed </w:t>
      </w:r>
      <w:r w:rsidR="00200481">
        <w:rPr>
          <w:color w:val="auto"/>
        </w:rPr>
        <w:t>calibration-</w:t>
      </w:r>
      <w:r w:rsidRPr="00200481">
        <w:rPr>
          <w:color w:val="auto"/>
        </w:rPr>
        <w:t>network size</w:t>
      </w:r>
      <w:r w:rsidR="00200481">
        <w:rPr>
          <w:color w:val="auto"/>
        </w:rPr>
        <w:t>?</w:t>
      </w:r>
    </w:p>
    <w:p w14:paraId="7AE8F12C" w14:textId="77777777" w:rsidR="008F54F8" w:rsidRPr="00C0428D" w:rsidRDefault="0091137D" w:rsidP="001F0208">
      <w:pPr>
        <w:pStyle w:val="SWCText"/>
        <w:numPr>
          <w:ilvl w:val="0"/>
          <w:numId w:val="27"/>
        </w:numPr>
        <w:rPr>
          <w:color w:val="auto"/>
          <w:sz w:val="18"/>
        </w:rPr>
      </w:pPr>
      <w:r w:rsidRPr="001F0208">
        <w:rPr>
          <w:color w:val="auto"/>
        </w:rPr>
        <w:t xml:space="preserve">How </w:t>
      </w:r>
      <w:r w:rsidR="001F0208">
        <w:rPr>
          <w:color w:val="auto"/>
        </w:rPr>
        <w:t xml:space="preserve">does </w:t>
      </w:r>
      <w:r w:rsidRPr="001F0208">
        <w:rPr>
          <w:color w:val="auto"/>
        </w:rPr>
        <w:t xml:space="preserve">the typical adaptation error </w:t>
      </w:r>
      <w:r w:rsidR="001F0208">
        <w:rPr>
          <w:color w:val="auto"/>
        </w:rPr>
        <w:t>change</w:t>
      </w:r>
      <w:r w:rsidRPr="001F0208">
        <w:rPr>
          <w:color w:val="auto"/>
        </w:rPr>
        <w:t xml:space="preserve"> as the calibration network </w:t>
      </w:r>
      <w:r w:rsidR="001F0208">
        <w:rPr>
          <w:color w:val="auto"/>
        </w:rPr>
        <w:t>increases in size?</w:t>
      </w:r>
    </w:p>
    <w:p w14:paraId="74A35A85" w14:textId="77777777" w:rsidR="008F54F8" w:rsidRPr="00C0428D" w:rsidRDefault="00A921DA" w:rsidP="00A921DA">
      <w:pPr>
        <w:pStyle w:val="SWCText"/>
        <w:numPr>
          <w:ilvl w:val="0"/>
          <w:numId w:val="27"/>
        </w:numPr>
        <w:rPr>
          <w:color w:val="auto"/>
          <w:sz w:val="18"/>
        </w:rPr>
      </w:pPr>
      <w:r>
        <w:rPr>
          <w:color w:val="auto"/>
        </w:rPr>
        <w:t>At what network size do additional calibration stations provide only limited further improvement?</w:t>
      </w:r>
    </w:p>
    <w:p w14:paraId="5C9C4796" w14:textId="77777777" w:rsidR="008F54F8" w:rsidRPr="00C0428D" w:rsidRDefault="00844D48" w:rsidP="00844D48">
      <w:pPr>
        <w:pStyle w:val="SWCText"/>
        <w:numPr>
          <w:ilvl w:val="0"/>
          <w:numId w:val="27"/>
        </w:numPr>
        <w:rPr>
          <w:color w:val="auto"/>
          <w:sz w:val="18"/>
        </w:rPr>
      </w:pPr>
      <w:r>
        <w:rPr>
          <w:color w:val="auto"/>
        </w:rPr>
        <w:t>Can the</w:t>
      </w:r>
      <w:r w:rsidR="0091137D" w:rsidRPr="00844D48">
        <w:rPr>
          <w:color w:val="auto"/>
        </w:rPr>
        <w:t xml:space="preserve"> anomalous behavior </w:t>
      </w:r>
      <w:r>
        <w:rPr>
          <w:color w:val="auto"/>
        </w:rPr>
        <w:t>of sparse two-station FFNN networks</w:t>
      </w:r>
      <w:r w:rsidR="0091137D" w:rsidRPr="00844D48">
        <w:rPr>
          <w:color w:val="auto"/>
        </w:rPr>
        <w:t xml:space="preserve"> be explained by model choice or </w:t>
      </w:r>
      <w:r>
        <w:rPr>
          <w:color w:val="auto"/>
        </w:rPr>
        <w:t xml:space="preserve">by </w:t>
      </w:r>
      <w:r w:rsidR="0091137D" w:rsidRPr="00844D48">
        <w:rPr>
          <w:color w:val="auto"/>
        </w:rPr>
        <w:t>station-pair separation</w:t>
      </w:r>
      <w:r>
        <w:rPr>
          <w:color w:val="auto"/>
        </w:rPr>
        <w:t>?</w:t>
      </w:r>
    </w:p>
    <w:p w14:paraId="3D83E22A" w14:textId="6D5BEC0F" w:rsidR="003E1E1C" w:rsidRPr="00C0428D" w:rsidRDefault="0038071A" w:rsidP="00345D6F">
      <w:pPr>
        <w:pStyle w:val="SWCHeading1"/>
        <w:rPr>
          <w:color w:val="auto"/>
        </w:rPr>
      </w:pPr>
      <w:r w:rsidRPr="00C0428D">
        <w:rPr>
          <w:color w:val="auto"/>
        </w:rPr>
        <w:t xml:space="preserve">Data </w:t>
      </w:r>
      <w:r w:rsidR="00345D6F" w:rsidRPr="00C0428D">
        <w:rPr>
          <w:color w:val="auto"/>
        </w:rPr>
        <w:t xml:space="preserve">&amp; </w:t>
      </w:r>
      <w:r w:rsidRPr="00C0428D">
        <w:rPr>
          <w:color w:val="auto"/>
        </w:rPr>
        <w:t>Methods</w:t>
      </w:r>
    </w:p>
    <w:p w14:paraId="07882D6B" w14:textId="07DF11C9" w:rsidR="00D32EF0" w:rsidRPr="00C0428D" w:rsidRDefault="005E4BF8" w:rsidP="00065868">
      <w:pPr>
        <w:pStyle w:val="SWCHeading11"/>
        <w:jc w:val="both"/>
        <w:rPr>
          <w:color w:val="auto"/>
          <w:lang w:val="en-US"/>
        </w:rPr>
      </w:pPr>
      <w:r w:rsidRPr="00C0428D">
        <w:rPr>
          <w:color w:val="auto"/>
          <w:lang w:val="en-US"/>
        </w:rPr>
        <w:t>2.1. Ground network</w:t>
      </w:r>
      <w:r w:rsidR="00145ED6" w:rsidRPr="00C0428D">
        <w:rPr>
          <w:color w:val="auto"/>
          <w:lang w:val="en-US"/>
        </w:rPr>
        <w:t xml:space="preserve"> and satellite </w:t>
      </w:r>
      <w:proofErr w:type="gramStart"/>
      <w:r w:rsidR="00145ED6" w:rsidRPr="00C0428D">
        <w:rPr>
          <w:color w:val="auto"/>
          <w:lang w:val="en-US"/>
        </w:rPr>
        <w:t>product</w:t>
      </w:r>
      <w:proofErr w:type="gramEnd"/>
    </w:p>
    <w:p w14:paraId="7995F8A3" w14:textId="304A13C0" w:rsidR="00E1729C" w:rsidRPr="00C0428D" w:rsidRDefault="00E1729C" w:rsidP="00065868">
      <w:pPr>
        <w:pStyle w:val="SWCHeading11"/>
        <w:jc w:val="both"/>
        <w:rPr>
          <w:rFonts w:ascii="Times New Roman" w:hAnsi="Times New Roman"/>
          <w:i w:val="0"/>
          <w:color w:val="auto"/>
          <w:lang w:val="en-US"/>
        </w:rPr>
      </w:pPr>
      <w:r w:rsidRPr="00C0428D">
        <w:rPr>
          <w:rFonts w:ascii="Times New Roman" w:hAnsi="Times New Roman"/>
          <w:i w:val="0"/>
          <w:color w:val="auto"/>
          <w:lang w:val="en-US"/>
        </w:rPr>
        <w:t>The study uses 1-min</w:t>
      </w:r>
      <w:r w:rsidR="00145ED6" w:rsidRPr="00C0428D">
        <w:rPr>
          <w:rFonts w:ascii="Times New Roman" w:hAnsi="Times New Roman"/>
          <w:i w:val="0"/>
          <w:color w:val="auto"/>
          <w:lang w:val="en-US"/>
        </w:rPr>
        <w:t xml:space="preserve"> </w:t>
      </w:r>
      <w:r w:rsidRPr="00C0428D">
        <w:rPr>
          <w:rFonts w:ascii="Times New Roman" w:hAnsi="Times New Roman"/>
          <w:i w:val="0"/>
          <w:color w:val="auto"/>
          <w:lang w:val="en-US"/>
        </w:rPr>
        <w:t>GHI and DNI observations from 13 ground-monitoring stations distributed across Qatar. The data cover 2020-2024 and are synchronized with CAMS-Rad satellite-derived irradiance after the quality-control procedure described in Perez-Astudillo et al. (20</w:t>
      </w:r>
      <w:r w:rsidR="002A2CC3" w:rsidRPr="00C0428D">
        <w:rPr>
          <w:rFonts w:ascii="Times New Roman" w:hAnsi="Times New Roman"/>
          <w:i w:val="0"/>
          <w:color w:val="auto"/>
          <w:lang w:val="en-US"/>
        </w:rPr>
        <w:t>18</w:t>
      </w:r>
      <w:r w:rsidRPr="00C0428D">
        <w:rPr>
          <w:rFonts w:ascii="Times New Roman" w:hAnsi="Times New Roman"/>
          <w:i w:val="0"/>
          <w:color w:val="auto"/>
          <w:lang w:val="en-US"/>
        </w:rPr>
        <w:t xml:space="preserve">). The training period is </w:t>
      </w:r>
      <w:r w:rsidR="00813E35" w:rsidRPr="00C0428D">
        <w:rPr>
          <w:rFonts w:ascii="Times New Roman" w:hAnsi="Times New Roman"/>
          <w:i w:val="0"/>
          <w:color w:val="auto"/>
          <w:lang w:val="en-US"/>
        </w:rPr>
        <w:t>2020-2022,</w:t>
      </w:r>
      <w:r w:rsidRPr="00C0428D">
        <w:rPr>
          <w:rFonts w:ascii="Times New Roman" w:hAnsi="Times New Roman"/>
          <w:i w:val="0"/>
          <w:color w:val="auto"/>
          <w:lang w:val="en-US"/>
        </w:rPr>
        <w:t xml:space="preserve"> and the independent test period is 2023-2024. The full dataset contains 12,677,886 synchronized records after filtering, with 7,602,458 records in training and 5,075,428 records in testing. All station configurations were evaluated using the same independent test dataset covering the 13 stations, ensuring that comparisons among configurations were not affected by changes in the evaluation sample.</w:t>
      </w:r>
    </w:p>
    <w:p w14:paraId="0970868B" w14:textId="77777777" w:rsidR="00E1729C" w:rsidRPr="00C0428D" w:rsidRDefault="00E1729C" w:rsidP="00065868">
      <w:pPr>
        <w:pStyle w:val="SWCHeading11"/>
        <w:jc w:val="both"/>
        <w:rPr>
          <w:color w:val="auto"/>
          <w:lang w:val="en-US"/>
        </w:rPr>
      </w:pPr>
      <w:r w:rsidRPr="00C0428D">
        <w:rPr>
          <w:color w:val="auto"/>
          <w:lang w:val="en-US"/>
        </w:rPr>
        <w:t>2.2. Site-adaptation models</w:t>
      </w:r>
    </w:p>
    <w:p w14:paraId="3CE649C1" w14:textId="30C7E231" w:rsidR="00E1729C" w:rsidRPr="00C0428D" w:rsidRDefault="00E1729C" w:rsidP="00065868">
      <w:pPr>
        <w:pStyle w:val="SWCHeading11"/>
        <w:jc w:val="both"/>
        <w:rPr>
          <w:rFonts w:ascii="Times New Roman" w:hAnsi="Times New Roman"/>
          <w:i w:val="0"/>
          <w:color w:val="auto"/>
          <w:lang w:val="en-US"/>
        </w:rPr>
      </w:pPr>
      <w:r w:rsidRPr="00C0428D">
        <w:rPr>
          <w:rFonts w:ascii="Times New Roman" w:hAnsi="Times New Roman"/>
          <w:i w:val="0"/>
          <w:color w:val="auto"/>
          <w:lang w:val="en-US"/>
        </w:rPr>
        <w:t xml:space="preserve">Five site-adaptation methods are considered: </w:t>
      </w:r>
      <w:r w:rsidR="00724D7A" w:rsidRPr="00C0428D">
        <w:rPr>
          <w:rFonts w:ascii="Times New Roman" w:hAnsi="Times New Roman"/>
          <w:i w:val="0"/>
          <w:color w:val="auto"/>
          <w:lang w:val="en-US"/>
        </w:rPr>
        <w:t>empirical quantile mapping (EQM), linear regression (LR), random forest (RF), gradient boosting machine (GBM), and feed-forward neural networks (FFNN). EQM</w:t>
      </w:r>
      <w:r w:rsidRPr="00C0428D">
        <w:rPr>
          <w:rFonts w:ascii="Times New Roman" w:hAnsi="Times New Roman"/>
          <w:i w:val="0"/>
          <w:color w:val="auto"/>
          <w:lang w:val="en-US"/>
        </w:rPr>
        <w:t xml:space="preserve"> provides a distribution-based correction baseline, LR provides a simple regression benchmark, and RF, GBM, and FFNN represent nonlinear machine-learning approaches</w:t>
      </w:r>
      <w:r w:rsidR="00671C61" w:rsidRPr="00C0428D">
        <w:rPr>
          <w:rFonts w:ascii="Times New Roman" w:hAnsi="Times New Roman"/>
          <w:i w:val="0"/>
          <w:color w:val="auto"/>
          <w:lang w:val="en-US"/>
        </w:rPr>
        <w:t xml:space="preserve">. </w:t>
      </w:r>
      <w:r w:rsidRPr="00C0428D">
        <w:rPr>
          <w:rFonts w:ascii="Times New Roman" w:hAnsi="Times New Roman"/>
          <w:i w:val="0"/>
          <w:color w:val="auto"/>
          <w:lang w:val="en-US"/>
        </w:rPr>
        <w:t xml:space="preserve">The dynamic calibration framework and baseline cost-error optimization have been reported in (Ziaullah et al., 2026). The five-model comparison is retained to identify the strongest correction method, while the subsequent station-combination analysis focuses on FFNN because it provides the lowest overall </w:t>
      </w:r>
      <w:proofErr w:type="spellStart"/>
      <w:r w:rsidRPr="00C0428D">
        <w:rPr>
          <w:rFonts w:ascii="Times New Roman" w:hAnsi="Times New Roman"/>
          <w:i w:val="0"/>
          <w:color w:val="auto"/>
          <w:lang w:val="en-US"/>
        </w:rPr>
        <w:t>rRMSE</w:t>
      </w:r>
      <w:proofErr w:type="spellEnd"/>
      <w:r w:rsidRPr="00C0428D">
        <w:rPr>
          <w:rFonts w:ascii="Times New Roman" w:hAnsi="Times New Roman"/>
          <w:i w:val="0"/>
          <w:color w:val="auto"/>
          <w:lang w:val="en-US"/>
        </w:rPr>
        <w:t xml:space="preserve"> for both GHI and DNI. </w:t>
      </w:r>
    </w:p>
    <w:p w14:paraId="69A840FC" w14:textId="77777777" w:rsidR="00E1729C" w:rsidRPr="00C0428D" w:rsidRDefault="00E1729C" w:rsidP="00065868">
      <w:pPr>
        <w:pStyle w:val="SWCHeading11"/>
        <w:jc w:val="both"/>
        <w:rPr>
          <w:color w:val="auto"/>
          <w:lang w:val="en-US"/>
        </w:rPr>
      </w:pPr>
      <w:r w:rsidRPr="00C0428D">
        <w:rPr>
          <w:color w:val="auto"/>
          <w:lang w:val="en-US"/>
        </w:rPr>
        <w:t>2.3. Station-combination analysis</w:t>
      </w:r>
    </w:p>
    <w:p w14:paraId="76D1F583" w14:textId="7F3F943E" w:rsidR="00E1729C" w:rsidRPr="00C0428D" w:rsidRDefault="00E1729C" w:rsidP="00065868">
      <w:pPr>
        <w:pStyle w:val="SWCHeading11"/>
        <w:jc w:val="both"/>
        <w:rPr>
          <w:rFonts w:ascii="Times New Roman" w:hAnsi="Times New Roman"/>
          <w:i w:val="0"/>
          <w:color w:val="auto"/>
          <w:lang w:val="en-US"/>
        </w:rPr>
      </w:pPr>
      <w:r w:rsidRPr="00C0428D">
        <w:rPr>
          <w:rFonts w:ascii="Times New Roman" w:hAnsi="Times New Roman"/>
          <w:i w:val="0"/>
          <w:color w:val="auto"/>
          <w:lang w:val="en-US"/>
        </w:rPr>
        <w:t xml:space="preserve">For the network-design analysis, all possible station combinations containing between 1 and 13 stations were considered, giving 8,191 configurations. Each configuration is trained using only its selected stations but is evaluated against the same independent 2023-2024 test dataset covering all 13 stations, following Ziaullah et al. (2026). For each network size </w:t>
      </w:r>
      <w:r w:rsidR="00021F97" w:rsidRPr="00C0428D">
        <w:rPr>
          <w:rFonts w:ascii="Times New Roman" w:hAnsi="Times New Roman"/>
          <w:i w:val="0"/>
          <w:color w:val="auto"/>
          <w:lang w:val="en-US"/>
        </w:rPr>
        <w:t>(</w:t>
      </w:r>
      <w:r w:rsidRPr="00C0428D">
        <w:rPr>
          <w:rFonts w:ascii="Times New Roman" w:hAnsi="Times New Roman"/>
          <w:i w:val="0"/>
          <w:color w:val="auto"/>
          <w:lang w:val="en-US"/>
        </w:rPr>
        <w:t>k</w:t>
      </w:r>
      <w:r w:rsidR="00021F97" w:rsidRPr="00C0428D">
        <w:rPr>
          <w:rFonts w:ascii="Times New Roman" w:hAnsi="Times New Roman"/>
          <w:i w:val="0"/>
          <w:color w:val="auto"/>
          <w:lang w:val="en-US"/>
        </w:rPr>
        <w:t>)</w:t>
      </w:r>
      <w:r w:rsidRPr="00C0428D">
        <w:rPr>
          <w:rFonts w:ascii="Times New Roman" w:hAnsi="Times New Roman"/>
          <w:i w:val="0"/>
          <w:color w:val="auto"/>
          <w:lang w:val="en-US"/>
        </w:rPr>
        <w:t xml:space="preserve">, all possible combinations of stations </w:t>
      </w:r>
      <w:r w:rsidR="00021F97" w:rsidRPr="00C0428D">
        <w:rPr>
          <w:rFonts w:ascii="Times New Roman" w:hAnsi="Times New Roman"/>
          <w:i w:val="0"/>
          <w:color w:val="auto"/>
          <w:lang w:val="en-US"/>
        </w:rPr>
        <w:t xml:space="preserve">are </w:t>
      </w:r>
      <w:r w:rsidRPr="00C0428D">
        <w:rPr>
          <w:rFonts w:ascii="Times New Roman" w:hAnsi="Times New Roman"/>
          <w:i w:val="0"/>
          <w:color w:val="auto"/>
          <w:lang w:val="en-US"/>
        </w:rPr>
        <w:t xml:space="preserve">selected </w:t>
      </w:r>
      <w:r w:rsidR="00021F97" w:rsidRPr="00C0428D">
        <w:rPr>
          <w:rFonts w:ascii="Times New Roman" w:hAnsi="Times New Roman"/>
          <w:i w:val="0"/>
          <w:color w:val="auto"/>
          <w:lang w:val="en-US"/>
        </w:rPr>
        <w:t xml:space="preserve">i.e. all k-subsets </w:t>
      </w:r>
      <w:r w:rsidRPr="00C0428D">
        <w:rPr>
          <w:rFonts w:ascii="Times New Roman" w:hAnsi="Times New Roman"/>
          <w:i w:val="0"/>
          <w:color w:val="auto"/>
          <w:lang w:val="en-US"/>
        </w:rPr>
        <w:t xml:space="preserve">from </w:t>
      </w:r>
      <w:r w:rsidR="00021F97" w:rsidRPr="00C0428D">
        <w:rPr>
          <w:rFonts w:ascii="Times New Roman" w:hAnsi="Times New Roman"/>
          <w:i w:val="0"/>
          <w:color w:val="auto"/>
          <w:lang w:val="en-US"/>
        </w:rPr>
        <w:t xml:space="preserve">a total of </w:t>
      </w:r>
      <w:r w:rsidRPr="00C0428D">
        <w:rPr>
          <w:rFonts w:ascii="Times New Roman" w:hAnsi="Times New Roman"/>
          <w:i w:val="0"/>
          <w:color w:val="auto"/>
          <w:lang w:val="en-US"/>
        </w:rPr>
        <w:t>13-station</w:t>
      </w:r>
      <w:r w:rsidR="00021F97" w:rsidRPr="00C0428D">
        <w:rPr>
          <w:rFonts w:ascii="Times New Roman" w:hAnsi="Times New Roman"/>
          <w:i w:val="0"/>
          <w:color w:val="auto"/>
          <w:lang w:val="en-US"/>
        </w:rPr>
        <w:t>. T</w:t>
      </w:r>
      <w:r w:rsidRPr="00C0428D">
        <w:rPr>
          <w:rFonts w:ascii="Times New Roman" w:hAnsi="Times New Roman"/>
          <w:i w:val="0"/>
          <w:color w:val="auto"/>
          <w:lang w:val="en-US"/>
        </w:rPr>
        <w:t xml:space="preserve">he corresponding FFNN </w:t>
      </w:r>
      <w:proofErr w:type="spellStart"/>
      <w:r w:rsidRPr="00C0428D">
        <w:rPr>
          <w:rFonts w:ascii="Times New Roman" w:hAnsi="Times New Roman"/>
          <w:i w:val="0"/>
          <w:color w:val="auto"/>
          <w:lang w:val="en-US"/>
        </w:rPr>
        <w:t>rRMSE</w:t>
      </w:r>
      <w:proofErr w:type="spellEnd"/>
      <w:r w:rsidRPr="00C0428D">
        <w:rPr>
          <w:rFonts w:ascii="Times New Roman" w:hAnsi="Times New Roman"/>
          <w:i w:val="0"/>
          <w:color w:val="auto"/>
          <w:lang w:val="en-US"/>
        </w:rPr>
        <w:t xml:space="preserve"> values are used to characterize the variability in performance across alternative station selections of the same size. This allows the analysis to distinguish the effect of network size from the sensitivity to which </w:t>
      </w:r>
      <w:proofErr w:type="gramStart"/>
      <w:r w:rsidRPr="00C0428D">
        <w:rPr>
          <w:rFonts w:ascii="Times New Roman" w:hAnsi="Times New Roman"/>
          <w:i w:val="0"/>
          <w:color w:val="auto"/>
          <w:lang w:val="en-US"/>
        </w:rPr>
        <w:t>particular stations</w:t>
      </w:r>
      <w:proofErr w:type="gramEnd"/>
      <w:r w:rsidRPr="00C0428D">
        <w:rPr>
          <w:rFonts w:ascii="Times New Roman" w:hAnsi="Times New Roman"/>
          <w:i w:val="0"/>
          <w:color w:val="auto"/>
          <w:lang w:val="en-US"/>
        </w:rPr>
        <w:t xml:space="preserve"> form the calibration set.</w:t>
      </w:r>
    </w:p>
    <w:p w14:paraId="6FC486FE" w14:textId="6D9AF67D" w:rsidR="00E1729C" w:rsidRPr="00C0428D" w:rsidRDefault="00E1729C" w:rsidP="00065868">
      <w:pPr>
        <w:pStyle w:val="SWCHeading11"/>
        <w:jc w:val="both"/>
        <w:rPr>
          <w:rFonts w:ascii="Times New Roman" w:hAnsi="Times New Roman"/>
          <w:i w:val="0"/>
          <w:color w:val="auto"/>
          <w:lang w:val="en-US"/>
        </w:rPr>
      </w:pPr>
      <w:r w:rsidRPr="00C0428D">
        <w:rPr>
          <w:rFonts w:ascii="Times New Roman" w:hAnsi="Times New Roman"/>
          <w:i w:val="0"/>
          <w:color w:val="auto"/>
          <w:lang w:val="en-US"/>
        </w:rPr>
        <w:t xml:space="preserve">Station-selection robustness is characterized by using two complementary measures. First, the </w:t>
      </w:r>
      <w:proofErr w:type="spellStart"/>
      <w:r w:rsidRPr="00C0428D">
        <w:rPr>
          <w:rFonts w:ascii="Times New Roman" w:hAnsi="Times New Roman"/>
          <w:i w:val="0"/>
          <w:color w:val="auto"/>
          <w:lang w:val="en-US"/>
        </w:rPr>
        <w:t>rRMSE</w:t>
      </w:r>
      <w:proofErr w:type="spellEnd"/>
      <w:r w:rsidRPr="00C0428D">
        <w:rPr>
          <w:rFonts w:ascii="Times New Roman" w:hAnsi="Times New Roman"/>
          <w:i w:val="0"/>
          <w:color w:val="auto"/>
          <w:lang w:val="en-US"/>
        </w:rPr>
        <w:t xml:space="preserve"> distribution at each network size is summarized by its median and interquartile range (IQR = Q75 - Q25). The </w:t>
      </w:r>
      <w:proofErr w:type="gramStart"/>
      <w:r w:rsidRPr="00C0428D">
        <w:rPr>
          <w:rFonts w:ascii="Times New Roman" w:hAnsi="Times New Roman"/>
          <w:i w:val="0"/>
          <w:color w:val="auto"/>
          <w:lang w:val="en-US"/>
        </w:rPr>
        <w:t>median</w:t>
      </w:r>
      <w:proofErr w:type="gramEnd"/>
      <w:r w:rsidRPr="00C0428D">
        <w:rPr>
          <w:rFonts w:ascii="Times New Roman" w:hAnsi="Times New Roman"/>
          <w:i w:val="0"/>
          <w:color w:val="auto"/>
          <w:lang w:val="en-US"/>
        </w:rPr>
        <w:t xml:space="preserve"> represents the typical </w:t>
      </w:r>
      <w:proofErr w:type="spellStart"/>
      <w:r w:rsidRPr="00C0428D">
        <w:rPr>
          <w:rFonts w:ascii="Times New Roman" w:hAnsi="Times New Roman"/>
          <w:i w:val="0"/>
          <w:color w:val="auto"/>
          <w:lang w:val="en-US"/>
        </w:rPr>
        <w:t>rRMSE</w:t>
      </w:r>
      <w:proofErr w:type="spellEnd"/>
      <w:r w:rsidRPr="00C0428D">
        <w:rPr>
          <w:rFonts w:ascii="Times New Roman" w:hAnsi="Times New Roman"/>
          <w:i w:val="0"/>
          <w:color w:val="auto"/>
          <w:lang w:val="en-US"/>
        </w:rPr>
        <w:t xml:space="preserve"> at a given network size, while the IQR shows the range over which the middle 50% of station combinations perform. These statistics are used to summarize the central tendency and spread of the </w:t>
      </w:r>
      <w:r w:rsidR="00B13A94" w:rsidRPr="00C0428D">
        <w:rPr>
          <w:rFonts w:ascii="Times New Roman" w:hAnsi="Times New Roman"/>
          <w:i w:val="0"/>
          <w:color w:val="auto"/>
          <w:lang w:val="en-US"/>
        </w:rPr>
        <w:t xml:space="preserve">results across </w:t>
      </w:r>
      <w:r w:rsidR="000F1960" w:rsidRPr="00C0428D">
        <w:rPr>
          <w:rFonts w:ascii="Times New Roman" w:hAnsi="Times New Roman"/>
          <w:i w:val="0"/>
          <w:color w:val="auto"/>
          <w:lang w:val="en-US"/>
        </w:rPr>
        <w:t xml:space="preserve">station </w:t>
      </w:r>
      <w:r w:rsidRPr="00C0428D">
        <w:rPr>
          <w:rFonts w:ascii="Times New Roman" w:hAnsi="Times New Roman"/>
          <w:i w:val="0"/>
          <w:color w:val="auto"/>
          <w:lang w:val="en-US"/>
        </w:rPr>
        <w:t xml:space="preserve">configuration. </w:t>
      </w:r>
      <w:r w:rsidR="00086432" w:rsidRPr="00C0428D">
        <w:rPr>
          <w:rFonts w:ascii="Times New Roman" w:hAnsi="Times New Roman"/>
          <w:i w:val="0"/>
          <w:color w:val="auto"/>
          <w:lang w:val="en-US"/>
        </w:rPr>
        <w:t>S</w:t>
      </w:r>
      <w:r w:rsidR="00C65E67" w:rsidRPr="00C0428D">
        <w:rPr>
          <w:rFonts w:ascii="Times New Roman" w:hAnsi="Times New Roman"/>
          <w:i w:val="0"/>
          <w:color w:val="auto"/>
          <w:lang w:val="en-US"/>
        </w:rPr>
        <w:t>econd, the percentage of station configurations for which FFNN does not improve the CAMS-Rad baseline was calculated at each network size and expressed as the non-improving configuration rate,</w:t>
      </w:r>
      <w:r w:rsidR="00086432" w:rsidRPr="00C0428D">
        <w:rPr>
          <w:rFonts w:ascii="Times New Roman" w:hAnsi="Times New Roman"/>
          <w:i w:val="0"/>
          <w:color w:val="auto"/>
          <w:lang w:val="en-US"/>
        </w:rPr>
        <w:t xml:space="preserve"> </w:t>
      </w:r>
      <w:proofErr w:type="spellStart"/>
      <w:r w:rsidR="00086432" w:rsidRPr="00C0428D">
        <w:rPr>
          <w:rFonts w:ascii="Times New Roman" w:hAnsi="Times New Roman"/>
          <w:i w:val="0"/>
          <w:color w:val="auto"/>
          <w:lang w:val="en-US"/>
        </w:rPr>
        <w:t>R</w:t>
      </w:r>
      <w:r w:rsidR="00086432" w:rsidRPr="00C0428D">
        <w:rPr>
          <w:rFonts w:ascii="Times New Roman" w:hAnsi="Times New Roman"/>
          <w:i w:val="0"/>
          <w:color w:val="auto"/>
          <w:vertAlign w:val="subscript"/>
          <w:lang w:val="en-US"/>
        </w:rPr>
        <w:t>non-</w:t>
      </w:r>
      <w:proofErr w:type="gramStart"/>
      <w:r w:rsidR="00086432" w:rsidRPr="00C0428D">
        <w:rPr>
          <w:rFonts w:ascii="Times New Roman" w:hAnsi="Times New Roman"/>
          <w:i w:val="0"/>
          <w:color w:val="auto"/>
          <w:vertAlign w:val="subscript"/>
          <w:lang w:val="en-US"/>
        </w:rPr>
        <w:t>improving,k</w:t>
      </w:r>
      <w:proofErr w:type="spellEnd"/>
      <w:proofErr w:type="gramEnd"/>
      <w:r w:rsidR="00086432" w:rsidRPr="00C0428D">
        <w:rPr>
          <w:rFonts w:ascii="Times New Roman" w:hAnsi="Times New Roman"/>
          <w:i w:val="0"/>
          <w:color w:val="auto"/>
          <w:lang w:val="en-US"/>
        </w:rPr>
        <w:t xml:space="preserve">, </w:t>
      </w:r>
      <w:r w:rsidR="00C65E67" w:rsidRPr="00C0428D">
        <w:rPr>
          <w:rFonts w:ascii="Times New Roman" w:hAnsi="Times New Roman"/>
          <w:i w:val="0"/>
          <w:color w:val="auto"/>
          <w:lang w:val="en-US"/>
        </w:rPr>
        <w:t xml:space="preserve">defined in Equation </w:t>
      </w:r>
      <w:r w:rsidR="00CB24BF" w:rsidRPr="00C0428D">
        <w:rPr>
          <w:rFonts w:ascii="Times New Roman" w:hAnsi="Times New Roman"/>
          <w:i w:val="0"/>
          <w:color w:val="auto"/>
          <w:lang w:val="en-US"/>
        </w:rPr>
        <w:t>1</w:t>
      </w:r>
      <w:r w:rsidR="00C65E67" w:rsidRPr="00C0428D">
        <w:rPr>
          <w:rFonts w:ascii="Times New Roman" w:hAnsi="Times New Roman"/>
          <w:i w:val="0"/>
          <w:color w:val="auto"/>
          <w:lang w:val="en-US"/>
        </w:rPr>
        <w:t xml:space="preserve"> as:</w:t>
      </w:r>
    </w:p>
    <w:p w14:paraId="617BA765" w14:textId="4DFA4BB5" w:rsidR="00E1729C" w:rsidRPr="00C0428D" w:rsidRDefault="001C3D35" w:rsidP="00065868">
      <w:pPr>
        <w:spacing w:after="60"/>
        <w:jc w:val="both"/>
        <w:rPr>
          <w:sz w:val="20"/>
          <w:szCs w:val="22"/>
          <w:lang w:val="en-US"/>
        </w:rPr>
      </w:pPr>
      <m:oMath>
        <m:sSub>
          <m:sSubPr>
            <m:ctrlPr>
              <w:rPr>
                <w:rFonts w:ascii="Cambria Math" w:hAnsi="Cambria Math" w:cstheme="majorBidi"/>
                <w:i/>
                <w:sz w:val="20"/>
                <w:szCs w:val="20"/>
                <w:lang w:val="en-US" w:eastAsia="en-US"/>
              </w:rPr>
            </m:ctrlPr>
          </m:sSubPr>
          <m:e>
            <m:r>
              <w:rPr>
                <w:rFonts w:ascii="Cambria Math" w:hAnsi="Cambria Math" w:cstheme="majorBidi"/>
                <w:sz w:val="20"/>
                <w:szCs w:val="20"/>
                <w:lang w:val="en-US"/>
              </w:rPr>
              <m:t>R</m:t>
            </m:r>
          </m:e>
          <m:sub>
            <m:r>
              <w:rPr>
                <w:rFonts w:ascii="Cambria Math" w:hAnsi="Cambria Math" w:cstheme="majorBidi"/>
                <w:sz w:val="20"/>
                <w:szCs w:val="20"/>
                <w:lang w:val="en-US"/>
              </w:rPr>
              <m:t>non-improving, k</m:t>
            </m:r>
          </m:sub>
        </m:sSub>
        <m:r>
          <w:rPr>
            <w:rFonts w:ascii="Cambria Math" w:hAnsi="Cambria Math" w:cstheme="majorBidi"/>
            <w:sz w:val="20"/>
            <w:szCs w:val="20"/>
            <w:lang w:val="en-US"/>
          </w:rPr>
          <m:t xml:space="preserve">(%)=100* </m:t>
        </m:r>
        <m:f>
          <m:fPr>
            <m:ctrlPr>
              <w:rPr>
                <w:rFonts w:ascii="Cambria Math" w:hAnsi="Cambria Math" w:cstheme="majorBidi"/>
                <w:i/>
                <w:sz w:val="20"/>
                <w:szCs w:val="20"/>
                <w:lang w:val="en-US" w:eastAsia="en-US"/>
              </w:rPr>
            </m:ctrlPr>
          </m:fPr>
          <m:num>
            <m:sSub>
              <m:sSubPr>
                <m:ctrlPr>
                  <w:rPr>
                    <w:rFonts w:ascii="Cambria Math" w:hAnsi="Cambria Math" w:cstheme="majorBidi"/>
                    <w:i/>
                    <w:sz w:val="20"/>
                    <w:szCs w:val="20"/>
                    <w:lang w:val="en-US" w:eastAsia="en-US"/>
                  </w:rPr>
                </m:ctrlPr>
              </m:sSubPr>
              <m:e>
                <m:r>
                  <w:rPr>
                    <w:rFonts w:ascii="Cambria Math" w:hAnsi="Cambria Math" w:cstheme="majorBidi"/>
                    <w:sz w:val="20"/>
                    <w:szCs w:val="20"/>
                    <w:lang w:val="en-US"/>
                  </w:rPr>
                  <m:t>n</m:t>
                </m:r>
              </m:e>
              <m:sub>
                <m:r>
                  <w:rPr>
                    <w:rFonts w:ascii="Cambria Math" w:hAnsi="Cambria Math" w:cstheme="majorBidi"/>
                    <w:sz w:val="20"/>
                    <w:szCs w:val="20"/>
                    <w:lang w:val="en-US"/>
                  </w:rPr>
                  <m:t>bad,k</m:t>
                </m:r>
              </m:sub>
            </m:sSub>
          </m:num>
          <m:den>
            <m:sSub>
              <m:sSubPr>
                <m:ctrlPr>
                  <w:rPr>
                    <w:rFonts w:ascii="Cambria Math" w:hAnsi="Cambria Math" w:cstheme="majorBidi"/>
                    <w:i/>
                    <w:sz w:val="20"/>
                    <w:szCs w:val="20"/>
                    <w:lang w:val="en-US" w:eastAsia="en-US"/>
                  </w:rPr>
                </m:ctrlPr>
              </m:sSubPr>
              <m:e>
                <m:r>
                  <w:rPr>
                    <w:rFonts w:ascii="Cambria Math" w:hAnsi="Cambria Math" w:cstheme="majorBidi"/>
                    <w:sz w:val="20"/>
                    <w:szCs w:val="20"/>
                    <w:lang w:val="en-US"/>
                  </w:rPr>
                  <m:t>n</m:t>
                </m:r>
              </m:e>
              <m:sub>
                <m:r>
                  <w:rPr>
                    <w:rFonts w:ascii="Cambria Math" w:hAnsi="Cambria Math" w:cstheme="majorBidi"/>
                    <w:sz w:val="20"/>
                    <w:szCs w:val="20"/>
                    <w:lang w:val="en-US"/>
                  </w:rPr>
                  <m:t>k</m:t>
                </m:r>
              </m:sub>
            </m:sSub>
          </m:den>
        </m:f>
      </m:oMath>
      <w:r w:rsidR="006417DF" w:rsidRPr="00C0428D">
        <w:rPr>
          <w:lang w:val="en-US"/>
        </w:rPr>
        <w:tab/>
      </w:r>
      <w:r w:rsidR="006417DF" w:rsidRPr="00C0428D">
        <w:rPr>
          <w:sz w:val="20"/>
          <w:szCs w:val="22"/>
          <w:lang w:val="en-US"/>
        </w:rPr>
        <w:t>(Eq. 1)</w:t>
      </w:r>
    </w:p>
    <w:p w14:paraId="5FD1C7E6" w14:textId="77777777" w:rsidR="00E1729C" w:rsidRPr="00C0428D" w:rsidRDefault="00E1729C" w:rsidP="00065868">
      <w:pPr>
        <w:pStyle w:val="SWCHeading11"/>
        <w:jc w:val="both"/>
        <w:rPr>
          <w:rFonts w:ascii="Times New Roman" w:hAnsi="Times New Roman"/>
          <w:i w:val="0"/>
          <w:color w:val="auto"/>
          <w:lang w:val="en-US"/>
        </w:rPr>
      </w:pPr>
      <w:r w:rsidRPr="00C0428D">
        <w:rPr>
          <w:rFonts w:ascii="Times New Roman" w:hAnsi="Times New Roman"/>
          <w:i w:val="0"/>
          <w:color w:val="auto"/>
          <w:lang w:val="en-US"/>
        </w:rPr>
        <w:t xml:space="preserve">where </w:t>
      </w:r>
      <w:proofErr w:type="spellStart"/>
      <w:proofErr w:type="gramStart"/>
      <w:r w:rsidRPr="00C0428D">
        <w:rPr>
          <w:rFonts w:ascii="Times New Roman" w:hAnsi="Times New Roman"/>
          <w:i w:val="0"/>
          <w:color w:val="auto"/>
          <w:lang w:val="en-US"/>
        </w:rPr>
        <w:t>n</w:t>
      </w:r>
      <w:r w:rsidRPr="00C0428D">
        <w:rPr>
          <w:rFonts w:ascii="Times New Roman" w:hAnsi="Times New Roman"/>
          <w:i w:val="0"/>
          <w:color w:val="auto"/>
          <w:vertAlign w:val="subscript"/>
          <w:lang w:val="en-US"/>
        </w:rPr>
        <w:t>bad,k</w:t>
      </w:r>
      <w:proofErr w:type="spellEnd"/>
      <w:proofErr w:type="gramEnd"/>
      <w:r w:rsidRPr="00C0428D">
        <w:rPr>
          <w:rFonts w:ascii="Times New Roman" w:hAnsi="Times New Roman"/>
          <w:i w:val="0"/>
          <w:color w:val="auto"/>
          <w:vertAlign w:val="subscript"/>
          <w:lang w:val="en-US"/>
        </w:rPr>
        <w:t xml:space="preserve"> </w:t>
      </w:r>
      <w:r w:rsidRPr="00C0428D">
        <w:rPr>
          <w:rFonts w:ascii="Times New Roman" w:hAnsi="Times New Roman"/>
          <w:i w:val="0"/>
          <w:color w:val="auto"/>
          <w:lang w:val="en-US"/>
        </w:rPr>
        <w:t xml:space="preserve">is the number of k-station configurations for which the </w:t>
      </w:r>
      <w:proofErr w:type="spellStart"/>
      <w:r w:rsidRPr="00C0428D">
        <w:rPr>
          <w:rFonts w:ascii="Times New Roman" w:hAnsi="Times New Roman"/>
          <w:i w:val="0"/>
          <w:color w:val="auto"/>
          <w:lang w:val="en-US"/>
        </w:rPr>
        <w:t>rRMSE</w:t>
      </w:r>
      <w:proofErr w:type="spellEnd"/>
      <w:r w:rsidRPr="00C0428D">
        <w:rPr>
          <w:rFonts w:ascii="Times New Roman" w:hAnsi="Times New Roman"/>
          <w:i w:val="0"/>
          <w:color w:val="auto"/>
          <w:lang w:val="en-US"/>
        </w:rPr>
        <w:t xml:space="preserve"> exceeds the corresponding raw CAMS-Rad </w:t>
      </w:r>
      <w:proofErr w:type="spellStart"/>
      <w:r w:rsidRPr="00C0428D">
        <w:rPr>
          <w:rFonts w:ascii="Times New Roman" w:hAnsi="Times New Roman"/>
          <w:i w:val="0"/>
          <w:color w:val="auto"/>
          <w:lang w:val="en-US"/>
        </w:rPr>
        <w:t>rRMSE</w:t>
      </w:r>
      <w:proofErr w:type="spellEnd"/>
      <w:r w:rsidRPr="00C0428D">
        <w:rPr>
          <w:rFonts w:ascii="Times New Roman" w:hAnsi="Times New Roman"/>
          <w:i w:val="0"/>
          <w:color w:val="auto"/>
          <w:lang w:val="en-US"/>
        </w:rPr>
        <w:t xml:space="preserve">, and </w:t>
      </w:r>
      <w:proofErr w:type="spellStart"/>
      <w:r w:rsidRPr="00C0428D">
        <w:rPr>
          <w:rFonts w:ascii="Times New Roman" w:hAnsi="Times New Roman"/>
          <w:i w:val="0"/>
          <w:color w:val="auto"/>
          <w:lang w:val="en-US"/>
        </w:rPr>
        <w:t>n</w:t>
      </w:r>
      <w:r w:rsidRPr="00C0428D">
        <w:rPr>
          <w:rFonts w:ascii="Times New Roman" w:hAnsi="Times New Roman"/>
          <w:i w:val="0"/>
          <w:color w:val="auto"/>
          <w:vertAlign w:val="subscript"/>
          <w:lang w:val="en-US"/>
        </w:rPr>
        <w:t>k</w:t>
      </w:r>
      <w:proofErr w:type="spellEnd"/>
      <w:r w:rsidRPr="00C0428D">
        <w:rPr>
          <w:rFonts w:ascii="Times New Roman" w:hAnsi="Times New Roman"/>
          <w:i w:val="0"/>
          <w:color w:val="auto"/>
          <w:lang w:val="en-US"/>
        </w:rPr>
        <w:t xml:space="preserve"> is the total number of configurations at that network size. </w:t>
      </w:r>
    </w:p>
    <w:p w14:paraId="0F4E9CF5" w14:textId="79DA9778" w:rsidR="001A6A39" w:rsidRPr="00C0428D" w:rsidRDefault="001A6A39" w:rsidP="00065868">
      <w:pPr>
        <w:pStyle w:val="SWCHeading11"/>
        <w:jc w:val="both"/>
        <w:rPr>
          <w:rFonts w:ascii="Times New Roman" w:hAnsi="Times New Roman"/>
          <w:i w:val="0"/>
          <w:color w:val="auto"/>
          <w:lang w:val="en-US"/>
        </w:rPr>
      </w:pPr>
      <w:r w:rsidRPr="00C0428D">
        <w:rPr>
          <w:rFonts w:ascii="Times New Roman" w:hAnsi="Times New Roman"/>
          <w:i w:val="0"/>
          <w:color w:val="auto"/>
          <w:lang w:val="en-US"/>
        </w:rPr>
        <w:t xml:space="preserve">A narrow IQR shows that different station selections of the same size give similar FFNN performance, while a wider IQR means that the result depends more on which stations are chosen. The non-improving configuration rate </w:t>
      </w:r>
      <w:proofErr w:type="gramStart"/>
      <w:r w:rsidRPr="00C0428D">
        <w:rPr>
          <w:rFonts w:ascii="Times New Roman" w:hAnsi="Times New Roman"/>
          <w:i w:val="0"/>
          <w:color w:val="auto"/>
          <w:lang w:val="en-US"/>
        </w:rPr>
        <w:t>adds</w:t>
      </w:r>
      <w:proofErr w:type="gramEnd"/>
      <w:r w:rsidRPr="00C0428D">
        <w:rPr>
          <w:rFonts w:ascii="Times New Roman" w:hAnsi="Times New Roman"/>
          <w:i w:val="0"/>
          <w:color w:val="auto"/>
          <w:lang w:val="en-US"/>
        </w:rPr>
        <w:t xml:space="preserve"> a second perspective by showing how often a given network size fails to improve the CAMS-Rad baseline. </w:t>
      </w:r>
      <w:r w:rsidR="009211FB" w:rsidRPr="00C0428D">
        <w:rPr>
          <w:rFonts w:ascii="Times New Roman" w:hAnsi="Times New Roman"/>
          <w:i w:val="0"/>
          <w:color w:val="auto"/>
          <w:lang w:val="en-US"/>
        </w:rPr>
        <w:t>T</w:t>
      </w:r>
      <w:r w:rsidRPr="00C0428D">
        <w:rPr>
          <w:rFonts w:ascii="Times New Roman" w:hAnsi="Times New Roman"/>
          <w:i w:val="0"/>
          <w:color w:val="auto"/>
          <w:lang w:val="en-US"/>
        </w:rPr>
        <w:t>ogether, the two measures indicate how robust the FFNN is to station selection.</w:t>
      </w:r>
    </w:p>
    <w:p w14:paraId="176B2F6D" w14:textId="3DCD32BF" w:rsidR="00E1729C" w:rsidRPr="00C0428D" w:rsidRDefault="00E1729C" w:rsidP="00065868">
      <w:pPr>
        <w:pStyle w:val="SWCHeading11"/>
        <w:jc w:val="both"/>
        <w:rPr>
          <w:rFonts w:ascii="Times New Roman" w:hAnsi="Times New Roman"/>
          <w:i w:val="0"/>
          <w:color w:val="auto"/>
          <w:lang w:val="en-US"/>
        </w:rPr>
      </w:pPr>
      <w:r w:rsidRPr="00C0428D">
        <w:rPr>
          <w:rFonts w:ascii="Times New Roman" w:hAnsi="Times New Roman"/>
          <w:i w:val="0"/>
          <w:color w:val="auto"/>
          <w:lang w:val="en-US"/>
        </w:rPr>
        <w:lastRenderedPageBreak/>
        <w:t xml:space="preserve">To quantify how typical accuracy changes with network size, the change in median </w:t>
      </w:r>
      <w:proofErr w:type="spellStart"/>
      <w:r w:rsidRPr="00C0428D">
        <w:rPr>
          <w:rFonts w:ascii="Times New Roman" w:hAnsi="Times New Roman"/>
          <w:i w:val="0"/>
          <w:color w:val="auto"/>
          <w:lang w:val="en-US"/>
        </w:rPr>
        <w:t>rRMSE</w:t>
      </w:r>
      <w:proofErr w:type="spellEnd"/>
      <w:r w:rsidRPr="00C0428D">
        <w:rPr>
          <w:rFonts w:ascii="Times New Roman" w:hAnsi="Times New Roman"/>
          <w:i w:val="0"/>
          <w:color w:val="auto"/>
          <w:lang w:val="en-US"/>
        </w:rPr>
        <w:t xml:space="preserve"> between consecutive network sizes</w:t>
      </w:r>
      <w:r w:rsidR="00B12B4A" w:rsidRPr="00C0428D">
        <w:rPr>
          <w:rFonts w:ascii="Times New Roman" w:hAnsi="Times New Roman"/>
          <w:i w:val="0"/>
          <w:color w:val="auto"/>
          <w:lang w:val="en-US"/>
        </w:rPr>
        <w:t xml:space="preserve"> is</w:t>
      </w:r>
      <w:r w:rsidRPr="00C0428D">
        <w:rPr>
          <w:rFonts w:ascii="Times New Roman" w:hAnsi="Times New Roman"/>
          <w:i w:val="0"/>
          <w:color w:val="auto"/>
          <w:lang w:val="en-US"/>
        </w:rPr>
        <w:t xml:space="preserve"> </w:t>
      </w:r>
      <w:r w:rsidR="00374A95" w:rsidRPr="00C0428D">
        <w:rPr>
          <w:rFonts w:ascii="Times New Roman" w:hAnsi="Times New Roman"/>
          <w:i w:val="0"/>
          <w:color w:val="auto"/>
          <w:lang w:val="en-US"/>
        </w:rPr>
        <w:t>define</w:t>
      </w:r>
      <w:r w:rsidR="00B12B4A" w:rsidRPr="00C0428D">
        <w:rPr>
          <w:rFonts w:ascii="Times New Roman" w:hAnsi="Times New Roman"/>
          <w:i w:val="0"/>
          <w:color w:val="auto"/>
          <w:lang w:val="en-US"/>
        </w:rPr>
        <w:t>d</w:t>
      </w:r>
      <w:r w:rsidR="00374A95" w:rsidRPr="00C0428D">
        <w:rPr>
          <w:rFonts w:ascii="Times New Roman" w:hAnsi="Times New Roman"/>
          <w:i w:val="0"/>
          <w:color w:val="auto"/>
          <w:lang w:val="en-US"/>
        </w:rPr>
        <w:t xml:space="preserve"> </w:t>
      </w:r>
      <w:r w:rsidRPr="00C0428D">
        <w:rPr>
          <w:rFonts w:ascii="Times New Roman" w:hAnsi="Times New Roman"/>
          <w:i w:val="0"/>
          <w:color w:val="auto"/>
          <w:lang w:val="en-US"/>
        </w:rPr>
        <w:t>in Equation 2</w:t>
      </w:r>
      <w:r w:rsidR="00374A95" w:rsidRPr="00C0428D">
        <w:rPr>
          <w:rFonts w:ascii="Times New Roman" w:hAnsi="Times New Roman"/>
          <w:i w:val="0"/>
          <w:color w:val="auto"/>
          <w:lang w:val="en-US"/>
        </w:rPr>
        <w:t xml:space="preserve"> as</w:t>
      </w:r>
      <w:r w:rsidRPr="00C0428D">
        <w:rPr>
          <w:rFonts w:ascii="Times New Roman" w:hAnsi="Times New Roman"/>
          <w:i w:val="0"/>
          <w:color w:val="auto"/>
          <w:lang w:val="en-US"/>
        </w:rPr>
        <w:t>:</w:t>
      </w:r>
    </w:p>
    <w:p w14:paraId="55089B6E" w14:textId="6483220F" w:rsidR="00374A95" w:rsidRPr="00C0428D" w:rsidRDefault="001C3D35" w:rsidP="00065868">
      <w:pPr>
        <w:pStyle w:val="SWCHeading11"/>
        <w:jc w:val="both"/>
        <w:rPr>
          <w:rFonts w:ascii="Times New Roman" w:hAnsi="Times New Roman"/>
          <w:i w:val="0"/>
          <w:color w:val="auto"/>
          <w:lang w:val="en-US"/>
        </w:rPr>
      </w:pPr>
      <m:oMath>
        <m:sSub>
          <m:sSubPr>
            <m:ctrlPr>
              <w:rPr>
                <w:rFonts w:ascii="Cambria Math" w:hAnsi="Cambria Math" w:cstheme="minorBidi"/>
                <w:color w:val="auto"/>
                <w:lang w:val="en-US" w:eastAsia="en-US"/>
              </w:rPr>
            </m:ctrlPr>
          </m:sSubPr>
          <m:e>
            <m:r>
              <w:rPr>
                <w:rFonts w:ascii="Cambria Math" w:hAnsi="Cambria Math"/>
                <w:color w:val="auto"/>
                <w:lang w:val="en-US"/>
              </w:rPr>
              <m:t>∆E</m:t>
            </m:r>
          </m:e>
          <m:sub>
            <m:r>
              <w:rPr>
                <w:rFonts w:ascii="Cambria Math" w:hAnsi="Cambria Math"/>
                <w:color w:val="auto"/>
                <w:lang w:val="en-US"/>
              </w:rPr>
              <m:t>k</m:t>
            </m:r>
          </m:sub>
        </m:sSub>
        <m:r>
          <w:rPr>
            <w:rFonts w:ascii="Cambria Math" w:hAnsi="Cambria Math"/>
            <w:color w:val="auto"/>
            <w:lang w:val="en-US"/>
          </w:rPr>
          <m:t xml:space="preserve">= </m:t>
        </m:r>
        <m:sSub>
          <m:sSubPr>
            <m:ctrlPr>
              <w:rPr>
                <w:rFonts w:ascii="Cambria Math" w:hAnsi="Cambria Math" w:cstheme="minorBidi"/>
                <w:color w:val="auto"/>
                <w:lang w:val="en-US" w:eastAsia="en-US"/>
              </w:rPr>
            </m:ctrlPr>
          </m:sSubPr>
          <m:e>
            <m:r>
              <w:rPr>
                <w:rFonts w:ascii="Cambria Math" w:hAnsi="Cambria Math"/>
                <w:color w:val="auto"/>
                <w:lang w:val="en-US"/>
              </w:rPr>
              <m:t>E</m:t>
            </m:r>
          </m:e>
          <m:sub>
            <m:r>
              <w:rPr>
                <w:rFonts w:ascii="Cambria Math" w:hAnsi="Cambria Math"/>
                <w:color w:val="auto"/>
                <w:lang w:val="en-US"/>
              </w:rPr>
              <m:t>k-1</m:t>
            </m:r>
          </m:sub>
        </m:sSub>
        <m:r>
          <w:rPr>
            <w:rFonts w:ascii="Cambria Math" w:hAnsi="Cambria Math"/>
            <w:color w:val="auto"/>
            <w:lang w:val="en-US"/>
          </w:rPr>
          <m:t xml:space="preserve">- </m:t>
        </m:r>
        <m:sSub>
          <m:sSubPr>
            <m:ctrlPr>
              <w:rPr>
                <w:rFonts w:ascii="Cambria Math" w:hAnsi="Cambria Math" w:cstheme="minorBidi"/>
                <w:color w:val="auto"/>
                <w:lang w:val="en-US" w:eastAsia="en-US"/>
              </w:rPr>
            </m:ctrlPr>
          </m:sSubPr>
          <m:e>
            <m:r>
              <w:rPr>
                <w:rFonts w:ascii="Cambria Math" w:hAnsi="Cambria Math"/>
                <w:color w:val="auto"/>
                <w:lang w:val="en-US"/>
              </w:rPr>
              <m:t>E</m:t>
            </m:r>
          </m:e>
          <m:sub>
            <m:r>
              <w:rPr>
                <w:rFonts w:ascii="Cambria Math" w:hAnsi="Cambria Math"/>
                <w:color w:val="auto"/>
                <w:lang w:val="en-US"/>
              </w:rPr>
              <m:t>k</m:t>
            </m:r>
          </m:sub>
        </m:sSub>
      </m:oMath>
      <w:r w:rsidR="00374A95" w:rsidRPr="00C0428D">
        <w:rPr>
          <w:color w:val="auto"/>
          <w:lang w:val="en-US"/>
        </w:rPr>
        <w:t>,</w:t>
      </w:r>
      <w:r w:rsidR="00374A95" w:rsidRPr="00C0428D">
        <w:rPr>
          <w:color w:val="auto"/>
          <w:lang w:val="en-US"/>
        </w:rPr>
        <w:tab/>
      </w:r>
      <w:r w:rsidR="00374A95" w:rsidRPr="00C0428D">
        <w:rPr>
          <w:rFonts w:ascii="Times New Roman" w:hAnsi="Times New Roman"/>
          <w:i w:val="0"/>
          <w:color w:val="auto"/>
          <w:lang w:val="en-US"/>
        </w:rPr>
        <w:t>(Eq. 2)</w:t>
      </w:r>
    </w:p>
    <w:p w14:paraId="7A7A8B83" w14:textId="79D69356" w:rsidR="00115C61" w:rsidRPr="00C0428D" w:rsidRDefault="00E1729C" w:rsidP="00065868">
      <w:pPr>
        <w:pStyle w:val="SWCHeading11"/>
        <w:jc w:val="both"/>
        <w:rPr>
          <w:rFonts w:ascii="Times New Roman" w:hAnsi="Times New Roman"/>
          <w:i w:val="0"/>
          <w:color w:val="auto"/>
          <w:lang w:val="en-US"/>
        </w:rPr>
      </w:pPr>
      <w:r w:rsidRPr="00C0428D">
        <w:rPr>
          <w:rFonts w:ascii="Times New Roman" w:hAnsi="Times New Roman"/>
          <w:i w:val="0"/>
          <w:color w:val="auto"/>
          <w:lang w:val="en-US"/>
        </w:rPr>
        <w:t>where E</w:t>
      </w:r>
      <w:r w:rsidRPr="00C0428D">
        <w:rPr>
          <w:rFonts w:ascii="Times New Roman" w:hAnsi="Times New Roman"/>
          <w:i w:val="0"/>
          <w:color w:val="auto"/>
          <w:vertAlign w:val="subscript"/>
          <w:lang w:val="en-US"/>
        </w:rPr>
        <w:t>k</w:t>
      </w:r>
      <w:r w:rsidRPr="00C0428D">
        <w:rPr>
          <w:rFonts w:ascii="Times New Roman" w:hAnsi="Times New Roman"/>
          <w:i w:val="0"/>
          <w:color w:val="auto"/>
          <w:lang w:val="en-US"/>
        </w:rPr>
        <w:t xml:space="preserve"> is the median </w:t>
      </w:r>
      <w:proofErr w:type="spellStart"/>
      <w:r w:rsidRPr="00C0428D">
        <w:rPr>
          <w:rFonts w:ascii="Times New Roman" w:hAnsi="Times New Roman"/>
          <w:i w:val="0"/>
          <w:color w:val="auto"/>
          <w:lang w:val="en-US"/>
        </w:rPr>
        <w:t>rRMSE</w:t>
      </w:r>
      <w:proofErr w:type="spellEnd"/>
      <w:r w:rsidRPr="00C0428D">
        <w:rPr>
          <w:rFonts w:ascii="Times New Roman" w:hAnsi="Times New Roman"/>
          <w:i w:val="0"/>
          <w:color w:val="auto"/>
          <w:lang w:val="en-US"/>
        </w:rPr>
        <w:t xml:space="preserve"> across all k-station configurations</w:t>
      </w:r>
      <w:r w:rsidR="00C63425" w:rsidRPr="00C0428D">
        <w:rPr>
          <w:rFonts w:ascii="Times New Roman" w:hAnsi="Times New Roman"/>
          <w:i w:val="0"/>
          <w:color w:val="auto"/>
          <w:lang w:val="en-US"/>
        </w:rPr>
        <w:t xml:space="preserve"> and E</w:t>
      </w:r>
      <w:r w:rsidR="00C63425" w:rsidRPr="00C0428D">
        <w:rPr>
          <w:rFonts w:ascii="Times New Roman" w:hAnsi="Times New Roman"/>
          <w:i w:val="0"/>
          <w:color w:val="auto"/>
          <w:vertAlign w:val="subscript"/>
          <w:lang w:val="en-US"/>
        </w:rPr>
        <w:t>k-1</w:t>
      </w:r>
      <w:r w:rsidR="00C63425" w:rsidRPr="00C0428D">
        <w:rPr>
          <w:rFonts w:ascii="Times New Roman" w:hAnsi="Times New Roman"/>
          <w:i w:val="0"/>
          <w:color w:val="auto"/>
          <w:lang w:val="en-US"/>
        </w:rPr>
        <w:t xml:space="preserve"> is the corresponding median for the immediately preceding network size. </w:t>
      </w:r>
      <w:r w:rsidRPr="00C0428D">
        <w:rPr>
          <w:rFonts w:ascii="Times New Roman" w:hAnsi="Times New Roman"/>
          <w:i w:val="0"/>
          <w:color w:val="auto"/>
          <w:lang w:val="en-US"/>
        </w:rPr>
        <w:t>A positive ∆E</w:t>
      </w:r>
      <w:r w:rsidRPr="00C0428D">
        <w:rPr>
          <w:rFonts w:ascii="Times New Roman" w:hAnsi="Times New Roman"/>
          <w:i w:val="0"/>
          <w:color w:val="auto"/>
          <w:vertAlign w:val="subscript"/>
          <w:lang w:val="en-US"/>
        </w:rPr>
        <w:t>k</w:t>
      </w:r>
      <w:r w:rsidRPr="00C0428D">
        <w:rPr>
          <w:rFonts w:ascii="Times New Roman" w:hAnsi="Times New Roman"/>
          <w:i w:val="0"/>
          <w:color w:val="auto"/>
          <w:lang w:val="en-US"/>
        </w:rPr>
        <w:t xml:space="preserve"> indicates that the median </w:t>
      </w:r>
      <w:proofErr w:type="spellStart"/>
      <w:r w:rsidRPr="00C0428D">
        <w:rPr>
          <w:rFonts w:ascii="Times New Roman" w:hAnsi="Times New Roman"/>
          <w:i w:val="0"/>
          <w:color w:val="auto"/>
          <w:lang w:val="en-US"/>
        </w:rPr>
        <w:t>rRMSE</w:t>
      </w:r>
      <w:proofErr w:type="spellEnd"/>
      <w:r w:rsidRPr="00C0428D">
        <w:rPr>
          <w:rFonts w:ascii="Times New Roman" w:hAnsi="Times New Roman"/>
          <w:i w:val="0"/>
          <w:color w:val="auto"/>
          <w:lang w:val="en-US"/>
        </w:rPr>
        <w:t xml:space="preserve"> is lower at network size k, whereas a negative value indicates an increase in median error. Because the station combinations at successive network sizes are not matched one-to-one, ∆E</w:t>
      </w:r>
      <w:r w:rsidRPr="00C0428D">
        <w:rPr>
          <w:rFonts w:ascii="Times New Roman" w:hAnsi="Times New Roman"/>
          <w:i w:val="0"/>
          <w:color w:val="auto"/>
          <w:vertAlign w:val="subscript"/>
          <w:lang w:val="en-US"/>
        </w:rPr>
        <w:t>k</w:t>
      </w:r>
      <w:r w:rsidRPr="00C0428D">
        <w:rPr>
          <w:rFonts w:ascii="Times New Roman" w:hAnsi="Times New Roman"/>
          <w:i w:val="0"/>
          <w:color w:val="auto"/>
          <w:lang w:val="en-US"/>
        </w:rPr>
        <w:t xml:space="preserve"> represents the change in typical performance with network size rather than the benefit of adding a particular station to an existing network. The analysis also include</w:t>
      </w:r>
      <w:r w:rsidR="00873DC7" w:rsidRPr="00C0428D">
        <w:rPr>
          <w:rFonts w:ascii="Times New Roman" w:hAnsi="Times New Roman"/>
          <w:i w:val="0"/>
          <w:color w:val="auto"/>
          <w:lang w:val="en-US"/>
        </w:rPr>
        <w:t>s</w:t>
      </w:r>
      <w:r w:rsidRPr="00C0428D">
        <w:rPr>
          <w:rFonts w:ascii="Times New Roman" w:hAnsi="Times New Roman"/>
          <w:i w:val="0"/>
          <w:color w:val="auto"/>
          <w:lang w:val="en-US"/>
        </w:rPr>
        <w:t xml:space="preserve"> a follow-up spatial diagnostic for configurations that departed from the general network-size trend. </w:t>
      </w:r>
    </w:p>
    <w:p w14:paraId="327D14E5" w14:textId="4E5622B3" w:rsidR="00816163" w:rsidRPr="00C0428D" w:rsidRDefault="00816163" w:rsidP="00145ED6">
      <w:pPr>
        <w:keepNext/>
        <w:keepLines/>
        <w:spacing w:before="160" w:after="80" w:line="276" w:lineRule="auto"/>
        <w:jc w:val="center"/>
        <w:outlineLvl w:val="0"/>
        <w:rPr>
          <w:rFonts w:ascii="Arial" w:hAnsi="Arial"/>
          <w:b/>
          <w:sz w:val="20"/>
          <w:lang w:val="en-US"/>
        </w:rPr>
      </w:pPr>
      <w:r w:rsidRPr="00C0428D">
        <w:rPr>
          <w:rFonts w:ascii="Arial" w:hAnsi="Arial"/>
          <w:b/>
          <w:sz w:val="20"/>
          <w:lang w:val="en-US"/>
        </w:rPr>
        <w:t xml:space="preserve">3. Results and </w:t>
      </w:r>
      <w:r w:rsidR="00145ED6" w:rsidRPr="00C0428D">
        <w:rPr>
          <w:rFonts w:ascii="Arial" w:hAnsi="Arial"/>
          <w:b/>
          <w:sz w:val="20"/>
          <w:lang w:val="en-US"/>
        </w:rPr>
        <w:t>D</w:t>
      </w:r>
      <w:r w:rsidRPr="00C0428D">
        <w:rPr>
          <w:rFonts w:ascii="Arial" w:hAnsi="Arial"/>
          <w:b/>
          <w:sz w:val="20"/>
          <w:lang w:val="en-US"/>
        </w:rPr>
        <w:t>iscussion</w:t>
      </w:r>
    </w:p>
    <w:p w14:paraId="03977361" w14:textId="77777777" w:rsidR="00816163" w:rsidRPr="00C0428D" w:rsidRDefault="00816163" w:rsidP="00065868">
      <w:pPr>
        <w:keepNext/>
        <w:keepLines/>
        <w:spacing w:before="160" w:after="80" w:line="276" w:lineRule="auto"/>
        <w:jc w:val="both"/>
        <w:outlineLvl w:val="1"/>
        <w:rPr>
          <w:rFonts w:ascii="Arial" w:hAnsi="Arial"/>
          <w:i/>
          <w:sz w:val="20"/>
          <w:szCs w:val="22"/>
          <w:lang w:val="en-US"/>
        </w:rPr>
      </w:pPr>
      <w:r w:rsidRPr="00C0428D">
        <w:rPr>
          <w:rFonts w:ascii="Arial" w:hAnsi="Arial"/>
          <w:i/>
          <w:sz w:val="20"/>
          <w:szCs w:val="22"/>
          <w:lang w:val="en-US"/>
        </w:rPr>
        <w:t>3.1. Five-model benchmark</w:t>
      </w:r>
    </w:p>
    <w:p w14:paraId="64321013" w14:textId="77777777" w:rsidR="00816163" w:rsidRPr="00C0428D" w:rsidRDefault="00816163" w:rsidP="00065868">
      <w:pPr>
        <w:spacing w:after="60"/>
        <w:jc w:val="both"/>
        <w:rPr>
          <w:rFonts w:cs="Arial"/>
          <w:sz w:val="20"/>
          <w:szCs w:val="22"/>
          <w:lang w:val="en-US" w:eastAsia="en-US"/>
        </w:rPr>
      </w:pPr>
      <w:r w:rsidRPr="00C0428D">
        <w:rPr>
          <w:rFonts w:cs="Arial"/>
          <w:sz w:val="20"/>
          <w:szCs w:val="22"/>
          <w:lang w:val="en-US" w:eastAsia="en-US"/>
        </w:rPr>
        <w:t xml:space="preserve">The independent 2023-2024 benchmark is summarized in Fig. 1. Raw CAMS-Rad </w:t>
      </w:r>
      <w:proofErr w:type="spellStart"/>
      <w:r w:rsidRPr="00C0428D">
        <w:rPr>
          <w:rFonts w:cs="Arial"/>
          <w:sz w:val="20"/>
          <w:szCs w:val="22"/>
          <w:lang w:val="en-US" w:eastAsia="en-US"/>
        </w:rPr>
        <w:t>rRMSE</w:t>
      </w:r>
      <w:proofErr w:type="spellEnd"/>
      <w:r w:rsidRPr="00C0428D">
        <w:rPr>
          <w:rFonts w:cs="Arial"/>
          <w:sz w:val="20"/>
          <w:szCs w:val="22"/>
          <w:lang w:val="en-US" w:eastAsia="en-US"/>
        </w:rPr>
        <w:t xml:space="preserve"> is 19.14% for GHI and 35.44% for DNI. All five adaptation methods reduce </w:t>
      </w:r>
      <w:proofErr w:type="gramStart"/>
      <w:r w:rsidRPr="00C0428D">
        <w:rPr>
          <w:rFonts w:cs="Arial"/>
          <w:sz w:val="20"/>
          <w:szCs w:val="22"/>
          <w:lang w:val="en-US" w:eastAsia="en-US"/>
        </w:rPr>
        <w:t>the residual</w:t>
      </w:r>
      <w:proofErr w:type="gramEnd"/>
      <w:r w:rsidRPr="00C0428D">
        <w:rPr>
          <w:rFonts w:cs="Arial"/>
          <w:sz w:val="20"/>
          <w:szCs w:val="22"/>
          <w:lang w:val="en-US" w:eastAsia="en-US"/>
        </w:rPr>
        <w:t xml:space="preserve"> error, with FFNN providing the lowest </w:t>
      </w:r>
      <w:proofErr w:type="spellStart"/>
      <w:r w:rsidRPr="00C0428D">
        <w:rPr>
          <w:rFonts w:cs="Arial"/>
          <w:sz w:val="20"/>
          <w:szCs w:val="22"/>
          <w:lang w:val="en-US" w:eastAsia="en-US"/>
        </w:rPr>
        <w:t>rRMSE</w:t>
      </w:r>
      <w:proofErr w:type="spellEnd"/>
      <w:r w:rsidRPr="00C0428D">
        <w:rPr>
          <w:rFonts w:cs="Arial"/>
          <w:sz w:val="20"/>
          <w:szCs w:val="22"/>
          <w:lang w:val="en-US" w:eastAsia="en-US"/>
        </w:rPr>
        <w:t xml:space="preserve">: 11.43% for GHI and 23.78% for DNI, corresponding to improvements of 40.28% and 32.90% relative to CAMS-Rad. GBM is the strongest boosting alternative, with </w:t>
      </w:r>
      <w:proofErr w:type="spellStart"/>
      <w:r w:rsidRPr="00C0428D">
        <w:rPr>
          <w:rFonts w:cs="Arial"/>
          <w:sz w:val="20"/>
          <w:szCs w:val="22"/>
          <w:lang w:val="en-US" w:eastAsia="en-US"/>
        </w:rPr>
        <w:t>rRMSE</w:t>
      </w:r>
      <w:proofErr w:type="spellEnd"/>
      <w:r w:rsidRPr="00C0428D">
        <w:rPr>
          <w:rFonts w:cs="Arial"/>
          <w:sz w:val="20"/>
          <w:szCs w:val="22"/>
          <w:lang w:val="en-US" w:eastAsia="en-US"/>
        </w:rPr>
        <w:t xml:space="preserve"> values of 12.05% and 24.83% for GHI and DNI, respectively. </w:t>
      </w:r>
    </w:p>
    <w:p w14:paraId="18A23F06" w14:textId="77777777" w:rsidR="009D41B3" w:rsidRPr="00C0428D" w:rsidRDefault="009D41B3" w:rsidP="00065868">
      <w:pPr>
        <w:spacing w:after="60"/>
        <w:jc w:val="both"/>
        <w:rPr>
          <w:rFonts w:cs="Arial"/>
          <w:sz w:val="20"/>
          <w:szCs w:val="22"/>
          <w:lang w:val="en-US" w:eastAsia="en-US"/>
        </w:rPr>
      </w:pPr>
    </w:p>
    <w:p w14:paraId="28CD954F" w14:textId="0C62F94B" w:rsidR="006B040D" w:rsidRPr="00C0428D" w:rsidRDefault="009D41B3" w:rsidP="009D41B3">
      <w:pPr>
        <w:spacing w:after="60"/>
        <w:jc w:val="center"/>
        <w:rPr>
          <w:rFonts w:cs="Arial"/>
          <w:sz w:val="20"/>
          <w:szCs w:val="22"/>
          <w:lang w:val="en-US" w:eastAsia="en-US"/>
        </w:rPr>
      </w:pPr>
      <w:r w:rsidRPr="00C0428D">
        <w:rPr>
          <w:rFonts w:cs="Arial"/>
          <w:noProof/>
          <w:sz w:val="20"/>
          <w:szCs w:val="22"/>
          <w:lang w:val="en-US" w:eastAsia="en-US"/>
        </w:rPr>
        <w:drawing>
          <wp:inline distT="0" distB="0" distL="0" distR="0" wp14:anchorId="11A62A7B" wp14:editId="3D147341">
            <wp:extent cx="3701979" cy="2103120"/>
            <wp:effectExtent l="0" t="0" r="0" b="0"/>
            <wp:docPr id="10549931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993112" name="Picture 1054993112"/>
                    <pic:cNvPicPr/>
                  </pic:nvPicPr>
                  <pic:blipFill>
                    <a:blip r:embed="rId9" cstate="print">
                      <a:extLst>
                        <a:ext uri="{28A0092B-C50C-407E-A947-70E740481C1C}">
                          <a14:useLocalDpi xmlns:a14="http://schemas.microsoft.com/office/drawing/2010/main" val="0"/>
                        </a:ext>
                      </a:extLst>
                    </a:blip>
                    <a:stretch>
                      <a:fillRect/>
                    </a:stretch>
                  </pic:blipFill>
                  <pic:spPr>
                    <a:xfrm>
                      <a:off x="0" y="0"/>
                      <a:ext cx="3701979" cy="2103120"/>
                    </a:xfrm>
                    <a:prstGeom prst="rect">
                      <a:avLst/>
                    </a:prstGeom>
                  </pic:spPr>
                </pic:pic>
              </a:graphicData>
            </a:graphic>
          </wp:inline>
        </w:drawing>
      </w:r>
    </w:p>
    <w:p w14:paraId="71E5AFE5" w14:textId="77777777" w:rsidR="006B040D" w:rsidRPr="00C0428D" w:rsidRDefault="006B040D" w:rsidP="00065868">
      <w:pPr>
        <w:spacing w:before="20" w:after="100" w:line="276" w:lineRule="auto"/>
        <w:ind w:left="720"/>
        <w:contextualSpacing/>
        <w:jc w:val="center"/>
        <w:rPr>
          <w:lang w:val="en-US"/>
        </w:rPr>
      </w:pPr>
      <w:r w:rsidRPr="00C0428D">
        <w:rPr>
          <w:b/>
          <w:sz w:val="16"/>
          <w:szCs w:val="20"/>
          <w:lang w:val="en-US"/>
        </w:rPr>
        <w:t xml:space="preserve">Fig. 1: </w:t>
      </w:r>
      <w:proofErr w:type="spellStart"/>
      <w:r w:rsidRPr="00C0428D">
        <w:rPr>
          <w:b/>
          <w:sz w:val="16"/>
          <w:szCs w:val="20"/>
          <w:lang w:val="en-US"/>
        </w:rPr>
        <w:t>rRMSE</w:t>
      </w:r>
      <w:proofErr w:type="spellEnd"/>
      <w:r w:rsidRPr="00C0428D">
        <w:rPr>
          <w:b/>
          <w:sz w:val="16"/>
          <w:szCs w:val="20"/>
          <w:lang w:val="en-US"/>
        </w:rPr>
        <w:t xml:space="preserve"> improvement relative to CAMS-Rad for the five site-adaptation methods.</w:t>
      </w:r>
    </w:p>
    <w:p w14:paraId="5763306B" w14:textId="77777777" w:rsidR="009D41B3" w:rsidRPr="00C0428D" w:rsidRDefault="009D41B3" w:rsidP="00065868">
      <w:pPr>
        <w:spacing w:after="60"/>
        <w:jc w:val="both"/>
        <w:rPr>
          <w:rFonts w:cs="Arial"/>
          <w:sz w:val="20"/>
          <w:szCs w:val="22"/>
          <w:lang w:val="en-US" w:eastAsia="en-US"/>
        </w:rPr>
      </w:pPr>
    </w:p>
    <w:p w14:paraId="084219DB" w14:textId="77777777" w:rsidR="00F56A8F" w:rsidRPr="00C0428D" w:rsidRDefault="00F56A8F" w:rsidP="00F56A8F">
      <w:pPr>
        <w:spacing w:after="60"/>
        <w:jc w:val="both"/>
        <w:rPr>
          <w:rFonts w:cs="Arial"/>
          <w:sz w:val="20"/>
          <w:szCs w:val="22"/>
          <w:lang w:val="en-US" w:eastAsia="en-US"/>
        </w:rPr>
      </w:pPr>
      <w:r w:rsidRPr="00C0428D">
        <w:rPr>
          <w:rFonts w:cs="Arial"/>
          <w:sz w:val="20"/>
          <w:szCs w:val="22"/>
          <w:lang w:val="en-US" w:eastAsia="en-US"/>
        </w:rPr>
        <w:t>These benchmark results identify FFNN as the best-performing adaptation method and justify its use in the subsequent combination-level network analysis</w:t>
      </w:r>
    </w:p>
    <w:p w14:paraId="6C34CA25" w14:textId="77777777" w:rsidR="00493D65" w:rsidRPr="00C0428D" w:rsidRDefault="00493D65" w:rsidP="00065868">
      <w:pPr>
        <w:keepNext/>
        <w:keepLines/>
        <w:spacing w:before="160" w:after="80" w:line="276" w:lineRule="auto"/>
        <w:jc w:val="both"/>
        <w:outlineLvl w:val="1"/>
        <w:rPr>
          <w:rFonts w:ascii="Arial" w:hAnsi="Arial"/>
          <w:i/>
          <w:sz w:val="20"/>
          <w:szCs w:val="22"/>
          <w:lang w:val="en-US"/>
        </w:rPr>
      </w:pPr>
      <w:r w:rsidRPr="00C0428D">
        <w:rPr>
          <w:rFonts w:ascii="Arial" w:hAnsi="Arial"/>
          <w:i/>
          <w:sz w:val="20"/>
          <w:szCs w:val="22"/>
          <w:lang w:val="en-US"/>
        </w:rPr>
        <w:t>3.2. Station-selection robustness</w:t>
      </w:r>
    </w:p>
    <w:p w14:paraId="403BEB9F" w14:textId="77777777" w:rsidR="00493D65" w:rsidRPr="00C0428D" w:rsidRDefault="00493D65" w:rsidP="00065868">
      <w:pPr>
        <w:spacing w:after="60"/>
        <w:jc w:val="both"/>
        <w:rPr>
          <w:rFonts w:cs="Arial"/>
          <w:sz w:val="20"/>
          <w:szCs w:val="22"/>
          <w:lang w:val="en-US" w:eastAsia="en-US"/>
        </w:rPr>
      </w:pPr>
      <w:r w:rsidRPr="00C0428D">
        <w:rPr>
          <w:rFonts w:cs="Arial"/>
          <w:sz w:val="20"/>
          <w:szCs w:val="22"/>
          <w:lang w:val="en-US" w:eastAsia="en-US"/>
        </w:rPr>
        <w:t xml:space="preserve">Figure 2 shows, for each network size from 1 to 13 stations, the median </w:t>
      </w:r>
      <w:proofErr w:type="spellStart"/>
      <w:r w:rsidRPr="00C0428D">
        <w:rPr>
          <w:rFonts w:cs="Arial"/>
          <w:sz w:val="20"/>
          <w:szCs w:val="22"/>
          <w:lang w:val="en-US" w:eastAsia="en-US"/>
        </w:rPr>
        <w:t>rRMSE</w:t>
      </w:r>
      <w:proofErr w:type="spellEnd"/>
      <w:r w:rsidRPr="00C0428D">
        <w:rPr>
          <w:rFonts w:cs="Arial"/>
          <w:sz w:val="20"/>
          <w:szCs w:val="22"/>
          <w:lang w:val="en-US" w:eastAsia="en-US"/>
        </w:rPr>
        <w:t xml:space="preserve"> across all available configurations together with the IQR. The median represents the typical error at that network size, while the IQR indicates how much performance varies across the middle 50% of station combinations. The CAMS-Rad baseline provides a direct reference for assessing whether the FFNN adaptation improves the uncorrected satellite estimates. This analysis therefore shows how robust FFNN performance is to the choice of calibration stations at a given network size.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7"/>
        <w:gridCol w:w="4537"/>
      </w:tblGrid>
      <w:tr w:rsidR="00086F5E" w:rsidRPr="00C0428D" w14:paraId="70E5FE4B" w14:textId="77777777" w:rsidTr="00086F5E">
        <w:tc>
          <w:tcPr>
            <w:tcW w:w="4532" w:type="dxa"/>
          </w:tcPr>
          <w:p w14:paraId="3FB833CA" w14:textId="062EAF53" w:rsidR="00086F5E" w:rsidRPr="00C0428D" w:rsidRDefault="00086F5E" w:rsidP="00065868">
            <w:pPr>
              <w:spacing w:after="60"/>
              <w:jc w:val="center"/>
              <w:rPr>
                <w:rFonts w:cs="Arial"/>
                <w:sz w:val="20"/>
                <w:szCs w:val="22"/>
                <w:lang w:val="en-US" w:eastAsia="en-US"/>
              </w:rPr>
            </w:pPr>
            <w:r w:rsidRPr="00C0428D">
              <w:rPr>
                <w:rFonts w:cs="Arial"/>
                <w:noProof/>
                <w:sz w:val="20"/>
                <w:szCs w:val="22"/>
                <w:lang w:val="en-US" w:eastAsia="en-US"/>
              </w:rPr>
              <w:drawing>
                <wp:inline distT="0" distB="0" distL="0" distR="0" wp14:anchorId="4808A672" wp14:editId="48BAD7EC">
                  <wp:extent cx="2914242" cy="1920240"/>
                  <wp:effectExtent l="0" t="0" r="635" b="3810"/>
                  <wp:docPr id="16663716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371677" name="Picture 166637167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914242" cy="1920240"/>
                          </a:xfrm>
                          <a:prstGeom prst="rect">
                            <a:avLst/>
                          </a:prstGeom>
                        </pic:spPr>
                      </pic:pic>
                    </a:graphicData>
                  </a:graphic>
                </wp:inline>
              </w:drawing>
            </w:r>
          </w:p>
        </w:tc>
        <w:tc>
          <w:tcPr>
            <w:tcW w:w="4532" w:type="dxa"/>
          </w:tcPr>
          <w:p w14:paraId="18A79AB0" w14:textId="589BDFB3" w:rsidR="00086F5E" w:rsidRPr="00C0428D" w:rsidRDefault="00086F5E" w:rsidP="00065868">
            <w:pPr>
              <w:spacing w:after="60"/>
              <w:jc w:val="center"/>
              <w:rPr>
                <w:rFonts w:cs="Arial"/>
                <w:sz w:val="20"/>
                <w:szCs w:val="22"/>
                <w:lang w:val="en-US" w:eastAsia="en-US"/>
              </w:rPr>
            </w:pPr>
            <w:r w:rsidRPr="00C0428D">
              <w:rPr>
                <w:rFonts w:cs="Arial"/>
                <w:noProof/>
                <w:sz w:val="20"/>
                <w:szCs w:val="22"/>
                <w:lang w:val="en-US" w:eastAsia="en-US"/>
              </w:rPr>
              <w:drawing>
                <wp:inline distT="0" distB="0" distL="0" distR="0" wp14:anchorId="6EE1BF86" wp14:editId="5B683B61">
                  <wp:extent cx="2914242" cy="1920240"/>
                  <wp:effectExtent l="0" t="0" r="635" b="3810"/>
                  <wp:docPr id="6588003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80038" name="Picture 6588003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14242" cy="1920240"/>
                          </a:xfrm>
                          <a:prstGeom prst="rect">
                            <a:avLst/>
                          </a:prstGeom>
                        </pic:spPr>
                      </pic:pic>
                    </a:graphicData>
                  </a:graphic>
                </wp:inline>
              </w:drawing>
            </w:r>
          </w:p>
        </w:tc>
      </w:tr>
    </w:tbl>
    <w:p w14:paraId="1A4C0944" w14:textId="36C43C6F" w:rsidR="00493D65" w:rsidRPr="00C0428D" w:rsidRDefault="00493D65" w:rsidP="00065868">
      <w:pPr>
        <w:spacing w:before="20" w:after="100" w:line="276" w:lineRule="auto"/>
        <w:ind w:left="720"/>
        <w:contextualSpacing/>
        <w:jc w:val="center"/>
        <w:rPr>
          <w:b/>
          <w:sz w:val="16"/>
          <w:szCs w:val="20"/>
          <w:lang w:val="en-US"/>
        </w:rPr>
      </w:pPr>
      <w:r w:rsidRPr="00C0428D">
        <w:rPr>
          <w:b/>
          <w:sz w:val="16"/>
          <w:szCs w:val="20"/>
          <w:lang w:val="en-US"/>
        </w:rPr>
        <w:lastRenderedPageBreak/>
        <w:t xml:space="preserve">Fig. 2: Median FFNN </w:t>
      </w:r>
      <w:proofErr w:type="spellStart"/>
      <w:r w:rsidRPr="00C0428D">
        <w:rPr>
          <w:b/>
          <w:sz w:val="16"/>
          <w:szCs w:val="20"/>
          <w:lang w:val="en-US"/>
        </w:rPr>
        <w:t>rRMSE</w:t>
      </w:r>
      <w:proofErr w:type="spellEnd"/>
      <w:r w:rsidRPr="00C0428D">
        <w:rPr>
          <w:b/>
          <w:sz w:val="16"/>
          <w:szCs w:val="20"/>
          <w:lang w:val="en-US"/>
        </w:rPr>
        <w:t xml:space="preserve"> and IQR across station combinations by network size for GHI and DNI; dashed lines </w:t>
      </w:r>
      <w:proofErr w:type="gramStart"/>
      <w:r w:rsidRPr="00C0428D">
        <w:rPr>
          <w:b/>
          <w:sz w:val="16"/>
          <w:szCs w:val="20"/>
          <w:lang w:val="en-US"/>
        </w:rPr>
        <w:t>show</w:t>
      </w:r>
      <w:r w:rsidR="004A7A0C" w:rsidRPr="00C0428D">
        <w:rPr>
          <w:b/>
          <w:sz w:val="16"/>
          <w:szCs w:val="20"/>
          <w:lang w:val="en-US"/>
        </w:rPr>
        <w:t>s</w:t>
      </w:r>
      <w:r w:rsidR="005A6344" w:rsidRPr="00C0428D">
        <w:rPr>
          <w:b/>
          <w:sz w:val="16"/>
          <w:szCs w:val="20"/>
          <w:lang w:val="en-US"/>
        </w:rPr>
        <w:t xml:space="preserve"> </w:t>
      </w:r>
      <w:r w:rsidRPr="00C0428D">
        <w:rPr>
          <w:b/>
          <w:sz w:val="16"/>
          <w:szCs w:val="20"/>
          <w:lang w:val="en-US"/>
        </w:rPr>
        <w:t xml:space="preserve"> CAMS</w:t>
      </w:r>
      <w:proofErr w:type="gramEnd"/>
      <w:r w:rsidRPr="00C0428D">
        <w:rPr>
          <w:b/>
          <w:sz w:val="16"/>
          <w:szCs w:val="20"/>
          <w:lang w:val="en-US"/>
        </w:rPr>
        <w:t>-Rad</w:t>
      </w:r>
      <w:r w:rsidR="00430A68" w:rsidRPr="00C0428D">
        <w:rPr>
          <w:b/>
          <w:sz w:val="16"/>
          <w:szCs w:val="20"/>
          <w:lang w:val="en-US"/>
        </w:rPr>
        <w:t xml:space="preserve"> baseline </w:t>
      </w:r>
      <w:proofErr w:type="spellStart"/>
      <w:r w:rsidR="00430A68" w:rsidRPr="00C0428D">
        <w:rPr>
          <w:b/>
          <w:sz w:val="16"/>
          <w:szCs w:val="20"/>
          <w:lang w:val="en-US"/>
        </w:rPr>
        <w:t>rRMSE</w:t>
      </w:r>
      <w:proofErr w:type="spellEnd"/>
      <w:r w:rsidRPr="00C0428D">
        <w:rPr>
          <w:b/>
          <w:sz w:val="16"/>
          <w:szCs w:val="20"/>
          <w:lang w:val="en-US"/>
        </w:rPr>
        <w:t>.</w:t>
      </w:r>
    </w:p>
    <w:p w14:paraId="64CD838D" w14:textId="6B414DE9" w:rsidR="00493D65" w:rsidRPr="00C0428D" w:rsidRDefault="00493D65" w:rsidP="000E2EEA">
      <w:pPr>
        <w:spacing w:after="60"/>
        <w:jc w:val="both"/>
        <w:rPr>
          <w:rFonts w:cs="Arial"/>
          <w:sz w:val="20"/>
          <w:szCs w:val="22"/>
          <w:lang w:val="en-US" w:eastAsia="en-US"/>
        </w:rPr>
      </w:pPr>
      <w:proofErr w:type="gramStart"/>
      <w:r w:rsidRPr="00C0428D">
        <w:rPr>
          <w:rFonts w:cs="Arial"/>
          <w:sz w:val="20"/>
          <w:szCs w:val="22"/>
          <w:lang w:val="en-US" w:eastAsia="en-US"/>
        </w:rPr>
        <w:t>At</w:t>
      </w:r>
      <w:proofErr w:type="gramEnd"/>
      <w:r w:rsidRPr="00C0428D">
        <w:rPr>
          <w:rFonts w:cs="Arial"/>
          <w:sz w:val="20"/>
          <w:szCs w:val="22"/>
          <w:lang w:val="en-US" w:eastAsia="en-US"/>
        </w:rPr>
        <w:t xml:space="preserve"> small network sizes, FFNN performance does not improve monotonically with station </w:t>
      </w:r>
      <w:proofErr w:type="gramStart"/>
      <w:r w:rsidRPr="00C0428D">
        <w:rPr>
          <w:rFonts w:cs="Arial"/>
          <w:sz w:val="20"/>
          <w:szCs w:val="22"/>
          <w:lang w:val="en-US" w:eastAsia="en-US"/>
        </w:rPr>
        <w:t>number</w:t>
      </w:r>
      <w:proofErr w:type="gramEnd"/>
      <w:r w:rsidRPr="00C0428D">
        <w:rPr>
          <w:rFonts w:cs="Arial"/>
          <w:sz w:val="20"/>
          <w:szCs w:val="22"/>
          <w:lang w:val="en-US" w:eastAsia="en-US"/>
        </w:rPr>
        <w:t xml:space="preserve">. For GHI, the median </w:t>
      </w:r>
      <w:proofErr w:type="spellStart"/>
      <w:r w:rsidRPr="00C0428D">
        <w:rPr>
          <w:rFonts w:cs="Arial"/>
          <w:sz w:val="20"/>
          <w:szCs w:val="22"/>
          <w:lang w:val="en-US" w:eastAsia="en-US"/>
        </w:rPr>
        <w:t>rRMSE</w:t>
      </w:r>
      <w:proofErr w:type="spellEnd"/>
      <w:r w:rsidRPr="00C0428D">
        <w:rPr>
          <w:rFonts w:cs="Arial"/>
          <w:sz w:val="20"/>
          <w:szCs w:val="22"/>
          <w:lang w:val="en-US" w:eastAsia="en-US"/>
        </w:rPr>
        <w:t xml:space="preserve"> rises from 11.92% for one-station configurations to 13.58% for two-station configurations, with an IQR of 3.06 percentage points, before falling to 12.16% at three stations. The effect is stronger for DNI: the median rises from 25.11% to 33.07% at two stations, with an IQR of 10.87 percentage points, and then falls to 25.98% at three stations. The spread decreases rapidly as the network size increases; by seven stations, the IQR is about 0.16 percentage points for GHI and 0.52 percentage points for DNI. The two-station networks behave differently from the surrounding network sizes: their median error is higher than for both one- and three-station networks, and the wider IQR indicates that performance depends more strongly on which pair of stations is selected</w:t>
      </w:r>
      <w:r w:rsidR="00F1332D" w:rsidRPr="00C0428D">
        <w:rPr>
          <w:rFonts w:cs="Arial"/>
          <w:sz w:val="20"/>
          <w:szCs w:val="22"/>
          <w:lang w:val="en-US" w:eastAsia="en-US"/>
        </w:rPr>
        <w:t xml:space="preserve">. </w:t>
      </w:r>
      <w:r w:rsidR="005F51B8" w:rsidRPr="00C0428D">
        <w:rPr>
          <w:rFonts w:cs="Arial"/>
          <w:sz w:val="20"/>
          <w:szCs w:val="22"/>
          <w:lang w:val="en-US" w:eastAsia="en-US"/>
        </w:rPr>
        <w:t xml:space="preserve">To </w:t>
      </w:r>
      <w:r w:rsidRPr="00C0428D">
        <w:rPr>
          <w:rFonts w:cs="Arial"/>
          <w:sz w:val="20"/>
          <w:szCs w:val="22"/>
          <w:lang w:val="en-US" w:eastAsia="en-US"/>
        </w:rPr>
        <w:t xml:space="preserve">explain the two-station deterioration observed for FFNN, the GBM model was subsequently examined as an additional comparison to determine whether the unusual behavior observed for sparse FFNN networks also occurred with a different nonlinear learning method. </w:t>
      </w:r>
      <w:r w:rsidR="006324B1" w:rsidRPr="00C0428D">
        <w:rPr>
          <w:rFonts w:cs="Arial"/>
          <w:sz w:val="20"/>
          <w:szCs w:val="22"/>
          <w:lang w:val="en-US" w:eastAsia="en-US"/>
        </w:rPr>
        <w:t>However, the deterioration observed for the FFNN when using two calibration stations was not reproduced by the GBM in the corresponding model comparison (data not shown). Therefore, this two-station behavior should not be interpreted as evidence that two calibration sites are inherently insufficient</w:t>
      </w:r>
      <w:r w:rsidRPr="00C0428D">
        <w:rPr>
          <w:rFonts w:cs="Arial"/>
          <w:sz w:val="20"/>
          <w:szCs w:val="22"/>
          <w:lang w:val="en-US" w:eastAsia="en-US"/>
        </w:rPr>
        <w:t xml:space="preserve">. Moreover, the </w:t>
      </w:r>
      <w:r w:rsidR="000B017A" w:rsidRPr="00C0428D">
        <w:rPr>
          <w:rFonts w:cs="Arial"/>
          <w:sz w:val="20"/>
          <w:szCs w:val="22"/>
          <w:lang w:val="en-US" w:eastAsia="en-US"/>
        </w:rPr>
        <w:t xml:space="preserve">distance </w:t>
      </w:r>
      <w:r w:rsidRPr="00C0428D">
        <w:rPr>
          <w:rFonts w:cs="Arial"/>
          <w:sz w:val="20"/>
          <w:szCs w:val="22"/>
          <w:lang w:val="en-US" w:eastAsia="en-US"/>
        </w:rPr>
        <w:t xml:space="preserve">between stations </w:t>
      </w:r>
      <w:proofErr w:type="gramStart"/>
      <w:r w:rsidRPr="00C0428D">
        <w:rPr>
          <w:rFonts w:cs="Arial"/>
          <w:sz w:val="20"/>
          <w:szCs w:val="22"/>
          <w:lang w:val="en-US" w:eastAsia="en-US"/>
        </w:rPr>
        <w:t>were</w:t>
      </w:r>
      <w:proofErr w:type="gramEnd"/>
      <w:r w:rsidRPr="00C0428D">
        <w:rPr>
          <w:rFonts w:cs="Arial"/>
          <w:sz w:val="20"/>
          <w:szCs w:val="22"/>
          <w:lang w:val="en-US" w:eastAsia="en-US"/>
        </w:rPr>
        <w:t xml:space="preserve"> examined to explain which pairs performed poorly. The distributions for improving and non-improving </w:t>
      </w:r>
      <w:r w:rsidR="00087805" w:rsidRPr="00C0428D">
        <w:rPr>
          <w:rFonts w:cs="Arial"/>
          <w:sz w:val="20"/>
          <w:szCs w:val="22"/>
          <w:lang w:val="en-US" w:eastAsia="en-US"/>
        </w:rPr>
        <w:t>pairs</w:t>
      </w:r>
      <w:r w:rsidRPr="00C0428D">
        <w:rPr>
          <w:rFonts w:cs="Arial"/>
          <w:sz w:val="20"/>
          <w:szCs w:val="22"/>
          <w:lang w:val="en-US" w:eastAsia="en-US"/>
        </w:rPr>
        <w:t xml:space="preserve"> are compared in Figure 3</w:t>
      </w:r>
      <w:r w:rsidR="000E2EEA" w:rsidRPr="00C0428D">
        <w:rPr>
          <w:rFonts w:cs="Arial"/>
          <w:sz w:val="20"/>
          <w:szCs w:val="22"/>
          <w:lang w:val="en-US" w:eastAsia="en-US"/>
        </w:rPr>
        <w:t xml:space="preserve">. Larger station-pair separation was not associated with poorer FFNN performance. </w:t>
      </w:r>
      <w:r w:rsidRPr="00C0428D">
        <w:rPr>
          <w:rFonts w:cs="Arial"/>
          <w:sz w:val="20"/>
          <w:szCs w:val="22"/>
          <w:lang w:val="en-US" w:eastAsia="en-US"/>
        </w:rPr>
        <w:t xml:space="preserve">For GHI, the median separation was 41.6 km for non-improving pairs and 65.2 km for improving pairs. For DNI, the corresponding medians were 46.5 and 73.3 km. The DNI results make this pattern particularly clear: 12 of the 20 pairs in the closest-distance quartile were non-improving (60%), compared with 14 of the remaining 58 pairs (24.1%). At the same time, the most extreme-error </w:t>
      </w:r>
      <w:r w:rsidR="00B3518D" w:rsidRPr="00C0428D">
        <w:rPr>
          <w:rFonts w:cs="Arial"/>
          <w:sz w:val="20"/>
          <w:szCs w:val="22"/>
          <w:lang w:val="en-US" w:eastAsia="en-US"/>
        </w:rPr>
        <w:t>configuration</w:t>
      </w:r>
      <w:r w:rsidRPr="00C0428D">
        <w:rPr>
          <w:rFonts w:cs="Arial"/>
          <w:sz w:val="20"/>
          <w:szCs w:val="22"/>
          <w:lang w:val="en-US" w:eastAsia="en-US"/>
        </w:rPr>
        <w:t xml:space="preserve"> was separated by about 109.3 km. Poor performance therefore occurs among both relatively close and widely separated pairs, indicating that geographic separation alone does not explain the two-station behavior.</w:t>
      </w:r>
    </w:p>
    <w:p w14:paraId="0709B064" w14:textId="77777777" w:rsidR="002B046F" w:rsidRPr="00C0428D" w:rsidRDefault="002B046F" w:rsidP="000668D3">
      <w:pPr>
        <w:spacing w:after="60"/>
        <w:jc w:val="both"/>
        <w:rPr>
          <w:rFonts w:cs="Arial"/>
          <w:sz w:val="20"/>
          <w:szCs w:val="22"/>
          <w:lang w:val="en-US" w:eastAsia="en-US"/>
        </w:rPr>
      </w:pPr>
    </w:p>
    <w:p w14:paraId="3B3CA28C" w14:textId="77777777" w:rsidR="00493D65" w:rsidRPr="00C0428D" w:rsidRDefault="00493D65" w:rsidP="00065868">
      <w:pPr>
        <w:jc w:val="both"/>
        <w:rPr>
          <w:rFonts w:cs="Arial"/>
          <w:sz w:val="20"/>
          <w:szCs w:val="22"/>
          <w:lang w:val="en-US" w:eastAsia="en-US"/>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77"/>
        <w:gridCol w:w="4378"/>
      </w:tblGrid>
      <w:tr w:rsidR="00493D65" w:rsidRPr="00C0428D" w14:paraId="493D8285" w14:textId="77777777" w:rsidTr="00762FCB">
        <w:tc>
          <w:tcPr>
            <w:tcW w:w="4377" w:type="dxa"/>
          </w:tcPr>
          <w:p w14:paraId="2034A509" w14:textId="3C301954" w:rsidR="00493D65" w:rsidRPr="00C0428D" w:rsidRDefault="002B046F" w:rsidP="00065868">
            <w:pPr>
              <w:spacing w:after="60"/>
              <w:jc w:val="both"/>
              <w:rPr>
                <w:rFonts w:ascii="Times New Roman" w:eastAsia="Times New Roman" w:hAnsi="Times New Roman" w:cs="Times New Roman"/>
                <w:b/>
                <w:sz w:val="16"/>
                <w:szCs w:val="20"/>
                <w:lang w:val="en-US"/>
              </w:rPr>
            </w:pPr>
            <w:r w:rsidRPr="00C0428D">
              <w:rPr>
                <w:b/>
                <w:noProof/>
                <w:sz w:val="16"/>
                <w:szCs w:val="20"/>
                <w:lang w:val="en-US"/>
              </w:rPr>
              <w:drawing>
                <wp:inline distT="0" distB="0" distL="0" distR="0" wp14:anchorId="1C4889C7" wp14:editId="698719F3">
                  <wp:extent cx="2458232" cy="2011680"/>
                  <wp:effectExtent l="0" t="0" r="0" b="7620"/>
                  <wp:docPr id="13459626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962619" name="Picture 134596261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458232" cy="2011680"/>
                          </a:xfrm>
                          <a:prstGeom prst="rect">
                            <a:avLst/>
                          </a:prstGeom>
                        </pic:spPr>
                      </pic:pic>
                    </a:graphicData>
                  </a:graphic>
                </wp:inline>
              </w:drawing>
            </w:r>
          </w:p>
        </w:tc>
        <w:tc>
          <w:tcPr>
            <w:tcW w:w="4378" w:type="dxa"/>
          </w:tcPr>
          <w:p w14:paraId="1EAC0B62" w14:textId="32D01A5E" w:rsidR="00493D65" w:rsidRPr="00C0428D" w:rsidRDefault="002B046F" w:rsidP="00065868">
            <w:pPr>
              <w:spacing w:after="60"/>
              <w:jc w:val="both"/>
              <w:rPr>
                <w:rFonts w:ascii="Times New Roman" w:eastAsia="Times New Roman" w:hAnsi="Times New Roman" w:cs="Times New Roman"/>
                <w:b/>
                <w:sz w:val="16"/>
                <w:szCs w:val="20"/>
                <w:lang w:val="en-US"/>
              </w:rPr>
            </w:pPr>
            <w:r w:rsidRPr="00C0428D">
              <w:rPr>
                <w:b/>
                <w:noProof/>
                <w:sz w:val="16"/>
                <w:szCs w:val="20"/>
                <w:lang w:val="en-US"/>
              </w:rPr>
              <w:drawing>
                <wp:inline distT="0" distB="0" distL="0" distR="0" wp14:anchorId="74904CDB" wp14:editId="4619DEDA">
                  <wp:extent cx="2458232" cy="2011680"/>
                  <wp:effectExtent l="0" t="0" r="0" b="7620"/>
                  <wp:docPr id="94049946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499467" name="Picture 94049946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458232" cy="2011680"/>
                          </a:xfrm>
                          <a:prstGeom prst="rect">
                            <a:avLst/>
                          </a:prstGeom>
                        </pic:spPr>
                      </pic:pic>
                    </a:graphicData>
                  </a:graphic>
                </wp:inline>
              </w:drawing>
            </w:r>
          </w:p>
        </w:tc>
      </w:tr>
    </w:tbl>
    <w:p w14:paraId="129490FA" w14:textId="77777777" w:rsidR="00065868" w:rsidRPr="00C0428D" w:rsidRDefault="00065868" w:rsidP="00065868">
      <w:pPr>
        <w:spacing w:before="20" w:after="100" w:line="276" w:lineRule="auto"/>
        <w:ind w:left="720"/>
        <w:contextualSpacing/>
        <w:jc w:val="both"/>
        <w:rPr>
          <w:b/>
          <w:sz w:val="16"/>
          <w:szCs w:val="20"/>
          <w:lang w:val="en-US"/>
        </w:rPr>
      </w:pPr>
    </w:p>
    <w:p w14:paraId="57C512F0" w14:textId="6C4E9996" w:rsidR="00493D65" w:rsidRPr="00C0428D" w:rsidRDefault="00493D65" w:rsidP="00065868">
      <w:pPr>
        <w:spacing w:before="20" w:after="100" w:line="276" w:lineRule="auto"/>
        <w:ind w:left="720"/>
        <w:contextualSpacing/>
        <w:jc w:val="both"/>
        <w:rPr>
          <w:b/>
          <w:sz w:val="16"/>
          <w:szCs w:val="20"/>
          <w:lang w:val="en-US"/>
        </w:rPr>
      </w:pPr>
      <w:r w:rsidRPr="00C0428D">
        <w:rPr>
          <w:b/>
          <w:sz w:val="16"/>
          <w:szCs w:val="20"/>
          <w:lang w:val="en-US"/>
        </w:rPr>
        <w:t xml:space="preserve">Fig. 3. </w:t>
      </w:r>
      <w:r w:rsidR="007216F0" w:rsidRPr="00C0428D">
        <w:rPr>
          <w:b/>
          <w:sz w:val="16"/>
          <w:szCs w:val="20"/>
          <w:lang w:val="en-US"/>
        </w:rPr>
        <w:t>Distance betwe</w:t>
      </w:r>
      <w:r w:rsidR="00037BA5" w:rsidRPr="00C0428D">
        <w:rPr>
          <w:b/>
          <w:sz w:val="16"/>
          <w:szCs w:val="20"/>
          <w:lang w:val="en-US"/>
        </w:rPr>
        <w:t xml:space="preserve">en </w:t>
      </w:r>
      <w:r w:rsidRPr="00C0428D">
        <w:rPr>
          <w:b/>
          <w:sz w:val="16"/>
          <w:szCs w:val="20"/>
          <w:lang w:val="en-US"/>
        </w:rPr>
        <w:t>improving and non-improving two-station configurations</w:t>
      </w:r>
      <w:r w:rsidR="00037BA5" w:rsidRPr="00C0428D">
        <w:rPr>
          <w:b/>
          <w:sz w:val="16"/>
          <w:szCs w:val="20"/>
          <w:lang w:val="en-US"/>
        </w:rPr>
        <w:t xml:space="preserve"> using FFNN</w:t>
      </w:r>
      <w:r w:rsidRPr="00C0428D">
        <w:rPr>
          <w:b/>
          <w:sz w:val="16"/>
          <w:szCs w:val="20"/>
          <w:lang w:val="en-US"/>
        </w:rPr>
        <w:t xml:space="preserve"> for GHI and DNI. </w:t>
      </w:r>
    </w:p>
    <w:p w14:paraId="7262A306" w14:textId="77777777" w:rsidR="005C1A50" w:rsidRPr="00C0428D" w:rsidRDefault="005C1A50" w:rsidP="00065868">
      <w:pPr>
        <w:spacing w:after="60"/>
        <w:jc w:val="both"/>
        <w:rPr>
          <w:b/>
          <w:sz w:val="16"/>
          <w:szCs w:val="20"/>
          <w:lang w:val="en-US"/>
        </w:rPr>
      </w:pPr>
    </w:p>
    <w:p w14:paraId="3E746D3C" w14:textId="7576DBF2" w:rsidR="00493D65" w:rsidRPr="00C0428D" w:rsidRDefault="00493D65" w:rsidP="00065868">
      <w:pPr>
        <w:spacing w:after="60"/>
        <w:jc w:val="both"/>
        <w:rPr>
          <w:rFonts w:cs="Arial"/>
          <w:sz w:val="20"/>
          <w:szCs w:val="22"/>
          <w:lang w:val="en-US" w:eastAsia="en-US"/>
        </w:rPr>
      </w:pPr>
      <w:r w:rsidRPr="00C0428D">
        <w:rPr>
          <w:rFonts w:cs="Arial"/>
          <w:sz w:val="20"/>
          <w:szCs w:val="22"/>
          <w:lang w:val="en-US" w:eastAsia="en-US"/>
        </w:rPr>
        <w:t xml:space="preserve">The fact that the same deterioration is not observed with GBM suggests that the effect may be related to how the FFNN responds to very limited spatial information in the training data. </w:t>
      </w:r>
      <w:proofErr w:type="gramStart"/>
      <w:r w:rsidR="00E42ED5" w:rsidRPr="00C0428D">
        <w:rPr>
          <w:rFonts w:cs="Arial"/>
          <w:sz w:val="20"/>
          <w:szCs w:val="22"/>
          <w:lang w:val="en-US" w:eastAsia="en-US"/>
        </w:rPr>
        <w:t>In particular with</w:t>
      </w:r>
      <w:proofErr w:type="gramEnd"/>
      <w:r w:rsidRPr="00C0428D">
        <w:rPr>
          <w:rFonts w:cs="Arial"/>
          <w:sz w:val="20"/>
          <w:szCs w:val="22"/>
          <w:lang w:val="en-US" w:eastAsia="en-US"/>
        </w:rPr>
        <w:t xml:space="preserve"> only two calibration sites, latitude and longitude vary at only two locations while the trained model is evaluated across the full 13-site network. This may make the learned spatial dependence sensitive to the</w:t>
      </w:r>
      <w:r w:rsidR="00D21617" w:rsidRPr="00C0428D">
        <w:rPr>
          <w:rFonts w:cs="Arial"/>
          <w:sz w:val="20"/>
          <w:szCs w:val="22"/>
          <w:lang w:val="en-US" w:eastAsia="en-US"/>
        </w:rPr>
        <w:t xml:space="preserve"> specific</w:t>
      </w:r>
      <w:r w:rsidRPr="00C0428D">
        <w:rPr>
          <w:rFonts w:cs="Arial"/>
          <w:sz w:val="20"/>
          <w:szCs w:val="22"/>
          <w:lang w:val="en-US" w:eastAsia="en-US"/>
        </w:rPr>
        <w:t xml:space="preserve"> pair used for training. Further analysis, including repeated FFNN training and examination of the role of the spatial input features, would be needed to establish the underlying mechanism. </w:t>
      </w:r>
    </w:p>
    <w:p w14:paraId="77715B47" w14:textId="4B122329" w:rsidR="00352B91" w:rsidRPr="00C0428D" w:rsidRDefault="00352B91" w:rsidP="00065868">
      <w:pPr>
        <w:spacing w:after="60"/>
        <w:jc w:val="both"/>
        <w:rPr>
          <w:rFonts w:cs="Arial"/>
          <w:sz w:val="20"/>
          <w:szCs w:val="22"/>
          <w:lang w:val="en-US" w:eastAsia="en-US"/>
        </w:rPr>
      </w:pPr>
      <w:r w:rsidRPr="00C0428D">
        <w:rPr>
          <w:rFonts w:cs="Arial"/>
          <w:sz w:val="20"/>
          <w:szCs w:val="22"/>
          <w:lang w:val="en-US" w:eastAsia="en-US"/>
        </w:rPr>
        <w:t xml:space="preserve">A complementary measure of robustness is the fraction of station configurations for which FFNN does not improve upon the raw CAMS-Rad </w:t>
      </w:r>
      <w:proofErr w:type="spellStart"/>
      <w:r w:rsidRPr="00C0428D">
        <w:rPr>
          <w:rFonts w:cs="Arial"/>
          <w:sz w:val="20"/>
          <w:szCs w:val="22"/>
          <w:lang w:val="en-US" w:eastAsia="en-US"/>
        </w:rPr>
        <w:t>rRMSE</w:t>
      </w:r>
      <w:proofErr w:type="spellEnd"/>
      <w:r w:rsidRPr="00C0428D">
        <w:rPr>
          <w:rFonts w:cs="Arial"/>
          <w:sz w:val="20"/>
          <w:szCs w:val="22"/>
          <w:lang w:val="en-US" w:eastAsia="en-US"/>
        </w:rPr>
        <w:t xml:space="preserve">. This quantity, calculated using Equation </w:t>
      </w:r>
      <w:r w:rsidR="00E15401" w:rsidRPr="00C0428D">
        <w:rPr>
          <w:rFonts w:cs="Arial"/>
          <w:sz w:val="20"/>
          <w:szCs w:val="22"/>
          <w:lang w:val="en-US" w:eastAsia="en-US"/>
        </w:rPr>
        <w:t>1</w:t>
      </w:r>
      <w:r w:rsidRPr="00C0428D">
        <w:rPr>
          <w:rFonts w:cs="Arial"/>
          <w:sz w:val="20"/>
          <w:szCs w:val="22"/>
          <w:lang w:val="en-US" w:eastAsia="en-US"/>
        </w:rPr>
        <w:t xml:space="preserve">, is reported in Table 1 for each network size </w:t>
      </w:r>
      <m:oMath>
        <m:r>
          <w:rPr>
            <w:rFonts w:ascii="Cambria Math" w:hAnsi="Cambria Math" w:cs="Arial"/>
            <w:sz w:val="20"/>
            <w:szCs w:val="22"/>
            <w:lang w:val="en-US" w:eastAsia="en-US"/>
          </w:rPr>
          <m:t>k</m:t>
        </m:r>
      </m:oMath>
      <w:r w:rsidRPr="00C0428D">
        <w:rPr>
          <w:rFonts w:cs="Arial"/>
          <w:sz w:val="20"/>
          <w:szCs w:val="22"/>
          <w:lang w:val="en-US" w:eastAsia="en-US"/>
        </w:rPr>
        <w:t>.</w:t>
      </w:r>
    </w:p>
    <w:p w14:paraId="52C7A223" w14:textId="77777777" w:rsidR="00352B91" w:rsidRPr="00C0428D" w:rsidRDefault="00352B91" w:rsidP="00065868">
      <w:pPr>
        <w:keepNext/>
        <w:spacing w:after="60"/>
        <w:jc w:val="both"/>
        <w:rPr>
          <w:rFonts w:cs="Arial"/>
          <w:sz w:val="16"/>
          <w:szCs w:val="22"/>
          <w:lang w:val="en-US" w:eastAsia="en-US"/>
        </w:rPr>
      </w:pPr>
    </w:p>
    <w:p w14:paraId="4FA3EF8E" w14:textId="77777777" w:rsidR="00352B91" w:rsidRPr="00C0428D" w:rsidRDefault="00352B91" w:rsidP="00065868">
      <w:pPr>
        <w:keepNext/>
        <w:spacing w:after="60"/>
        <w:jc w:val="both"/>
        <w:rPr>
          <w:b/>
          <w:sz w:val="16"/>
          <w:szCs w:val="20"/>
          <w:lang w:val="en-US"/>
        </w:rPr>
      </w:pPr>
      <w:r w:rsidRPr="00C0428D">
        <w:rPr>
          <w:b/>
          <w:sz w:val="16"/>
          <w:szCs w:val="20"/>
          <w:lang w:val="en-US"/>
        </w:rPr>
        <w:t xml:space="preserve">Tab. 1: FFNN configurations with </w:t>
      </w:r>
      <w:proofErr w:type="spellStart"/>
      <w:r w:rsidRPr="00C0428D">
        <w:rPr>
          <w:b/>
          <w:sz w:val="16"/>
          <w:szCs w:val="20"/>
          <w:lang w:val="en-US"/>
        </w:rPr>
        <w:t>rRMSE</w:t>
      </w:r>
      <w:proofErr w:type="spellEnd"/>
      <w:r w:rsidRPr="00C0428D">
        <w:rPr>
          <w:b/>
          <w:sz w:val="16"/>
          <w:szCs w:val="20"/>
          <w:lang w:val="en-US"/>
        </w:rPr>
        <w:t xml:space="preserve"> higher than the uncorrected CAMS-Rad baseline at each network size.</w:t>
      </w:r>
    </w:p>
    <w:tbl>
      <w:tblPr>
        <w:tblStyle w:val="TableGrid1"/>
        <w:tblW w:w="0" w:type="auto"/>
        <w:jc w:val="center"/>
        <w:tblLayout w:type="fixed"/>
        <w:tblLook w:val="04A0" w:firstRow="1" w:lastRow="0" w:firstColumn="1" w:lastColumn="0" w:noHBand="0" w:noVBand="1"/>
      </w:tblPr>
      <w:tblGrid>
        <w:gridCol w:w="403"/>
        <w:gridCol w:w="1655"/>
        <w:gridCol w:w="1655"/>
        <w:gridCol w:w="403"/>
        <w:gridCol w:w="1655"/>
        <w:gridCol w:w="1655"/>
      </w:tblGrid>
      <w:tr w:rsidR="00352B91" w:rsidRPr="00C0428D" w14:paraId="44CF9FDF" w14:textId="77777777" w:rsidTr="00C9280C">
        <w:trPr>
          <w:cantSplit/>
          <w:tblHeader/>
          <w:jc w:val="center"/>
        </w:trPr>
        <w:tc>
          <w:tcPr>
            <w:tcW w:w="403" w:type="dxa"/>
            <w:tcMar>
              <w:top w:w="25" w:type="dxa"/>
              <w:left w:w="30" w:type="dxa"/>
              <w:bottom w:w="25" w:type="dxa"/>
              <w:right w:w="30" w:type="dxa"/>
            </w:tcMar>
            <w:vAlign w:val="center"/>
          </w:tcPr>
          <w:p w14:paraId="5F2A086E" w14:textId="77777777" w:rsidR="00352B91" w:rsidRPr="00C0428D" w:rsidRDefault="00352B91" w:rsidP="00065868">
            <w:pPr>
              <w:jc w:val="both"/>
              <w:rPr>
                <w:rFonts w:asciiTheme="majorBidi" w:hAnsiTheme="majorBidi" w:cstheme="majorBidi"/>
                <w:sz w:val="20"/>
                <w:szCs w:val="20"/>
                <w:lang w:val="en-US" w:eastAsia="en-US"/>
              </w:rPr>
            </w:pPr>
            <w:r w:rsidRPr="00C0428D">
              <w:rPr>
                <w:rFonts w:asciiTheme="majorBidi" w:hAnsiTheme="majorBidi" w:cstheme="majorBidi"/>
                <w:sz w:val="20"/>
                <w:szCs w:val="20"/>
                <w:lang w:val="en-US" w:eastAsia="en-US"/>
              </w:rPr>
              <w:t>k</w:t>
            </w:r>
          </w:p>
        </w:tc>
        <w:tc>
          <w:tcPr>
            <w:tcW w:w="1655" w:type="dxa"/>
            <w:tcMar>
              <w:top w:w="25" w:type="dxa"/>
              <w:left w:w="30" w:type="dxa"/>
              <w:bottom w:w="25" w:type="dxa"/>
              <w:right w:w="30" w:type="dxa"/>
            </w:tcMar>
            <w:vAlign w:val="center"/>
          </w:tcPr>
          <w:p w14:paraId="6A9248BD" w14:textId="77777777" w:rsidR="00352B91" w:rsidRPr="00B71407" w:rsidRDefault="00352B91" w:rsidP="00065868">
            <w:pPr>
              <w:jc w:val="both"/>
              <w:rPr>
                <w:rFonts w:asciiTheme="majorBidi" w:hAnsiTheme="majorBidi" w:cstheme="majorBidi"/>
                <w:sz w:val="20"/>
                <w:szCs w:val="20"/>
                <w:lang w:val="it-IT" w:eastAsia="en-US"/>
              </w:rPr>
            </w:pPr>
            <w:r w:rsidRPr="00B71407">
              <w:rPr>
                <w:rFonts w:asciiTheme="majorBidi" w:hAnsiTheme="majorBidi" w:cstheme="majorBidi"/>
                <w:sz w:val="20"/>
                <w:szCs w:val="20"/>
                <w:lang w:val="it-IT" w:eastAsia="en-US"/>
              </w:rPr>
              <w:t>GHI non-</w:t>
            </w:r>
            <w:proofErr w:type="spellStart"/>
            <w:r w:rsidRPr="00B71407">
              <w:rPr>
                <w:rFonts w:asciiTheme="majorBidi" w:hAnsiTheme="majorBidi" w:cstheme="majorBidi"/>
                <w:sz w:val="20"/>
                <w:szCs w:val="20"/>
                <w:lang w:val="it-IT" w:eastAsia="en-US"/>
              </w:rPr>
              <w:t>improving</w:t>
            </w:r>
            <w:proofErr w:type="spellEnd"/>
            <w:r w:rsidRPr="00B71407">
              <w:rPr>
                <w:rFonts w:asciiTheme="majorBidi" w:hAnsiTheme="majorBidi" w:cstheme="majorBidi"/>
                <w:sz w:val="20"/>
                <w:szCs w:val="20"/>
                <w:lang w:val="it-IT" w:eastAsia="en-US"/>
              </w:rPr>
              <w:t>, n/N (%)</w:t>
            </w:r>
          </w:p>
        </w:tc>
        <w:tc>
          <w:tcPr>
            <w:tcW w:w="1655" w:type="dxa"/>
            <w:tcMar>
              <w:top w:w="25" w:type="dxa"/>
              <w:left w:w="30" w:type="dxa"/>
              <w:bottom w:w="25" w:type="dxa"/>
              <w:right w:w="30" w:type="dxa"/>
            </w:tcMar>
            <w:vAlign w:val="center"/>
          </w:tcPr>
          <w:p w14:paraId="08FD6044" w14:textId="77777777" w:rsidR="00352B91" w:rsidRPr="00B71407" w:rsidRDefault="00352B91" w:rsidP="00065868">
            <w:pPr>
              <w:jc w:val="both"/>
              <w:rPr>
                <w:rFonts w:asciiTheme="majorBidi" w:hAnsiTheme="majorBidi" w:cstheme="majorBidi"/>
                <w:sz w:val="20"/>
                <w:szCs w:val="20"/>
                <w:lang w:val="it-IT" w:eastAsia="en-US"/>
              </w:rPr>
            </w:pPr>
            <w:r w:rsidRPr="00B71407">
              <w:rPr>
                <w:rFonts w:asciiTheme="majorBidi" w:hAnsiTheme="majorBidi" w:cstheme="majorBidi"/>
                <w:sz w:val="20"/>
                <w:szCs w:val="20"/>
                <w:lang w:val="it-IT" w:eastAsia="en-US"/>
              </w:rPr>
              <w:t>DNI non-</w:t>
            </w:r>
            <w:proofErr w:type="spellStart"/>
            <w:r w:rsidRPr="00B71407">
              <w:rPr>
                <w:rFonts w:asciiTheme="majorBidi" w:hAnsiTheme="majorBidi" w:cstheme="majorBidi"/>
                <w:sz w:val="20"/>
                <w:szCs w:val="20"/>
                <w:lang w:val="it-IT" w:eastAsia="en-US"/>
              </w:rPr>
              <w:t>improving</w:t>
            </w:r>
            <w:proofErr w:type="spellEnd"/>
            <w:r w:rsidRPr="00B71407">
              <w:rPr>
                <w:rFonts w:asciiTheme="majorBidi" w:hAnsiTheme="majorBidi" w:cstheme="majorBidi"/>
                <w:sz w:val="20"/>
                <w:szCs w:val="20"/>
                <w:lang w:val="it-IT" w:eastAsia="en-US"/>
              </w:rPr>
              <w:t>, n/N (%)</w:t>
            </w:r>
          </w:p>
        </w:tc>
        <w:tc>
          <w:tcPr>
            <w:tcW w:w="403" w:type="dxa"/>
            <w:tcMar>
              <w:top w:w="25" w:type="dxa"/>
              <w:left w:w="30" w:type="dxa"/>
              <w:bottom w:w="25" w:type="dxa"/>
              <w:right w:w="30" w:type="dxa"/>
            </w:tcMar>
            <w:vAlign w:val="center"/>
          </w:tcPr>
          <w:p w14:paraId="7B62CFDD" w14:textId="77777777" w:rsidR="00352B91" w:rsidRPr="00C0428D" w:rsidRDefault="00352B91" w:rsidP="00065868">
            <w:pPr>
              <w:jc w:val="both"/>
              <w:rPr>
                <w:rFonts w:asciiTheme="majorBidi" w:hAnsiTheme="majorBidi" w:cstheme="majorBidi"/>
                <w:sz w:val="20"/>
                <w:szCs w:val="20"/>
                <w:lang w:val="en-US" w:eastAsia="en-US"/>
              </w:rPr>
            </w:pPr>
            <w:r w:rsidRPr="00C0428D">
              <w:rPr>
                <w:rFonts w:asciiTheme="majorBidi" w:hAnsiTheme="majorBidi" w:cstheme="majorBidi"/>
                <w:sz w:val="20"/>
                <w:szCs w:val="20"/>
                <w:lang w:val="en-US" w:eastAsia="en-US"/>
              </w:rPr>
              <w:t>k</w:t>
            </w:r>
          </w:p>
        </w:tc>
        <w:tc>
          <w:tcPr>
            <w:tcW w:w="1655" w:type="dxa"/>
            <w:tcMar>
              <w:top w:w="25" w:type="dxa"/>
              <w:left w:w="30" w:type="dxa"/>
              <w:bottom w:w="25" w:type="dxa"/>
              <w:right w:w="30" w:type="dxa"/>
            </w:tcMar>
            <w:vAlign w:val="center"/>
          </w:tcPr>
          <w:p w14:paraId="18CD5636" w14:textId="77777777" w:rsidR="00352B91" w:rsidRPr="00B71407" w:rsidRDefault="00352B91" w:rsidP="00065868">
            <w:pPr>
              <w:jc w:val="both"/>
              <w:rPr>
                <w:rFonts w:asciiTheme="majorBidi" w:hAnsiTheme="majorBidi" w:cstheme="majorBidi"/>
                <w:sz w:val="20"/>
                <w:szCs w:val="20"/>
                <w:lang w:val="it-IT" w:eastAsia="en-US"/>
              </w:rPr>
            </w:pPr>
            <w:r w:rsidRPr="00B71407">
              <w:rPr>
                <w:rFonts w:asciiTheme="majorBidi" w:hAnsiTheme="majorBidi" w:cstheme="majorBidi"/>
                <w:sz w:val="20"/>
                <w:szCs w:val="20"/>
                <w:lang w:val="it-IT" w:eastAsia="en-US"/>
              </w:rPr>
              <w:t>GHI non-</w:t>
            </w:r>
            <w:proofErr w:type="spellStart"/>
            <w:r w:rsidRPr="00B71407">
              <w:rPr>
                <w:rFonts w:asciiTheme="majorBidi" w:hAnsiTheme="majorBidi" w:cstheme="majorBidi"/>
                <w:sz w:val="20"/>
                <w:szCs w:val="20"/>
                <w:lang w:val="it-IT" w:eastAsia="en-US"/>
              </w:rPr>
              <w:t>improving</w:t>
            </w:r>
            <w:proofErr w:type="spellEnd"/>
            <w:r w:rsidRPr="00B71407">
              <w:rPr>
                <w:rFonts w:asciiTheme="majorBidi" w:hAnsiTheme="majorBidi" w:cstheme="majorBidi"/>
                <w:sz w:val="20"/>
                <w:szCs w:val="20"/>
                <w:lang w:val="it-IT" w:eastAsia="en-US"/>
              </w:rPr>
              <w:t>, n/N (%)</w:t>
            </w:r>
          </w:p>
        </w:tc>
        <w:tc>
          <w:tcPr>
            <w:tcW w:w="1655" w:type="dxa"/>
            <w:tcMar>
              <w:top w:w="25" w:type="dxa"/>
              <w:left w:w="30" w:type="dxa"/>
              <w:bottom w:w="25" w:type="dxa"/>
              <w:right w:w="30" w:type="dxa"/>
            </w:tcMar>
            <w:vAlign w:val="center"/>
          </w:tcPr>
          <w:p w14:paraId="18711216" w14:textId="77777777" w:rsidR="00352B91" w:rsidRPr="00B71407" w:rsidRDefault="00352B91" w:rsidP="00065868">
            <w:pPr>
              <w:jc w:val="both"/>
              <w:rPr>
                <w:rFonts w:asciiTheme="majorBidi" w:hAnsiTheme="majorBidi" w:cstheme="majorBidi"/>
                <w:sz w:val="20"/>
                <w:szCs w:val="20"/>
                <w:lang w:val="it-IT" w:eastAsia="en-US"/>
              </w:rPr>
            </w:pPr>
            <w:r w:rsidRPr="00B71407">
              <w:rPr>
                <w:rFonts w:asciiTheme="majorBidi" w:hAnsiTheme="majorBidi" w:cstheme="majorBidi"/>
                <w:sz w:val="20"/>
                <w:szCs w:val="20"/>
                <w:lang w:val="it-IT" w:eastAsia="en-US"/>
              </w:rPr>
              <w:t>DNI non-</w:t>
            </w:r>
            <w:proofErr w:type="spellStart"/>
            <w:r w:rsidRPr="00B71407">
              <w:rPr>
                <w:rFonts w:asciiTheme="majorBidi" w:hAnsiTheme="majorBidi" w:cstheme="majorBidi"/>
                <w:sz w:val="20"/>
                <w:szCs w:val="20"/>
                <w:lang w:val="it-IT" w:eastAsia="en-US"/>
              </w:rPr>
              <w:t>improving</w:t>
            </w:r>
            <w:proofErr w:type="spellEnd"/>
            <w:r w:rsidRPr="00B71407">
              <w:rPr>
                <w:rFonts w:asciiTheme="majorBidi" w:hAnsiTheme="majorBidi" w:cstheme="majorBidi"/>
                <w:sz w:val="20"/>
                <w:szCs w:val="20"/>
                <w:lang w:val="it-IT" w:eastAsia="en-US"/>
              </w:rPr>
              <w:t>, n/N (%)</w:t>
            </w:r>
          </w:p>
        </w:tc>
      </w:tr>
      <w:tr w:rsidR="00352B91" w:rsidRPr="00C0428D" w14:paraId="29B17442" w14:textId="77777777" w:rsidTr="00C9280C">
        <w:trPr>
          <w:cantSplit/>
          <w:jc w:val="center"/>
        </w:trPr>
        <w:tc>
          <w:tcPr>
            <w:tcW w:w="403" w:type="dxa"/>
            <w:tcMar>
              <w:top w:w="25" w:type="dxa"/>
              <w:left w:w="30" w:type="dxa"/>
              <w:bottom w:w="25" w:type="dxa"/>
              <w:right w:w="30" w:type="dxa"/>
            </w:tcMar>
            <w:vAlign w:val="center"/>
          </w:tcPr>
          <w:p w14:paraId="6C350B98" w14:textId="77777777" w:rsidR="00352B91" w:rsidRPr="00C0428D" w:rsidRDefault="00352B91" w:rsidP="00065868">
            <w:pPr>
              <w:jc w:val="both"/>
              <w:rPr>
                <w:rFonts w:asciiTheme="majorBidi" w:hAnsiTheme="majorBidi" w:cstheme="majorBidi"/>
                <w:sz w:val="20"/>
                <w:szCs w:val="20"/>
                <w:lang w:val="en-US" w:eastAsia="en-US"/>
              </w:rPr>
            </w:pPr>
            <w:r w:rsidRPr="00C0428D">
              <w:rPr>
                <w:rFonts w:asciiTheme="majorBidi" w:hAnsiTheme="majorBidi" w:cstheme="majorBidi"/>
                <w:sz w:val="20"/>
                <w:szCs w:val="20"/>
                <w:lang w:val="en-US" w:eastAsia="en-US"/>
              </w:rPr>
              <w:t>1</w:t>
            </w:r>
          </w:p>
        </w:tc>
        <w:tc>
          <w:tcPr>
            <w:tcW w:w="1655" w:type="dxa"/>
            <w:tcMar>
              <w:top w:w="25" w:type="dxa"/>
              <w:left w:w="30" w:type="dxa"/>
              <w:bottom w:w="25" w:type="dxa"/>
              <w:right w:w="30" w:type="dxa"/>
            </w:tcMar>
            <w:vAlign w:val="center"/>
          </w:tcPr>
          <w:p w14:paraId="4A0AC167" w14:textId="77777777" w:rsidR="00352B91" w:rsidRPr="00C0428D" w:rsidRDefault="00352B91" w:rsidP="00065868">
            <w:pPr>
              <w:jc w:val="both"/>
              <w:rPr>
                <w:rFonts w:asciiTheme="majorBidi" w:hAnsiTheme="majorBidi" w:cstheme="majorBidi"/>
                <w:sz w:val="20"/>
                <w:szCs w:val="20"/>
                <w:lang w:val="en-US" w:eastAsia="en-US"/>
              </w:rPr>
            </w:pPr>
            <w:r w:rsidRPr="00C0428D">
              <w:rPr>
                <w:rFonts w:asciiTheme="majorBidi" w:hAnsiTheme="majorBidi" w:cstheme="majorBidi"/>
                <w:sz w:val="20"/>
                <w:szCs w:val="20"/>
                <w:lang w:val="en-US" w:eastAsia="en-US"/>
              </w:rPr>
              <w:t>0/13 (0.00%)</w:t>
            </w:r>
          </w:p>
        </w:tc>
        <w:tc>
          <w:tcPr>
            <w:tcW w:w="1655" w:type="dxa"/>
            <w:tcMar>
              <w:top w:w="25" w:type="dxa"/>
              <w:left w:w="30" w:type="dxa"/>
              <w:bottom w:w="25" w:type="dxa"/>
              <w:right w:w="30" w:type="dxa"/>
            </w:tcMar>
            <w:vAlign w:val="center"/>
          </w:tcPr>
          <w:p w14:paraId="19AA5793" w14:textId="77777777" w:rsidR="00352B91" w:rsidRPr="00C0428D" w:rsidRDefault="00352B91" w:rsidP="00065868">
            <w:pPr>
              <w:jc w:val="both"/>
              <w:rPr>
                <w:rFonts w:asciiTheme="majorBidi" w:hAnsiTheme="majorBidi" w:cstheme="majorBidi"/>
                <w:sz w:val="20"/>
                <w:szCs w:val="20"/>
                <w:lang w:val="en-US" w:eastAsia="en-US"/>
              </w:rPr>
            </w:pPr>
            <w:r w:rsidRPr="00C0428D">
              <w:rPr>
                <w:rFonts w:asciiTheme="majorBidi" w:hAnsiTheme="majorBidi" w:cstheme="majorBidi"/>
                <w:sz w:val="20"/>
                <w:szCs w:val="20"/>
                <w:lang w:val="en-US" w:eastAsia="en-US"/>
              </w:rPr>
              <w:t>0/13 (0.00%)</w:t>
            </w:r>
          </w:p>
        </w:tc>
        <w:tc>
          <w:tcPr>
            <w:tcW w:w="403" w:type="dxa"/>
            <w:tcMar>
              <w:top w:w="25" w:type="dxa"/>
              <w:left w:w="30" w:type="dxa"/>
              <w:bottom w:w="25" w:type="dxa"/>
              <w:right w:w="30" w:type="dxa"/>
            </w:tcMar>
            <w:vAlign w:val="center"/>
          </w:tcPr>
          <w:p w14:paraId="36EE5CFF" w14:textId="77777777" w:rsidR="00352B91" w:rsidRPr="00C0428D" w:rsidRDefault="00352B91" w:rsidP="00065868">
            <w:pPr>
              <w:jc w:val="both"/>
              <w:rPr>
                <w:rFonts w:asciiTheme="majorBidi" w:hAnsiTheme="majorBidi" w:cstheme="majorBidi"/>
                <w:sz w:val="20"/>
                <w:szCs w:val="20"/>
                <w:lang w:val="en-US" w:eastAsia="en-US"/>
              </w:rPr>
            </w:pPr>
            <w:r w:rsidRPr="00C0428D">
              <w:rPr>
                <w:rFonts w:asciiTheme="majorBidi" w:hAnsiTheme="majorBidi" w:cstheme="majorBidi"/>
                <w:sz w:val="20"/>
                <w:szCs w:val="20"/>
                <w:lang w:val="en-US" w:eastAsia="en-US"/>
              </w:rPr>
              <w:t>8</w:t>
            </w:r>
          </w:p>
        </w:tc>
        <w:tc>
          <w:tcPr>
            <w:tcW w:w="1655" w:type="dxa"/>
            <w:tcMar>
              <w:top w:w="25" w:type="dxa"/>
              <w:left w:w="30" w:type="dxa"/>
              <w:bottom w:w="25" w:type="dxa"/>
              <w:right w:w="30" w:type="dxa"/>
            </w:tcMar>
            <w:vAlign w:val="center"/>
          </w:tcPr>
          <w:p w14:paraId="71727E1F" w14:textId="77777777" w:rsidR="00352B91" w:rsidRPr="00C0428D" w:rsidRDefault="00352B91" w:rsidP="00065868">
            <w:pPr>
              <w:jc w:val="both"/>
              <w:rPr>
                <w:rFonts w:asciiTheme="majorBidi" w:hAnsiTheme="majorBidi" w:cstheme="majorBidi"/>
                <w:sz w:val="20"/>
                <w:szCs w:val="20"/>
                <w:lang w:val="en-US" w:eastAsia="en-US"/>
              </w:rPr>
            </w:pPr>
            <w:r w:rsidRPr="00C0428D">
              <w:rPr>
                <w:rFonts w:asciiTheme="majorBidi" w:hAnsiTheme="majorBidi" w:cstheme="majorBidi"/>
                <w:sz w:val="20"/>
                <w:szCs w:val="20"/>
                <w:lang w:val="en-US" w:eastAsia="en-US"/>
              </w:rPr>
              <w:t>0/1287 (0.00%)</w:t>
            </w:r>
          </w:p>
        </w:tc>
        <w:tc>
          <w:tcPr>
            <w:tcW w:w="1655" w:type="dxa"/>
            <w:tcMar>
              <w:top w:w="25" w:type="dxa"/>
              <w:left w:w="30" w:type="dxa"/>
              <w:bottom w:w="25" w:type="dxa"/>
              <w:right w:w="30" w:type="dxa"/>
            </w:tcMar>
            <w:vAlign w:val="center"/>
          </w:tcPr>
          <w:p w14:paraId="505D6325" w14:textId="77777777" w:rsidR="00352B91" w:rsidRPr="00C0428D" w:rsidRDefault="00352B91" w:rsidP="00065868">
            <w:pPr>
              <w:jc w:val="both"/>
              <w:rPr>
                <w:rFonts w:asciiTheme="majorBidi" w:hAnsiTheme="majorBidi" w:cstheme="majorBidi"/>
                <w:sz w:val="20"/>
                <w:szCs w:val="20"/>
                <w:lang w:val="en-US" w:eastAsia="en-US"/>
              </w:rPr>
            </w:pPr>
            <w:r w:rsidRPr="00C0428D">
              <w:rPr>
                <w:rFonts w:asciiTheme="majorBidi" w:hAnsiTheme="majorBidi" w:cstheme="majorBidi"/>
                <w:sz w:val="20"/>
                <w:szCs w:val="20"/>
                <w:lang w:val="en-US" w:eastAsia="en-US"/>
              </w:rPr>
              <w:t>0/1287 (0.00%)</w:t>
            </w:r>
          </w:p>
        </w:tc>
      </w:tr>
      <w:tr w:rsidR="00352B91" w:rsidRPr="00C0428D" w14:paraId="008F1EB6" w14:textId="77777777" w:rsidTr="00C9280C">
        <w:trPr>
          <w:cantSplit/>
          <w:jc w:val="center"/>
        </w:trPr>
        <w:tc>
          <w:tcPr>
            <w:tcW w:w="403" w:type="dxa"/>
            <w:tcMar>
              <w:top w:w="25" w:type="dxa"/>
              <w:left w:w="30" w:type="dxa"/>
              <w:bottom w:w="25" w:type="dxa"/>
              <w:right w:w="30" w:type="dxa"/>
            </w:tcMar>
            <w:vAlign w:val="center"/>
          </w:tcPr>
          <w:p w14:paraId="17C5DE72" w14:textId="77777777" w:rsidR="00352B91" w:rsidRPr="00C0428D" w:rsidRDefault="00352B91" w:rsidP="00065868">
            <w:pPr>
              <w:jc w:val="both"/>
              <w:rPr>
                <w:rFonts w:asciiTheme="majorBidi" w:hAnsiTheme="majorBidi" w:cstheme="majorBidi"/>
                <w:sz w:val="20"/>
                <w:szCs w:val="20"/>
                <w:lang w:val="en-US" w:eastAsia="en-US"/>
              </w:rPr>
            </w:pPr>
            <w:r w:rsidRPr="00C0428D">
              <w:rPr>
                <w:rFonts w:asciiTheme="majorBidi" w:hAnsiTheme="majorBidi" w:cstheme="majorBidi"/>
                <w:sz w:val="20"/>
                <w:szCs w:val="20"/>
                <w:lang w:val="en-US" w:eastAsia="en-US"/>
              </w:rPr>
              <w:t>2</w:t>
            </w:r>
          </w:p>
        </w:tc>
        <w:tc>
          <w:tcPr>
            <w:tcW w:w="1655" w:type="dxa"/>
            <w:tcMar>
              <w:top w:w="25" w:type="dxa"/>
              <w:left w:w="30" w:type="dxa"/>
              <w:bottom w:w="25" w:type="dxa"/>
              <w:right w:w="30" w:type="dxa"/>
            </w:tcMar>
            <w:vAlign w:val="center"/>
          </w:tcPr>
          <w:p w14:paraId="1CF3866B" w14:textId="77777777" w:rsidR="00352B91" w:rsidRPr="00C0428D" w:rsidRDefault="00352B91" w:rsidP="00065868">
            <w:pPr>
              <w:jc w:val="both"/>
              <w:rPr>
                <w:rFonts w:asciiTheme="majorBidi" w:hAnsiTheme="majorBidi" w:cstheme="majorBidi"/>
                <w:sz w:val="20"/>
                <w:szCs w:val="20"/>
                <w:lang w:val="en-US" w:eastAsia="en-US"/>
              </w:rPr>
            </w:pPr>
            <w:r w:rsidRPr="00C0428D">
              <w:rPr>
                <w:rFonts w:asciiTheme="majorBidi" w:hAnsiTheme="majorBidi" w:cstheme="majorBidi"/>
                <w:sz w:val="20"/>
                <w:szCs w:val="20"/>
                <w:lang w:val="en-US" w:eastAsia="en-US"/>
              </w:rPr>
              <w:t>7/78 (8.97%)</w:t>
            </w:r>
          </w:p>
        </w:tc>
        <w:tc>
          <w:tcPr>
            <w:tcW w:w="1655" w:type="dxa"/>
            <w:tcMar>
              <w:top w:w="25" w:type="dxa"/>
              <w:left w:w="30" w:type="dxa"/>
              <w:bottom w:w="25" w:type="dxa"/>
              <w:right w:w="30" w:type="dxa"/>
            </w:tcMar>
            <w:vAlign w:val="center"/>
          </w:tcPr>
          <w:p w14:paraId="457889E4" w14:textId="77777777" w:rsidR="00352B91" w:rsidRPr="00C0428D" w:rsidRDefault="00352B91" w:rsidP="00065868">
            <w:pPr>
              <w:jc w:val="both"/>
              <w:rPr>
                <w:rFonts w:asciiTheme="majorBidi" w:hAnsiTheme="majorBidi" w:cstheme="majorBidi"/>
                <w:sz w:val="20"/>
                <w:szCs w:val="20"/>
                <w:lang w:val="en-US" w:eastAsia="en-US"/>
              </w:rPr>
            </w:pPr>
            <w:r w:rsidRPr="00C0428D">
              <w:rPr>
                <w:rFonts w:asciiTheme="majorBidi" w:hAnsiTheme="majorBidi" w:cstheme="majorBidi"/>
                <w:sz w:val="20"/>
                <w:szCs w:val="20"/>
                <w:lang w:val="en-US" w:eastAsia="en-US"/>
              </w:rPr>
              <w:t>26/78 (33.33%)</w:t>
            </w:r>
          </w:p>
        </w:tc>
        <w:tc>
          <w:tcPr>
            <w:tcW w:w="403" w:type="dxa"/>
            <w:tcMar>
              <w:top w:w="25" w:type="dxa"/>
              <w:left w:w="30" w:type="dxa"/>
              <w:bottom w:w="25" w:type="dxa"/>
              <w:right w:w="30" w:type="dxa"/>
            </w:tcMar>
            <w:vAlign w:val="center"/>
          </w:tcPr>
          <w:p w14:paraId="3C4ED38F" w14:textId="77777777" w:rsidR="00352B91" w:rsidRPr="00C0428D" w:rsidRDefault="00352B91" w:rsidP="00065868">
            <w:pPr>
              <w:jc w:val="both"/>
              <w:rPr>
                <w:rFonts w:asciiTheme="majorBidi" w:hAnsiTheme="majorBidi" w:cstheme="majorBidi"/>
                <w:sz w:val="20"/>
                <w:szCs w:val="20"/>
                <w:lang w:val="en-US" w:eastAsia="en-US"/>
              </w:rPr>
            </w:pPr>
            <w:r w:rsidRPr="00C0428D">
              <w:rPr>
                <w:rFonts w:asciiTheme="majorBidi" w:hAnsiTheme="majorBidi" w:cstheme="majorBidi"/>
                <w:sz w:val="20"/>
                <w:szCs w:val="20"/>
                <w:lang w:val="en-US" w:eastAsia="en-US"/>
              </w:rPr>
              <w:t>9</w:t>
            </w:r>
          </w:p>
        </w:tc>
        <w:tc>
          <w:tcPr>
            <w:tcW w:w="1655" w:type="dxa"/>
            <w:tcMar>
              <w:top w:w="25" w:type="dxa"/>
              <w:left w:w="30" w:type="dxa"/>
              <w:bottom w:w="25" w:type="dxa"/>
              <w:right w:w="30" w:type="dxa"/>
            </w:tcMar>
            <w:vAlign w:val="center"/>
          </w:tcPr>
          <w:p w14:paraId="3716E5B9" w14:textId="77777777" w:rsidR="00352B91" w:rsidRPr="00C0428D" w:rsidRDefault="00352B91" w:rsidP="00065868">
            <w:pPr>
              <w:jc w:val="both"/>
              <w:rPr>
                <w:rFonts w:asciiTheme="majorBidi" w:hAnsiTheme="majorBidi" w:cstheme="majorBidi"/>
                <w:sz w:val="20"/>
                <w:szCs w:val="20"/>
                <w:lang w:val="en-US" w:eastAsia="en-US"/>
              </w:rPr>
            </w:pPr>
            <w:r w:rsidRPr="00C0428D">
              <w:rPr>
                <w:rFonts w:asciiTheme="majorBidi" w:hAnsiTheme="majorBidi" w:cstheme="majorBidi"/>
                <w:sz w:val="20"/>
                <w:szCs w:val="20"/>
                <w:lang w:val="en-US" w:eastAsia="en-US"/>
              </w:rPr>
              <w:t>0/715 (0.00%)</w:t>
            </w:r>
          </w:p>
        </w:tc>
        <w:tc>
          <w:tcPr>
            <w:tcW w:w="1655" w:type="dxa"/>
            <w:tcMar>
              <w:top w:w="25" w:type="dxa"/>
              <w:left w:w="30" w:type="dxa"/>
              <w:bottom w:w="25" w:type="dxa"/>
              <w:right w:w="30" w:type="dxa"/>
            </w:tcMar>
            <w:vAlign w:val="center"/>
          </w:tcPr>
          <w:p w14:paraId="0477BCB5" w14:textId="77777777" w:rsidR="00352B91" w:rsidRPr="00C0428D" w:rsidRDefault="00352B91" w:rsidP="00065868">
            <w:pPr>
              <w:jc w:val="both"/>
              <w:rPr>
                <w:rFonts w:asciiTheme="majorBidi" w:hAnsiTheme="majorBidi" w:cstheme="majorBidi"/>
                <w:sz w:val="20"/>
                <w:szCs w:val="20"/>
                <w:lang w:val="en-US" w:eastAsia="en-US"/>
              </w:rPr>
            </w:pPr>
            <w:r w:rsidRPr="00C0428D">
              <w:rPr>
                <w:rFonts w:asciiTheme="majorBidi" w:hAnsiTheme="majorBidi" w:cstheme="majorBidi"/>
                <w:sz w:val="20"/>
                <w:szCs w:val="20"/>
                <w:lang w:val="en-US" w:eastAsia="en-US"/>
              </w:rPr>
              <w:t>0/715 (0.00%)</w:t>
            </w:r>
          </w:p>
        </w:tc>
      </w:tr>
      <w:tr w:rsidR="00352B91" w:rsidRPr="00C0428D" w14:paraId="4E7A8307" w14:textId="77777777" w:rsidTr="00C9280C">
        <w:trPr>
          <w:cantSplit/>
          <w:jc w:val="center"/>
        </w:trPr>
        <w:tc>
          <w:tcPr>
            <w:tcW w:w="403" w:type="dxa"/>
            <w:tcMar>
              <w:top w:w="25" w:type="dxa"/>
              <w:left w:w="30" w:type="dxa"/>
              <w:bottom w:w="25" w:type="dxa"/>
              <w:right w:w="30" w:type="dxa"/>
            </w:tcMar>
            <w:vAlign w:val="center"/>
          </w:tcPr>
          <w:p w14:paraId="0D99CD04" w14:textId="77777777" w:rsidR="00352B91" w:rsidRPr="00C0428D" w:rsidRDefault="00352B91" w:rsidP="00065868">
            <w:pPr>
              <w:jc w:val="both"/>
              <w:rPr>
                <w:rFonts w:asciiTheme="majorBidi" w:hAnsiTheme="majorBidi" w:cstheme="majorBidi"/>
                <w:sz w:val="20"/>
                <w:szCs w:val="20"/>
                <w:lang w:val="en-US" w:eastAsia="en-US"/>
              </w:rPr>
            </w:pPr>
            <w:r w:rsidRPr="00C0428D">
              <w:rPr>
                <w:rFonts w:asciiTheme="majorBidi" w:hAnsiTheme="majorBidi" w:cstheme="majorBidi"/>
                <w:sz w:val="20"/>
                <w:szCs w:val="20"/>
                <w:lang w:val="en-US" w:eastAsia="en-US"/>
              </w:rPr>
              <w:t>3</w:t>
            </w:r>
          </w:p>
        </w:tc>
        <w:tc>
          <w:tcPr>
            <w:tcW w:w="1655" w:type="dxa"/>
            <w:tcMar>
              <w:top w:w="25" w:type="dxa"/>
              <w:left w:w="30" w:type="dxa"/>
              <w:bottom w:w="25" w:type="dxa"/>
              <w:right w:w="30" w:type="dxa"/>
            </w:tcMar>
            <w:vAlign w:val="center"/>
          </w:tcPr>
          <w:p w14:paraId="605ABBF7" w14:textId="77777777" w:rsidR="00352B91" w:rsidRPr="00C0428D" w:rsidRDefault="00352B91" w:rsidP="00065868">
            <w:pPr>
              <w:jc w:val="both"/>
              <w:rPr>
                <w:rFonts w:asciiTheme="majorBidi" w:hAnsiTheme="majorBidi" w:cstheme="majorBidi"/>
                <w:sz w:val="20"/>
                <w:szCs w:val="20"/>
                <w:lang w:val="en-US" w:eastAsia="en-US"/>
              </w:rPr>
            </w:pPr>
            <w:r w:rsidRPr="00C0428D">
              <w:rPr>
                <w:rFonts w:asciiTheme="majorBidi" w:hAnsiTheme="majorBidi" w:cstheme="majorBidi"/>
                <w:sz w:val="20"/>
                <w:szCs w:val="20"/>
                <w:lang w:val="en-US" w:eastAsia="en-US"/>
              </w:rPr>
              <w:t>2/286 (0.70%)</w:t>
            </w:r>
          </w:p>
        </w:tc>
        <w:tc>
          <w:tcPr>
            <w:tcW w:w="1655" w:type="dxa"/>
            <w:tcMar>
              <w:top w:w="25" w:type="dxa"/>
              <w:left w:w="30" w:type="dxa"/>
              <w:bottom w:w="25" w:type="dxa"/>
              <w:right w:w="30" w:type="dxa"/>
            </w:tcMar>
            <w:vAlign w:val="center"/>
          </w:tcPr>
          <w:p w14:paraId="13E9C9D6" w14:textId="77777777" w:rsidR="00352B91" w:rsidRPr="00C0428D" w:rsidRDefault="00352B91" w:rsidP="00065868">
            <w:pPr>
              <w:jc w:val="both"/>
              <w:rPr>
                <w:rFonts w:asciiTheme="majorBidi" w:hAnsiTheme="majorBidi" w:cstheme="majorBidi"/>
                <w:sz w:val="20"/>
                <w:szCs w:val="20"/>
                <w:lang w:val="en-US" w:eastAsia="en-US"/>
              </w:rPr>
            </w:pPr>
            <w:r w:rsidRPr="00C0428D">
              <w:rPr>
                <w:rFonts w:asciiTheme="majorBidi" w:hAnsiTheme="majorBidi" w:cstheme="majorBidi"/>
                <w:sz w:val="20"/>
                <w:szCs w:val="20"/>
                <w:lang w:val="en-US" w:eastAsia="en-US"/>
              </w:rPr>
              <w:t>9/286 (3.15%)</w:t>
            </w:r>
          </w:p>
        </w:tc>
        <w:tc>
          <w:tcPr>
            <w:tcW w:w="403" w:type="dxa"/>
            <w:tcMar>
              <w:top w:w="25" w:type="dxa"/>
              <w:left w:w="30" w:type="dxa"/>
              <w:bottom w:w="25" w:type="dxa"/>
              <w:right w:w="30" w:type="dxa"/>
            </w:tcMar>
            <w:vAlign w:val="center"/>
          </w:tcPr>
          <w:p w14:paraId="0AF0E379" w14:textId="77777777" w:rsidR="00352B91" w:rsidRPr="00C0428D" w:rsidRDefault="00352B91" w:rsidP="00065868">
            <w:pPr>
              <w:jc w:val="both"/>
              <w:rPr>
                <w:rFonts w:asciiTheme="majorBidi" w:hAnsiTheme="majorBidi" w:cstheme="majorBidi"/>
                <w:sz w:val="20"/>
                <w:szCs w:val="20"/>
                <w:lang w:val="en-US" w:eastAsia="en-US"/>
              </w:rPr>
            </w:pPr>
            <w:r w:rsidRPr="00C0428D">
              <w:rPr>
                <w:rFonts w:asciiTheme="majorBidi" w:hAnsiTheme="majorBidi" w:cstheme="majorBidi"/>
                <w:sz w:val="20"/>
                <w:szCs w:val="20"/>
                <w:lang w:val="en-US" w:eastAsia="en-US"/>
              </w:rPr>
              <w:t>10</w:t>
            </w:r>
          </w:p>
        </w:tc>
        <w:tc>
          <w:tcPr>
            <w:tcW w:w="1655" w:type="dxa"/>
            <w:tcMar>
              <w:top w:w="25" w:type="dxa"/>
              <w:left w:w="30" w:type="dxa"/>
              <w:bottom w:w="25" w:type="dxa"/>
              <w:right w:w="30" w:type="dxa"/>
            </w:tcMar>
            <w:vAlign w:val="center"/>
          </w:tcPr>
          <w:p w14:paraId="56534C6F" w14:textId="77777777" w:rsidR="00352B91" w:rsidRPr="00C0428D" w:rsidRDefault="00352B91" w:rsidP="00065868">
            <w:pPr>
              <w:jc w:val="both"/>
              <w:rPr>
                <w:rFonts w:asciiTheme="majorBidi" w:hAnsiTheme="majorBidi" w:cstheme="majorBidi"/>
                <w:sz w:val="20"/>
                <w:szCs w:val="20"/>
                <w:lang w:val="en-US" w:eastAsia="en-US"/>
              </w:rPr>
            </w:pPr>
            <w:r w:rsidRPr="00C0428D">
              <w:rPr>
                <w:rFonts w:asciiTheme="majorBidi" w:hAnsiTheme="majorBidi" w:cstheme="majorBidi"/>
                <w:sz w:val="20"/>
                <w:szCs w:val="20"/>
                <w:lang w:val="en-US" w:eastAsia="en-US"/>
              </w:rPr>
              <w:t>0/286 (0.00%)</w:t>
            </w:r>
          </w:p>
        </w:tc>
        <w:tc>
          <w:tcPr>
            <w:tcW w:w="1655" w:type="dxa"/>
            <w:tcMar>
              <w:top w:w="25" w:type="dxa"/>
              <w:left w:w="30" w:type="dxa"/>
              <w:bottom w:w="25" w:type="dxa"/>
              <w:right w:w="30" w:type="dxa"/>
            </w:tcMar>
            <w:vAlign w:val="center"/>
          </w:tcPr>
          <w:p w14:paraId="54A80FFF" w14:textId="77777777" w:rsidR="00352B91" w:rsidRPr="00C0428D" w:rsidRDefault="00352B91" w:rsidP="00065868">
            <w:pPr>
              <w:jc w:val="both"/>
              <w:rPr>
                <w:rFonts w:asciiTheme="majorBidi" w:hAnsiTheme="majorBidi" w:cstheme="majorBidi"/>
                <w:sz w:val="20"/>
                <w:szCs w:val="20"/>
                <w:lang w:val="en-US" w:eastAsia="en-US"/>
              </w:rPr>
            </w:pPr>
            <w:r w:rsidRPr="00C0428D">
              <w:rPr>
                <w:rFonts w:asciiTheme="majorBidi" w:hAnsiTheme="majorBidi" w:cstheme="majorBidi"/>
                <w:sz w:val="20"/>
                <w:szCs w:val="20"/>
                <w:lang w:val="en-US" w:eastAsia="en-US"/>
              </w:rPr>
              <w:t>0/286 (0.00%)</w:t>
            </w:r>
          </w:p>
        </w:tc>
      </w:tr>
      <w:tr w:rsidR="00352B91" w:rsidRPr="00C0428D" w14:paraId="1D318EE1" w14:textId="77777777" w:rsidTr="00C9280C">
        <w:trPr>
          <w:cantSplit/>
          <w:jc w:val="center"/>
        </w:trPr>
        <w:tc>
          <w:tcPr>
            <w:tcW w:w="403" w:type="dxa"/>
            <w:tcMar>
              <w:top w:w="25" w:type="dxa"/>
              <w:left w:w="30" w:type="dxa"/>
              <w:bottom w:w="25" w:type="dxa"/>
              <w:right w:w="30" w:type="dxa"/>
            </w:tcMar>
            <w:vAlign w:val="center"/>
          </w:tcPr>
          <w:p w14:paraId="4D0171C5" w14:textId="77777777" w:rsidR="00352B91" w:rsidRPr="00C0428D" w:rsidRDefault="00352B91" w:rsidP="00065868">
            <w:pPr>
              <w:jc w:val="both"/>
              <w:rPr>
                <w:rFonts w:asciiTheme="majorBidi" w:hAnsiTheme="majorBidi" w:cstheme="majorBidi"/>
                <w:sz w:val="20"/>
                <w:szCs w:val="20"/>
                <w:lang w:val="en-US" w:eastAsia="en-US"/>
              </w:rPr>
            </w:pPr>
            <w:r w:rsidRPr="00C0428D">
              <w:rPr>
                <w:rFonts w:asciiTheme="majorBidi" w:hAnsiTheme="majorBidi" w:cstheme="majorBidi"/>
                <w:sz w:val="20"/>
                <w:szCs w:val="20"/>
                <w:lang w:val="en-US" w:eastAsia="en-US"/>
              </w:rPr>
              <w:lastRenderedPageBreak/>
              <w:t>4</w:t>
            </w:r>
          </w:p>
        </w:tc>
        <w:tc>
          <w:tcPr>
            <w:tcW w:w="1655" w:type="dxa"/>
            <w:tcMar>
              <w:top w:w="25" w:type="dxa"/>
              <w:left w:w="30" w:type="dxa"/>
              <w:bottom w:w="25" w:type="dxa"/>
              <w:right w:w="30" w:type="dxa"/>
            </w:tcMar>
            <w:vAlign w:val="center"/>
          </w:tcPr>
          <w:p w14:paraId="4B765E52" w14:textId="77777777" w:rsidR="00352B91" w:rsidRPr="00C0428D" w:rsidRDefault="00352B91" w:rsidP="00065868">
            <w:pPr>
              <w:jc w:val="both"/>
              <w:rPr>
                <w:rFonts w:asciiTheme="majorBidi" w:hAnsiTheme="majorBidi" w:cstheme="majorBidi"/>
                <w:sz w:val="20"/>
                <w:szCs w:val="20"/>
                <w:lang w:val="en-US" w:eastAsia="en-US"/>
              </w:rPr>
            </w:pPr>
            <w:r w:rsidRPr="00C0428D">
              <w:rPr>
                <w:rFonts w:asciiTheme="majorBidi" w:hAnsiTheme="majorBidi" w:cstheme="majorBidi"/>
                <w:sz w:val="20"/>
                <w:szCs w:val="20"/>
                <w:lang w:val="en-US" w:eastAsia="en-US"/>
              </w:rPr>
              <w:t>3/715 (0.42%)</w:t>
            </w:r>
          </w:p>
        </w:tc>
        <w:tc>
          <w:tcPr>
            <w:tcW w:w="1655" w:type="dxa"/>
            <w:tcMar>
              <w:top w:w="25" w:type="dxa"/>
              <w:left w:w="30" w:type="dxa"/>
              <w:bottom w:w="25" w:type="dxa"/>
              <w:right w:w="30" w:type="dxa"/>
            </w:tcMar>
            <w:vAlign w:val="center"/>
          </w:tcPr>
          <w:p w14:paraId="170D3BC5" w14:textId="77777777" w:rsidR="00352B91" w:rsidRPr="00C0428D" w:rsidRDefault="00352B91" w:rsidP="00065868">
            <w:pPr>
              <w:jc w:val="both"/>
              <w:rPr>
                <w:rFonts w:asciiTheme="majorBidi" w:hAnsiTheme="majorBidi" w:cstheme="majorBidi"/>
                <w:sz w:val="20"/>
                <w:szCs w:val="20"/>
                <w:lang w:val="en-US" w:eastAsia="en-US"/>
              </w:rPr>
            </w:pPr>
            <w:r w:rsidRPr="00C0428D">
              <w:rPr>
                <w:rFonts w:asciiTheme="majorBidi" w:hAnsiTheme="majorBidi" w:cstheme="majorBidi"/>
                <w:sz w:val="20"/>
                <w:szCs w:val="20"/>
                <w:lang w:val="en-US" w:eastAsia="en-US"/>
              </w:rPr>
              <w:t>2/715 (0.28%)</w:t>
            </w:r>
          </w:p>
        </w:tc>
        <w:tc>
          <w:tcPr>
            <w:tcW w:w="403" w:type="dxa"/>
            <w:tcMar>
              <w:top w:w="25" w:type="dxa"/>
              <w:left w:w="30" w:type="dxa"/>
              <w:bottom w:w="25" w:type="dxa"/>
              <w:right w:w="30" w:type="dxa"/>
            </w:tcMar>
            <w:vAlign w:val="center"/>
          </w:tcPr>
          <w:p w14:paraId="71BAAF15" w14:textId="77777777" w:rsidR="00352B91" w:rsidRPr="00C0428D" w:rsidRDefault="00352B91" w:rsidP="00065868">
            <w:pPr>
              <w:jc w:val="both"/>
              <w:rPr>
                <w:rFonts w:asciiTheme="majorBidi" w:hAnsiTheme="majorBidi" w:cstheme="majorBidi"/>
                <w:sz w:val="20"/>
                <w:szCs w:val="20"/>
                <w:lang w:val="en-US" w:eastAsia="en-US"/>
              </w:rPr>
            </w:pPr>
            <w:r w:rsidRPr="00C0428D">
              <w:rPr>
                <w:rFonts w:asciiTheme="majorBidi" w:hAnsiTheme="majorBidi" w:cstheme="majorBidi"/>
                <w:sz w:val="20"/>
                <w:szCs w:val="20"/>
                <w:lang w:val="en-US" w:eastAsia="en-US"/>
              </w:rPr>
              <w:t>11</w:t>
            </w:r>
          </w:p>
        </w:tc>
        <w:tc>
          <w:tcPr>
            <w:tcW w:w="1655" w:type="dxa"/>
            <w:tcMar>
              <w:top w:w="25" w:type="dxa"/>
              <w:left w:w="30" w:type="dxa"/>
              <w:bottom w:w="25" w:type="dxa"/>
              <w:right w:w="30" w:type="dxa"/>
            </w:tcMar>
            <w:vAlign w:val="center"/>
          </w:tcPr>
          <w:p w14:paraId="21DBB383" w14:textId="77777777" w:rsidR="00352B91" w:rsidRPr="00C0428D" w:rsidRDefault="00352B91" w:rsidP="00065868">
            <w:pPr>
              <w:jc w:val="both"/>
              <w:rPr>
                <w:rFonts w:asciiTheme="majorBidi" w:hAnsiTheme="majorBidi" w:cstheme="majorBidi"/>
                <w:sz w:val="20"/>
                <w:szCs w:val="20"/>
                <w:lang w:val="en-US" w:eastAsia="en-US"/>
              </w:rPr>
            </w:pPr>
            <w:r w:rsidRPr="00C0428D">
              <w:rPr>
                <w:rFonts w:asciiTheme="majorBidi" w:hAnsiTheme="majorBidi" w:cstheme="majorBidi"/>
                <w:sz w:val="20"/>
                <w:szCs w:val="20"/>
                <w:lang w:val="en-US" w:eastAsia="en-US"/>
              </w:rPr>
              <w:t>0/78 (0.00%)</w:t>
            </w:r>
          </w:p>
        </w:tc>
        <w:tc>
          <w:tcPr>
            <w:tcW w:w="1655" w:type="dxa"/>
            <w:tcMar>
              <w:top w:w="25" w:type="dxa"/>
              <w:left w:w="30" w:type="dxa"/>
              <w:bottom w:w="25" w:type="dxa"/>
              <w:right w:w="30" w:type="dxa"/>
            </w:tcMar>
            <w:vAlign w:val="center"/>
          </w:tcPr>
          <w:p w14:paraId="04827E3D" w14:textId="77777777" w:rsidR="00352B91" w:rsidRPr="00C0428D" w:rsidRDefault="00352B91" w:rsidP="00065868">
            <w:pPr>
              <w:jc w:val="both"/>
              <w:rPr>
                <w:rFonts w:asciiTheme="majorBidi" w:hAnsiTheme="majorBidi" w:cstheme="majorBidi"/>
                <w:sz w:val="20"/>
                <w:szCs w:val="20"/>
                <w:lang w:val="en-US" w:eastAsia="en-US"/>
              </w:rPr>
            </w:pPr>
            <w:r w:rsidRPr="00C0428D">
              <w:rPr>
                <w:rFonts w:asciiTheme="majorBidi" w:hAnsiTheme="majorBidi" w:cstheme="majorBidi"/>
                <w:sz w:val="20"/>
                <w:szCs w:val="20"/>
                <w:lang w:val="en-US" w:eastAsia="en-US"/>
              </w:rPr>
              <w:t>0/78 (0.00%)</w:t>
            </w:r>
          </w:p>
        </w:tc>
      </w:tr>
      <w:tr w:rsidR="00352B91" w:rsidRPr="00C0428D" w14:paraId="381756ED" w14:textId="77777777" w:rsidTr="00C9280C">
        <w:trPr>
          <w:cantSplit/>
          <w:jc w:val="center"/>
        </w:trPr>
        <w:tc>
          <w:tcPr>
            <w:tcW w:w="403" w:type="dxa"/>
            <w:tcMar>
              <w:top w:w="25" w:type="dxa"/>
              <w:left w:w="30" w:type="dxa"/>
              <w:bottom w:w="25" w:type="dxa"/>
              <w:right w:w="30" w:type="dxa"/>
            </w:tcMar>
            <w:vAlign w:val="center"/>
          </w:tcPr>
          <w:p w14:paraId="1143015E" w14:textId="77777777" w:rsidR="00352B91" w:rsidRPr="00C0428D" w:rsidRDefault="00352B91" w:rsidP="00065868">
            <w:pPr>
              <w:jc w:val="both"/>
              <w:rPr>
                <w:rFonts w:asciiTheme="majorBidi" w:hAnsiTheme="majorBidi" w:cstheme="majorBidi"/>
                <w:sz w:val="20"/>
                <w:szCs w:val="20"/>
                <w:lang w:val="en-US" w:eastAsia="en-US"/>
              </w:rPr>
            </w:pPr>
            <w:r w:rsidRPr="00C0428D">
              <w:rPr>
                <w:rFonts w:asciiTheme="majorBidi" w:hAnsiTheme="majorBidi" w:cstheme="majorBidi"/>
                <w:sz w:val="20"/>
                <w:szCs w:val="20"/>
                <w:lang w:val="en-US" w:eastAsia="en-US"/>
              </w:rPr>
              <w:t>5</w:t>
            </w:r>
          </w:p>
        </w:tc>
        <w:tc>
          <w:tcPr>
            <w:tcW w:w="1655" w:type="dxa"/>
            <w:tcMar>
              <w:top w:w="25" w:type="dxa"/>
              <w:left w:w="30" w:type="dxa"/>
              <w:bottom w:w="25" w:type="dxa"/>
              <w:right w:w="30" w:type="dxa"/>
            </w:tcMar>
            <w:vAlign w:val="center"/>
          </w:tcPr>
          <w:p w14:paraId="52982C65" w14:textId="77777777" w:rsidR="00352B91" w:rsidRPr="00C0428D" w:rsidRDefault="00352B91" w:rsidP="00065868">
            <w:pPr>
              <w:jc w:val="both"/>
              <w:rPr>
                <w:rFonts w:asciiTheme="majorBidi" w:hAnsiTheme="majorBidi" w:cstheme="majorBidi"/>
                <w:sz w:val="20"/>
                <w:szCs w:val="20"/>
                <w:lang w:val="en-US" w:eastAsia="en-US"/>
              </w:rPr>
            </w:pPr>
            <w:r w:rsidRPr="00C0428D">
              <w:rPr>
                <w:rFonts w:asciiTheme="majorBidi" w:hAnsiTheme="majorBidi" w:cstheme="majorBidi"/>
                <w:sz w:val="20"/>
                <w:szCs w:val="20"/>
                <w:lang w:val="en-US" w:eastAsia="en-US"/>
              </w:rPr>
              <w:t>5/1287 (0.39%)</w:t>
            </w:r>
          </w:p>
        </w:tc>
        <w:tc>
          <w:tcPr>
            <w:tcW w:w="1655" w:type="dxa"/>
            <w:tcMar>
              <w:top w:w="25" w:type="dxa"/>
              <w:left w:w="30" w:type="dxa"/>
              <w:bottom w:w="25" w:type="dxa"/>
              <w:right w:w="30" w:type="dxa"/>
            </w:tcMar>
            <w:vAlign w:val="center"/>
          </w:tcPr>
          <w:p w14:paraId="32EBEFD7" w14:textId="77777777" w:rsidR="00352B91" w:rsidRPr="00C0428D" w:rsidRDefault="00352B91" w:rsidP="00065868">
            <w:pPr>
              <w:jc w:val="both"/>
              <w:rPr>
                <w:rFonts w:asciiTheme="majorBidi" w:hAnsiTheme="majorBidi" w:cstheme="majorBidi"/>
                <w:sz w:val="20"/>
                <w:szCs w:val="20"/>
                <w:lang w:val="en-US" w:eastAsia="en-US"/>
              </w:rPr>
            </w:pPr>
            <w:r w:rsidRPr="00C0428D">
              <w:rPr>
                <w:rFonts w:asciiTheme="majorBidi" w:hAnsiTheme="majorBidi" w:cstheme="majorBidi"/>
                <w:sz w:val="20"/>
                <w:szCs w:val="20"/>
                <w:lang w:val="en-US" w:eastAsia="en-US"/>
              </w:rPr>
              <w:t>2/1287 (0.16%)</w:t>
            </w:r>
          </w:p>
        </w:tc>
        <w:tc>
          <w:tcPr>
            <w:tcW w:w="403" w:type="dxa"/>
            <w:tcMar>
              <w:top w:w="25" w:type="dxa"/>
              <w:left w:w="30" w:type="dxa"/>
              <w:bottom w:w="25" w:type="dxa"/>
              <w:right w:w="30" w:type="dxa"/>
            </w:tcMar>
            <w:vAlign w:val="center"/>
          </w:tcPr>
          <w:p w14:paraId="205CDA15" w14:textId="77777777" w:rsidR="00352B91" w:rsidRPr="00C0428D" w:rsidRDefault="00352B91" w:rsidP="00065868">
            <w:pPr>
              <w:jc w:val="both"/>
              <w:rPr>
                <w:rFonts w:asciiTheme="majorBidi" w:hAnsiTheme="majorBidi" w:cstheme="majorBidi"/>
                <w:sz w:val="20"/>
                <w:szCs w:val="20"/>
                <w:lang w:val="en-US" w:eastAsia="en-US"/>
              </w:rPr>
            </w:pPr>
            <w:r w:rsidRPr="00C0428D">
              <w:rPr>
                <w:rFonts w:asciiTheme="majorBidi" w:hAnsiTheme="majorBidi" w:cstheme="majorBidi"/>
                <w:sz w:val="20"/>
                <w:szCs w:val="20"/>
                <w:lang w:val="en-US" w:eastAsia="en-US"/>
              </w:rPr>
              <w:t>12</w:t>
            </w:r>
          </w:p>
        </w:tc>
        <w:tc>
          <w:tcPr>
            <w:tcW w:w="1655" w:type="dxa"/>
            <w:tcMar>
              <w:top w:w="25" w:type="dxa"/>
              <w:left w:w="30" w:type="dxa"/>
              <w:bottom w:w="25" w:type="dxa"/>
              <w:right w:w="30" w:type="dxa"/>
            </w:tcMar>
            <w:vAlign w:val="center"/>
          </w:tcPr>
          <w:p w14:paraId="25271C57" w14:textId="77777777" w:rsidR="00352B91" w:rsidRPr="00C0428D" w:rsidRDefault="00352B91" w:rsidP="00065868">
            <w:pPr>
              <w:jc w:val="both"/>
              <w:rPr>
                <w:rFonts w:asciiTheme="majorBidi" w:hAnsiTheme="majorBidi" w:cstheme="majorBidi"/>
                <w:sz w:val="20"/>
                <w:szCs w:val="20"/>
                <w:lang w:val="en-US" w:eastAsia="en-US"/>
              </w:rPr>
            </w:pPr>
            <w:r w:rsidRPr="00C0428D">
              <w:rPr>
                <w:rFonts w:asciiTheme="majorBidi" w:hAnsiTheme="majorBidi" w:cstheme="majorBidi"/>
                <w:sz w:val="20"/>
                <w:szCs w:val="20"/>
                <w:lang w:val="en-US" w:eastAsia="en-US"/>
              </w:rPr>
              <w:t>0/13 (0.00%)</w:t>
            </w:r>
          </w:p>
        </w:tc>
        <w:tc>
          <w:tcPr>
            <w:tcW w:w="1655" w:type="dxa"/>
            <w:tcMar>
              <w:top w:w="25" w:type="dxa"/>
              <w:left w:w="30" w:type="dxa"/>
              <w:bottom w:w="25" w:type="dxa"/>
              <w:right w:w="30" w:type="dxa"/>
            </w:tcMar>
            <w:vAlign w:val="center"/>
          </w:tcPr>
          <w:p w14:paraId="6876FEBC" w14:textId="77777777" w:rsidR="00352B91" w:rsidRPr="00C0428D" w:rsidRDefault="00352B91" w:rsidP="00065868">
            <w:pPr>
              <w:jc w:val="both"/>
              <w:rPr>
                <w:rFonts w:asciiTheme="majorBidi" w:hAnsiTheme="majorBidi" w:cstheme="majorBidi"/>
                <w:sz w:val="20"/>
                <w:szCs w:val="20"/>
                <w:lang w:val="en-US" w:eastAsia="en-US"/>
              </w:rPr>
            </w:pPr>
            <w:r w:rsidRPr="00C0428D">
              <w:rPr>
                <w:rFonts w:asciiTheme="majorBidi" w:hAnsiTheme="majorBidi" w:cstheme="majorBidi"/>
                <w:sz w:val="20"/>
                <w:szCs w:val="20"/>
                <w:lang w:val="en-US" w:eastAsia="en-US"/>
              </w:rPr>
              <w:t>0/13 (0.00%)</w:t>
            </w:r>
          </w:p>
        </w:tc>
      </w:tr>
      <w:tr w:rsidR="00352B91" w:rsidRPr="00C0428D" w14:paraId="104A5593" w14:textId="77777777" w:rsidTr="00C9280C">
        <w:trPr>
          <w:cantSplit/>
          <w:jc w:val="center"/>
        </w:trPr>
        <w:tc>
          <w:tcPr>
            <w:tcW w:w="403" w:type="dxa"/>
            <w:tcMar>
              <w:top w:w="25" w:type="dxa"/>
              <w:left w:w="30" w:type="dxa"/>
              <w:bottom w:w="25" w:type="dxa"/>
              <w:right w:w="30" w:type="dxa"/>
            </w:tcMar>
            <w:vAlign w:val="center"/>
          </w:tcPr>
          <w:p w14:paraId="726E99C3" w14:textId="77777777" w:rsidR="00352B91" w:rsidRPr="00C0428D" w:rsidRDefault="00352B91" w:rsidP="00065868">
            <w:pPr>
              <w:jc w:val="both"/>
              <w:rPr>
                <w:rFonts w:asciiTheme="majorBidi" w:hAnsiTheme="majorBidi" w:cstheme="majorBidi"/>
                <w:sz w:val="20"/>
                <w:szCs w:val="20"/>
                <w:lang w:val="en-US" w:eastAsia="en-US"/>
              </w:rPr>
            </w:pPr>
            <w:r w:rsidRPr="00C0428D">
              <w:rPr>
                <w:rFonts w:asciiTheme="majorBidi" w:hAnsiTheme="majorBidi" w:cstheme="majorBidi"/>
                <w:sz w:val="20"/>
                <w:szCs w:val="20"/>
                <w:lang w:val="en-US" w:eastAsia="en-US"/>
              </w:rPr>
              <w:t>6</w:t>
            </w:r>
          </w:p>
        </w:tc>
        <w:tc>
          <w:tcPr>
            <w:tcW w:w="1655" w:type="dxa"/>
            <w:tcMar>
              <w:top w:w="25" w:type="dxa"/>
              <w:left w:w="30" w:type="dxa"/>
              <w:bottom w:w="25" w:type="dxa"/>
              <w:right w:w="30" w:type="dxa"/>
            </w:tcMar>
            <w:vAlign w:val="center"/>
          </w:tcPr>
          <w:p w14:paraId="180DBB9D" w14:textId="77777777" w:rsidR="00352B91" w:rsidRPr="00C0428D" w:rsidRDefault="00352B91" w:rsidP="00065868">
            <w:pPr>
              <w:jc w:val="both"/>
              <w:rPr>
                <w:rFonts w:asciiTheme="majorBidi" w:hAnsiTheme="majorBidi" w:cstheme="majorBidi"/>
                <w:sz w:val="20"/>
                <w:szCs w:val="20"/>
                <w:lang w:val="en-US" w:eastAsia="en-US"/>
              </w:rPr>
            </w:pPr>
            <w:r w:rsidRPr="00C0428D">
              <w:rPr>
                <w:rFonts w:asciiTheme="majorBidi" w:hAnsiTheme="majorBidi" w:cstheme="majorBidi"/>
                <w:sz w:val="20"/>
                <w:szCs w:val="20"/>
                <w:lang w:val="en-US" w:eastAsia="en-US"/>
              </w:rPr>
              <w:t>1/1716 (0.06%)</w:t>
            </w:r>
          </w:p>
        </w:tc>
        <w:tc>
          <w:tcPr>
            <w:tcW w:w="1655" w:type="dxa"/>
            <w:tcMar>
              <w:top w:w="25" w:type="dxa"/>
              <w:left w:w="30" w:type="dxa"/>
              <w:bottom w:w="25" w:type="dxa"/>
              <w:right w:w="30" w:type="dxa"/>
            </w:tcMar>
            <w:vAlign w:val="center"/>
          </w:tcPr>
          <w:p w14:paraId="61E32D8E" w14:textId="77777777" w:rsidR="00352B91" w:rsidRPr="00C0428D" w:rsidRDefault="00352B91" w:rsidP="00065868">
            <w:pPr>
              <w:jc w:val="both"/>
              <w:rPr>
                <w:rFonts w:asciiTheme="majorBidi" w:hAnsiTheme="majorBidi" w:cstheme="majorBidi"/>
                <w:sz w:val="20"/>
                <w:szCs w:val="20"/>
                <w:lang w:val="en-US" w:eastAsia="en-US"/>
              </w:rPr>
            </w:pPr>
            <w:r w:rsidRPr="00C0428D">
              <w:rPr>
                <w:rFonts w:asciiTheme="majorBidi" w:hAnsiTheme="majorBidi" w:cstheme="majorBidi"/>
                <w:sz w:val="20"/>
                <w:szCs w:val="20"/>
                <w:lang w:val="en-US" w:eastAsia="en-US"/>
              </w:rPr>
              <w:t>2/1716 (0.12%)</w:t>
            </w:r>
          </w:p>
        </w:tc>
        <w:tc>
          <w:tcPr>
            <w:tcW w:w="403" w:type="dxa"/>
            <w:tcMar>
              <w:top w:w="25" w:type="dxa"/>
              <w:left w:w="30" w:type="dxa"/>
              <w:bottom w:w="25" w:type="dxa"/>
              <w:right w:w="30" w:type="dxa"/>
            </w:tcMar>
            <w:vAlign w:val="center"/>
          </w:tcPr>
          <w:p w14:paraId="63579147" w14:textId="77777777" w:rsidR="00352B91" w:rsidRPr="00C0428D" w:rsidRDefault="00352B91" w:rsidP="00065868">
            <w:pPr>
              <w:jc w:val="both"/>
              <w:rPr>
                <w:rFonts w:asciiTheme="majorBidi" w:hAnsiTheme="majorBidi" w:cstheme="majorBidi"/>
                <w:sz w:val="20"/>
                <w:szCs w:val="20"/>
                <w:lang w:val="en-US" w:eastAsia="en-US"/>
              </w:rPr>
            </w:pPr>
            <w:r w:rsidRPr="00C0428D">
              <w:rPr>
                <w:rFonts w:asciiTheme="majorBidi" w:hAnsiTheme="majorBidi" w:cstheme="majorBidi"/>
                <w:sz w:val="20"/>
                <w:szCs w:val="20"/>
                <w:lang w:val="en-US" w:eastAsia="en-US"/>
              </w:rPr>
              <w:t>13</w:t>
            </w:r>
          </w:p>
        </w:tc>
        <w:tc>
          <w:tcPr>
            <w:tcW w:w="1655" w:type="dxa"/>
            <w:tcMar>
              <w:top w:w="25" w:type="dxa"/>
              <w:left w:w="30" w:type="dxa"/>
              <w:bottom w:w="25" w:type="dxa"/>
              <w:right w:w="30" w:type="dxa"/>
            </w:tcMar>
            <w:vAlign w:val="center"/>
          </w:tcPr>
          <w:p w14:paraId="316D31D4" w14:textId="77777777" w:rsidR="00352B91" w:rsidRPr="00C0428D" w:rsidRDefault="00352B91" w:rsidP="00065868">
            <w:pPr>
              <w:jc w:val="both"/>
              <w:rPr>
                <w:rFonts w:asciiTheme="majorBidi" w:hAnsiTheme="majorBidi" w:cstheme="majorBidi"/>
                <w:sz w:val="20"/>
                <w:szCs w:val="20"/>
                <w:lang w:val="en-US" w:eastAsia="en-US"/>
              </w:rPr>
            </w:pPr>
            <w:r w:rsidRPr="00C0428D">
              <w:rPr>
                <w:rFonts w:asciiTheme="majorBidi" w:hAnsiTheme="majorBidi" w:cstheme="majorBidi"/>
                <w:sz w:val="20"/>
                <w:szCs w:val="20"/>
                <w:lang w:val="en-US" w:eastAsia="en-US"/>
              </w:rPr>
              <w:t>0/1 (0.00%)</w:t>
            </w:r>
          </w:p>
        </w:tc>
        <w:tc>
          <w:tcPr>
            <w:tcW w:w="1655" w:type="dxa"/>
            <w:tcMar>
              <w:top w:w="25" w:type="dxa"/>
              <w:left w:w="30" w:type="dxa"/>
              <w:bottom w:w="25" w:type="dxa"/>
              <w:right w:w="30" w:type="dxa"/>
            </w:tcMar>
            <w:vAlign w:val="center"/>
          </w:tcPr>
          <w:p w14:paraId="451D4E1C" w14:textId="77777777" w:rsidR="00352B91" w:rsidRPr="00C0428D" w:rsidRDefault="00352B91" w:rsidP="00065868">
            <w:pPr>
              <w:jc w:val="both"/>
              <w:rPr>
                <w:rFonts w:asciiTheme="majorBidi" w:hAnsiTheme="majorBidi" w:cstheme="majorBidi"/>
                <w:sz w:val="20"/>
                <w:szCs w:val="20"/>
                <w:lang w:val="en-US" w:eastAsia="en-US"/>
              </w:rPr>
            </w:pPr>
            <w:r w:rsidRPr="00C0428D">
              <w:rPr>
                <w:rFonts w:asciiTheme="majorBidi" w:hAnsiTheme="majorBidi" w:cstheme="majorBidi"/>
                <w:sz w:val="20"/>
                <w:szCs w:val="20"/>
                <w:lang w:val="en-US" w:eastAsia="en-US"/>
              </w:rPr>
              <w:t>0/1 (0.00%)</w:t>
            </w:r>
          </w:p>
        </w:tc>
      </w:tr>
      <w:tr w:rsidR="00352B91" w:rsidRPr="00C0428D" w14:paraId="749F036A" w14:textId="77777777" w:rsidTr="00C9280C">
        <w:trPr>
          <w:cantSplit/>
          <w:jc w:val="center"/>
        </w:trPr>
        <w:tc>
          <w:tcPr>
            <w:tcW w:w="403" w:type="dxa"/>
            <w:tcMar>
              <w:top w:w="25" w:type="dxa"/>
              <w:left w:w="30" w:type="dxa"/>
              <w:bottom w:w="25" w:type="dxa"/>
              <w:right w:w="30" w:type="dxa"/>
            </w:tcMar>
            <w:vAlign w:val="center"/>
          </w:tcPr>
          <w:p w14:paraId="0EC1B43C" w14:textId="77777777" w:rsidR="00352B91" w:rsidRPr="00C0428D" w:rsidRDefault="00352B91" w:rsidP="00065868">
            <w:pPr>
              <w:jc w:val="both"/>
              <w:rPr>
                <w:rFonts w:asciiTheme="majorBidi" w:hAnsiTheme="majorBidi" w:cstheme="majorBidi"/>
                <w:sz w:val="20"/>
                <w:szCs w:val="20"/>
                <w:lang w:val="en-US" w:eastAsia="en-US"/>
              </w:rPr>
            </w:pPr>
            <w:r w:rsidRPr="00C0428D">
              <w:rPr>
                <w:rFonts w:asciiTheme="majorBidi" w:hAnsiTheme="majorBidi" w:cstheme="majorBidi"/>
                <w:sz w:val="20"/>
                <w:szCs w:val="20"/>
                <w:lang w:val="en-US" w:eastAsia="en-US"/>
              </w:rPr>
              <w:t>7</w:t>
            </w:r>
          </w:p>
        </w:tc>
        <w:tc>
          <w:tcPr>
            <w:tcW w:w="1655" w:type="dxa"/>
            <w:tcMar>
              <w:top w:w="25" w:type="dxa"/>
              <w:left w:w="30" w:type="dxa"/>
              <w:bottom w:w="25" w:type="dxa"/>
              <w:right w:w="30" w:type="dxa"/>
            </w:tcMar>
            <w:vAlign w:val="center"/>
          </w:tcPr>
          <w:p w14:paraId="382C0E61" w14:textId="77777777" w:rsidR="00352B91" w:rsidRPr="00C0428D" w:rsidRDefault="00352B91" w:rsidP="00065868">
            <w:pPr>
              <w:jc w:val="both"/>
              <w:rPr>
                <w:rFonts w:asciiTheme="majorBidi" w:hAnsiTheme="majorBidi" w:cstheme="majorBidi"/>
                <w:sz w:val="20"/>
                <w:szCs w:val="20"/>
                <w:lang w:val="en-US" w:eastAsia="en-US"/>
              </w:rPr>
            </w:pPr>
            <w:r w:rsidRPr="00C0428D">
              <w:rPr>
                <w:rFonts w:asciiTheme="majorBidi" w:hAnsiTheme="majorBidi" w:cstheme="majorBidi"/>
                <w:sz w:val="20"/>
                <w:szCs w:val="20"/>
                <w:lang w:val="en-US" w:eastAsia="en-US"/>
              </w:rPr>
              <w:t>1/1716 (0.06%)</w:t>
            </w:r>
          </w:p>
        </w:tc>
        <w:tc>
          <w:tcPr>
            <w:tcW w:w="1655" w:type="dxa"/>
            <w:tcMar>
              <w:top w:w="25" w:type="dxa"/>
              <w:left w:w="30" w:type="dxa"/>
              <w:bottom w:w="25" w:type="dxa"/>
              <w:right w:w="30" w:type="dxa"/>
            </w:tcMar>
            <w:vAlign w:val="center"/>
          </w:tcPr>
          <w:p w14:paraId="0D307C01" w14:textId="77777777" w:rsidR="00352B91" w:rsidRPr="00C0428D" w:rsidRDefault="00352B91" w:rsidP="00065868">
            <w:pPr>
              <w:jc w:val="both"/>
              <w:rPr>
                <w:rFonts w:asciiTheme="majorBidi" w:hAnsiTheme="majorBidi" w:cstheme="majorBidi"/>
                <w:sz w:val="20"/>
                <w:szCs w:val="20"/>
                <w:lang w:val="en-US" w:eastAsia="en-US"/>
              </w:rPr>
            </w:pPr>
            <w:r w:rsidRPr="00C0428D">
              <w:rPr>
                <w:rFonts w:asciiTheme="majorBidi" w:hAnsiTheme="majorBidi" w:cstheme="majorBidi"/>
                <w:sz w:val="20"/>
                <w:szCs w:val="20"/>
                <w:lang w:val="en-US" w:eastAsia="en-US"/>
              </w:rPr>
              <w:t>0/1716 (0.00%)</w:t>
            </w:r>
          </w:p>
        </w:tc>
        <w:tc>
          <w:tcPr>
            <w:tcW w:w="403" w:type="dxa"/>
            <w:tcMar>
              <w:top w:w="25" w:type="dxa"/>
              <w:left w:w="30" w:type="dxa"/>
              <w:bottom w:w="25" w:type="dxa"/>
              <w:right w:w="30" w:type="dxa"/>
            </w:tcMar>
            <w:vAlign w:val="center"/>
          </w:tcPr>
          <w:p w14:paraId="1811E0E6" w14:textId="77777777" w:rsidR="00352B91" w:rsidRPr="00C0428D" w:rsidRDefault="00352B91" w:rsidP="00065868">
            <w:pPr>
              <w:jc w:val="both"/>
              <w:rPr>
                <w:rFonts w:asciiTheme="majorBidi" w:hAnsiTheme="majorBidi" w:cstheme="majorBidi"/>
                <w:sz w:val="20"/>
                <w:szCs w:val="20"/>
                <w:lang w:val="en-US" w:eastAsia="en-US"/>
              </w:rPr>
            </w:pPr>
          </w:p>
        </w:tc>
        <w:tc>
          <w:tcPr>
            <w:tcW w:w="1655" w:type="dxa"/>
            <w:tcMar>
              <w:top w:w="25" w:type="dxa"/>
              <w:left w:w="30" w:type="dxa"/>
              <w:bottom w:w="25" w:type="dxa"/>
              <w:right w:w="30" w:type="dxa"/>
            </w:tcMar>
            <w:vAlign w:val="center"/>
          </w:tcPr>
          <w:p w14:paraId="00ED8351" w14:textId="77777777" w:rsidR="00352B91" w:rsidRPr="00C0428D" w:rsidRDefault="00352B91" w:rsidP="00065868">
            <w:pPr>
              <w:jc w:val="both"/>
              <w:rPr>
                <w:rFonts w:asciiTheme="majorBidi" w:hAnsiTheme="majorBidi" w:cstheme="majorBidi"/>
                <w:sz w:val="20"/>
                <w:szCs w:val="20"/>
                <w:lang w:val="en-US" w:eastAsia="en-US"/>
              </w:rPr>
            </w:pPr>
          </w:p>
        </w:tc>
        <w:tc>
          <w:tcPr>
            <w:tcW w:w="1655" w:type="dxa"/>
            <w:tcMar>
              <w:top w:w="25" w:type="dxa"/>
              <w:left w:w="30" w:type="dxa"/>
              <w:bottom w:w="25" w:type="dxa"/>
              <w:right w:w="30" w:type="dxa"/>
            </w:tcMar>
            <w:vAlign w:val="center"/>
          </w:tcPr>
          <w:p w14:paraId="32D370E6" w14:textId="77777777" w:rsidR="00352B91" w:rsidRPr="00C0428D" w:rsidRDefault="00352B91" w:rsidP="00065868">
            <w:pPr>
              <w:jc w:val="both"/>
              <w:rPr>
                <w:rFonts w:asciiTheme="majorBidi" w:hAnsiTheme="majorBidi" w:cstheme="majorBidi"/>
                <w:sz w:val="20"/>
                <w:szCs w:val="20"/>
                <w:lang w:val="en-US" w:eastAsia="en-US"/>
              </w:rPr>
            </w:pPr>
          </w:p>
        </w:tc>
      </w:tr>
    </w:tbl>
    <w:p w14:paraId="1352F960" w14:textId="77777777" w:rsidR="00352B91" w:rsidRPr="00C0428D" w:rsidRDefault="00352B91" w:rsidP="00065868">
      <w:pPr>
        <w:spacing w:after="60"/>
        <w:jc w:val="both"/>
        <w:rPr>
          <w:rFonts w:cs="Arial"/>
          <w:sz w:val="20"/>
          <w:szCs w:val="22"/>
          <w:lang w:val="en-US" w:eastAsia="en-US"/>
        </w:rPr>
      </w:pPr>
    </w:p>
    <w:p w14:paraId="7444CD74" w14:textId="77777777" w:rsidR="000C0A20" w:rsidRPr="00C0428D" w:rsidRDefault="00352B91" w:rsidP="000C0A20">
      <w:pPr>
        <w:spacing w:after="60"/>
        <w:jc w:val="both"/>
        <w:rPr>
          <w:rFonts w:cs="Arial"/>
          <w:sz w:val="20"/>
          <w:szCs w:val="22"/>
          <w:lang w:val="en-US" w:eastAsia="en-US"/>
        </w:rPr>
      </w:pPr>
      <w:r w:rsidRPr="00C0428D">
        <w:rPr>
          <w:rFonts w:cs="Arial"/>
          <w:sz w:val="20"/>
          <w:szCs w:val="22"/>
          <w:lang w:val="en-US" w:eastAsia="en-US"/>
        </w:rPr>
        <w:t xml:space="preserve">The results </w:t>
      </w:r>
      <w:r w:rsidR="00FB4B6E" w:rsidRPr="00C0428D">
        <w:rPr>
          <w:rFonts w:cs="Arial"/>
          <w:sz w:val="20"/>
          <w:szCs w:val="22"/>
          <w:lang w:val="en-US" w:eastAsia="en-US"/>
        </w:rPr>
        <w:t>confirm</w:t>
      </w:r>
      <w:r w:rsidRPr="00C0428D">
        <w:rPr>
          <w:rFonts w:cs="Arial"/>
          <w:sz w:val="20"/>
          <w:szCs w:val="22"/>
          <w:lang w:val="en-US" w:eastAsia="en-US"/>
        </w:rPr>
        <w:t xml:space="preserve"> the pattern seen in the </w:t>
      </w:r>
      <w:proofErr w:type="gramStart"/>
      <w:r w:rsidRPr="00C0428D">
        <w:rPr>
          <w:rFonts w:cs="Arial"/>
          <w:sz w:val="20"/>
          <w:szCs w:val="22"/>
          <w:lang w:val="en-US" w:eastAsia="en-US"/>
        </w:rPr>
        <w:t>median</w:t>
      </w:r>
      <w:proofErr w:type="gramEnd"/>
      <w:r w:rsidRPr="00C0428D">
        <w:rPr>
          <w:rFonts w:cs="Arial"/>
          <w:sz w:val="20"/>
          <w:szCs w:val="22"/>
          <w:lang w:val="en-US" w:eastAsia="en-US"/>
        </w:rPr>
        <w:t xml:space="preserve"> and IQR analysis. For GHI, 7 of the 78 two-station pairs (8.97%) are non-improving; this falls below 1% at three stations and reaches zero from eight stations onward. For DNI, 26 of 78 pairs (33.33%) are non-improving, compared with 3.15% at three stations, less than 0.3% from four to six stations, and zero from seven stations onward. </w:t>
      </w:r>
      <w:r w:rsidR="000C0A20" w:rsidRPr="00C0428D">
        <w:rPr>
          <w:rFonts w:cs="Arial"/>
          <w:sz w:val="20"/>
          <w:szCs w:val="22"/>
          <w:lang w:val="en-US" w:eastAsia="en-US"/>
        </w:rPr>
        <w:t xml:space="preserve">Beyond this point, expanding the network to all thirteen stations has little additional effect on reducing </w:t>
      </w:r>
      <w:proofErr w:type="spellStart"/>
      <w:r w:rsidR="000C0A20" w:rsidRPr="00C0428D">
        <w:rPr>
          <w:rFonts w:cs="Arial"/>
          <w:sz w:val="20"/>
          <w:szCs w:val="22"/>
          <w:lang w:val="en-US" w:eastAsia="en-US"/>
        </w:rPr>
        <w:t>rRMSE</w:t>
      </w:r>
      <w:proofErr w:type="spellEnd"/>
      <w:r w:rsidR="000C0A20" w:rsidRPr="00C0428D">
        <w:rPr>
          <w:rFonts w:cs="Arial"/>
          <w:sz w:val="20"/>
          <w:szCs w:val="22"/>
          <w:lang w:val="en-US" w:eastAsia="en-US"/>
        </w:rPr>
        <w:t>.</w:t>
      </w:r>
    </w:p>
    <w:p w14:paraId="283E41DC" w14:textId="0E8AD6DA" w:rsidR="00352B91" w:rsidRPr="00C0428D" w:rsidRDefault="00352B91" w:rsidP="000C0A20">
      <w:pPr>
        <w:spacing w:after="60"/>
        <w:jc w:val="both"/>
        <w:rPr>
          <w:rFonts w:cs="Arial"/>
          <w:sz w:val="20"/>
          <w:szCs w:val="22"/>
          <w:lang w:val="en-US" w:eastAsia="en-US"/>
        </w:rPr>
      </w:pPr>
    </w:p>
    <w:p w14:paraId="138F6DCB" w14:textId="0B07CA49" w:rsidR="00493D65" w:rsidRPr="00C0428D" w:rsidRDefault="00493D65" w:rsidP="00065868">
      <w:pPr>
        <w:keepNext/>
        <w:keepLines/>
        <w:spacing w:before="160" w:after="80" w:line="276" w:lineRule="auto"/>
        <w:jc w:val="both"/>
        <w:outlineLvl w:val="1"/>
        <w:rPr>
          <w:rFonts w:ascii="Arial" w:hAnsi="Arial"/>
          <w:i/>
          <w:sz w:val="20"/>
          <w:szCs w:val="22"/>
          <w:lang w:val="en-US"/>
        </w:rPr>
      </w:pPr>
      <w:r w:rsidRPr="00C0428D">
        <w:rPr>
          <w:rFonts w:ascii="Arial" w:hAnsi="Arial"/>
          <w:i/>
          <w:sz w:val="20"/>
          <w:szCs w:val="22"/>
          <w:lang w:val="en-US"/>
        </w:rPr>
        <w:t xml:space="preserve">3.3. Change in </w:t>
      </w:r>
      <w:r w:rsidR="00D950FF">
        <w:rPr>
          <w:rFonts w:ascii="Arial" w:hAnsi="Arial"/>
          <w:i/>
          <w:sz w:val="20"/>
          <w:szCs w:val="22"/>
          <w:lang w:val="en-US"/>
        </w:rPr>
        <w:t>median</w:t>
      </w:r>
      <w:r w:rsidRPr="00C0428D">
        <w:rPr>
          <w:rFonts w:ascii="Arial" w:hAnsi="Arial"/>
          <w:i/>
          <w:sz w:val="20"/>
          <w:szCs w:val="22"/>
          <w:lang w:val="en-US"/>
        </w:rPr>
        <w:t xml:space="preserve"> error with network size</w:t>
      </w:r>
    </w:p>
    <w:p w14:paraId="0073B3CE" w14:textId="77777777" w:rsidR="00493D65" w:rsidRPr="00C0428D" w:rsidRDefault="00493D65" w:rsidP="00065868">
      <w:pPr>
        <w:spacing w:before="40" w:after="20"/>
        <w:jc w:val="both"/>
        <w:rPr>
          <w:rFonts w:cs="Arial"/>
          <w:sz w:val="20"/>
          <w:szCs w:val="22"/>
          <w:lang w:val="en-US" w:eastAsia="en-US"/>
        </w:rPr>
      </w:pPr>
      <w:r w:rsidRPr="00C0428D">
        <w:rPr>
          <w:rFonts w:cs="Arial"/>
          <w:sz w:val="20"/>
          <w:szCs w:val="22"/>
          <w:lang w:val="en-US" w:eastAsia="en-US"/>
        </w:rPr>
        <w:t xml:space="preserve">To examine more directly how the typical error changes as the network grows, Figure 3 shows the change in median </w:t>
      </w:r>
      <w:proofErr w:type="spellStart"/>
      <w:r w:rsidRPr="00C0428D">
        <w:rPr>
          <w:rFonts w:cs="Arial"/>
          <w:sz w:val="20"/>
          <w:szCs w:val="22"/>
          <w:lang w:val="en-US" w:eastAsia="en-US"/>
        </w:rPr>
        <w:t>rRMSE</w:t>
      </w:r>
      <w:proofErr w:type="spellEnd"/>
      <w:r w:rsidRPr="00C0428D">
        <w:rPr>
          <w:rFonts w:cs="Arial"/>
          <w:sz w:val="20"/>
          <w:szCs w:val="22"/>
          <w:lang w:val="en-US" w:eastAsia="en-US"/>
        </w:rPr>
        <w:t xml:space="preserve"> between successive network sizes, calculated using Equation 2. Positive values indicate a lower median error at the larger network size, while negative values indicate a higher median error. The comparison is based on the median performance across all configurations at each network size and therefore does not represent the effect of adding a particular station to a specific network.</w:t>
      </w:r>
    </w:p>
    <w:p w14:paraId="71C59C02" w14:textId="77777777" w:rsidR="00493D65" w:rsidRPr="00C0428D" w:rsidRDefault="00493D65" w:rsidP="00065868">
      <w:pPr>
        <w:spacing w:before="40" w:after="20"/>
        <w:jc w:val="both"/>
        <w:rPr>
          <w:rFonts w:cs="Arial"/>
          <w:sz w:val="20"/>
          <w:szCs w:val="22"/>
          <w:lang w:val="en-US" w:eastAsia="en-US"/>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7"/>
        <w:gridCol w:w="4537"/>
      </w:tblGrid>
      <w:tr w:rsidR="00493D65" w:rsidRPr="00C0428D" w14:paraId="0435AD8D" w14:textId="77777777" w:rsidTr="00C9280C">
        <w:tc>
          <w:tcPr>
            <w:tcW w:w="4377" w:type="dxa"/>
          </w:tcPr>
          <w:p w14:paraId="44FEDF14" w14:textId="6FA6862D" w:rsidR="00493D65" w:rsidRPr="00C0428D" w:rsidRDefault="006F1475" w:rsidP="00065868">
            <w:pPr>
              <w:spacing w:before="40" w:after="20"/>
              <w:jc w:val="both"/>
              <w:rPr>
                <w:sz w:val="20"/>
                <w:szCs w:val="22"/>
                <w:highlight w:val="yellow"/>
                <w:lang w:val="en-US" w:eastAsia="en-US"/>
              </w:rPr>
            </w:pPr>
            <w:r w:rsidRPr="00C0428D">
              <w:rPr>
                <w:noProof/>
                <w:sz w:val="20"/>
                <w:szCs w:val="22"/>
                <w:lang w:val="en-US" w:eastAsia="en-US"/>
              </w:rPr>
              <w:drawing>
                <wp:inline distT="0" distB="0" distL="0" distR="0" wp14:anchorId="6276722B" wp14:editId="08BFE44B">
                  <wp:extent cx="2824222" cy="1737360"/>
                  <wp:effectExtent l="0" t="0" r="0" b="0"/>
                  <wp:docPr id="76570972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709723" name="Picture 765709723"/>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824222" cy="1737360"/>
                          </a:xfrm>
                          <a:prstGeom prst="rect">
                            <a:avLst/>
                          </a:prstGeom>
                        </pic:spPr>
                      </pic:pic>
                    </a:graphicData>
                  </a:graphic>
                </wp:inline>
              </w:drawing>
            </w:r>
          </w:p>
        </w:tc>
        <w:tc>
          <w:tcPr>
            <w:tcW w:w="4378" w:type="dxa"/>
          </w:tcPr>
          <w:p w14:paraId="00C0EC4B" w14:textId="55A97040" w:rsidR="00493D65" w:rsidRPr="00C0428D" w:rsidRDefault="006F1475" w:rsidP="00065868">
            <w:pPr>
              <w:spacing w:before="40" w:after="20"/>
              <w:jc w:val="both"/>
              <w:rPr>
                <w:sz w:val="20"/>
                <w:szCs w:val="22"/>
                <w:highlight w:val="yellow"/>
                <w:lang w:val="en-US" w:eastAsia="en-US"/>
              </w:rPr>
            </w:pPr>
            <w:r w:rsidRPr="00C0428D">
              <w:rPr>
                <w:noProof/>
                <w:sz w:val="20"/>
                <w:szCs w:val="22"/>
                <w:lang w:val="en-US" w:eastAsia="en-US"/>
              </w:rPr>
              <w:drawing>
                <wp:inline distT="0" distB="0" distL="0" distR="0" wp14:anchorId="60443398" wp14:editId="5CF04625">
                  <wp:extent cx="2824222" cy="1737360"/>
                  <wp:effectExtent l="0" t="0" r="0" b="0"/>
                  <wp:docPr id="64733123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331232" name="Picture 64733123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824222" cy="1737360"/>
                          </a:xfrm>
                          <a:prstGeom prst="rect">
                            <a:avLst/>
                          </a:prstGeom>
                        </pic:spPr>
                      </pic:pic>
                    </a:graphicData>
                  </a:graphic>
                </wp:inline>
              </w:drawing>
            </w:r>
          </w:p>
        </w:tc>
      </w:tr>
    </w:tbl>
    <w:p w14:paraId="1A4FA576" w14:textId="77777777" w:rsidR="00493D65" w:rsidRPr="00C0428D" w:rsidRDefault="00493D65" w:rsidP="00065868">
      <w:pPr>
        <w:spacing w:before="40" w:after="20"/>
        <w:jc w:val="both"/>
        <w:rPr>
          <w:rFonts w:cs="Arial"/>
          <w:sz w:val="20"/>
          <w:szCs w:val="22"/>
          <w:lang w:val="en-US" w:eastAsia="en-US"/>
        </w:rPr>
      </w:pPr>
    </w:p>
    <w:p w14:paraId="7C8B576B" w14:textId="36A90ACB" w:rsidR="00493D65" w:rsidRPr="00C0428D" w:rsidRDefault="00493D65" w:rsidP="00F2658B">
      <w:pPr>
        <w:spacing w:before="20" w:after="100"/>
        <w:jc w:val="center"/>
        <w:rPr>
          <w:b/>
          <w:sz w:val="16"/>
          <w:szCs w:val="20"/>
          <w:lang w:val="en-US"/>
        </w:rPr>
      </w:pPr>
      <w:r w:rsidRPr="00C0428D">
        <w:rPr>
          <w:b/>
          <w:sz w:val="16"/>
          <w:szCs w:val="20"/>
          <w:lang w:val="en-US"/>
        </w:rPr>
        <w:t xml:space="preserve">Fig. </w:t>
      </w:r>
      <w:r w:rsidR="0068206F" w:rsidRPr="00C0428D">
        <w:rPr>
          <w:b/>
          <w:sz w:val="16"/>
          <w:szCs w:val="20"/>
          <w:lang w:val="en-US"/>
        </w:rPr>
        <w:t>4</w:t>
      </w:r>
      <w:r w:rsidRPr="00C0428D">
        <w:rPr>
          <w:b/>
          <w:sz w:val="16"/>
          <w:szCs w:val="20"/>
          <w:lang w:val="en-US"/>
        </w:rPr>
        <w:t xml:space="preserve">: Change in median FFNN </w:t>
      </w:r>
      <w:proofErr w:type="spellStart"/>
      <w:r w:rsidRPr="00C0428D">
        <w:rPr>
          <w:b/>
          <w:sz w:val="16"/>
          <w:szCs w:val="20"/>
          <w:lang w:val="en-US"/>
        </w:rPr>
        <w:t>rRMSE</w:t>
      </w:r>
      <w:proofErr w:type="spellEnd"/>
      <w:r w:rsidRPr="00C0428D">
        <w:rPr>
          <w:b/>
          <w:sz w:val="16"/>
          <w:szCs w:val="20"/>
          <w:lang w:val="en-US"/>
        </w:rPr>
        <w:t xml:space="preserve"> between successive calibration-network sizes for GHI </w:t>
      </w:r>
      <w:r w:rsidR="00145ED6" w:rsidRPr="00C0428D">
        <w:rPr>
          <w:b/>
          <w:sz w:val="16"/>
          <w:szCs w:val="20"/>
          <w:lang w:val="en-US"/>
        </w:rPr>
        <w:t xml:space="preserve">(left) </w:t>
      </w:r>
      <w:r w:rsidRPr="00C0428D">
        <w:rPr>
          <w:b/>
          <w:sz w:val="16"/>
          <w:szCs w:val="20"/>
          <w:lang w:val="en-US"/>
        </w:rPr>
        <w:t>and DNI</w:t>
      </w:r>
      <w:r w:rsidR="00145ED6" w:rsidRPr="00C0428D">
        <w:rPr>
          <w:b/>
          <w:sz w:val="16"/>
          <w:szCs w:val="20"/>
          <w:lang w:val="en-US"/>
        </w:rPr>
        <w:t xml:space="preserve"> (right)</w:t>
      </w:r>
      <w:r w:rsidRPr="00C0428D">
        <w:rPr>
          <w:b/>
          <w:sz w:val="16"/>
          <w:szCs w:val="20"/>
          <w:lang w:val="en-US"/>
        </w:rPr>
        <w:t>.</w:t>
      </w:r>
    </w:p>
    <w:p w14:paraId="08A5A39C" w14:textId="77777777" w:rsidR="00493D65" w:rsidRPr="00C0428D" w:rsidRDefault="00493D65" w:rsidP="00065868">
      <w:pPr>
        <w:spacing w:after="60"/>
        <w:jc w:val="both"/>
        <w:rPr>
          <w:rFonts w:cs="Arial"/>
          <w:sz w:val="20"/>
          <w:szCs w:val="22"/>
          <w:lang w:val="en-US" w:eastAsia="en-US"/>
        </w:rPr>
      </w:pPr>
      <w:r w:rsidRPr="00C0428D">
        <w:rPr>
          <w:rFonts w:cs="Arial"/>
          <w:sz w:val="20"/>
          <w:szCs w:val="22"/>
          <w:lang w:val="en-US" w:eastAsia="en-US"/>
        </w:rPr>
        <w:t xml:space="preserve">Figure 3 shows the same sparse-network reversal from a different angle. Moving from one to two stations increases the median error by 1.66 percentage points for GHI and 7.95 percentage points for DNI, while moving from two to three stations reduces it by 1.41 and 7.08 percentage points, respectively. Beyond three stations the changes remain positive overall but become progressively smaller. From three to seven stations, median </w:t>
      </w:r>
      <w:proofErr w:type="spellStart"/>
      <w:r w:rsidRPr="00C0428D">
        <w:rPr>
          <w:rFonts w:cs="Arial"/>
          <w:sz w:val="20"/>
          <w:szCs w:val="22"/>
          <w:lang w:val="en-US" w:eastAsia="en-US"/>
        </w:rPr>
        <w:t>rRMSE</w:t>
      </w:r>
      <w:proofErr w:type="spellEnd"/>
      <w:r w:rsidRPr="00C0428D">
        <w:rPr>
          <w:rFonts w:cs="Arial"/>
          <w:sz w:val="20"/>
          <w:szCs w:val="22"/>
          <w:lang w:val="en-US" w:eastAsia="en-US"/>
        </w:rPr>
        <w:t xml:space="preserve"> falls by 0.59 percentage points for GHI and 1.73 percentage points for DNI. Expanding further from seven to thirteen stations produces only another 0.20-percentage-point reduction for GHI and 0.55-percentage-point reduction for DNI. For GHI, every subsequent network-size gain is below 0.10 percentage points from seven stations onward; for DNI, the same condition is reached from eleven stations onward.</w:t>
      </w:r>
    </w:p>
    <w:p w14:paraId="55824766" w14:textId="77777777" w:rsidR="00493D65" w:rsidRPr="00C0428D" w:rsidRDefault="00493D65" w:rsidP="00145ED6">
      <w:pPr>
        <w:keepNext/>
        <w:keepLines/>
        <w:spacing w:before="160" w:after="80" w:line="276" w:lineRule="auto"/>
        <w:jc w:val="center"/>
        <w:outlineLvl w:val="0"/>
        <w:rPr>
          <w:rFonts w:ascii="Arial" w:hAnsi="Arial"/>
          <w:b/>
          <w:sz w:val="20"/>
          <w:lang w:val="en-US"/>
        </w:rPr>
      </w:pPr>
      <w:r w:rsidRPr="00C0428D">
        <w:rPr>
          <w:rFonts w:ascii="Arial" w:hAnsi="Arial"/>
          <w:b/>
          <w:sz w:val="20"/>
          <w:lang w:val="en-US"/>
        </w:rPr>
        <w:t>4. Conclusions</w:t>
      </w:r>
    </w:p>
    <w:p w14:paraId="01FA08F2" w14:textId="77777777" w:rsidR="00493D65" w:rsidRPr="00C0428D" w:rsidRDefault="00493D65" w:rsidP="00065868">
      <w:pPr>
        <w:spacing w:after="60"/>
        <w:jc w:val="both"/>
        <w:rPr>
          <w:rFonts w:cs="Arial"/>
          <w:sz w:val="20"/>
          <w:szCs w:val="22"/>
          <w:lang w:val="en-US" w:eastAsia="en-US"/>
        </w:rPr>
      </w:pPr>
      <w:r w:rsidRPr="00C0428D">
        <w:rPr>
          <w:rFonts w:cs="Arial"/>
          <w:sz w:val="20"/>
          <w:szCs w:val="22"/>
          <w:lang w:val="en-US" w:eastAsia="en-US"/>
        </w:rPr>
        <w:t xml:space="preserve">This study builds on the five-model benchmark and exhaustive FFNN station-combination analysis to examine site adaptation from the perspective of monitoring-network robustness. FFNN achieved the lowest overall </w:t>
      </w:r>
      <w:proofErr w:type="spellStart"/>
      <w:r w:rsidRPr="00C0428D">
        <w:rPr>
          <w:rFonts w:cs="Arial"/>
          <w:sz w:val="20"/>
          <w:szCs w:val="22"/>
          <w:lang w:val="en-US" w:eastAsia="en-US"/>
        </w:rPr>
        <w:t>rRMSE</w:t>
      </w:r>
      <w:proofErr w:type="spellEnd"/>
      <w:r w:rsidRPr="00C0428D">
        <w:rPr>
          <w:rFonts w:cs="Arial"/>
          <w:sz w:val="20"/>
          <w:szCs w:val="22"/>
          <w:lang w:val="en-US" w:eastAsia="en-US"/>
        </w:rPr>
        <w:t xml:space="preserve"> in the independent 2023–2024 evaluation, with values of 11.43% for GHI and 23.78% for DNI. Robustness was then assessed across all network sizes using the variation in error among station combinations and the fraction of configurations that did not improve the raw CAMS-Rad estimates. The strongest sensitivity to station selection occurred for the two-station networks, where 8.97% of GHI pairs and 33.33% of DNI pairs were non-improving. This behavior was not reproduced by the GBM model, indicating that the deterioration is not an inherent consequence of using two calibration stations. The spatial analysis further showed that geographic separation alone does not explain which FFNN station pairs perform poorly.</w:t>
      </w:r>
    </w:p>
    <w:p w14:paraId="7035ED2D" w14:textId="77777777" w:rsidR="00493D65" w:rsidRPr="00C0428D" w:rsidRDefault="00493D65" w:rsidP="00065868">
      <w:pPr>
        <w:spacing w:after="60"/>
        <w:jc w:val="both"/>
        <w:rPr>
          <w:rFonts w:cs="Arial"/>
          <w:sz w:val="20"/>
          <w:szCs w:val="22"/>
          <w:lang w:val="en-US" w:eastAsia="en-US"/>
        </w:rPr>
      </w:pPr>
      <w:r w:rsidRPr="00C0428D">
        <w:rPr>
          <w:rFonts w:cs="Arial"/>
          <w:sz w:val="20"/>
          <w:szCs w:val="22"/>
          <w:lang w:val="en-US" w:eastAsia="en-US"/>
        </w:rPr>
        <w:t xml:space="preserve">As the calibration network grows, two clear trends emerge. The spread in performance among different station selections decreases substantially, while non-improving configurations become increasingly rare. At the same time, the reduction in median </w:t>
      </w:r>
      <w:proofErr w:type="spellStart"/>
      <w:r w:rsidRPr="00C0428D">
        <w:rPr>
          <w:rFonts w:cs="Arial"/>
          <w:sz w:val="20"/>
          <w:szCs w:val="22"/>
          <w:lang w:val="en-US" w:eastAsia="en-US"/>
        </w:rPr>
        <w:t>rRMSE</w:t>
      </w:r>
      <w:proofErr w:type="spellEnd"/>
      <w:r w:rsidRPr="00C0428D">
        <w:rPr>
          <w:rFonts w:cs="Arial"/>
          <w:sz w:val="20"/>
          <w:szCs w:val="22"/>
          <w:lang w:val="en-US" w:eastAsia="en-US"/>
        </w:rPr>
        <w:t xml:space="preserve"> obtained by further increasing the network size becomes progressively smaller. These results complement the cost-error analysis of Ziaullah et al. (2026), which identified a seven-station </w:t>
      </w:r>
      <w:r w:rsidRPr="00C0428D">
        <w:rPr>
          <w:rFonts w:cs="Arial"/>
          <w:sz w:val="20"/>
          <w:szCs w:val="22"/>
          <w:lang w:val="en-US" w:eastAsia="en-US"/>
        </w:rPr>
        <w:lastRenderedPageBreak/>
        <w:t xml:space="preserve">solution under the operational weighting scheme used in that study. Here, the seven-station case is also shown to be highly robust to station selection, with only small variation in </w:t>
      </w:r>
      <w:proofErr w:type="spellStart"/>
      <w:r w:rsidRPr="00C0428D">
        <w:rPr>
          <w:rFonts w:cs="Arial"/>
          <w:sz w:val="20"/>
          <w:szCs w:val="22"/>
          <w:lang w:val="en-US" w:eastAsia="en-US"/>
        </w:rPr>
        <w:t>rRMSE</w:t>
      </w:r>
      <w:proofErr w:type="spellEnd"/>
      <w:r w:rsidRPr="00C0428D">
        <w:rPr>
          <w:rFonts w:cs="Arial"/>
          <w:sz w:val="20"/>
          <w:szCs w:val="22"/>
          <w:lang w:val="en-US" w:eastAsia="en-US"/>
        </w:rPr>
        <w:t xml:space="preserve"> among the possible configurations.</w:t>
      </w:r>
    </w:p>
    <w:p w14:paraId="293B3539" w14:textId="41B3FDB8" w:rsidR="00E42144" w:rsidRPr="00C0428D" w:rsidRDefault="00493D65" w:rsidP="00595DB7">
      <w:pPr>
        <w:spacing w:after="60"/>
        <w:jc w:val="both"/>
        <w:rPr>
          <w:rFonts w:cs="Arial"/>
          <w:sz w:val="20"/>
          <w:szCs w:val="22"/>
          <w:lang w:val="en-US" w:eastAsia="en-US"/>
        </w:rPr>
      </w:pPr>
      <w:r w:rsidRPr="00C0428D">
        <w:rPr>
          <w:rFonts w:cs="Arial"/>
          <w:sz w:val="20"/>
          <w:szCs w:val="22"/>
          <w:lang w:val="en-US" w:eastAsia="en-US"/>
        </w:rPr>
        <w:t xml:space="preserve">For the 13-site Qatar network, seven calibration stations therefore represent a practical point of diminishing returns. At this network size, the IQR is only about 0.16 percentage points for GHI and 0.52 percentage points for DNI, indicating little variation among the 1,716 possible seven-station configurations. All seven-station configurations improve CAMS-Rad for DNI, while only one is non-improving for GHI. Expanding the network from seven to all thirteen stations reduces the median </w:t>
      </w:r>
      <w:proofErr w:type="spellStart"/>
      <w:r w:rsidRPr="00C0428D">
        <w:rPr>
          <w:rFonts w:cs="Arial"/>
          <w:sz w:val="20"/>
          <w:szCs w:val="22"/>
          <w:lang w:val="en-US" w:eastAsia="en-US"/>
        </w:rPr>
        <w:t>rRMSE</w:t>
      </w:r>
      <w:proofErr w:type="spellEnd"/>
      <w:r w:rsidRPr="00C0428D">
        <w:rPr>
          <w:rFonts w:cs="Arial"/>
          <w:sz w:val="20"/>
          <w:szCs w:val="22"/>
          <w:lang w:val="en-US" w:eastAsia="en-US"/>
        </w:rPr>
        <w:t xml:space="preserve"> by only about 0.20 percentage points for GHI and 0.55 percentage points for DNI. From eight stations onward, every configuration improves CAMS-Rad for both components. Within the existing Qatar monitoring network, these results show that a moderate-size calibration network can provide both reliable adaptation and low sensitivity to the </w:t>
      </w:r>
      <w:proofErr w:type="gramStart"/>
      <w:r w:rsidRPr="00C0428D">
        <w:rPr>
          <w:rFonts w:cs="Arial"/>
          <w:sz w:val="20"/>
          <w:szCs w:val="22"/>
          <w:lang w:val="en-US" w:eastAsia="en-US"/>
        </w:rPr>
        <w:t>particular stations</w:t>
      </w:r>
      <w:proofErr w:type="gramEnd"/>
      <w:r w:rsidRPr="00C0428D">
        <w:rPr>
          <w:rFonts w:cs="Arial"/>
          <w:sz w:val="20"/>
          <w:szCs w:val="22"/>
          <w:lang w:val="en-US" w:eastAsia="en-US"/>
        </w:rPr>
        <w:t xml:space="preserve"> selected, while further expansion yields comparatively small additional gains in accuracy.</w:t>
      </w:r>
    </w:p>
    <w:p w14:paraId="60CDE121" w14:textId="77777777" w:rsidR="0026520F" w:rsidRPr="00C0428D" w:rsidRDefault="0026520F" w:rsidP="00595DB7">
      <w:pPr>
        <w:spacing w:after="60"/>
        <w:jc w:val="both"/>
        <w:rPr>
          <w:rFonts w:cs="Arial"/>
          <w:sz w:val="20"/>
          <w:szCs w:val="22"/>
          <w:lang w:val="en-US" w:eastAsia="en-US"/>
        </w:rPr>
      </w:pPr>
    </w:p>
    <w:p w14:paraId="4483C314" w14:textId="77777777" w:rsidR="00F5602C" w:rsidRPr="00C0428D" w:rsidRDefault="00F5602C" w:rsidP="00595DB7">
      <w:pPr>
        <w:spacing w:after="60"/>
        <w:jc w:val="both"/>
        <w:rPr>
          <w:rFonts w:asciiTheme="minorBidi" w:hAnsiTheme="minorBidi" w:cstheme="minorBidi"/>
          <w:b/>
          <w:bCs/>
          <w:sz w:val="20"/>
          <w:szCs w:val="22"/>
          <w:lang w:val="en-US" w:eastAsia="en-US"/>
        </w:rPr>
      </w:pPr>
      <w:r w:rsidRPr="00C0428D">
        <w:rPr>
          <w:rFonts w:asciiTheme="minorBidi" w:hAnsiTheme="minorBidi" w:cstheme="minorBidi"/>
          <w:b/>
          <w:bCs/>
          <w:sz w:val="20"/>
          <w:szCs w:val="22"/>
          <w:lang w:val="en-US" w:eastAsia="en-US"/>
        </w:rPr>
        <w:t>Acknowledgements</w:t>
      </w:r>
    </w:p>
    <w:p w14:paraId="75E0EF2A" w14:textId="75CC952D" w:rsidR="0026520F" w:rsidRPr="00C0428D" w:rsidRDefault="0026520F" w:rsidP="00595DB7">
      <w:pPr>
        <w:spacing w:after="60"/>
        <w:jc w:val="both"/>
        <w:rPr>
          <w:rFonts w:cs="Arial"/>
          <w:sz w:val="20"/>
          <w:szCs w:val="22"/>
          <w:lang w:val="en-US" w:eastAsia="en-US"/>
        </w:rPr>
      </w:pPr>
      <w:r w:rsidRPr="00C0428D">
        <w:rPr>
          <w:rFonts w:cs="Arial"/>
          <w:sz w:val="20"/>
          <w:szCs w:val="22"/>
          <w:lang w:val="en-US" w:eastAsia="en-US"/>
        </w:rPr>
        <w:t>Research reported in this work was supported by the Qatar Research Development and Innovation Council (Grant: ARG01-0523-230304). The content is solely the responsibility of the authors and does not necessarily represent the official views of Qatar Research Development and Innovation Council.</w:t>
      </w:r>
    </w:p>
    <w:p w14:paraId="00DD783D" w14:textId="1C574462" w:rsidR="00B371FE" w:rsidRPr="00C0428D" w:rsidRDefault="00D32EF0" w:rsidP="00345D6F">
      <w:pPr>
        <w:pStyle w:val="SWCHeading1"/>
        <w:numPr>
          <w:ilvl w:val="0"/>
          <w:numId w:val="26"/>
        </w:numPr>
        <w:rPr>
          <w:color w:val="auto"/>
        </w:rPr>
      </w:pPr>
      <w:r w:rsidRPr="00C0428D">
        <w:rPr>
          <w:color w:val="auto"/>
        </w:rPr>
        <w:t>References</w:t>
      </w:r>
    </w:p>
    <w:p w14:paraId="4B5A710F" w14:textId="6F0C32D4" w:rsidR="00B371FE" w:rsidRPr="00C0428D" w:rsidRDefault="00B371FE" w:rsidP="00B371FE">
      <w:pPr>
        <w:pStyle w:val="SWCText"/>
        <w:rPr>
          <w:color w:val="auto"/>
        </w:rPr>
      </w:pPr>
      <w:r w:rsidRPr="00C0428D">
        <w:rPr>
          <w:color w:val="auto"/>
        </w:rPr>
        <w:t xml:space="preserve">Bachour, D., Perez-Astudillo, D., Ziaullah, A., 2026. A decision-support system for solar energy resource planning in arid desert regions. Sustainable Energy Technologies and Assessments 86, 104884. </w:t>
      </w:r>
      <w:hyperlink r:id="rId16" w:history="1">
        <w:r w:rsidR="00997AC1" w:rsidRPr="00C0428D">
          <w:rPr>
            <w:rStyle w:val="Hyperlink"/>
            <w:color w:val="auto"/>
          </w:rPr>
          <w:t>https://doi.org/10.1016/j.seta.2026.104884</w:t>
        </w:r>
      </w:hyperlink>
    </w:p>
    <w:p w14:paraId="67B02F6E" w14:textId="77777777" w:rsidR="00B371FE" w:rsidRPr="00C0428D" w:rsidRDefault="00B371FE" w:rsidP="00B371FE">
      <w:pPr>
        <w:pStyle w:val="SWCText"/>
        <w:rPr>
          <w:color w:val="auto"/>
        </w:rPr>
      </w:pPr>
      <w:r w:rsidRPr="00C0428D">
        <w:rPr>
          <w:color w:val="auto"/>
        </w:rPr>
        <w:t>Friedman, J.H., 2001. Greedy function approximation: a gradient boosting machine. Annals of Statistics 29, 1189-1232.</w:t>
      </w:r>
    </w:p>
    <w:p w14:paraId="6D18723D" w14:textId="77777777" w:rsidR="00B371FE" w:rsidRPr="00C0428D" w:rsidRDefault="00B371FE" w:rsidP="00B371FE">
      <w:pPr>
        <w:pStyle w:val="SWCText"/>
        <w:rPr>
          <w:color w:val="auto"/>
        </w:rPr>
      </w:pPr>
      <w:proofErr w:type="spellStart"/>
      <w:r w:rsidRPr="00C0428D">
        <w:rPr>
          <w:color w:val="auto"/>
        </w:rPr>
        <w:t>Maraun</w:t>
      </w:r>
      <w:proofErr w:type="spellEnd"/>
      <w:r w:rsidRPr="00C0428D">
        <w:rPr>
          <w:color w:val="auto"/>
        </w:rPr>
        <w:t>, D., 2015. Bias correction, quantile mapping, and downscaling: revisiting the inflation problem. Journal of Climate 28, 6710-6722.</w:t>
      </w:r>
    </w:p>
    <w:p w14:paraId="681D3269" w14:textId="5BD3E63D" w:rsidR="008E275B" w:rsidRPr="00C0428D" w:rsidRDefault="008E275B" w:rsidP="002A2CC3">
      <w:pPr>
        <w:pStyle w:val="SWCText"/>
        <w:rPr>
          <w:color w:val="auto"/>
        </w:rPr>
      </w:pPr>
      <w:r w:rsidRPr="00C0428D">
        <w:rPr>
          <w:color w:val="auto"/>
        </w:rPr>
        <w:t>Perez-Astudillo, D., Bachour, D., Martin-Pomares,</w:t>
      </w:r>
      <w:r w:rsidR="00A26A1B" w:rsidRPr="00C0428D">
        <w:rPr>
          <w:color w:val="auto"/>
        </w:rPr>
        <w:t xml:space="preserve"> L., 2018</w:t>
      </w:r>
      <w:r w:rsidR="00EE0D41" w:rsidRPr="00C0428D">
        <w:rPr>
          <w:color w:val="auto"/>
        </w:rPr>
        <w:t xml:space="preserve">. </w:t>
      </w:r>
      <w:r w:rsidRPr="00C0428D">
        <w:rPr>
          <w:color w:val="auto"/>
        </w:rPr>
        <w:t>Improved quality control protocols on solar radiation measurements</w:t>
      </w:r>
      <w:r w:rsidR="002A2CC3" w:rsidRPr="00C0428D">
        <w:rPr>
          <w:color w:val="auto"/>
        </w:rPr>
        <w:t xml:space="preserve">. </w:t>
      </w:r>
      <w:r w:rsidRPr="00C0428D">
        <w:rPr>
          <w:color w:val="auto"/>
        </w:rPr>
        <w:t>Solar Energy</w:t>
      </w:r>
      <w:r w:rsidR="002A2CC3" w:rsidRPr="00C0428D">
        <w:rPr>
          <w:color w:val="auto"/>
        </w:rPr>
        <w:t xml:space="preserve"> </w:t>
      </w:r>
      <w:r w:rsidRPr="00C0428D">
        <w:rPr>
          <w:color w:val="auto"/>
        </w:rPr>
        <w:t>169,</w:t>
      </w:r>
      <w:r w:rsidR="002A2CC3" w:rsidRPr="00C0428D">
        <w:rPr>
          <w:color w:val="auto"/>
        </w:rPr>
        <w:t xml:space="preserve"> </w:t>
      </w:r>
      <w:r w:rsidRPr="00C0428D">
        <w:rPr>
          <w:color w:val="auto"/>
        </w:rPr>
        <w:t>425-433</w:t>
      </w:r>
      <w:r w:rsidR="002A2CC3" w:rsidRPr="00C0428D">
        <w:rPr>
          <w:color w:val="auto"/>
        </w:rPr>
        <w:t xml:space="preserve">. </w:t>
      </w:r>
      <w:r w:rsidRPr="00C0428D">
        <w:rPr>
          <w:color w:val="auto"/>
        </w:rPr>
        <w:t>https://doi.org/10.1016/j.solener.2018.05.028.</w:t>
      </w:r>
    </w:p>
    <w:p w14:paraId="5DE381D9" w14:textId="77777777" w:rsidR="00B371FE" w:rsidRPr="00B71407" w:rsidRDefault="00B371FE" w:rsidP="00B371FE">
      <w:pPr>
        <w:pStyle w:val="SWCText"/>
        <w:rPr>
          <w:color w:val="auto"/>
          <w:lang w:val="fr-FR"/>
        </w:rPr>
      </w:pPr>
      <w:r w:rsidRPr="00C0428D">
        <w:rPr>
          <w:color w:val="auto"/>
        </w:rPr>
        <w:t>Polo, J., Fernandez-</w:t>
      </w:r>
      <w:proofErr w:type="spellStart"/>
      <w:r w:rsidRPr="00C0428D">
        <w:rPr>
          <w:color w:val="auto"/>
        </w:rPr>
        <w:t>Peruchena</w:t>
      </w:r>
      <w:proofErr w:type="spellEnd"/>
      <w:r w:rsidRPr="00C0428D">
        <w:rPr>
          <w:color w:val="auto"/>
        </w:rPr>
        <w:t xml:space="preserve">, C., Salamalikis, V., Mazorra-Aguiar, L., Turpin, M., Martin-Pomares, L., </w:t>
      </w:r>
      <w:proofErr w:type="spellStart"/>
      <w:r w:rsidRPr="00C0428D">
        <w:rPr>
          <w:color w:val="auto"/>
        </w:rPr>
        <w:t>Kazantzidis</w:t>
      </w:r>
      <w:proofErr w:type="spellEnd"/>
      <w:r w:rsidRPr="00C0428D">
        <w:rPr>
          <w:color w:val="auto"/>
        </w:rPr>
        <w:t xml:space="preserve">, A., Blanc, P., Remund, J., 2020. Benchmarking on improvement and site-adaptation techniques for modeled solar radiation datasets. </w:t>
      </w:r>
      <w:r w:rsidRPr="00B71407">
        <w:rPr>
          <w:color w:val="auto"/>
          <w:lang w:val="fr-FR"/>
        </w:rPr>
        <w:t>Solar Energy 201, 469-479.</w:t>
      </w:r>
    </w:p>
    <w:p w14:paraId="2B61EFA3" w14:textId="7BF94D0D" w:rsidR="00ED7123" w:rsidRPr="00C0428D" w:rsidRDefault="00B371FE" w:rsidP="00B371FE">
      <w:pPr>
        <w:pStyle w:val="SWCText"/>
        <w:rPr>
          <w:color w:val="auto"/>
        </w:rPr>
      </w:pPr>
      <w:r w:rsidRPr="00B71407">
        <w:rPr>
          <w:color w:val="auto"/>
          <w:lang w:val="fr-FR"/>
        </w:rPr>
        <w:t xml:space="preserve">Verbois, H., </w:t>
      </w:r>
      <w:proofErr w:type="spellStart"/>
      <w:r w:rsidRPr="00B71407">
        <w:rPr>
          <w:color w:val="auto"/>
          <w:lang w:val="fr-FR"/>
        </w:rPr>
        <w:t>Saint-Drenan</w:t>
      </w:r>
      <w:proofErr w:type="spellEnd"/>
      <w:r w:rsidRPr="00B71407">
        <w:rPr>
          <w:color w:val="auto"/>
          <w:lang w:val="fr-FR"/>
        </w:rPr>
        <w:t xml:space="preserve">, Y.-M., </w:t>
      </w:r>
      <w:proofErr w:type="spellStart"/>
      <w:r w:rsidRPr="00B71407">
        <w:rPr>
          <w:color w:val="auto"/>
          <w:lang w:val="fr-FR"/>
        </w:rPr>
        <w:t>Libois</w:t>
      </w:r>
      <w:proofErr w:type="spellEnd"/>
      <w:r w:rsidRPr="00B71407">
        <w:rPr>
          <w:color w:val="auto"/>
          <w:lang w:val="fr-FR"/>
        </w:rPr>
        <w:t xml:space="preserve">, Q., Michel, Y., Cassas, M., Dubus, L., Blanc, P., 2023. </w:t>
      </w:r>
      <w:r w:rsidRPr="00C0428D">
        <w:rPr>
          <w:color w:val="auto"/>
        </w:rPr>
        <w:t xml:space="preserve">Improvement of satellite-derived surface solar irradiance estimations using </w:t>
      </w:r>
      <w:proofErr w:type="spellStart"/>
      <w:r w:rsidRPr="00C0428D">
        <w:rPr>
          <w:color w:val="auto"/>
        </w:rPr>
        <w:t>spatio</w:t>
      </w:r>
      <w:proofErr w:type="spellEnd"/>
      <w:r w:rsidRPr="00C0428D">
        <w:rPr>
          <w:color w:val="auto"/>
        </w:rPr>
        <w:t>-temporal extrapolation with statistical learning. Solar Energy 258, 175-193.</w:t>
      </w:r>
    </w:p>
    <w:p w14:paraId="2956B11D" w14:textId="17B95D61" w:rsidR="008E19FF" w:rsidRPr="00C0428D" w:rsidRDefault="00B371FE" w:rsidP="00065868">
      <w:pPr>
        <w:pStyle w:val="SWCHeading11"/>
        <w:jc w:val="both"/>
        <w:rPr>
          <w:rFonts w:ascii="Times New Roman" w:hAnsi="Times New Roman"/>
          <w:i w:val="0"/>
          <w:color w:val="auto"/>
          <w:lang w:val="en-US"/>
        </w:rPr>
      </w:pPr>
      <w:r w:rsidRPr="00C0428D">
        <w:rPr>
          <w:rFonts w:ascii="Times New Roman" w:hAnsi="Times New Roman"/>
          <w:i w:val="0"/>
          <w:color w:val="auto"/>
          <w:lang w:val="en-US"/>
        </w:rPr>
        <w:t>Ziaullah, A.W., Bachour, D., Perez-Astudillo, D., 2026. Dynamic machine learning calibration of satellite-derived solar irradiance in arid climates with accuracy-cost tradeoffs. Solar Energy 317, 114939. https://doi.org/10.1016/j.solener.2026.114939</w:t>
      </w:r>
    </w:p>
    <w:p w14:paraId="3BEEF9B5" w14:textId="77777777" w:rsidR="001968B5" w:rsidRPr="00C0428D" w:rsidRDefault="001968B5" w:rsidP="00065868">
      <w:pPr>
        <w:pStyle w:val="SWCHeading11"/>
        <w:jc w:val="both"/>
        <w:rPr>
          <w:bCs/>
          <w:i w:val="0"/>
          <w:iCs/>
          <w:color w:val="auto"/>
          <w:lang w:val="en-US"/>
        </w:rPr>
      </w:pPr>
    </w:p>
    <w:p w14:paraId="263188FC" w14:textId="23DBD81D" w:rsidR="008F54F8" w:rsidRPr="00C0428D" w:rsidRDefault="008F54F8" w:rsidP="006F1475">
      <w:pPr>
        <w:jc w:val="both"/>
        <w:rPr>
          <w:sz w:val="18"/>
          <w:lang w:val="en-US"/>
        </w:rPr>
      </w:pPr>
    </w:p>
    <w:sectPr w:rsidR="008F54F8" w:rsidRPr="00C0428D" w:rsidSect="0082772A">
      <w:footnotePr>
        <w:numRestart w:val="eachPage"/>
      </w:footnotePr>
      <w:pgSz w:w="11908" w:h="16838" w:code="9"/>
      <w:pgMar w:top="1417" w:right="1417" w:bottom="1134" w:left="1417" w:header="284" w:footer="284"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35BF6" w14:textId="77777777" w:rsidR="001C3D35" w:rsidRDefault="001C3D35">
      <w:r>
        <w:separator/>
      </w:r>
    </w:p>
  </w:endnote>
  <w:endnote w:type="continuationSeparator" w:id="0">
    <w:p w14:paraId="0016FAB0" w14:textId="77777777" w:rsidR="001C3D35" w:rsidRDefault="001C3D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6E24F2" w14:textId="77777777" w:rsidR="001C3D35" w:rsidRDefault="001C3D35">
      <w:r>
        <w:separator/>
      </w:r>
    </w:p>
  </w:footnote>
  <w:footnote w:type="continuationSeparator" w:id="0">
    <w:p w14:paraId="1857CB0C" w14:textId="77777777" w:rsidR="001C3D35" w:rsidRDefault="001C3D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8C681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9855DD6"/>
    <w:multiLevelType w:val="multilevel"/>
    <w:tmpl w:val="36084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8" w15:restartNumberingAfterBreak="0">
    <w:nsid w:val="21741521"/>
    <w:multiLevelType w:val="multilevel"/>
    <w:tmpl w:val="8E3CF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1"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2" w15:restartNumberingAfterBreak="0">
    <w:nsid w:val="304D27AD"/>
    <w:multiLevelType w:val="multilevel"/>
    <w:tmpl w:val="A8AA1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6A6805"/>
    <w:multiLevelType w:val="hybridMultilevel"/>
    <w:tmpl w:val="A17C7F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5B80708"/>
    <w:multiLevelType w:val="hybridMultilevel"/>
    <w:tmpl w:val="ED3843F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5"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7"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4EDC0FA2"/>
    <w:multiLevelType w:val="hybridMultilevel"/>
    <w:tmpl w:val="1DAA4D3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1"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22"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640279AF"/>
    <w:multiLevelType w:val="hybridMultilevel"/>
    <w:tmpl w:val="6AEA0D5A"/>
    <w:lvl w:ilvl="0" w:tplc="84FAF57A">
      <w:start w:val="1"/>
      <w:numFmt w:val="decimal"/>
      <w:pStyle w:val="SWCHeading1"/>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4"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5"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6"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7" w15:restartNumberingAfterBreak="0">
    <w:nsid w:val="708601EE"/>
    <w:multiLevelType w:val="multilevel"/>
    <w:tmpl w:val="73061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1164541409">
    <w:abstractNumId w:val="5"/>
  </w:num>
  <w:num w:numId="2" w16cid:durableId="824710626">
    <w:abstractNumId w:val="15"/>
  </w:num>
  <w:num w:numId="3" w16cid:durableId="1779980318">
    <w:abstractNumId w:val="14"/>
  </w:num>
  <w:num w:numId="4" w16cid:durableId="691154539">
    <w:abstractNumId w:val="28"/>
  </w:num>
  <w:num w:numId="5" w16cid:durableId="849176114">
    <w:abstractNumId w:val="4"/>
  </w:num>
  <w:num w:numId="6" w16cid:durableId="701899166">
    <w:abstractNumId w:val="3"/>
  </w:num>
  <w:num w:numId="7" w16cid:durableId="1122382050">
    <w:abstractNumId w:val="0"/>
  </w:num>
  <w:num w:numId="8" w16cid:durableId="151144171">
    <w:abstractNumId w:val="2"/>
  </w:num>
  <w:num w:numId="9" w16cid:durableId="1882550196">
    <w:abstractNumId w:val="1"/>
  </w:num>
  <w:num w:numId="10" w16cid:durableId="78913249">
    <w:abstractNumId w:val="7"/>
  </w:num>
  <w:num w:numId="11" w16cid:durableId="95492358">
    <w:abstractNumId w:val="23"/>
  </w:num>
  <w:num w:numId="12" w16cid:durableId="355472642">
    <w:abstractNumId w:val="18"/>
  </w:num>
  <w:num w:numId="13" w16cid:durableId="311523580">
    <w:abstractNumId w:val="7"/>
    <w:lvlOverride w:ilvl="0">
      <w:startOverride w:val="1"/>
    </w:lvlOverride>
  </w:num>
  <w:num w:numId="14" w16cid:durableId="1496726486">
    <w:abstractNumId w:val="22"/>
  </w:num>
  <w:num w:numId="15" w16cid:durableId="1806385346">
    <w:abstractNumId w:val="9"/>
  </w:num>
  <w:num w:numId="16" w16cid:durableId="1758162859">
    <w:abstractNumId w:val="17"/>
  </w:num>
  <w:num w:numId="17" w16cid:durableId="569772207">
    <w:abstractNumId w:val="21"/>
  </w:num>
  <w:num w:numId="18" w16cid:durableId="1080835087">
    <w:abstractNumId w:val="25"/>
  </w:num>
  <w:num w:numId="19" w16cid:durableId="1514802717">
    <w:abstractNumId w:val="11"/>
  </w:num>
  <w:num w:numId="20" w16cid:durableId="1328480391">
    <w:abstractNumId w:val="10"/>
  </w:num>
  <w:num w:numId="21" w16cid:durableId="1166094805">
    <w:abstractNumId w:val="16"/>
  </w:num>
  <w:num w:numId="22" w16cid:durableId="679743871">
    <w:abstractNumId w:val="24"/>
  </w:num>
  <w:num w:numId="23" w16cid:durableId="612976666">
    <w:abstractNumId w:val="20"/>
  </w:num>
  <w:num w:numId="24" w16cid:durableId="7829984">
    <w:abstractNumId w:val="26"/>
  </w:num>
  <w:num w:numId="25" w16cid:durableId="1928417106">
    <w:abstractNumId w:val="13"/>
  </w:num>
  <w:num w:numId="26" w16cid:durableId="590427341">
    <w:abstractNumId w:val="23"/>
    <w:lvlOverride w:ilvl="0">
      <w:startOverride w:val="5"/>
    </w:lvlOverride>
  </w:num>
  <w:num w:numId="27" w16cid:durableId="1727491669">
    <w:abstractNumId w:val="19"/>
  </w:num>
  <w:num w:numId="28" w16cid:durableId="1097403344">
    <w:abstractNumId w:val="27"/>
  </w:num>
  <w:num w:numId="29" w16cid:durableId="1626615592">
    <w:abstractNumId w:val="6"/>
  </w:num>
  <w:num w:numId="30" w16cid:durableId="1258292358">
    <w:abstractNumId w:val="8"/>
  </w:num>
  <w:num w:numId="31" w16cid:durableId="131734218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trackedChanges" w:enforcement="0"/>
  <w:defaultTabStop w:val="720"/>
  <w:hyphenationZone w:val="425"/>
  <w:drawingGridHorizontalSpacing w:val="120"/>
  <w:displayHorizontalDrawingGridEvery w:val="2"/>
  <w:noPunctuationKerning/>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5037"/>
    <w:rsid w:val="000067DB"/>
    <w:rsid w:val="00010262"/>
    <w:rsid w:val="00014C3F"/>
    <w:rsid w:val="000168C5"/>
    <w:rsid w:val="00021F97"/>
    <w:rsid w:val="0002379F"/>
    <w:rsid w:val="00031F13"/>
    <w:rsid w:val="0003465F"/>
    <w:rsid w:val="00037BA5"/>
    <w:rsid w:val="0004235D"/>
    <w:rsid w:val="0005003E"/>
    <w:rsid w:val="000533E4"/>
    <w:rsid w:val="000534F5"/>
    <w:rsid w:val="00053E02"/>
    <w:rsid w:val="00055DB9"/>
    <w:rsid w:val="00057B5E"/>
    <w:rsid w:val="00060AF4"/>
    <w:rsid w:val="00065868"/>
    <w:rsid w:val="000668D3"/>
    <w:rsid w:val="00066B26"/>
    <w:rsid w:val="00066F72"/>
    <w:rsid w:val="000678AC"/>
    <w:rsid w:val="000712A1"/>
    <w:rsid w:val="00074DBF"/>
    <w:rsid w:val="00086432"/>
    <w:rsid w:val="00086F5E"/>
    <w:rsid w:val="00087805"/>
    <w:rsid w:val="00092ED5"/>
    <w:rsid w:val="000A0ADB"/>
    <w:rsid w:val="000A1CC8"/>
    <w:rsid w:val="000A30A5"/>
    <w:rsid w:val="000A36B5"/>
    <w:rsid w:val="000A52A1"/>
    <w:rsid w:val="000B017A"/>
    <w:rsid w:val="000B04BE"/>
    <w:rsid w:val="000B09B5"/>
    <w:rsid w:val="000B1F4D"/>
    <w:rsid w:val="000C0A20"/>
    <w:rsid w:val="000C2344"/>
    <w:rsid w:val="000D64B9"/>
    <w:rsid w:val="000D6E1A"/>
    <w:rsid w:val="000E1855"/>
    <w:rsid w:val="000E2EEA"/>
    <w:rsid w:val="000E6CBA"/>
    <w:rsid w:val="000F1960"/>
    <w:rsid w:val="000F739B"/>
    <w:rsid w:val="0010501A"/>
    <w:rsid w:val="00105437"/>
    <w:rsid w:val="00114FB0"/>
    <w:rsid w:val="00115C61"/>
    <w:rsid w:val="00115D3B"/>
    <w:rsid w:val="0013222F"/>
    <w:rsid w:val="00136177"/>
    <w:rsid w:val="001365CD"/>
    <w:rsid w:val="00145ED6"/>
    <w:rsid w:val="0015090D"/>
    <w:rsid w:val="00150B42"/>
    <w:rsid w:val="00155FB8"/>
    <w:rsid w:val="00157CE5"/>
    <w:rsid w:val="001647D2"/>
    <w:rsid w:val="00166C42"/>
    <w:rsid w:val="00176EF6"/>
    <w:rsid w:val="001833A9"/>
    <w:rsid w:val="0018749D"/>
    <w:rsid w:val="001904A7"/>
    <w:rsid w:val="00191B60"/>
    <w:rsid w:val="0019232E"/>
    <w:rsid w:val="00194E9A"/>
    <w:rsid w:val="001968B5"/>
    <w:rsid w:val="001969B9"/>
    <w:rsid w:val="001A0B22"/>
    <w:rsid w:val="001A117A"/>
    <w:rsid w:val="001A6A39"/>
    <w:rsid w:val="001A775B"/>
    <w:rsid w:val="001A7F40"/>
    <w:rsid w:val="001B13D6"/>
    <w:rsid w:val="001B6BCF"/>
    <w:rsid w:val="001B7B01"/>
    <w:rsid w:val="001C3A3D"/>
    <w:rsid w:val="001C3D35"/>
    <w:rsid w:val="001C63A2"/>
    <w:rsid w:val="001D0384"/>
    <w:rsid w:val="001D4912"/>
    <w:rsid w:val="001D6FA2"/>
    <w:rsid w:val="001E2B93"/>
    <w:rsid w:val="001E4C6B"/>
    <w:rsid w:val="001F0208"/>
    <w:rsid w:val="001F1AAA"/>
    <w:rsid w:val="001F2881"/>
    <w:rsid w:val="00200481"/>
    <w:rsid w:val="00205626"/>
    <w:rsid w:val="00206116"/>
    <w:rsid w:val="00212628"/>
    <w:rsid w:val="0022299B"/>
    <w:rsid w:val="00225724"/>
    <w:rsid w:val="00226E16"/>
    <w:rsid w:val="002331FE"/>
    <w:rsid w:val="00243214"/>
    <w:rsid w:val="002470B2"/>
    <w:rsid w:val="00247A55"/>
    <w:rsid w:val="002647A0"/>
    <w:rsid w:val="0026520F"/>
    <w:rsid w:val="00266E47"/>
    <w:rsid w:val="00270E75"/>
    <w:rsid w:val="0027288C"/>
    <w:rsid w:val="00273341"/>
    <w:rsid w:val="00281D0B"/>
    <w:rsid w:val="002972D1"/>
    <w:rsid w:val="002A04A9"/>
    <w:rsid w:val="002A2CC3"/>
    <w:rsid w:val="002A39BB"/>
    <w:rsid w:val="002B046F"/>
    <w:rsid w:val="002B417A"/>
    <w:rsid w:val="002C089D"/>
    <w:rsid w:val="002C101B"/>
    <w:rsid w:val="002C3596"/>
    <w:rsid w:val="002C68AD"/>
    <w:rsid w:val="002D322C"/>
    <w:rsid w:val="002D4864"/>
    <w:rsid w:val="002E5D62"/>
    <w:rsid w:val="002F1386"/>
    <w:rsid w:val="002F1D87"/>
    <w:rsid w:val="002F356D"/>
    <w:rsid w:val="002F6B87"/>
    <w:rsid w:val="00303345"/>
    <w:rsid w:val="003119B4"/>
    <w:rsid w:val="0031685E"/>
    <w:rsid w:val="003357AC"/>
    <w:rsid w:val="00345D6F"/>
    <w:rsid w:val="00352B91"/>
    <w:rsid w:val="0035638A"/>
    <w:rsid w:val="003605B9"/>
    <w:rsid w:val="00362122"/>
    <w:rsid w:val="00364A52"/>
    <w:rsid w:val="00373F97"/>
    <w:rsid w:val="0037406D"/>
    <w:rsid w:val="00374216"/>
    <w:rsid w:val="00374A95"/>
    <w:rsid w:val="00376369"/>
    <w:rsid w:val="0038071A"/>
    <w:rsid w:val="0038545D"/>
    <w:rsid w:val="003869E8"/>
    <w:rsid w:val="00391288"/>
    <w:rsid w:val="00393777"/>
    <w:rsid w:val="00395E5A"/>
    <w:rsid w:val="00395F5E"/>
    <w:rsid w:val="0039742D"/>
    <w:rsid w:val="003A3A38"/>
    <w:rsid w:val="003A7DB9"/>
    <w:rsid w:val="003B2055"/>
    <w:rsid w:val="003B29DB"/>
    <w:rsid w:val="003C0806"/>
    <w:rsid w:val="003C18DE"/>
    <w:rsid w:val="003C1B31"/>
    <w:rsid w:val="003C2B1A"/>
    <w:rsid w:val="003C39C6"/>
    <w:rsid w:val="003C6C2F"/>
    <w:rsid w:val="003C7E95"/>
    <w:rsid w:val="003D0C22"/>
    <w:rsid w:val="003D6941"/>
    <w:rsid w:val="003E1E1C"/>
    <w:rsid w:val="003F0403"/>
    <w:rsid w:val="003F5B99"/>
    <w:rsid w:val="004019FD"/>
    <w:rsid w:val="00403E6A"/>
    <w:rsid w:val="004053B5"/>
    <w:rsid w:val="0040615A"/>
    <w:rsid w:val="00411E29"/>
    <w:rsid w:val="00411F4F"/>
    <w:rsid w:val="004127FA"/>
    <w:rsid w:val="0042033E"/>
    <w:rsid w:val="00427461"/>
    <w:rsid w:val="00430A68"/>
    <w:rsid w:val="004357AD"/>
    <w:rsid w:val="00453296"/>
    <w:rsid w:val="0046616C"/>
    <w:rsid w:val="00467DFD"/>
    <w:rsid w:val="00476879"/>
    <w:rsid w:val="00490A32"/>
    <w:rsid w:val="00490F10"/>
    <w:rsid w:val="00492C35"/>
    <w:rsid w:val="00493AE4"/>
    <w:rsid w:val="00493C81"/>
    <w:rsid w:val="00493D65"/>
    <w:rsid w:val="00494006"/>
    <w:rsid w:val="0049475E"/>
    <w:rsid w:val="00496558"/>
    <w:rsid w:val="004A14C9"/>
    <w:rsid w:val="004A3506"/>
    <w:rsid w:val="004A7A0C"/>
    <w:rsid w:val="004B0CD4"/>
    <w:rsid w:val="004C39AD"/>
    <w:rsid w:val="004C4EE9"/>
    <w:rsid w:val="004C6867"/>
    <w:rsid w:val="004D020A"/>
    <w:rsid w:val="004D1562"/>
    <w:rsid w:val="004E4311"/>
    <w:rsid w:val="004E4460"/>
    <w:rsid w:val="004E5785"/>
    <w:rsid w:val="004E5D79"/>
    <w:rsid w:val="004F4904"/>
    <w:rsid w:val="004F5FF9"/>
    <w:rsid w:val="00500640"/>
    <w:rsid w:val="00500D7D"/>
    <w:rsid w:val="005057B2"/>
    <w:rsid w:val="005065F3"/>
    <w:rsid w:val="005067AC"/>
    <w:rsid w:val="00514890"/>
    <w:rsid w:val="0051584D"/>
    <w:rsid w:val="00521A24"/>
    <w:rsid w:val="0053048D"/>
    <w:rsid w:val="00532138"/>
    <w:rsid w:val="0053532A"/>
    <w:rsid w:val="005404F1"/>
    <w:rsid w:val="00544D85"/>
    <w:rsid w:val="00544EBE"/>
    <w:rsid w:val="00550776"/>
    <w:rsid w:val="00556004"/>
    <w:rsid w:val="00566460"/>
    <w:rsid w:val="00567535"/>
    <w:rsid w:val="0057075C"/>
    <w:rsid w:val="00570E8E"/>
    <w:rsid w:val="005721F8"/>
    <w:rsid w:val="005836C7"/>
    <w:rsid w:val="00587B8A"/>
    <w:rsid w:val="00595DB7"/>
    <w:rsid w:val="005A6344"/>
    <w:rsid w:val="005B3E86"/>
    <w:rsid w:val="005B6F55"/>
    <w:rsid w:val="005B7C17"/>
    <w:rsid w:val="005C1A50"/>
    <w:rsid w:val="005C560C"/>
    <w:rsid w:val="005D1066"/>
    <w:rsid w:val="005D5CF6"/>
    <w:rsid w:val="005D7720"/>
    <w:rsid w:val="005E04EA"/>
    <w:rsid w:val="005E0D7D"/>
    <w:rsid w:val="005E3CFB"/>
    <w:rsid w:val="005E4BF8"/>
    <w:rsid w:val="005E7208"/>
    <w:rsid w:val="005F106F"/>
    <w:rsid w:val="005F51B8"/>
    <w:rsid w:val="00603869"/>
    <w:rsid w:val="00607C4E"/>
    <w:rsid w:val="00613AF9"/>
    <w:rsid w:val="0061732F"/>
    <w:rsid w:val="0062257E"/>
    <w:rsid w:val="006249B8"/>
    <w:rsid w:val="00625BC2"/>
    <w:rsid w:val="00627E34"/>
    <w:rsid w:val="006309AA"/>
    <w:rsid w:val="006324B1"/>
    <w:rsid w:val="00633473"/>
    <w:rsid w:val="006379BD"/>
    <w:rsid w:val="006417DF"/>
    <w:rsid w:val="0064403B"/>
    <w:rsid w:val="006500EC"/>
    <w:rsid w:val="00652071"/>
    <w:rsid w:val="00652D7E"/>
    <w:rsid w:val="00653551"/>
    <w:rsid w:val="0065563B"/>
    <w:rsid w:val="00663204"/>
    <w:rsid w:val="00665471"/>
    <w:rsid w:val="00671C61"/>
    <w:rsid w:val="006722C6"/>
    <w:rsid w:val="0068206F"/>
    <w:rsid w:val="00692D7F"/>
    <w:rsid w:val="00694DF5"/>
    <w:rsid w:val="00696F8C"/>
    <w:rsid w:val="006973BA"/>
    <w:rsid w:val="006A0AE2"/>
    <w:rsid w:val="006A1013"/>
    <w:rsid w:val="006A2F10"/>
    <w:rsid w:val="006A77D0"/>
    <w:rsid w:val="006B040D"/>
    <w:rsid w:val="006B3D49"/>
    <w:rsid w:val="006B4C9F"/>
    <w:rsid w:val="006C756C"/>
    <w:rsid w:val="006D19E1"/>
    <w:rsid w:val="006D4A96"/>
    <w:rsid w:val="006F1475"/>
    <w:rsid w:val="006F2E9A"/>
    <w:rsid w:val="006F3259"/>
    <w:rsid w:val="006F359E"/>
    <w:rsid w:val="006F5B85"/>
    <w:rsid w:val="00702AE0"/>
    <w:rsid w:val="00714433"/>
    <w:rsid w:val="007174DA"/>
    <w:rsid w:val="007216F0"/>
    <w:rsid w:val="00722B51"/>
    <w:rsid w:val="00724D7A"/>
    <w:rsid w:val="00725ED2"/>
    <w:rsid w:val="007400DF"/>
    <w:rsid w:val="00740AF6"/>
    <w:rsid w:val="007535ED"/>
    <w:rsid w:val="0075406E"/>
    <w:rsid w:val="00756702"/>
    <w:rsid w:val="00762EA3"/>
    <w:rsid w:val="00762FCB"/>
    <w:rsid w:val="007633E5"/>
    <w:rsid w:val="00775250"/>
    <w:rsid w:val="007763CB"/>
    <w:rsid w:val="007804A7"/>
    <w:rsid w:val="007908F6"/>
    <w:rsid w:val="007954D9"/>
    <w:rsid w:val="007A7952"/>
    <w:rsid w:val="007B0BDB"/>
    <w:rsid w:val="007B33DF"/>
    <w:rsid w:val="007B4BB8"/>
    <w:rsid w:val="007C1632"/>
    <w:rsid w:val="007C36EF"/>
    <w:rsid w:val="007C6BDE"/>
    <w:rsid w:val="007D0678"/>
    <w:rsid w:val="007D1C2C"/>
    <w:rsid w:val="007D52F5"/>
    <w:rsid w:val="007E7634"/>
    <w:rsid w:val="00800E25"/>
    <w:rsid w:val="00801634"/>
    <w:rsid w:val="0080537B"/>
    <w:rsid w:val="00813E35"/>
    <w:rsid w:val="008143EE"/>
    <w:rsid w:val="00816163"/>
    <w:rsid w:val="008219CF"/>
    <w:rsid w:val="0082772A"/>
    <w:rsid w:val="00831245"/>
    <w:rsid w:val="008314FC"/>
    <w:rsid w:val="00834062"/>
    <w:rsid w:val="00837104"/>
    <w:rsid w:val="00840E8F"/>
    <w:rsid w:val="0084100F"/>
    <w:rsid w:val="00844D48"/>
    <w:rsid w:val="00844F36"/>
    <w:rsid w:val="00845AE3"/>
    <w:rsid w:val="0085091C"/>
    <w:rsid w:val="00851090"/>
    <w:rsid w:val="0087241B"/>
    <w:rsid w:val="00873DC7"/>
    <w:rsid w:val="008869CC"/>
    <w:rsid w:val="00886A71"/>
    <w:rsid w:val="00893500"/>
    <w:rsid w:val="008A0437"/>
    <w:rsid w:val="008B618F"/>
    <w:rsid w:val="008B70F4"/>
    <w:rsid w:val="008D44C5"/>
    <w:rsid w:val="008D7E85"/>
    <w:rsid w:val="008E19FF"/>
    <w:rsid w:val="008E275B"/>
    <w:rsid w:val="008E53FF"/>
    <w:rsid w:val="008E620C"/>
    <w:rsid w:val="008F249D"/>
    <w:rsid w:val="008F54F8"/>
    <w:rsid w:val="009011AA"/>
    <w:rsid w:val="009015EF"/>
    <w:rsid w:val="00904774"/>
    <w:rsid w:val="0090668A"/>
    <w:rsid w:val="00906CC3"/>
    <w:rsid w:val="0091137D"/>
    <w:rsid w:val="00916E70"/>
    <w:rsid w:val="00917D56"/>
    <w:rsid w:val="009211FB"/>
    <w:rsid w:val="00931C9D"/>
    <w:rsid w:val="00933A00"/>
    <w:rsid w:val="00933BFD"/>
    <w:rsid w:val="00941691"/>
    <w:rsid w:val="00942AED"/>
    <w:rsid w:val="00944E25"/>
    <w:rsid w:val="00953F15"/>
    <w:rsid w:val="009642AB"/>
    <w:rsid w:val="00976A7F"/>
    <w:rsid w:val="00982BCB"/>
    <w:rsid w:val="00993F03"/>
    <w:rsid w:val="0099435F"/>
    <w:rsid w:val="00996BC5"/>
    <w:rsid w:val="00997AC1"/>
    <w:rsid w:val="009A15CF"/>
    <w:rsid w:val="009A6D34"/>
    <w:rsid w:val="009B4816"/>
    <w:rsid w:val="009C1BA8"/>
    <w:rsid w:val="009C2D0D"/>
    <w:rsid w:val="009C3492"/>
    <w:rsid w:val="009C49C6"/>
    <w:rsid w:val="009C5AA4"/>
    <w:rsid w:val="009D02D4"/>
    <w:rsid w:val="009D41B3"/>
    <w:rsid w:val="009D60E3"/>
    <w:rsid w:val="009E0D67"/>
    <w:rsid w:val="009E4985"/>
    <w:rsid w:val="009F16C5"/>
    <w:rsid w:val="009F3E11"/>
    <w:rsid w:val="009F6AF8"/>
    <w:rsid w:val="009F6E78"/>
    <w:rsid w:val="009F7A4B"/>
    <w:rsid w:val="009F7C7E"/>
    <w:rsid w:val="009F7E2A"/>
    <w:rsid w:val="00A01148"/>
    <w:rsid w:val="00A0769D"/>
    <w:rsid w:val="00A26A1B"/>
    <w:rsid w:val="00A31DC5"/>
    <w:rsid w:val="00A3313A"/>
    <w:rsid w:val="00A36C49"/>
    <w:rsid w:val="00A40C81"/>
    <w:rsid w:val="00A42CBC"/>
    <w:rsid w:val="00A436CD"/>
    <w:rsid w:val="00A5180B"/>
    <w:rsid w:val="00A55E36"/>
    <w:rsid w:val="00A6457C"/>
    <w:rsid w:val="00A72C49"/>
    <w:rsid w:val="00A7463D"/>
    <w:rsid w:val="00A8223C"/>
    <w:rsid w:val="00A8757B"/>
    <w:rsid w:val="00A92044"/>
    <w:rsid w:val="00A921DA"/>
    <w:rsid w:val="00A9727D"/>
    <w:rsid w:val="00AA16B9"/>
    <w:rsid w:val="00AA47DC"/>
    <w:rsid w:val="00AA7032"/>
    <w:rsid w:val="00AB624E"/>
    <w:rsid w:val="00AB689B"/>
    <w:rsid w:val="00AC2C09"/>
    <w:rsid w:val="00AC6B6F"/>
    <w:rsid w:val="00AC7160"/>
    <w:rsid w:val="00AE11FC"/>
    <w:rsid w:val="00AE2010"/>
    <w:rsid w:val="00AE2874"/>
    <w:rsid w:val="00AE4886"/>
    <w:rsid w:val="00AE6354"/>
    <w:rsid w:val="00AF0191"/>
    <w:rsid w:val="00AF15AF"/>
    <w:rsid w:val="00AF6EB4"/>
    <w:rsid w:val="00B01141"/>
    <w:rsid w:val="00B02E33"/>
    <w:rsid w:val="00B04CF2"/>
    <w:rsid w:val="00B12803"/>
    <w:rsid w:val="00B12B4A"/>
    <w:rsid w:val="00B13A94"/>
    <w:rsid w:val="00B214A1"/>
    <w:rsid w:val="00B22D5C"/>
    <w:rsid w:val="00B263F0"/>
    <w:rsid w:val="00B2716E"/>
    <w:rsid w:val="00B31661"/>
    <w:rsid w:val="00B32703"/>
    <w:rsid w:val="00B3518D"/>
    <w:rsid w:val="00B371FE"/>
    <w:rsid w:val="00B47522"/>
    <w:rsid w:val="00B5097B"/>
    <w:rsid w:val="00B54313"/>
    <w:rsid w:val="00B60B5F"/>
    <w:rsid w:val="00B6496F"/>
    <w:rsid w:val="00B71407"/>
    <w:rsid w:val="00B8064D"/>
    <w:rsid w:val="00B80F06"/>
    <w:rsid w:val="00B827C6"/>
    <w:rsid w:val="00B82A75"/>
    <w:rsid w:val="00B84CEB"/>
    <w:rsid w:val="00B86327"/>
    <w:rsid w:val="00B939F9"/>
    <w:rsid w:val="00B93F09"/>
    <w:rsid w:val="00BA23FC"/>
    <w:rsid w:val="00BB1390"/>
    <w:rsid w:val="00BC738E"/>
    <w:rsid w:val="00BD0576"/>
    <w:rsid w:val="00BD2E96"/>
    <w:rsid w:val="00BE50D0"/>
    <w:rsid w:val="00BF16FE"/>
    <w:rsid w:val="00C012F5"/>
    <w:rsid w:val="00C02D77"/>
    <w:rsid w:val="00C0428D"/>
    <w:rsid w:val="00C068BC"/>
    <w:rsid w:val="00C17081"/>
    <w:rsid w:val="00C20A85"/>
    <w:rsid w:val="00C27FD4"/>
    <w:rsid w:val="00C365E2"/>
    <w:rsid w:val="00C44EFB"/>
    <w:rsid w:val="00C55264"/>
    <w:rsid w:val="00C57FCF"/>
    <w:rsid w:val="00C63425"/>
    <w:rsid w:val="00C65808"/>
    <w:rsid w:val="00C65E67"/>
    <w:rsid w:val="00C6695C"/>
    <w:rsid w:val="00C76A02"/>
    <w:rsid w:val="00C97946"/>
    <w:rsid w:val="00CA4F91"/>
    <w:rsid w:val="00CA7ABB"/>
    <w:rsid w:val="00CB24BF"/>
    <w:rsid w:val="00CB57E5"/>
    <w:rsid w:val="00CB7EE8"/>
    <w:rsid w:val="00CC0BDA"/>
    <w:rsid w:val="00CC1F53"/>
    <w:rsid w:val="00CC3B0C"/>
    <w:rsid w:val="00CC445A"/>
    <w:rsid w:val="00CC48E8"/>
    <w:rsid w:val="00CD4EFC"/>
    <w:rsid w:val="00CE020F"/>
    <w:rsid w:val="00CE432C"/>
    <w:rsid w:val="00CE6DBB"/>
    <w:rsid w:val="00D03D78"/>
    <w:rsid w:val="00D0520C"/>
    <w:rsid w:val="00D14555"/>
    <w:rsid w:val="00D17DCC"/>
    <w:rsid w:val="00D2151F"/>
    <w:rsid w:val="00D21617"/>
    <w:rsid w:val="00D26E32"/>
    <w:rsid w:val="00D31359"/>
    <w:rsid w:val="00D32EF0"/>
    <w:rsid w:val="00D34665"/>
    <w:rsid w:val="00D35E52"/>
    <w:rsid w:val="00D36FA6"/>
    <w:rsid w:val="00D41E9A"/>
    <w:rsid w:val="00D53F31"/>
    <w:rsid w:val="00D5584D"/>
    <w:rsid w:val="00D6140D"/>
    <w:rsid w:val="00D62269"/>
    <w:rsid w:val="00D62EDC"/>
    <w:rsid w:val="00D63D44"/>
    <w:rsid w:val="00D923E3"/>
    <w:rsid w:val="00D950FF"/>
    <w:rsid w:val="00D976DC"/>
    <w:rsid w:val="00DA244B"/>
    <w:rsid w:val="00DA6377"/>
    <w:rsid w:val="00DA7F88"/>
    <w:rsid w:val="00DB52E7"/>
    <w:rsid w:val="00DC0318"/>
    <w:rsid w:val="00DC2A4F"/>
    <w:rsid w:val="00DD1D5F"/>
    <w:rsid w:val="00DE0269"/>
    <w:rsid w:val="00E012C5"/>
    <w:rsid w:val="00E023A9"/>
    <w:rsid w:val="00E07D1B"/>
    <w:rsid w:val="00E1006D"/>
    <w:rsid w:val="00E15401"/>
    <w:rsid w:val="00E1729C"/>
    <w:rsid w:val="00E218E2"/>
    <w:rsid w:val="00E23FEE"/>
    <w:rsid w:val="00E42144"/>
    <w:rsid w:val="00E42ED5"/>
    <w:rsid w:val="00E47064"/>
    <w:rsid w:val="00E53F82"/>
    <w:rsid w:val="00E548A7"/>
    <w:rsid w:val="00E57E49"/>
    <w:rsid w:val="00E61C50"/>
    <w:rsid w:val="00E65D4A"/>
    <w:rsid w:val="00E7237D"/>
    <w:rsid w:val="00E76453"/>
    <w:rsid w:val="00E917F8"/>
    <w:rsid w:val="00E9249A"/>
    <w:rsid w:val="00EA3440"/>
    <w:rsid w:val="00EA34C6"/>
    <w:rsid w:val="00EA3874"/>
    <w:rsid w:val="00EA50D7"/>
    <w:rsid w:val="00EA56BF"/>
    <w:rsid w:val="00EC17F6"/>
    <w:rsid w:val="00EC3533"/>
    <w:rsid w:val="00ED4E52"/>
    <w:rsid w:val="00ED5856"/>
    <w:rsid w:val="00ED7123"/>
    <w:rsid w:val="00EE0D41"/>
    <w:rsid w:val="00EE40FA"/>
    <w:rsid w:val="00EF2F33"/>
    <w:rsid w:val="00EF596C"/>
    <w:rsid w:val="00F0298C"/>
    <w:rsid w:val="00F07750"/>
    <w:rsid w:val="00F10047"/>
    <w:rsid w:val="00F1332D"/>
    <w:rsid w:val="00F2658B"/>
    <w:rsid w:val="00F30A77"/>
    <w:rsid w:val="00F4393F"/>
    <w:rsid w:val="00F46A3A"/>
    <w:rsid w:val="00F5375D"/>
    <w:rsid w:val="00F5454E"/>
    <w:rsid w:val="00F5602C"/>
    <w:rsid w:val="00F56A8F"/>
    <w:rsid w:val="00F70248"/>
    <w:rsid w:val="00F715C3"/>
    <w:rsid w:val="00F718BD"/>
    <w:rsid w:val="00F75A2A"/>
    <w:rsid w:val="00F77F3D"/>
    <w:rsid w:val="00F80507"/>
    <w:rsid w:val="00F83CD3"/>
    <w:rsid w:val="00F85F61"/>
    <w:rsid w:val="00F95487"/>
    <w:rsid w:val="00F95DEF"/>
    <w:rsid w:val="00FA1553"/>
    <w:rsid w:val="00FA4DF8"/>
    <w:rsid w:val="00FB0123"/>
    <w:rsid w:val="00FB04F1"/>
    <w:rsid w:val="00FB45FB"/>
    <w:rsid w:val="00FB4B6E"/>
    <w:rsid w:val="00FC09A1"/>
    <w:rsid w:val="00FC1374"/>
    <w:rsid w:val="00FC1781"/>
    <w:rsid w:val="00FC244F"/>
    <w:rsid w:val="00FD79DA"/>
    <w:rsid w:val="00FE2ADC"/>
    <w:rsid w:val="00FE5997"/>
    <w:rsid w:val="00FF0950"/>
    <w:rsid w:val="00FF5484"/>
    <w:rsid w:val="00FF54E4"/>
    <w:rsid w:val="00FF6BDD"/>
    <w:rsid w:val="00FF79F6"/>
    <w:rsid w:val="0C3545CD"/>
    <w:rsid w:val="0C79E7B2"/>
    <w:rsid w:val="138FE9CB"/>
    <w:rsid w:val="2B8E5DD9"/>
    <w:rsid w:val="2C8553D4"/>
    <w:rsid w:val="2D07F011"/>
    <w:rsid w:val="338F7389"/>
    <w:rsid w:val="7D522D5D"/>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1A8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C4EE9"/>
    <w:rPr>
      <w:sz w:val="24"/>
      <w:szCs w:val="24"/>
      <w:lang w:val="de-DE" w:eastAsia="de-DE"/>
    </w:rPr>
  </w:style>
  <w:style w:type="paragraph" w:styleId="Heading1">
    <w:name w:val="heading 1"/>
    <w:basedOn w:val="Normal"/>
    <w:next w:val="Normal"/>
    <w:rsid w:val="004C4EE9"/>
    <w:pPr>
      <w:keepNext/>
      <w:outlineLvl w:val="0"/>
    </w:pPr>
    <w:rPr>
      <w:b/>
      <w:sz w:val="28"/>
      <w:szCs w:val="20"/>
      <w:lang w:val="en-GB"/>
    </w:rPr>
  </w:style>
  <w:style w:type="paragraph" w:styleId="Heading2">
    <w:name w:val="heading 2"/>
    <w:basedOn w:val="Normal"/>
    <w:next w:val="Normal"/>
    <w:autoRedefine/>
    <w:rsid w:val="004C4EE9"/>
    <w:pPr>
      <w:keepNext/>
      <w:spacing w:before="240" w:after="60"/>
      <w:outlineLvl w:val="1"/>
    </w:pPr>
    <w:rPr>
      <w:rFonts w:cs="Arial"/>
      <w:bCs/>
      <w:iCs/>
      <w:sz w:val="22"/>
      <w:szCs w:val="22"/>
    </w:rPr>
  </w:style>
  <w:style w:type="paragraph" w:styleId="Heading3">
    <w:name w:val="heading 3"/>
    <w:basedOn w:val="Normal"/>
    <w:next w:val="Normal"/>
    <w:autoRedefine/>
    <w:rsid w:val="004C4EE9"/>
    <w:pPr>
      <w:keepNext/>
      <w:outlineLvl w:val="2"/>
    </w:pPr>
    <w:rPr>
      <w:b/>
      <w:lang w:val="en-GB"/>
    </w:rPr>
  </w:style>
  <w:style w:type="paragraph" w:styleId="Heading4">
    <w:name w:val="heading 4"/>
    <w:basedOn w:val="Normal"/>
    <w:next w:val="Normal"/>
    <w:rsid w:val="004C4EE9"/>
    <w:pPr>
      <w:keepNext/>
      <w:spacing w:before="240" w:after="60"/>
      <w:outlineLvl w:val="3"/>
    </w:pPr>
    <w:rPr>
      <w:b/>
      <w:bCs/>
      <w:sz w:val="28"/>
      <w:szCs w:val="28"/>
    </w:rPr>
  </w:style>
  <w:style w:type="paragraph" w:styleId="Heading5">
    <w:name w:val="heading 5"/>
    <w:basedOn w:val="Normal"/>
    <w:next w:val="Normal"/>
    <w:autoRedefine/>
    <w:rsid w:val="004C4EE9"/>
    <w:pPr>
      <w:keepNext/>
      <w:outlineLvl w:val="4"/>
    </w:pPr>
    <w:rPr>
      <w:b/>
      <w:sz w:val="20"/>
      <w:szCs w:val="20"/>
      <w:lang w:val="en-GB"/>
    </w:rPr>
  </w:style>
  <w:style w:type="paragraph" w:styleId="Heading6">
    <w:name w:val="heading 6"/>
    <w:basedOn w:val="Normal"/>
    <w:next w:val="Normal"/>
    <w:autoRedefine/>
    <w:rsid w:val="004C4EE9"/>
    <w:pPr>
      <w:keepNext/>
      <w:jc w:val="center"/>
      <w:outlineLvl w:val="5"/>
    </w:pPr>
    <w:rPr>
      <w:rFonts w:cs="Arial"/>
      <w:color w:val="000000"/>
      <w:sz w:val="22"/>
      <w:szCs w:val="22"/>
    </w:rPr>
  </w:style>
  <w:style w:type="paragraph" w:styleId="Heading7">
    <w:name w:val="heading 7"/>
    <w:basedOn w:val="Normal"/>
    <w:next w:val="Normal"/>
    <w:rsid w:val="004C4EE9"/>
    <w:pPr>
      <w:spacing w:before="240" w:after="60"/>
      <w:outlineLvl w:val="6"/>
    </w:pPr>
  </w:style>
  <w:style w:type="paragraph" w:styleId="Heading8">
    <w:name w:val="heading 8"/>
    <w:basedOn w:val="Normal"/>
    <w:next w:val="Normal"/>
    <w:rsid w:val="004C4EE9"/>
    <w:pPr>
      <w:spacing w:before="240" w:after="60"/>
      <w:outlineLvl w:val="7"/>
    </w:pPr>
    <w:rPr>
      <w:i/>
      <w:iCs/>
    </w:rPr>
  </w:style>
  <w:style w:type="paragraph" w:styleId="Heading9">
    <w:name w:val="heading 9"/>
    <w:basedOn w:val="Normal"/>
    <w:next w:val="Normal"/>
    <w:rsid w:val="004C4EE9"/>
    <w:pPr>
      <w:spacing w:before="240" w:after="60"/>
      <w:outlineLvl w:val="8"/>
    </w:pPr>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autoRedefine/>
    <w:rsid w:val="00A55E36"/>
    <w:pPr>
      <w:numPr>
        <w:numId w:val="1"/>
      </w:numPr>
    </w:pPr>
  </w:style>
  <w:style w:type="character" w:customStyle="1" w:styleId="texto">
    <w:name w:val="texto"/>
    <w:basedOn w:val="DefaultParagraphFont"/>
    <w:rsid w:val="00A6457C"/>
  </w:style>
  <w:style w:type="character" w:styleId="CommentReference">
    <w:name w:val="annotation reference"/>
    <w:basedOn w:val="DefaultParagraphFont"/>
    <w:semiHidden/>
    <w:rsid w:val="009E4985"/>
    <w:rPr>
      <w:sz w:val="16"/>
      <w:szCs w:val="16"/>
    </w:rPr>
  </w:style>
  <w:style w:type="paragraph" w:styleId="CommentText">
    <w:name w:val="annotation text"/>
    <w:basedOn w:val="Normal"/>
    <w:semiHidden/>
    <w:rsid w:val="009E4985"/>
    <w:rPr>
      <w:sz w:val="20"/>
      <w:szCs w:val="20"/>
    </w:rPr>
  </w:style>
  <w:style w:type="character" w:customStyle="1" w:styleId="SWCBulletedListCar">
    <w:name w:val="SWC_BulletedList Car"/>
    <w:basedOn w:val="DefaultParagraphFont"/>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DefaultParagraphFont"/>
    <w:link w:val="CPV-7Heading1Character"/>
    <w:rsid w:val="00FE2ADC"/>
    <w:rPr>
      <w:b/>
      <w:color w:val="000000"/>
      <w:sz w:val="22"/>
      <w:szCs w:val="24"/>
      <w:lang w:val="en-US" w:eastAsia="de-DE" w:bidi="ar-SA"/>
    </w:rPr>
  </w:style>
  <w:style w:type="paragraph" w:customStyle="1" w:styleId="SWCHeading11">
    <w:name w:val="SWC_Heading1.1"/>
    <w:basedOn w:val="SWCHeading1"/>
    <w:next w:val="Normal"/>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CommentSubject">
    <w:name w:val="annotation subject"/>
    <w:basedOn w:val="CommentText"/>
    <w:next w:val="CommentText"/>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Hyperlink">
    <w:name w:val="Hyperlink"/>
    <w:basedOn w:val="DefaultParagraphFont"/>
    <w:rsid w:val="005D5CF6"/>
    <w:rPr>
      <w:color w:val="0000FF"/>
      <w:u w:val="single"/>
    </w:rPr>
  </w:style>
  <w:style w:type="paragraph" w:styleId="BalloonText">
    <w:name w:val="Balloon Text"/>
    <w:basedOn w:val="Normal"/>
    <w:semiHidden/>
    <w:rsid w:val="009E4985"/>
    <w:rPr>
      <w:rFonts w:ascii="Tahoma" w:hAnsi="Tahoma" w:cs="Tahoma"/>
      <w:sz w:val="16"/>
      <w:szCs w:val="16"/>
    </w:rPr>
  </w:style>
  <w:style w:type="paragraph" w:customStyle="1" w:styleId="SP09Heading111">
    <w:name w:val="SP09_Heading1.1.1"/>
    <w:basedOn w:val="Normal"/>
    <w:rsid w:val="00DC0318"/>
    <w:pPr>
      <w:spacing w:before="160" w:after="80" w:line="240" w:lineRule="exact"/>
    </w:pPr>
    <w:rPr>
      <w:b/>
      <w:color w:val="000000"/>
      <w:sz w:val="20"/>
      <w:szCs w:val="22"/>
      <w:lang w:val="en-US"/>
    </w:rPr>
  </w:style>
  <w:style w:type="table" w:styleId="TableGrid">
    <w:name w:val="Table Grid"/>
    <w:basedOn w:val="TableNormal"/>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Normal"/>
    <w:next w:val="AuthorAdress"/>
    <w:rsid w:val="00155FB8"/>
    <w:pPr>
      <w:spacing w:after="240"/>
      <w:jc w:val="center"/>
    </w:pPr>
    <w:rPr>
      <w:szCs w:val="20"/>
      <w:lang w:val="en-GB" w:eastAsia="es-ES"/>
    </w:rPr>
  </w:style>
  <w:style w:type="paragraph" w:customStyle="1" w:styleId="AuthorAdress">
    <w:name w:val="AuthorAdress"/>
    <w:basedOn w:val="Normal"/>
    <w:next w:val="Affiliations"/>
    <w:rsid w:val="00155FB8"/>
    <w:pPr>
      <w:spacing w:after="120" w:line="320" w:lineRule="atLeast"/>
      <w:jc w:val="center"/>
    </w:pPr>
    <w:rPr>
      <w:i/>
      <w:lang w:val="en-GB" w:eastAsia="es-ES"/>
    </w:rPr>
  </w:style>
  <w:style w:type="paragraph" w:customStyle="1" w:styleId="TableText">
    <w:name w:val="TableText"/>
    <w:basedOn w:val="Normal"/>
    <w:next w:val="Normal"/>
    <w:rsid w:val="00155FB8"/>
    <w:pPr>
      <w:jc w:val="center"/>
    </w:pPr>
    <w:rPr>
      <w:sz w:val="20"/>
      <w:szCs w:val="20"/>
      <w:lang w:val="es-ES" w:eastAsia="es-ES"/>
    </w:rPr>
  </w:style>
  <w:style w:type="paragraph" w:customStyle="1" w:styleId="Text">
    <w:name w:val="Text"/>
    <w:basedOn w:val="Normal"/>
    <w:rsid w:val="009B4816"/>
    <w:pPr>
      <w:spacing w:after="240" w:line="320" w:lineRule="atLeast"/>
      <w:jc w:val="both"/>
    </w:pPr>
    <w:rPr>
      <w:szCs w:val="20"/>
      <w:lang w:val="en-GB" w:eastAsia="es-ES"/>
    </w:rPr>
  </w:style>
  <w:style w:type="paragraph" w:customStyle="1" w:styleId="FigureCaption">
    <w:name w:val="FigureCaption"/>
    <w:basedOn w:val="Normal"/>
    <w:next w:val="Normal"/>
    <w:rsid w:val="00AC2C09"/>
    <w:pPr>
      <w:jc w:val="center"/>
    </w:pPr>
    <w:rPr>
      <w:szCs w:val="20"/>
      <w:lang w:val="es-ES" w:eastAsia="es-ES"/>
    </w:rPr>
  </w:style>
  <w:style w:type="paragraph" w:customStyle="1" w:styleId="Title2">
    <w:name w:val="Title2"/>
    <w:basedOn w:val="Normal"/>
    <w:link w:val="Title2CarCar"/>
    <w:rsid w:val="00AC2C09"/>
    <w:pPr>
      <w:keepNext/>
      <w:spacing w:before="240" w:after="120" w:line="320" w:lineRule="atLeast"/>
    </w:pPr>
    <w:rPr>
      <w:b/>
      <w:szCs w:val="20"/>
      <w:lang w:val="en-GB" w:eastAsia="es-ES"/>
    </w:rPr>
  </w:style>
  <w:style w:type="character" w:customStyle="1" w:styleId="Title2CarCar">
    <w:name w:val="Title2 Car Car"/>
    <w:basedOn w:val="DefaultParagraphFont"/>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Normal"/>
    <w:link w:val="SWCHeading1Car"/>
    <w:qFormat/>
    <w:rsid w:val="002972D1"/>
    <w:pPr>
      <w:numPr>
        <w:numId w:val="11"/>
      </w:numPr>
      <w:spacing w:before="360" w:after="120" w:line="280" w:lineRule="exact"/>
      <w:ind w:left="714" w:hanging="357"/>
      <w:jc w:val="center"/>
    </w:pPr>
    <w:rPr>
      <w:rFonts w:ascii="Arial" w:hAnsi="Arial"/>
      <w:b/>
      <w:color w:val="000000"/>
      <w:szCs w:val="24"/>
      <w:lang w:val="en-US" w:eastAsia="de-DE"/>
    </w:rPr>
  </w:style>
  <w:style w:type="paragraph" w:customStyle="1" w:styleId="SP09Heading11">
    <w:name w:val="SP09_Heading1.1"/>
    <w:next w:val="Normal"/>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FootnoteText">
    <w:name w:val="footnote text"/>
    <w:basedOn w:val="Normal"/>
    <w:semiHidden/>
    <w:rsid w:val="003869E8"/>
    <w:rPr>
      <w:sz w:val="20"/>
      <w:szCs w:val="20"/>
    </w:rPr>
  </w:style>
  <w:style w:type="character" w:styleId="FootnoteReference">
    <w:name w:val="footnote reference"/>
    <w:basedOn w:val="DefaultParagraphFont"/>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DefaultParagraphFont"/>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PlaceholderText">
    <w:name w:val="Placeholder Text"/>
    <w:basedOn w:val="DefaultParagraphFont"/>
    <w:uiPriority w:val="99"/>
    <w:semiHidden/>
    <w:rsid w:val="00653551"/>
    <w:rPr>
      <w:color w:val="808080"/>
    </w:rPr>
  </w:style>
  <w:style w:type="character" w:customStyle="1" w:styleId="NichtaufgelsteErwhnung1">
    <w:name w:val="Nicht aufgelöste Erwähnung1"/>
    <w:basedOn w:val="DefaultParagraphFont"/>
    <w:uiPriority w:val="99"/>
    <w:semiHidden/>
    <w:unhideWhenUsed/>
    <w:rsid w:val="00E218E2"/>
    <w:rPr>
      <w:color w:val="605E5C"/>
      <w:shd w:val="clear" w:color="auto" w:fill="E1DFDD"/>
    </w:rPr>
  </w:style>
  <w:style w:type="paragraph" w:styleId="Revision">
    <w:name w:val="Revision"/>
    <w:hidden/>
    <w:uiPriority w:val="99"/>
    <w:semiHidden/>
    <w:rsid w:val="00FA4DF8"/>
    <w:rPr>
      <w:sz w:val="24"/>
      <w:szCs w:val="24"/>
      <w:lang w:val="de-DE" w:eastAsia="de-DE"/>
    </w:rPr>
  </w:style>
  <w:style w:type="paragraph" w:styleId="Header">
    <w:name w:val="header"/>
    <w:basedOn w:val="Normal"/>
    <w:link w:val="HeaderChar"/>
    <w:uiPriority w:val="99"/>
    <w:unhideWhenUsed/>
    <w:rsid w:val="00FC1374"/>
    <w:pPr>
      <w:tabs>
        <w:tab w:val="center" w:pos="4536"/>
        <w:tab w:val="right" w:pos="9072"/>
      </w:tabs>
    </w:pPr>
  </w:style>
  <w:style w:type="character" w:customStyle="1" w:styleId="HeaderChar">
    <w:name w:val="Header Char"/>
    <w:basedOn w:val="DefaultParagraphFont"/>
    <w:link w:val="Header"/>
    <w:uiPriority w:val="99"/>
    <w:rsid w:val="00FC1374"/>
    <w:rPr>
      <w:sz w:val="24"/>
      <w:szCs w:val="24"/>
      <w:lang w:val="de-DE" w:eastAsia="de-DE"/>
    </w:rPr>
  </w:style>
  <w:style w:type="paragraph" w:styleId="Footer">
    <w:name w:val="footer"/>
    <w:basedOn w:val="Normal"/>
    <w:link w:val="FooterChar"/>
    <w:uiPriority w:val="99"/>
    <w:unhideWhenUsed/>
    <w:rsid w:val="00FC1374"/>
    <w:pPr>
      <w:tabs>
        <w:tab w:val="center" w:pos="4536"/>
        <w:tab w:val="right" w:pos="9072"/>
      </w:tabs>
    </w:pPr>
  </w:style>
  <w:style w:type="character" w:customStyle="1" w:styleId="FooterChar">
    <w:name w:val="Footer Char"/>
    <w:basedOn w:val="DefaultParagraphFont"/>
    <w:link w:val="Footer"/>
    <w:uiPriority w:val="99"/>
    <w:rsid w:val="00FC1374"/>
    <w:rPr>
      <w:sz w:val="24"/>
      <w:szCs w:val="24"/>
      <w:lang w:val="de-DE" w:eastAsia="de-DE"/>
    </w:rPr>
  </w:style>
  <w:style w:type="character" w:styleId="UnresolvedMention">
    <w:name w:val="Unresolved Mention"/>
    <w:basedOn w:val="DefaultParagraphFont"/>
    <w:uiPriority w:val="99"/>
    <w:semiHidden/>
    <w:unhideWhenUsed/>
    <w:rsid w:val="00A72C49"/>
    <w:rPr>
      <w:color w:val="605E5C"/>
      <w:shd w:val="clear" w:color="auto" w:fill="E1DFDD"/>
    </w:rPr>
  </w:style>
  <w:style w:type="table" w:customStyle="1" w:styleId="TableGrid1">
    <w:name w:val="Table Grid1"/>
    <w:basedOn w:val="TableNormal"/>
    <w:next w:val="TableGrid"/>
    <w:uiPriority w:val="59"/>
    <w:rsid w:val="00493D65"/>
    <w:rPr>
      <w:rFonts w:ascii="Cambria" w:eastAsia="MS Mincho" w:hAnsi="Cambria"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uiPriority w:val="33"/>
    <w:rsid w:val="00CC1F53"/>
    <w:rPr>
      <w:b/>
      <w:bCs/>
      <w:i/>
      <w:iCs/>
      <w:spacing w:val="5"/>
    </w:rPr>
  </w:style>
  <w:style w:type="paragraph" w:styleId="Caption">
    <w:name w:val="caption"/>
    <w:basedOn w:val="Normal"/>
    <w:next w:val="Normal"/>
    <w:uiPriority w:val="35"/>
    <w:semiHidden/>
    <w:unhideWhenUsed/>
    <w:qFormat/>
    <w:rsid w:val="00CC1F53"/>
    <w:pPr>
      <w:spacing w:after="200"/>
    </w:pPr>
    <w:rPr>
      <w:i/>
      <w:iCs/>
      <w:color w:val="1F497D" w:themeColor="text2"/>
      <w:sz w:val="18"/>
      <w:szCs w:val="18"/>
    </w:rPr>
  </w:style>
  <w:style w:type="character" w:styleId="Emphasis">
    <w:name w:val="Emphasis"/>
    <w:basedOn w:val="DefaultParagraphFont"/>
    <w:uiPriority w:val="20"/>
    <w:rsid w:val="00CC1F53"/>
    <w:rPr>
      <w:i/>
      <w:iCs/>
    </w:rPr>
  </w:style>
  <w:style w:type="character" w:styleId="IntenseEmphasis">
    <w:name w:val="Intense Emphasis"/>
    <w:basedOn w:val="DefaultParagraphFont"/>
    <w:uiPriority w:val="21"/>
    <w:rsid w:val="00CC1F53"/>
    <w:rPr>
      <w:i/>
      <w:iCs/>
      <w:color w:val="4F81BD" w:themeColor="accent1"/>
    </w:rPr>
  </w:style>
  <w:style w:type="paragraph" w:styleId="IntenseQuote">
    <w:name w:val="Intense Quote"/>
    <w:basedOn w:val="Normal"/>
    <w:next w:val="Normal"/>
    <w:link w:val="IntenseQuoteChar"/>
    <w:uiPriority w:val="30"/>
    <w:rsid w:val="00CC1F53"/>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CC1F53"/>
    <w:rPr>
      <w:i/>
      <w:iCs/>
      <w:color w:val="4F81BD" w:themeColor="accent1"/>
      <w:sz w:val="24"/>
      <w:szCs w:val="24"/>
      <w:lang w:val="de-DE" w:eastAsia="de-DE"/>
    </w:rPr>
  </w:style>
  <w:style w:type="character" w:styleId="IntenseReference">
    <w:name w:val="Intense Reference"/>
    <w:basedOn w:val="DefaultParagraphFont"/>
    <w:uiPriority w:val="32"/>
    <w:rsid w:val="00CC1F53"/>
    <w:rPr>
      <w:b/>
      <w:bCs/>
      <w:smallCaps/>
      <w:color w:val="4F81BD" w:themeColor="accent1"/>
      <w:spacing w:val="5"/>
    </w:rPr>
  </w:style>
  <w:style w:type="paragraph" w:styleId="ListParagraph">
    <w:name w:val="List Paragraph"/>
    <w:basedOn w:val="Normal"/>
    <w:uiPriority w:val="34"/>
    <w:rsid w:val="00CC1F53"/>
    <w:pPr>
      <w:ind w:left="720"/>
      <w:contextualSpacing/>
    </w:pPr>
  </w:style>
  <w:style w:type="paragraph" w:styleId="NoSpacing">
    <w:name w:val="No Spacing"/>
    <w:uiPriority w:val="1"/>
    <w:rsid w:val="00CC1F53"/>
    <w:rPr>
      <w:sz w:val="24"/>
      <w:szCs w:val="24"/>
      <w:lang w:val="de-DE" w:eastAsia="de-DE"/>
    </w:rPr>
  </w:style>
  <w:style w:type="paragraph" w:styleId="Quote">
    <w:name w:val="Quote"/>
    <w:basedOn w:val="Normal"/>
    <w:next w:val="Normal"/>
    <w:link w:val="QuoteChar"/>
    <w:uiPriority w:val="29"/>
    <w:rsid w:val="00CC1F5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C1F53"/>
    <w:rPr>
      <w:i/>
      <w:iCs/>
      <w:color w:val="404040" w:themeColor="text1" w:themeTint="BF"/>
      <w:sz w:val="24"/>
      <w:szCs w:val="24"/>
      <w:lang w:val="de-DE" w:eastAsia="de-DE"/>
    </w:rPr>
  </w:style>
  <w:style w:type="character" w:styleId="Strong">
    <w:name w:val="Strong"/>
    <w:basedOn w:val="DefaultParagraphFont"/>
    <w:uiPriority w:val="22"/>
    <w:rsid w:val="00CC1F53"/>
    <w:rPr>
      <w:b/>
      <w:bCs/>
    </w:rPr>
  </w:style>
  <w:style w:type="paragraph" w:styleId="Subtitle">
    <w:name w:val="Subtitle"/>
    <w:basedOn w:val="Normal"/>
    <w:next w:val="Normal"/>
    <w:link w:val="SubtitleChar"/>
    <w:uiPriority w:val="11"/>
    <w:rsid w:val="00CC1F53"/>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CC1F53"/>
    <w:rPr>
      <w:rFonts w:asciiTheme="minorHAnsi" w:eastAsiaTheme="minorEastAsia" w:hAnsiTheme="minorHAnsi" w:cstheme="minorBidi"/>
      <w:color w:val="5A5A5A" w:themeColor="text1" w:themeTint="A5"/>
      <w:spacing w:val="15"/>
      <w:sz w:val="22"/>
      <w:szCs w:val="22"/>
      <w:lang w:val="de-DE" w:eastAsia="de-DE"/>
    </w:rPr>
  </w:style>
  <w:style w:type="character" w:styleId="SubtleEmphasis">
    <w:name w:val="Subtle Emphasis"/>
    <w:basedOn w:val="DefaultParagraphFont"/>
    <w:uiPriority w:val="19"/>
    <w:rsid w:val="00CC1F53"/>
    <w:rPr>
      <w:i/>
      <w:iCs/>
      <w:color w:val="404040" w:themeColor="text1" w:themeTint="BF"/>
    </w:rPr>
  </w:style>
  <w:style w:type="character" w:styleId="SubtleReference">
    <w:name w:val="Subtle Reference"/>
    <w:basedOn w:val="DefaultParagraphFont"/>
    <w:uiPriority w:val="31"/>
    <w:rsid w:val="00CC1F53"/>
    <w:rPr>
      <w:smallCaps/>
      <w:color w:val="5A5A5A" w:themeColor="text1" w:themeTint="A5"/>
    </w:rPr>
  </w:style>
  <w:style w:type="paragraph" w:styleId="Title">
    <w:name w:val="Title"/>
    <w:basedOn w:val="Normal"/>
    <w:next w:val="Normal"/>
    <w:link w:val="TitleChar"/>
    <w:uiPriority w:val="10"/>
    <w:rsid w:val="00CC1F5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1F53"/>
    <w:rPr>
      <w:rFonts w:asciiTheme="majorHAnsi" w:eastAsiaTheme="majorEastAsia" w:hAnsiTheme="majorHAnsi" w:cstheme="majorBidi"/>
      <w:spacing w:val="-10"/>
      <w:kern w:val="28"/>
      <w:sz w:val="56"/>
      <w:szCs w:val="56"/>
      <w:lang w:val="de-DE" w:eastAsia="de-DE"/>
    </w:rPr>
  </w:style>
  <w:style w:type="paragraph" w:styleId="TOCHeading">
    <w:name w:val="TOC Heading"/>
    <w:basedOn w:val="Heading1"/>
    <w:next w:val="Normal"/>
    <w:uiPriority w:val="39"/>
    <w:semiHidden/>
    <w:unhideWhenUsed/>
    <w:qFormat/>
    <w:rsid w:val="00CC1F53"/>
    <w:pPr>
      <w:keepLines/>
      <w:spacing w:before="240"/>
      <w:outlineLvl w:val="9"/>
    </w:pPr>
    <w:rPr>
      <w:rFonts w:asciiTheme="majorHAnsi" w:eastAsiaTheme="majorEastAsia" w:hAnsiTheme="majorHAnsi" w:cstheme="majorBidi"/>
      <w:b w:val="0"/>
      <w:color w:val="365F91" w:themeColor="accent1" w:themeShade="BF"/>
      <w:sz w:val="32"/>
      <w:szCs w:val="32"/>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wahab@hbku.edu.qa" TargetMode="Externa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dbachour@hbku.edu.qa" TargetMode="Externa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oi.org/10.1016/j.seta.2026.104884"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3020</Words>
  <Characters>18216</Characters>
  <Application>Microsoft Office Word</Application>
  <DocSecurity>0</DocSecurity>
  <Lines>298</Lines>
  <Paragraphs>127</Paragraphs>
  <ScaleCrop>false</ScaleCrop>
  <Company/>
  <LinksUpToDate>false</LinksUpToDate>
  <CharactersWithSpaces>21109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2026-09-10T10:52:00Z</dcterms:created>
  <dcterms:modified xsi:type="dcterms:W3CDTF">2026-09-10T10:52:00Z</dcterms:modified>
</cp:coreProperties>
</file>