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C823C" w14:textId="77777777" w:rsidR="004F3F50" w:rsidRDefault="004F3F50" w:rsidP="004F3F50">
      <w:pPr>
        <w:pStyle w:val="SWCTitle"/>
        <w:rPr>
          <w:sz w:val="28"/>
          <w:szCs w:val="28"/>
        </w:rPr>
      </w:pPr>
      <w:r w:rsidRPr="0C79E7B2">
        <w:rPr>
          <w:sz w:val="28"/>
          <w:szCs w:val="28"/>
        </w:rPr>
        <w:t>EuroSun2026</w:t>
      </w:r>
    </w:p>
    <w:p w14:paraId="7142D0DC" w14:textId="196CF2B1" w:rsidR="00D32EF0" w:rsidRPr="00453FBD" w:rsidRDefault="004F3F50" w:rsidP="004F3F50">
      <w:pPr>
        <w:pStyle w:val="SWCTitle"/>
        <w:rPr>
          <w:sz w:val="28"/>
          <w:szCs w:val="28"/>
        </w:rPr>
      </w:pPr>
      <w:r w:rsidRPr="0035638A">
        <w:rPr>
          <w:sz w:val="28"/>
          <w:szCs w:val="28"/>
        </w:rPr>
        <w:br/>
      </w:r>
      <w:r w:rsidR="00EE6DC0" w:rsidRPr="00EE6DC0">
        <w:rPr>
          <w:sz w:val="28"/>
          <w:szCs w:val="28"/>
        </w:rPr>
        <w:t>V2G SCHEDULING STRATEGY FOR NET LOAD LEVELING</w:t>
      </w:r>
      <w:r w:rsidR="00453FBD" w:rsidRPr="00453FBD">
        <w:rPr>
          <w:sz w:val="28"/>
          <w:szCs w:val="28"/>
        </w:rPr>
        <w:br/>
        <w:t>IN PV-INTEGRATED COMMERCIAL BUILDINGS</w:t>
      </w:r>
    </w:p>
    <w:p w14:paraId="600D9A0B" w14:textId="77777777" w:rsidR="00385341" w:rsidRDefault="00385341" w:rsidP="00385341">
      <w:pPr>
        <w:pStyle w:val="SWCTitle"/>
        <w:pBdr>
          <w:bottom w:val="single" w:sz="6" w:space="1" w:color="auto"/>
        </w:pBdr>
      </w:pPr>
    </w:p>
    <w:p w14:paraId="04DB90B6" w14:textId="77777777" w:rsidR="00385341" w:rsidRDefault="00385341" w:rsidP="00385341">
      <w:pPr>
        <w:pStyle w:val="SWCSummary"/>
      </w:pPr>
      <w:r>
        <w:t>Summary</w:t>
      </w:r>
    </w:p>
    <w:p w14:paraId="511B019A" w14:textId="5E8DA5A2" w:rsidR="00EB4C25" w:rsidRDefault="00CE3D7D" w:rsidP="00EB4C25">
      <w:pPr>
        <w:pStyle w:val="SWCText"/>
        <w:pBdr>
          <w:bottom w:val="single" w:sz="6" w:space="1" w:color="auto"/>
        </w:pBdr>
      </w:pPr>
      <w:r>
        <w:t>Uncontrolled EV charging in PV-integrated commercial buildings worsens the duck curve by concentrating load during the evening ramp, precisely when PV generation falls and grid net load surges. While smart charging can shift EV load to daytime PV generation hours, it leaves the evening ramp itself unaddressed — a limitation that only bidirectional V2G operation can resolve. This study evaluates a rule-based V2G scheduling strategy for a mid-scale office building equipped with rooftop PV and facade BIPV, conducting a simulation-based scenario analysis across four EV charging configurations. EV charging load is derived from measured public charging patterns with energy-based utilization rates applied separately to fast and slow chargers, and all chargers — both DC fast and AC slow — are assumed to support bidirectional V2G operation. Results show that V2G charging during peak PV hours (11:00–1</w:t>
      </w:r>
      <w:r w:rsidR="004B234E">
        <w:t>6</w:t>
      </w:r>
      <w:r>
        <w:t xml:space="preserve">:00) and </w:t>
      </w:r>
      <w:r w:rsidR="004B234E">
        <w:t>discharging whenever net load exceeds 120 kW (09:00–10:00 and 17:00–19:00)</w:t>
      </w:r>
      <w:r>
        <w:t xml:space="preserve"> suppresses the net load to 120.0 kW (approximately </w:t>
      </w:r>
      <w:r w:rsidR="009D3CEB">
        <w:t xml:space="preserve">80% of the baseline peak load) </w:t>
      </w:r>
      <w:r>
        <w:t>across both morning and evening peaks and improves the daily load factor from 56.2% to 72.6%, outcomes unachievable with smart charging alone. The findings highlight the need for bidirectional charging infrastructure across both AC and DC charger types and reform of EV tariff structures to incentivize daytime PV-aligned charging.</w:t>
      </w:r>
    </w:p>
    <w:p w14:paraId="59749F32" w14:textId="5ADF512C" w:rsidR="00957B4C" w:rsidRDefault="00385341" w:rsidP="00385341">
      <w:pPr>
        <w:pStyle w:val="SWCTitle"/>
        <w:pBdr>
          <w:bottom w:val="single" w:sz="6" w:space="1" w:color="auto"/>
        </w:pBdr>
        <w:spacing w:before="0" w:line="276" w:lineRule="auto"/>
        <w:jc w:val="left"/>
        <w:rPr>
          <w:rFonts w:ascii="Times New Roman" w:hAnsi="Times New Roman"/>
          <w:b w:val="0"/>
          <w:i/>
          <w:iCs/>
          <w:sz w:val="20"/>
          <w:szCs w:val="22"/>
        </w:rPr>
      </w:pPr>
      <w:r w:rsidRPr="00385341">
        <w:rPr>
          <w:rFonts w:ascii="Times New Roman" w:hAnsi="Times New Roman"/>
          <w:b w:val="0"/>
          <w:i/>
          <w:iCs/>
          <w:sz w:val="20"/>
          <w:szCs w:val="22"/>
        </w:rPr>
        <w:t xml:space="preserve">Keywords: </w:t>
      </w:r>
      <w:r w:rsidR="00957B4C" w:rsidRPr="00957B4C">
        <w:rPr>
          <w:rFonts w:ascii="Times New Roman" w:hAnsi="Times New Roman"/>
          <w:b w:val="0"/>
          <w:i/>
          <w:iCs/>
          <w:sz w:val="20"/>
          <w:szCs w:val="22"/>
        </w:rPr>
        <w:t xml:space="preserve">V2G, </w:t>
      </w:r>
      <w:r w:rsidR="00631626" w:rsidRPr="00631626">
        <w:rPr>
          <w:rFonts w:ascii="Times New Roman" w:hAnsi="Times New Roman"/>
          <w:b w:val="0"/>
          <w:i/>
          <w:iCs/>
          <w:sz w:val="20"/>
          <w:szCs w:val="22"/>
        </w:rPr>
        <w:t xml:space="preserve">mobile energy storage, net load </w:t>
      </w:r>
      <w:r w:rsidR="0017062B">
        <w:rPr>
          <w:rFonts w:ascii="Times New Roman" w:hAnsi="Times New Roman"/>
          <w:b w:val="0"/>
          <w:i/>
          <w:iCs/>
          <w:sz w:val="20"/>
          <w:szCs w:val="22"/>
        </w:rPr>
        <w:t>leveling</w:t>
      </w:r>
      <w:r w:rsidR="00631626" w:rsidRPr="00631626">
        <w:rPr>
          <w:rFonts w:ascii="Times New Roman" w:hAnsi="Times New Roman"/>
          <w:b w:val="0"/>
          <w:i/>
          <w:iCs/>
          <w:sz w:val="20"/>
          <w:szCs w:val="22"/>
        </w:rPr>
        <w:t>, BIPV, commercial building energy management, duck curve, TOU tarif</w:t>
      </w:r>
      <w:r w:rsidR="00631626">
        <w:rPr>
          <w:rFonts w:ascii="Times New Roman" w:hAnsi="Times New Roman"/>
          <w:b w:val="0"/>
          <w:i/>
          <w:iCs/>
          <w:sz w:val="20"/>
          <w:szCs w:val="22"/>
        </w:rPr>
        <w:t>f</w:t>
      </w:r>
    </w:p>
    <w:p w14:paraId="0FAFE2C7" w14:textId="75B3A47E" w:rsidR="00385341" w:rsidRPr="00385341" w:rsidRDefault="00385341" w:rsidP="00385341">
      <w:pPr>
        <w:pStyle w:val="SWCTitle"/>
        <w:pBdr>
          <w:bottom w:val="single" w:sz="6" w:space="1" w:color="auto"/>
        </w:pBdr>
        <w:spacing w:before="0" w:line="276" w:lineRule="auto"/>
        <w:jc w:val="left"/>
        <w:rPr>
          <w:rFonts w:ascii="Times New Roman" w:hAnsi="Times New Roman"/>
          <w:b w:val="0"/>
          <w:i/>
          <w:iCs/>
          <w:sz w:val="20"/>
          <w:szCs w:val="22"/>
        </w:rPr>
      </w:pPr>
      <w:r w:rsidRPr="00385341">
        <w:rPr>
          <w:rFonts w:ascii="Times New Roman" w:hAnsi="Times New Roman"/>
          <w:b w:val="0"/>
          <w:i/>
          <w:iCs/>
          <w:sz w:val="20"/>
          <w:szCs w:val="22"/>
        </w:rPr>
        <w:t>Field of application for the findings: EV-integrated building systems, Commercial building energy management,</w:t>
      </w:r>
      <w:r w:rsidR="00957B4C">
        <w:rPr>
          <w:rFonts w:ascii="Times New Roman" w:hAnsi="Times New Roman"/>
          <w:b w:val="0"/>
          <w:i/>
          <w:iCs/>
          <w:sz w:val="20"/>
          <w:szCs w:val="22"/>
        </w:rPr>
        <w:t xml:space="preserve"> </w:t>
      </w:r>
      <w:r w:rsidR="00957B4C" w:rsidRPr="00957B4C">
        <w:rPr>
          <w:rFonts w:ascii="Times New Roman" w:hAnsi="Times New Roman"/>
          <w:b w:val="0"/>
          <w:i/>
          <w:iCs/>
          <w:sz w:val="20"/>
          <w:szCs w:val="22"/>
        </w:rPr>
        <w:t>systems, demand-side managemen</w:t>
      </w:r>
      <w:r w:rsidR="00631626">
        <w:rPr>
          <w:rFonts w:ascii="Times New Roman" w:hAnsi="Times New Roman"/>
          <w:b w:val="0"/>
          <w:i/>
          <w:iCs/>
          <w:sz w:val="20"/>
          <w:szCs w:val="22"/>
        </w:rPr>
        <w:t>t</w:t>
      </w:r>
      <w:r w:rsidR="00631626" w:rsidRPr="00631626">
        <w:rPr>
          <w:rFonts w:ascii="Times New Roman" w:hAnsi="Times New Roman"/>
          <w:b w:val="0"/>
          <w:i/>
          <w:iCs/>
          <w:sz w:val="20"/>
          <w:szCs w:val="22"/>
        </w:rPr>
        <w:t>, grid flexibility</w:t>
      </w:r>
    </w:p>
    <w:p w14:paraId="2B536CB4" w14:textId="3F941856" w:rsidR="001A775B" w:rsidRPr="00385341" w:rsidRDefault="00385341" w:rsidP="00385341">
      <w:pPr>
        <w:pStyle w:val="SWCTitle"/>
        <w:pBdr>
          <w:bottom w:val="single" w:sz="6" w:space="1" w:color="auto"/>
        </w:pBdr>
        <w:spacing w:before="0" w:line="276" w:lineRule="auto"/>
        <w:jc w:val="left"/>
      </w:pPr>
      <w:r w:rsidRPr="00385341">
        <w:rPr>
          <w:rFonts w:ascii="Times New Roman" w:hAnsi="Times New Roman"/>
          <w:b w:val="0"/>
          <w:i/>
          <w:iCs/>
          <w:sz w:val="20"/>
          <w:szCs w:val="22"/>
        </w:rPr>
        <w:t xml:space="preserve">Addressed audience: </w:t>
      </w:r>
      <w:r w:rsidR="00957B4C" w:rsidRPr="00957B4C">
        <w:rPr>
          <w:rFonts w:ascii="Times New Roman" w:hAnsi="Times New Roman"/>
          <w:b w:val="0"/>
          <w:i/>
          <w:iCs/>
          <w:sz w:val="20"/>
          <w:szCs w:val="22"/>
        </w:rPr>
        <w:t>Building energy researchers, EV charging infrastructure designers, building energy managers</w:t>
      </w:r>
      <w:r w:rsidR="00631626" w:rsidRPr="00631626">
        <w:rPr>
          <w:rFonts w:ascii="Times New Roman" w:hAnsi="Times New Roman"/>
          <w:b w:val="0"/>
          <w:i/>
          <w:iCs/>
          <w:sz w:val="20"/>
          <w:szCs w:val="22"/>
        </w:rPr>
        <w:t>, grid operators,</w:t>
      </w:r>
      <w:r w:rsidR="00957B4C" w:rsidRPr="00957B4C">
        <w:rPr>
          <w:rFonts w:ascii="Times New Roman" w:hAnsi="Times New Roman"/>
          <w:b w:val="0"/>
          <w:i/>
          <w:iCs/>
          <w:sz w:val="20"/>
          <w:szCs w:val="22"/>
        </w:rPr>
        <w:t xml:space="preserve"> energy policy makers</w:t>
      </w:r>
    </w:p>
    <w:p w14:paraId="51CD8377" w14:textId="7E54525E" w:rsidR="00D32EF0" w:rsidRPr="004C4EE9" w:rsidRDefault="00D32EF0" w:rsidP="004C4EE9">
      <w:pPr>
        <w:pStyle w:val="SWCHeading1"/>
      </w:pPr>
      <w:r w:rsidRPr="004C4EE9">
        <w:t>Introduction</w:t>
      </w:r>
    </w:p>
    <w:p w14:paraId="011CF156" w14:textId="77777777" w:rsidR="00EB4C25" w:rsidRDefault="00EB4C25" w:rsidP="00EB4C25">
      <w:pPr>
        <w:pStyle w:val="SWCText"/>
      </w:pPr>
      <w:r>
        <w:t>Commercial buildings are increasingly equipped with photovoltaic (PV) systems as a primary means of on-site renewable energy generation, while EV charging infrastructure is simultaneously expanding as part of broader decarbonization efforts in the transport sector. In office buildings, the natural alignment between PV generation hours and occupancy-driven electricity demand means that PV already contributes to reducing daytime net load. However, as PV penetration grows across the grid, net load drops sharply during midday and ramps steeply after sunset — the well-known duck curve. EV charging behavior further complicates this picture: uncontrolled charging concentrated at the end of the working day adds load during the evening ramp period, precisely when the grid net load surges as PV generation drops, further steepening the duck curve that PV proliferation has already created.</w:t>
      </w:r>
    </w:p>
    <w:p w14:paraId="4E632285" w14:textId="77777777" w:rsidR="00EB4C25" w:rsidRDefault="00EB4C25" w:rsidP="00EB4C25">
      <w:pPr>
        <w:pStyle w:val="SWCText"/>
      </w:pPr>
      <w:r>
        <w:t>V2G technology enables EV batteries to function as mobile energy storage, absorbing surplus PV generation during the daytime grid trough and releasing it during the evening ramp to suppress the net load surge. This bidirectional capability makes V2G structurally suited to address both sides of the duck curve simultaneously — a function that neither PV alone nor smart charging can deliver. Recent studies have evaluated PV-EV integration for self-consumption improvement (</w:t>
      </w:r>
      <w:proofErr w:type="spellStart"/>
      <w:r>
        <w:t>Fachrizal</w:t>
      </w:r>
      <w:proofErr w:type="spellEnd"/>
      <w:r>
        <w:t xml:space="preserve"> et al., 2022) and V2B economic performance (Luo et al., 2024), yet </w:t>
      </w:r>
      <w:r>
        <w:lastRenderedPageBreak/>
        <w:t>building-level V2G scheduling strategies explicitly targeting net load leveling remain underexplored.</w:t>
      </w:r>
    </w:p>
    <w:p w14:paraId="54395C19" w14:textId="4C301D96" w:rsidR="00CD4EFC" w:rsidRPr="00957B4C" w:rsidRDefault="00EB4C25" w:rsidP="00EB4C25">
      <w:pPr>
        <w:pStyle w:val="SWCText"/>
      </w:pPr>
      <w:r>
        <w:t>This study addresses the research gap with two objectives: (1) quantify the impact of uncontrolled EV charging on building net load profile and its grid-level implications; and (2) evaluate the net load leveling performance of V2G scheduling compared to smart charging alone</w:t>
      </w:r>
      <w:r w:rsidR="00C0471C">
        <w:t>.</w:t>
      </w:r>
    </w:p>
    <w:p w14:paraId="378F0C31" w14:textId="1ADBB582" w:rsidR="00D32EF0" w:rsidRPr="006309AA" w:rsidRDefault="000F6617" w:rsidP="00490F10">
      <w:pPr>
        <w:pStyle w:val="SWCHeading1"/>
      </w:pPr>
      <w:r>
        <w:t>Methodology</w:t>
      </w:r>
    </w:p>
    <w:p w14:paraId="67B22655" w14:textId="77777777" w:rsidR="0093076B" w:rsidRDefault="0093076B" w:rsidP="0093076B">
      <w:pPr>
        <w:pStyle w:val="SWCHeading11"/>
      </w:pPr>
      <w:r>
        <w:t>2.1 System Configuration and Data</w:t>
      </w:r>
    </w:p>
    <w:p w14:paraId="23B8CD61" w14:textId="2B717591" w:rsidR="00EB4C25" w:rsidRDefault="00EB4C25" w:rsidP="00EB4C25">
      <w:pPr>
        <w:pStyle w:val="SWCText"/>
      </w:pPr>
      <w:r>
        <w:t>The reference system is selected to represent a mid-scale office building where the alignment between PV generation and occupancy-driven demand makes V2G scheduling particularly relevant. The building has a floor area of 4,800 m² and a peak demand of 200 kW, based on a standard Korean commercial building load profile (Moon and An, 2014). Daily electricity consumption is 2,807.5 kWh on a representative summer weekday, with peak demand occurring around 14:00 due to cooling loads. The building is equipped with a 110 kW PV system comprising 77 kW of rooftop modules and 33 kW of facade BIPV, generating 776.1 kWh/day with a generation peak of approximately 100 kW between 12:00 and 13:00 — defining the daytime charging period that V2G exploits. Hourly PV generation data are derived from the Korea Power Exchange regional solar generation database (</w:t>
      </w:r>
      <w:r w:rsidR="003B07DE" w:rsidRPr="003B07DE">
        <w:t>MOIS</w:t>
      </w:r>
      <w:r>
        <w:t>, 2024).</w:t>
      </w:r>
    </w:p>
    <w:p w14:paraId="2E370460" w14:textId="76BB423E" w:rsidR="00CE3D7D" w:rsidRDefault="00CE3D7D" w:rsidP="00CE3D7D">
      <w:pPr>
        <w:pStyle w:val="SWCText"/>
      </w:pPr>
      <w:r>
        <w:t xml:space="preserve">The EV charging infrastructure consists of three 7 kW slow chargers and one 50 kW fast charger, installed in line with commercial building EV infrastructure requirements. The hourly EV charging load profile is derived from measured usage patterns at public charging stations (KPX, 2021), applying energy-based utilization rates of 10% for the fast charger and 37.5% for the slow chargers — corresponding to approximately three 30-minute fast-charging sessions per day and an average connection time of approximately 7.3 hours per </w:t>
      </w:r>
      <w:r w:rsidRPr="00867118">
        <w:t>slow charger during building occupancy hours, respectively. EV operation is assumed during building hours only (08:00–21:00); charging during off-peak nighttime hours (22:00–07:00) is excluded as vehicles are assumed absent from the site. This yields a daily fast-charging load of 55.3 kWh and slow-charging load of 91.9 kWh, totaling 147.2 kWh/day. All chargers are assumed to support bidirectional power flow, enabling V2G participation for all connected vehicles. Charging and discharging efficiencies of 90% are applied, yielding a round-trip efficiency</w:t>
      </w:r>
      <w:r>
        <w:t xml:space="preserve"> of 81%. For the V2G scenario, </w:t>
      </w:r>
      <w:r w:rsidR="00D55FFC">
        <w:t>EV battery capacity is set at 63 kWh per vehicle (252 kWh total for four vehicles), representative of mid-size battery electric vehicles currently available in the Korean market</w:t>
      </w:r>
      <w:r>
        <w:t>. Initial SOC at arrival is assumed to be 50%, representing a mid-range condition consistent with typical commuting patterns. The SOC operating range is set to 20–90% to protect battery lifetime.</w:t>
      </w:r>
    </w:p>
    <w:p w14:paraId="37C04F6A" w14:textId="77777777" w:rsidR="0093076B" w:rsidRDefault="0093076B" w:rsidP="0093076B">
      <w:pPr>
        <w:pStyle w:val="SWCHeading11"/>
      </w:pPr>
      <w:r>
        <w:t>2.2 Scenario Design</w:t>
      </w:r>
    </w:p>
    <w:p w14:paraId="4E9C9863" w14:textId="0ACFE554" w:rsidR="00A219F6" w:rsidRDefault="00CE3D7D" w:rsidP="00EC4BED">
      <w:pPr>
        <w:pStyle w:val="SWCText"/>
      </w:pPr>
      <w:r>
        <w:t>Four scenarios are defined to isolate the effects of EV charging timing and V2G discharge capability on building net load profile (Table 1). The baseline (S0) represents building and PV operation without EV. Uncontrolled charging (S1) reflects current common practice where EVs charge on arrival or at end of working day without scheduling, following the hourly pattern described in Section 2.1</w:t>
      </w:r>
      <w:r w:rsidRPr="00867118">
        <w:t xml:space="preserve">. </w:t>
      </w:r>
      <w:r w:rsidR="00C246AA">
        <w:t xml:space="preserve">Smart charging (S2) refers to controlled unidirectional charging in which EV charging is scheduled to coincide with peak PV generation hours (11:00–15:00), shifting load away from the evening ramp through time-of-use scheduling without discharge capability. The total daily EV load is redistributed uniformly across this window at 29.4 kW, with no charging permitted outside this period. </w:t>
      </w:r>
      <w:r w:rsidRPr="00867118">
        <w:t xml:space="preserve">The V2G scenario (S3) combines daytime charging during the PV peak </w:t>
      </w:r>
      <w:r w:rsidR="009D3CEB">
        <w:t>period</w:t>
      </w:r>
      <w:r w:rsidRPr="00867118">
        <w:t xml:space="preserve"> (11:00–1</w:t>
      </w:r>
      <w:r w:rsidR="00867118">
        <w:t>6</w:t>
      </w:r>
      <w:r w:rsidRPr="00867118">
        <w:t>:00) with discharge whenever the building-only net load (S0) exceeds a target of 120 kW — a condition arising at both the morning occupancy</w:t>
      </w:r>
      <w:r>
        <w:t xml:space="preserve"> peak (09:00–10:00) and the evening ramp (17:00–19:00) — leveraging EV batteries as mobile energy storage to suppress net load peaks across the full operating day.</w:t>
      </w:r>
      <w:r w:rsidR="00EC4BED">
        <w:t xml:space="preserve"> </w:t>
      </w:r>
    </w:p>
    <w:p w14:paraId="7FD7ACD3" w14:textId="42FBBD5E" w:rsidR="0093076B" w:rsidRDefault="0093076B" w:rsidP="0093076B">
      <w:pPr>
        <w:pStyle w:val="SWCHeading11"/>
      </w:pPr>
      <w:r>
        <w:t>2.3 Scheduling Strategy and Analysis Method</w:t>
      </w:r>
    </w:p>
    <w:p w14:paraId="63C2FA78" w14:textId="6462E4DE" w:rsidR="00EC4BED" w:rsidRDefault="0099274E" w:rsidP="00EC4BED">
      <w:pPr>
        <w:pStyle w:val="SWCText"/>
      </w:pPr>
      <w:r>
        <w:t xml:space="preserve">A simulation-based scheduling analysis is conducted to evaluate the net load profile of each scenario at hourly resolution for a representative summer weekday. For S1, hourly energy balances are calculated directly from the EV charging profile defined in Section 2.1, yielding 147.2 kWh/day. For S2, the total daily EV load is redistributed uniformly across the PV peak period at 29.4 kW, with no charging outside this </w:t>
      </w:r>
      <w:r w:rsidR="009D3CEB">
        <w:t>period</w:t>
      </w:r>
      <w:r>
        <w:t xml:space="preserve">. For S3, a rule-based </w:t>
      </w:r>
      <w:r>
        <w:lastRenderedPageBreak/>
        <w:t>dispatch strategy is applied: during 08:00–21:00, EVs discharge at the rate required to reduce net load excess above 120 kW, and charge at the rate required to utilize available capacity below 120 kW during PV peak hours (11:00–1</w:t>
      </w:r>
      <w:r w:rsidR="0041235F">
        <w:t>5</w:t>
      </w:r>
      <w:r>
        <w:t>:00), subject to a maximum combined output of 71 kW, SOC bounds of 20–90%, and a prohibition on simultaneous charging and discharging. The primary performance metrics are the daily net load profile and load factor.</w:t>
      </w:r>
    </w:p>
    <w:p w14:paraId="4A0FC913" w14:textId="77777777" w:rsidR="00EC4BED" w:rsidRPr="00523DE8" w:rsidRDefault="00EC4BED" w:rsidP="00EC4BED">
      <w:pPr>
        <w:pStyle w:val="SWCText"/>
        <w:jc w:val="center"/>
        <w:rPr>
          <w:b/>
          <w:sz w:val="16"/>
          <w:szCs w:val="20"/>
        </w:rPr>
      </w:pPr>
      <w:r>
        <w:rPr>
          <w:b/>
          <w:sz w:val="16"/>
          <w:szCs w:val="20"/>
        </w:rPr>
        <w:t>Tab. 1: Scenario definitions</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0"/>
        <w:gridCol w:w="2200"/>
        <w:gridCol w:w="2863"/>
        <w:gridCol w:w="2904"/>
      </w:tblGrid>
      <w:tr w:rsidR="00EC4BED" w14:paraId="649CD3C2" w14:textId="77777777" w:rsidTr="00846F28">
        <w:tc>
          <w:tcPr>
            <w:tcW w:w="1100" w:type="dxa"/>
            <w:vAlign w:val="center"/>
          </w:tcPr>
          <w:p w14:paraId="5AA1C4ED" w14:textId="77777777" w:rsidR="00EC4BED" w:rsidRDefault="00EC4BED" w:rsidP="00846F28">
            <w:pPr>
              <w:pStyle w:val="SWCTableHeader"/>
            </w:pPr>
            <w:r>
              <w:t>Scenario</w:t>
            </w:r>
          </w:p>
        </w:tc>
        <w:tc>
          <w:tcPr>
            <w:tcW w:w="2200" w:type="dxa"/>
            <w:vAlign w:val="center"/>
          </w:tcPr>
          <w:p w14:paraId="0B0CAEF0" w14:textId="77777777" w:rsidR="00EC4BED" w:rsidRDefault="00EC4BED" w:rsidP="00846F28">
            <w:pPr>
              <w:pStyle w:val="SWCTableHeader"/>
            </w:pPr>
            <w:r>
              <w:t>EV Operation</w:t>
            </w:r>
          </w:p>
        </w:tc>
        <w:tc>
          <w:tcPr>
            <w:tcW w:w="2863" w:type="dxa"/>
            <w:vAlign w:val="center"/>
          </w:tcPr>
          <w:p w14:paraId="009FE3D0" w14:textId="77777777" w:rsidR="00EC4BED" w:rsidRDefault="00EC4BED" w:rsidP="00846F28">
            <w:pPr>
              <w:pStyle w:val="SWCTableHeader"/>
            </w:pPr>
            <w:r>
              <w:t>Charging</w:t>
            </w:r>
          </w:p>
        </w:tc>
        <w:tc>
          <w:tcPr>
            <w:tcW w:w="2904" w:type="dxa"/>
            <w:vAlign w:val="center"/>
          </w:tcPr>
          <w:p w14:paraId="10F36600" w14:textId="77777777" w:rsidR="00EC4BED" w:rsidRDefault="00EC4BED" w:rsidP="00846F28">
            <w:pPr>
              <w:pStyle w:val="SWCTableHeader"/>
            </w:pPr>
            <w:r>
              <w:t>Discharging</w:t>
            </w:r>
          </w:p>
        </w:tc>
      </w:tr>
      <w:tr w:rsidR="00EC4BED" w14:paraId="54BF6B29" w14:textId="77777777" w:rsidTr="00846F28">
        <w:tc>
          <w:tcPr>
            <w:tcW w:w="1100" w:type="dxa"/>
            <w:vAlign w:val="center"/>
          </w:tcPr>
          <w:p w14:paraId="6F74A2F0" w14:textId="77777777" w:rsidR="00EC4BED" w:rsidRDefault="00EC4BED" w:rsidP="00846F28">
            <w:pPr>
              <w:pStyle w:val="SWCTableText"/>
            </w:pPr>
            <w:r>
              <w:t>S0</w:t>
            </w:r>
          </w:p>
        </w:tc>
        <w:tc>
          <w:tcPr>
            <w:tcW w:w="2200" w:type="dxa"/>
            <w:vAlign w:val="center"/>
          </w:tcPr>
          <w:p w14:paraId="689BB118" w14:textId="77777777" w:rsidR="00EC4BED" w:rsidRDefault="00EC4BED" w:rsidP="00846F28">
            <w:pPr>
              <w:pStyle w:val="SWCTableText"/>
            </w:pPr>
            <w:r>
              <w:t>No EV (baseline)</w:t>
            </w:r>
          </w:p>
        </w:tc>
        <w:tc>
          <w:tcPr>
            <w:tcW w:w="2863" w:type="dxa"/>
            <w:vAlign w:val="center"/>
          </w:tcPr>
          <w:p w14:paraId="37E5D2BD" w14:textId="77777777" w:rsidR="00EC4BED" w:rsidRDefault="00EC4BED" w:rsidP="00846F28">
            <w:pPr>
              <w:pStyle w:val="SWCTableText"/>
            </w:pPr>
            <w:r>
              <w:t>–</w:t>
            </w:r>
          </w:p>
        </w:tc>
        <w:tc>
          <w:tcPr>
            <w:tcW w:w="2904" w:type="dxa"/>
            <w:vAlign w:val="center"/>
          </w:tcPr>
          <w:p w14:paraId="06D28184" w14:textId="77777777" w:rsidR="00EC4BED" w:rsidRDefault="00EC4BED" w:rsidP="00846F28">
            <w:pPr>
              <w:pStyle w:val="SWCTableText"/>
            </w:pPr>
            <w:r>
              <w:t>–</w:t>
            </w:r>
          </w:p>
        </w:tc>
      </w:tr>
      <w:tr w:rsidR="00EC4BED" w14:paraId="1418B132" w14:textId="77777777" w:rsidTr="00846F28">
        <w:tc>
          <w:tcPr>
            <w:tcW w:w="1100" w:type="dxa"/>
            <w:vAlign w:val="center"/>
          </w:tcPr>
          <w:p w14:paraId="4E7EE54D" w14:textId="77777777" w:rsidR="00EC4BED" w:rsidRDefault="00EC4BED" w:rsidP="00846F28">
            <w:pPr>
              <w:pStyle w:val="SWCTableText"/>
            </w:pPr>
            <w:r>
              <w:t>S1</w:t>
            </w:r>
          </w:p>
        </w:tc>
        <w:tc>
          <w:tcPr>
            <w:tcW w:w="2200" w:type="dxa"/>
            <w:vAlign w:val="center"/>
          </w:tcPr>
          <w:p w14:paraId="752F99E7" w14:textId="77777777" w:rsidR="00EC4BED" w:rsidRDefault="00EC4BED" w:rsidP="00846F28">
            <w:pPr>
              <w:pStyle w:val="SWCTableText"/>
            </w:pPr>
            <w:r>
              <w:t>Uncontrolled</w:t>
            </w:r>
          </w:p>
        </w:tc>
        <w:tc>
          <w:tcPr>
            <w:tcW w:w="2863" w:type="dxa"/>
            <w:vAlign w:val="center"/>
          </w:tcPr>
          <w:p w14:paraId="3E303871" w14:textId="77777777" w:rsidR="00EC4BED" w:rsidRDefault="00EC4BED" w:rsidP="00846F28">
            <w:pPr>
              <w:pStyle w:val="SWCTableText"/>
            </w:pPr>
            <w:r>
              <w:t>On arrival / end of day (unscheduled)</w:t>
            </w:r>
          </w:p>
        </w:tc>
        <w:tc>
          <w:tcPr>
            <w:tcW w:w="2904" w:type="dxa"/>
            <w:vAlign w:val="center"/>
          </w:tcPr>
          <w:p w14:paraId="5AF214E6" w14:textId="77777777" w:rsidR="00EC4BED" w:rsidRDefault="00EC4BED" w:rsidP="00846F28">
            <w:pPr>
              <w:pStyle w:val="SWCTableText"/>
            </w:pPr>
            <w:r>
              <w:t>None</w:t>
            </w:r>
          </w:p>
        </w:tc>
      </w:tr>
      <w:tr w:rsidR="00EC4BED" w14:paraId="1799A0B6" w14:textId="77777777" w:rsidTr="00846F28">
        <w:tc>
          <w:tcPr>
            <w:tcW w:w="1100" w:type="dxa"/>
            <w:vAlign w:val="center"/>
          </w:tcPr>
          <w:p w14:paraId="12528563" w14:textId="77777777" w:rsidR="00EC4BED" w:rsidRDefault="00EC4BED" w:rsidP="00846F28">
            <w:pPr>
              <w:pStyle w:val="SWCTableText"/>
            </w:pPr>
            <w:r>
              <w:t>S2</w:t>
            </w:r>
          </w:p>
        </w:tc>
        <w:tc>
          <w:tcPr>
            <w:tcW w:w="2200" w:type="dxa"/>
            <w:vAlign w:val="center"/>
          </w:tcPr>
          <w:p w14:paraId="02D3DF9D" w14:textId="77777777" w:rsidR="00EC4BED" w:rsidRDefault="00EC4BED" w:rsidP="00846F28">
            <w:pPr>
              <w:pStyle w:val="SWCTableText"/>
            </w:pPr>
            <w:r>
              <w:t>Smart charging</w:t>
            </w:r>
          </w:p>
        </w:tc>
        <w:tc>
          <w:tcPr>
            <w:tcW w:w="2863" w:type="dxa"/>
            <w:vAlign w:val="center"/>
          </w:tcPr>
          <w:p w14:paraId="153649CD" w14:textId="77777777" w:rsidR="00EC4BED" w:rsidRDefault="00EC4BED" w:rsidP="00846F28">
            <w:pPr>
              <w:pStyle w:val="SWCTableText"/>
              <w:spacing w:after="0"/>
            </w:pPr>
            <w:r>
              <w:t>11:00–15:00</w:t>
            </w:r>
          </w:p>
          <w:p w14:paraId="5EBA070E" w14:textId="77777777" w:rsidR="00EC4BED" w:rsidRDefault="00EC4BED" w:rsidP="00846F28">
            <w:pPr>
              <w:pStyle w:val="SWCTableText"/>
            </w:pPr>
            <w:r>
              <w:t>(PV generation hours)</w:t>
            </w:r>
          </w:p>
        </w:tc>
        <w:tc>
          <w:tcPr>
            <w:tcW w:w="2904" w:type="dxa"/>
            <w:vAlign w:val="center"/>
          </w:tcPr>
          <w:p w14:paraId="21AD7CCE" w14:textId="77777777" w:rsidR="00EC4BED" w:rsidRDefault="00EC4BED" w:rsidP="00846F28">
            <w:pPr>
              <w:pStyle w:val="SWCTableText"/>
            </w:pPr>
            <w:r>
              <w:t>None</w:t>
            </w:r>
          </w:p>
        </w:tc>
      </w:tr>
      <w:tr w:rsidR="00EC4BED" w14:paraId="11FE2ED3" w14:textId="77777777" w:rsidTr="00846F28">
        <w:tc>
          <w:tcPr>
            <w:tcW w:w="1100" w:type="dxa"/>
            <w:vAlign w:val="center"/>
          </w:tcPr>
          <w:p w14:paraId="7BB73098" w14:textId="77777777" w:rsidR="00EC4BED" w:rsidRDefault="00EC4BED" w:rsidP="00846F28">
            <w:pPr>
              <w:pStyle w:val="SWCTableText"/>
            </w:pPr>
            <w:r>
              <w:t>S3</w:t>
            </w:r>
          </w:p>
        </w:tc>
        <w:tc>
          <w:tcPr>
            <w:tcW w:w="2200" w:type="dxa"/>
            <w:vAlign w:val="center"/>
          </w:tcPr>
          <w:p w14:paraId="3DD02630" w14:textId="77777777" w:rsidR="00EC4BED" w:rsidRDefault="00EC4BED" w:rsidP="00846F28">
            <w:pPr>
              <w:pStyle w:val="SWCTableText"/>
            </w:pPr>
            <w:r>
              <w:t>V2G scheduling</w:t>
            </w:r>
          </w:p>
        </w:tc>
        <w:tc>
          <w:tcPr>
            <w:tcW w:w="2863" w:type="dxa"/>
            <w:vAlign w:val="center"/>
          </w:tcPr>
          <w:p w14:paraId="7555D9B9" w14:textId="77777777" w:rsidR="00EC4BED" w:rsidRDefault="00EC4BED" w:rsidP="00846F28">
            <w:pPr>
              <w:pStyle w:val="SWCTableText"/>
              <w:spacing w:after="0"/>
            </w:pPr>
            <w:r>
              <w:t>11:00–16:00</w:t>
            </w:r>
          </w:p>
          <w:p w14:paraId="798E89B0" w14:textId="77777777" w:rsidR="00EC4BED" w:rsidRDefault="00EC4BED" w:rsidP="00846F28">
            <w:pPr>
              <w:pStyle w:val="SWCTableText"/>
            </w:pPr>
            <w:r>
              <w:t>(PV peak hours)</w:t>
            </w:r>
          </w:p>
        </w:tc>
        <w:tc>
          <w:tcPr>
            <w:tcW w:w="2904" w:type="dxa"/>
            <w:vAlign w:val="center"/>
          </w:tcPr>
          <w:p w14:paraId="6C450BF6" w14:textId="77777777" w:rsidR="00EC4BED" w:rsidRDefault="00EC4BED" w:rsidP="00846F28">
            <w:pPr>
              <w:pStyle w:val="SWCTableText"/>
              <w:spacing w:after="0"/>
            </w:pPr>
            <w:r>
              <w:t>09:00–10:00, 17:00–19:00</w:t>
            </w:r>
          </w:p>
          <w:p w14:paraId="2FE8D348" w14:textId="77777777" w:rsidR="00EC4BED" w:rsidRDefault="00EC4BED" w:rsidP="00846F28">
            <w:pPr>
              <w:pStyle w:val="SWCTableText"/>
            </w:pPr>
            <w:r>
              <w:t>(</w:t>
            </w:r>
            <w:proofErr w:type="gramStart"/>
            <w:r>
              <w:t>evening</w:t>
            </w:r>
            <w:proofErr w:type="gramEnd"/>
            <w:r>
              <w:t xml:space="preserve"> ramp period)</w:t>
            </w:r>
          </w:p>
        </w:tc>
      </w:tr>
    </w:tbl>
    <w:p w14:paraId="3D83E22A" w14:textId="0DE7FA07" w:rsidR="003E1E1C" w:rsidRPr="006309AA" w:rsidRDefault="000F6617" w:rsidP="00490F10">
      <w:pPr>
        <w:pStyle w:val="SWCHeading1"/>
      </w:pPr>
      <w:r>
        <w:t>Results and Discussion</w:t>
      </w:r>
    </w:p>
    <w:p w14:paraId="7E49A2A6" w14:textId="77777777" w:rsidR="00EB4C25" w:rsidRDefault="00EB4C25" w:rsidP="00EB4C25">
      <w:pPr>
        <w:pStyle w:val="SWCHeading11"/>
      </w:pPr>
      <w:r>
        <w:t>3.1 Baseline Net Load Profile</w:t>
      </w:r>
    </w:p>
    <w:p w14:paraId="69F1AD0E" w14:textId="5D07DF1A" w:rsidR="00EB4C25" w:rsidRDefault="00867118" w:rsidP="00EB4C25">
      <w:pPr>
        <w:pStyle w:val="SWCHeading11"/>
        <w:jc w:val="both"/>
        <w:rPr>
          <w:rFonts w:ascii="Times New Roman" w:hAnsi="Times New Roman"/>
          <w:i w:val="0"/>
          <w:lang w:val="en-US"/>
        </w:rPr>
      </w:pPr>
      <w:r>
        <w:rPr>
          <w:rFonts w:ascii="Times New Roman" w:hAnsi="Times New Roman"/>
          <w:i w:val="0"/>
          <w:lang w:val="en-US"/>
        </w:rPr>
        <w:t xml:space="preserve">In the baseline scenario (S0), PV generation reduces daytime net load due to the partial overlap between generation and building demand hours. The net load drops to a daily minimum of 80.7 kW at 13:00 during peak PV generation, </w:t>
      </w:r>
      <w:r w:rsidR="00AA12C1" w:rsidRPr="00AA12C1">
        <w:rPr>
          <w:rFonts w:ascii="Times New Roman" w:hAnsi="Times New Roman"/>
          <w:i w:val="0"/>
          <w:lang w:val="en-US"/>
        </w:rPr>
        <w:t>before rising to a peak of 149.8 kW at 18:00 as PV generation falls and building loads remain elevated. Two distinct net load peaks are evident: a morning occupancy peak of 133.8 kW at 09:00 and an evening ramp peak of 149.8 kW at 18:00.</w:t>
      </w:r>
      <w:r>
        <w:rPr>
          <w:rFonts w:ascii="Times New Roman" w:hAnsi="Times New Roman"/>
          <w:i w:val="0"/>
          <w:lang w:val="en-US"/>
        </w:rPr>
        <w:t xml:space="preserve"> This confirms that net load management in office buildings requires addressing both peaks — neither of which PV alone can resolve</w:t>
      </w:r>
      <w:r w:rsidR="00EB4C25">
        <w:rPr>
          <w:rFonts w:ascii="Times New Roman" w:hAnsi="Times New Roman"/>
          <w:i w:val="0"/>
          <w:lang w:val="en-US"/>
        </w:rPr>
        <w:t>.</w:t>
      </w:r>
    </w:p>
    <w:p w14:paraId="7788E626" w14:textId="5464D920" w:rsidR="00EB4C25" w:rsidRDefault="00C72718" w:rsidP="00EB4C25">
      <w:pPr>
        <w:pStyle w:val="SWCHeading11"/>
      </w:pPr>
      <w:r>
        <w:t xml:space="preserve">3.2 </w:t>
      </w:r>
      <w:r w:rsidR="00EB4C25">
        <w:t>Scenario Comparison</w:t>
      </w:r>
    </w:p>
    <w:p w14:paraId="2340E1F0" w14:textId="2A10D403" w:rsidR="0099274E" w:rsidRDefault="0099274E" w:rsidP="0099274E">
      <w:pPr>
        <w:pStyle w:val="SWCText"/>
        <w:rPr>
          <w:color w:val="auto"/>
        </w:rPr>
      </w:pPr>
      <w:r>
        <w:t xml:space="preserve">Uncontrolled charging (S1) raises the evening net load peak to 161.5 kW at 18:00, an increase of 11.7 kW over the S0 baseline, driven by the combined fast and slow charger load concentrated at end-of-day. This directly worsens the grid-level duck curve during the evening ramp period. Smart </w:t>
      </w:r>
      <w:r w:rsidRPr="00EC4BED">
        <w:rPr>
          <w:color w:val="auto"/>
        </w:rPr>
        <w:t xml:space="preserve">charging (S2) eliminates this evening spike by redistributing the total EV load to the PV peak </w:t>
      </w:r>
      <w:r w:rsidR="009D3CEB" w:rsidRPr="00EC4BED">
        <w:rPr>
          <w:color w:val="auto"/>
        </w:rPr>
        <w:t>period</w:t>
      </w:r>
      <w:r w:rsidRPr="00EC4BED">
        <w:rPr>
          <w:color w:val="auto"/>
        </w:rPr>
        <w:t xml:space="preserve"> (11:00–15:00) at 29.4 kW, restoring the evening net load profile to the S0 level — but leaves the evening ramp itself unaddressed, confirming that unidirectional scheduling alone cannot achieve ramp suppression. As shown in Fig. 1, S3 is the only scenario that suppresses net load below 120 kW across all peak hours, while S1 worsens the evening ramp and S2 merely preserves it.</w:t>
      </w:r>
    </w:p>
    <w:p w14:paraId="0319A4E9" w14:textId="77777777" w:rsidR="0003755E" w:rsidRPr="00EC4BED" w:rsidRDefault="0003755E" w:rsidP="0003755E">
      <w:pPr>
        <w:pStyle w:val="SWCText"/>
        <w:rPr>
          <w:color w:val="auto"/>
        </w:rPr>
      </w:pPr>
      <w:r w:rsidRPr="00EC4BED">
        <w:rPr>
          <w:color w:val="auto"/>
        </w:rPr>
        <w:t>The V2G strategy (S3) achieves what smart charging cannot. During 11:00–1</w:t>
      </w:r>
      <w:r>
        <w:rPr>
          <w:color w:val="auto"/>
        </w:rPr>
        <w:t>6</w:t>
      </w:r>
      <w:r w:rsidRPr="00EC4BED">
        <w:rPr>
          <w:color w:val="auto"/>
        </w:rPr>
        <w:t>:00, V2G charging is superimposed on the smart-charging schedule: charging begins at 11:00 when the building-only net load falls below 120 kW, with hourly V2G charge rates of 18.8, 36.1, 39.3, 26.2, and 14.4 kW across 11:00–16:00, reaching 90% SOC by 15:00 (total V2G charging: 134.8 kWh). Discharge occurs whenever S0 exceeds 120 kW: 13.8 kW at 09:00 and 4.7 kW at 10:00 suppress the morning peak, while 24.7, 29.8, and 1.3 kW at 17:00–19:00 suppress the evening ramp (total: 74.3 kWh), reducing net load to 120.0 kW across all peak hours. Table 2 summarizes performance across all scenarios. As shown in Fig. 2, the SOC reaches 90% at 15:00 and declines to 65.4% by 19:00 as discharge capacity is progressively utilized across both peak periods.</w:t>
      </w:r>
    </w:p>
    <w:p w14:paraId="46DF373D" w14:textId="45A6B919" w:rsidR="0003755E" w:rsidRPr="0003755E" w:rsidRDefault="00C72718" w:rsidP="0003755E">
      <w:pPr>
        <w:pStyle w:val="SWCText"/>
        <w:jc w:val="center"/>
      </w:pPr>
      <w:r w:rsidRPr="00C72718">
        <w:lastRenderedPageBreak/>
        <w:t xml:space="preserve"> </w:t>
      </w:r>
      <w:r w:rsidRPr="00C72718">
        <w:rPr>
          <w:noProof/>
          <w:color w:val="auto"/>
        </w:rPr>
        <w:drawing>
          <wp:inline distT="0" distB="0" distL="0" distR="0" wp14:anchorId="4EDDD2C2" wp14:editId="5AC72578">
            <wp:extent cx="3564000" cy="2642400"/>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b="2985"/>
                    <a:stretch/>
                  </pic:blipFill>
                  <pic:spPr bwMode="auto">
                    <a:xfrm>
                      <a:off x="0" y="0"/>
                      <a:ext cx="3564000" cy="2642400"/>
                    </a:xfrm>
                    <a:prstGeom prst="rect">
                      <a:avLst/>
                    </a:prstGeom>
                    <a:noFill/>
                    <a:ln>
                      <a:noFill/>
                    </a:ln>
                    <a:extLst>
                      <a:ext uri="{53640926-AAD7-44D8-BBD7-CCE9431645EC}">
                        <a14:shadowObscured xmlns:a14="http://schemas.microsoft.com/office/drawing/2010/main"/>
                      </a:ext>
                    </a:extLst>
                  </pic:spPr>
                </pic:pic>
              </a:graphicData>
            </a:graphic>
          </wp:inline>
        </w:drawing>
      </w:r>
    </w:p>
    <w:p w14:paraId="3EF5E0E5" w14:textId="601EB5F1" w:rsidR="00A219F6" w:rsidRDefault="00A219F6" w:rsidP="0003755E">
      <w:pPr>
        <w:pStyle w:val="SWCTableFigureCaption"/>
        <w:rPr>
          <w:color w:val="auto"/>
        </w:rPr>
      </w:pPr>
      <w:r w:rsidRPr="00EC4BED">
        <w:rPr>
          <w:color w:val="auto"/>
        </w:rPr>
        <w:t>Fig. 1: Hourly net load profiles for S0–S3 scenarios</w:t>
      </w:r>
    </w:p>
    <w:p w14:paraId="1536C9EE" w14:textId="77777777" w:rsidR="0003755E" w:rsidRPr="00EC4BED" w:rsidRDefault="0003755E" w:rsidP="0003755E">
      <w:pPr>
        <w:pStyle w:val="SWCTableFigureCaption"/>
        <w:rPr>
          <w:color w:val="auto"/>
        </w:rPr>
      </w:pPr>
    </w:p>
    <w:p w14:paraId="1A6945DD" w14:textId="77777777" w:rsidR="00867118" w:rsidRPr="00EC4BED" w:rsidRDefault="00867118" w:rsidP="00867118">
      <w:pPr>
        <w:pStyle w:val="SWCText"/>
        <w:jc w:val="center"/>
        <w:rPr>
          <w:b/>
          <w:color w:val="auto"/>
          <w:sz w:val="16"/>
          <w:szCs w:val="20"/>
        </w:rPr>
      </w:pPr>
      <w:r w:rsidRPr="00EC4BED">
        <w:rPr>
          <w:b/>
          <w:color w:val="auto"/>
          <w:sz w:val="16"/>
          <w:szCs w:val="20"/>
        </w:rPr>
        <w:t>Tab. 2: Net load performance comparison across scenarios</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701"/>
        <w:gridCol w:w="1701"/>
        <w:gridCol w:w="1701"/>
        <w:gridCol w:w="1701"/>
      </w:tblGrid>
      <w:tr w:rsidR="00EC4BED" w:rsidRPr="00EC4BED" w14:paraId="5BB2E898" w14:textId="77777777" w:rsidTr="00081575">
        <w:tc>
          <w:tcPr>
            <w:tcW w:w="2263" w:type="dxa"/>
            <w:vAlign w:val="center"/>
          </w:tcPr>
          <w:p w14:paraId="53A9E682" w14:textId="77777777" w:rsidR="00867118" w:rsidRPr="00EC4BED" w:rsidRDefault="00867118" w:rsidP="00081575">
            <w:pPr>
              <w:pStyle w:val="SWCTableHeader"/>
              <w:rPr>
                <w:color w:val="auto"/>
              </w:rPr>
            </w:pPr>
            <w:r w:rsidRPr="00EC4BED">
              <w:rPr>
                <w:color w:val="auto"/>
              </w:rPr>
              <w:t>Indicator</w:t>
            </w:r>
          </w:p>
        </w:tc>
        <w:tc>
          <w:tcPr>
            <w:tcW w:w="1701" w:type="dxa"/>
            <w:vAlign w:val="center"/>
          </w:tcPr>
          <w:p w14:paraId="37FCDE0C" w14:textId="77777777" w:rsidR="00867118" w:rsidRPr="00EC4BED" w:rsidRDefault="00867118" w:rsidP="00081575">
            <w:pPr>
              <w:pStyle w:val="SWCTableHeader"/>
              <w:rPr>
                <w:color w:val="auto"/>
              </w:rPr>
            </w:pPr>
            <w:r w:rsidRPr="00EC4BED">
              <w:rPr>
                <w:color w:val="auto"/>
              </w:rPr>
              <w:t>S0 Baseline</w:t>
            </w:r>
          </w:p>
        </w:tc>
        <w:tc>
          <w:tcPr>
            <w:tcW w:w="1701" w:type="dxa"/>
            <w:vAlign w:val="center"/>
          </w:tcPr>
          <w:p w14:paraId="7ADF3D82" w14:textId="77777777" w:rsidR="00867118" w:rsidRPr="00EC4BED" w:rsidRDefault="00867118" w:rsidP="00081575">
            <w:pPr>
              <w:pStyle w:val="SWCTableHeader"/>
              <w:rPr>
                <w:color w:val="auto"/>
              </w:rPr>
            </w:pPr>
            <w:r w:rsidRPr="00EC4BED">
              <w:rPr>
                <w:color w:val="auto"/>
              </w:rPr>
              <w:t>S1 Uncontrolled</w:t>
            </w:r>
          </w:p>
        </w:tc>
        <w:tc>
          <w:tcPr>
            <w:tcW w:w="1701" w:type="dxa"/>
            <w:vAlign w:val="center"/>
          </w:tcPr>
          <w:p w14:paraId="6147AB8C" w14:textId="77777777" w:rsidR="00867118" w:rsidRPr="00EC4BED" w:rsidRDefault="00867118" w:rsidP="00081575">
            <w:pPr>
              <w:pStyle w:val="SWCTableHeader"/>
              <w:rPr>
                <w:color w:val="auto"/>
              </w:rPr>
            </w:pPr>
            <w:r w:rsidRPr="00EC4BED">
              <w:rPr>
                <w:color w:val="auto"/>
              </w:rPr>
              <w:t>S2 Smart</w:t>
            </w:r>
          </w:p>
        </w:tc>
        <w:tc>
          <w:tcPr>
            <w:tcW w:w="1701" w:type="dxa"/>
            <w:vAlign w:val="center"/>
          </w:tcPr>
          <w:p w14:paraId="158CF580" w14:textId="77777777" w:rsidR="00867118" w:rsidRPr="00EC4BED" w:rsidRDefault="00867118" w:rsidP="00081575">
            <w:pPr>
              <w:pStyle w:val="SWCTableHeader"/>
              <w:rPr>
                <w:color w:val="auto"/>
              </w:rPr>
            </w:pPr>
            <w:r w:rsidRPr="00EC4BED">
              <w:rPr>
                <w:color w:val="auto"/>
              </w:rPr>
              <w:t>S3 V2G</w:t>
            </w:r>
          </w:p>
        </w:tc>
      </w:tr>
      <w:tr w:rsidR="00EC4BED" w:rsidRPr="00EC4BED" w14:paraId="19F30823" w14:textId="77777777" w:rsidTr="00081575">
        <w:tc>
          <w:tcPr>
            <w:tcW w:w="2263" w:type="dxa"/>
            <w:vAlign w:val="center"/>
          </w:tcPr>
          <w:p w14:paraId="7991F8CA" w14:textId="77777777" w:rsidR="00867118" w:rsidRPr="00EC4BED" w:rsidRDefault="00867118" w:rsidP="00081575">
            <w:pPr>
              <w:pStyle w:val="SWCTableText"/>
              <w:rPr>
                <w:color w:val="auto"/>
              </w:rPr>
            </w:pPr>
            <w:r w:rsidRPr="00EC4BED">
              <w:rPr>
                <w:color w:val="auto"/>
              </w:rPr>
              <w:t>Peak net load [kW]</w:t>
            </w:r>
          </w:p>
        </w:tc>
        <w:tc>
          <w:tcPr>
            <w:tcW w:w="1701" w:type="dxa"/>
            <w:vAlign w:val="center"/>
          </w:tcPr>
          <w:p w14:paraId="70025AF6" w14:textId="77777777" w:rsidR="00867118" w:rsidRPr="00EC4BED" w:rsidRDefault="00867118" w:rsidP="00081575">
            <w:pPr>
              <w:pStyle w:val="SWCTableText"/>
              <w:rPr>
                <w:color w:val="auto"/>
              </w:rPr>
            </w:pPr>
            <w:r w:rsidRPr="00EC4BED">
              <w:rPr>
                <w:color w:val="auto"/>
              </w:rPr>
              <w:t>149.8 (18h)</w:t>
            </w:r>
          </w:p>
        </w:tc>
        <w:tc>
          <w:tcPr>
            <w:tcW w:w="1701" w:type="dxa"/>
            <w:vAlign w:val="center"/>
          </w:tcPr>
          <w:p w14:paraId="256879B1" w14:textId="77777777" w:rsidR="00867118" w:rsidRPr="00EC4BED" w:rsidRDefault="00867118" w:rsidP="00081575">
            <w:pPr>
              <w:pStyle w:val="SWCTableText"/>
              <w:rPr>
                <w:color w:val="auto"/>
              </w:rPr>
            </w:pPr>
            <w:r w:rsidRPr="00EC4BED">
              <w:rPr>
                <w:color w:val="auto"/>
              </w:rPr>
              <w:t>161.5 (18h)</w:t>
            </w:r>
          </w:p>
        </w:tc>
        <w:tc>
          <w:tcPr>
            <w:tcW w:w="1701" w:type="dxa"/>
            <w:vAlign w:val="center"/>
          </w:tcPr>
          <w:p w14:paraId="34114B8D" w14:textId="77777777" w:rsidR="00867118" w:rsidRPr="00EC4BED" w:rsidRDefault="00867118" w:rsidP="00081575">
            <w:pPr>
              <w:pStyle w:val="SWCTableText"/>
              <w:rPr>
                <w:color w:val="auto"/>
              </w:rPr>
            </w:pPr>
            <w:r w:rsidRPr="00EC4BED">
              <w:rPr>
                <w:color w:val="auto"/>
              </w:rPr>
              <w:t>149.8 (18h)</w:t>
            </w:r>
          </w:p>
        </w:tc>
        <w:tc>
          <w:tcPr>
            <w:tcW w:w="1701" w:type="dxa"/>
            <w:vAlign w:val="center"/>
          </w:tcPr>
          <w:p w14:paraId="168C284E" w14:textId="77777777" w:rsidR="00867118" w:rsidRPr="00EC4BED" w:rsidRDefault="00867118" w:rsidP="00081575">
            <w:pPr>
              <w:pStyle w:val="SWCTableText"/>
              <w:rPr>
                <w:color w:val="auto"/>
              </w:rPr>
            </w:pPr>
            <w:r w:rsidRPr="00EC4BED">
              <w:rPr>
                <w:color w:val="auto"/>
              </w:rPr>
              <w:t>120.0 (9~19h)</w:t>
            </w:r>
          </w:p>
        </w:tc>
      </w:tr>
      <w:tr w:rsidR="00EC4BED" w:rsidRPr="00EC4BED" w14:paraId="13D8C9F2" w14:textId="77777777" w:rsidTr="00081575">
        <w:tc>
          <w:tcPr>
            <w:tcW w:w="2263" w:type="dxa"/>
            <w:vAlign w:val="center"/>
          </w:tcPr>
          <w:p w14:paraId="1B8BEB5A" w14:textId="77777777" w:rsidR="00867118" w:rsidRPr="00EC4BED" w:rsidRDefault="00867118" w:rsidP="00081575">
            <w:pPr>
              <w:pStyle w:val="SWCTableText"/>
              <w:rPr>
                <w:color w:val="auto"/>
              </w:rPr>
            </w:pPr>
            <w:r w:rsidRPr="00EC4BED">
              <w:rPr>
                <w:color w:val="auto"/>
              </w:rPr>
              <w:t>Net load at 17h [kW]</w:t>
            </w:r>
          </w:p>
        </w:tc>
        <w:tc>
          <w:tcPr>
            <w:tcW w:w="1701" w:type="dxa"/>
            <w:vAlign w:val="center"/>
          </w:tcPr>
          <w:p w14:paraId="61D09DDB" w14:textId="77777777" w:rsidR="00867118" w:rsidRPr="00EC4BED" w:rsidRDefault="00867118" w:rsidP="00081575">
            <w:pPr>
              <w:pStyle w:val="SWCTableText"/>
              <w:rPr>
                <w:color w:val="auto"/>
              </w:rPr>
            </w:pPr>
            <w:r w:rsidRPr="00EC4BED">
              <w:rPr>
                <w:color w:val="auto"/>
              </w:rPr>
              <w:t>144.7</w:t>
            </w:r>
          </w:p>
        </w:tc>
        <w:tc>
          <w:tcPr>
            <w:tcW w:w="1701" w:type="dxa"/>
            <w:vAlign w:val="center"/>
          </w:tcPr>
          <w:p w14:paraId="1B44C350" w14:textId="77777777" w:rsidR="00867118" w:rsidRPr="00EC4BED" w:rsidRDefault="00867118" w:rsidP="00081575">
            <w:pPr>
              <w:pStyle w:val="SWCTableText"/>
              <w:rPr>
                <w:color w:val="auto"/>
              </w:rPr>
            </w:pPr>
            <w:r w:rsidRPr="00EC4BED">
              <w:rPr>
                <w:color w:val="auto"/>
              </w:rPr>
              <w:t>155.7</w:t>
            </w:r>
          </w:p>
        </w:tc>
        <w:tc>
          <w:tcPr>
            <w:tcW w:w="1701" w:type="dxa"/>
            <w:vAlign w:val="center"/>
          </w:tcPr>
          <w:p w14:paraId="380584FE" w14:textId="77777777" w:rsidR="00867118" w:rsidRPr="00EC4BED" w:rsidRDefault="00867118" w:rsidP="00081575">
            <w:pPr>
              <w:pStyle w:val="SWCTableText"/>
              <w:rPr>
                <w:color w:val="auto"/>
              </w:rPr>
            </w:pPr>
            <w:r w:rsidRPr="00EC4BED">
              <w:rPr>
                <w:color w:val="auto"/>
              </w:rPr>
              <w:t>144.7</w:t>
            </w:r>
          </w:p>
        </w:tc>
        <w:tc>
          <w:tcPr>
            <w:tcW w:w="1701" w:type="dxa"/>
            <w:vAlign w:val="center"/>
          </w:tcPr>
          <w:p w14:paraId="46CBCF34" w14:textId="77777777" w:rsidR="00867118" w:rsidRPr="00EC4BED" w:rsidRDefault="00867118" w:rsidP="00081575">
            <w:pPr>
              <w:pStyle w:val="SWCTableText"/>
              <w:rPr>
                <w:color w:val="auto"/>
              </w:rPr>
            </w:pPr>
            <w:r w:rsidRPr="00EC4BED">
              <w:rPr>
                <w:color w:val="auto"/>
              </w:rPr>
              <w:t>120.0</w:t>
            </w:r>
          </w:p>
        </w:tc>
      </w:tr>
      <w:tr w:rsidR="00EC4BED" w:rsidRPr="00EC4BED" w14:paraId="6FD13D4A" w14:textId="77777777" w:rsidTr="00081575">
        <w:tc>
          <w:tcPr>
            <w:tcW w:w="2263" w:type="dxa"/>
            <w:vAlign w:val="center"/>
          </w:tcPr>
          <w:p w14:paraId="7EC80A66" w14:textId="77777777" w:rsidR="00867118" w:rsidRPr="00EC4BED" w:rsidRDefault="00867118" w:rsidP="00081575">
            <w:pPr>
              <w:pStyle w:val="SWCTableText"/>
              <w:rPr>
                <w:color w:val="auto"/>
              </w:rPr>
            </w:pPr>
            <w:r w:rsidRPr="00EC4BED">
              <w:rPr>
                <w:color w:val="auto"/>
              </w:rPr>
              <w:t>Net load at 18h [kW]</w:t>
            </w:r>
          </w:p>
        </w:tc>
        <w:tc>
          <w:tcPr>
            <w:tcW w:w="1701" w:type="dxa"/>
            <w:vAlign w:val="center"/>
          </w:tcPr>
          <w:p w14:paraId="5B43E1D1" w14:textId="77777777" w:rsidR="00867118" w:rsidRPr="00EC4BED" w:rsidRDefault="00867118" w:rsidP="00081575">
            <w:pPr>
              <w:pStyle w:val="SWCTableText"/>
              <w:rPr>
                <w:color w:val="auto"/>
              </w:rPr>
            </w:pPr>
            <w:r w:rsidRPr="00EC4BED">
              <w:rPr>
                <w:color w:val="auto"/>
              </w:rPr>
              <w:t>149.8</w:t>
            </w:r>
          </w:p>
        </w:tc>
        <w:tc>
          <w:tcPr>
            <w:tcW w:w="1701" w:type="dxa"/>
            <w:vAlign w:val="center"/>
          </w:tcPr>
          <w:p w14:paraId="563AE504" w14:textId="77777777" w:rsidR="00867118" w:rsidRPr="00EC4BED" w:rsidRDefault="00867118" w:rsidP="00081575">
            <w:pPr>
              <w:pStyle w:val="SWCTableText"/>
              <w:rPr>
                <w:color w:val="auto"/>
              </w:rPr>
            </w:pPr>
            <w:r w:rsidRPr="00EC4BED">
              <w:rPr>
                <w:color w:val="auto"/>
              </w:rPr>
              <w:t>161.5</w:t>
            </w:r>
          </w:p>
        </w:tc>
        <w:tc>
          <w:tcPr>
            <w:tcW w:w="1701" w:type="dxa"/>
            <w:vAlign w:val="center"/>
          </w:tcPr>
          <w:p w14:paraId="2C70BF58" w14:textId="77777777" w:rsidR="00867118" w:rsidRPr="00EC4BED" w:rsidRDefault="00867118" w:rsidP="00081575">
            <w:pPr>
              <w:pStyle w:val="SWCTableText"/>
              <w:rPr>
                <w:color w:val="auto"/>
              </w:rPr>
            </w:pPr>
            <w:r w:rsidRPr="00EC4BED">
              <w:rPr>
                <w:color w:val="auto"/>
              </w:rPr>
              <w:t>149.8</w:t>
            </w:r>
          </w:p>
        </w:tc>
        <w:tc>
          <w:tcPr>
            <w:tcW w:w="1701" w:type="dxa"/>
            <w:vAlign w:val="center"/>
          </w:tcPr>
          <w:p w14:paraId="7C69543A" w14:textId="77777777" w:rsidR="00867118" w:rsidRPr="00EC4BED" w:rsidRDefault="00867118" w:rsidP="00081575">
            <w:pPr>
              <w:pStyle w:val="SWCTableText"/>
              <w:rPr>
                <w:color w:val="auto"/>
              </w:rPr>
            </w:pPr>
            <w:r w:rsidRPr="00EC4BED">
              <w:rPr>
                <w:color w:val="auto"/>
              </w:rPr>
              <w:t>120.0</w:t>
            </w:r>
          </w:p>
        </w:tc>
      </w:tr>
      <w:tr w:rsidR="00EC4BED" w:rsidRPr="00EC4BED" w14:paraId="1101C9CB" w14:textId="77777777" w:rsidTr="00081575">
        <w:tc>
          <w:tcPr>
            <w:tcW w:w="2263" w:type="dxa"/>
            <w:vAlign w:val="center"/>
          </w:tcPr>
          <w:p w14:paraId="4929226A" w14:textId="77777777" w:rsidR="00867118" w:rsidRPr="00EC4BED" w:rsidRDefault="00867118" w:rsidP="00081575">
            <w:pPr>
              <w:pStyle w:val="SWCTableText"/>
              <w:rPr>
                <w:color w:val="auto"/>
              </w:rPr>
            </w:pPr>
            <w:r w:rsidRPr="00EC4BED">
              <w:rPr>
                <w:color w:val="auto"/>
              </w:rPr>
              <w:t>Daily load factor [%]</w:t>
            </w:r>
          </w:p>
        </w:tc>
        <w:tc>
          <w:tcPr>
            <w:tcW w:w="1701" w:type="dxa"/>
            <w:vAlign w:val="center"/>
          </w:tcPr>
          <w:p w14:paraId="4A1A10F4" w14:textId="77777777" w:rsidR="00867118" w:rsidRPr="00EC4BED" w:rsidRDefault="00867118" w:rsidP="00081575">
            <w:pPr>
              <w:pStyle w:val="SWCTableText"/>
              <w:rPr>
                <w:color w:val="auto"/>
              </w:rPr>
            </w:pPr>
            <w:r w:rsidRPr="00EC4BED">
              <w:rPr>
                <w:color w:val="auto"/>
              </w:rPr>
              <w:t>56.5</w:t>
            </w:r>
          </w:p>
        </w:tc>
        <w:tc>
          <w:tcPr>
            <w:tcW w:w="1701" w:type="dxa"/>
            <w:vAlign w:val="center"/>
          </w:tcPr>
          <w:p w14:paraId="65092F50" w14:textId="77777777" w:rsidR="00867118" w:rsidRPr="00EC4BED" w:rsidRDefault="00867118" w:rsidP="00081575">
            <w:pPr>
              <w:pStyle w:val="SWCTableText"/>
              <w:rPr>
                <w:color w:val="auto"/>
              </w:rPr>
            </w:pPr>
            <w:r w:rsidRPr="00EC4BED">
              <w:rPr>
                <w:color w:val="auto"/>
              </w:rPr>
              <w:t>56.2</w:t>
            </w:r>
          </w:p>
        </w:tc>
        <w:tc>
          <w:tcPr>
            <w:tcW w:w="1701" w:type="dxa"/>
            <w:vAlign w:val="center"/>
          </w:tcPr>
          <w:p w14:paraId="2C6905A0" w14:textId="77777777" w:rsidR="00867118" w:rsidRPr="00EC4BED" w:rsidRDefault="00867118" w:rsidP="00081575">
            <w:pPr>
              <w:pStyle w:val="SWCTableText"/>
              <w:rPr>
                <w:color w:val="auto"/>
              </w:rPr>
            </w:pPr>
            <w:r w:rsidRPr="00EC4BED">
              <w:rPr>
                <w:color w:val="auto"/>
              </w:rPr>
              <w:t>60.6</w:t>
            </w:r>
          </w:p>
        </w:tc>
        <w:tc>
          <w:tcPr>
            <w:tcW w:w="1701" w:type="dxa"/>
            <w:vAlign w:val="center"/>
          </w:tcPr>
          <w:p w14:paraId="5409A4BD" w14:textId="77777777" w:rsidR="00867118" w:rsidRPr="00EC4BED" w:rsidRDefault="00867118" w:rsidP="00081575">
            <w:pPr>
              <w:pStyle w:val="SWCTableText"/>
              <w:rPr>
                <w:color w:val="auto"/>
              </w:rPr>
            </w:pPr>
            <w:r w:rsidRPr="00EC4BED">
              <w:rPr>
                <w:color w:val="auto"/>
              </w:rPr>
              <w:t>72.6</w:t>
            </w:r>
          </w:p>
        </w:tc>
      </w:tr>
      <w:tr w:rsidR="00EC4BED" w:rsidRPr="00EC4BED" w14:paraId="7CEFA765" w14:textId="77777777" w:rsidTr="00081575">
        <w:tc>
          <w:tcPr>
            <w:tcW w:w="2263" w:type="dxa"/>
            <w:vAlign w:val="center"/>
          </w:tcPr>
          <w:p w14:paraId="58150FC4" w14:textId="5B06F237" w:rsidR="00867118" w:rsidRPr="00EC4BED" w:rsidRDefault="00867118" w:rsidP="00081575">
            <w:pPr>
              <w:pStyle w:val="SWCTableText"/>
              <w:rPr>
                <w:color w:val="auto"/>
                <w:lang w:eastAsia="ko-KR"/>
              </w:rPr>
            </w:pPr>
            <w:r w:rsidRPr="00EC4BED">
              <w:rPr>
                <w:color w:val="auto"/>
                <w:lang w:eastAsia="ko-KR"/>
              </w:rPr>
              <w:t xml:space="preserve">Daily </w:t>
            </w:r>
            <w:r w:rsidR="009D3CEB" w:rsidRPr="00EC4BED">
              <w:rPr>
                <w:rFonts w:hint="eastAsia"/>
                <w:color w:val="auto"/>
                <w:lang w:eastAsia="ko-KR"/>
              </w:rPr>
              <w:t xml:space="preserve">net </w:t>
            </w:r>
            <w:r w:rsidR="009D3CEB" w:rsidRPr="00EC4BED">
              <w:rPr>
                <w:color w:val="auto"/>
                <w:lang w:eastAsia="ko-KR"/>
              </w:rPr>
              <w:t>load</w:t>
            </w:r>
            <w:r w:rsidRPr="00EC4BED">
              <w:rPr>
                <w:color w:val="auto"/>
                <w:lang w:eastAsia="ko-KR"/>
              </w:rPr>
              <w:t xml:space="preserve"> </w:t>
            </w:r>
            <w:r w:rsidRPr="00EC4BED">
              <w:rPr>
                <w:rFonts w:hint="eastAsia"/>
                <w:color w:val="auto"/>
                <w:lang w:eastAsia="ko-KR"/>
              </w:rPr>
              <w:t>[</w:t>
            </w:r>
            <w:r w:rsidRPr="00EC4BED">
              <w:rPr>
                <w:color w:val="auto"/>
                <w:lang w:eastAsia="ko-KR"/>
              </w:rPr>
              <w:t>kWh]</w:t>
            </w:r>
          </w:p>
        </w:tc>
        <w:tc>
          <w:tcPr>
            <w:tcW w:w="1701" w:type="dxa"/>
            <w:vAlign w:val="center"/>
          </w:tcPr>
          <w:p w14:paraId="3B0ABB67" w14:textId="4D78B78C" w:rsidR="00867118" w:rsidRPr="00EC4BED" w:rsidRDefault="00867118" w:rsidP="00081575">
            <w:pPr>
              <w:pStyle w:val="SWCTableText"/>
              <w:rPr>
                <w:color w:val="auto"/>
                <w:lang w:eastAsia="ko-KR"/>
              </w:rPr>
            </w:pPr>
            <w:r w:rsidRPr="00EC4BED">
              <w:rPr>
                <w:rFonts w:hint="eastAsia"/>
                <w:color w:val="auto"/>
                <w:lang w:eastAsia="ko-KR"/>
              </w:rPr>
              <w:t>2</w:t>
            </w:r>
            <w:r w:rsidRPr="00EC4BED">
              <w:rPr>
                <w:color w:val="auto"/>
                <w:lang w:eastAsia="ko-KR"/>
              </w:rPr>
              <w:t>,031.5</w:t>
            </w:r>
          </w:p>
        </w:tc>
        <w:tc>
          <w:tcPr>
            <w:tcW w:w="1701" w:type="dxa"/>
            <w:vAlign w:val="center"/>
          </w:tcPr>
          <w:p w14:paraId="25C43928" w14:textId="328250DC" w:rsidR="00867118" w:rsidRPr="00EC4BED" w:rsidRDefault="00867118" w:rsidP="00081575">
            <w:pPr>
              <w:pStyle w:val="SWCTableText"/>
              <w:rPr>
                <w:color w:val="auto"/>
                <w:lang w:eastAsia="ko-KR"/>
              </w:rPr>
            </w:pPr>
            <w:r w:rsidRPr="00EC4BED">
              <w:rPr>
                <w:rFonts w:hint="eastAsia"/>
                <w:color w:val="auto"/>
                <w:lang w:eastAsia="ko-KR"/>
              </w:rPr>
              <w:t>2</w:t>
            </w:r>
            <w:r w:rsidRPr="00EC4BED">
              <w:rPr>
                <w:color w:val="auto"/>
                <w:lang w:eastAsia="ko-KR"/>
              </w:rPr>
              <w:t>,178.7</w:t>
            </w:r>
          </w:p>
        </w:tc>
        <w:tc>
          <w:tcPr>
            <w:tcW w:w="1701" w:type="dxa"/>
            <w:vAlign w:val="center"/>
          </w:tcPr>
          <w:p w14:paraId="73D18C18" w14:textId="114ED174" w:rsidR="00867118" w:rsidRPr="00EC4BED" w:rsidRDefault="00867118" w:rsidP="00081575">
            <w:pPr>
              <w:pStyle w:val="SWCTableText"/>
              <w:rPr>
                <w:color w:val="auto"/>
                <w:lang w:eastAsia="ko-KR"/>
              </w:rPr>
            </w:pPr>
            <w:r w:rsidRPr="00EC4BED">
              <w:rPr>
                <w:rFonts w:hint="eastAsia"/>
                <w:color w:val="auto"/>
                <w:lang w:eastAsia="ko-KR"/>
              </w:rPr>
              <w:t>2</w:t>
            </w:r>
            <w:r w:rsidRPr="00EC4BED">
              <w:rPr>
                <w:color w:val="auto"/>
                <w:lang w:eastAsia="ko-KR"/>
              </w:rPr>
              <w:t>,178.7</w:t>
            </w:r>
          </w:p>
        </w:tc>
        <w:tc>
          <w:tcPr>
            <w:tcW w:w="1701" w:type="dxa"/>
            <w:vAlign w:val="center"/>
          </w:tcPr>
          <w:p w14:paraId="48F86962" w14:textId="346B9967" w:rsidR="00867118" w:rsidRPr="00EC4BED" w:rsidRDefault="00867118" w:rsidP="00081575">
            <w:pPr>
              <w:pStyle w:val="SWCTableText"/>
              <w:rPr>
                <w:color w:val="auto"/>
                <w:lang w:eastAsia="ko-KR"/>
              </w:rPr>
            </w:pPr>
            <w:r w:rsidRPr="00EC4BED">
              <w:rPr>
                <w:rFonts w:hint="eastAsia"/>
                <w:color w:val="auto"/>
                <w:lang w:eastAsia="ko-KR"/>
              </w:rPr>
              <w:t>2</w:t>
            </w:r>
            <w:r w:rsidRPr="00EC4BED">
              <w:rPr>
                <w:color w:val="auto"/>
                <w:lang w:eastAsia="ko-KR"/>
              </w:rPr>
              <w:t>,092.0</w:t>
            </w:r>
          </w:p>
        </w:tc>
      </w:tr>
      <w:tr w:rsidR="00EC4BED" w:rsidRPr="00EC4BED" w14:paraId="61F3E7E6" w14:textId="77777777" w:rsidTr="00081575">
        <w:tc>
          <w:tcPr>
            <w:tcW w:w="2263" w:type="dxa"/>
            <w:vAlign w:val="center"/>
          </w:tcPr>
          <w:p w14:paraId="0CA73024" w14:textId="77777777" w:rsidR="00867118" w:rsidRPr="00EC4BED" w:rsidRDefault="00867118" w:rsidP="00081575">
            <w:pPr>
              <w:pStyle w:val="SWCTableText"/>
              <w:rPr>
                <w:color w:val="auto"/>
              </w:rPr>
            </w:pPr>
            <w:r w:rsidRPr="00EC4BED">
              <w:rPr>
                <w:color w:val="auto"/>
              </w:rPr>
              <w:t>Duck curve contribution</w:t>
            </w:r>
          </w:p>
        </w:tc>
        <w:tc>
          <w:tcPr>
            <w:tcW w:w="1701" w:type="dxa"/>
            <w:vAlign w:val="center"/>
          </w:tcPr>
          <w:p w14:paraId="04EE7BD2" w14:textId="77777777" w:rsidR="00867118" w:rsidRPr="00EC4BED" w:rsidRDefault="00867118" w:rsidP="00081575">
            <w:pPr>
              <w:pStyle w:val="SWCTableText"/>
              <w:rPr>
                <w:color w:val="auto"/>
              </w:rPr>
            </w:pPr>
            <w:r w:rsidRPr="00EC4BED">
              <w:rPr>
                <w:color w:val="auto"/>
              </w:rPr>
              <w:t>Neutral</w:t>
            </w:r>
          </w:p>
        </w:tc>
        <w:tc>
          <w:tcPr>
            <w:tcW w:w="1701" w:type="dxa"/>
            <w:vAlign w:val="center"/>
          </w:tcPr>
          <w:p w14:paraId="4C10D73E" w14:textId="77777777" w:rsidR="00867118" w:rsidRPr="00EC4BED" w:rsidRDefault="00867118" w:rsidP="00081575">
            <w:pPr>
              <w:pStyle w:val="SWCTableText"/>
              <w:rPr>
                <w:color w:val="auto"/>
              </w:rPr>
            </w:pPr>
            <w:r w:rsidRPr="00EC4BED">
              <w:rPr>
                <w:color w:val="auto"/>
              </w:rPr>
              <w:t>Worsens</w:t>
            </w:r>
          </w:p>
        </w:tc>
        <w:tc>
          <w:tcPr>
            <w:tcW w:w="1701" w:type="dxa"/>
            <w:vAlign w:val="center"/>
          </w:tcPr>
          <w:p w14:paraId="3D1E48F4" w14:textId="77777777" w:rsidR="00867118" w:rsidRPr="00EC4BED" w:rsidRDefault="00867118" w:rsidP="00081575">
            <w:pPr>
              <w:pStyle w:val="SWCTableText"/>
              <w:rPr>
                <w:color w:val="auto"/>
              </w:rPr>
            </w:pPr>
            <w:r w:rsidRPr="00EC4BED">
              <w:rPr>
                <w:color w:val="auto"/>
              </w:rPr>
              <w:t>Eliminates evening spike; ramp unchanged</w:t>
            </w:r>
          </w:p>
        </w:tc>
        <w:tc>
          <w:tcPr>
            <w:tcW w:w="1701" w:type="dxa"/>
            <w:vAlign w:val="center"/>
          </w:tcPr>
          <w:p w14:paraId="4DE193E7" w14:textId="77777777" w:rsidR="00867118" w:rsidRPr="00EC4BED" w:rsidRDefault="00867118" w:rsidP="00081575">
            <w:pPr>
              <w:pStyle w:val="SWCTableText"/>
              <w:rPr>
                <w:color w:val="auto"/>
              </w:rPr>
            </w:pPr>
            <w:r w:rsidRPr="00EC4BED">
              <w:rPr>
                <w:color w:val="auto"/>
              </w:rPr>
              <w:t>Suppresses all peaks (120 kW)</w:t>
            </w:r>
          </w:p>
        </w:tc>
      </w:tr>
    </w:tbl>
    <w:p w14:paraId="2CE909B3" w14:textId="77777777" w:rsidR="0003755E" w:rsidRDefault="0003755E" w:rsidP="0064560B">
      <w:pPr>
        <w:pStyle w:val="SWCText"/>
        <w:jc w:val="center"/>
        <w:rPr>
          <w:color w:val="auto"/>
        </w:rPr>
      </w:pPr>
    </w:p>
    <w:p w14:paraId="665E1E36" w14:textId="7C56E701" w:rsidR="0064560B" w:rsidRPr="00EC4BED" w:rsidRDefault="00EC4BED" w:rsidP="0064560B">
      <w:pPr>
        <w:pStyle w:val="SWCText"/>
        <w:jc w:val="center"/>
        <w:rPr>
          <w:color w:val="auto"/>
        </w:rPr>
      </w:pPr>
      <w:r w:rsidRPr="00EC4BED">
        <w:rPr>
          <w:noProof/>
          <w:color w:val="auto"/>
        </w:rPr>
        <w:drawing>
          <wp:inline distT="0" distB="0" distL="0" distR="0" wp14:anchorId="5DCB057B" wp14:editId="16794708">
            <wp:extent cx="3333600" cy="2476800"/>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b="2799"/>
                    <a:stretch/>
                  </pic:blipFill>
                  <pic:spPr bwMode="auto">
                    <a:xfrm>
                      <a:off x="0" y="0"/>
                      <a:ext cx="3333600" cy="2476800"/>
                    </a:xfrm>
                    <a:prstGeom prst="rect">
                      <a:avLst/>
                    </a:prstGeom>
                    <a:noFill/>
                    <a:ln>
                      <a:noFill/>
                    </a:ln>
                    <a:extLst>
                      <a:ext uri="{53640926-AAD7-44D8-BBD7-CCE9431645EC}">
                        <a14:shadowObscured xmlns:a14="http://schemas.microsoft.com/office/drawing/2010/main"/>
                      </a:ext>
                    </a:extLst>
                  </pic:spPr>
                </pic:pic>
              </a:graphicData>
            </a:graphic>
          </wp:inline>
        </w:drawing>
      </w:r>
    </w:p>
    <w:p w14:paraId="15BD0D27" w14:textId="3CCA606B" w:rsidR="00523DE8" w:rsidRDefault="0064560B" w:rsidP="00EC4BED">
      <w:pPr>
        <w:pStyle w:val="SWCTableFigureCaption"/>
        <w:rPr>
          <w:color w:val="auto"/>
        </w:rPr>
      </w:pPr>
      <w:r w:rsidRPr="00EC4BED">
        <w:rPr>
          <w:color w:val="auto"/>
        </w:rPr>
        <w:t>Fig. 2: V2G charging/discharging schedule and SOC profile under S3</w:t>
      </w:r>
    </w:p>
    <w:p w14:paraId="3AE1AD6E" w14:textId="77777777" w:rsidR="00EC4BED" w:rsidRPr="00EC4BED" w:rsidRDefault="00EC4BED" w:rsidP="00EC4BED">
      <w:pPr>
        <w:pStyle w:val="SWCTableFigureCaption"/>
        <w:rPr>
          <w:color w:val="auto"/>
        </w:rPr>
      </w:pPr>
    </w:p>
    <w:p w14:paraId="19AD2838" w14:textId="5873C24C" w:rsidR="00EC4BED" w:rsidRPr="00C72718" w:rsidRDefault="00C72718" w:rsidP="00C72718">
      <w:pPr>
        <w:pStyle w:val="SWCHeading11"/>
      </w:pPr>
      <w:r>
        <w:lastRenderedPageBreak/>
        <w:t xml:space="preserve">3.3 </w:t>
      </w:r>
      <w:r w:rsidR="0093076B" w:rsidRPr="00C72718">
        <w:t>Policy and Tariff Implications</w:t>
      </w:r>
    </w:p>
    <w:p w14:paraId="55611C1A" w14:textId="40B87FFC" w:rsidR="000E0A06" w:rsidRDefault="0038351D" w:rsidP="00E37C41">
      <w:pPr>
        <w:pStyle w:val="SWCText"/>
      </w:pPr>
      <w:r>
        <w:t>The current time-of-use tariff structure in Korea applies on-peak rates during daytime hours (11:00–18:00) — precisely when V2G charging is most needed for net load leveling — creating a structural disincentive that limits practical deployment even when technically feasible. Building operators face high charging costs during the window that enables evening discharge. Tariff reform introducing preferential rates during PV generation hours and compensation mechanisms for V2G evening discharge are therefore essential policy complements to mandatory bidirectional charger requirements.</w:t>
      </w:r>
    </w:p>
    <w:p w14:paraId="6C842A91" w14:textId="5AEED0D9" w:rsidR="003869E8" w:rsidRPr="00C97946" w:rsidRDefault="000F6617" w:rsidP="00490F10">
      <w:pPr>
        <w:pStyle w:val="SWCHeading1"/>
      </w:pPr>
      <w:r w:rsidRPr="000F6617">
        <w:rPr>
          <w:lang w:val="en-GB"/>
        </w:rPr>
        <w:t>Conclusions</w:t>
      </w:r>
      <w:r w:rsidR="004E5D79" w:rsidRPr="00C97946">
        <w:rPr>
          <w:lang w:val="en-GB"/>
        </w:rPr>
        <w:t xml:space="preserve"> </w:t>
      </w:r>
    </w:p>
    <w:p w14:paraId="4820B8E8" w14:textId="61DE8D94" w:rsidR="0038351D" w:rsidRDefault="0038351D" w:rsidP="0038351D">
      <w:pPr>
        <w:pStyle w:val="SWCText"/>
      </w:pPr>
      <w:r>
        <w:t xml:space="preserve">As PV penetration in commercial buildings continues to grow, the evening ramp challenge will intensify — and uncontrolled EV charging will deepen it further. This study demonstrates that V2G scheduling resolves what neither PV nor smart charging alone can address: by charging during peak PV hours (11:00–15:00) and discharging when net load exceeds 120 kW (09:00–10:00 and 17:00–19:00, total 74.3 kWh), all peak net loads are suppressed to 120.0 kW and the daily load factor improves from 56.2% to 72.6%. Crucially, extending bidirectional capability to slow chargers substantially increases available discharge capacity — a finding that underscores </w:t>
      </w:r>
      <w:r w:rsidR="004B234E">
        <w:t>the importance of incorporating bidirectional support across all charger types</w:t>
      </w:r>
      <w:r>
        <w:t>, not only DC fast chargers.</w:t>
      </w:r>
    </w:p>
    <w:p w14:paraId="13CD3EC5" w14:textId="2A626A49" w:rsidR="0083058D" w:rsidRDefault="0038351D" w:rsidP="0038351D">
      <w:pPr>
        <w:pStyle w:val="SWCText"/>
      </w:pPr>
      <w:r>
        <w:t>Realizing this potential in practice requires both infrastructure standards and tariff reform that incentivizes daytime charging and compensates evening discharge. Future work will extend this analysis to multiple building types and seasons, incorporate stochastic EV availability modeling, and evaluate aggregated V2G potential for demand response market participation. As BIPV adoption expands beyond rooftop systems to building facades and envelopes, the growing on-site generation capacity will further strengthen the case for V2G as a building-level net load management strategy.</w:t>
      </w:r>
    </w:p>
    <w:p w14:paraId="729899CB" w14:textId="0F0C1D7C" w:rsidR="00C0471C" w:rsidRDefault="00C0471C" w:rsidP="00C0471C">
      <w:pPr>
        <w:pStyle w:val="SWCHeading1"/>
      </w:pPr>
      <w:r>
        <w:t>Acknowledgement</w:t>
      </w:r>
    </w:p>
    <w:p w14:paraId="6350F243" w14:textId="4CA72829" w:rsidR="00C0471C" w:rsidRPr="002B71FB" w:rsidRDefault="0047329C" w:rsidP="00C0471C">
      <w:pPr>
        <w:pStyle w:val="SWCText"/>
        <w:rPr>
          <w:color w:val="FF0000"/>
        </w:rPr>
      </w:pPr>
      <w:r>
        <w:rPr>
          <w:rFonts w:hint="eastAsia"/>
          <w:lang w:eastAsia="ko-KR"/>
        </w:rPr>
        <w:t>T</w:t>
      </w:r>
      <w:r w:rsidR="00AD7F15" w:rsidRPr="00AD7F15">
        <w:t>his work was supported by the Korea Institute of Energy Technology Evaluation and Planning</w:t>
      </w:r>
      <w:r w:rsidR="0093076B">
        <w:t xml:space="preserve"> </w:t>
      </w:r>
      <w:r w:rsidR="00AD7F15" w:rsidRPr="00AD7F15">
        <w:t>(KETEP) and the Ministry of Climate, Energy &amp; Environment</w:t>
      </w:r>
      <w:r w:rsidR="0093076B">
        <w:t xml:space="preserve"> </w:t>
      </w:r>
      <w:r w:rsidR="00AD7F15" w:rsidRPr="00AD7F15">
        <w:t>(MCEE) of the Republic of Korea</w:t>
      </w:r>
      <w:r w:rsidR="00C0471C">
        <w:t xml:space="preserve"> (No. RS-2024-00459594, Development of Long-Life BIPV Modules Considering Building Life Cycle).</w:t>
      </w:r>
    </w:p>
    <w:p w14:paraId="482EC59A" w14:textId="77777777" w:rsidR="000F6617" w:rsidRDefault="000F6617" w:rsidP="000F6617">
      <w:pPr>
        <w:pStyle w:val="SWCHeading1"/>
      </w:pPr>
      <w:r>
        <w:t>References</w:t>
      </w:r>
    </w:p>
    <w:p w14:paraId="08FBA82F" w14:textId="77777777" w:rsidR="006A7665" w:rsidRDefault="006A7665" w:rsidP="006A7665">
      <w:pPr>
        <w:pStyle w:val="SWCText"/>
      </w:pPr>
      <w:proofErr w:type="spellStart"/>
      <w:r>
        <w:t>Fachrizal</w:t>
      </w:r>
      <w:proofErr w:type="spellEnd"/>
      <w:r>
        <w:t xml:space="preserve">, R., </w:t>
      </w:r>
      <w:proofErr w:type="spellStart"/>
      <w:r>
        <w:t>Shepero</w:t>
      </w:r>
      <w:proofErr w:type="spellEnd"/>
      <w:r>
        <w:t xml:space="preserve">, M., </w:t>
      </w:r>
      <w:proofErr w:type="spellStart"/>
      <w:r>
        <w:t>Åberg</w:t>
      </w:r>
      <w:proofErr w:type="spellEnd"/>
      <w:r>
        <w:t xml:space="preserve">, M., </w:t>
      </w:r>
      <w:proofErr w:type="spellStart"/>
      <w:r>
        <w:t>Munkhammar</w:t>
      </w:r>
      <w:proofErr w:type="spellEnd"/>
      <w:r>
        <w:t>, J., 2022. Optimal PV-EV sizing at solar powered workplace charging stations with smart charging schemes considering self-consumption and self-sufficiency balance. Applied Energy, 307, 118139.</w:t>
      </w:r>
    </w:p>
    <w:p w14:paraId="11A7CF4F" w14:textId="77777777" w:rsidR="006A7665" w:rsidRDefault="006A7665" w:rsidP="006A7665">
      <w:pPr>
        <w:pStyle w:val="SWCText"/>
      </w:pPr>
      <w:r>
        <w:t xml:space="preserve">Korea Power Exchange (KPX), 2021. Analysis of Electric Vehicle and Charger Dissemination and Usage Status. Korea Power Exchange, </w:t>
      </w:r>
      <w:proofErr w:type="spellStart"/>
      <w:r>
        <w:t>Naju</w:t>
      </w:r>
      <w:proofErr w:type="spellEnd"/>
      <w:r>
        <w:t>.</w:t>
      </w:r>
    </w:p>
    <w:p w14:paraId="6DC8CBB5" w14:textId="77777777" w:rsidR="006A7665" w:rsidRDefault="006A7665" w:rsidP="006A7665">
      <w:pPr>
        <w:pStyle w:val="SWCText"/>
      </w:pPr>
      <w:r>
        <w:t>Luo, J., Cao, X., Yuan, Y., 2024. Comprehensive techno-economic performance assessment of PV-building-EV integrated energy system concerning V2B impacts on both building energy consumers and EV owners. Journal of Building Engineering, 87, 109075.</w:t>
      </w:r>
    </w:p>
    <w:p w14:paraId="4B3BDFEE" w14:textId="07F12C79" w:rsidR="006A7665" w:rsidRDefault="003B07DE" w:rsidP="006A7665">
      <w:pPr>
        <w:pStyle w:val="SWCText"/>
      </w:pPr>
      <w:r w:rsidRPr="003B07DE">
        <w:t>Ministry of the Interior and Safety</w:t>
      </w:r>
      <w:r w:rsidR="00EB4C25">
        <w:t xml:space="preserve"> (</w:t>
      </w:r>
      <w:r>
        <w:t>MOIS</w:t>
      </w:r>
      <w:r w:rsidR="00EB4C25">
        <w:t xml:space="preserve">), </w:t>
      </w:r>
      <w:r w:rsidR="006A7665">
        <w:t>2024. Korea Power Exchange Regional Hourly PV and Wind Power Generation Data. Public Data Portal, Republic of Korea.</w:t>
      </w:r>
    </w:p>
    <w:p w14:paraId="629A394D" w14:textId="530A8CFE" w:rsidR="00C0471C" w:rsidRPr="002B71FB" w:rsidRDefault="006A7665" w:rsidP="006A7665">
      <w:pPr>
        <w:pStyle w:val="SWCText"/>
        <w:rPr>
          <w:color w:val="FF0000"/>
        </w:rPr>
      </w:pPr>
      <w:r>
        <w:t>Moon, H.J., An, K.A., 2014. Analysis of electric energy consumptions using load profiling and load shape parameters in commercial buildings. Proceedings of the SAREK Summer Annual Conference, pp. 234–246.</w:t>
      </w:r>
    </w:p>
    <w:sectPr w:rsidR="00C0471C" w:rsidRPr="002B71FB" w:rsidSect="001D2F74">
      <w:footnotePr>
        <w:numRestart w:val="eachPage"/>
      </w:footnotePr>
      <w:pgSz w:w="11908" w:h="16838"/>
      <w:pgMar w:top="1701" w:right="1440" w:bottom="1701" w:left="1440"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56959" w14:textId="77777777" w:rsidR="00047B53" w:rsidRDefault="00047B53">
      <w:r>
        <w:separator/>
      </w:r>
    </w:p>
  </w:endnote>
  <w:endnote w:type="continuationSeparator" w:id="0">
    <w:p w14:paraId="6C1638F4" w14:textId="77777777" w:rsidR="00047B53" w:rsidRDefault="00047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18271" w14:textId="77777777" w:rsidR="00047B53" w:rsidRDefault="00047B53">
      <w:r>
        <w:separator/>
      </w:r>
    </w:p>
  </w:footnote>
  <w:footnote w:type="continuationSeparator" w:id="0">
    <w:p w14:paraId="6650946E" w14:textId="77777777" w:rsidR="00047B53" w:rsidRDefault="00047B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multilevel"/>
    <w:tmpl w:val="DCEA9D34"/>
    <w:lvl w:ilvl="0">
      <w:start w:val="1"/>
      <w:numFmt w:val="decimal"/>
      <w:pStyle w:val="SWCHeading1"/>
      <w:lvlText w:val="%1."/>
      <w:lvlJc w:val="left"/>
      <w:pPr>
        <w:tabs>
          <w:tab w:val="num" w:pos="720"/>
        </w:tabs>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0"/>
  </w:num>
  <w:num w:numId="4">
    <w:abstractNumId w:val="22"/>
  </w:num>
  <w:num w:numId="5">
    <w:abstractNumId w:val="4"/>
  </w:num>
  <w:num w:numId="6">
    <w:abstractNumId w:val="3"/>
  </w:num>
  <w:num w:numId="7">
    <w:abstractNumId w:val="0"/>
  </w:num>
  <w:num w:numId="8">
    <w:abstractNumId w:val="2"/>
  </w:num>
  <w:num w:numId="9">
    <w:abstractNumId w:val="1"/>
  </w:num>
  <w:num w:numId="10">
    <w:abstractNumId w:val="6"/>
  </w:num>
  <w:num w:numId="11">
    <w:abstractNumId w:val="18"/>
  </w:num>
  <w:num w:numId="12">
    <w:abstractNumId w:val="14"/>
  </w:num>
  <w:num w:numId="13">
    <w:abstractNumId w:val="6"/>
    <w:lvlOverride w:ilvl="0">
      <w:startOverride w:val="1"/>
    </w:lvlOverride>
  </w:num>
  <w:num w:numId="14">
    <w:abstractNumId w:val="17"/>
  </w:num>
  <w:num w:numId="15">
    <w:abstractNumId w:val="7"/>
  </w:num>
  <w:num w:numId="16">
    <w:abstractNumId w:val="13"/>
  </w:num>
  <w:num w:numId="17">
    <w:abstractNumId w:val="16"/>
  </w:num>
  <w:num w:numId="18">
    <w:abstractNumId w:val="20"/>
  </w:num>
  <w:num w:numId="19">
    <w:abstractNumId w:val="9"/>
  </w:num>
  <w:num w:numId="20">
    <w:abstractNumId w:val="8"/>
  </w:num>
  <w:num w:numId="21">
    <w:abstractNumId w:val="12"/>
  </w:num>
  <w:num w:numId="22">
    <w:abstractNumId w:val="19"/>
  </w:num>
  <w:num w:numId="23">
    <w:abstractNumId w:val="15"/>
  </w:num>
  <w:num w:numId="24">
    <w:abstractNumId w:val="21"/>
  </w:num>
  <w:num w:numId="25">
    <w:abstractNumId w:val="18"/>
    <w:lvlOverride w:ilvl="0">
      <w:startOverride w:val="1"/>
    </w:lvlOverride>
  </w:num>
  <w:num w:numId="26">
    <w:abstractNumId w:val="18"/>
    <w:lvlOverride w:ilvl="0">
      <w:startOverride w:val="1"/>
    </w:lvlOverride>
  </w:num>
  <w:num w:numId="27">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3755E"/>
    <w:rsid w:val="0004235D"/>
    <w:rsid w:val="00047B53"/>
    <w:rsid w:val="000533E4"/>
    <w:rsid w:val="000534F5"/>
    <w:rsid w:val="00053E02"/>
    <w:rsid w:val="00055DB9"/>
    <w:rsid w:val="00057B5E"/>
    <w:rsid w:val="00066B26"/>
    <w:rsid w:val="000678AC"/>
    <w:rsid w:val="000712A1"/>
    <w:rsid w:val="00074DBF"/>
    <w:rsid w:val="000756D3"/>
    <w:rsid w:val="00084360"/>
    <w:rsid w:val="00092ED5"/>
    <w:rsid w:val="000A0ADB"/>
    <w:rsid w:val="000A30A5"/>
    <w:rsid w:val="000A36B5"/>
    <w:rsid w:val="000A52A1"/>
    <w:rsid w:val="000B04BE"/>
    <w:rsid w:val="000B1F4D"/>
    <w:rsid w:val="000C2344"/>
    <w:rsid w:val="000D6E1A"/>
    <w:rsid w:val="000E0A06"/>
    <w:rsid w:val="000E1855"/>
    <w:rsid w:val="000F6617"/>
    <w:rsid w:val="000F739B"/>
    <w:rsid w:val="0010501A"/>
    <w:rsid w:val="0015090D"/>
    <w:rsid w:val="00155FB8"/>
    <w:rsid w:val="00157CE5"/>
    <w:rsid w:val="001647D2"/>
    <w:rsid w:val="001659F1"/>
    <w:rsid w:val="00166C42"/>
    <w:rsid w:val="0017062B"/>
    <w:rsid w:val="00176EF6"/>
    <w:rsid w:val="001904A7"/>
    <w:rsid w:val="0019232E"/>
    <w:rsid w:val="00194E9A"/>
    <w:rsid w:val="001968B5"/>
    <w:rsid w:val="001969B9"/>
    <w:rsid w:val="001A117A"/>
    <w:rsid w:val="001A775B"/>
    <w:rsid w:val="001A7F40"/>
    <w:rsid w:val="001B13D6"/>
    <w:rsid w:val="001B6BCF"/>
    <w:rsid w:val="001B7B01"/>
    <w:rsid w:val="001C3A3D"/>
    <w:rsid w:val="001C63A2"/>
    <w:rsid w:val="001D0384"/>
    <w:rsid w:val="001D2F74"/>
    <w:rsid w:val="001D4912"/>
    <w:rsid w:val="001E2B93"/>
    <w:rsid w:val="001F2881"/>
    <w:rsid w:val="001F42A5"/>
    <w:rsid w:val="00205626"/>
    <w:rsid w:val="00206116"/>
    <w:rsid w:val="00212270"/>
    <w:rsid w:val="00212628"/>
    <w:rsid w:val="0022299B"/>
    <w:rsid w:val="00225724"/>
    <w:rsid w:val="00243214"/>
    <w:rsid w:val="0024609C"/>
    <w:rsid w:val="00256831"/>
    <w:rsid w:val="0026032F"/>
    <w:rsid w:val="00263279"/>
    <w:rsid w:val="002647A0"/>
    <w:rsid w:val="00266E47"/>
    <w:rsid w:val="00270E75"/>
    <w:rsid w:val="0027288C"/>
    <w:rsid w:val="00273341"/>
    <w:rsid w:val="002972D1"/>
    <w:rsid w:val="002A04A9"/>
    <w:rsid w:val="002A39BB"/>
    <w:rsid w:val="002B417A"/>
    <w:rsid w:val="002B71FB"/>
    <w:rsid w:val="002C089D"/>
    <w:rsid w:val="002C68AD"/>
    <w:rsid w:val="002D322C"/>
    <w:rsid w:val="002D4864"/>
    <w:rsid w:val="002E5D62"/>
    <w:rsid w:val="002F1386"/>
    <w:rsid w:val="002F6B87"/>
    <w:rsid w:val="00303345"/>
    <w:rsid w:val="0031080D"/>
    <w:rsid w:val="003357AC"/>
    <w:rsid w:val="0035292E"/>
    <w:rsid w:val="003533AC"/>
    <w:rsid w:val="0035638A"/>
    <w:rsid w:val="003605B9"/>
    <w:rsid w:val="00362122"/>
    <w:rsid w:val="00364A52"/>
    <w:rsid w:val="00373F97"/>
    <w:rsid w:val="00374216"/>
    <w:rsid w:val="0038351D"/>
    <w:rsid w:val="00385341"/>
    <w:rsid w:val="0038545D"/>
    <w:rsid w:val="003869E8"/>
    <w:rsid w:val="00391288"/>
    <w:rsid w:val="00395E5A"/>
    <w:rsid w:val="0039742D"/>
    <w:rsid w:val="00397EFE"/>
    <w:rsid w:val="003A3A38"/>
    <w:rsid w:val="003A7DB9"/>
    <w:rsid w:val="003B07DE"/>
    <w:rsid w:val="003B2055"/>
    <w:rsid w:val="003B7BD5"/>
    <w:rsid w:val="003C0806"/>
    <w:rsid w:val="003C18DE"/>
    <w:rsid w:val="003C1B31"/>
    <w:rsid w:val="003C2B1A"/>
    <w:rsid w:val="003C39C6"/>
    <w:rsid w:val="003D0C22"/>
    <w:rsid w:val="003E1E1C"/>
    <w:rsid w:val="003E23CA"/>
    <w:rsid w:val="003E7897"/>
    <w:rsid w:val="003F0403"/>
    <w:rsid w:val="003F5B99"/>
    <w:rsid w:val="004019FD"/>
    <w:rsid w:val="00403E6A"/>
    <w:rsid w:val="004053B5"/>
    <w:rsid w:val="0040615A"/>
    <w:rsid w:val="0041172A"/>
    <w:rsid w:val="00411E29"/>
    <w:rsid w:val="0041235F"/>
    <w:rsid w:val="0042033E"/>
    <w:rsid w:val="00421262"/>
    <w:rsid w:val="004357AD"/>
    <w:rsid w:val="00440225"/>
    <w:rsid w:val="00453296"/>
    <w:rsid w:val="00453FBD"/>
    <w:rsid w:val="00455AEA"/>
    <w:rsid w:val="0046444E"/>
    <w:rsid w:val="00466B4F"/>
    <w:rsid w:val="00467DFD"/>
    <w:rsid w:val="0047329C"/>
    <w:rsid w:val="00476879"/>
    <w:rsid w:val="00490F10"/>
    <w:rsid w:val="00493C81"/>
    <w:rsid w:val="00494006"/>
    <w:rsid w:val="004A3506"/>
    <w:rsid w:val="004B234E"/>
    <w:rsid w:val="004C39AD"/>
    <w:rsid w:val="004C4EE9"/>
    <w:rsid w:val="004D57D6"/>
    <w:rsid w:val="004E5D79"/>
    <w:rsid w:val="004F3F50"/>
    <w:rsid w:val="004F4904"/>
    <w:rsid w:val="004F5FF9"/>
    <w:rsid w:val="00500640"/>
    <w:rsid w:val="00500D7D"/>
    <w:rsid w:val="005067AC"/>
    <w:rsid w:val="00514890"/>
    <w:rsid w:val="0051584D"/>
    <w:rsid w:val="00523DE8"/>
    <w:rsid w:val="00532138"/>
    <w:rsid w:val="0053532A"/>
    <w:rsid w:val="005404F1"/>
    <w:rsid w:val="00550776"/>
    <w:rsid w:val="00556004"/>
    <w:rsid w:val="0056110B"/>
    <w:rsid w:val="00566460"/>
    <w:rsid w:val="0057075C"/>
    <w:rsid w:val="005721F8"/>
    <w:rsid w:val="005836C7"/>
    <w:rsid w:val="00586991"/>
    <w:rsid w:val="005B3E86"/>
    <w:rsid w:val="005B6F55"/>
    <w:rsid w:val="005D5CF6"/>
    <w:rsid w:val="005E04EA"/>
    <w:rsid w:val="005E0D7D"/>
    <w:rsid w:val="005E7208"/>
    <w:rsid w:val="005F30FA"/>
    <w:rsid w:val="00607C4E"/>
    <w:rsid w:val="00613AF9"/>
    <w:rsid w:val="0061732F"/>
    <w:rsid w:val="0062257E"/>
    <w:rsid w:val="00625BC2"/>
    <w:rsid w:val="00627E34"/>
    <w:rsid w:val="00630085"/>
    <w:rsid w:val="006309AA"/>
    <w:rsid w:val="00631626"/>
    <w:rsid w:val="00633473"/>
    <w:rsid w:val="006379BD"/>
    <w:rsid w:val="0064403B"/>
    <w:rsid w:val="0064560B"/>
    <w:rsid w:val="006500EC"/>
    <w:rsid w:val="00652071"/>
    <w:rsid w:val="00653551"/>
    <w:rsid w:val="0065563B"/>
    <w:rsid w:val="00665471"/>
    <w:rsid w:val="006722C6"/>
    <w:rsid w:val="00676B26"/>
    <w:rsid w:val="00692D7F"/>
    <w:rsid w:val="006A0AE2"/>
    <w:rsid w:val="006A2F10"/>
    <w:rsid w:val="006A7665"/>
    <w:rsid w:val="006A77D0"/>
    <w:rsid w:val="006B4C9F"/>
    <w:rsid w:val="006C756C"/>
    <w:rsid w:val="006C7A6E"/>
    <w:rsid w:val="006D4A96"/>
    <w:rsid w:val="006F5B85"/>
    <w:rsid w:val="00702AE0"/>
    <w:rsid w:val="007174DA"/>
    <w:rsid w:val="00725ED2"/>
    <w:rsid w:val="007535ED"/>
    <w:rsid w:val="0075406E"/>
    <w:rsid w:val="00756702"/>
    <w:rsid w:val="00762EA3"/>
    <w:rsid w:val="007763CB"/>
    <w:rsid w:val="007804A7"/>
    <w:rsid w:val="00782047"/>
    <w:rsid w:val="007908F6"/>
    <w:rsid w:val="007954D9"/>
    <w:rsid w:val="007A5442"/>
    <w:rsid w:val="007A55E9"/>
    <w:rsid w:val="007A7952"/>
    <w:rsid w:val="007B0BDB"/>
    <w:rsid w:val="007B33DF"/>
    <w:rsid w:val="007C1632"/>
    <w:rsid w:val="007C36EF"/>
    <w:rsid w:val="007C4944"/>
    <w:rsid w:val="007C6BDE"/>
    <w:rsid w:val="007D0678"/>
    <w:rsid w:val="007D1C2C"/>
    <w:rsid w:val="007E7634"/>
    <w:rsid w:val="007F015D"/>
    <w:rsid w:val="00800E25"/>
    <w:rsid w:val="00801634"/>
    <w:rsid w:val="0080537B"/>
    <w:rsid w:val="008058E1"/>
    <w:rsid w:val="008219CF"/>
    <w:rsid w:val="00823659"/>
    <w:rsid w:val="0083058D"/>
    <w:rsid w:val="00834062"/>
    <w:rsid w:val="00837104"/>
    <w:rsid w:val="00840E8F"/>
    <w:rsid w:val="0084100F"/>
    <w:rsid w:val="00845AE3"/>
    <w:rsid w:val="0086306D"/>
    <w:rsid w:val="00867118"/>
    <w:rsid w:val="00881A9D"/>
    <w:rsid w:val="00893500"/>
    <w:rsid w:val="008B17F5"/>
    <w:rsid w:val="008B618F"/>
    <w:rsid w:val="008D44C5"/>
    <w:rsid w:val="008D7E85"/>
    <w:rsid w:val="008E075A"/>
    <w:rsid w:val="008E0EA8"/>
    <w:rsid w:val="008E19FF"/>
    <w:rsid w:val="008E53FF"/>
    <w:rsid w:val="008F249D"/>
    <w:rsid w:val="008F54F8"/>
    <w:rsid w:val="009011AA"/>
    <w:rsid w:val="00906CC3"/>
    <w:rsid w:val="00917D56"/>
    <w:rsid w:val="0093076B"/>
    <w:rsid w:val="00931C9D"/>
    <w:rsid w:val="00933A00"/>
    <w:rsid w:val="00933BFD"/>
    <w:rsid w:val="00941691"/>
    <w:rsid w:val="00942AED"/>
    <w:rsid w:val="00944E25"/>
    <w:rsid w:val="0095259B"/>
    <w:rsid w:val="00953F15"/>
    <w:rsid w:val="00957B4C"/>
    <w:rsid w:val="009642AB"/>
    <w:rsid w:val="00982BCB"/>
    <w:rsid w:val="009925B5"/>
    <w:rsid w:val="0099274E"/>
    <w:rsid w:val="00993F03"/>
    <w:rsid w:val="0099435F"/>
    <w:rsid w:val="00996BC5"/>
    <w:rsid w:val="009A4AEC"/>
    <w:rsid w:val="009A6D34"/>
    <w:rsid w:val="009B4816"/>
    <w:rsid w:val="009B5242"/>
    <w:rsid w:val="009C1BA8"/>
    <w:rsid w:val="009C2D0D"/>
    <w:rsid w:val="009C3492"/>
    <w:rsid w:val="009C49C6"/>
    <w:rsid w:val="009C5843"/>
    <w:rsid w:val="009C5AA4"/>
    <w:rsid w:val="009D02D4"/>
    <w:rsid w:val="009D3CEB"/>
    <w:rsid w:val="009D60E3"/>
    <w:rsid w:val="009E0D67"/>
    <w:rsid w:val="009E4985"/>
    <w:rsid w:val="009F16C5"/>
    <w:rsid w:val="009F3E11"/>
    <w:rsid w:val="009F6AF8"/>
    <w:rsid w:val="009F6E78"/>
    <w:rsid w:val="009F7C7E"/>
    <w:rsid w:val="00A01148"/>
    <w:rsid w:val="00A219F6"/>
    <w:rsid w:val="00A31DC5"/>
    <w:rsid w:val="00A40C81"/>
    <w:rsid w:val="00A41F35"/>
    <w:rsid w:val="00A436CD"/>
    <w:rsid w:val="00A5180B"/>
    <w:rsid w:val="00A55E36"/>
    <w:rsid w:val="00A6457C"/>
    <w:rsid w:val="00A65294"/>
    <w:rsid w:val="00A8757B"/>
    <w:rsid w:val="00A92044"/>
    <w:rsid w:val="00A9727D"/>
    <w:rsid w:val="00AA12C1"/>
    <w:rsid w:val="00AA16B9"/>
    <w:rsid w:val="00AA47DC"/>
    <w:rsid w:val="00AB624E"/>
    <w:rsid w:val="00AC2C09"/>
    <w:rsid w:val="00AC6B6F"/>
    <w:rsid w:val="00AD7F15"/>
    <w:rsid w:val="00AE11FC"/>
    <w:rsid w:val="00AE6354"/>
    <w:rsid w:val="00AF15AF"/>
    <w:rsid w:val="00AF6EB4"/>
    <w:rsid w:val="00B01141"/>
    <w:rsid w:val="00B02E33"/>
    <w:rsid w:val="00B04CF2"/>
    <w:rsid w:val="00B214A1"/>
    <w:rsid w:val="00B22D5C"/>
    <w:rsid w:val="00B263F0"/>
    <w:rsid w:val="00B2716E"/>
    <w:rsid w:val="00B32703"/>
    <w:rsid w:val="00B33EDD"/>
    <w:rsid w:val="00B37398"/>
    <w:rsid w:val="00B54313"/>
    <w:rsid w:val="00B60B5F"/>
    <w:rsid w:val="00B6496F"/>
    <w:rsid w:val="00B66578"/>
    <w:rsid w:val="00B8064D"/>
    <w:rsid w:val="00B80F06"/>
    <w:rsid w:val="00B8164B"/>
    <w:rsid w:val="00B827C6"/>
    <w:rsid w:val="00B84CEB"/>
    <w:rsid w:val="00B93F09"/>
    <w:rsid w:val="00BB1390"/>
    <w:rsid w:val="00BC738E"/>
    <w:rsid w:val="00BD004B"/>
    <w:rsid w:val="00BD0576"/>
    <w:rsid w:val="00BE50D0"/>
    <w:rsid w:val="00BF16FE"/>
    <w:rsid w:val="00BF4B64"/>
    <w:rsid w:val="00C012F5"/>
    <w:rsid w:val="00C0471C"/>
    <w:rsid w:val="00C068BC"/>
    <w:rsid w:val="00C17081"/>
    <w:rsid w:val="00C20A85"/>
    <w:rsid w:val="00C232EC"/>
    <w:rsid w:val="00C246AA"/>
    <w:rsid w:val="00C27FD4"/>
    <w:rsid w:val="00C365E2"/>
    <w:rsid w:val="00C44EFB"/>
    <w:rsid w:val="00C55264"/>
    <w:rsid w:val="00C6695C"/>
    <w:rsid w:val="00C72718"/>
    <w:rsid w:val="00C80381"/>
    <w:rsid w:val="00C97946"/>
    <w:rsid w:val="00CA4F91"/>
    <w:rsid w:val="00CA7ABB"/>
    <w:rsid w:val="00CB57E5"/>
    <w:rsid w:val="00CB7EE8"/>
    <w:rsid w:val="00CC0BDA"/>
    <w:rsid w:val="00CC3B0C"/>
    <w:rsid w:val="00CD12D2"/>
    <w:rsid w:val="00CD4EFC"/>
    <w:rsid w:val="00CE3D7D"/>
    <w:rsid w:val="00CE432C"/>
    <w:rsid w:val="00CE6DBB"/>
    <w:rsid w:val="00D0520C"/>
    <w:rsid w:val="00D12F99"/>
    <w:rsid w:val="00D14555"/>
    <w:rsid w:val="00D17DCC"/>
    <w:rsid w:val="00D31359"/>
    <w:rsid w:val="00D32EF0"/>
    <w:rsid w:val="00D34665"/>
    <w:rsid w:val="00D35E52"/>
    <w:rsid w:val="00D36FA6"/>
    <w:rsid w:val="00D41E9A"/>
    <w:rsid w:val="00D53F31"/>
    <w:rsid w:val="00D5584D"/>
    <w:rsid w:val="00D55FFC"/>
    <w:rsid w:val="00D62269"/>
    <w:rsid w:val="00D62EDC"/>
    <w:rsid w:val="00D63D44"/>
    <w:rsid w:val="00D761BB"/>
    <w:rsid w:val="00D813D2"/>
    <w:rsid w:val="00D93C93"/>
    <w:rsid w:val="00D96C31"/>
    <w:rsid w:val="00D976DC"/>
    <w:rsid w:val="00DA244B"/>
    <w:rsid w:val="00DA7F88"/>
    <w:rsid w:val="00DB52E7"/>
    <w:rsid w:val="00DC0318"/>
    <w:rsid w:val="00DC3B81"/>
    <w:rsid w:val="00DD1D5F"/>
    <w:rsid w:val="00DE0269"/>
    <w:rsid w:val="00E012C5"/>
    <w:rsid w:val="00E023A9"/>
    <w:rsid w:val="00E06EF5"/>
    <w:rsid w:val="00E07D1B"/>
    <w:rsid w:val="00E218E2"/>
    <w:rsid w:val="00E23FEE"/>
    <w:rsid w:val="00E32218"/>
    <w:rsid w:val="00E34D8E"/>
    <w:rsid w:val="00E37C41"/>
    <w:rsid w:val="00E44DE8"/>
    <w:rsid w:val="00E548A7"/>
    <w:rsid w:val="00E57E49"/>
    <w:rsid w:val="00E61C50"/>
    <w:rsid w:val="00E65D4A"/>
    <w:rsid w:val="00E7237D"/>
    <w:rsid w:val="00E8614A"/>
    <w:rsid w:val="00E9249A"/>
    <w:rsid w:val="00EA50D7"/>
    <w:rsid w:val="00EA56BF"/>
    <w:rsid w:val="00EB4C25"/>
    <w:rsid w:val="00EC3533"/>
    <w:rsid w:val="00EC4BED"/>
    <w:rsid w:val="00EE6DC0"/>
    <w:rsid w:val="00EF2F33"/>
    <w:rsid w:val="00EF596C"/>
    <w:rsid w:val="00F04AC6"/>
    <w:rsid w:val="00F07750"/>
    <w:rsid w:val="00F30A77"/>
    <w:rsid w:val="00F40894"/>
    <w:rsid w:val="00F4393F"/>
    <w:rsid w:val="00F46A3A"/>
    <w:rsid w:val="00F5375D"/>
    <w:rsid w:val="00F5454E"/>
    <w:rsid w:val="00F715C3"/>
    <w:rsid w:val="00F718BD"/>
    <w:rsid w:val="00F80507"/>
    <w:rsid w:val="00F83CD3"/>
    <w:rsid w:val="00F85F61"/>
    <w:rsid w:val="00F860EC"/>
    <w:rsid w:val="00F95487"/>
    <w:rsid w:val="00F95DEF"/>
    <w:rsid w:val="00FA1553"/>
    <w:rsid w:val="00FA4DF8"/>
    <w:rsid w:val="00FB45FB"/>
    <w:rsid w:val="00FC09A1"/>
    <w:rsid w:val="00FC1781"/>
    <w:rsid w:val="00FC244F"/>
    <w:rsid w:val="00FD79DA"/>
    <w:rsid w:val="00FE274E"/>
    <w:rsid w:val="00FE2ADC"/>
    <w:rsid w:val="00FE5997"/>
    <w:rsid w:val="00FF0950"/>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4C4EE9"/>
    <w:rPr>
      <w:sz w:val="24"/>
      <w:szCs w:val="24"/>
      <w:lang w:val="de-DE" w:eastAsia="de-DE"/>
    </w:rPr>
  </w:style>
  <w:style w:type="paragraph" w:styleId="1">
    <w:name w:val="heading 1"/>
    <w:basedOn w:val="a0"/>
    <w:next w:val="a0"/>
    <w:rsid w:val="004C4EE9"/>
    <w:pPr>
      <w:keepNext/>
      <w:outlineLvl w:val="0"/>
    </w:pPr>
    <w:rPr>
      <w:b/>
      <w:sz w:val="28"/>
      <w:szCs w:val="20"/>
      <w:lang w:val="en-GB"/>
    </w:rPr>
  </w:style>
  <w:style w:type="paragraph" w:styleId="2">
    <w:name w:val="heading 2"/>
    <w:basedOn w:val="a0"/>
    <w:next w:val="a0"/>
    <w:autoRedefine/>
    <w:rsid w:val="004C4EE9"/>
    <w:pPr>
      <w:keepNext/>
      <w:spacing w:before="240" w:after="60"/>
      <w:outlineLvl w:val="1"/>
    </w:pPr>
    <w:rPr>
      <w:rFonts w:cs="Arial"/>
      <w:bCs/>
      <w:iCs/>
      <w:sz w:val="22"/>
      <w:szCs w:val="22"/>
    </w:rPr>
  </w:style>
  <w:style w:type="paragraph" w:styleId="3">
    <w:name w:val="heading 3"/>
    <w:basedOn w:val="a0"/>
    <w:next w:val="a0"/>
    <w:autoRedefine/>
    <w:rsid w:val="004C4EE9"/>
    <w:pPr>
      <w:keepNext/>
      <w:outlineLvl w:val="2"/>
    </w:pPr>
    <w:rPr>
      <w:b/>
      <w:lang w:val="en-GB"/>
    </w:rPr>
  </w:style>
  <w:style w:type="paragraph" w:styleId="4">
    <w:name w:val="heading 4"/>
    <w:basedOn w:val="a0"/>
    <w:next w:val="a0"/>
    <w:rsid w:val="004C4EE9"/>
    <w:pPr>
      <w:keepNext/>
      <w:spacing w:before="240" w:after="60"/>
      <w:outlineLvl w:val="3"/>
    </w:pPr>
    <w:rPr>
      <w:b/>
      <w:bCs/>
      <w:sz w:val="28"/>
      <w:szCs w:val="28"/>
    </w:rPr>
  </w:style>
  <w:style w:type="paragraph" w:styleId="5">
    <w:name w:val="heading 5"/>
    <w:basedOn w:val="a0"/>
    <w:next w:val="a0"/>
    <w:autoRedefine/>
    <w:rsid w:val="004C4EE9"/>
    <w:pPr>
      <w:keepNext/>
      <w:outlineLvl w:val="4"/>
    </w:pPr>
    <w:rPr>
      <w:b/>
      <w:sz w:val="20"/>
      <w:szCs w:val="20"/>
      <w:lang w:val="en-GB"/>
    </w:rPr>
  </w:style>
  <w:style w:type="paragraph" w:styleId="6">
    <w:name w:val="heading 6"/>
    <w:basedOn w:val="a0"/>
    <w:next w:val="a0"/>
    <w:autoRedefine/>
    <w:rsid w:val="004C4EE9"/>
    <w:pPr>
      <w:keepNext/>
      <w:jc w:val="center"/>
      <w:outlineLvl w:val="5"/>
    </w:pPr>
    <w:rPr>
      <w:rFonts w:cs="Arial"/>
      <w:color w:val="000000"/>
      <w:sz w:val="22"/>
      <w:szCs w:val="22"/>
    </w:rPr>
  </w:style>
  <w:style w:type="paragraph" w:styleId="7">
    <w:name w:val="heading 7"/>
    <w:basedOn w:val="a0"/>
    <w:next w:val="a0"/>
    <w:rsid w:val="004C4EE9"/>
    <w:pPr>
      <w:spacing w:before="240" w:after="60"/>
      <w:outlineLvl w:val="6"/>
    </w:pPr>
  </w:style>
  <w:style w:type="paragraph" w:styleId="8">
    <w:name w:val="heading 8"/>
    <w:basedOn w:val="a0"/>
    <w:next w:val="a0"/>
    <w:rsid w:val="004C4EE9"/>
    <w:pPr>
      <w:spacing w:before="240" w:after="60"/>
      <w:outlineLvl w:val="7"/>
    </w:pPr>
    <w:rPr>
      <w:i/>
      <w:iCs/>
    </w:rPr>
  </w:style>
  <w:style w:type="paragraph" w:styleId="9">
    <w:name w:val="heading 9"/>
    <w:basedOn w:val="a0"/>
    <w:next w:val="a0"/>
    <w:rsid w:val="004C4EE9"/>
    <w:pPr>
      <w:spacing w:before="240" w:after="60"/>
      <w:outlineLvl w:val="8"/>
    </w:pPr>
    <w:rPr>
      <w:rFonts w:ascii="Arial" w:hAnsi="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autoRedefine/>
    <w:rsid w:val="00A55E36"/>
    <w:pPr>
      <w:numPr>
        <w:numId w:val="1"/>
      </w:numPr>
    </w:pPr>
  </w:style>
  <w:style w:type="character" w:customStyle="1" w:styleId="texto">
    <w:name w:val="texto"/>
    <w:basedOn w:val="a1"/>
    <w:rsid w:val="00A6457C"/>
  </w:style>
  <w:style w:type="character" w:styleId="a4">
    <w:name w:val="annotation reference"/>
    <w:basedOn w:val="a1"/>
    <w:semiHidden/>
    <w:rsid w:val="009E4985"/>
    <w:rPr>
      <w:sz w:val="16"/>
      <w:szCs w:val="16"/>
    </w:rPr>
  </w:style>
  <w:style w:type="paragraph" w:styleId="a5">
    <w:name w:val="annotation text"/>
    <w:basedOn w:val="a0"/>
    <w:semiHidden/>
    <w:rsid w:val="009E4985"/>
    <w:rPr>
      <w:sz w:val="20"/>
      <w:szCs w:val="20"/>
    </w:rPr>
  </w:style>
  <w:style w:type="character" w:customStyle="1" w:styleId="SWCBulletedListCar">
    <w:name w:val="SWC_BulletedList Car"/>
    <w:basedOn w:val="a1"/>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1"/>
    <w:link w:val="CPV-7Heading1Character"/>
    <w:rsid w:val="00FE2ADC"/>
    <w:rPr>
      <w:b/>
      <w:color w:val="000000"/>
      <w:sz w:val="22"/>
      <w:szCs w:val="24"/>
      <w:lang w:val="en-US" w:eastAsia="de-DE" w:bidi="ar-SA"/>
    </w:rPr>
  </w:style>
  <w:style w:type="paragraph" w:customStyle="1" w:styleId="SWCHeading11">
    <w:name w:val="SWC_Heading1.1"/>
    <w:basedOn w:val="SWCHeading1"/>
    <w:next w:val="a0"/>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6">
    <w:name w:val="annotation subject"/>
    <w:basedOn w:val="a5"/>
    <w:next w:val="a5"/>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a7">
    <w:name w:val="Hyperlink"/>
    <w:basedOn w:val="a1"/>
    <w:rsid w:val="005D5CF6"/>
    <w:rPr>
      <w:color w:val="0000FF"/>
      <w:u w:val="single"/>
    </w:rPr>
  </w:style>
  <w:style w:type="paragraph" w:styleId="a8">
    <w:name w:val="Balloon Text"/>
    <w:basedOn w:val="a0"/>
    <w:semiHidden/>
    <w:rsid w:val="009E4985"/>
    <w:rPr>
      <w:rFonts w:ascii="Tahoma" w:hAnsi="Tahoma" w:cs="Tahoma"/>
      <w:sz w:val="16"/>
      <w:szCs w:val="16"/>
    </w:rPr>
  </w:style>
  <w:style w:type="paragraph" w:customStyle="1" w:styleId="SP09Heading111">
    <w:name w:val="SP09_Heading1.1.1"/>
    <w:basedOn w:val="a0"/>
    <w:rsid w:val="00DC0318"/>
    <w:pPr>
      <w:spacing w:before="160" w:after="80" w:line="240" w:lineRule="exact"/>
    </w:pPr>
    <w:rPr>
      <w:b/>
      <w:color w:val="000000"/>
      <w:sz w:val="20"/>
      <w:szCs w:val="22"/>
      <w:lang w:val="en-US"/>
    </w:rPr>
  </w:style>
  <w:style w:type="table" w:styleId="a9">
    <w:name w:val="Table Grid"/>
    <w:basedOn w:val="a2"/>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a0"/>
    <w:next w:val="AuthorAdress"/>
    <w:rsid w:val="00155FB8"/>
    <w:pPr>
      <w:spacing w:after="240"/>
      <w:jc w:val="center"/>
    </w:pPr>
    <w:rPr>
      <w:szCs w:val="20"/>
      <w:lang w:val="en-GB" w:eastAsia="es-ES"/>
    </w:rPr>
  </w:style>
  <w:style w:type="paragraph" w:customStyle="1" w:styleId="AuthorAdress">
    <w:name w:val="AuthorAdress"/>
    <w:basedOn w:val="a0"/>
    <w:next w:val="Affiliations"/>
    <w:rsid w:val="00155FB8"/>
    <w:pPr>
      <w:spacing w:after="120" w:line="320" w:lineRule="atLeast"/>
      <w:jc w:val="center"/>
    </w:pPr>
    <w:rPr>
      <w:i/>
      <w:lang w:val="en-GB" w:eastAsia="es-ES"/>
    </w:rPr>
  </w:style>
  <w:style w:type="paragraph" w:customStyle="1" w:styleId="TableText">
    <w:name w:val="TableText"/>
    <w:basedOn w:val="a0"/>
    <w:next w:val="a0"/>
    <w:rsid w:val="00155FB8"/>
    <w:pPr>
      <w:jc w:val="center"/>
    </w:pPr>
    <w:rPr>
      <w:sz w:val="20"/>
      <w:szCs w:val="20"/>
      <w:lang w:val="es-ES" w:eastAsia="es-ES"/>
    </w:rPr>
  </w:style>
  <w:style w:type="paragraph" w:customStyle="1" w:styleId="Text">
    <w:name w:val="Text"/>
    <w:basedOn w:val="a0"/>
    <w:rsid w:val="009B4816"/>
    <w:pPr>
      <w:spacing w:after="240" w:line="320" w:lineRule="atLeast"/>
      <w:jc w:val="both"/>
    </w:pPr>
    <w:rPr>
      <w:szCs w:val="20"/>
      <w:lang w:val="en-GB" w:eastAsia="es-ES"/>
    </w:rPr>
  </w:style>
  <w:style w:type="paragraph" w:customStyle="1" w:styleId="FigureCaption">
    <w:name w:val="FigureCaption"/>
    <w:basedOn w:val="a0"/>
    <w:next w:val="a0"/>
    <w:rsid w:val="00AC2C09"/>
    <w:pPr>
      <w:jc w:val="center"/>
    </w:pPr>
    <w:rPr>
      <w:szCs w:val="20"/>
      <w:lang w:val="es-ES" w:eastAsia="es-ES"/>
    </w:rPr>
  </w:style>
  <w:style w:type="paragraph" w:customStyle="1" w:styleId="Title2">
    <w:name w:val="Title2"/>
    <w:basedOn w:val="a0"/>
    <w:link w:val="Title2CarCar"/>
    <w:rsid w:val="00AC2C09"/>
    <w:pPr>
      <w:keepNext/>
      <w:spacing w:before="240" w:after="120" w:line="320" w:lineRule="atLeast"/>
    </w:pPr>
    <w:rPr>
      <w:b/>
      <w:szCs w:val="20"/>
      <w:lang w:val="en-GB" w:eastAsia="es-ES"/>
    </w:rPr>
  </w:style>
  <w:style w:type="character" w:customStyle="1" w:styleId="Title2CarCar">
    <w:name w:val="Title2 Car Car"/>
    <w:basedOn w:val="a1"/>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a0"/>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a0"/>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aa">
    <w:name w:val="footnote text"/>
    <w:basedOn w:val="a0"/>
    <w:semiHidden/>
    <w:rsid w:val="003869E8"/>
    <w:rPr>
      <w:sz w:val="20"/>
      <w:szCs w:val="20"/>
    </w:rPr>
  </w:style>
  <w:style w:type="character" w:styleId="ab">
    <w:name w:val="footnote reference"/>
    <w:basedOn w:val="a1"/>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1"/>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ac">
    <w:name w:val="Placeholder Text"/>
    <w:basedOn w:val="a1"/>
    <w:uiPriority w:val="99"/>
    <w:semiHidden/>
    <w:rsid w:val="00653551"/>
    <w:rPr>
      <w:color w:val="808080"/>
    </w:rPr>
  </w:style>
  <w:style w:type="character" w:customStyle="1" w:styleId="NichtaufgelsteErwhnung1">
    <w:name w:val="Nicht aufgelöste Erwähnung1"/>
    <w:basedOn w:val="a1"/>
    <w:uiPriority w:val="99"/>
    <w:semiHidden/>
    <w:unhideWhenUsed/>
    <w:rsid w:val="00E218E2"/>
    <w:rPr>
      <w:color w:val="605E5C"/>
      <w:shd w:val="clear" w:color="auto" w:fill="E1DFDD"/>
    </w:rPr>
  </w:style>
  <w:style w:type="paragraph" w:styleId="ad">
    <w:name w:val="Revision"/>
    <w:hidden/>
    <w:uiPriority w:val="99"/>
    <w:semiHidden/>
    <w:rsid w:val="00FA4DF8"/>
    <w:rPr>
      <w:sz w:val="24"/>
      <w:szCs w:val="24"/>
      <w:lang w:val="de-DE" w:eastAsia="de-DE"/>
    </w:rPr>
  </w:style>
  <w:style w:type="paragraph" w:styleId="ae">
    <w:name w:val="header"/>
    <w:basedOn w:val="a0"/>
    <w:link w:val="Char"/>
    <w:uiPriority w:val="99"/>
    <w:unhideWhenUsed/>
    <w:rsid w:val="002B71FB"/>
    <w:pPr>
      <w:tabs>
        <w:tab w:val="center" w:pos="4513"/>
        <w:tab w:val="right" w:pos="9026"/>
      </w:tabs>
      <w:snapToGrid w:val="0"/>
    </w:pPr>
  </w:style>
  <w:style w:type="character" w:customStyle="1" w:styleId="Char">
    <w:name w:val="머리글 Char"/>
    <w:basedOn w:val="a1"/>
    <w:link w:val="ae"/>
    <w:uiPriority w:val="99"/>
    <w:rsid w:val="002B71FB"/>
    <w:rPr>
      <w:sz w:val="24"/>
      <w:szCs w:val="24"/>
      <w:lang w:val="de-DE" w:eastAsia="de-DE"/>
    </w:rPr>
  </w:style>
  <w:style w:type="paragraph" w:styleId="af">
    <w:name w:val="footer"/>
    <w:basedOn w:val="a0"/>
    <w:link w:val="Char0"/>
    <w:uiPriority w:val="99"/>
    <w:unhideWhenUsed/>
    <w:rsid w:val="002B71FB"/>
    <w:pPr>
      <w:tabs>
        <w:tab w:val="center" w:pos="4513"/>
        <w:tab w:val="right" w:pos="9026"/>
      </w:tabs>
      <w:snapToGrid w:val="0"/>
    </w:pPr>
  </w:style>
  <w:style w:type="character" w:customStyle="1" w:styleId="Char0">
    <w:name w:val="바닥글 Char"/>
    <w:basedOn w:val="a1"/>
    <w:link w:val="af"/>
    <w:uiPriority w:val="99"/>
    <w:rsid w:val="002B71FB"/>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4258">
      <w:bodyDiv w:val="1"/>
      <w:marLeft w:val="0"/>
      <w:marRight w:val="0"/>
      <w:marTop w:val="0"/>
      <w:marBottom w:val="0"/>
      <w:divBdr>
        <w:top w:val="none" w:sz="0" w:space="0" w:color="auto"/>
        <w:left w:val="none" w:sz="0" w:space="0" w:color="auto"/>
        <w:bottom w:val="none" w:sz="0" w:space="0" w:color="auto"/>
        <w:right w:val="none" w:sz="0" w:space="0" w:color="auto"/>
      </w:divBdr>
      <w:divsChild>
        <w:div w:id="1846093208">
          <w:marLeft w:val="0"/>
          <w:marRight w:val="0"/>
          <w:marTop w:val="0"/>
          <w:marBottom w:val="0"/>
          <w:divBdr>
            <w:top w:val="none" w:sz="0" w:space="0" w:color="auto"/>
            <w:left w:val="none" w:sz="0" w:space="0" w:color="auto"/>
            <w:bottom w:val="none" w:sz="0" w:space="0" w:color="auto"/>
            <w:right w:val="none" w:sz="0" w:space="0" w:color="auto"/>
          </w:divBdr>
          <w:divsChild>
            <w:div w:id="2139032192">
              <w:marLeft w:val="0"/>
              <w:marRight w:val="0"/>
              <w:marTop w:val="0"/>
              <w:marBottom w:val="0"/>
              <w:divBdr>
                <w:top w:val="none" w:sz="0" w:space="0" w:color="auto"/>
                <w:left w:val="none" w:sz="0" w:space="0" w:color="auto"/>
                <w:bottom w:val="none" w:sz="0" w:space="0" w:color="auto"/>
                <w:right w:val="none" w:sz="0" w:space="0" w:color="auto"/>
              </w:divBdr>
              <w:divsChild>
                <w:div w:id="799424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59297779">
          <w:marLeft w:val="0"/>
          <w:marRight w:val="0"/>
          <w:marTop w:val="0"/>
          <w:marBottom w:val="0"/>
          <w:divBdr>
            <w:top w:val="none" w:sz="0" w:space="0" w:color="auto"/>
            <w:left w:val="none" w:sz="0" w:space="0" w:color="auto"/>
            <w:bottom w:val="none" w:sz="0" w:space="0" w:color="auto"/>
            <w:right w:val="none" w:sz="0" w:space="0" w:color="auto"/>
          </w:divBdr>
          <w:divsChild>
            <w:div w:id="1888027720">
              <w:marLeft w:val="0"/>
              <w:marRight w:val="0"/>
              <w:marTop w:val="0"/>
              <w:marBottom w:val="0"/>
              <w:divBdr>
                <w:top w:val="none" w:sz="0" w:space="0" w:color="auto"/>
                <w:left w:val="none" w:sz="0" w:space="0" w:color="auto"/>
                <w:bottom w:val="none" w:sz="0" w:space="0" w:color="auto"/>
                <w:right w:val="none" w:sz="0" w:space="0" w:color="auto"/>
              </w:divBdr>
              <w:divsChild>
                <w:div w:id="1373262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4321910">
      <w:bodyDiv w:val="1"/>
      <w:marLeft w:val="0"/>
      <w:marRight w:val="0"/>
      <w:marTop w:val="0"/>
      <w:marBottom w:val="0"/>
      <w:divBdr>
        <w:top w:val="none" w:sz="0" w:space="0" w:color="auto"/>
        <w:left w:val="none" w:sz="0" w:space="0" w:color="auto"/>
        <w:bottom w:val="none" w:sz="0" w:space="0" w:color="auto"/>
        <w:right w:val="none" w:sz="0" w:space="0" w:color="auto"/>
      </w:divBdr>
    </w:div>
    <w:div w:id="160120316">
      <w:bodyDiv w:val="1"/>
      <w:marLeft w:val="0"/>
      <w:marRight w:val="0"/>
      <w:marTop w:val="0"/>
      <w:marBottom w:val="0"/>
      <w:divBdr>
        <w:top w:val="none" w:sz="0" w:space="0" w:color="auto"/>
        <w:left w:val="none" w:sz="0" w:space="0" w:color="auto"/>
        <w:bottom w:val="none" w:sz="0" w:space="0" w:color="auto"/>
        <w:right w:val="none" w:sz="0" w:space="0" w:color="auto"/>
      </w:divBdr>
    </w:div>
    <w:div w:id="221211962">
      <w:bodyDiv w:val="1"/>
      <w:marLeft w:val="0"/>
      <w:marRight w:val="0"/>
      <w:marTop w:val="0"/>
      <w:marBottom w:val="0"/>
      <w:divBdr>
        <w:top w:val="none" w:sz="0" w:space="0" w:color="auto"/>
        <w:left w:val="none" w:sz="0" w:space="0" w:color="auto"/>
        <w:bottom w:val="none" w:sz="0" w:space="0" w:color="auto"/>
        <w:right w:val="none" w:sz="0" w:space="0" w:color="auto"/>
      </w:divBdr>
    </w:div>
    <w:div w:id="255140361">
      <w:bodyDiv w:val="1"/>
      <w:marLeft w:val="0"/>
      <w:marRight w:val="0"/>
      <w:marTop w:val="0"/>
      <w:marBottom w:val="0"/>
      <w:divBdr>
        <w:top w:val="none" w:sz="0" w:space="0" w:color="auto"/>
        <w:left w:val="none" w:sz="0" w:space="0" w:color="auto"/>
        <w:bottom w:val="none" w:sz="0" w:space="0" w:color="auto"/>
        <w:right w:val="none" w:sz="0" w:space="0" w:color="auto"/>
      </w:divBdr>
      <w:divsChild>
        <w:div w:id="1980959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237523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705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4456904">
      <w:bodyDiv w:val="1"/>
      <w:marLeft w:val="0"/>
      <w:marRight w:val="0"/>
      <w:marTop w:val="0"/>
      <w:marBottom w:val="0"/>
      <w:divBdr>
        <w:top w:val="none" w:sz="0" w:space="0" w:color="auto"/>
        <w:left w:val="none" w:sz="0" w:space="0" w:color="auto"/>
        <w:bottom w:val="none" w:sz="0" w:space="0" w:color="auto"/>
        <w:right w:val="none" w:sz="0" w:space="0" w:color="auto"/>
      </w:divBdr>
    </w:div>
    <w:div w:id="335696399">
      <w:bodyDiv w:val="1"/>
      <w:marLeft w:val="0"/>
      <w:marRight w:val="0"/>
      <w:marTop w:val="0"/>
      <w:marBottom w:val="0"/>
      <w:divBdr>
        <w:top w:val="none" w:sz="0" w:space="0" w:color="auto"/>
        <w:left w:val="none" w:sz="0" w:space="0" w:color="auto"/>
        <w:bottom w:val="none" w:sz="0" w:space="0" w:color="auto"/>
        <w:right w:val="none" w:sz="0" w:space="0" w:color="auto"/>
      </w:divBdr>
    </w:div>
    <w:div w:id="549540141">
      <w:bodyDiv w:val="1"/>
      <w:marLeft w:val="0"/>
      <w:marRight w:val="0"/>
      <w:marTop w:val="0"/>
      <w:marBottom w:val="0"/>
      <w:divBdr>
        <w:top w:val="none" w:sz="0" w:space="0" w:color="auto"/>
        <w:left w:val="none" w:sz="0" w:space="0" w:color="auto"/>
        <w:bottom w:val="none" w:sz="0" w:space="0" w:color="auto"/>
        <w:right w:val="none" w:sz="0" w:space="0" w:color="auto"/>
      </w:divBdr>
      <w:divsChild>
        <w:div w:id="33388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03811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2444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9830471">
      <w:bodyDiv w:val="1"/>
      <w:marLeft w:val="0"/>
      <w:marRight w:val="0"/>
      <w:marTop w:val="0"/>
      <w:marBottom w:val="0"/>
      <w:divBdr>
        <w:top w:val="none" w:sz="0" w:space="0" w:color="auto"/>
        <w:left w:val="none" w:sz="0" w:space="0" w:color="auto"/>
        <w:bottom w:val="none" w:sz="0" w:space="0" w:color="auto"/>
        <w:right w:val="none" w:sz="0" w:space="0" w:color="auto"/>
      </w:divBdr>
    </w:div>
    <w:div w:id="683943087">
      <w:bodyDiv w:val="1"/>
      <w:marLeft w:val="0"/>
      <w:marRight w:val="0"/>
      <w:marTop w:val="0"/>
      <w:marBottom w:val="0"/>
      <w:divBdr>
        <w:top w:val="none" w:sz="0" w:space="0" w:color="auto"/>
        <w:left w:val="none" w:sz="0" w:space="0" w:color="auto"/>
        <w:bottom w:val="none" w:sz="0" w:space="0" w:color="auto"/>
        <w:right w:val="none" w:sz="0" w:space="0" w:color="auto"/>
      </w:divBdr>
      <w:divsChild>
        <w:div w:id="1060053985">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53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8087528">
      <w:bodyDiv w:val="1"/>
      <w:marLeft w:val="0"/>
      <w:marRight w:val="0"/>
      <w:marTop w:val="0"/>
      <w:marBottom w:val="0"/>
      <w:divBdr>
        <w:top w:val="none" w:sz="0" w:space="0" w:color="auto"/>
        <w:left w:val="none" w:sz="0" w:space="0" w:color="auto"/>
        <w:bottom w:val="none" w:sz="0" w:space="0" w:color="auto"/>
        <w:right w:val="none" w:sz="0" w:space="0" w:color="auto"/>
      </w:divBdr>
      <w:divsChild>
        <w:div w:id="5195870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1480387">
          <w:blockQuote w:val="1"/>
          <w:marLeft w:val="720"/>
          <w:marRight w:val="720"/>
          <w:marTop w:val="100"/>
          <w:marBottom w:val="100"/>
          <w:divBdr>
            <w:top w:val="none" w:sz="0" w:space="0" w:color="auto"/>
            <w:left w:val="none" w:sz="0" w:space="0" w:color="auto"/>
            <w:bottom w:val="none" w:sz="0" w:space="0" w:color="auto"/>
            <w:right w:val="none" w:sz="0" w:space="0" w:color="auto"/>
          </w:divBdr>
        </w:div>
        <w:div w:id="5076033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9095421">
      <w:bodyDiv w:val="1"/>
      <w:marLeft w:val="0"/>
      <w:marRight w:val="0"/>
      <w:marTop w:val="0"/>
      <w:marBottom w:val="0"/>
      <w:divBdr>
        <w:top w:val="none" w:sz="0" w:space="0" w:color="auto"/>
        <w:left w:val="none" w:sz="0" w:space="0" w:color="auto"/>
        <w:bottom w:val="none" w:sz="0" w:space="0" w:color="auto"/>
        <w:right w:val="none" w:sz="0" w:space="0" w:color="auto"/>
      </w:divBdr>
    </w:div>
    <w:div w:id="1130242515">
      <w:bodyDiv w:val="1"/>
      <w:marLeft w:val="0"/>
      <w:marRight w:val="0"/>
      <w:marTop w:val="0"/>
      <w:marBottom w:val="0"/>
      <w:divBdr>
        <w:top w:val="none" w:sz="0" w:space="0" w:color="auto"/>
        <w:left w:val="none" w:sz="0" w:space="0" w:color="auto"/>
        <w:bottom w:val="none" w:sz="0" w:space="0" w:color="auto"/>
        <w:right w:val="none" w:sz="0" w:space="0" w:color="auto"/>
      </w:divBdr>
    </w:div>
    <w:div w:id="1154761899">
      <w:bodyDiv w:val="1"/>
      <w:marLeft w:val="0"/>
      <w:marRight w:val="0"/>
      <w:marTop w:val="0"/>
      <w:marBottom w:val="0"/>
      <w:divBdr>
        <w:top w:val="none" w:sz="0" w:space="0" w:color="auto"/>
        <w:left w:val="none" w:sz="0" w:space="0" w:color="auto"/>
        <w:bottom w:val="none" w:sz="0" w:space="0" w:color="auto"/>
        <w:right w:val="none" w:sz="0" w:space="0" w:color="auto"/>
      </w:divBdr>
      <w:divsChild>
        <w:div w:id="935283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9100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68307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0336150">
      <w:bodyDiv w:val="1"/>
      <w:marLeft w:val="0"/>
      <w:marRight w:val="0"/>
      <w:marTop w:val="0"/>
      <w:marBottom w:val="0"/>
      <w:divBdr>
        <w:top w:val="none" w:sz="0" w:space="0" w:color="auto"/>
        <w:left w:val="none" w:sz="0" w:space="0" w:color="auto"/>
        <w:bottom w:val="none" w:sz="0" w:space="0" w:color="auto"/>
        <w:right w:val="none" w:sz="0" w:space="0" w:color="auto"/>
      </w:divBdr>
    </w:div>
    <w:div w:id="1309017496">
      <w:bodyDiv w:val="1"/>
      <w:marLeft w:val="0"/>
      <w:marRight w:val="0"/>
      <w:marTop w:val="0"/>
      <w:marBottom w:val="0"/>
      <w:divBdr>
        <w:top w:val="none" w:sz="0" w:space="0" w:color="auto"/>
        <w:left w:val="none" w:sz="0" w:space="0" w:color="auto"/>
        <w:bottom w:val="none" w:sz="0" w:space="0" w:color="auto"/>
        <w:right w:val="none" w:sz="0" w:space="0" w:color="auto"/>
      </w:divBdr>
    </w:div>
    <w:div w:id="1401752968">
      <w:bodyDiv w:val="1"/>
      <w:marLeft w:val="0"/>
      <w:marRight w:val="0"/>
      <w:marTop w:val="0"/>
      <w:marBottom w:val="0"/>
      <w:divBdr>
        <w:top w:val="none" w:sz="0" w:space="0" w:color="auto"/>
        <w:left w:val="none" w:sz="0" w:space="0" w:color="auto"/>
        <w:bottom w:val="none" w:sz="0" w:space="0" w:color="auto"/>
        <w:right w:val="none" w:sz="0" w:space="0" w:color="auto"/>
      </w:divBdr>
    </w:div>
    <w:div w:id="1430929354">
      <w:bodyDiv w:val="1"/>
      <w:marLeft w:val="0"/>
      <w:marRight w:val="0"/>
      <w:marTop w:val="0"/>
      <w:marBottom w:val="0"/>
      <w:divBdr>
        <w:top w:val="none" w:sz="0" w:space="0" w:color="auto"/>
        <w:left w:val="none" w:sz="0" w:space="0" w:color="auto"/>
        <w:bottom w:val="none" w:sz="0" w:space="0" w:color="auto"/>
        <w:right w:val="none" w:sz="0" w:space="0" w:color="auto"/>
      </w:divBdr>
      <w:divsChild>
        <w:div w:id="1042943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373649041">
          <w:blockQuote w:val="1"/>
          <w:marLeft w:val="720"/>
          <w:marRight w:val="720"/>
          <w:marTop w:val="100"/>
          <w:marBottom w:val="100"/>
          <w:divBdr>
            <w:top w:val="none" w:sz="0" w:space="0" w:color="auto"/>
            <w:left w:val="none" w:sz="0" w:space="0" w:color="auto"/>
            <w:bottom w:val="none" w:sz="0" w:space="0" w:color="auto"/>
            <w:right w:val="none" w:sz="0" w:space="0" w:color="auto"/>
          </w:divBdr>
        </w:div>
        <w:div w:id="698700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0454979">
      <w:bodyDiv w:val="1"/>
      <w:marLeft w:val="0"/>
      <w:marRight w:val="0"/>
      <w:marTop w:val="0"/>
      <w:marBottom w:val="0"/>
      <w:divBdr>
        <w:top w:val="none" w:sz="0" w:space="0" w:color="auto"/>
        <w:left w:val="none" w:sz="0" w:space="0" w:color="auto"/>
        <w:bottom w:val="none" w:sz="0" w:space="0" w:color="auto"/>
        <w:right w:val="none" w:sz="0" w:space="0" w:color="auto"/>
      </w:divBdr>
    </w:div>
    <w:div w:id="1958221989">
      <w:bodyDiv w:val="1"/>
      <w:marLeft w:val="0"/>
      <w:marRight w:val="0"/>
      <w:marTop w:val="0"/>
      <w:marBottom w:val="0"/>
      <w:divBdr>
        <w:top w:val="none" w:sz="0" w:space="0" w:color="auto"/>
        <w:left w:val="none" w:sz="0" w:space="0" w:color="auto"/>
        <w:bottom w:val="none" w:sz="0" w:space="0" w:color="auto"/>
        <w:right w:val="none" w:sz="0" w:space="0" w:color="auto"/>
      </w:divBdr>
      <w:divsChild>
        <w:div w:id="1768579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62319">
          <w:blockQuote w:val="1"/>
          <w:marLeft w:val="720"/>
          <w:marRight w:val="720"/>
          <w:marTop w:val="100"/>
          <w:marBottom w:val="100"/>
          <w:divBdr>
            <w:top w:val="none" w:sz="0" w:space="0" w:color="auto"/>
            <w:left w:val="none" w:sz="0" w:space="0" w:color="auto"/>
            <w:bottom w:val="none" w:sz="0" w:space="0" w:color="auto"/>
            <w:right w:val="none" w:sz="0" w:space="0" w:color="auto"/>
          </w:divBdr>
        </w:div>
        <w:div w:id="5199733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326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834</TotalTime>
  <Pages>5</Pages>
  <Words>2204</Words>
  <Characters>12566</Characters>
  <Application>Microsoft Office Word</Application>
  <DocSecurity>0</DocSecurity>
  <Lines>104</Lines>
  <Paragraphs>29</Paragraphs>
  <ScaleCrop>false</ScaleCrop>
  <HeadingPairs>
    <vt:vector size="2" baseType="variant">
      <vt:variant>
        <vt:lpstr>제목</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14741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user</cp:lastModifiedBy>
  <cp:revision>108</cp:revision>
  <cp:lastPrinted>2023-02-22T09:40:00Z</cp:lastPrinted>
  <dcterms:created xsi:type="dcterms:W3CDTF">2025-12-03T11:26:00Z</dcterms:created>
  <dcterms:modified xsi:type="dcterms:W3CDTF">2026-03-26T10:14:00Z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