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142D0DC" w14:textId="5E7CF6CA" w:rsidR="00D32EF0" w:rsidRDefault="009B5B1E" w:rsidP="00B32703">
      <w:pPr>
        <w:pStyle w:val="SWCTitle"/>
        <w:rPr>
          <w:sz w:val="28"/>
          <w:szCs w:val="28"/>
        </w:rPr>
      </w:pPr>
      <w:r w:rsidRPr="009B5B1E">
        <w:rPr>
          <w:sz w:val="28"/>
          <w:szCs w:val="28"/>
        </w:rPr>
        <w:t>FIELD-MONITORED LIFE CYCLE AND TECHNO-ECONOMIC ASSESSMENT OF THERMOSYPHON AND PV2HEAT DOMESTIC HOT WATER SYSTEMS IN NAMIBIA: TOWARDS A FULL-YEAR SIDE-BY-SIDE COMPARISON</w:t>
      </w:r>
    </w:p>
    <w:p w14:paraId="4B3249DD" w14:textId="404712F0" w:rsidR="0C3545CD" w:rsidRDefault="0C3545CD" w:rsidP="0C3545CD">
      <w:pPr>
        <w:pStyle w:val="SWCTitle"/>
        <w:spacing w:before="0" w:after="0"/>
        <w:jc w:val="left"/>
        <w:rPr>
          <w:rFonts w:ascii="Times New Roman" w:hAnsi="Times New Roman"/>
          <w:b w:val="0"/>
          <w:sz w:val="20"/>
          <w:szCs w:val="20"/>
        </w:rPr>
      </w:pPr>
    </w:p>
    <w:p w14:paraId="5850DC36" w14:textId="7B147BA5" w:rsidR="006B3D49" w:rsidRPr="006B3D49" w:rsidRDefault="009B5B1E" w:rsidP="00E917F8">
      <w:pPr>
        <w:pStyle w:val="SWCTitle"/>
        <w:spacing w:before="0" w:after="0"/>
        <w:jc w:val="left"/>
        <w:rPr>
          <w:rFonts w:ascii="Times New Roman" w:hAnsi="Times New Roman"/>
          <w:b w:val="0"/>
          <w:sz w:val="20"/>
          <w:szCs w:val="20"/>
        </w:rPr>
      </w:pPr>
      <w:r w:rsidRPr="009B5B1E">
        <w:rPr>
          <w:rFonts w:ascii="Times New Roman" w:hAnsi="Times New Roman"/>
          <w:b w:val="0"/>
          <w:sz w:val="20"/>
          <w:szCs w:val="20"/>
        </w:rPr>
        <w:t>Harald Kicker¹*, Gernot M. Wallner², Rudi Moschik², Joseph Shigweda³</w:t>
      </w:r>
    </w:p>
    <w:p w14:paraId="311CE447" w14:textId="181E4400" w:rsidR="006B3D49" w:rsidRPr="006B3D49" w:rsidRDefault="009B5B1E" w:rsidP="00343F6C">
      <w:pPr>
        <w:pStyle w:val="SWCTitle"/>
        <w:rPr>
          <w:rFonts w:ascii="Times New Roman" w:hAnsi="Times New Roman"/>
          <w:b w:val="0"/>
          <w:sz w:val="20"/>
          <w:szCs w:val="22"/>
        </w:rPr>
      </w:pPr>
      <w:r w:rsidRPr="009B5B1E">
        <w:rPr>
          <w:rFonts w:ascii="Times New Roman" w:hAnsi="Times New Roman"/>
          <w:b w:val="0"/>
          <w:sz w:val="20"/>
          <w:szCs w:val="22"/>
        </w:rPr>
        <w:t>¹ Johannes Kepler University Linz, Linz, Austria</w:t>
      </w:r>
      <w:r>
        <w:rPr>
          <w:rFonts w:ascii="Times New Roman" w:hAnsi="Times New Roman"/>
          <w:b w:val="0"/>
          <w:sz w:val="20"/>
          <w:szCs w:val="22"/>
        </w:rPr>
        <w:t xml:space="preserve">; </w:t>
      </w:r>
      <w:r w:rsidRPr="009B5B1E">
        <w:rPr>
          <w:rFonts w:ascii="Times New Roman" w:hAnsi="Times New Roman"/>
          <w:b w:val="0"/>
          <w:sz w:val="20"/>
          <w:szCs w:val="22"/>
        </w:rPr>
        <w:t xml:space="preserve">² AEE INTEC, </w:t>
      </w:r>
      <w:proofErr w:type="spellStart"/>
      <w:r w:rsidRPr="009B5B1E">
        <w:rPr>
          <w:rFonts w:ascii="Times New Roman" w:hAnsi="Times New Roman"/>
          <w:b w:val="0"/>
          <w:sz w:val="20"/>
          <w:szCs w:val="22"/>
        </w:rPr>
        <w:t>Gleisdorf</w:t>
      </w:r>
      <w:proofErr w:type="spellEnd"/>
      <w:r w:rsidRPr="009B5B1E">
        <w:rPr>
          <w:rFonts w:ascii="Times New Roman" w:hAnsi="Times New Roman"/>
          <w:b w:val="0"/>
          <w:sz w:val="20"/>
          <w:szCs w:val="22"/>
        </w:rPr>
        <w:t>, Austria</w:t>
      </w:r>
      <w:r>
        <w:rPr>
          <w:rFonts w:ascii="Times New Roman" w:hAnsi="Times New Roman"/>
          <w:b w:val="0"/>
          <w:sz w:val="20"/>
          <w:szCs w:val="22"/>
        </w:rPr>
        <w:t xml:space="preserve">; </w:t>
      </w:r>
      <w:r>
        <w:rPr>
          <w:rFonts w:ascii="Times New Roman" w:hAnsi="Times New Roman"/>
          <w:b w:val="0"/>
          <w:sz w:val="20"/>
          <w:szCs w:val="22"/>
        </w:rPr>
        <w:br/>
      </w:r>
      <w:r w:rsidRPr="009B5B1E">
        <w:rPr>
          <w:rFonts w:ascii="Times New Roman" w:hAnsi="Times New Roman"/>
          <w:b w:val="0"/>
          <w:sz w:val="20"/>
          <w:szCs w:val="22"/>
        </w:rPr>
        <w:t>³ Namibia Energy Institute (NEI), Namibia University of Science and Technology (NUST), Windhoek, Namibia</w:t>
      </w:r>
    </w:p>
    <w:p w14:paraId="18FA38F1" w14:textId="5C238153" w:rsidR="006B3D49" w:rsidRDefault="009B5B1E" w:rsidP="00E917F8">
      <w:pPr>
        <w:pStyle w:val="SWCTitle"/>
        <w:spacing w:before="0" w:after="0"/>
        <w:jc w:val="left"/>
        <w:rPr>
          <w:rFonts w:ascii="Times New Roman" w:hAnsi="Times New Roman"/>
          <w:b w:val="0"/>
          <w:sz w:val="20"/>
          <w:szCs w:val="22"/>
        </w:rPr>
      </w:pPr>
      <w:r w:rsidRPr="009B5B1E">
        <w:rPr>
          <w:rFonts w:ascii="Times New Roman" w:hAnsi="Times New Roman"/>
          <w:b w:val="0"/>
          <w:sz w:val="20"/>
          <w:szCs w:val="22"/>
        </w:rPr>
        <w:t>*Corresponding author: harald.kicker@jku.at</w:t>
      </w:r>
    </w:p>
    <w:p w14:paraId="3A7DF4B5" w14:textId="6F51DBA9" w:rsidR="001A775B" w:rsidRDefault="0C3545CD" w:rsidP="0C3545CD">
      <w:pPr>
        <w:pStyle w:val="SWCSummary"/>
        <w:pBdr>
          <w:bottom w:val="single" w:sz="6" w:space="1" w:color="auto"/>
        </w:pBdr>
      </w:pPr>
      <w:r>
        <w:t>Summary</w:t>
      </w:r>
    </w:p>
    <w:p w14:paraId="2D9BF0A8" w14:textId="44E65AE2" w:rsidR="0031685E" w:rsidRDefault="00B62EA2" w:rsidP="008A0437">
      <w:pPr>
        <w:pStyle w:val="SWCText"/>
        <w:pBdr>
          <w:bottom w:val="single" w:sz="6" w:space="1" w:color="auto"/>
        </w:pBdr>
      </w:pPr>
      <w:r w:rsidRPr="00B62EA2">
        <w:t xml:space="preserve">Domestic hot water offers a direct opportunity to substitute electric resistance heating in high-irradiation regions. This study compares three 200 L systems operated side by side at the Namibia Energy Institute / NUST Science and Technology Park in Windhoek: an indirect flat-plate thermosyphon, an indirect evacuated-tube thermosyphon and a PV2Heat system. The technical assessment uses the project-level monitoring evaluation prepared by </w:t>
      </w:r>
      <w:proofErr w:type="spellStart"/>
      <w:r w:rsidRPr="00B62EA2">
        <w:t>Moschik</w:t>
      </w:r>
      <w:proofErr w:type="spellEnd"/>
      <w:r w:rsidRPr="00B62EA2">
        <w:t xml:space="preserve"> (2026), avoiding reconstruction of missing raw-monitoring intervals. Reported solar yields are 2256, 1373 and 1652 kWh, while useful hot-water energies are 1862, 1058 and 1243 kWh for flat plate, evacuated tube and PV2Heat, respectively. The corresponding reported gross-area-specific solar yields are 909, 557 and 319 kWh m⁻². An as-built foreground inventory was modeled in </w:t>
      </w:r>
      <w:proofErr w:type="spellStart"/>
      <w:r w:rsidRPr="00B62EA2">
        <w:t>SimaPro</w:t>
      </w:r>
      <w:proofErr w:type="spellEnd"/>
      <w:r w:rsidRPr="00B62EA2">
        <w:t xml:space="preserve"> using </w:t>
      </w:r>
      <w:proofErr w:type="spellStart"/>
      <w:r w:rsidRPr="00B62EA2">
        <w:t>ecoinvent</w:t>
      </w:r>
      <w:proofErr w:type="spellEnd"/>
      <w:r w:rsidRPr="00B62EA2">
        <w:t xml:space="preserve"> allocation, cut-off by classification, IPCC 2021 GWP100 and Cumulative Energy Demand. Normalization to the useful hot-water service gives approximately 20.3, 29.6 and 71.5 g CO₂-eq kWh⁻¹ and 0.273, 0.413 and 1.131 MJ kWh⁻¹, respectively. Useful-heat energy payback times are about 1.52, 2.29 and 6.28 years. Because supplier invoices were unavailable, techno-economic results are based on explicit engineering cost assumptions; central LCOH estimates are EUR 0.081, 0.155 and 0.122 kWh⁻¹. Within the stated monitoring and cost limitations, the flat-plate thermosyphon shows the strongest combined technical, environmental and economic performance for the investigated dedicated domestic-hot-water application.</w:t>
      </w:r>
    </w:p>
    <w:p w14:paraId="5AB3A3E7" w14:textId="3BCCDB43" w:rsidR="00DB52E7" w:rsidRDefault="00B62EA2" w:rsidP="001A775B">
      <w:pPr>
        <w:pStyle w:val="SWCText"/>
        <w:pBdr>
          <w:bottom w:val="single" w:sz="6" w:space="1" w:color="auto"/>
        </w:pBdr>
        <w:rPr>
          <w:i/>
          <w:iCs/>
        </w:rPr>
      </w:pPr>
      <w:r w:rsidRPr="00B62EA2">
        <w:rPr>
          <w:i/>
          <w:iCs/>
        </w:rPr>
        <w:t>Domestic hot water, thermosyphon, PV2Heat, life cycle assessment, techno-economic assessment, field monitoring, Namibia, Sunbelt regions</w:t>
      </w:r>
    </w:p>
    <w:p w14:paraId="01458796" w14:textId="2F842825" w:rsidR="00FA4DF8" w:rsidRDefault="002C089D" w:rsidP="001A775B">
      <w:pPr>
        <w:pStyle w:val="SWCText"/>
        <w:pBdr>
          <w:bottom w:val="single" w:sz="6" w:space="1" w:color="auto"/>
        </w:pBdr>
        <w:rPr>
          <w:i/>
          <w:iCs/>
        </w:rPr>
      </w:pPr>
      <w:r>
        <w:rPr>
          <w:i/>
          <w:iCs/>
        </w:rPr>
        <w:t>Field of application for the findings</w:t>
      </w:r>
      <w:proofErr w:type="gramStart"/>
      <w:r>
        <w:rPr>
          <w:i/>
          <w:iCs/>
        </w:rPr>
        <w:t>:</w:t>
      </w:r>
      <w:r w:rsidR="00B62EA2" w:rsidRPr="00B62EA2">
        <w:t xml:space="preserve"> </w:t>
      </w:r>
      <w:r w:rsidR="00B62EA2" w:rsidRPr="00B62EA2">
        <w:rPr>
          <w:i/>
          <w:iCs/>
        </w:rPr>
        <w:t>:</w:t>
      </w:r>
      <w:proofErr w:type="gramEnd"/>
      <w:r w:rsidR="00B62EA2" w:rsidRPr="00B62EA2">
        <w:rPr>
          <w:i/>
          <w:iCs/>
        </w:rPr>
        <w:t xml:space="preserve"> Small-scale domestic hot water supply for households and small buildings in Namibia and comparable high-irradiation Sunbelt regions.</w:t>
      </w:r>
    </w:p>
    <w:p w14:paraId="185A319D" w14:textId="3D047CFF" w:rsidR="002C089D" w:rsidRDefault="00CC3B0C" w:rsidP="001A775B">
      <w:pPr>
        <w:pStyle w:val="SWCText"/>
        <w:pBdr>
          <w:bottom w:val="single" w:sz="6" w:space="1" w:color="auto"/>
        </w:pBdr>
        <w:rPr>
          <w:i/>
          <w:iCs/>
        </w:rPr>
      </w:pPr>
      <w:r>
        <w:rPr>
          <w:i/>
          <w:iCs/>
        </w:rPr>
        <w:t>Addressed audience</w:t>
      </w:r>
      <w:r w:rsidR="00B62EA2" w:rsidRPr="00B62EA2">
        <w:rPr>
          <w:i/>
          <w:iCs/>
        </w:rPr>
        <w:t>: Researchers, technology developers, energy planners, building owners and decision-makers working on solar domestic hot water systems.</w:t>
      </w:r>
    </w:p>
    <w:p w14:paraId="378F0C31" w14:textId="1F26C532" w:rsidR="00D32EF0" w:rsidRPr="006309AA" w:rsidRDefault="00B62EA2" w:rsidP="00490F10">
      <w:pPr>
        <w:pStyle w:val="SWCHeading1"/>
      </w:pPr>
      <w:r>
        <w:t>Introduction</w:t>
      </w:r>
    </w:p>
    <w:p w14:paraId="03C80C6B" w14:textId="77777777" w:rsidR="00B62EA2" w:rsidRDefault="00B62EA2" w:rsidP="00B62EA2">
      <w:pPr>
        <w:pStyle w:val="SWCText"/>
      </w:pPr>
      <w:r>
        <w:t xml:space="preserve">Domestic hot water is a recurring thermal demand that can be shifted from conventional electric resistance heating to solar-based technologies with comparatively low system complexity. This is particularly relevant in Namibia, where solar resources are excellent and national climate policy targets substantial greenhouse-gas reductions and an increasing contribution from renewable energy (Republic of Namibia, 2021). Solar thermal water heating is one of the most mature direct uses of solar energy, while lower photovoltaic costs have made direct electric water heating by PV2Heat an increasingly relevant alternative (Weiss and </w:t>
      </w:r>
      <w:proofErr w:type="spellStart"/>
      <w:r>
        <w:t>Spörk-Dür</w:t>
      </w:r>
      <w:proofErr w:type="spellEnd"/>
      <w:r>
        <w:t>, 2023).</w:t>
      </w:r>
    </w:p>
    <w:p w14:paraId="2C9114AD" w14:textId="77777777" w:rsidR="00B62EA2" w:rsidRDefault="00B62EA2" w:rsidP="00B62EA2">
      <w:pPr>
        <w:pStyle w:val="SWCText"/>
      </w:pPr>
      <w:r>
        <w:t xml:space="preserve">For household-scale applications in Sunbelt regions, thermosyphon systems and PV2Heat represent two distinct technological pathways. Thermosyphon systems convert solar radiation directly into heat and can operate without circulation pumps, but require a hydraulic loop, insulation and thermal storage. PV2Heat replaces the collector </w:t>
      </w:r>
      <w:r>
        <w:lastRenderedPageBreak/>
        <w:t>loop with photovoltaic modules and an electrical heating element, increasing modularity and simplifying some installation tasks, but generally requires a larger solar aperture for the same useful thermal service.</w:t>
      </w:r>
    </w:p>
    <w:p w14:paraId="54D30657" w14:textId="77777777" w:rsidR="00B62EA2" w:rsidRDefault="00B62EA2" w:rsidP="00B62EA2">
      <w:pPr>
        <w:pStyle w:val="SWCText"/>
      </w:pPr>
      <w:r>
        <w:t xml:space="preserve">Direct comparisons under identical field conditions remain limited. Published studies often combine different climates, load profiles, component sizes, simulation assumptions or system boundaries, making technology rankings sensitive to the study design (Buckley et al., 2019; </w:t>
      </w:r>
      <w:proofErr w:type="spellStart"/>
      <w:r>
        <w:t>Shimhanda</w:t>
      </w:r>
      <w:proofErr w:type="spellEnd"/>
      <w:r>
        <w:t xml:space="preserve"> et al., 2018). Earlier sustainability assessments have also shown that embodied material and manufacturing impacts can become important when highly efficient solar technologies are compared over their service life (Kicker et al., 2017, 2018).</w:t>
      </w:r>
    </w:p>
    <w:p w14:paraId="61A73C00" w14:textId="3EA71B1C" w:rsidR="00B62EA2" w:rsidRDefault="00B62EA2" w:rsidP="00B62EA2">
      <w:pPr>
        <w:pStyle w:val="SWCText"/>
      </w:pPr>
      <w:bookmarkStart w:id="0" w:name="_Hlk240519477"/>
      <w:r>
        <w:t>The present work addresses this gap through a side-by-side comparison of three domestic hot-water systems installed on one common test platform in Windhoek. The contribution combines the latest project-level monitoring evaluation, an as-built life-cycle inventory and a transparent engineering cost model. The central objective is to compare technical yield, greenhouse-gas intensity, cumulative energy demand, energy payback time and levelized cost of useful hot water within one harmonized framework.</w:t>
      </w:r>
    </w:p>
    <w:bookmarkEnd w:id="0"/>
    <w:p w14:paraId="33FC6C4F" w14:textId="506BC12F" w:rsidR="00B62EA2" w:rsidRDefault="00B62EA2" w:rsidP="00B62EA2">
      <w:pPr>
        <w:pStyle w:val="SWCHeading1"/>
      </w:pPr>
      <w:r>
        <w:t>Experimental setup and monitoring</w:t>
      </w:r>
    </w:p>
    <w:p w14:paraId="6D8C77C3" w14:textId="082E7FA7" w:rsidR="0013179A" w:rsidRPr="00343F6C" w:rsidRDefault="0013179A" w:rsidP="00343F6C">
      <w:pPr>
        <w:rPr>
          <w:szCs w:val="22"/>
          <w:lang w:val="en-US"/>
        </w:rPr>
      </w:pPr>
      <w:r w:rsidRPr="00343F6C">
        <w:rPr>
          <w:color w:val="000000"/>
          <w:sz w:val="20"/>
          <w:szCs w:val="22"/>
          <w:lang w:val="en-US"/>
        </w:rPr>
        <w:t>The experimental campaign was designed as a direct field comparison of three domestic hot-water concepts rather than as three independent demonstrations. The systems share one test site, a harmonized water-use profile and a common monitoring environment, thereby reducing the influence of site-to-site variability on the technology comparison. The overall platform is shown in Fig. 1, while the principal system dimensions and installed capacities are summarized in Table 1. The monitoring data adopted for the present assessment are subsequently consolidated in Table 2 and visualized in Fig</w:t>
      </w:r>
      <w:r>
        <w:rPr>
          <w:color w:val="000000"/>
          <w:sz w:val="20"/>
          <w:szCs w:val="22"/>
          <w:lang w:val="en-US"/>
        </w:rPr>
        <w:t>ure</w:t>
      </w:r>
      <w:r w:rsidRPr="00343F6C">
        <w:rPr>
          <w:color w:val="000000"/>
          <w:sz w:val="20"/>
          <w:szCs w:val="22"/>
          <w:lang w:val="en-US"/>
        </w:rPr>
        <w:t>s 2 and 3.</w:t>
      </w:r>
    </w:p>
    <w:p w14:paraId="2D96CD81" w14:textId="7D67701C" w:rsidR="00B62EA2" w:rsidRPr="006309AA" w:rsidRDefault="00B62EA2" w:rsidP="00B62EA2">
      <w:pPr>
        <w:pStyle w:val="SWCHeading11"/>
      </w:pPr>
      <w:bookmarkStart w:id="1" w:name="_Hlk240529022"/>
      <w:r>
        <w:t xml:space="preserve">2.1. </w:t>
      </w:r>
      <w:r w:rsidRPr="00B62EA2">
        <w:t>Side-by-side test platform</w:t>
      </w:r>
    </w:p>
    <w:p w14:paraId="27B270A3" w14:textId="77777777" w:rsidR="0013179A" w:rsidRDefault="0013179A" w:rsidP="0013179A">
      <w:pPr>
        <w:pStyle w:val="SWCText"/>
      </w:pPr>
      <w:r>
        <w:t>The experimental platform is located at the NUST Science and Technology Park in Windhoek and was established within the SOLTRAIN / Namibia Energy Institute activities. Its central purpose is the side-by-side testing and comparison of solar hot-water technologies under the same local boundary conditions. As documented in the project test procedure, the three systems are operated with the same orientation, climatic exposure and water-usage profile; the evaluated comparison was performed without active maintenance and without backup heating (</w:t>
      </w:r>
      <w:proofErr w:type="spellStart"/>
      <w:r>
        <w:t>Moschik</w:t>
      </w:r>
      <w:proofErr w:type="spellEnd"/>
      <w:r>
        <w:t>, 2026). These conditions are important for interpreting the results because they expose technology-specific conversion and storage performance without masking differences through auxiliary heat input.</w:t>
      </w:r>
    </w:p>
    <w:bookmarkEnd w:id="1"/>
    <w:p w14:paraId="0397D364" w14:textId="39ACC49E" w:rsidR="0013179A" w:rsidRDefault="0013179A" w:rsidP="0013179A">
      <w:pPr>
        <w:pStyle w:val="SWCText"/>
      </w:pPr>
      <w:r>
        <w:t>The common container-based infrastructure provides the experimental and monitoring backbone for the comparison. Collector and PV components are exposed externally at the same site, while the test platform integrates the hydraulic and electrical interfaces required for parallel operation and online monitoring. The configuration visible in Figure 1 therefore represents a common research environment rather than part of any one commercial hot-water technology. This distinction is retained later in the life-cycle assessment, where shared research infrastructure is excluded from the foreground product systems.</w:t>
      </w:r>
    </w:p>
    <w:p w14:paraId="0686256E" w14:textId="2C8F3A01" w:rsidR="00B62EA2" w:rsidRDefault="0013179A" w:rsidP="0013179A">
      <w:pPr>
        <w:pStyle w:val="SWCText"/>
      </w:pPr>
      <w:r>
        <w:t>The comparative design deliberately combines absolute system output with area-specific indicators. The flat-plate and evacuated-tube systems use one solar-thermal collector each, whereas PV2Heat uses two photovoltaic modules. Consequently, the gross and aperture areas differ substantially between the three concepts. Table 1 should therefore be read as the physical basis for the performance comparison rather than as an indication that the systems have identical collector footprints. Reporting both absolute yield and area-specific yield allows the analysis to distinguish the delivered hot-water service from the collector-area requirement associated with each technology</w:t>
      </w:r>
      <w:r w:rsidR="00B62EA2" w:rsidRPr="00B62EA2">
        <w:t>.</w:t>
      </w:r>
    </w:p>
    <w:p w14:paraId="4C6EB2AF" w14:textId="0F8ADFEB" w:rsidR="0013179A" w:rsidRPr="006309AA" w:rsidRDefault="0013179A" w:rsidP="0013179A">
      <w:pPr>
        <w:pStyle w:val="SWCTableFigureCaption"/>
      </w:pPr>
      <w:r>
        <w:t xml:space="preserve">Tab. </w:t>
      </w:r>
      <w:r w:rsidRPr="006309AA">
        <w:t>1</w:t>
      </w:r>
      <w:r>
        <w:t>:</w:t>
      </w:r>
      <w:r w:rsidRPr="006309AA">
        <w:t xml:space="preserve"> </w:t>
      </w:r>
      <w:r w:rsidRPr="0013179A">
        <w:t>Main configuration of the three systems used in the side-by-side test procedure (</w:t>
      </w:r>
      <w:proofErr w:type="spellStart"/>
      <w:r w:rsidRPr="0013179A">
        <w:t>Moschik</w:t>
      </w:r>
      <w:proofErr w:type="spellEnd"/>
      <w:r w:rsidRPr="0013179A">
        <w:t>, 2026)</w:t>
      </w:r>
      <w:r>
        <w:t>.</w:t>
      </w:r>
    </w:p>
    <w:tbl>
      <w:tblPr>
        <w:tblStyle w:val="Tabellenraster"/>
        <w:tblW w:w="0" w:type="auto"/>
        <w:jc w:val="center"/>
        <w:tblLook w:val="01E0" w:firstRow="1" w:lastRow="1" w:firstColumn="1" w:lastColumn="1" w:noHBand="0" w:noVBand="0"/>
      </w:tblPr>
      <w:tblGrid>
        <w:gridCol w:w="2263"/>
        <w:gridCol w:w="1276"/>
        <w:gridCol w:w="1276"/>
        <w:gridCol w:w="1417"/>
        <w:gridCol w:w="1634"/>
        <w:gridCol w:w="1198"/>
      </w:tblGrid>
      <w:tr w:rsidR="0013179A" w:rsidRPr="006309AA" w14:paraId="0ACAA661" w14:textId="61B60B76" w:rsidTr="00343F6C">
        <w:trPr>
          <w:jc w:val="center"/>
        </w:trPr>
        <w:tc>
          <w:tcPr>
            <w:tcW w:w="2263" w:type="dxa"/>
          </w:tcPr>
          <w:p w14:paraId="4DC9C043" w14:textId="011E5569" w:rsidR="0013179A" w:rsidRPr="006309AA" w:rsidRDefault="0013179A" w:rsidP="00335982">
            <w:pPr>
              <w:pStyle w:val="SWCTableHeader"/>
            </w:pPr>
            <w:r w:rsidRPr="0013179A">
              <w:t>System</w:t>
            </w:r>
          </w:p>
        </w:tc>
        <w:tc>
          <w:tcPr>
            <w:tcW w:w="1276" w:type="dxa"/>
          </w:tcPr>
          <w:p w14:paraId="4FE19844" w14:textId="596E2D88" w:rsidR="0013179A" w:rsidRPr="006309AA" w:rsidRDefault="0013179A" w:rsidP="00335982">
            <w:pPr>
              <w:pStyle w:val="SWCTableHeader"/>
            </w:pPr>
            <w:r>
              <w:t>No.</w:t>
            </w:r>
          </w:p>
        </w:tc>
        <w:tc>
          <w:tcPr>
            <w:tcW w:w="1276" w:type="dxa"/>
          </w:tcPr>
          <w:p w14:paraId="1C9B3EF3" w14:textId="75D3720E" w:rsidR="0013179A" w:rsidRPr="006309AA" w:rsidRDefault="0013179A" w:rsidP="00335982">
            <w:pPr>
              <w:pStyle w:val="SWCTableHeader"/>
            </w:pPr>
            <w:r w:rsidRPr="0013179A">
              <w:t>Gross area [m²]</w:t>
            </w:r>
          </w:p>
        </w:tc>
        <w:tc>
          <w:tcPr>
            <w:tcW w:w="1417" w:type="dxa"/>
          </w:tcPr>
          <w:p w14:paraId="778C2815" w14:textId="44E2814B" w:rsidR="0013179A" w:rsidRDefault="0013179A" w:rsidP="00335982">
            <w:pPr>
              <w:pStyle w:val="SWCTableHeader"/>
            </w:pPr>
            <w:r w:rsidRPr="0013179A">
              <w:t>Aperture area [m²]</w:t>
            </w:r>
          </w:p>
        </w:tc>
        <w:tc>
          <w:tcPr>
            <w:tcW w:w="1634" w:type="dxa"/>
          </w:tcPr>
          <w:p w14:paraId="392BA74D" w14:textId="09AADACE" w:rsidR="0013179A" w:rsidRDefault="0013179A" w:rsidP="00335982">
            <w:pPr>
              <w:pStyle w:val="SWCTableHeader"/>
            </w:pPr>
            <w:r w:rsidRPr="0013179A">
              <w:t xml:space="preserve">Capacity </w:t>
            </w:r>
            <w:r>
              <w:br/>
            </w:r>
            <w:r w:rsidRPr="0013179A">
              <w:t>[</w:t>
            </w:r>
            <w:proofErr w:type="spellStart"/>
            <w:r w:rsidRPr="0013179A">
              <w:t>kWth</w:t>
            </w:r>
            <w:proofErr w:type="spellEnd"/>
            <w:r w:rsidRPr="0013179A">
              <w:t xml:space="preserve"> / </w:t>
            </w:r>
            <w:proofErr w:type="spellStart"/>
            <w:r w:rsidRPr="0013179A">
              <w:t>kWp</w:t>
            </w:r>
            <w:proofErr w:type="spellEnd"/>
            <w:r w:rsidRPr="0013179A">
              <w:t>]</w:t>
            </w:r>
          </w:p>
        </w:tc>
        <w:tc>
          <w:tcPr>
            <w:tcW w:w="1198" w:type="dxa"/>
          </w:tcPr>
          <w:p w14:paraId="1FE2A382" w14:textId="26AC6C8A" w:rsidR="0013179A" w:rsidRDefault="0013179A" w:rsidP="00335982">
            <w:pPr>
              <w:pStyle w:val="SWCTableHeader"/>
            </w:pPr>
            <w:r w:rsidRPr="0013179A">
              <w:t>Tank [L]</w:t>
            </w:r>
          </w:p>
        </w:tc>
      </w:tr>
      <w:tr w:rsidR="0013179A" w:rsidRPr="006309AA" w14:paraId="50441841" w14:textId="54A76C72" w:rsidTr="00343F6C">
        <w:trPr>
          <w:jc w:val="center"/>
        </w:trPr>
        <w:tc>
          <w:tcPr>
            <w:tcW w:w="2263" w:type="dxa"/>
          </w:tcPr>
          <w:p w14:paraId="1B5D9043" w14:textId="7FAF173D" w:rsidR="0013179A" w:rsidRPr="006309AA" w:rsidRDefault="0013179A" w:rsidP="00335982">
            <w:pPr>
              <w:pStyle w:val="SWCTableText"/>
            </w:pPr>
            <w:r w:rsidRPr="0013179A">
              <w:t>Flat-plate thermosyphon</w:t>
            </w:r>
          </w:p>
        </w:tc>
        <w:tc>
          <w:tcPr>
            <w:tcW w:w="1276" w:type="dxa"/>
          </w:tcPr>
          <w:p w14:paraId="6F741694" w14:textId="2CB23757" w:rsidR="0013179A" w:rsidRPr="00FC09A1" w:rsidRDefault="0013179A" w:rsidP="00335982">
            <w:pPr>
              <w:pStyle w:val="SWCTableText"/>
            </w:pPr>
            <w:r>
              <w:t>1</w:t>
            </w:r>
          </w:p>
        </w:tc>
        <w:tc>
          <w:tcPr>
            <w:tcW w:w="1276" w:type="dxa"/>
          </w:tcPr>
          <w:p w14:paraId="53932D77" w14:textId="0C36D518" w:rsidR="0013179A" w:rsidRPr="006309AA" w:rsidRDefault="0013179A" w:rsidP="0013179A">
            <w:pPr>
              <w:pStyle w:val="SWCTableText"/>
            </w:pPr>
            <w:r>
              <w:t>2.52</w:t>
            </w:r>
          </w:p>
        </w:tc>
        <w:tc>
          <w:tcPr>
            <w:tcW w:w="1417" w:type="dxa"/>
          </w:tcPr>
          <w:p w14:paraId="01E26FBC" w14:textId="2F7BEBC7" w:rsidR="0013179A" w:rsidRDefault="00FC2DBA" w:rsidP="00335982">
            <w:pPr>
              <w:pStyle w:val="SWCTableText"/>
            </w:pPr>
            <w:r>
              <w:t>2.30</w:t>
            </w:r>
          </w:p>
        </w:tc>
        <w:tc>
          <w:tcPr>
            <w:tcW w:w="1634" w:type="dxa"/>
          </w:tcPr>
          <w:p w14:paraId="44CD3275" w14:textId="6603DA54" w:rsidR="0013179A" w:rsidRDefault="00FC2DBA" w:rsidP="00335982">
            <w:pPr>
              <w:pStyle w:val="SWCTableText"/>
            </w:pPr>
            <w:r>
              <w:t>1.76</w:t>
            </w:r>
          </w:p>
        </w:tc>
        <w:tc>
          <w:tcPr>
            <w:tcW w:w="1198" w:type="dxa"/>
          </w:tcPr>
          <w:p w14:paraId="35F8306D" w14:textId="46F7CC01" w:rsidR="0013179A" w:rsidRDefault="00FC2DBA" w:rsidP="00335982">
            <w:pPr>
              <w:pStyle w:val="SWCTableText"/>
            </w:pPr>
            <w:r>
              <w:t>200</w:t>
            </w:r>
          </w:p>
        </w:tc>
      </w:tr>
      <w:tr w:rsidR="0013179A" w:rsidRPr="006309AA" w14:paraId="0303BAA2" w14:textId="0D66855D" w:rsidTr="00343F6C">
        <w:trPr>
          <w:jc w:val="center"/>
        </w:trPr>
        <w:tc>
          <w:tcPr>
            <w:tcW w:w="2263" w:type="dxa"/>
          </w:tcPr>
          <w:p w14:paraId="72AAE09A" w14:textId="127A626E" w:rsidR="0013179A" w:rsidRPr="006309AA" w:rsidRDefault="0013179A" w:rsidP="00335982">
            <w:pPr>
              <w:pStyle w:val="SWCTableText"/>
            </w:pPr>
            <w:r w:rsidRPr="0013179A">
              <w:t>Evacuated-tube thermosyphon</w:t>
            </w:r>
          </w:p>
        </w:tc>
        <w:tc>
          <w:tcPr>
            <w:tcW w:w="1276" w:type="dxa"/>
          </w:tcPr>
          <w:p w14:paraId="20775A13" w14:textId="41A474F2" w:rsidR="0013179A" w:rsidRDefault="0013179A" w:rsidP="00335982">
            <w:pPr>
              <w:pStyle w:val="SWCTableText"/>
            </w:pPr>
            <w:r>
              <w:t>1</w:t>
            </w:r>
          </w:p>
        </w:tc>
        <w:tc>
          <w:tcPr>
            <w:tcW w:w="1276" w:type="dxa"/>
          </w:tcPr>
          <w:p w14:paraId="1DC7548F" w14:textId="20E328EB" w:rsidR="0013179A" w:rsidRDefault="00FC2DBA" w:rsidP="00335982">
            <w:pPr>
              <w:pStyle w:val="SWCTableText"/>
            </w:pPr>
            <w:r>
              <w:t>2.43</w:t>
            </w:r>
          </w:p>
        </w:tc>
        <w:tc>
          <w:tcPr>
            <w:tcW w:w="1417" w:type="dxa"/>
          </w:tcPr>
          <w:p w14:paraId="04606A82" w14:textId="57DF8F23" w:rsidR="0013179A" w:rsidRDefault="00FC2DBA" w:rsidP="00335982">
            <w:pPr>
              <w:pStyle w:val="SWCTableText"/>
            </w:pPr>
            <w:r>
              <w:t>1.56</w:t>
            </w:r>
          </w:p>
        </w:tc>
        <w:tc>
          <w:tcPr>
            <w:tcW w:w="1634" w:type="dxa"/>
          </w:tcPr>
          <w:p w14:paraId="49A19309" w14:textId="54C748E7" w:rsidR="0013179A" w:rsidRDefault="00FC2DBA" w:rsidP="00335982">
            <w:pPr>
              <w:pStyle w:val="SWCTableText"/>
            </w:pPr>
            <w:r>
              <w:t>1.69</w:t>
            </w:r>
          </w:p>
        </w:tc>
        <w:tc>
          <w:tcPr>
            <w:tcW w:w="1198" w:type="dxa"/>
          </w:tcPr>
          <w:p w14:paraId="31170A5E" w14:textId="7FB9B6B5" w:rsidR="0013179A" w:rsidRDefault="00FC2DBA" w:rsidP="00335982">
            <w:pPr>
              <w:pStyle w:val="SWCTableText"/>
            </w:pPr>
            <w:r>
              <w:t>200</w:t>
            </w:r>
          </w:p>
        </w:tc>
      </w:tr>
      <w:tr w:rsidR="0013179A" w:rsidRPr="006309AA" w14:paraId="0369613F" w14:textId="5BF579DC" w:rsidTr="00343F6C">
        <w:trPr>
          <w:jc w:val="center"/>
        </w:trPr>
        <w:tc>
          <w:tcPr>
            <w:tcW w:w="2263" w:type="dxa"/>
          </w:tcPr>
          <w:p w14:paraId="1504A8AC" w14:textId="407C8F05" w:rsidR="0013179A" w:rsidRPr="006309AA" w:rsidRDefault="0013179A" w:rsidP="00335982">
            <w:pPr>
              <w:pStyle w:val="SWCTableText"/>
            </w:pPr>
            <w:r w:rsidRPr="0013179A">
              <w:t>PV2Heat</w:t>
            </w:r>
          </w:p>
        </w:tc>
        <w:tc>
          <w:tcPr>
            <w:tcW w:w="1276" w:type="dxa"/>
          </w:tcPr>
          <w:p w14:paraId="6EC781CF" w14:textId="680A22F4" w:rsidR="0013179A" w:rsidRDefault="0013179A" w:rsidP="00335982">
            <w:pPr>
              <w:pStyle w:val="SWCTableText"/>
            </w:pPr>
            <w:r>
              <w:t>2 modules</w:t>
            </w:r>
          </w:p>
        </w:tc>
        <w:tc>
          <w:tcPr>
            <w:tcW w:w="1276" w:type="dxa"/>
          </w:tcPr>
          <w:p w14:paraId="76CBCC4B" w14:textId="26ECECBB" w:rsidR="0013179A" w:rsidRDefault="00FC2DBA" w:rsidP="00335982">
            <w:pPr>
              <w:pStyle w:val="SWCTableText"/>
            </w:pPr>
            <w:r>
              <w:t>5,17</w:t>
            </w:r>
          </w:p>
        </w:tc>
        <w:tc>
          <w:tcPr>
            <w:tcW w:w="1417" w:type="dxa"/>
          </w:tcPr>
          <w:p w14:paraId="7308DF62" w14:textId="2562F559" w:rsidR="0013179A" w:rsidRDefault="00FC2DBA" w:rsidP="00335982">
            <w:pPr>
              <w:pStyle w:val="SWCTableText"/>
            </w:pPr>
            <w:r>
              <w:t>5.02</w:t>
            </w:r>
          </w:p>
        </w:tc>
        <w:tc>
          <w:tcPr>
            <w:tcW w:w="1634" w:type="dxa"/>
          </w:tcPr>
          <w:p w14:paraId="523769F2" w14:textId="12A62D0E" w:rsidR="0013179A" w:rsidRDefault="00FC2DBA" w:rsidP="00335982">
            <w:pPr>
              <w:pStyle w:val="SWCTableText"/>
            </w:pPr>
            <w:r>
              <w:t>1.11</w:t>
            </w:r>
          </w:p>
        </w:tc>
        <w:tc>
          <w:tcPr>
            <w:tcW w:w="1198" w:type="dxa"/>
          </w:tcPr>
          <w:p w14:paraId="7350D239" w14:textId="421D8D02" w:rsidR="0013179A" w:rsidRDefault="00FC2DBA" w:rsidP="00335982">
            <w:pPr>
              <w:pStyle w:val="SWCTableText"/>
            </w:pPr>
            <w:r>
              <w:t>200</w:t>
            </w:r>
          </w:p>
        </w:tc>
      </w:tr>
    </w:tbl>
    <w:p w14:paraId="772569D2" w14:textId="77777777" w:rsidR="0013179A" w:rsidRDefault="0013179A" w:rsidP="0013179A">
      <w:pPr>
        <w:pStyle w:val="SWCText"/>
      </w:pPr>
    </w:p>
    <w:p w14:paraId="21B0C082" w14:textId="77777777" w:rsidR="00F9253F" w:rsidRDefault="00F9253F" w:rsidP="00F9253F">
      <w:pPr>
        <w:pStyle w:val="SWCText"/>
        <w:jc w:val="center"/>
      </w:pPr>
      <w:r w:rsidRPr="00003491">
        <w:rPr>
          <w:noProof/>
          <w:lang w:val="de-DE"/>
        </w:rPr>
        <w:lastRenderedPageBreak/>
        <w:drawing>
          <wp:inline distT="0" distB="0" distL="0" distR="0" wp14:anchorId="1B451E74" wp14:editId="351CDADA">
            <wp:extent cx="5650802" cy="1614068"/>
            <wp:effectExtent l="0" t="0" r="7620" b="571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8">
                      <a:extLst>
                        <a:ext uri="{96DAC541-7B7A-43D3-8B79-37D633B846F1}">
                          <asvg:svgBlip xmlns:asvg="http://schemas.microsoft.com/office/drawing/2016/SVG/main" r:embed="rId9"/>
                        </a:ext>
                      </a:extLst>
                    </a:blip>
                    <a:stretch>
                      <a:fillRect/>
                    </a:stretch>
                  </pic:blipFill>
                  <pic:spPr>
                    <a:xfrm>
                      <a:off x="0" y="0"/>
                      <a:ext cx="5850665" cy="1671156"/>
                    </a:xfrm>
                    <a:prstGeom prst="rect">
                      <a:avLst/>
                    </a:prstGeom>
                  </pic:spPr>
                </pic:pic>
              </a:graphicData>
            </a:graphic>
          </wp:inline>
        </w:drawing>
      </w:r>
    </w:p>
    <w:p w14:paraId="71DF36C5" w14:textId="1B0B0DD0" w:rsidR="00F9253F" w:rsidRDefault="00F9253F" w:rsidP="00F9253F">
      <w:pPr>
        <w:pStyle w:val="SWCTableFigureCaption"/>
      </w:pPr>
      <w:r w:rsidRPr="00FC2DBA">
        <w:t xml:space="preserve">Fig. 1: </w:t>
      </w:r>
      <w:r w:rsidR="00FC2DBA" w:rsidRPr="00FC2DBA">
        <w:t xml:space="preserve">Container-based side-by-side test platform </w:t>
      </w:r>
      <w:r w:rsidR="00FC2DBA">
        <w:t xml:space="preserve">layout and setup </w:t>
      </w:r>
      <w:r w:rsidR="00FC2DBA" w:rsidRPr="00FC2DBA">
        <w:t xml:space="preserve">at the Namibia Energy Institute / NUST Science and Technology Park in Windhoek. The flat-plate thermosyphon, evacuated-tube thermosyphon and PV2Heat systems are operated under a common test and monitoring environment (project documentation; </w:t>
      </w:r>
      <w:proofErr w:type="spellStart"/>
      <w:r w:rsidR="00FC2DBA" w:rsidRPr="00FC2DBA">
        <w:t>Moschik</w:t>
      </w:r>
      <w:proofErr w:type="spellEnd"/>
      <w:r w:rsidR="00FC2DBA" w:rsidRPr="00FC2DBA">
        <w:t>, 2026)</w:t>
      </w:r>
      <w:r w:rsidRPr="00FC2DBA">
        <w:t>.</w:t>
      </w:r>
    </w:p>
    <w:p w14:paraId="3A096952" w14:textId="33505E2F" w:rsidR="00FC2DBA" w:rsidRPr="006309AA" w:rsidRDefault="00FC2DBA" w:rsidP="00FC2DBA">
      <w:pPr>
        <w:pStyle w:val="SWCHeading11"/>
      </w:pPr>
      <w:r>
        <w:t xml:space="preserve">2.2. </w:t>
      </w:r>
      <w:r w:rsidRPr="00FC2DBA">
        <w:t>Investigated system configurations and harmonized test conditions</w:t>
      </w:r>
    </w:p>
    <w:p w14:paraId="7EC94D44" w14:textId="77777777" w:rsidR="00FC2DBA" w:rsidRDefault="00FC2DBA" w:rsidP="00FC2DBA">
      <w:pPr>
        <w:pStyle w:val="SWCText"/>
      </w:pPr>
      <w:r>
        <w:t>The three systems represent two fundamentally different solar-to-hot-water conversion pathways. The flat-plate and evacuated-tube systems are indirect thermosyphon concepts in which solar radiation is converted to heat in a collector loop and transferred to a 200 L storage tank. The PV2Heat concept converts solar radiation to electricity in two PV modules and supplies the hot-water store electrically. Despite these architectural differences, the test procedure harmonizes the final service boundary by using the same nominal storage volume and the same water-use profile for all systems. The system characteristics relevant to the field comparison are listed in Table 1.</w:t>
      </w:r>
    </w:p>
    <w:p w14:paraId="0BA6142E" w14:textId="77777777" w:rsidR="00FC2DBA" w:rsidRDefault="00FC2DBA" w:rsidP="00FC2DBA">
      <w:pPr>
        <w:pStyle w:val="SWCText"/>
      </w:pPr>
      <w:r>
        <w:t xml:space="preserve">The flat-plate thermosyphon has a gross collector area of 2.52 m², an aperture area of 2.30 m² and a reported thermal capacity of 1.76 </w:t>
      </w:r>
      <w:proofErr w:type="spellStart"/>
      <w:r>
        <w:t>kWth</w:t>
      </w:r>
      <w:proofErr w:type="spellEnd"/>
      <w:r>
        <w:t xml:space="preserve">. The evacuated-tube thermosyphon has a similar gross area of 2.42 m², but its aperture area is smaller at 1.56 m²; the reported thermal capacity is 1.69 </w:t>
      </w:r>
      <w:proofErr w:type="spellStart"/>
      <w:r>
        <w:t>kWth</w:t>
      </w:r>
      <w:proofErr w:type="spellEnd"/>
      <w:r>
        <w:t xml:space="preserve">. PV2Heat uses two modules with a combined gross area of 5.17 m², an aperture area of 5.02 m² and an installed photovoltaic capacity of 1.11 </w:t>
      </w:r>
      <w:proofErr w:type="spellStart"/>
      <w:r>
        <w:t>kWp</w:t>
      </w:r>
      <w:proofErr w:type="spellEnd"/>
      <w:r>
        <w:t>. Thus, the PV-based system requires approximately twice the gross solar collection area of either thermosyphon system in the installed configuration. This difference is retained in the comparison rather than normalized away, because it is part of the as-built technology concept.</w:t>
      </w:r>
    </w:p>
    <w:p w14:paraId="161A3201" w14:textId="56EE9458" w:rsidR="00FC2DBA" w:rsidRDefault="00FC2DBA" w:rsidP="00FC2DBA">
      <w:pPr>
        <w:pStyle w:val="SWCText"/>
      </w:pPr>
      <w:r>
        <w:t>A further consequence of the different collector geometries is that gross-area and aperture-area performance do not convey exactly the same information. Gross area represents the installed collector footprint and is therefore useful for comparing space requirements, whereas aperture area more closely reflects the active radiation-receiving area. The monitoring evaluation reports both metrics where available. In the present paper, gross-area results are used for the principal technology comparison because the three installed concepts occupy different physical areas; aperture-area values are retained as supporting information for interpreting the evacuated-tube collector.</w:t>
      </w:r>
    </w:p>
    <w:p w14:paraId="108123AB" w14:textId="72FBC4AE" w:rsidR="006C19A4" w:rsidRPr="006309AA" w:rsidRDefault="006C19A4" w:rsidP="006C19A4">
      <w:pPr>
        <w:pStyle w:val="SWCHeading11"/>
      </w:pPr>
      <w:r>
        <w:t xml:space="preserve">2.3. </w:t>
      </w:r>
      <w:r w:rsidRPr="006C19A4">
        <w:t>Monitoring basis and data handling</w:t>
      </w:r>
    </w:p>
    <w:p w14:paraId="35E82132" w14:textId="77777777" w:rsidR="006C19A4" w:rsidRDefault="006C19A4" w:rsidP="006C19A4">
      <w:pPr>
        <w:pStyle w:val="SWCText"/>
      </w:pPr>
      <w:r>
        <w:t>The project monitoring system records the solar-side energy, the energy delivered to the hot-water demand, thermal losses and auxiliary electrical energy and provides online visualization of the parallel system operation. For this paper, the author-prepared project evaluation dated 9 April 2026 is treated as the authoritative aggregated monitoring source (</w:t>
      </w:r>
      <w:proofErr w:type="spellStart"/>
      <w:r>
        <w:t>Moschik</w:t>
      </w:r>
      <w:proofErr w:type="spellEnd"/>
      <w:r>
        <w:t>, 2026). This choice is deliberate: it avoids reconstructing incomplete or reset intervals from the raw workbook and ensures that the published comparison remains consistent with the processed values prepared by the monitoring lead author.</w:t>
      </w:r>
    </w:p>
    <w:p w14:paraId="254E4618" w14:textId="77777777" w:rsidR="006C19A4" w:rsidRDefault="006C19A4" w:rsidP="006C19A4">
      <w:pPr>
        <w:pStyle w:val="SWCText"/>
      </w:pPr>
      <w:r>
        <w:t>The annual comparison values adopted for the analysis are summarized in Table 2 and shown graphically in Fig. 2. For the flat-plate and evacuated-tube systems, the dedicated result slides report solar yields of 2256 and 1373 kWh and useful hot-water energies of 1862 and 1058 kWh, respectively, for the April 2025 to March 2026 evaluation period. For PV2Heat, the project comparison reports 1652 kWh as the solar-yield value and 1243 kWh as the useful hot-water energy. The resulting useful-hot-water-to-solar-yield ratios are 82.5%, 77.1% and 75.2% for flat plate, evacuated tube and PV2Heat, respectively. These ratios are descriptive energy-balance indicators and should not be interpreted as collector efficiencies.</w:t>
      </w:r>
    </w:p>
    <w:p w14:paraId="46E3D2C5" w14:textId="77777777" w:rsidR="006C19A4" w:rsidRDefault="006C19A4" w:rsidP="006C19A4">
      <w:pPr>
        <w:pStyle w:val="SWCText"/>
      </w:pPr>
      <w:r>
        <w:t xml:space="preserve">The difference between solar-side yield and useful hot-water energy is retained explicitly throughout the paper. Solar yield describes the energy captured or generated on the solar side of each technology, whereas useful hot-water energy represents the energy finally available to the standardized demand after system-level losses. This separation becomes particularly important for the environmental and economic assessment in Section 3, where the </w:t>
      </w:r>
      <w:r>
        <w:lastRenderedPageBreak/>
        <w:t>delivered hot-water service is used as the common denominator. Figure 2 therefore displays both quantities rather than only the higher solar-side yield.</w:t>
      </w:r>
    </w:p>
    <w:p w14:paraId="2D19B76B" w14:textId="77777777" w:rsidR="006C19A4" w:rsidRDefault="006C19A4" w:rsidP="006C19A4">
      <w:pPr>
        <w:pStyle w:val="SWCText"/>
      </w:pPr>
      <w:r>
        <w:t>Area-specific performance provides an additional perspective on the installed systems. The monitoring evaluation reports gross-area-specific solar yields of 909 kWh m⁻² a⁻¹ for the flat plate, 557 kWh m⁻² a⁻¹ for the evacuated tube and 319 kWh m⁻² a⁻¹ for PV2Heat. On an aperture-area basis, the reported values are 981 and 860 kWh m⁻² a⁻¹ for the flat-plate and evacuated-tube collectors, respectively; a separate aperture-area value is not reported for PV2Heat. As Table 2 shows, the gross-area normalization accentuates the larger installed area of the PV configuration, whereas the aperture-area comparison reduces the difference between the two solar-thermal collectors.</w:t>
      </w:r>
    </w:p>
    <w:p w14:paraId="671799A3" w14:textId="666AD0BB" w:rsidR="006C19A4" w:rsidRDefault="006C19A4" w:rsidP="006C19A4">
      <w:pPr>
        <w:pStyle w:val="SWCText"/>
      </w:pPr>
      <w:r>
        <w:t>One documentation inconsistency is retained transparently rather than being corrected by assumption. The dedicated PV2Heat result slide labels the 1652 kWh solar-yield aggregation as June 2025 to March 2026, while the final comparison slide uses 1652 kWh as the project comparison value and reports 1243 kWh useful hot-water energy for April 2025 to March 2026. No additional extrapolation is introduced in this paper. The project-reported 1652 kWh value is used for the technical comparison, while the full-period useful hot-water energy of 1243 kWh is used for the service-based normalization in the subsequent LCA and cost assessment. This treatment keeps the data lineage auditable and avoids fabricating unreported monthly values.</w:t>
      </w:r>
    </w:p>
    <w:p w14:paraId="5C566F75" w14:textId="28BEF10F" w:rsidR="006C19A4" w:rsidRDefault="007B041F" w:rsidP="006C19A4">
      <w:pPr>
        <w:pStyle w:val="SWCText"/>
        <w:jc w:val="center"/>
      </w:pPr>
      <w:r>
        <w:rPr>
          <w:noProof/>
        </w:rPr>
        <w:drawing>
          <wp:inline distT="0" distB="0" distL="0" distR="0" wp14:anchorId="40329189" wp14:editId="3C271A16">
            <wp:extent cx="5761990" cy="2794635"/>
            <wp:effectExtent l="0" t="0" r="0" b="5715"/>
            <wp:docPr id="4" name="Diagramm 4">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AFEB9E9" w14:textId="4FADDECC" w:rsidR="006C19A4" w:rsidRDefault="006C19A4" w:rsidP="006C19A4">
      <w:pPr>
        <w:pStyle w:val="SWCTableFigureCaption"/>
      </w:pPr>
      <w:r w:rsidRPr="00FC2DBA">
        <w:t xml:space="preserve">Fig. </w:t>
      </w:r>
      <w:r>
        <w:t>2</w:t>
      </w:r>
      <w:r w:rsidRPr="00FC2DBA">
        <w:t>:</w:t>
      </w:r>
      <w:r w:rsidRPr="006C19A4">
        <w:t xml:space="preserve"> Project-level solar yield and useful hot-water energy adopted for the comparative assessment.</w:t>
      </w:r>
      <w:r>
        <w:br/>
      </w:r>
      <w:r w:rsidRPr="006C19A4">
        <w:t>Values are taken from the author-prepared monitoring evaluation (</w:t>
      </w:r>
      <w:proofErr w:type="spellStart"/>
      <w:r w:rsidRPr="006C19A4">
        <w:t>Moschik</w:t>
      </w:r>
      <w:proofErr w:type="spellEnd"/>
      <w:r w:rsidRPr="006C19A4">
        <w:t>, 2026)</w:t>
      </w:r>
      <w:r w:rsidRPr="00FC2DBA">
        <w:t>.</w:t>
      </w:r>
    </w:p>
    <w:p w14:paraId="5FAA528D" w14:textId="5C278EF4" w:rsidR="006C19A4" w:rsidRPr="006309AA" w:rsidRDefault="006C19A4" w:rsidP="006C19A4">
      <w:pPr>
        <w:pStyle w:val="SWCTableFigureCaption"/>
      </w:pPr>
      <w:r>
        <w:t>Tab. 2:</w:t>
      </w:r>
      <w:r w:rsidRPr="006309AA">
        <w:t xml:space="preserve"> </w:t>
      </w:r>
      <w:r w:rsidRPr="006C19A4">
        <w:t>Performance data adopted from the author-prepared project evaluation (</w:t>
      </w:r>
      <w:proofErr w:type="spellStart"/>
      <w:r w:rsidRPr="006C19A4">
        <w:t>Moschik</w:t>
      </w:r>
      <w:proofErr w:type="spellEnd"/>
      <w:r w:rsidRPr="006C19A4">
        <w:t>, 2026).</w:t>
      </w:r>
    </w:p>
    <w:tbl>
      <w:tblPr>
        <w:tblStyle w:val="Tabellenraster"/>
        <w:tblW w:w="0" w:type="auto"/>
        <w:jc w:val="center"/>
        <w:tblLook w:val="01E0" w:firstRow="1" w:lastRow="1" w:firstColumn="1" w:lastColumn="1" w:noHBand="0" w:noVBand="0"/>
      </w:tblPr>
      <w:tblGrid>
        <w:gridCol w:w="3965"/>
        <w:gridCol w:w="1417"/>
        <w:gridCol w:w="1843"/>
        <w:gridCol w:w="1839"/>
      </w:tblGrid>
      <w:tr w:rsidR="007B041F" w:rsidRPr="006309AA" w14:paraId="3C0AE0F8" w14:textId="77777777" w:rsidTr="00343F6C">
        <w:trPr>
          <w:jc w:val="center"/>
        </w:trPr>
        <w:tc>
          <w:tcPr>
            <w:tcW w:w="3965" w:type="dxa"/>
          </w:tcPr>
          <w:p w14:paraId="242DDB18" w14:textId="7269E7F0" w:rsidR="006C19A4" w:rsidRPr="006309AA" w:rsidRDefault="006C19A4" w:rsidP="00335982">
            <w:pPr>
              <w:pStyle w:val="SWCTableHeader"/>
            </w:pPr>
            <w:r>
              <w:t>Indicator</w:t>
            </w:r>
          </w:p>
        </w:tc>
        <w:tc>
          <w:tcPr>
            <w:tcW w:w="1417" w:type="dxa"/>
          </w:tcPr>
          <w:p w14:paraId="0E3AE277" w14:textId="10124AD5" w:rsidR="006C19A4" w:rsidRPr="006309AA" w:rsidRDefault="006C19A4" w:rsidP="00335982">
            <w:pPr>
              <w:pStyle w:val="SWCTableHeader"/>
            </w:pPr>
            <w:r>
              <w:t>Flat plate</w:t>
            </w:r>
          </w:p>
        </w:tc>
        <w:tc>
          <w:tcPr>
            <w:tcW w:w="1843" w:type="dxa"/>
          </w:tcPr>
          <w:p w14:paraId="040EB24C" w14:textId="3605A09C" w:rsidR="006C19A4" w:rsidRPr="006309AA" w:rsidRDefault="006C19A4" w:rsidP="00335982">
            <w:pPr>
              <w:pStyle w:val="SWCTableHeader"/>
            </w:pPr>
            <w:r>
              <w:t>Evacuated Tube</w:t>
            </w:r>
          </w:p>
        </w:tc>
        <w:tc>
          <w:tcPr>
            <w:tcW w:w="1839" w:type="dxa"/>
          </w:tcPr>
          <w:p w14:paraId="42DAB087" w14:textId="6E61DB67" w:rsidR="006C19A4" w:rsidRDefault="006C19A4" w:rsidP="00335982">
            <w:pPr>
              <w:pStyle w:val="SWCTableHeader"/>
            </w:pPr>
            <w:r>
              <w:t>PV2Heat</w:t>
            </w:r>
          </w:p>
        </w:tc>
      </w:tr>
      <w:tr w:rsidR="007B041F" w:rsidRPr="006309AA" w14:paraId="54E3972D" w14:textId="77777777" w:rsidTr="00343F6C">
        <w:trPr>
          <w:jc w:val="center"/>
        </w:trPr>
        <w:tc>
          <w:tcPr>
            <w:tcW w:w="3965" w:type="dxa"/>
          </w:tcPr>
          <w:p w14:paraId="3D81DF1C" w14:textId="2AE2718F" w:rsidR="006C19A4" w:rsidRPr="006309AA" w:rsidRDefault="006C19A4" w:rsidP="00335982">
            <w:pPr>
              <w:pStyle w:val="SWCTableText"/>
            </w:pPr>
            <w:r w:rsidRPr="006C19A4">
              <w:t>Solar yield [kWh]</w:t>
            </w:r>
          </w:p>
        </w:tc>
        <w:tc>
          <w:tcPr>
            <w:tcW w:w="1417" w:type="dxa"/>
          </w:tcPr>
          <w:p w14:paraId="3A591C0D" w14:textId="1D3C6709" w:rsidR="006C19A4" w:rsidRPr="00FC09A1" w:rsidRDefault="006C19A4" w:rsidP="00335982">
            <w:pPr>
              <w:pStyle w:val="SWCTableText"/>
            </w:pPr>
            <w:r>
              <w:t>2256</w:t>
            </w:r>
          </w:p>
        </w:tc>
        <w:tc>
          <w:tcPr>
            <w:tcW w:w="1843" w:type="dxa"/>
          </w:tcPr>
          <w:p w14:paraId="0795E143" w14:textId="70F50AA7" w:rsidR="006C19A4" w:rsidRPr="006309AA" w:rsidRDefault="006C19A4" w:rsidP="00335982">
            <w:pPr>
              <w:pStyle w:val="SWCTableText"/>
            </w:pPr>
            <w:r>
              <w:t>1373</w:t>
            </w:r>
          </w:p>
        </w:tc>
        <w:tc>
          <w:tcPr>
            <w:tcW w:w="1839" w:type="dxa"/>
          </w:tcPr>
          <w:p w14:paraId="1BEF8635" w14:textId="39EAA6D1" w:rsidR="006C19A4" w:rsidRDefault="007B041F" w:rsidP="00335982">
            <w:pPr>
              <w:pStyle w:val="SWCTableText"/>
            </w:pPr>
            <w:r>
              <w:t>1652</w:t>
            </w:r>
          </w:p>
        </w:tc>
      </w:tr>
      <w:tr w:rsidR="007B041F" w:rsidRPr="007B041F" w14:paraId="22395154" w14:textId="77777777" w:rsidTr="00343F6C">
        <w:trPr>
          <w:jc w:val="center"/>
        </w:trPr>
        <w:tc>
          <w:tcPr>
            <w:tcW w:w="3965" w:type="dxa"/>
          </w:tcPr>
          <w:p w14:paraId="13618A6B" w14:textId="71E44B0E" w:rsidR="006C19A4" w:rsidRPr="006309AA" w:rsidRDefault="006C19A4" w:rsidP="00335982">
            <w:pPr>
              <w:pStyle w:val="SWCTableText"/>
            </w:pPr>
            <w:r w:rsidRPr="006C19A4">
              <w:t>Useful hot-water energy [kWh]</w:t>
            </w:r>
          </w:p>
        </w:tc>
        <w:tc>
          <w:tcPr>
            <w:tcW w:w="1417" w:type="dxa"/>
          </w:tcPr>
          <w:p w14:paraId="2007DE59" w14:textId="28A88540" w:rsidR="006C19A4" w:rsidRDefault="007B041F" w:rsidP="00335982">
            <w:pPr>
              <w:pStyle w:val="SWCTableText"/>
            </w:pPr>
            <w:r>
              <w:t>1862</w:t>
            </w:r>
          </w:p>
        </w:tc>
        <w:tc>
          <w:tcPr>
            <w:tcW w:w="1843" w:type="dxa"/>
          </w:tcPr>
          <w:p w14:paraId="68E9CE00" w14:textId="37B7B8E6" w:rsidR="006C19A4" w:rsidRDefault="007B041F" w:rsidP="00335982">
            <w:pPr>
              <w:pStyle w:val="SWCTableText"/>
            </w:pPr>
            <w:r>
              <w:t>1058</w:t>
            </w:r>
          </w:p>
        </w:tc>
        <w:tc>
          <w:tcPr>
            <w:tcW w:w="1839" w:type="dxa"/>
          </w:tcPr>
          <w:p w14:paraId="6C90D5C0" w14:textId="20343AE1" w:rsidR="006C19A4" w:rsidRDefault="007B041F" w:rsidP="00335982">
            <w:pPr>
              <w:pStyle w:val="SWCTableText"/>
            </w:pPr>
            <w:r>
              <w:t>1243</w:t>
            </w:r>
          </w:p>
        </w:tc>
      </w:tr>
      <w:tr w:rsidR="007B041F" w:rsidRPr="007B041F" w14:paraId="4CCC750A" w14:textId="77777777" w:rsidTr="00343F6C">
        <w:trPr>
          <w:jc w:val="center"/>
        </w:trPr>
        <w:tc>
          <w:tcPr>
            <w:tcW w:w="3965" w:type="dxa"/>
          </w:tcPr>
          <w:p w14:paraId="217D0EF0" w14:textId="7EF37F15" w:rsidR="006C19A4" w:rsidRPr="006309AA" w:rsidRDefault="006C19A4" w:rsidP="00335982">
            <w:pPr>
              <w:pStyle w:val="SWCTableText"/>
            </w:pPr>
            <w:r w:rsidRPr="006C19A4">
              <w:t>Specific solar yield, gross area [kWh m⁻²]</w:t>
            </w:r>
          </w:p>
        </w:tc>
        <w:tc>
          <w:tcPr>
            <w:tcW w:w="1417" w:type="dxa"/>
          </w:tcPr>
          <w:p w14:paraId="55B2E1B5" w14:textId="3328407C" w:rsidR="006C19A4" w:rsidRDefault="007B041F" w:rsidP="00335982">
            <w:pPr>
              <w:pStyle w:val="SWCTableText"/>
            </w:pPr>
            <w:r>
              <w:t>909</w:t>
            </w:r>
          </w:p>
        </w:tc>
        <w:tc>
          <w:tcPr>
            <w:tcW w:w="1843" w:type="dxa"/>
          </w:tcPr>
          <w:p w14:paraId="4A89B266" w14:textId="423160EB" w:rsidR="006C19A4" w:rsidRDefault="007B041F" w:rsidP="00335982">
            <w:pPr>
              <w:pStyle w:val="SWCTableText"/>
            </w:pPr>
            <w:r>
              <w:t>557</w:t>
            </w:r>
          </w:p>
        </w:tc>
        <w:tc>
          <w:tcPr>
            <w:tcW w:w="1839" w:type="dxa"/>
          </w:tcPr>
          <w:p w14:paraId="1F8DBE23" w14:textId="087034A7" w:rsidR="006C19A4" w:rsidRDefault="007B041F" w:rsidP="00335982">
            <w:pPr>
              <w:pStyle w:val="SWCTableText"/>
            </w:pPr>
            <w:r>
              <w:t>319</w:t>
            </w:r>
          </w:p>
        </w:tc>
      </w:tr>
      <w:tr w:rsidR="007B041F" w:rsidRPr="007B041F" w14:paraId="163CC170" w14:textId="77777777" w:rsidTr="00343F6C">
        <w:trPr>
          <w:jc w:val="center"/>
        </w:trPr>
        <w:tc>
          <w:tcPr>
            <w:tcW w:w="3965" w:type="dxa"/>
          </w:tcPr>
          <w:p w14:paraId="47EACAD8" w14:textId="5253869D" w:rsidR="006C19A4" w:rsidRPr="006309AA" w:rsidRDefault="006C19A4" w:rsidP="00335982">
            <w:pPr>
              <w:pStyle w:val="SWCTableText"/>
            </w:pPr>
            <w:r w:rsidRPr="006C19A4">
              <w:t>Specific solar yield, aperture area [kWh m⁻²]</w:t>
            </w:r>
          </w:p>
        </w:tc>
        <w:tc>
          <w:tcPr>
            <w:tcW w:w="1417" w:type="dxa"/>
          </w:tcPr>
          <w:p w14:paraId="15749152" w14:textId="0FF499A5" w:rsidR="006C19A4" w:rsidRDefault="007B041F" w:rsidP="00335982">
            <w:pPr>
              <w:pStyle w:val="SWCTableText"/>
            </w:pPr>
            <w:r>
              <w:t>981</w:t>
            </w:r>
          </w:p>
        </w:tc>
        <w:tc>
          <w:tcPr>
            <w:tcW w:w="1843" w:type="dxa"/>
          </w:tcPr>
          <w:p w14:paraId="33F7A9E4" w14:textId="10DD12F2" w:rsidR="006C19A4" w:rsidRDefault="007B041F" w:rsidP="00335982">
            <w:pPr>
              <w:pStyle w:val="SWCTableText"/>
            </w:pPr>
            <w:r>
              <w:t>860</w:t>
            </w:r>
          </w:p>
        </w:tc>
        <w:tc>
          <w:tcPr>
            <w:tcW w:w="1839" w:type="dxa"/>
          </w:tcPr>
          <w:p w14:paraId="3F3D6506" w14:textId="5928DFE5" w:rsidR="006C19A4" w:rsidRDefault="007B041F" w:rsidP="00335982">
            <w:pPr>
              <w:pStyle w:val="SWCTableText"/>
            </w:pPr>
            <w:r>
              <w:t>not reported</w:t>
            </w:r>
          </w:p>
        </w:tc>
      </w:tr>
      <w:tr w:rsidR="007B041F" w:rsidRPr="007B041F" w14:paraId="7EE3C5D8" w14:textId="77777777" w:rsidTr="00343F6C">
        <w:trPr>
          <w:jc w:val="center"/>
        </w:trPr>
        <w:tc>
          <w:tcPr>
            <w:tcW w:w="3965" w:type="dxa"/>
          </w:tcPr>
          <w:p w14:paraId="728829BF" w14:textId="4A146745" w:rsidR="006C19A4" w:rsidRPr="006309AA" w:rsidRDefault="006C19A4" w:rsidP="00335982">
            <w:pPr>
              <w:pStyle w:val="SWCTableText"/>
            </w:pPr>
            <w:r w:rsidRPr="006C19A4">
              <w:t>Useful heat / solar yield [%]</w:t>
            </w:r>
          </w:p>
        </w:tc>
        <w:tc>
          <w:tcPr>
            <w:tcW w:w="1417" w:type="dxa"/>
          </w:tcPr>
          <w:p w14:paraId="6CB67527" w14:textId="108DE78F" w:rsidR="006C19A4" w:rsidRDefault="007B041F" w:rsidP="00335982">
            <w:pPr>
              <w:pStyle w:val="SWCTableText"/>
            </w:pPr>
            <w:r>
              <w:t>82.5</w:t>
            </w:r>
          </w:p>
        </w:tc>
        <w:tc>
          <w:tcPr>
            <w:tcW w:w="1843" w:type="dxa"/>
          </w:tcPr>
          <w:p w14:paraId="2EB9413F" w14:textId="7BF7B7FB" w:rsidR="006C19A4" w:rsidRDefault="007B041F" w:rsidP="00335982">
            <w:pPr>
              <w:pStyle w:val="SWCTableText"/>
            </w:pPr>
            <w:r>
              <w:t>77.1</w:t>
            </w:r>
          </w:p>
        </w:tc>
        <w:tc>
          <w:tcPr>
            <w:tcW w:w="1839" w:type="dxa"/>
          </w:tcPr>
          <w:p w14:paraId="1408CCE8" w14:textId="7B0A75EE" w:rsidR="006C19A4" w:rsidRDefault="007B041F" w:rsidP="00335982">
            <w:pPr>
              <w:pStyle w:val="SWCTableText"/>
            </w:pPr>
            <w:r>
              <w:t>75.2</w:t>
            </w:r>
          </w:p>
        </w:tc>
      </w:tr>
    </w:tbl>
    <w:p w14:paraId="1023D7B6" w14:textId="77777777" w:rsidR="006C19A4" w:rsidRDefault="006C19A4" w:rsidP="006C19A4">
      <w:pPr>
        <w:pStyle w:val="SWCText"/>
      </w:pPr>
    </w:p>
    <w:p w14:paraId="17411797" w14:textId="1026D49E" w:rsidR="002B2B10" w:rsidRPr="006309AA" w:rsidRDefault="002B2B10" w:rsidP="002B2B10">
      <w:pPr>
        <w:pStyle w:val="SWCHeading11"/>
      </w:pPr>
      <w:r>
        <w:t>2.4. Selected-day efficiency comparison</w:t>
      </w:r>
    </w:p>
    <w:p w14:paraId="3E3C8FD9" w14:textId="4AA94565" w:rsidR="002B2B10" w:rsidRDefault="002B2B10" w:rsidP="002B2B10">
      <w:pPr>
        <w:pStyle w:val="SWCText"/>
      </w:pPr>
      <w:r>
        <w:t xml:space="preserve">In addition to the aggregated annual comparison, the monitoring evaluation provides collector-loop efficiencies for representative high-, average- and low-irradiation days. These selected-day results are shown in Figure 3 and are used as diagnostic information rather than as substitutes for annual efficiency calculations. At 7.50 kWh m⁻² incident solar energy, the reported gross-area efficiencies are 40.7% for the flat plate, 27.1% for the evacuated tube and 13.4% for PV2Heat. At the average-radiation case of 5.99 kWh m⁻², the corresponding values are 41.1%, </w:t>
      </w:r>
      <w:r>
        <w:lastRenderedPageBreak/>
        <w:t>29.9% and 16.5%, while at 1.99 kWh m⁻² they are 31.9%, 26.6% and 17.5%.</w:t>
      </w:r>
    </w:p>
    <w:p w14:paraId="34675199" w14:textId="77777777" w:rsidR="002B2B10" w:rsidRDefault="002B2B10" w:rsidP="002B2B10">
      <w:pPr>
        <w:pStyle w:val="SWCText"/>
      </w:pPr>
      <w:r>
        <w:t>The selected days illustrate how the relative behavior changes with irradiance. On a gross-area basis, the flat-plate collector retains the highest conversion efficiency in all three cases, but the gap to the evacuated-tube system narrows substantially at low irradiation. The project presentation quantifies the evacuated-tube deficit relative to the flat plate as 33.5% under the high-radiation condition and 16.8% under the low-radiation condition (</w:t>
      </w:r>
      <w:proofErr w:type="spellStart"/>
      <w:r>
        <w:t>Moschik</w:t>
      </w:r>
      <w:proofErr w:type="spellEnd"/>
      <w:r>
        <w:t>, 2026). These selected days are not used to infer an annual efficiency; instead, the annual yield values in Table 2 remain the basis for the technical, environmental and economic comparison.</w:t>
      </w:r>
    </w:p>
    <w:p w14:paraId="7AB22548" w14:textId="77777777" w:rsidR="002B2B10" w:rsidRDefault="002B2B10" w:rsidP="002B2B10">
      <w:pPr>
        <w:pStyle w:val="SWCText"/>
      </w:pPr>
      <w:r>
        <w:t xml:space="preserve">The area definition is especially relevant for the evacuated-tube collector. </w:t>
      </w:r>
      <w:proofErr w:type="spellStart"/>
      <w:r>
        <w:t>Moschik</w:t>
      </w:r>
      <w:proofErr w:type="spellEnd"/>
      <w:r>
        <w:t xml:space="preserve"> (2026) reports aperture-area efficiencies of 44.6%, 45.0% and 35.0% for the flat plate at high, average and low irradiation, compared with 41.7%, 45.9% and 40.9% for the evacuated tube. The evacuated-tube system therefore reaches or exceeds the flat plate when efficiency is related to aperture area under average and low irradiation, even though its gross-area efficiency remains lower. Figure 3 intentionally uses gross-area efficiency for all three systems so that the displayed values remain consistent with the installed-area comparison and with the gross-area-specific yields reported in Table 2.</w:t>
      </w:r>
    </w:p>
    <w:p w14:paraId="3732B181" w14:textId="4A53C0C2" w:rsidR="002B2B10" w:rsidRDefault="002B2B10" w:rsidP="002B2B10">
      <w:pPr>
        <w:pStyle w:val="SWCText"/>
      </w:pPr>
      <w:r>
        <w:t>Taken together, Figure 3 and Table 2 serve complementary purposes. Figure 3 explains the short-term conversion behavior under different radiation levels, whereas Table 2 describes the project-level energy delivered over the comparison period. The distinction prevents favorable spot efficiencies from being mistaken for superior annual output and provides the technical basis for the service-normalized assessment developed in the following section.</w:t>
      </w:r>
    </w:p>
    <w:p w14:paraId="540AF05C" w14:textId="5DE0AEE2" w:rsidR="002B2B10" w:rsidRDefault="00D77A85" w:rsidP="002B2B10">
      <w:pPr>
        <w:pStyle w:val="SWCText"/>
        <w:jc w:val="center"/>
      </w:pPr>
      <w:r>
        <w:rPr>
          <w:noProof/>
        </w:rPr>
        <w:drawing>
          <wp:inline distT="0" distB="0" distL="0" distR="0" wp14:anchorId="0FA1EDA5" wp14:editId="2B9AB45D">
            <wp:extent cx="5761990" cy="2794635"/>
            <wp:effectExtent l="0" t="0" r="0" b="5715"/>
            <wp:docPr id="6" name="Diagramm 6">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2B3E0F9" w14:textId="12549F77" w:rsidR="002B2B10" w:rsidRDefault="002B2B10" w:rsidP="002B2B10">
      <w:pPr>
        <w:pStyle w:val="SWCTableFigureCaption"/>
      </w:pPr>
      <w:r w:rsidRPr="00FC2DBA">
        <w:t xml:space="preserve">Fig. </w:t>
      </w:r>
      <w:r w:rsidR="00D77A85">
        <w:t>3</w:t>
      </w:r>
      <w:r w:rsidRPr="00FC2DBA">
        <w:t>:</w:t>
      </w:r>
      <w:r w:rsidRPr="006C19A4">
        <w:t xml:space="preserve"> </w:t>
      </w:r>
      <w:r w:rsidR="00D77A85" w:rsidRPr="00D77A85">
        <w:t xml:space="preserve">Gross-area collector-loop efficiencies on selected high-, average- and low-irradiation days reported by </w:t>
      </w:r>
      <w:proofErr w:type="spellStart"/>
      <w:r w:rsidR="00D77A85" w:rsidRPr="00D77A85">
        <w:t>Moschik</w:t>
      </w:r>
      <w:proofErr w:type="spellEnd"/>
      <w:r w:rsidR="00D77A85" w:rsidRPr="00D77A85">
        <w:t xml:space="preserve"> (2026). </w:t>
      </w:r>
      <w:r w:rsidR="00D77A85">
        <w:br/>
      </w:r>
      <w:r w:rsidR="00D77A85" w:rsidRPr="00D77A85">
        <w:t>The selected-day values are diagnostic and are not used as annual efficiencies</w:t>
      </w:r>
      <w:r w:rsidRPr="00FC2DBA">
        <w:t>.</w:t>
      </w:r>
    </w:p>
    <w:p w14:paraId="01A71334" w14:textId="0605487D" w:rsidR="007C70CD" w:rsidRDefault="007C70CD" w:rsidP="00343F6C">
      <w:pPr>
        <w:pStyle w:val="SWCHeading1"/>
      </w:pPr>
      <w:r w:rsidRPr="007C70CD">
        <w:t>Assessment methodology</w:t>
      </w:r>
    </w:p>
    <w:p w14:paraId="0198526A" w14:textId="59997B3D" w:rsidR="007C70CD" w:rsidRPr="00335982" w:rsidRDefault="007C70CD" w:rsidP="007C70CD">
      <w:pPr>
        <w:rPr>
          <w:color w:val="000000"/>
          <w:sz w:val="20"/>
          <w:szCs w:val="22"/>
          <w:lang w:val="en-US"/>
        </w:rPr>
      </w:pPr>
      <w:r w:rsidRPr="007C70CD">
        <w:rPr>
          <w:color w:val="000000"/>
          <w:sz w:val="20"/>
          <w:szCs w:val="22"/>
          <w:lang w:val="en-US"/>
        </w:rPr>
        <w:t>This chapter defines the harmonized environmental and techno-economic framework used to translate the monitored useful-hot-water output into directly comparable life-cycle and cost indicators</w:t>
      </w:r>
      <w:r w:rsidRPr="00335982">
        <w:rPr>
          <w:color w:val="000000"/>
          <w:sz w:val="20"/>
          <w:szCs w:val="22"/>
          <w:lang w:val="en-US"/>
        </w:rPr>
        <w:t>.</w:t>
      </w:r>
    </w:p>
    <w:p w14:paraId="4B9E598A" w14:textId="4627CC83" w:rsidR="007C70CD" w:rsidRPr="006309AA" w:rsidRDefault="007C70CD" w:rsidP="007C70CD">
      <w:pPr>
        <w:pStyle w:val="SWCHeading11"/>
      </w:pPr>
      <w:r>
        <w:t xml:space="preserve">3.1. </w:t>
      </w:r>
      <w:r w:rsidRPr="007C70CD">
        <w:t>Functional unit and life-cycle assessment</w:t>
      </w:r>
    </w:p>
    <w:p w14:paraId="23123FAF" w14:textId="77777777" w:rsidR="007C70CD" w:rsidRDefault="007C70CD" w:rsidP="007C70CD">
      <w:pPr>
        <w:pStyle w:val="SWCText"/>
      </w:pPr>
      <w:r>
        <w:t>The environmental comparison is based on 1 kWh of useful hot-water energy delivered to the standardized demand, using the project-level hot-water outputs summarized in Table 2. This distinction is important because the monitoring evaluation separately identifies solar-loop yield and useful hot-water energy. Using the latter as the denominator ensures that collector, storage and distribution losses remain part of the service performance rather than being hidden by normalization to gross solar production.</w:t>
      </w:r>
    </w:p>
    <w:p w14:paraId="0E21D0CD" w14:textId="77777777" w:rsidR="007C70CD" w:rsidRDefault="007C70CD" w:rsidP="007C70CD">
      <w:pPr>
        <w:pStyle w:val="SWCText"/>
      </w:pPr>
      <w:r>
        <w:t xml:space="preserve">An attributional LCA was implemented in </w:t>
      </w:r>
      <w:proofErr w:type="spellStart"/>
      <w:r>
        <w:t>SimaPro</w:t>
      </w:r>
      <w:proofErr w:type="spellEnd"/>
      <w:r>
        <w:t xml:space="preserve"> 10.4 using the </w:t>
      </w:r>
      <w:proofErr w:type="spellStart"/>
      <w:r>
        <w:t>ecoinvent</w:t>
      </w:r>
      <w:proofErr w:type="spellEnd"/>
      <w:r>
        <w:t xml:space="preserve"> allocation, cut-off by classification unit-process library. The foreground inventory represents the as-built configurations described in Table 1 and was compiled from on-site measurements, nameplates, component geometry and conservative material proxies where </w:t>
      </w:r>
      <w:r>
        <w:lastRenderedPageBreak/>
        <w:t>direct mass information was unavailable. A 20-year reference study period is used. The baseline boundary includes component material production, generic metal-working processes, collector or PV-module production, storage, mounting, hydraulic or electrical components, and a thermal-fluid service assumption for the solar-thermal systems. Common research infrastructure, including the container, common monitoring hardware and data acquisition, is excluded because it would not form part of a commercial household installation. Dedicated international transport and end-of-life treatment are not included in the baseline because verified origin and treatment routes were unavailable.</w:t>
      </w:r>
    </w:p>
    <w:p w14:paraId="4254131A" w14:textId="0991906D" w:rsidR="007C70CD" w:rsidRDefault="007C70CD" w:rsidP="007C70CD">
      <w:pPr>
        <w:pStyle w:val="SWCText"/>
      </w:pPr>
      <w:r>
        <w:t xml:space="preserve">Climate impact is characterized using IPCC 2021 GWP100, while Cumulative Energy Demand (CED, higher-heating-value basis) is used as the embodied-energy indicator. The originally modeled absolute infrastructure burdens are unchanged by the monitoring update. Previously calculated </w:t>
      </w:r>
      <w:proofErr w:type="spellStart"/>
      <w:r>
        <w:t>SimaPro</w:t>
      </w:r>
      <w:proofErr w:type="spellEnd"/>
      <w:r>
        <w:t xml:space="preserve"> intensities, which were normalized to solar-yield values, were therefore re-normalized algebraically to the useful hot-water energies in Table 2. The resulting service-normalized indicators are reported in Figure 4 and Table 3. For a system with life-cycle impact </w:t>
      </w:r>
      <w:proofErr w:type="spellStart"/>
      <w:r>
        <w:t>I_life</w:t>
      </w:r>
      <w:proofErr w:type="spellEnd"/>
      <w:r>
        <w:t xml:space="preserve">, annual useful heat </w:t>
      </w:r>
      <w:proofErr w:type="spellStart"/>
      <w:r>
        <w:t>Q_useful</w:t>
      </w:r>
      <w:proofErr w:type="spellEnd"/>
      <w:r>
        <w:t xml:space="preserve"> and reference period n, the specific impact is:</w:t>
      </w:r>
    </w:p>
    <w:p w14:paraId="2E6DA2FD" w14:textId="77777777" w:rsidR="007C70CD" w:rsidRDefault="007C70CD" w:rsidP="00343F6C">
      <w:pPr>
        <w:pStyle w:val="SWCText"/>
        <w:jc w:val="center"/>
      </w:pPr>
      <w:proofErr w:type="spellStart"/>
      <w:r>
        <w:t>I_useful</w:t>
      </w:r>
      <w:proofErr w:type="spellEnd"/>
      <w:r>
        <w:t xml:space="preserve"> = </w:t>
      </w:r>
      <w:proofErr w:type="spellStart"/>
      <w:r>
        <w:t>I_life</w:t>
      </w:r>
      <w:proofErr w:type="spellEnd"/>
      <w:r>
        <w:t xml:space="preserve"> / (</w:t>
      </w:r>
      <w:proofErr w:type="spellStart"/>
      <w:r>
        <w:t>Q_useful</w:t>
      </w:r>
      <w:proofErr w:type="spellEnd"/>
      <w:r>
        <w:t xml:space="preserve"> × </w:t>
      </w:r>
      <w:proofErr w:type="gramStart"/>
      <w:r>
        <w:t xml:space="preserve">n)   </w:t>
      </w:r>
      <w:proofErr w:type="gramEnd"/>
      <w:r>
        <w:t xml:space="preserve">  (eq. 1)</w:t>
      </w:r>
    </w:p>
    <w:p w14:paraId="3F1295E2" w14:textId="77777777" w:rsidR="007C70CD" w:rsidRDefault="007C70CD" w:rsidP="007C70CD">
      <w:pPr>
        <w:pStyle w:val="SWCText"/>
      </w:pPr>
      <w:r>
        <w:t>The useful-heat energy payback time is calculated from the total life-cycle CED divided by annual useful heat:</w:t>
      </w:r>
    </w:p>
    <w:p w14:paraId="14DDEED8" w14:textId="470CCE00" w:rsidR="007C70CD" w:rsidRDefault="007C70CD" w:rsidP="00343F6C">
      <w:pPr>
        <w:pStyle w:val="SWCText"/>
        <w:jc w:val="center"/>
      </w:pPr>
      <w:proofErr w:type="spellStart"/>
      <w:r>
        <w:t>EPBT_useful</w:t>
      </w:r>
      <w:proofErr w:type="spellEnd"/>
      <w:r>
        <w:t xml:space="preserve"> = </w:t>
      </w:r>
      <w:proofErr w:type="spellStart"/>
      <w:r>
        <w:t>CED_life</w:t>
      </w:r>
      <w:proofErr w:type="spellEnd"/>
      <w:r>
        <w:t xml:space="preserve"> / (3.6 × </w:t>
      </w:r>
      <w:proofErr w:type="spellStart"/>
      <w:r>
        <w:t>Q_</w:t>
      </w:r>
      <w:proofErr w:type="gramStart"/>
      <w:r>
        <w:t>useful</w:t>
      </w:r>
      <w:proofErr w:type="spellEnd"/>
      <w:r>
        <w:t xml:space="preserve">)   </w:t>
      </w:r>
      <w:proofErr w:type="gramEnd"/>
      <w:r>
        <w:t xml:space="preserve">  (eq. 2).</w:t>
      </w:r>
    </w:p>
    <w:p w14:paraId="1F4464F9" w14:textId="1E14769E" w:rsidR="007C70CD" w:rsidRPr="006309AA" w:rsidRDefault="007C70CD" w:rsidP="007C70CD">
      <w:pPr>
        <w:pStyle w:val="SWCHeading11"/>
      </w:pPr>
      <w:r>
        <w:t xml:space="preserve">3.2. </w:t>
      </w:r>
      <w:r w:rsidRPr="007C70CD">
        <w:t>Techno-economic assessment</w:t>
      </w:r>
    </w:p>
    <w:p w14:paraId="2D52A25A" w14:textId="77777777" w:rsidR="007C70CD" w:rsidRDefault="007C70CD" w:rsidP="007C70CD">
      <w:pPr>
        <w:pStyle w:val="SWCText"/>
      </w:pPr>
      <w:r>
        <w:t>No project invoices or final supplier quotations were available. The techno-economic analysis therefore uses explicit engineering estimates and is reported as a scenario rather than as verified procurement cost. The complete assumption set is summarized in Table 4: central installed CAPEX is EUR 1600 for the flat-plate thermosyphon, EUR 1750 for the evacuated-tube system and EUR 1650 for PV2Heat; annual O&amp;M is set to 1% of CAPEX for the solar-thermal systems and 0.5% for PV2Heat. One service or replacement event is assumed in each case, together with a 20-year period and a 5% real discount rate.</w:t>
      </w:r>
    </w:p>
    <w:p w14:paraId="562B1688" w14:textId="77777777" w:rsidR="007C70CD" w:rsidRDefault="007C70CD" w:rsidP="007C70CD">
      <w:pPr>
        <w:pStyle w:val="SWCText"/>
      </w:pPr>
      <w:r>
        <w:t>The levelized cost of heat (LCOH) is calculated from discounted life-cycle costs and discounted useful hot-water energy:</w:t>
      </w:r>
    </w:p>
    <w:p w14:paraId="4E0C5651" w14:textId="77777777" w:rsidR="007C70CD" w:rsidRPr="00343F6C" w:rsidRDefault="007C70CD" w:rsidP="00343F6C">
      <w:pPr>
        <w:pStyle w:val="SWCText"/>
        <w:jc w:val="center"/>
        <w:rPr>
          <w:lang w:val="de-AT"/>
        </w:rPr>
      </w:pPr>
      <w:r w:rsidRPr="00343F6C">
        <w:rPr>
          <w:lang w:val="de-AT"/>
        </w:rPr>
        <w:t xml:space="preserve">LCOH = [CAPEX + </w:t>
      </w:r>
      <w:r>
        <w:t>Σ</w:t>
      </w:r>
      <w:r w:rsidRPr="00343F6C">
        <w:rPr>
          <w:lang w:val="de-AT"/>
        </w:rPr>
        <w:t xml:space="preserve"> </w:t>
      </w:r>
      <w:proofErr w:type="spellStart"/>
      <w:r w:rsidRPr="00343F6C">
        <w:rPr>
          <w:lang w:val="de-AT"/>
        </w:rPr>
        <w:t>C_t</w:t>
      </w:r>
      <w:proofErr w:type="spellEnd"/>
      <w:r w:rsidRPr="00343F6C">
        <w:rPr>
          <w:lang w:val="de-AT"/>
        </w:rPr>
        <w:t>/(1+</w:t>
      </w:r>
      <w:proofErr w:type="gramStart"/>
      <w:r w:rsidRPr="00343F6C">
        <w:rPr>
          <w:lang w:val="de-AT"/>
        </w:rPr>
        <w:t>r)^</w:t>
      </w:r>
      <w:proofErr w:type="gramEnd"/>
      <w:r w:rsidRPr="00343F6C">
        <w:rPr>
          <w:lang w:val="de-AT"/>
        </w:rPr>
        <w:t>t] / [</w:t>
      </w:r>
      <w:r>
        <w:t>Σ</w:t>
      </w:r>
      <w:r w:rsidRPr="00343F6C">
        <w:rPr>
          <w:lang w:val="de-AT"/>
        </w:rPr>
        <w:t xml:space="preserve"> </w:t>
      </w:r>
      <w:proofErr w:type="spellStart"/>
      <w:r w:rsidRPr="00343F6C">
        <w:rPr>
          <w:lang w:val="de-AT"/>
        </w:rPr>
        <w:t>Q_useful,t</w:t>
      </w:r>
      <w:proofErr w:type="spellEnd"/>
      <w:r w:rsidRPr="00343F6C">
        <w:rPr>
          <w:lang w:val="de-AT"/>
        </w:rPr>
        <w:t>/(1+r)^t]     (</w:t>
      </w:r>
      <w:proofErr w:type="spellStart"/>
      <w:r w:rsidRPr="00343F6C">
        <w:rPr>
          <w:lang w:val="de-AT"/>
        </w:rPr>
        <w:t>eq</w:t>
      </w:r>
      <w:proofErr w:type="spellEnd"/>
      <w:r w:rsidRPr="00343F6C">
        <w:rPr>
          <w:lang w:val="de-AT"/>
        </w:rPr>
        <w:t>. 3)</w:t>
      </w:r>
    </w:p>
    <w:p w14:paraId="5113B9DE" w14:textId="50C12F3B" w:rsidR="006C19A4" w:rsidRDefault="007C70CD" w:rsidP="007C70CD">
      <w:pPr>
        <w:pStyle w:val="SWCText"/>
      </w:pPr>
      <w:r>
        <w:t>A ±25% common cost sensitivity is shown around the central estimate in Figure 5 and Table 4. This range is intentionally broad because import duties, shipping, local installer rates and component sourcing were not documented.</w:t>
      </w:r>
    </w:p>
    <w:p w14:paraId="4D2342B3" w14:textId="6E5181E1" w:rsidR="007C70CD" w:rsidRDefault="007C70CD" w:rsidP="00343F6C">
      <w:pPr>
        <w:pStyle w:val="SWCHeading1"/>
      </w:pPr>
      <w:r>
        <w:t>Results</w:t>
      </w:r>
    </w:p>
    <w:p w14:paraId="5CC2A37E" w14:textId="568BC740" w:rsidR="007C70CD" w:rsidRPr="00335982" w:rsidRDefault="007C70CD" w:rsidP="007C70CD">
      <w:pPr>
        <w:rPr>
          <w:color w:val="000000"/>
          <w:sz w:val="20"/>
          <w:szCs w:val="22"/>
          <w:lang w:val="en-US"/>
        </w:rPr>
      </w:pPr>
      <w:r w:rsidRPr="007C70CD">
        <w:rPr>
          <w:color w:val="000000"/>
          <w:sz w:val="20"/>
          <w:szCs w:val="22"/>
          <w:lang w:val="en-US"/>
        </w:rPr>
        <w:t>The results are presented in the same sequence as the assessment framework: monitored technical performance, environmental indicators, and indicative cost performance</w:t>
      </w:r>
      <w:r w:rsidRPr="00335982">
        <w:rPr>
          <w:color w:val="000000"/>
          <w:sz w:val="20"/>
          <w:szCs w:val="22"/>
          <w:lang w:val="en-US"/>
        </w:rPr>
        <w:t>.</w:t>
      </w:r>
    </w:p>
    <w:p w14:paraId="32070A24" w14:textId="3DAA414F" w:rsidR="007C70CD" w:rsidRPr="006309AA" w:rsidRDefault="007C70CD" w:rsidP="007C70CD">
      <w:pPr>
        <w:pStyle w:val="SWCHeading11"/>
      </w:pPr>
      <w:r>
        <w:t xml:space="preserve">4.1. </w:t>
      </w:r>
      <w:r w:rsidRPr="007C70CD">
        <w:t>Technical performance</w:t>
      </w:r>
    </w:p>
    <w:p w14:paraId="5351AE8C" w14:textId="77777777" w:rsidR="007C70CD" w:rsidRDefault="007C70CD" w:rsidP="007C70CD">
      <w:pPr>
        <w:pStyle w:val="SWCText"/>
      </w:pPr>
      <w:r>
        <w:t>The project-level monitoring results summarized in Table 2 and Fig. 2 identify the flat-plate system as the strongest technical performer. It reports 2256 kWh solar yield and 1862 kWh useful hot-water energy, compared with 1373/1058 kWh for the evacuated-tube system and 1652/1243 kWh for PV2Heat. The final project comparison also reports the highest gross-area-specific solar yield for the flat plate (909 kWh m⁻²), followed by the evacuated tube (557 kWh m⁻²) and PV2Heat (319 kWh m⁻²). These source-reported values are used directly rather than recalculated from rounded areas.</w:t>
      </w:r>
    </w:p>
    <w:p w14:paraId="531CDA19" w14:textId="6BAF52A8" w:rsidR="0037571C" w:rsidRDefault="007C70CD" w:rsidP="007C70CD">
      <w:pPr>
        <w:pStyle w:val="SWCText"/>
      </w:pPr>
      <w:r>
        <w:t>The useful-hot-water fraction of reported solar yield is approximately 82.5% for the flat plate, 77.1% for the evacuated tube and 75.2% for PV2Heat (Table 2). The metric is not a formal annual system efficiency because the PV solar-yield period label differs from the hot-water period, but it illustrates the role of storage and distribution losses. The selected-day results in Fig</w:t>
      </w:r>
      <w:r w:rsidR="00496B16">
        <w:t>ure</w:t>
      </w:r>
      <w:r>
        <w:t xml:space="preserve"> 3 support the annual ranking: the flat plate has the largest advantage under high irradiation, whereas the evacuated-tube collector approaches the flat-plate performance more closely under low irradiation.</w:t>
      </w:r>
    </w:p>
    <w:p w14:paraId="7E096B8A" w14:textId="77777777" w:rsidR="0037571C" w:rsidRDefault="0037571C">
      <w:pPr>
        <w:rPr>
          <w:color w:val="000000"/>
          <w:sz w:val="20"/>
          <w:szCs w:val="22"/>
          <w:lang w:val="en-US"/>
        </w:rPr>
      </w:pPr>
      <w:r w:rsidRPr="00343F6C">
        <w:rPr>
          <w:lang w:val="en-US"/>
        </w:rPr>
        <w:br w:type="page"/>
      </w:r>
    </w:p>
    <w:p w14:paraId="237F3A7F" w14:textId="412EFBE1" w:rsidR="00501ADC" w:rsidRPr="006309AA" w:rsidRDefault="00501ADC" w:rsidP="00501ADC">
      <w:pPr>
        <w:pStyle w:val="SWCHeading11"/>
      </w:pPr>
      <w:r>
        <w:lastRenderedPageBreak/>
        <w:t>4.</w:t>
      </w:r>
      <w:r w:rsidR="00F6791D">
        <w:t>2</w:t>
      </w:r>
      <w:r>
        <w:t>. Environmental</w:t>
      </w:r>
      <w:r w:rsidRPr="007C70CD">
        <w:t xml:space="preserve"> performance</w:t>
      </w:r>
    </w:p>
    <w:p w14:paraId="62F3E6C9" w14:textId="5E29A378" w:rsidR="00501ADC" w:rsidRDefault="00501ADC" w:rsidP="00501ADC">
      <w:pPr>
        <w:pStyle w:val="SWCText"/>
      </w:pPr>
      <w:r w:rsidRPr="00501ADC">
        <w:t>As shown in Fig. 4 and Table 3, normalization to useful hot-water energy gives GWP100 values of 20.3, 29.6 and 71.5 g CO₂-eq kWh⁻¹ for flat plate, evacuated tube and PV2Heat, respectively. The corresponding CED values are 0.273, 0.413 and 1.131 MJ kWh⁻¹. Thus, the evacuated-tube system has about 46% higher GWP per unit of useful heat than the flat plate, while PV2Heat is approximately 3.5 times higher. The same ranking is obtained for cumulative energy demand</w:t>
      </w:r>
      <w:r>
        <w:t>.</w:t>
      </w:r>
    </w:p>
    <w:p w14:paraId="575021D6" w14:textId="2DA99799" w:rsidR="00501ADC" w:rsidRDefault="00F6791D" w:rsidP="00501ADC">
      <w:pPr>
        <w:pStyle w:val="SWCText"/>
        <w:jc w:val="center"/>
      </w:pPr>
      <w:r>
        <w:rPr>
          <w:noProof/>
        </w:rPr>
        <mc:AlternateContent>
          <mc:Choice Requires="wpg">
            <w:drawing>
              <wp:inline distT="0" distB="0" distL="0" distR="0" wp14:anchorId="498B387B" wp14:editId="1C508725">
                <wp:extent cx="5780598" cy="1761214"/>
                <wp:effectExtent l="0" t="0" r="0" b="0"/>
                <wp:docPr id="10" name="Gruppieren 3"/>
                <wp:cNvGraphicFramePr/>
                <a:graphic xmlns:a="http://schemas.openxmlformats.org/drawingml/2006/main">
                  <a:graphicData uri="http://schemas.microsoft.com/office/word/2010/wordprocessingGroup">
                    <wpg:wgp>
                      <wpg:cNvGrpSpPr/>
                      <wpg:grpSpPr>
                        <a:xfrm>
                          <a:off x="0" y="0"/>
                          <a:ext cx="5780598" cy="1761214"/>
                          <a:chOff x="0" y="0"/>
                          <a:chExt cx="10450286" cy="4049486"/>
                        </a:xfrm>
                      </wpg:grpSpPr>
                      <wpg:graphicFrame>
                        <wpg:cNvPr id="11" name="Chart"/>
                        <wpg:cNvFrPr/>
                        <wpg:xfrm>
                          <a:off x="0" y="0"/>
                          <a:ext cx="5225143" cy="4049486"/>
                        </wpg:xfrm>
                        <a:graphic>
                          <a:graphicData uri="http://schemas.openxmlformats.org/drawingml/2006/chart">
                            <c:chart xmlns:c="http://schemas.openxmlformats.org/drawingml/2006/chart" xmlns:r="http://schemas.openxmlformats.org/officeDocument/2006/relationships" r:id="rId12"/>
                          </a:graphicData>
                        </a:graphic>
                      </wpg:graphicFrame>
                      <wpg:graphicFrame>
                        <wpg:cNvPr id="12" name="Chart"/>
                        <wpg:cNvFrPr/>
                        <wpg:xfrm>
                          <a:off x="5225143" y="0"/>
                          <a:ext cx="5225143" cy="4049486"/>
                        </wpg:xfrm>
                        <a:graphic>
                          <a:graphicData uri="http://schemas.openxmlformats.org/drawingml/2006/chart">
                            <c:chart xmlns:c="http://schemas.openxmlformats.org/drawingml/2006/chart" xmlns:r="http://schemas.openxmlformats.org/officeDocument/2006/relationships" r:id="rId13"/>
                          </a:graphicData>
                        </a:graphic>
                      </wpg:graphicFrame>
                    </wpg:wgp>
                  </a:graphicData>
                </a:graphic>
              </wp:inline>
            </w:drawing>
          </mc:Choice>
          <mc:Fallback>
            <w:pict>
              <v:group w14:anchorId="3693BFBE" id="Gruppieren 3" o:spid="_x0000_s1026" style="width:455.15pt;height:138.7pt;mso-position-horizontal-relative:char;mso-position-vertical-relative:line" coordsize="104502,40494" o:gfxdata="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o:spid="_x0000_s1027" type="#_x0000_t75" style="position:absolute;width:52237;height:4050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">
                  <v:imagedata r:id="rId14" o:title=""/>
                  <o:lock v:ext="edit" aspectratio="f"/>
                </v:shape>
                <v:shape id="Chart" o:spid="_x0000_s1028" type="#_x0000_t75" style="position:absolute;left:52237;width:52237;height:4050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">
                  <v:imagedata r:id="rId15" o:title=""/>
                  <o:lock v:ext="edit" aspectratio="f"/>
                </v:shape>
                <w10:anchorlock/>
              </v:group>
            </w:pict>
          </mc:Fallback>
        </mc:AlternateContent>
      </w:r>
    </w:p>
    <w:p w14:paraId="382EF971" w14:textId="6ACD2BCC" w:rsidR="00501ADC" w:rsidRDefault="00501ADC" w:rsidP="00501ADC">
      <w:pPr>
        <w:pStyle w:val="SWCTableFigureCaption"/>
      </w:pPr>
      <w:r w:rsidRPr="00FC2DBA">
        <w:t xml:space="preserve">Fig. </w:t>
      </w:r>
      <w:r>
        <w:t>4</w:t>
      </w:r>
      <w:r w:rsidRPr="00FC2DBA">
        <w:t>:</w:t>
      </w:r>
      <w:r w:rsidRPr="006C19A4">
        <w:t xml:space="preserve"> </w:t>
      </w:r>
      <w:r w:rsidRPr="00501ADC">
        <w:t>Baseline environmental impacts normalized to 1 kWh of useful hot-water energy. The absolute modeled infrastructure impacts are unchanged; only the service denominator is updated to the final project monitoring values</w:t>
      </w:r>
      <w:r>
        <w:t>.</w:t>
      </w:r>
    </w:p>
    <w:p w14:paraId="7D2430B3" w14:textId="0B8D71C9" w:rsidR="00501ADC" w:rsidRPr="006309AA" w:rsidRDefault="00501ADC" w:rsidP="00501ADC">
      <w:pPr>
        <w:pStyle w:val="SWCTableFigureCaption"/>
      </w:pPr>
      <w:r>
        <w:t>Tab. 3:</w:t>
      </w:r>
      <w:r w:rsidRPr="006309AA">
        <w:t xml:space="preserve"> </w:t>
      </w:r>
      <w:r w:rsidRPr="00501ADC">
        <w:t>Baseline environmental results for a 20-year reference period</w:t>
      </w:r>
      <w:r w:rsidRPr="006C19A4">
        <w:t>.</w:t>
      </w:r>
    </w:p>
    <w:tbl>
      <w:tblPr>
        <w:tblStyle w:val="Tabellenraster"/>
        <w:tblW w:w="0" w:type="auto"/>
        <w:jc w:val="center"/>
        <w:tblLook w:val="01E0" w:firstRow="1" w:lastRow="1" w:firstColumn="1" w:lastColumn="1" w:noHBand="0" w:noVBand="0"/>
      </w:tblPr>
      <w:tblGrid>
        <w:gridCol w:w="4106"/>
        <w:gridCol w:w="1418"/>
        <w:gridCol w:w="1701"/>
        <w:gridCol w:w="1839"/>
      </w:tblGrid>
      <w:tr w:rsidR="00501ADC" w:rsidRPr="006309AA" w14:paraId="78E5BBD8" w14:textId="77777777" w:rsidTr="00343F6C">
        <w:trPr>
          <w:jc w:val="center"/>
        </w:trPr>
        <w:tc>
          <w:tcPr>
            <w:tcW w:w="4106" w:type="dxa"/>
          </w:tcPr>
          <w:p w14:paraId="706D3C42" w14:textId="77777777" w:rsidR="00501ADC" w:rsidRPr="006309AA" w:rsidRDefault="00501ADC" w:rsidP="00335982">
            <w:pPr>
              <w:pStyle w:val="SWCTableHeader"/>
            </w:pPr>
            <w:r>
              <w:t>Indicator</w:t>
            </w:r>
          </w:p>
        </w:tc>
        <w:tc>
          <w:tcPr>
            <w:tcW w:w="1418" w:type="dxa"/>
          </w:tcPr>
          <w:p w14:paraId="29ADAC49" w14:textId="77777777" w:rsidR="00501ADC" w:rsidRPr="006309AA" w:rsidRDefault="00501ADC" w:rsidP="00335982">
            <w:pPr>
              <w:pStyle w:val="SWCTableHeader"/>
            </w:pPr>
            <w:r>
              <w:t>Flat plate</w:t>
            </w:r>
          </w:p>
        </w:tc>
        <w:tc>
          <w:tcPr>
            <w:tcW w:w="1701" w:type="dxa"/>
          </w:tcPr>
          <w:p w14:paraId="06B72D30" w14:textId="77777777" w:rsidR="00501ADC" w:rsidRPr="006309AA" w:rsidRDefault="00501ADC" w:rsidP="00335982">
            <w:pPr>
              <w:pStyle w:val="SWCTableHeader"/>
            </w:pPr>
            <w:r>
              <w:t>Evacuated Tube</w:t>
            </w:r>
          </w:p>
        </w:tc>
        <w:tc>
          <w:tcPr>
            <w:tcW w:w="1839" w:type="dxa"/>
          </w:tcPr>
          <w:p w14:paraId="3C4D348C" w14:textId="77777777" w:rsidR="00501ADC" w:rsidRDefault="00501ADC" w:rsidP="00335982">
            <w:pPr>
              <w:pStyle w:val="SWCTableHeader"/>
            </w:pPr>
            <w:r>
              <w:t>PV2Heat</w:t>
            </w:r>
          </w:p>
        </w:tc>
      </w:tr>
      <w:tr w:rsidR="00501ADC" w:rsidRPr="006309AA" w14:paraId="5B1C60CA" w14:textId="77777777" w:rsidTr="00343F6C">
        <w:trPr>
          <w:jc w:val="center"/>
        </w:trPr>
        <w:tc>
          <w:tcPr>
            <w:tcW w:w="4106" w:type="dxa"/>
          </w:tcPr>
          <w:p w14:paraId="20643745" w14:textId="33AD73CB" w:rsidR="00501ADC" w:rsidRPr="00343F6C" w:rsidRDefault="00501ADC" w:rsidP="00335982">
            <w:pPr>
              <w:pStyle w:val="SWCTableText"/>
              <w:rPr>
                <w:lang w:val="de-DE"/>
              </w:rPr>
            </w:pPr>
            <w:r w:rsidRPr="00343F6C">
              <w:rPr>
                <w:lang w:val="de-DE"/>
              </w:rPr>
              <w:t>GWP100 [g CO₂-</w:t>
            </w:r>
            <w:proofErr w:type="spellStart"/>
            <w:r w:rsidRPr="00343F6C">
              <w:rPr>
                <w:lang w:val="de-DE"/>
              </w:rPr>
              <w:t>eq</w:t>
            </w:r>
            <w:proofErr w:type="spellEnd"/>
            <w:r w:rsidRPr="00343F6C">
              <w:rPr>
                <w:lang w:val="de-DE"/>
              </w:rPr>
              <w:t xml:space="preserve"> kWh⁻¹ </w:t>
            </w:r>
            <w:proofErr w:type="spellStart"/>
            <w:r w:rsidRPr="00343F6C">
              <w:rPr>
                <w:lang w:val="de-DE"/>
              </w:rPr>
              <w:t>useful</w:t>
            </w:r>
            <w:proofErr w:type="spellEnd"/>
            <w:r w:rsidRPr="00343F6C">
              <w:rPr>
                <w:lang w:val="de-DE"/>
              </w:rPr>
              <w:t>]</w:t>
            </w:r>
          </w:p>
        </w:tc>
        <w:tc>
          <w:tcPr>
            <w:tcW w:w="1418" w:type="dxa"/>
          </w:tcPr>
          <w:p w14:paraId="3FA917D3" w14:textId="315BCE54" w:rsidR="00501ADC" w:rsidRPr="00FC09A1" w:rsidRDefault="00501ADC" w:rsidP="00335982">
            <w:pPr>
              <w:pStyle w:val="SWCTableText"/>
            </w:pPr>
            <w:r>
              <w:t>20.35</w:t>
            </w:r>
          </w:p>
        </w:tc>
        <w:tc>
          <w:tcPr>
            <w:tcW w:w="1701" w:type="dxa"/>
          </w:tcPr>
          <w:p w14:paraId="5503D79D" w14:textId="6FCC1075" w:rsidR="00501ADC" w:rsidRPr="006309AA" w:rsidRDefault="00501ADC" w:rsidP="00335982">
            <w:pPr>
              <w:pStyle w:val="SWCTableText"/>
            </w:pPr>
            <w:r>
              <w:t>29.62</w:t>
            </w:r>
          </w:p>
        </w:tc>
        <w:tc>
          <w:tcPr>
            <w:tcW w:w="1839" w:type="dxa"/>
          </w:tcPr>
          <w:p w14:paraId="0F737356" w14:textId="14EDD9E5" w:rsidR="00501ADC" w:rsidRDefault="00501ADC" w:rsidP="00335982">
            <w:pPr>
              <w:pStyle w:val="SWCTableText"/>
            </w:pPr>
            <w:r>
              <w:t>71.48</w:t>
            </w:r>
          </w:p>
        </w:tc>
      </w:tr>
      <w:tr w:rsidR="00501ADC" w:rsidRPr="007B041F" w14:paraId="0EE56F63" w14:textId="77777777" w:rsidTr="00501ADC">
        <w:trPr>
          <w:jc w:val="center"/>
        </w:trPr>
        <w:tc>
          <w:tcPr>
            <w:tcW w:w="4106" w:type="dxa"/>
          </w:tcPr>
          <w:p w14:paraId="6ABA0836" w14:textId="0FC9B18B" w:rsidR="00501ADC" w:rsidRPr="006309AA" w:rsidRDefault="00501ADC" w:rsidP="00335982">
            <w:pPr>
              <w:pStyle w:val="SWCTableText"/>
            </w:pPr>
            <w:r w:rsidRPr="00501ADC">
              <w:t>CED [MJ kWh⁻¹ useful]</w:t>
            </w:r>
          </w:p>
        </w:tc>
        <w:tc>
          <w:tcPr>
            <w:tcW w:w="1418" w:type="dxa"/>
          </w:tcPr>
          <w:p w14:paraId="7DD9EFDB" w14:textId="7A20ACFE" w:rsidR="00501ADC" w:rsidRDefault="00501ADC" w:rsidP="00335982">
            <w:pPr>
              <w:pStyle w:val="SWCTableText"/>
            </w:pPr>
            <w:r>
              <w:t>0.273</w:t>
            </w:r>
          </w:p>
        </w:tc>
        <w:tc>
          <w:tcPr>
            <w:tcW w:w="1701" w:type="dxa"/>
          </w:tcPr>
          <w:p w14:paraId="2CD3A882" w14:textId="217881C9" w:rsidR="00501ADC" w:rsidRDefault="00501ADC" w:rsidP="00335982">
            <w:pPr>
              <w:pStyle w:val="SWCTableText"/>
            </w:pPr>
            <w:r>
              <w:t>0.413</w:t>
            </w:r>
          </w:p>
        </w:tc>
        <w:tc>
          <w:tcPr>
            <w:tcW w:w="1839" w:type="dxa"/>
          </w:tcPr>
          <w:p w14:paraId="4EF4581F" w14:textId="67C6CA97" w:rsidR="00501ADC" w:rsidRDefault="00501ADC" w:rsidP="00335982">
            <w:pPr>
              <w:pStyle w:val="SWCTableText"/>
            </w:pPr>
            <w:r>
              <w:t>1.131</w:t>
            </w:r>
          </w:p>
        </w:tc>
      </w:tr>
      <w:tr w:rsidR="00501ADC" w:rsidRPr="007B041F" w14:paraId="17CC44A9" w14:textId="77777777" w:rsidTr="00501ADC">
        <w:trPr>
          <w:jc w:val="center"/>
        </w:trPr>
        <w:tc>
          <w:tcPr>
            <w:tcW w:w="4106" w:type="dxa"/>
          </w:tcPr>
          <w:p w14:paraId="12EEDF71" w14:textId="6848FC93" w:rsidR="00501ADC" w:rsidRPr="006309AA" w:rsidRDefault="00501ADC" w:rsidP="00335982">
            <w:pPr>
              <w:pStyle w:val="SWCTableText"/>
            </w:pPr>
            <w:r w:rsidRPr="00501ADC">
              <w:t>Useful-heat EPBT [years]</w:t>
            </w:r>
          </w:p>
        </w:tc>
        <w:tc>
          <w:tcPr>
            <w:tcW w:w="1418" w:type="dxa"/>
          </w:tcPr>
          <w:p w14:paraId="70FEA78C" w14:textId="34F8ACD4" w:rsidR="00501ADC" w:rsidRDefault="00501ADC" w:rsidP="00335982">
            <w:pPr>
              <w:pStyle w:val="SWCTableText"/>
            </w:pPr>
            <w:r>
              <w:t>1.52</w:t>
            </w:r>
          </w:p>
        </w:tc>
        <w:tc>
          <w:tcPr>
            <w:tcW w:w="1701" w:type="dxa"/>
          </w:tcPr>
          <w:p w14:paraId="746E9A38" w14:textId="473BD1C3" w:rsidR="00501ADC" w:rsidRDefault="00501ADC" w:rsidP="00335982">
            <w:pPr>
              <w:pStyle w:val="SWCTableText"/>
            </w:pPr>
            <w:r>
              <w:t>2.29</w:t>
            </w:r>
          </w:p>
        </w:tc>
        <w:tc>
          <w:tcPr>
            <w:tcW w:w="1839" w:type="dxa"/>
          </w:tcPr>
          <w:p w14:paraId="521F59FE" w14:textId="08488C49" w:rsidR="00501ADC" w:rsidRDefault="00501ADC" w:rsidP="00335982">
            <w:pPr>
              <w:pStyle w:val="SWCTableText"/>
            </w:pPr>
            <w:r>
              <w:t>6.28</w:t>
            </w:r>
          </w:p>
        </w:tc>
      </w:tr>
      <w:tr w:rsidR="00501ADC" w:rsidRPr="007B041F" w14:paraId="141105EF" w14:textId="77777777" w:rsidTr="00343F6C">
        <w:trPr>
          <w:jc w:val="center"/>
        </w:trPr>
        <w:tc>
          <w:tcPr>
            <w:tcW w:w="4106" w:type="dxa"/>
          </w:tcPr>
          <w:p w14:paraId="1272C3A4" w14:textId="0F17E655" w:rsidR="00501ADC" w:rsidRPr="006309AA" w:rsidRDefault="00501ADC" w:rsidP="00335982">
            <w:pPr>
              <w:pStyle w:val="SWCTableText"/>
            </w:pPr>
            <w:r w:rsidRPr="00501ADC">
              <w:t>Absolute 20-y infrastructure GWP [kg CO₂-</w:t>
            </w:r>
            <w:proofErr w:type="spellStart"/>
            <w:r w:rsidRPr="00501ADC">
              <w:t>eq</w:t>
            </w:r>
            <w:proofErr w:type="spellEnd"/>
            <w:r w:rsidRPr="00501ADC">
              <w:t>]</w:t>
            </w:r>
          </w:p>
        </w:tc>
        <w:tc>
          <w:tcPr>
            <w:tcW w:w="1418" w:type="dxa"/>
          </w:tcPr>
          <w:p w14:paraId="57C81F8D" w14:textId="1EC78F9F" w:rsidR="00501ADC" w:rsidRDefault="00501ADC" w:rsidP="00335982">
            <w:pPr>
              <w:pStyle w:val="SWCTableText"/>
            </w:pPr>
            <w:r>
              <w:t>758</w:t>
            </w:r>
          </w:p>
        </w:tc>
        <w:tc>
          <w:tcPr>
            <w:tcW w:w="1701" w:type="dxa"/>
          </w:tcPr>
          <w:p w14:paraId="336F4E2C" w14:textId="73041802" w:rsidR="00501ADC" w:rsidRDefault="00501ADC" w:rsidP="00335982">
            <w:pPr>
              <w:pStyle w:val="SWCTableText"/>
            </w:pPr>
            <w:r>
              <w:t>627</w:t>
            </w:r>
          </w:p>
        </w:tc>
        <w:tc>
          <w:tcPr>
            <w:tcW w:w="1839" w:type="dxa"/>
          </w:tcPr>
          <w:p w14:paraId="5016C1AE" w14:textId="20497C00" w:rsidR="00501ADC" w:rsidRDefault="00501ADC" w:rsidP="00335982">
            <w:pPr>
              <w:pStyle w:val="SWCTableText"/>
            </w:pPr>
            <w:r>
              <w:t>1777</w:t>
            </w:r>
          </w:p>
        </w:tc>
      </w:tr>
    </w:tbl>
    <w:p w14:paraId="3865ED4F" w14:textId="77777777" w:rsidR="006C19A4" w:rsidRDefault="006C19A4" w:rsidP="006C19A4">
      <w:pPr>
        <w:pStyle w:val="SWCText"/>
      </w:pPr>
    </w:p>
    <w:p w14:paraId="04D488E0" w14:textId="551D543D" w:rsidR="007C70CD" w:rsidRDefault="00501ADC" w:rsidP="006C19A4">
      <w:pPr>
        <w:pStyle w:val="SWCText"/>
      </w:pPr>
      <w:r w:rsidRPr="00501ADC">
        <w:t xml:space="preserve">Table 3 also shows that the evacuated-tube system has a somewhat lower absolute modeled infrastructure GWP than the flat plate, but its lower useful-hot-water output reverses the ranking when the functional service is considered. Contribution-network checks showed that steel and metal working dominate both thermosyphon systems, with </w:t>
      </w:r>
      <w:proofErr w:type="spellStart"/>
      <w:r w:rsidRPr="00501ADC">
        <w:t>aluminium</w:t>
      </w:r>
      <w:proofErr w:type="spellEnd"/>
      <w:r w:rsidRPr="00501ADC">
        <w:t>, copper and collector glass as additional contributors. For PV2Heat, photovoltaic-module production is the major driver of the higher cumulative energy demand. Using useful hot-water energy rather than solar-loop yield increases all service-normalized impacts, but it does not change the ranking shown in Fig</w:t>
      </w:r>
      <w:r>
        <w:t>ure</w:t>
      </w:r>
      <w:r w:rsidRPr="00501ADC">
        <w:t xml:space="preserve"> 4.</w:t>
      </w:r>
    </w:p>
    <w:p w14:paraId="7E0BA214" w14:textId="782CFE3E" w:rsidR="00F6791D" w:rsidRPr="006309AA" w:rsidRDefault="00F6791D" w:rsidP="00F6791D">
      <w:pPr>
        <w:pStyle w:val="SWCHeading11"/>
      </w:pPr>
      <w:r>
        <w:t xml:space="preserve">4.3. </w:t>
      </w:r>
      <w:r>
        <w:rPr>
          <w:i w:val="0"/>
        </w:rPr>
        <w:t>Techno-economic results</w:t>
      </w:r>
    </w:p>
    <w:p w14:paraId="536CCB11" w14:textId="345B644A" w:rsidR="00501ADC" w:rsidRDefault="00F6791D" w:rsidP="006C19A4">
      <w:pPr>
        <w:pStyle w:val="SWCText"/>
      </w:pPr>
      <w:r w:rsidRPr="00F6791D">
        <w:t>Table 4 provides the numerical cost assumptions and LCOH results, while Fig. 5 visualizes the common ±25% cost sensitivity. The central estimates are approximately EUR 0.081 kWh⁻¹ for the flat-plate system, EUR 0.155 kWh⁻¹ for the evacuated-tube system and EUR 0.122 kWh⁻¹ for PV2Heat. The flat plate remains the lowest-cost option across the tested range, whereas the overlapping PV2Heat and evacuated-tube intervals show that procurement conditions could alter their relative economic position more readily than the environmental ranking</w:t>
      </w:r>
      <w:r>
        <w:t>.</w:t>
      </w:r>
    </w:p>
    <w:p w14:paraId="3E0ACCC3" w14:textId="5B07AEAF" w:rsidR="00F6791D" w:rsidRPr="006309AA" w:rsidRDefault="00F6791D" w:rsidP="00F6791D">
      <w:pPr>
        <w:pStyle w:val="SWCTableFigureCaption"/>
      </w:pPr>
      <w:r>
        <w:t>Tab. 4:</w:t>
      </w:r>
      <w:r w:rsidRPr="006309AA">
        <w:t xml:space="preserve"> </w:t>
      </w:r>
      <w:r w:rsidRPr="00501ADC">
        <w:t>Baseline environmental results for a 20-year reference period</w:t>
      </w:r>
      <w:r w:rsidRPr="006C19A4">
        <w:t>.</w:t>
      </w:r>
    </w:p>
    <w:tbl>
      <w:tblPr>
        <w:tblStyle w:val="Tabellenraster"/>
        <w:tblW w:w="0" w:type="auto"/>
        <w:jc w:val="center"/>
        <w:tblLook w:val="01E0" w:firstRow="1" w:lastRow="1" w:firstColumn="1" w:lastColumn="1" w:noHBand="0" w:noVBand="0"/>
      </w:tblPr>
      <w:tblGrid>
        <w:gridCol w:w="4106"/>
        <w:gridCol w:w="1418"/>
        <w:gridCol w:w="1701"/>
        <w:gridCol w:w="1839"/>
      </w:tblGrid>
      <w:tr w:rsidR="00F6791D" w:rsidRPr="006309AA" w14:paraId="2E6EBA07" w14:textId="77777777" w:rsidTr="00335982">
        <w:trPr>
          <w:jc w:val="center"/>
        </w:trPr>
        <w:tc>
          <w:tcPr>
            <w:tcW w:w="4106" w:type="dxa"/>
          </w:tcPr>
          <w:p w14:paraId="3F5E2FF4" w14:textId="77777777" w:rsidR="00F6791D" w:rsidRPr="006309AA" w:rsidRDefault="00F6791D" w:rsidP="00335982">
            <w:pPr>
              <w:pStyle w:val="SWCTableHeader"/>
            </w:pPr>
            <w:r>
              <w:t>Indicator</w:t>
            </w:r>
          </w:p>
        </w:tc>
        <w:tc>
          <w:tcPr>
            <w:tcW w:w="1418" w:type="dxa"/>
          </w:tcPr>
          <w:p w14:paraId="1B6278B0" w14:textId="77777777" w:rsidR="00F6791D" w:rsidRPr="006309AA" w:rsidRDefault="00F6791D" w:rsidP="00335982">
            <w:pPr>
              <w:pStyle w:val="SWCTableHeader"/>
            </w:pPr>
            <w:r>
              <w:t>Flat plate</w:t>
            </w:r>
          </w:p>
        </w:tc>
        <w:tc>
          <w:tcPr>
            <w:tcW w:w="1701" w:type="dxa"/>
          </w:tcPr>
          <w:p w14:paraId="2BBCB1A2" w14:textId="77777777" w:rsidR="00F6791D" w:rsidRPr="006309AA" w:rsidRDefault="00F6791D" w:rsidP="00335982">
            <w:pPr>
              <w:pStyle w:val="SWCTableHeader"/>
            </w:pPr>
            <w:r>
              <w:t>Evacuated Tube</w:t>
            </w:r>
          </w:p>
        </w:tc>
        <w:tc>
          <w:tcPr>
            <w:tcW w:w="1839" w:type="dxa"/>
          </w:tcPr>
          <w:p w14:paraId="00F76873" w14:textId="77777777" w:rsidR="00F6791D" w:rsidRDefault="00F6791D" w:rsidP="00335982">
            <w:pPr>
              <w:pStyle w:val="SWCTableHeader"/>
            </w:pPr>
            <w:r>
              <w:t>PV2Heat</w:t>
            </w:r>
          </w:p>
        </w:tc>
      </w:tr>
      <w:tr w:rsidR="00877C47" w:rsidRPr="006309AA" w14:paraId="3183E5E6" w14:textId="77777777" w:rsidTr="00343F6C">
        <w:trPr>
          <w:jc w:val="center"/>
        </w:trPr>
        <w:tc>
          <w:tcPr>
            <w:tcW w:w="4106" w:type="dxa"/>
            <w:vAlign w:val="center"/>
          </w:tcPr>
          <w:p w14:paraId="68E36580" w14:textId="198CDCEC" w:rsidR="00877C47" w:rsidRPr="00335982" w:rsidRDefault="00877C47" w:rsidP="00877C47">
            <w:pPr>
              <w:pStyle w:val="SWCTableText"/>
              <w:rPr>
                <w:lang w:val="de-DE"/>
              </w:rPr>
            </w:pPr>
            <w:r>
              <w:t>Estimated installed CAPEX [EUR]</w:t>
            </w:r>
          </w:p>
        </w:tc>
        <w:tc>
          <w:tcPr>
            <w:tcW w:w="1418" w:type="dxa"/>
            <w:vAlign w:val="center"/>
          </w:tcPr>
          <w:p w14:paraId="76B9C55D" w14:textId="111C9958" w:rsidR="00877C47" w:rsidRPr="00FC09A1" w:rsidRDefault="00877C47" w:rsidP="00877C47">
            <w:pPr>
              <w:pStyle w:val="SWCTableText"/>
            </w:pPr>
            <w:r>
              <w:t>1600</w:t>
            </w:r>
          </w:p>
        </w:tc>
        <w:tc>
          <w:tcPr>
            <w:tcW w:w="1701" w:type="dxa"/>
            <w:vAlign w:val="center"/>
          </w:tcPr>
          <w:p w14:paraId="4FD56B7B" w14:textId="5E9594EE" w:rsidR="00877C47" w:rsidRPr="006309AA" w:rsidRDefault="00877C47" w:rsidP="00877C47">
            <w:pPr>
              <w:pStyle w:val="SWCTableText"/>
            </w:pPr>
            <w:r>
              <w:t>1750</w:t>
            </w:r>
          </w:p>
        </w:tc>
        <w:tc>
          <w:tcPr>
            <w:tcW w:w="1839" w:type="dxa"/>
            <w:vAlign w:val="center"/>
          </w:tcPr>
          <w:p w14:paraId="498940B3" w14:textId="13AA43E3" w:rsidR="00877C47" w:rsidRDefault="00877C47" w:rsidP="00877C47">
            <w:pPr>
              <w:pStyle w:val="SWCTableText"/>
            </w:pPr>
            <w:r>
              <w:t>1650</w:t>
            </w:r>
          </w:p>
        </w:tc>
      </w:tr>
      <w:tr w:rsidR="00877C47" w:rsidRPr="007B041F" w14:paraId="262EF83B" w14:textId="77777777" w:rsidTr="00343F6C">
        <w:trPr>
          <w:jc w:val="center"/>
        </w:trPr>
        <w:tc>
          <w:tcPr>
            <w:tcW w:w="4106" w:type="dxa"/>
            <w:vAlign w:val="center"/>
          </w:tcPr>
          <w:p w14:paraId="2C177E59" w14:textId="50498FF6" w:rsidR="00877C47" w:rsidRPr="006309AA" w:rsidRDefault="00877C47" w:rsidP="00877C47">
            <w:pPr>
              <w:pStyle w:val="SWCTableText"/>
            </w:pPr>
            <w:r>
              <w:t>Annual O&amp;M [EUR a⁻¹]</w:t>
            </w:r>
          </w:p>
        </w:tc>
        <w:tc>
          <w:tcPr>
            <w:tcW w:w="1418" w:type="dxa"/>
            <w:vAlign w:val="center"/>
          </w:tcPr>
          <w:p w14:paraId="1C56F559" w14:textId="01D0DA5D" w:rsidR="00877C47" w:rsidRDefault="00877C47" w:rsidP="00877C47">
            <w:pPr>
              <w:pStyle w:val="SWCTableText"/>
            </w:pPr>
            <w:r>
              <w:t>16.0</w:t>
            </w:r>
          </w:p>
        </w:tc>
        <w:tc>
          <w:tcPr>
            <w:tcW w:w="1701" w:type="dxa"/>
            <w:vAlign w:val="center"/>
          </w:tcPr>
          <w:p w14:paraId="4F0F2914" w14:textId="4DB1FBE2" w:rsidR="00877C47" w:rsidRDefault="00877C47" w:rsidP="00877C47">
            <w:pPr>
              <w:pStyle w:val="SWCTableText"/>
            </w:pPr>
            <w:r>
              <w:t>17.5</w:t>
            </w:r>
          </w:p>
        </w:tc>
        <w:tc>
          <w:tcPr>
            <w:tcW w:w="1839" w:type="dxa"/>
            <w:vAlign w:val="center"/>
          </w:tcPr>
          <w:p w14:paraId="13A7C4A0" w14:textId="09EF36F2" w:rsidR="00877C47" w:rsidRDefault="00877C47" w:rsidP="00877C47">
            <w:pPr>
              <w:pStyle w:val="SWCTableText"/>
            </w:pPr>
            <w:r>
              <w:t>8.25</w:t>
            </w:r>
          </w:p>
        </w:tc>
      </w:tr>
      <w:tr w:rsidR="00877C47" w:rsidRPr="007B041F" w14:paraId="6C054035" w14:textId="77777777" w:rsidTr="00343F6C">
        <w:trPr>
          <w:jc w:val="center"/>
        </w:trPr>
        <w:tc>
          <w:tcPr>
            <w:tcW w:w="4106" w:type="dxa"/>
            <w:vAlign w:val="center"/>
          </w:tcPr>
          <w:p w14:paraId="72F5BB8F" w14:textId="66F3014D" w:rsidR="00877C47" w:rsidRPr="006309AA" w:rsidRDefault="00877C47" w:rsidP="00877C47">
            <w:pPr>
              <w:pStyle w:val="SWCTableText"/>
            </w:pPr>
            <w:r>
              <w:t>Replacement / service</w:t>
            </w:r>
          </w:p>
        </w:tc>
        <w:tc>
          <w:tcPr>
            <w:tcW w:w="1418" w:type="dxa"/>
            <w:vAlign w:val="center"/>
          </w:tcPr>
          <w:p w14:paraId="58294BC4" w14:textId="28E69F6B" w:rsidR="00877C47" w:rsidRDefault="00877C47" w:rsidP="00877C47">
            <w:pPr>
              <w:pStyle w:val="SWCTableText"/>
            </w:pPr>
            <w:r>
              <w:t>EUR 120, y10</w:t>
            </w:r>
          </w:p>
        </w:tc>
        <w:tc>
          <w:tcPr>
            <w:tcW w:w="1701" w:type="dxa"/>
            <w:vAlign w:val="center"/>
          </w:tcPr>
          <w:p w14:paraId="434C90EB" w14:textId="197F9946" w:rsidR="00877C47" w:rsidRDefault="00877C47" w:rsidP="00877C47">
            <w:pPr>
              <w:pStyle w:val="SWCTableText"/>
            </w:pPr>
            <w:r>
              <w:t>EUR 130, y10</w:t>
            </w:r>
          </w:p>
        </w:tc>
        <w:tc>
          <w:tcPr>
            <w:tcW w:w="1839" w:type="dxa"/>
            <w:vAlign w:val="center"/>
          </w:tcPr>
          <w:p w14:paraId="6B6064BB" w14:textId="708CE287" w:rsidR="00877C47" w:rsidRDefault="00877C47" w:rsidP="00877C47">
            <w:pPr>
              <w:pStyle w:val="SWCTableText"/>
            </w:pPr>
            <w:r>
              <w:t>EUR 250, y12</w:t>
            </w:r>
          </w:p>
        </w:tc>
      </w:tr>
      <w:tr w:rsidR="00877C47" w:rsidRPr="007B041F" w14:paraId="1B9AF43D" w14:textId="77777777" w:rsidTr="00343F6C">
        <w:trPr>
          <w:jc w:val="center"/>
        </w:trPr>
        <w:tc>
          <w:tcPr>
            <w:tcW w:w="4106" w:type="dxa"/>
            <w:vAlign w:val="center"/>
          </w:tcPr>
          <w:p w14:paraId="207D2F36" w14:textId="12E5BC51" w:rsidR="00877C47" w:rsidRPr="006309AA" w:rsidRDefault="00877C47" w:rsidP="00877C47">
            <w:pPr>
              <w:pStyle w:val="SWCTableText"/>
            </w:pPr>
            <w:r>
              <w:t>Useful hot-water energy [kWh a⁻¹]</w:t>
            </w:r>
          </w:p>
        </w:tc>
        <w:tc>
          <w:tcPr>
            <w:tcW w:w="1418" w:type="dxa"/>
            <w:vAlign w:val="center"/>
          </w:tcPr>
          <w:p w14:paraId="7D88EB21" w14:textId="3AD6E045" w:rsidR="00877C47" w:rsidRDefault="00877C47" w:rsidP="00877C47">
            <w:pPr>
              <w:pStyle w:val="SWCTableText"/>
            </w:pPr>
            <w:r>
              <w:t>1862</w:t>
            </w:r>
          </w:p>
        </w:tc>
        <w:tc>
          <w:tcPr>
            <w:tcW w:w="1701" w:type="dxa"/>
            <w:vAlign w:val="center"/>
          </w:tcPr>
          <w:p w14:paraId="08B139E4" w14:textId="44981EAD" w:rsidR="00877C47" w:rsidRDefault="00877C47" w:rsidP="00877C47">
            <w:pPr>
              <w:pStyle w:val="SWCTableText"/>
            </w:pPr>
            <w:r>
              <w:t>1058</w:t>
            </w:r>
          </w:p>
        </w:tc>
        <w:tc>
          <w:tcPr>
            <w:tcW w:w="1839" w:type="dxa"/>
            <w:vAlign w:val="center"/>
          </w:tcPr>
          <w:p w14:paraId="12069EB2" w14:textId="5FD5F815" w:rsidR="00877C47" w:rsidRDefault="00877C47" w:rsidP="00877C47">
            <w:pPr>
              <w:pStyle w:val="SWCTableText"/>
            </w:pPr>
            <w:r>
              <w:t>1243</w:t>
            </w:r>
          </w:p>
        </w:tc>
      </w:tr>
      <w:tr w:rsidR="00877C47" w:rsidRPr="007B041F" w14:paraId="100C39AA" w14:textId="77777777" w:rsidTr="00343F6C">
        <w:trPr>
          <w:jc w:val="center"/>
        </w:trPr>
        <w:tc>
          <w:tcPr>
            <w:tcW w:w="4106" w:type="dxa"/>
            <w:vAlign w:val="center"/>
          </w:tcPr>
          <w:p w14:paraId="0F54C366" w14:textId="1276254D" w:rsidR="00877C47" w:rsidRPr="00501ADC" w:rsidRDefault="00877C47" w:rsidP="00877C47">
            <w:pPr>
              <w:pStyle w:val="SWCTableText"/>
            </w:pPr>
            <w:r>
              <w:t>Real discount rate / period</w:t>
            </w:r>
          </w:p>
        </w:tc>
        <w:tc>
          <w:tcPr>
            <w:tcW w:w="1418" w:type="dxa"/>
            <w:vAlign w:val="center"/>
          </w:tcPr>
          <w:p w14:paraId="41D8E3F1" w14:textId="606693AD" w:rsidR="00877C47" w:rsidRDefault="00877C47" w:rsidP="00877C47">
            <w:pPr>
              <w:pStyle w:val="SWCTableText"/>
            </w:pPr>
            <w:r>
              <w:t>5% / 20 y</w:t>
            </w:r>
          </w:p>
        </w:tc>
        <w:tc>
          <w:tcPr>
            <w:tcW w:w="1701" w:type="dxa"/>
            <w:vAlign w:val="center"/>
          </w:tcPr>
          <w:p w14:paraId="38AD5DC2" w14:textId="1ADDB109" w:rsidR="00877C47" w:rsidRDefault="00877C47" w:rsidP="00877C47">
            <w:pPr>
              <w:pStyle w:val="SWCTableText"/>
            </w:pPr>
            <w:r>
              <w:t>5% / 20 y</w:t>
            </w:r>
          </w:p>
        </w:tc>
        <w:tc>
          <w:tcPr>
            <w:tcW w:w="1839" w:type="dxa"/>
            <w:vAlign w:val="center"/>
          </w:tcPr>
          <w:p w14:paraId="6DF2A0B5" w14:textId="2E9B385D" w:rsidR="00877C47" w:rsidRDefault="00877C47" w:rsidP="00877C47">
            <w:pPr>
              <w:pStyle w:val="SWCTableText"/>
            </w:pPr>
            <w:r>
              <w:t>5% / 20 y</w:t>
            </w:r>
          </w:p>
        </w:tc>
      </w:tr>
      <w:tr w:rsidR="00877C47" w:rsidRPr="007B041F" w14:paraId="224173F9" w14:textId="77777777" w:rsidTr="00343F6C">
        <w:trPr>
          <w:jc w:val="center"/>
        </w:trPr>
        <w:tc>
          <w:tcPr>
            <w:tcW w:w="4106" w:type="dxa"/>
            <w:vAlign w:val="center"/>
          </w:tcPr>
          <w:p w14:paraId="1E510737" w14:textId="5981C573" w:rsidR="00877C47" w:rsidRPr="00501ADC" w:rsidRDefault="00877C47" w:rsidP="00877C47">
            <w:pPr>
              <w:pStyle w:val="SWCTableText"/>
            </w:pPr>
            <w:r>
              <w:t>Central LCOH [EUR kWh⁻¹]</w:t>
            </w:r>
          </w:p>
        </w:tc>
        <w:tc>
          <w:tcPr>
            <w:tcW w:w="1418" w:type="dxa"/>
            <w:vAlign w:val="center"/>
          </w:tcPr>
          <w:p w14:paraId="258E8EF7" w14:textId="5A3C412B" w:rsidR="00877C47" w:rsidRDefault="00877C47" w:rsidP="00877C47">
            <w:pPr>
              <w:pStyle w:val="SWCTableText"/>
            </w:pPr>
            <w:r>
              <w:t>0.081</w:t>
            </w:r>
          </w:p>
        </w:tc>
        <w:tc>
          <w:tcPr>
            <w:tcW w:w="1701" w:type="dxa"/>
            <w:vAlign w:val="center"/>
          </w:tcPr>
          <w:p w14:paraId="690F663B" w14:textId="45DD661C" w:rsidR="00877C47" w:rsidRDefault="00877C47" w:rsidP="00877C47">
            <w:pPr>
              <w:pStyle w:val="SWCTableText"/>
            </w:pPr>
            <w:r>
              <w:t>0.155</w:t>
            </w:r>
          </w:p>
        </w:tc>
        <w:tc>
          <w:tcPr>
            <w:tcW w:w="1839" w:type="dxa"/>
            <w:vAlign w:val="center"/>
          </w:tcPr>
          <w:p w14:paraId="0ED1D0BC" w14:textId="13CE0F7F" w:rsidR="00877C47" w:rsidRDefault="00877C47" w:rsidP="00877C47">
            <w:pPr>
              <w:pStyle w:val="SWCTableText"/>
            </w:pPr>
            <w:r>
              <w:t>0.122</w:t>
            </w:r>
          </w:p>
        </w:tc>
      </w:tr>
      <w:tr w:rsidR="00877C47" w:rsidRPr="007B041F" w14:paraId="1A9F080D" w14:textId="77777777" w:rsidTr="00343F6C">
        <w:trPr>
          <w:jc w:val="center"/>
        </w:trPr>
        <w:tc>
          <w:tcPr>
            <w:tcW w:w="4106" w:type="dxa"/>
            <w:vAlign w:val="center"/>
          </w:tcPr>
          <w:p w14:paraId="66F8E162" w14:textId="6280BBBF" w:rsidR="00877C47" w:rsidRPr="00501ADC" w:rsidRDefault="00877C47" w:rsidP="00877C47">
            <w:pPr>
              <w:pStyle w:val="SWCTableText"/>
            </w:pPr>
            <w:r>
              <w:t>±25% cost sensitivity [EUR kWh⁻¹]</w:t>
            </w:r>
          </w:p>
        </w:tc>
        <w:tc>
          <w:tcPr>
            <w:tcW w:w="1418" w:type="dxa"/>
            <w:vAlign w:val="center"/>
          </w:tcPr>
          <w:p w14:paraId="74EB53ED" w14:textId="549CE8FC" w:rsidR="00877C47" w:rsidRDefault="00877C47" w:rsidP="00877C47">
            <w:pPr>
              <w:pStyle w:val="SWCTableText"/>
            </w:pPr>
            <w:r>
              <w:t>0.061-0.101</w:t>
            </w:r>
          </w:p>
        </w:tc>
        <w:tc>
          <w:tcPr>
            <w:tcW w:w="1701" w:type="dxa"/>
            <w:vAlign w:val="center"/>
          </w:tcPr>
          <w:p w14:paraId="02FF9773" w14:textId="59A310B8" w:rsidR="00877C47" w:rsidRDefault="00877C47" w:rsidP="00877C47">
            <w:pPr>
              <w:pStyle w:val="SWCTableText"/>
            </w:pPr>
            <w:r>
              <w:t>0.116-0.194</w:t>
            </w:r>
          </w:p>
        </w:tc>
        <w:tc>
          <w:tcPr>
            <w:tcW w:w="1839" w:type="dxa"/>
            <w:vAlign w:val="center"/>
          </w:tcPr>
          <w:p w14:paraId="2261BD11" w14:textId="63352818" w:rsidR="00877C47" w:rsidRDefault="00877C47" w:rsidP="00877C47">
            <w:pPr>
              <w:pStyle w:val="SWCTableText"/>
            </w:pPr>
            <w:r>
              <w:t>0.092-0.153</w:t>
            </w:r>
          </w:p>
        </w:tc>
      </w:tr>
    </w:tbl>
    <w:p w14:paraId="67E8B235" w14:textId="77777777" w:rsidR="00501ADC" w:rsidRDefault="00501ADC" w:rsidP="006C19A4">
      <w:pPr>
        <w:pStyle w:val="SWCText"/>
      </w:pPr>
    </w:p>
    <w:p w14:paraId="205B0041" w14:textId="6DABC63B" w:rsidR="00F6791D" w:rsidRDefault="00F6791D" w:rsidP="00F6791D">
      <w:pPr>
        <w:pStyle w:val="SWCText"/>
        <w:jc w:val="center"/>
      </w:pPr>
    </w:p>
    <w:p w14:paraId="49AF816C" w14:textId="3145AA46" w:rsidR="000B11BF" w:rsidRDefault="000B11BF" w:rsidP="00F6791D">
      <w:pPr>
        <w:pStyle w:val="SWCText"/>
        <w:jc w:val="center"/>
      </w:pPr>
      <w:r>
        <w:rPr>
          <w:noProof/>
        </w:rPr>
        <w:drawing>
          <wp:inline distT="0" distB="0" distL="0" distR="0" wp14:anchorId="58A21645" wp14:editId="13288F48">
            <wp:extent cx="5761990" cy="3009265"/>
            <wp:effectExtent l="0" t="0" r="0" b="635"/>
            <wp:docPr id="17" name="Diagramm 17">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E258F95" w14:textId="77777777" w:rsidR="00F6791D" w:rsidRDefault="00F6791D" w:rsidP="00F6791D">
      <w:pPr>
        <w:pStyle w:val="SWCTableFigureCaption"/>
      </w:pPr>
      <w:r w:rsidRPr="00FC2DBA">
        <w:t xml:space="preserve">Fig. </w:t>
      </w:r>
      <w:r>
        <w:t>4</w:t>
      </w:r>
      <w:r w:rsidRPr="00FC2DBA">
        <w:t>:</w:t>
      </w:r>
      <w:r w:rsidRPr="006C19A4">
        <w:t xml:space="preserve"> </w:t>
      </w:r>
      <w:r w:rsidRPr="00501ADC">
        <w:t>Baseline environmental impacts normalized to 1 kWh of useful hot-water energy. The absolute modeled infrastructure impacts are unchanged; only the service denominator is updated to the final project monitoring values</w:t>
      </w:r>
      <w:r>
        <w:t>.</w:t>
      </w:r>
    </w:p>
    <w:p w14:paraId="252A259B" w14:textId="374BC107" w:rsidR="00937320" w:rsidRDefault="00937320" w:rsidP="00343F6C">
      <w:pPr>
        <w:pStyle w:val="SWCHeading1"/>
      </w:pPr>
      <w:r>
        <w:t>Discussion</w:t>
      </w:r>
    </w:p>
    <w:p w14:paraId="5CF16C58" w14:textId="404A2E54" w:rsidR="00937320" w:rsidRPr="00335982" w:rsidRDefault="00937320" w:rsidP="00937320">
      <w:pPr>
        <w:rPr>
          <w:color w:val="000000"/>
          <w:sz w:val="20"/>
          <w:szCs w:val="22"/>
          <w:lang w:val="en-US"/>
        </w:rPr>
      </w:pPr>
      <w:r w:rsidRPr="00937320">
        <w:rPr>
          <w:color w:val="000000"/>
          <w:sz w:val="20"/>
          <w:szCs w:val="22"/>
          <w:lang w:val="en-US"/>
        </w:rPr>
        <w:t>This section interprets the technical, environmental, and economic results jointly and distinguishes robust findings from conclusions that remain sensitive to data and boundary assumptions</w:t>
      </w:r>
      <w:r w:rsidRPr="00335982">
        <w:rPr>
          <w:color w:val="000000"/>
          <w:sz w:val="20"/>
          <w:szCs w:val="22"/>
          <w:lang w:val="en-US"/>
        </w:rPr>
        <w:t>.</w:t>
      </w:r>
    </w:p>
    <w:p w14:paraId="34D65F49" w14:textId="2C069CB5" w:rsidR="00937320" w:rsidRPr="006309AA" w:rsidRDefault="00937320" w:rsidP="00937320">
      <w:pPr>
        <w:pStyle w:val="SWCHeading11"/>
      </w:pPr>
      <w:r>
        <w:t xml:space="preserve">5.1. </w:t>
      </w:r>
      <w:r w:rsidRPr="00937320">
        <w:t>Combined technology comparison</w:t>
      </w:r>
    </w:p>
    <w:p w14:paraId="001EE7A1" w14:textId="75667D15" w:rsidR="00937320" w:rsidRDefault="00937320" w:rsidP="00937320">
      <w:pPr>
        <w:pStyle w:val="SWCText"/>
      </w:pPr>
      <w:r>
        <w:t>The combined evidence in Figures 2–5 and Tables 2–4 favors the flat-plate thermosyphon for the investigated dedicated domestic-hot-water service. It has the highest project-reported solar yield, useful hot-water output and reported specific solar yield, while simultaneously producing the lowest service-normalized GWP100, CED and estimated LCOH. The finding is physically consistent with the selected-day measurements in Fig</w:t>
      </w:r>
      <w:r w:rsidR="00496B16">
        <w:t>ure</w:t>
      </w:r>
      <w:r>
        <w:t xml:space="preserve"> 3: under high irradiation, the flat plate shows a substantial efficiency advantage over both alternatives.</w:t>
      </w:r>
    </w:p>
    <w:p w14:paraId="3CA8CE06" w14:textId="77777777" w:rsidR="00937320" w:rsidRDefault="00937320" w:rsidP="00937320">
      <w:pPr>
        <w:pStyle w:val="SWCText"/>
      </w:pPr>
      <w:r>
        <w:t>The evacuated-tube collector reduces its relative disadvantage under low irradiation, where its lower thermal losses become more relevant. However, this advantage is insufficient to offset its lower annual useful-hot-water output in the present warm, high-irradiation application. The result should therefore not be generalized to colder climates or to applications requiring higher delivery temperatures, where evacuated-tube technology can be more favorable.</w:t>
      </w:r>
    </w:p>
    <w:p w14:paraId="2E5B8F8E" w14:textId="77D9756D" w:rsidR="00501ADC" w:rsidRDefault="00937320" w:rsidP="00937320">
      <w:pPr>
        <w:pStyle w:val="SWCText"/>
      </w:pPr>
      <w:r>
        <w:t>PV2Heat has the largest solar collection area and the highest embodied energy in the present model. Its environmental result is consequently least favorable when the sole functional service is domestic hot water. Nevertheless, the heat-only functional unit does not capture several potential advantages of PV: modular electrical installation, possible use of the same PV infrastructure for other electrical loads, and integration into broader electrification or mini-grid strategies. If the PV array provides multiple services, allocation or system expansion would be required and the comparison could shift.</w:t>
      </w:r>
    </w:p>
    <w:p w14:paraId="548BDD47" w14:textId="62983894" w:rsidR="00937320" w:rsidRPr="006309AA" w:rsidRDefault="00937320" w:rsidP="00937320">
      <w:pPr>
        <w:pStyle w:val="SWCHeading11"/>
      </w:pPr>
      <w:r>
        <w:t xml:space="preserve">5.2. </w:t>
      </w:r>
      <w:r w:rsidRPr="00937320">
        <w:t>Methodological implications of the monitoring boundary</w:t>
      </w:r>
    </w:p>
    <w:p w14:paraId="19BC586A" w14:textId="0FF91789" w:rsidR="00937320" w:rsidRDefault="00937320" w:rsidP="00937320">
      <w:pPr>
        <w:pStyle w:val="SWCText"/>
      </w:pPr>
      <w:r>
        <w:t>A key lesson from the present analysis is that solar-loop yield and useful hot-water energy must not be used interchangeably. Figure 2 and Table 2 explicitly distinguish both quantities. Earlier LCA screening normalized infrastructure impacts to the higher solar-yield values, which is useful for component-level solar conversion but optimistic for a user-service functional unit because storage and distribution losses are excluded from the denominator. Re-normalization to monitored useful hot-water energy raises the GWP and CED intensities by approximately 21% for the flat plate, 30% for the evacuated tube and 33% for PV2Heat. The ranking in Fig</w:t>
      </w:r>
      <w:r w:rsidR="00496B16">
        <w:t>ure</w:t>
      </w:r>
      <w:r>
        <w:t xml:space="preserve"> 4 </w:t>
      </w:r>
      <w:r>
        <w:lastRenderedPageBreak/>
        <w:t>remains unchanged, but the revised values are more appropriate for domestic-hot-water service.</w:t>
      </w:r>
    </w:p>
    <w:p w14:paraId="14B4C9B5" w14:textId="18FD4E8E" w:rsidR="00937320" w:rsidRDefault="00937320" w:rsidP="00937320">
      <w:pPr>
        <w:pStyle w:val="SWCText"/>
      </w:pPr>
      <w:r>
        <w:t>The PV monitoring documentation contains one internal period-label inconsistency: the dedicated PV slide labels the 1652 kWh solar-yield aggregation as June 2025-March 2026, whereas the final comparison reports 1652 kWh as the annual comparison value. This paper deliberately does not fabricate missing months or independently re-extrapolate the dataset. Instead, it uses the processed comparison value from the monitoring author and relies on the separately reported April 2025-March 2026 hot-water energy for the functional-unit normalization.</w:t>
      </w:r>
    </w:p>
    <w:p w14:paraId="45D604C6" w14:textId="24C60ACA" w:rsidR="00937320" w:rsidRPr="006309AA" w:rsidRDefault="00937320" w:rsidP="00937320">
      <w:pPr>
        <w:pStyle w:val="SWCHeading11"/>
      </w:pPr>
      <w:r>
        <w:t xml:space="preserve">5.3. </w:t>
      </w:r>
      <w:r w:rsidRPr="00937320">
        <w:t>Comparison with previous work and limitations</w:t>
      </w:r>
    </w:p>
    <w:p w14:paraId="635D12A2" w14:textId="77777777" w:rsidR="00937320" w:rsidRDefault="00937320" w:rsidP="00937320">
      <w:pPr>
        <w:pStyle w:val="SWCText"/>
      </w:pPr>
      <w:r>
        <w:t xml:space="preserve">The side-by-side architecture addresses a central limitation of earlier comparative studies: climate, load and operating assumptions are shared rather than assembled from separate cases. Buckley et al. (2019) highlighted the context sensitivity of photovoltaic versus solar-thermal water heating in Southern Africa, while </w:t>
      </w:r>
      <w:proofErr w:type="spellStart"/>
      <w:r>
        <w:t>Shimhanda</w:t>
      </w:r>
      <w:proofErr w:type="spellEnd"/>
      <w:r>
        <w:t xml:space="preserve"> et al. (2018) reported an earlier Windhoek comparison. The present work adds a common as-built LCA model and a useful-heat service denominator to that literature.</w:t>
      </w:r>
    </w:p>
    <w:p w14:paraId="04A0BDE0" w14:textId="77777777" w:rsidR="00937320" w:rsidRDefault="00937320" w:rsidP="00937320">
      <w:pPr>
        <w:pStyle w:val="SWCText"/>
      </w:pPr>
      <w:r>
        <w:t>The main remaining environmental uncertainties are the foreground inventory of the evacuated-tube collector and the absence of verified transport and end-of-life routes. The flat-plate collector mass is constrained by nameplate data, whereas part of the evacuated-tube material split is geometry-based; small fittings, insulation and controller components use engineering proxies. Dedicated international transport and disposal could change the absolute values in Table 3 and Fig. 4, but a reversal of the large PV2Heat-to-flat-plate gap would require materially different boundary assumptions.</w:t>
      </w:r>
    </w:p>
    <w:p w14:paraId="3E81FB91" w14:textId="0C3F1C98" w:rsidR="00937320" w:rsidRDefault="00937320" w:rsidP="00937320">
      <w:pPr>
        <w:pStyle w:val="SWCText"/>
      </w:pPr>
      <w:r>
        <w:t>The economic assessment is intentionally conservative in its interpretation. The CAPEX values in Table 4 are engineering estimates designed to complete the comparative framework; they are not quotations for the Namibian market. Import duties, shipping, installer availability, mounting work and local component sourcing could materially affect installed cost. Accordingly, Figure 5 should be read as a sensitivity scenario rather than as procurement-grade cost information.</w:t>
      </w:r>
    </w:p>
    <w:p w14:paraId="5468099F" w14:textId="043DD956" w:rsidR="00937320" w:rsidRDefault="00937320" w:rsidP="00343F6C">
      <w:pPr>
        <w:pStyle w:val="SWCHeading1"/>
      </w:pPr>
      <w:r>
        <w:t>Conclusions</w:t>
      </w:r>
    </w:p>
    <w:p w14:paraId="1398F5C7" w14:textId="77777777" w:rsidR="00937320" w:rsidRPr="00937320" w:rsidRDefault="00937320" w:rsidP="00496B16">
      <w:pPr>
        <w:jc w:val="both"/>
        <w:rPr>
          <w:color w:val="000000"/>
          <w:sz w:val="20"/>
          <w:szCs w:val="22"/>
          <w:lang w:val="en-US"/>
        </w:rPr>
      </w:pPr>
      <w:r w:rsidRPr="00937320">
        <w:rPr>
          <w:color w:val="000000"/>
          <w:sz w:val="20"/>
          <w:szCs w:val="22"/>
          <w:lang w:val="en-US"/>
        </w:rPr>
        <w:t>The principal findings are summarized below with emphasis on the harmonized functional basis and the limitations that remain relevant for interpretation.</w:t>
      </w:r>
    </w:p>
    <w:p w14:paraId="6E197FCC" w14:textId="77777777" w:rsidR="00937320" w:rsidRPr="00937320" w:rsidRDefault="00937320" w:rsidP="00496B16">
      <w:pPr>
        <w:jc w:val="both"/>
        <w:rPr>
          <w:color w:val="000000"/>
          <w:sz w:val="20"/>
          <w:szCs w:val="22"/>
          <w:lang w:val="en-US"/>
        </w:rPr>
      </w:pPr>
      <w:r w:rsidRPr="00937320">
        <w:rPr>
          <w:color w:val="000000"/>
          <w:sz w:val="20"/>
          <w:szCs w:val="22"/>
          <w:lang w:val="en-US"/>
        </w:rPr>
        <w:t>Three 200 L domestic-hot-water systems were compared side by side at the NUST Science and Technology Park in Windhoek using the author-prepared monitoring evaluation, an as-built LCA and an engineering cost scenario. As summarized in Fig. 2 and Table 2, solar yields are 2256, 1373 and 1652 kWh for flat plate, evacuated tube and PV2Heat, with useful hot-water energies of 1862, 1058 and 1243 kWh and reported gross-area-specific yields of 909, 557 and 319 kWh m⁻², respectively.</w:t>
      </w:r>
    </w:p>
    <w:p w14:paraId="6348B144" w14:textId="77777777" w:rsidR="00937320" w:rsidRPr="00937320" w:rsidRDefault="00937320" w:rsidP="00496B16">
      <w:pPr>
        <w:jc w:val="both"/>
        <w:rPr>
          <w:color w:val="000000"/>
          <w:sz w:val="20"/>
          <w:szCs w:val="22"/>
          <w:lang w:val="en-US"/>
        </w:rPr>
      </w:pPr>
      <w:r w:rsidRPr="00937320">
        <w:rPr>
          <w:color w:val="000000"/>
          <w:sz w:val="20"/>
          <w:szCs w:val="22"/>
          <w:lang w:val="en-US"/>
        </w:rPr>
        <w:t>Using 1 kWh of useful hot-water energy as the functional unit, Fig. 4 and Table 3 show the lowest baseline impacts for the flat plate at 20.3 g CO₂-eq kWh⁻¹ and 0.273 MJ kWh⁻¹, followed by the evacuated tube at 29.6 g CO₂-eq kWh⁻¹ and 0.413 MJ kWh⁻¹. PV2Heat reaches 71.5 g CO₂-eq kWh⁻¹ and 1.131 MJ kWh⁻¹; useful-heat energy payback times are approximately 1.52, 2.29 and 6.28 years.</w:t>
      </w:r>
    </w:p>
    <w:p w14:paraId="76C556CA" w14:textId="77777777" w:rsidR="00937320" w:rsidRPr="00937320" w:rsidRDefault="00937320" w:rsidP="00496B16">
      <w:pPr>
        <w:jc w:val="both"/>
        <w:rPr>
          <w:color w:val="000000"/>
          <w:sz w:val="20"/>
          <w:szCs w:val="22"/>
          <w:lang w:val="en-US"/>
        </w:rPr>
      </w:pPr>
      <w:r w:rsidRPr="00937320">
        <w:rPr>
          <w:color w:val="000000"/>
          <w:sz w:val="20"/>
          <w:szCs w:val="22"/>
          <w:lang w:val="en-US"/>
        </w:rPr>
        <w:t>Under the assumptions in Table 4, central LCOH values are approximately EUR 0.081, 0.155 and 0.122 per kWh of useful hot water for flat plate, evacuated tube and PV2Heat. Figure 5 shows that cost uncertainty is substantially larger than the monitoring-based technical ranking, while the flat plate remains the lowest-cost option across the common ±25% sensitivity range.</w:t>
      </w:r>
    </w:p>
    <w:p w14:paraId="36460B41" w14:textId="0B9F8277" w:rsidR="00937320" w:rsidRPr="00335982" w:rsidRDefault="00937320" w:rsidP="00496B16">
      <w:pPr>
        <w:jc w:val="both"/>
        <w:rPr>
          <w:color w:val="000000"/>
          <w:sz w:val="20"/>
          <w:szCs w:val="22"/>
          <w:lang w:val="en-US"/>
        </w:rPr>
      </w:pPr>
      <w:r w:rsidRPr="00937320">
        <w:rPr>
          <w:color w:val="000000"/>
          <w:sz w:val="20"/>
          <w:szCs w:val="22"/>
          <w:lang w:val="en-US"/>
        </w:rPr>
        <w:t>For the investigated dedicated domestic-hot-water application under Windhoek conditions, the flat-plate thermosyphon therefore provides the strongest combined technical, environmental and indicative economic result. The main methodological contribution is the harmonized side-by-side assessment and the explicit separation of solar-loop yield from useful hot-water service. Future work should replace estimated costs with local quotations and extend the environmental model with verified transport and end-of-life scenarios</w:t>
      </w:r>
      <w:r w:rsidRPr="00335982">
        <w:rPr>
          <w:color w:val="000000"/>
          <w:sz w:val="20"/>
          <w:szCs w:val="22"/>
          <w:lang w:val="en-US"/>
        </w:rPr>
        <w:t>.</w:t>
      </w:r>
    </w:p>
    <w:p w14:paraId="1F077A54" w14:textId="5F7A93A6" w:rsidR="00937320" w:rsidRDefault="00937320" w:rsidP="00343F6C">
      <w:pPr>
        <w:pStyle w:val="SWCHeading1"/>
        <w:numPr>
          <w:ilvl w:val="0"/>
          <w:numId w:val="0"/>
        </w:numPr>
        <w:ind w:left="720"/>
      </w:pPr>
      <w:r>
        <w:t>Acknowledgement</w:t>
      </w:r>
    </w:p>
    <w:p w14:paraId="211414E0" w14:textId="112048CF" w:rsidR="00501ADC" w:rsidRDefault="00937320" w:rsidP="006C19A4">
      <w:pPr>
        <w:pStyle w:val="SWCText"/>
      </w:pPr>
      <w:r w:rsidRPr="00937320">
        <w:t xml:space="preserve">The work presented in this study is conducted within the framework of IEA SHC Task 69 and builds on system and measurement activities carried out within the SOLTRAIN </w:t>
      </w:r>
      <w:proofErr w:type="spellStart"/>
      <w:r w:rsidRPr="00937320">
        <w:t>programme</w:t>
      </w:r>
      <w:proofErr w:type="spellEnd"/>
      <w:r w:rsidRPr="00937320">
        <w:t>. The authors gratefully acknowledge the cooperation of the Namibia Energy Institute (NEI), Namibia University of Science and Technology (NUST), AEE INTEC and the project partners. The financial support of the Austrian Research Promotion Agency (FFG) is gratefully recognized.</w:t>
      </w:r>
    </w:p>
    <w:p w14:paraId="6C842A91" w14:textId="77777777" w:rsidR="003869E8" w:rsidRPr="00C97946" w:rsidRDefault="00D32EF0" w:rsidP="00490F10">
      <w:pPr>
        <w:pStyle w:val="SWCHeading1"/>
      </w:pPr>
      <w:r w:rsidRPr="00C97946">
        <w:rPr>
          <w:lang w:val="en-GB"/>
        </w:rPr>
        <w:lastRenderedPageBreak/>
        <w:t>References</w:t>
      </w:r>
      <w:r w:rsidR="004E5D79" w:rsidRPr="00C97946">
        <w:rPr>
          <w:lang w:val="en-GB"/>
        </w:rPr>
        <w:t xml:space="preserve"> </w:t>
      </w:r>
    </w:p>
    <w:p w14:paraId="0E19881A" w14:textId="09AB6774" w:rsidR="004B3295" w:rsidRDefault="004B3295" w:rsidP="004B3295">
      <w:pPr>
        <w:rPr>
          <w:color w:val="000000"/>
          <w:sz w:val="20"/>
          <w:szCs w:val="22"/>
          <w:lang w:val="en-US"/>
        </w:rPr>
      </w:pPr>
      <w:r w:rsidRPr="00343F6C">
        <w:rPr>
          <w:color w:val="000000"/>
          <w:sz w:val="20"/>
          <w:szCs w:val="22"/>
          <w:lang w:val="de-AT"/>
        </w:rPr>
        <w:t xml:space="preserve">Buckley, A.I., Kritzinger, K., </w:t>
      </w:r>
      <w:proofErr w:type="spellStart"/>
      <w:r w:rsidRPr="00343F6C">
        <w:rPr>
          <w:color w:val="000000"/>
          <w:sz w:val="20"/>
          <w:szCs w:val="22"/>
          <w:lang w:val="de-AT"/>
        </w:rPr>
        <w:t>Moschik</w:t>
      </w:r>
      <w:proofErr w:type="spellEnd"/>
      <w:r w:rsidRPr="00343F6C">
        <w:rPr>
          <w:color w:val="000000"/>
          <w:sz w:val="20"/>
          <w:szCs w:val="22"/>
          <w:lang w:val="de-AT"/>
        </w:rPr>
        <w:t xml:space="preserve">, R., </w:t>
      </w:r>
      <w:proofErr w:type="spellStart"/>
      <w:r w:rsidRPr="00343F6C">
        <w:rPr>
          <w:color w:val="000000"/>
          <w:sz w:val="20"/>
          <w:szCs w:val="22"/>
          <w:lang w:val="de-AT"/>
        </w:rPr>
        <w:t>Mamphweli</w:t>
      </w:r>
      <w:proofErr w:type="spellEnd"/>
      <w:r w:rsidRPr="00343F6C">
        <w:rPr>
          <w:color w:val="000000"/>
          <w:sz w:val="20"/>
          <w:szCs w:val="22"/>
          <w:lang w:val="de-AT"/>
        </w:rPr>
        <w:t xml:space="preserve">, S., Spörk-Dür, M., 2019. </w:t>
      </w:r>
      <w:r w:rsidRPr="00343F6C">
        <w:rPr>
          <w:color w:val="000000"/>
          <w:sz w:val="20"/>
          <w:szCs w:val="22"/>
          <w:lang w:val="en-US"/>
        </w:rPr>
        <w:t>Comparison of photovoltaic- and solar thermal hot water systems in the South African context. Proceedings of the ISES Solar World Congress 2019, Santiago, Chile, pp. 1-12. https://doi.org/10.18086/swc.2019.09.01.</w:t>
      </w:r>
    </w:p>
    <w:p w14:paraId="433FF738" w14:textId="77777777" w:rsidR="004B3295" w:rsidRPr="00343F6C" w:rsidRDefault="004B3295" w:rsidP="00343F6C">
      <w:pPr>
        <w:rPr>
          <w:color w:val="000000"/>
          <w:sz w:val="20"/>
          <w:szCs w:val="22"/>
          <w:lang w:val="en-US"/>
        </w:rPr>
      </w:pPr>
    </w:p>
    <w:p w14:paraId="04870E90" w14:textId="77777777" w:rsidR="004B3295" w:rsidRPr="00343F6C" w:rsidRDefault="004B3295" w:rsidP="00343F6C">
      <w:pPr>
        <w:rPr>
          <w:color w:val="000000"/>
          <w:sz w:val="20"/>
          <w:szCs w:val="22"/>
          <w:lang w:val="en-US"/>
        </w:rPr>
      </w:pPr>
      <w:r w:rsidRPr="00343F6C">
        <w:rPr>
          <w:color w:val="000000"/>
          <w:sz w:val="20"/>
          <w:szCs w:val="22"/>
          <w:lang w:val="en-US"/>
        </w:rPr>
        <w:t>IPCC, 2021. Climate Change 2021: The Physical Science Basis. Contribution of Working Group I to the Sixth Assessment Report of the Intergovernmental Panel on Climate Change. Cambridge University Press, Cambridge.</w:t>
      </w:r>
    </w:p>
    <w:p w14:paraId="4C4657DE" w14:textId="77777777" w:rsidR="004B3295" w:rsidRDefault="004B3295" w:rsidP="004B3295">
      <w:pPr>
        <w:rPr>
          <w:color w:val="000000"/>
          <w:sz w:val="20"/>
          <w:szCs w:val="22"/>
          <w:lang w:val="en-US"/>
        </w:rPr>
      </w:pPr>
      <w:r w:rsidRPr="00343F6C">
        <w:rPr>
          <w:color w:val="000000"/>
          <w:sz w:val="20"/>
          <w:szCs w:val="22"/>
          <w:lang w:val="en-US"/>
        </w:rPr>
        <w:t>ISO, 2006a. ISO 14040:2006 Environmental management - Life cycle assessment - Principles and framework. International Organization for Standardization, Geneva.</w:t>
      </w:r>
    </w:p>
    <w:p w14:paraId="78954B53" w14:textId="77777777" w:rsidR="004B3295" w:rsidRPr="00343F6C" w:rsidRDefault="004B3295" w:rsidP="00343F6C">
      <w:pPr>
        <w:rPr>
          <w:color w:val="000000"/>
          <w:sz w:val="20"/>
          <w:szCs w:val="22"/>
          <w:lang w:val="en-US"/>
        </w:rPr>
      </w:pPr>
    </w:p>
    <w:p w14:paraId="41A5CA46" w14:textId="77777777" w:rsidR="004B3295" w:rsidRDefault="004B3295" w:rsidP="004B3295">
      <w:pPr>
        <w:rPr>
          <w:color w:val="000000"/>
          <w:sz w:val="20"/>
          <w:szCs w:val="22"/>
          <w:lang w:val="en-US"/>
        </w:rPr>
      </w:pPr>
      <w:r w:rsidRPr="00343F6C">
        <w:rPr>
          <w:color w:val="000000"/>
          <w:sz w:val="20"/>
          <w:szCs w:val="22"/>
          <w:lang w:val="en-US"/>
        </w:rPr>
        <w:t>ISO, 2006b. ISO 14044:2006 Environmental management - Life cycle assessment - Requirements and guidelines. International Organization for Standardization, Geneva.</w:t>
      </w:r>
    </w:p>
    <w:p w14:paraId="415D8F94" w14:textId="77777777" w:rsidR="004B3295" w:rsidRPr="00343F6C" w:rsidRDefault="004B3295" w:rsidP="00343F6C">
      <w:pPr>
        <w:rPr>
          <w:color w:val="000000"/>
          <w:sz w:val="20"/>
          <w:szCs w:val="22"/>
          <w:lang w:val="en-US"/>
        </w:rPr>
      </w:pPr>
    </w:p>
    <w:p w14:paraId="104DA51E" w14:textId="77777777" w:rsidR="004B3295" w:rsidRDefault="004B3295" w:rsidP="004B3295">
      <w:pPr>
        <w:rPr>
          <w:color w:val="000000"/>
          <w:sz w:val="20"/>
          <w:szCs w:val="22"/>
          <w:lang w:val="en-US"/>
        </w:rPr>
      </w:pPr>
      <w:r w:rsidRPr="00343F6C">
        <w:rPr>
          <w:color w:val="000000"/>
          <w:sz w:val="20"/>
          <w:szCs w:val="22"/>
          <w:lang w:val="en-US"/>
        </w:rPr>
        <w:t xml:space="preserve">Kicker, H., Lang, R.W., </w:t>
      </w:r>
      <w:proofErr w:type="spellStart"/>
      <w:r w:rsidRPr="00343F6C">
        <w:rPr>
          <w:color w:val="000000"/>
          <w:sz w:val="20"/>
          <w:szCs w:val="22"/>
          <w:lang w:val="en-US"/>
        </w:rPr>
        <w:t>Wallner</w:t>
      </w:r>
      <w:proofErr w:type="spellEnd"/>
      <w:r w:rsidRPr="00343F6C">
        <w:rPr>
          <w:color w:val="000000"/>
          <w:sz w:val="20"/>
          <w:szCs w:val="22"/>
          <w:lang w:val="en-US"/>
        </w:rPr>
        <w:t>, G.M., 2017. Sustainability assessment of solar thermal collector systems. Proceedings of the ISES Solar World Conference 2017 and IEA SHC Solar Heating and Cooling Conference for Buildings and Industry 2017, pp. 2276-2283.</w:t>
      </w:r>
    </w:p>
    <w:p w14:paraId="125DF41B" w14:textId="77777777" w:rsidR="004B3295" w:rsidRPr="00343F6C" w:rsidRDefault="004B3295" w:rsidP="00343F6C">
      <w:pPr>
        <w:rPr>
          <w:color w:val="000000"/>
          <w:sz w:val="20"/>
          <w:szCs w:val="22"/>
          <w:lang w:val="en-US"/>
        </w:rPr>
      </w:pPr>
    </w:p>
    <w:p w14:paraId="0DC42088" w14:textId="77777777" w:rsidR="004B3295" w:rsidRPr="00343F6C" w:rsidRDefault="004B3295" w:rsidP="00343F6C">
      <w:pPr>
        <w:rPr>
          <w:color w:val="000000"/>
          <w:sz w:val="20"/>
          <w:szCs w:val="22"/>
          <w:lang w:val="en-US"/>
        </w:rPr>
      </w:pPr>
      <w:r w:rsidRPr="00343F6C">
        <w:rPr>
          <w:color w:val="000000"/>
          <w:sz w:val="20"/>
          <w:szCs w:val="22"/>
          <w:lang w:val="de-AT"/>
        </w:rPr>
        <w:t xml:space="preserve">Kicker, H., Wallner, G.M., Lang, R.W., 2018. </w:t>
      </w:r>
      <w:r w:rsidRPr="00343F6C">
        <w:rPr>
          <w:color w:val="000000"/>
          <w:sz w:val="20"/>
          <w:szCs w:val="22"/>
          <w:lang w:val="en-US"/>
        </w:rPr>
        <w:t xml:space="preserve">Sustainability assessment of most relevant solar thermal heat systems. Proceedings of the 12th </w:t>
      </w:r>
      <w:proofErr w:type="spellStart"/>
      <w:r w:rsidRPr="00343F6C">
        <w:rPr>
          <w:color w:val="000000"/>
          <w:sz w:val="20"/>
          <w:szCs w:val="22"/>
          <w:lang w:val="en-US"/>
        </w:rPr>
        <w:t>EuroSun</w:t>
      </w:r>
      <w:proofErr w:type="spellEnd"/>
      <w:r w:rsidRPr="00343F6C">
        <w:rPr>
          <w:color w:val="000000"/>
          <w:sz w:val="20"/>
          <w:szCs w:val="22"/>
          <w:lang w:val="en-US"/>
        </w:rPr>
        <w:t xml:space="preserve"> Conference on Solar Energy for Buildings and Industry.</w:t>
      </w:r>
    </w:p>
    <w:p w14:paraId="3820B076" w14:textId="77777777" w:rsidR="004B3295" w:rsidRDefault="004B3295" w:rsidP="004B3295">
      <w:pPr>
        <w:rPr>
          <w:color w:val="000000"/>
          <w:sz w:val="20"/>
          <w:szCs w:val="22"/>
          <w:lang w:val="en-US"/>
        </w:rPr>
      </w:pPr>
      <w:r w:rsidRPr="00343F6C">
        <w:rPr>
          <w:color w:val="000000"/>
          <w:sz w:val="20"/>
          <w:szCs w:val="22"/>
          <w:lang w:val="en-US"/>
        </w:rPr>
        <w:t xml:space="preserve">Kicker, H., </w:t>
      </w:r>
      <w:proofErr w:type="spellStart"/>
      <w:r w:rsidRPr="00343F6C">
        <w:rPr>
          <w:color w:val="000000"/>
          <w:sz w:val="20"/>
          <w:szCs w:val="22"/>
          <w:lang w:val="en-US"/>
        </w:rPr>
        <w:t>Wallner</w:t>
      </w:r>
      <w:proofErr w:type="spellEnd"/>
      <w:r w:rsidRPr="00343F6C">
        <w:rPr>
          <w:color w:val="000000"/>
          <w:sz w:val="20"/>
          <w:szCs w:val="22"/>
          <w:lang w:val="en-US"/>
        </w:rPr>
        <w:t xml:space="preserve">, G.M., Tschopp, D., </w:t>
      </w:r>
      <w:proofErr w:type="spellStart"/>
      <w:r w:rsidRPr="00343F6C">
        <w:rPr>
          <w:color w:val="000000"/>
          <w:sz w:val="20"/>
          <w:szCs w:val="22"/>
          <w:lang w:val="en-US"/>
        </w:rPr>
        <w:t>Moschik</w:t>
      </w:r>
      <w:proofErr w:type="spellEnd"/>
      <w:r w:rsidRPr="00343F6C">
        <w:rPr>
          <w:color w:val="000000"/>
          <w:sz w:val="20"/>
          <w:szCs w:val="22"/>
          <w:lang w:val="en-US"/>
        </w:rPr>
        <w:t>, R., Gruber-</w:t>
      </w:r>
      <w:proofErr w:type="spellStart"/>
      <w:r w:rsidRPr="00343F6C">
        <w:rPr>
          <w:color w:val="000000"/>
          <w:sz w:val="20"/>
          <w:szCs w:val="22"/>
          <w:lang w:val="en-US"/>
        </w:rPr>
        <w:t>Glatzl</w:t>
      </w:r>
      <w:proofErr w:type="spellEnd"/>
      <w:r w:rsidRPr="00343F6C">
        <w:rPr>
          <w:color w:val="000000"/>
          <w:sz w:val="20"/>
          <w:szCs w:val="22"/>
          <w:lang w:val="en-US"/>
        </w:rPr>
        <w:t xml:space="preserve">, W., </w:t>
      </w:r>
      <w:proofErr w:type="spellStart"/>
      <w:r w:rsidRPr="00343F6C">
        <w:rPr>
          <w:color w:val="000000"/>
          <w:sz w:val="20"/>
          <w:szCs w:val="22"/>
          <w:lang w:val="en-US"/>
        </w:rPr>
        <w:t>Shigwedha</w:t>
      </w:r>
      <w:proofErr w:type="spellEnd"/>
      <w:r w:rsidRPr="00343F6C">
        <w:rPr>
          <w:color w:val="000000"/>
          <w:sz w:val="20"/>
          <w:szCs w:val="22"/>
          <w:lang w:val="en-US"/>
        </w:rPr>
        <w:t xml:space="preserve">, J., </w:t>
      </w:r>
      <w:proofErr w:type="spellStart"/>
      <w:r w:rsidRPr="00343F6C">
        <w:rPr>
          <w:color w:val="000000"/>
          <w:sz w:val="20"/>
          <w:szCs w:val="22"/>
          <w:lang w:val="en-US"/>
        </w:rPr>
        <w:t>Ileka</w:t>
      </w:r>
      <w:proofErr w:type="spellEnd"/>
      <w:r w:rsidRPr="00343F6C">
        <w:rPr>
          <w:color w:val="000000"/>
          <w:sz w:val="20"/>
          <w:szCs w:val="22"/>
          <w:lang w:val="en-US"/>
        </w:rPr>
        <w:t xml:space="preserve">, H., </w:t>
      </w:r>
      <w:proofErr w:type="spellStart"/>
      <w:r w:rsidRPr="00343F6C">
        <w:rPr>
          <w:color w:val="000000"/>
          <w:sz w:val="20"/>
          <w:szCs w:val="22"/>
          <w:lang w:val="en-US"/>
        </w:rPr>
        <w:t>Shidhika</w:t>
      </w:r>
      <w:proofErr w:type="spellEnd"/>
      <w:r w:rsidRPr="00343F6C">
        <w:rPr>
          <w:color w:val="000000"/>
          <w:sz w:val="20"/>
          <w:szCs w:val="22"/>
          <w:lang w:val="en-US"/>
        </w:rPr>
        <w:t>, F., 2024. Life cycle assessment of thermosyphon and PV hot water systems under the same operating conditions in a side-by-side experimental setup in Namibia: initial results and data comparison with existing similar installations. ISEC 2024 proceedings.</w:t>
      </w:r>
    </w:p>
    <w:p w14:paraId="65A6A1B9" w14:textId="77777777" w:rsidR="004B3295" w:rsidRPr="00343F6C" w:rsidRDefault="004B3295" w:rsidP="00343F6C">
      <w:pPr>
        <w:rPr>
          <w:color w:val="000000"/>
          <w:sz w:val="20"/>
          <w:szCs w:val="22"/>
          <w:lang w:val="en-US"/>
        </w:rPr>
      </w:pPr>
    </w:p>
    <w:p w14:paraId="591E7B67" w14:textId="77777777" w:rsidR="004B3295" w:rsidRPr="00343F6C" w:rsidRDefault="004B3295" w:rsidP="00343F6C">
      <w:pPr>
        <w:rPr>
          <w:color w:val="000000"/>
          <w:sz w:val="20"/>
          <w:szCs w:val="22"/>
          <w:lang w:val="en-US"/>
        </w:rPr>
      </w:pPr>
      <w:proofErr w:type="spellStart"/>
      <w:r w:rsidRPr="00343F6C">
        <w:rPr>
          <w:color w:val="000000"/>
          <w:sz w:val="20"/>
          <w:szCs w:val="22"/>
          <w:lang w:val="en-US"/>
        </w:rPr>
        <w:t>Moschik</w:t>
      </w:r>
      <w:proofErr w:type="spellEnd"/>
      <w:r w:rsidRPr="00343F6C">
        <w:rPr>
          <w:color w:val="000000"/>
          <w:sz w:val="20"/>
          <w:szCs w:val="22"/>
          <w:lang w:val="en-US"/>
        </w:rPr>
        <w:t>, R., 2026. Implementation and Results of a Solar Water Heating Test Center in Namibia. SOLTRAIN presentation, AEE INTEC, 9 April 2026.</w:t>
      </w:r>
    </w:p>
    <w:p w14:paraId="017104C6" w14:textId="534D910E" w:rsidR="004B3295" w:rsidRDefault="004B3295" w:rsidP="004B3295">
      <w:pPr>
        <w:rPr>
          <w:color w:val="000000"/>
          <w:sz w:val="20"/>
          <w:szCs w:val="22"/>
          <w:lang w:val="en-US"/>
        </w:rPr>
      </w:pPr>
      <w:r w:rsidRPr="00343F6C">
        <w:rPr>
          <w:color w:val="000000"/>
          <w:sz w:val="20"/>
          <w:szCs w:val="22"/>
          <w:lang w:val="en-US"/>
        </w:rPr>
        <w:t>Republic of Namibia, 2021. Namibia's NDC Update. United Nations Framework Convention on Climate Change. https://unfccc.int/ (accessed 15 September 2026).</w:t>
      </w:r>
    </w:p>
    <w:p w14:paraId="00142B5E" w14:textId="77777777" w:rsidR="004B3295" w:rsidRPr="00343F6C" w:rsidRDefault="004B3295" w:rsidP="00343F6C">
      <w:pPr>
        <w:rPr>
          <w:color w:val="000000"/>
          <w:sz w:val="20"/>
          <w:szCs w:val="22"/>
          <w:lang w:val="en-US"/>
        </w:rPr>
      </w:pPr>
    </w:p>
    <w:p w14:paraId="67D0D80D" w14:textId="77777777" w:rsidR="004B3295" w:rsidRPr="00343F6C" w:rsidRDefault="004B3295" w:rsidP="00343F6C">
      <w:pPr>
        <w:rPr>
          <w:color w:val="000000"/>
          <w:sz w:val="20"/>
          <w:szCs w:val="22"/>
          <w:lang w:val="en-US"/>
        </w:rPr>
      </w:pPr>
      <w:proofErr w:type="spellStart"/>
      <w:r w:rsidRPr="00343F6C">
        <w:rPr>
          <w:color w:val="000000"/>
          <w:sz w:val="20"/>
          <w:szCs w:val="22"/>
          <w:lang w:val="de-AT"/>
        </w:rPr>
        <w:t>Shimhanda</w:t>
      </w:r>
      <w:proofErr w:type="spellEnd"/>
      <w:r w:rsidRPr="00343F6C">
        <w:rPr>
          <w:color w:val="000000"/>
          <w:sz w:val="20"/>
          <w:szCs w:val="22"/>
          <w:lang w:val="de-AT"/>
        </w:rPr>
        <w:t xml:space="preserve">, S., </w:t>
      </w:r>
      <w:proofErr w:type="spellStart"/>
      <w:r w:rsidRPr="00343F6C">
        <w:rPr>
          <w:color w:val="000000"/>
          <w:sz w:val="20"/>
          <w:szCs w:val="22"/>
          <w:lang w:val="de-AT"/>
        </w:rPr>
        <w:t>Ileka</w:t>
      </w:r>
      <w:proofErr w:type="spellEnd"/>
      <w:r w:rsidRPr="00343F6C">
        <w:rPr>
          <w:color w:val="000000"/>
          <w:sz w:val="20"/>
          <w:szCs w:val="22"/>
          <w:lang w:val="de-AT"/>
        </w:rPr>
        <w:t xml:space="preserve">, H., </w:t>
      </w:r>
      <w:proofErr w:type="spellStart"/>
      <w:r w:rsidRPr="00343F6C">
        <w:rPr>
          <w:color w:val="000000"/>
          <w:sz w:val="20"/>
          <w:szCs w:val="22"/>
          <w:lang w:val="de-AT"/>
        </w:rPr>
        <w:t>Shidhika</w:t>
      </w:r>
      <w:proofErr w:type="spellEnd"/>
      <w:r w:rsidRPr="00343F6C">
        <w:rPr>
          <w:color w:val="000000"/>
          <w:sz w:val="20"/>
          <w:szCs w:val="22"/>
          <w:lang w:val="de-AT"/>
        </w:rPr>
        <w:t xml:space="preserve">, F., 2018. </w:t>
      </w:r>
      <w:r w:rsidRPr="00343F6C">
        <w:rPr>
          <w:color w:val="000000"/>
          <w:sz w:val="20"/>
          <w:szCs w:val="22"/>
          <w:lang w:val="en-US"/>
        </w:rPr>
        <w:t>A comparative study of solar water heater and photovoltaic water heater in Windhoek. ISEC 2018.</w:t>
      </w:r>
    </w:p>
    <w:p w14:paraId="51FD466F" w14:textId="77777777" w:rsidR="004B3295" w:rsidRDefault="004B3295" w:rsidP="004B3295">
      <w:pPr>
        <w:rPr>
          <w:color w:val="000000"/>
          <w:sz w:val="20"/>
          <w:szCs w:val="22"/>
          <w:lang w:val="en-US"/>
        </w:rPr>
      </w:pPr>
      <w:r w:rsidRPr="00343F6C">
        <w:rPr>
          <w:color w:val="000000"/>
          <w:sz w:val="20"/>
          <w:szCs w:val="22"/>
          <w:lang w:val="en-US"/>
        </w:rPr>
        <w:t xml:space="preserve">Weiss, W., </w:t>
      </w:r>
      <w:proofErr w:type="spellStart"/>
      <w:r w:rsidRPr="00343F6C">
        <w:rPr>
          <w:color w:val="000000"/>
          <w:sz w:val="20"/>
          <w:szCs w:val="22"/>
          <w:lang w:val="en-US"/>
        </w:rPr>
        <w:t>Spörk-Dür</w:t>
      </w:r>
      <w:proofErr w:type="spellEnd"/>
      <w:r w:rsidRPr="00343F6C">
        <w:rPr>
          <w:color w:val="000000"/>
          <w:sz w:val="20"/>
          <w:szCs w:val="22"/>
          <w:lang w:val="en-US"/>
        </w:rPr>
        <w:t xml:space="preserve">, M., 2023. Solar Heat Worldwide, Edition 2023. IEA Solar Heating &amp; Cooling </w:t>
      </w:r>
      <w:proofErr w:type="spellStart"/>
      <w:r w:rsidRPr="00343F6C">
        <w:rPr>
          <w:color w:val="000000"/>
          <w:sz w:val="20"/>
          <w:szCs w:val="22"/>
          <w:lang w:val="en-US"/>
        </w:rPr>
        <w:t>Programme</w:t>
      </w:r>
      <w:proofErr w:type="spellEnd"/>
      <w:r w:rsidRPr="00343F6C">
        <w:rPr>
          <w:color w:val="000000"/>
          <w:sz w:val="20"/>
          <w:szCs w:val="22"/>
          <w:lang w:val="en-US"/>
        </w:rPr>
        <w:t>.</w:t>
      </w:r>
    </w:p>
    <w:p w14:paraId="02510E07" w14:textId="77777777" w:rsidR="004B3295" w:rsidRPr="00343F6C" w:rsidRDefault="004B3295" w:rsidP="00343F6C">
      <w:pPr>
        <w:rPr>
          <w:color w:val="000000"/>
          <w:sz w:val="20"/>
          <w:szCs w:val="22"/>
          <w:lang w:val="en-US"/>
        </w:rPr>
      </w:pPr>
    </w:p>
    <w:p w14:paraId="263188FC" w14:textId="398DC30C" w:rsidR="008F54F8" w:rsidRPr="00496B16" w:rsidRDefault="004B3295" w:rsidP="00343F6C">
      <w:pPr>
        <w:rPr>
          <w:lang w:val="en-US"/>
        </w:rPr>
      </w:pPr>
      <w:r w:rsidRPr="00343F6C">
        <w:rPr>
          <w:color w:val="000000"/>
          <w:sz w:val="20"/>
          <w:szCs w:val="22"/>
          <w:lang w:val="en-US"/>
        </w:rPr>
        <w:t xml:space="preserve">Wernet, G., Bauer, C., </w:t>
      </w:r>
      <w:proofErr w:type="spellStart"/>
      <w:r w:rsidRPr="00343F6C">
        <w:rPr>
          <w:color w:val="000000"/>
          <w:sz w:val="20"/>
          <w:szCs w:val="22"/>
          <w:lang w:val="en-US"/>
        </w:rPr>
        <w:t>Steubing</w:t>
      </w:r>
      <w:proofErr w:type="spellEnd"/>
      <w:r w:rsidRPr="00343F6C">
        <w:rPr>
          <w:color w:val="000000"/>
          <w:sz w:val="20"/>
          <w:szCs w:val="22"/>
          <w:lang w:val="en-US"/>
        </w:rPr>
        <w:t xml:space="preserve">, B., Reinhard, J., Moreno-Ruiz, E., </w:t>
      </w:r>
      <w:proofErr w:type="spellStart"/>
      <w:r w:rsidRPr="00343F6C">
        <w:rPr>
          <w:color w:val="000000"/>
          <w:sz w:val="20"/>
          <w:szCs w:val="22"/>
          <w:lang w:val="en-US"/>
        </w:rPr>
        <w:t>Weidema</w:t>
      </w:r>
      <w:proofErr w:type="spellEnd"/>
      <w:r w:rsidRPr="00343F6C">
        <w:rPr>
          <w:color w:val="000000"/>
          <w:sz w:val="20"/>
          <w:szCs w:val="22"/>
          <w:lang w:val="en-US"/>
        </w:rPr>
        <w:t xml:space="preserve">, B., 2016. The </w:t>
      </w:r>
      <w:proofErr w:type="spellStart"/>
      <w:r w:rsidRPr="00343F6C">
        <w:rPr>
          <w:color w:val="000000"/>
          <w:sz w:val="20"/>
          <w:szCs w:val="22"/>
          <w:lang w:val="en-US"/>
        </w:rPr>
        <w:t>ecoinvent</w:t>
      </w:r>
      <w:proofErr w:type="spellEnd"/>
      <w:r w:rsidRPr="00343F6C">
        <w:rPr>
          <w:color w:val="000000"/>
          <w:sz w:val="20"/>
          <w:szCs w:val="22"/>
          <w:lang w:val="en-US"/>
        </w:rPr>
        <w:t xml:space="preserve"> database version 3 (part I): overview and methodology. International Journal of Life Cycle Assessment 21, 1218-1230. https://doi.org/10.1007/s11367-016-1087-8.</w:t>
      </w:r>
    </w:p>
    <w:sectPr w:rsidR="008F54F8" w:rsidRPr="00496B16" w:rsidSect="00343F6C">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6FCE1" w14:textId="77777777" w:rsidR="002323E3" w:rsidRDefault="002323E3">
      <w:r>
        <w:separator/>
      </w:r>
    </w:p>
  </w:endnote>
  <w:endnote w:type="continuationSeparator" w:id="0">
    <w:p w14:paraId="33D7483D" w14:textId="77777777" w:rsidR="002323E3" w:rsidRDefault="00232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2040503050306020203"/>
    <w:charset w:val="00"/>
    <w:family w:val="roman"/>
    <w:notTrueType/>
    <w:pitch w:val="variable"/>
    <w:sig w:usb0="60000287" w:usb1="00000001" w:usb2="00000000" w:usb3="00000000" w:csb0="0000019F" w:csb1="00000000"/>
  </w:font>
  <w:font w:name="Helvetica">
    <w:panose1 w:val="00000000000000000000"/>
    <w:charset w:val="00"/>
    <w:family w:val="swiss"/>
    <w:pitch w:val="variable"/>
    <w:sig w:usb0="E0002AFF" w:usb1="5000785B"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628F7" w14:textId="77777777" w:rsidR="002323E3" w:rsidRDefault="002323E3">
      <w:r>
        <w:separator/>
      </w:r>
    </w:p>
  </w:footnote>
  <w:footnote w:type="continuationSeparator" w:id="0">
    <w:p w14:paraId="2D3D1B11" w14:textId="77777777" w:rsidR="002323E3" w:rsidRDefault="002323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4DBA4E9C"/>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2"/>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8"/>
  </w:num>
  <w:num w:numId="12" w16cid:durableId="355472642">
    <w:abstractNumId w:val="14"/>
  </w:num>
  <w:num w:numId="13" w16cid:durableId="311523580">
    <w:abstractNumId w:val="6"/>
    <w:lvlOverride w:ilvl="0">
      <w:startOverride w:val="1"/>
    </w:lvlOverride>
  </w:num>
  <w:num w:numId="14" w16cid:durableId="1496726486">
    <w:abstractNumId w:val="17"/>
  </w:num>
  <w:num w:numId="15" w16cid:durableId="1806385346">
    <w:abstractNumId w:val="7"/>
  </w:num>
  <w:num w:numId="16" w16cid:durableId="1758162859">
    <w:abstractNumId w:val="13"/>
  </w:num>
  <w:num w:numId="17" w16cid:durableId="569772207">
    <w:abstractNumId w:val="16"/>
  </w:num>
  <w:num w:numId="18" w16cid:durableId="1080835087">
    <w:abstractNumId w:val="20"/>
  </w:num>
  <w:num w:numId="19" w16cid:durableId="1514802717">
    <w:abstractNumId w:val="9"/>
  </w:num>
  <w:num w:numId="20" w16cid:durableId="1328480391">
    <w:abstractNumId w:val="8"/>
  </w:num>
  <w:num w:numId="21" w16cid:durableId="1166094805">
    <w:abstractNumId w:val="12"/>
  </w:num>
  <w:num w:numId="22" w16cid:durableId="679743871">
    <w:abstractNumId w:val="19"/>
  </w:num>
  <w:num w:numId="23" w16cid:durableId="612976666">
    <w:abstractNumId w:val="15"/>
  </w:num>
  <w:num w:numId="24" w16cid:durableId="7829984">
    <w:abstractNumId w:val="21"/>
  </w:num>
  <w:num w:numId="25" w16cid:durableId="1414205997">
    <w:abstractNumId w:val="18"/>
    <w:lvlOverride w:ilvl="0">
      <w:startOverride w:val="1"/>
    </w:lvlOverride>
  </w:num>
  <w:num w:numId="26" w16cid:durableId="32268994">
    <w:abstractNumId w:val="18"/>
    <w:lvlOverride w:ilvl="0">
      <w:startOverride w:val="1"/>
    </w:lvlOverride>
  </w:num>
  <w:num w:numId="27" w16cid:durableId="2117628692">
    <w:abstractNumId w:val="18"/>
    <w:lvlOverride w:ilvl="0">
      <w:startOverride w:val="1"/>
    </w:lvlOverride>
  </w:num>
  <w:num w:numId="28" w16cid:durableId="753012245">
    <w:abstractNumId w:val="18"/>
    <w:lvlOverride w:ilvl="0">
      <w:startOverride w:val="1"/>
    </w:lvlOverride>
  </w:num>
  <w:num w:numId="29" w16cid:durableId="939989712">
    <w:abstractNumId w:val="18"/>
    <w:lvlOverride w:ilvl="0">
      <w:startOverride w:val="1"/>
    </w:lvlOverride>
  </w:num>
  <w:num w:numId="30" w16cid:durableId="321737559">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ocumentProtection w:edit="trackedChanges" w:enforcement="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11F4"/>
    <w:rsid w:val="00003491"/>
    <w:rsid w:val="00005037"/>
    <w:rsid w:val="000067DB"/>
    <w:rsid w:val="00010262"/>
    <w:rsid w:val="0002379F"/>
    <w:rsid w:val="00031F13"/>
    <w:rsid w:val="0004235D"/>
    <w:rsid w:val="0005003E"/>
    <w:rsid w:val="000533E4"/>
    <w:rsid w:val="000534F5"/>
    <w:rsid w:val="00053E02"/>
    <w:rsid w:val="00055DB9"/>
    <w:rsid w:val="00057B5E"/>
    <w:rsid w:val="00066B26"/>
    <w:rsid w:val="00066F72"/>
    <w:rsid w:val="000678AC"/>
    <w:rsid w:val="000712A1"/>
    <w:rsid w:val="00074DBF"/>
    <w:rsid w:val="00092ED5"/>
    <w:rsid w:val="000A0ADB"/>
    <w:rsid w:val="000A1CC8"/>
    <w:rsid w:val="000A30A5"/>
    <w:rsid w:val="000A36B5"/>
    <w:rsid w:val="000A52A1"/>
    <w:rsid w:val="000B04BE"/>
    <w:rsid w:val="000B09B5"/>
    <w:rsid w:val="000B11BF"/>
    <w:rsid w:val="000B1F4D"/>
    <w:rsid w:val="000C2344"/>
    <w:rsid w:val="000D64B9"/>
    <w:rsid w:val="000D6E1A"/>
    <w:rsid w:val="000E1855"/>
    <w:rsid w:val="000E6CBA"/>
    <w:rsid w:val="000F739B"/>
    <w:rsid w:val="0010501A"/>
    <w:rsid w:val="00115D3B"/>
    <w:rsid w:val="0013179A"/>
    <w:rsid w:val="0013222F"/>
    <w:rsid w:val="00136177"/>
    <w:rsid w:val="0015090D"/>
    <w:rsid w:val="00150B42"/>
    <w:rsid w:val="00155FB8"/>
    <w:rsid w:val="00157CE5"/>
    <w:rsid w:val="001647D2"/>
    <w:rsid w:val="00166C42"/>
    <w:rsid w:val="00176EF6"/>
    <w:rsid w:val="001904A7"/>
    <w:rsid w:val="0019232E"/>
    <w:rsid w:val="00194E9A"/>
    <w:rsid w:val="001968B5"/>
    <w:rsid w:val="001969B9"/>
    <w:rsid w:val="001A117A"/>
    <w:rsid w:val="001A775B"/>
    <w:rsid w:val="001A7F40"/>
    <w:rsid w:val="001B13D6"/>
    <w:rsid w:val="001B6BCF"/>
    <w:rsid w:val="001B7B01"/>
    <w:rsid w:val="001C3A3D"/>
    <w:rsid w:val="001C63A2"/>
    <w:rsid w:val="001D0384"/>
    <w:rsid w:val="001D4912"/>
    <w:rsid w:val="001E2B93"/>
    <w:rsid w:val="001F1AAA"/>
    <w:rsid w:val="001F2881"/>
    <w:rsid w:val="00205626"/>
    <w:rsid w:val="00206116"/>
    <w:rsid w:val="00212628"/>
    <w:rsid w:val="0022299B"/>
    <w:rsid w:val="00225724"/>
    <w:rsid w:val="002323E3"/>
    <w:rsid w:val="002331FE"/>
    <w:rsid w:val="00243214"/>
    <w:rsid w:val="002470B2"/>
    <w:rsid w:val="00247A55"/>
    <w:rsid w:val="002647A0"/>
    <w:rsid w:val="00266E47"/>
    <w:rsid w:val="00270E75"/>
    <w:rsid w:val="0027288C"/>
    <w:rsid w:val="00273341"/>
    <w:rsid w:val="00281D0B"/>
    <w:rsid w:val="002972D1"/>
    <w:rsid w:val="002A04A9"/>
    <w:rsid w:val="002A39BB"/>
    <w:rsid w:val="002B2B10"/>
    <w:rsid w:val="002B417A"/>
    <w:rsid w:val="002C089D"/>
    <w:rsid w:val="002C101B"/>
    <w:rsid w:val="002C68AD"/>
    <w:rsid w:val="002D322C"/>
    <w:rsid w:val="002D4864"/>
    <w:rsid w:val="002E5D62"/>
    <w:rsid w:val="002F1386"/>
    <w:rsid w:val="002F1D87"/>
    <w:rsid w:val="002F6B87"/>
    <w:rsid w:val="00303345"/>
    <w:rsid w:val="0031685E"/>
    <w:rsid w:val="003357AC"/>
    <w:rsid w:val="00343F6C"/>
    <w:rsid w:val="0035638A"/>
    <w:rsid w:val="003605B9"/>
    <w:rsid w:val="00362122"/>
    <w:rsid w:val="00364A52"/>
    <w:rsid w:val="00373F97"/>
    <w:rsid w:val="0037406D"/>
    <w:rsid w:val="00374216"/>
    <w:rsid w:val="0037571C"/>
    <w:rsid w:val="0038545D"/>
    <w:rsid w:val="003869E8"/>
    <w:rsid w:val="00387188"/>
    <w:rsid w:val="00391288"/>
    <w:rsid w:val="00393777"/>
    <w:rsid w:val="00395E5A"/>
    <w:rsid w:val="00395F5E"/>
    <w:rsid w:val="0039742D"/>
    <w:rsid w:val="003A3A38"/>
    <w:rsid w:val="003A7DB9"/>
    <w:rsid w:val="003B2055"/>
    <w:rsid w:val="003C0806"/>
    <w:rsid w:val="003C18DE"/>
    <w:rsid w:val="003C1B31"/>
    <w:rsid w:val="003C2B1A"/>
    <w:rsid w:val="003C39C6"/>
    <w:rsid w:val="003C7E95"/>
    <w:rsid w:val="003D0C22"/>
    <w:rsid w:val="003D6941"/>
    <w:rsid w:val="003E1E1C"/>
    <w:rsid w:val="003F0403"/>
    <w:rsid w:val="003F5B99"/>
    <w:rsid w:val="004019FD"/>
    <w:rsid w:val="00403E6A"/>
    <w:rsid w:val="004053B5"/>
    <w:rsid w:val="0040615A"/>
    <w:rsid w:val="00411E29"/>
    <w:rsid w:val="004127FA"/>
    <w:rsid w:val="0042033E"/>
    <w:rsid w:val="004357AD"/>
    <w:rsid w:val="00453296"/>
    <w:rsid w:val="00467DFD"/>
    <w:rsid w:val="00476879"/>
    <w:rsid w:val="00490F10"/>
    <w:rsid w:val="00493C81"/>
    <w:rsid w:val="00494006"/>
    <w:rsid w:val="00496B16"/>
    <w:rsid w:val="004A14C9"/>
    <w:rsid w:val="004A3506"/>
    <w:rsid w:val="004B0CD4"/>
    <w:rsid w:val="004B3295"/>
    <w:rsid w:val="004C39AD"/>
    <w:rsid w:val="004C4EE9"/>
    <w:rsid w:val="004E5D79"/>
    <w:rsid w:val="004F4904"/>
    <w:rsid w:val="004F5FF9"/>
    <w:rsid w:val="00500640"/>
    <w:rsid w:val="00500D7D"/>
    <w:rsid w:val="00501ADC"/>
    <w:rsid w:val="005067AC"/>
    <w:rsid w:val="00514890"/>
    <w:rsid w:val="0051584D"/>
    <w:rsid w:val="00521A24"/>
    <w:rsid w:val="0053048D"/>
    <w:rsid w:val="00532138"/>
    <w:rsid w:val="0053532A"/>
    <w:rsid w:val="005404F1"/>
    <w:rsid w:val="00544D85"/>
    <w:rsid w:val="00550776"/>
    <w:rsid w:val="00556004"/>
    <w:rsid w:val="00566460"/>
    <w:rsid w:val="0057075C"/>
    <w:rsid w:val="005721F8"/>
    <w:rsid w:val="005836C7"/>
    <w:rsid w:val="00587B8A"/>
    <w:rsid w:val="005B3E86"/>
    <w:rsid w:val="005B6F55"/>
    <w:rsid w:val="005D1066"/>
    <w:rsid w:val="005D5CF6"/>
    <w:rsid w:val="005E04EA"/>
    <w:rsid w:val="005E0D7D"/>
    <w:rsid w:val="005E7208"/>
    <w:rsid w:val="005F106F"/>
    <w:rsid w:val="00607C4E"/>
    <w:rsid w:val="00613AF9"/>
    <w:rsid w:val="0061732F"/>
    <w:rsid w:val="0062257E"/>
    <w:rsid w:val="00625BC2"/>
    <w:rsid w:val="00627E34"/>
    <w:rsid w:val="006309AA"/>
    <w:rsid w:val="00633473"/>
    <w:rsid w:val="006379BD"/>
    <w:rsid w:val="0064403B"/>
    <w:rsid w:val="006500EC"/>
    <w:rsid w:val="00652071"/>
    <w:rsid w:val="00652D7E"/>
    <w:rsid w:val="00653551"/>
    <w:rsid w:val="0065563B"/>
    <w:rsid w:val="00665471"/>
    <w:rsid w:val="006722C6"/>
    <w:rsid w:val="00692D7F"/>
    <w:rsid w:val="006A0AE2"/>
    <w:rsid w:val="006A2F10"/>
    <w:rsid w:val="006A77D0"/>
    <w:rsid w:val="006B3D49"/>
    <w:rsid w:val="006B4C9F"/>
    <w:rsid w:val="006C19A4"/>
    <w:rsid w:val="006C756C"/>
    <w:rsid w:val="006D19E1"/>
    <w:rsid w:val="006D4A96"/>
    <w:rsid w:val="006F3259"/>
    <w:rsid w:val="006F5B85"/>
    <w:rsid w:val="00702AE0"/>
    <w:rsid w:val="007174DA"/>
    <w:rsid w:val="00722B51"/>
    <w:rsid w:val="00725ED2"/>
    <w:rsid w:val="007400DF"/>
    <w:rsid w:val="007535ED"/>
    <w:rsid w:val="0075406E"/>
    <w:rsid w:val="00756702"/>
    <w:rsid w:val="00762EA3"/>
    <w:rsid w:val="007763CB"/>
    <w:rsid w:val="007804A7"/>
    <w:rsid w:val="007908F6"/>
    <w:rsid w:val="007954D9"/>
    <w:rsid w:val="007A7952"/>
    <w:rsid w:val="007B041F"/>
    <w:rsid w:val="007B0BDB"/>
    <w:rsid w:val="007B33DF"/>
    <w:rsid w:val="007C1632"/>
    <w:rsid w:val="007C36EF"/>
    <w:rsid w:val="007C6BDE"/>
    <w:rsid w:val="007C70CD"/>
    <w:rsid w:val="007D0678"/>
    <w:rsid w:val="007D1C2C"/>
    <w:rsid w:val="007E7634"/>
    <w:rsid w:val="00800E25"/>
    <w:rsid w:val="00801634"/>
    <w:rsid w:val="0080537B"/>
    <w:rsid w:val="00812B72"/>
    <w:rsid w:val="008219CF"/>
    <w:rsid w:val="008314FC"/>
    <w:rsid w:val="00834062"/>
    <w:rsid w:val="00837104"/>
    <w:rsid w:val="00840E8F"/>
    <w:rsid w:val="0084100F"/>
    <w:rsid w:val="00844F36"/>
    <w:rsid w:val="00845AE3"/>
    <w:rsid w:val="0087241B"/>
    <w:rsid w:val="00877C47"/>
    <w:rsid w:val="00893500"/>
    <w:rsid w:val="008A0437"/>
    <w:rsid w:val="008B618F"/>
    <w:rsid w:val="008D44C5"/>
    <w:rsid w:val="008D7E85"/>
    <w:rsid w:val="008E19FF"/>
    <w:rsid w:val="008E53FF"/>
    <w:rsid w:val="008F249D"/>
    <w:rsid w:val="008F54F8"/>
    <w:rsid w:val="009011AA"/>
    <w:rsid w:val="009015EF"/>
    <w:rsid w:val="00904774"/>
    <w:rsid w:val="00906CC3"/>
    <w:rsid w:val="00917D56"/>
    <w:rsid w:val="00931C9D"/>
    <w:rsid w:val="00933A00"/>
    <w:rsid w:val="00933BFD"/>
    <w:rsid w:val="00937320"/>
    <w:rsid w:val="00941691"/>
    <w:rsid w:val="00942AED"/>
    <w:rsid w:val="00944E25"/>
    <w:rsid w:val="00953F15"/>
    <w:rsid w:val="009642AB"/>
    <w:rsid w:val="00976A7F"/>
    <w:rsid w:val="00982BCB"/>
    <w:rsid w:val="00993F03"/>
    <w:rsid w:val="0099435F"/>
    <w:rsid w:val="00996BC5"/>
    <w:rsid w:val="009A66F0"/>
    <w:rsid w:val="009A6D34"/>
    <w:rsid w:val="009B4816"/>
    <w:rsid w:val="009B5B1E"/>
    <w:rsid w:val="009C1BA8"/>
    <w:rsid w:val="009C2D0D"/>
    <w:rsid w:val="009C3492"/>
    <w:rsid w:val="009C49C6"/>
    <w:rsid w:val="009C5AA4"/>
    <w:rsid w:val="009D02D4"/>
    <w:rsid w:val="009D60E3"/>
    <w:rsid w:val="009E0D67"/>
    <w:rsid w:val="009E4985"/>
    <w:rsid w:val="009F16C5"/>
    <w:rsid w:val="009F3E11"/>
    <w:rsid w:val="009F6AF8"/>
    <w:rsid w:val="009F6E78"/>
    <w:rsid w:val="009F7A4B"/>
    <w:rsid w:val="009F7C7E"/>
    <w:rsid w:val="00A01148"/>
    <w:rsid w:val="00A31DC5"/>
    <w:rsid w:val="00A40C81"/>
    <w:rsid w:val="00A436CD"/>
    <w:rsid w:val="00A5180B"/>
    <w:rsid w:val="00A55E36"/>
    <w:rsid w:val="00A6457C"/>
    <w:rsid w:val="00A8223C"/>
    <w:rsid w:val="00A8757B"/>
    <w:rsid w:val="00A92044"/>
    <w:rsid w:val="00A9727D"/>
    <w:rsid w:val="00AA16B9"/>
    <w:rsid w:val="00AA47DC"/>
    <w:rsid w:val="00AB624E"/>
    <w:rsid w:val="00AC2C09"/>
    <w:rsid w:val="00AC6B6F"/>
    <w:rsid w:val="00AD2C5E"/>
    <w:rsid w:val="00AE11FC"/>
    <w:rsid w:val="00AE6354"/>
    <w:rsid w:val="00AF15AF"/>
    <w:rsid w:val="00AF6EB4"/>
    <w:rsid w:val="00B01141"/>
    <w:rsid w:val="00B02E33"/>
    <w:rsid w:val="00B04CF2"/>
    <w:rsid w:val="00B12803"/>
    <w:rsid w:val="00B214A1"/>
    <w:rsid w:val="00B22D5C"/>
    <w:rsid w:val="00B263F0"/>
    <w:rsid w:val="00B2716E"/>
    <w:rsid w:val="00B31661"/>
    <w:rsid w:val="00B32703"/>
    <w:rsid w:val="00B47522"/>
    <w:rsid w:val="00B5097B"/>
    <w:rsid w:val="00B54313"/>
    <w:rsid w:val="00B60B5F"/>
    <w:rsid w:val="00B62EA2"/>
    <w:rsid w:val="00B6496F"/>
    <w:rsid w:val="00B8064D"/>
    <w:rsid w:val="00B80F06"/>
    <w:rsid w:val="00B827C6"/>
    <w:rsid w:val="00B84CEB"/>
    <w:rsid w:val="00B86327"/>
    <w:rsid w:val="00B93F09"/>
    <w:rsid w:val="00BA23FC"/>
    <w:rsid w:val="00BB1390"/>
    <w:rsid w:val="00BC738E"/>
    <w:rsid w:val="00BD0576"/>
    <w:rsid w:val="00BE50D0"/>
    <w:rsid w:val="00BF16FE"/>
    <w:rsid w:val="00C012F5"/>
    <w:rsid w:val="00C068BC"/>
    <w:rsid w:val="00C17081"/>
    <w:rsid w:val="00C20A85"/>
    <w:rsid w:val="00C27FD4"/>
    <w:rsid w:val="00C365E2"/>
    <w:rsid w:val="00C44EFB"/>
    <w:rsid w:val="00C55264"/>
    <w:rsid w:val="00C6695C"/>
    <w:rsid w:val="00C97946"/>
    <w:rsid w:val="00CA4F91"/>
    <w:rsid w:val="00CA7ABB"/>
    <w:rsid w:val="00CB57E5"/>
    <w:rsid w:val="00CB7EE8"/>
    <w:rsid w:val="00CC0BDA"/>
    <w:rsid w:val="00CC3B0C"/>
    <w:rsid w:val="00CC445A"/>
    <w:rsid w:val="00CD4EFC"/>
    <w:rsid w:val="00CE432C"/>
    <w:rsid w:val="00CE6DBB"/>
    <w:rsid w:val="00D0520C"/>
    <w:rsid w:val="00D14555"/>
    <w:rsid w:val="00D17DCC"/>
    <w:rsid w:val="00D225FC"/>
    <w:rsid w:val="00D31359"/>
    <w:rsid w:val="00D32EF0"/>
    <w:rsid w:val="00D34665"/>
    <w:rsid w:val="00D35E52"/>
    <w:rsid w:val="00D36FA6"/>
    <w:rsid w:val="00D41E9A"/>
    <w:rsid w:val="00D53F31"/>
    <w:rsid w:val="00D5584D"/>
    <w:rsid w:val="00D62269"/>
    <w:rsid w:val="00D62EDC"/>
    <w:rsid w:val="00D63D44"/>
    <w:rsid w:val="00D77A85"/>
    <w:rsid w:val="00D976DC"/>
    <w:rsid w:val="00DA244B"/>
    <w:rsid w:val="00DA7F88"/>
    <w:rsid w:val="00DB52E7"/>
    <w:rsid w:val="00DC0318"/>
    <w:rsid w:val="00DD1D5F"/>
    <w:rsid w:val="00DE0269"/>
    <w:rsid w:val="00E012C5"/>
    <w:rsid w:val="00E023A9"/>
    <w:rsid w:val="00E07D1B"/>
    <w:rsid w:val="00E1006D"/>
    <w:rsid w:val="00E218E2"/>
    <w:rsid w:val="00E23FEE"/>
    <w:rsid w:val="00E53F82"/>
    <w:rsid w:val="00E548A7"/>
    <w:rsid w:val="00E57E49"/>
    <w:rsid w:val="00E61C50"/>
    <w:rsid w:val="00E65D4A"/>
    <w:rsid w:val="00E7237D"/>
    <w:rsid w:val="00E917F8"/>
    <w:rsid w:val="00E9249A"/>
    <w:rsid w:val="00EA34C6"/>
    <w:rsid w:val="00EA50D7"/>
    <w:rsid w:val="00EA56BF"/>
    <w:rsid w:val="00EC3533"/>
    <w:rsid w:val="00ED7123"/>
    <w:rsid w:val="00EE40FA"/>
    <w:rsid w:val="00EF2F33"/>
    <w:rsid w:val="00EF596C"/>
    <w:rsid w:val="00F0298C"/>
    <w:rsid w:val="00F07750"/>
    <w:rsid w:val="00F10047"/>
    <w:rsid w:val="00F30A77"/>
    <w:rsid w:val="00F4393F"/>
    <w:rsid w:val="00F46A3A"/>
    <w:rsid w:val="00F5375D"/>
    <w:rsid w:val="00F5454E"/>
    <w:rsid w:val="00F6791D"/>
    <w:rsid w:val="00F715C3"/>
    <w:rsid w:val="00F718BD"/>
    <w:rsid w:val="00F77F3D"/>
    <w:rsid w:val="00F80507"/>
    <w:rsid w:val="00F83CD3"/>
    <w:rsid w:val="00F85F61"/>
    <w:rsid w:val="00F9253F"/>
    <w:rsid w:val="00F95487"/>
    <w:rsid w:val="00F95DEF"/>
    <w:rsid w:val="00FA1553"/>
    <w:rsid w:val="00FA4DF8"/>
    <w:rsid w:val="00FB45FB"/>
    <w:rsid w:val="00FC09A1"/>
    <w:rsid w:val="00FC1374"/>
    <w:rsid w:val="00FC1781"/>
    <w:rsid w:val="00FC244F"/>
    <w:rsid w:val="00FC2DBA"/>
    <w:rsid w:val="00FD79DA"/>
    <w:rsid w:val="00FE2ADC"/>
    <w:rsid w:val="00FE5997"/>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1A8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937320"/>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Kopfzeile">
    <w:name w:val="header"/>
    <w:basedOn w:val="Standard"/>
    <w:link w:val="KopfzeileZchn"/>
    <w:uiPriority w:val="99"/>
    <w:unhideWhenUsed/>
    <w:rsid w:val="00FC1374"/>
    <w:pPr>
      <w:tabs>
        <w:tab w:val="center" w:pos="4536"/>
        <w:tab w:val="right" w:pos="9072"/>
      </w:tabs>
    </w:pPr>
  </w:style>
  <w:style w:type="character" w:customStyle="1" w:styleId="KopfzeileZchn">
    <w:name w:val="Kopfzeile Zchn"/>
    <w:basedOn w:val="Absatz-Standardschriftart"/>
    <w:link w:val="Kopfzeile"/>
    <w:uiPriority w:val="99"/>
    <w:rsid w:val="00FC1374"/>
    <w:rPr>
      <w:sz w:val="24"/>
      <w:szCs w:val="24"/>
      <w:lang w:val="de-DE" w:eastAsia="de-DE"/>
    </w:rPr>
  </w:style>
  <w:style w:type="paragraph" w:styleId="Fuzeile">
    <w:name w:val="footer"/>
    <w:basedOn w:val="Standard"/>
    <w:link w:val="FuzeileZchn"/>
    <w:uiPriority w:val="99"/>
    <w:unhideWhenUsed/>
    <w:rsid w:val="00FC1374"/>
    <w:pPr>
      <w:tabs>
        <w:tab w:val="center" w:pos="4536"/>
        <w:tab w:val="right" w:pos="9072"/>
      </w:tabs>
    </w:pPr>
  </w:style>
  <w:style w:type="character" w:customStyle="1" w:styleId="FuzeileZchn">
    <w:name w:val="Fußzeile Zchn"/>
    <w:basedOn w:val="Absatz-Standardschriftart"/>
    <w:link w:val="Fuzeile"/>
    <w:uiPriority w:val="99"/>
    <w:rsid w:val="00FC1374"/>
    <w:rPr>
      <w:sz w:val="24"/>
      <w:szCs w:val="24"/>
      <w:lang w:val="de-DE" w:eastAsia="de-DE"/>
    </w:rPr>
  </w:style>
  <w:style w:type="character" w:styleId="NichtaufgelsteErwhnung">
    <w:name w:val="Unresolved Mention"/>
    <w:basedOn w:val="Absatz-Standardschriftart"/>
    <w:uiPriority w:val="99"/>
    <w:semiHidden/>
    <w:unhideWhenUsed/>
    <w:rsid w:val="004B32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3.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C:\DATEN\_Konf_EUROSUN%202026\EuroSun2026_All_Figures_HIGH_END_CORRECTED.xlsx"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C:\DATEN\_Konf_EUROSUN%202026\EuroSun2026_All_Figures_HIGH_END_CORRECTED.xlsx"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oleObject" Target="file:///C:\DATEN\_Konf_EUROSUN%202026\EuroSun2026_All_Figures_HIGH_END_CORRECTED.xlsx" TargetMode="External"/><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1" Type="http://schemas.openxmlformats.org/officeDocument/2006/relationships/oleObject" Target="file:///C:\DATEN\_Konf_EUROSUN%202026\Paper\EuroSun2026_LCOH_Figure5_CORREC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090843614792806"/>
          <c:y val="9.6447871851070163E-2"/>
          <c:w val="0.85909156385207197"/>
          <c:h val="0.80796597766792444"/>
        </c:manualLayout>
      </c:layout>
      <c:barChart>
        <c:barDir val="col"/>
        <c:grouping val="clustered"/>
        <c:varyColors val="0"/>
        <c:ser>
          <c:idx val="0"/>
          <c:order val="0"/>
          <c:tx>
            <c:v>Solar yield</c:v>
          </c:tx>
          <c:spPr>
            <a:solidFill>
              <a:srgbClr val="D9A300"/>
            </a:solidFill>
          </c:spPr>
          <c:invertIfNegative val="1"/>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3"/>
              <c:pt idx="0">
                <c:v>Flat plate</c:v>
              </c:pt>
              <c:pt idx="1">
                <c:v>Evacuated tube</c:v>
              </c:pt>
              <c:pt idx="2">
                <c:v>PV2Heat</c:v>
              </c:pt>
            </c:strLit>
          </c:cat>
          <c:val>
            <c:numLit>
              <c:formatCode>0</c:formatCode>
              <c:ptCount val="3"/>
              <c:pt idx="0">
                <c:v>2256</c:v>
              </c:pt>
              <c:pt idx="1">
                <c:v>1373</c:v>
              </c:pt>
              <c:pt idx="2">
                <c:v>1652</c:v>
              </c:pt>
            </c:numLit>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0-DF87-4AD1-8426-EB891A5CC734}"/>
            </c:ext>
          </c:extLst>
        </c:ser>
        <c:ser>
          <c:idx val="1"/>
          <c:order val="1"/>
          <c:tx>
            <c:v>Useful hot-water energy</c:v>
          </c:tx>
          <c:spPr>
            <a:solidFill>
              <a:srgbClr val="B32020"/>
            </a:solidFill>
          </c:spPr>
          <c:invertIfNegative val="1"/>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3"/>
              <c:pt idx="0">
                <c:v>Flat plate</c:v>
              </c:pt>
              <c:pt idx="1">
                <c:v>Evacuated tube</c:v>
              </c:pt>
              <c:pt idx="2">
                <c:v>PV2Heat</c:v>
              </c:pt>
            </c:strLit>
          </c:cat>
          <c:val>
            <c:numLit>
              <c:formatCode>0</c:formatCode>
              <c:ptCount val="3"/>
              <c:pt idx="0">
                <c:v>1862</c:v>
              </c:pt>
              <c:pt idx="1">
                <c:v>1058</c:v>
              </c:pt>
              <c:pt idx="2">
                <c:v>1243</c:v>
              </c:pt>
            </c:numLit>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1-DF87-4AD1-8426-EB891A5CC734}"/>
            </c:ext>
          </c:extLst>
        </c:ser>
        <c:dLbls>
          <c:dLblPos val="outEnd"/>
          <c:showLegendKey val="0"/>
          <c:showVal val="1"/>
          <c:showCatName val="0"/>
          <c:showSerName val="0"/>
          <c:showPercent val="0"/>
          <c:showBubbleSize val="0"/>
        </c:dLbls>
        <c:gapWidth val="70"/>
        <c:axId val="48650112"/>
        <c:axId val="48672768"/>
      </c:barChart>
      <c:catAx>
        <c:axId val="48650112"/>
        <c:scaling>
          <c:orientation val="minMax"/>
        </c:scaling>
        <c:delete val="0"/>
        <c:axPos val="b"/>
        <c:numFmt formatCode="General" sourceLinked="1"/>
        <c:majorTickMark val="out"/>
        <c:minorTickMark val="none"/>
        <c:tickLblPos val="low"/>
        <c:spPr>
          <a:ln w="11430">
            <a:solidFill>
              <a:srgbClr val="111111"/>
            </a:solidFill>
            <a:prstDash val="solid"/>
          </a:ln>
        </c:spPr>
        <c:txPr>
          <a:bodyPr rot="0" anchorCtr="1"/>
          <a:lstStyle/>
          <a:p>
            <a:pPr>
              <a:defRPr sz="900"/>
            </a:pPr>
            <a:endParaRPr lang="de-DE"/>
          </a:p>
        </c:txPr>
        <c:crossAx val="48672768"/>
        <c:crosses val="autoZero"/>
        <c:auto val="1"/>
        <c:lblAlgn val="ctr"/>
        <c:lblOffset val="100"/>
        <c:noMultiLvlLbl val="0"/>
      </c:catAx>
      <c:valAx>
        <c:axId val="48672768"/>
        <c:scaling>
          <c:orientation val="minMax"/>
        </c:scaling>
        <c:delete val="0"/>
        <c:axPos val="l"/>
        <c:title>
          <c:tx>
            <c:rich>
              <a:bodyPr/>
              <a:lstStyle/>
              <a:p>
                <a:r>
                  <a:rPr lang="de-AT" sz="1050"/>
                  <a:t>Energy [kWh over reported comparison period]</a:t>
                </a:r>
              </a:p>
            </c:rich>
          </c:tx>
          <c:layout>
            <c:manualLayout>
              <c:xMode val="edge"/>
              <c:yMode val="edge"/>
              <c:x val="3.727184531732959E-3"/>
              <c:y val="0.20172616459752346"/>
            </c:manualLayout>
          </c:layout>
          <c:overlay val="1"/>
        </c:title>
        <c:numFmt formatCode="0" sourceLinked="0"/>
        <c:majorTickMark val="out"/>
        <c:minorTickMark val="none"/>
        <c:tickLblPos val="nextTo"/>
        <c:spPr>
          <a:ln w="11430">
            <a:solidFill>
              <a:srgbClr val="111111"/>
            </a:solidFill>
            <a:prstDash val="solid"/>
          </a:ln>
        </c:spPr>
        <c:txPr>
          <a:bodyPr anchorCtr="1"/>
          <a:lstStyle/>
          <a:p>
            <a:pPr>
              <a:defRPr sz="900"/>
            </a:pPr>
            <a:endParaRPr lang="de-DE"/>
          </a:p>
        </c:txPr>
        <c:crossAx val="48650112"/>
        <c:crosses val="autoZero"/>
        <c:crossBetween val="between"/>
        <c:majorUnit val="500"/>
      </c:valAx>
    </c:plotArea>
    <c:legend>
      <c:legendPos val="t"/>
      <c:layout>
        <c:manualLayout>
          <c:xMode val="edge"/>
          <c:yMode val="edge"/>
          <c:x val="0.54887165718788122"/>
          <c:y val="2.7266530334014997E-2"/>
          <c:w val="0.43124059569697276"/>
          <c:h val="8.2176384393668589E-2"/>
        </c:manualLayout>
      </c:layout>
      <c:overlay val="0"/>
    </c:legend>
    <c:plotVisOnly val="1"/>
    <c:dispBlanksAs val="zero"/>
    <c:showDLblsOverMax val="1"/>
  </c:chart>
  <c:spPr>
    <a:ln w="9525">
      <a:noFill/>
      <a:prstDash val="solid"/>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5999802151687191E-2"/>
          <c:y val="9.6447871851070163E-2"/>
          <c:w val="0.89933356357786109"/>
          <c:h val="0.7368665317653289"/>
        </c:manualLayout>
      </c:layout>
      <c:barChart>
        <c:barDir val="col"/>
        <c:grouping val="clustered"/>
        <c:varyColors val="0"/>
        <c:ser>
          <c:idx val="0"/>
          <c:order val="0"/>
          <c:tx>
            <c:v>Flat plate</c:v>
          </c:tx>
          <c:spPr>
            <a:solidFill>
              <a:srgbClr val="1F4E79"/>
            </a:solidFill>
          </c:spPr>
          <c:invertIfNegative val="1"/>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3"/>
              <c:pt idx="0">
                <c:v>High
7.50 kWh/m²</c:v>
              </c:pt>
              <c:pt idx="1">
                <c:v>Average
5.99 kWh/m²</c:v>
              </c:pt>
              <c:pt idx="2">
                <c:v>Low
1.99 kWh/m²</c:v>
              </c:pt>
            </c:strLit>
          </c:cat>
          <c:val>
            <c:numLit>
              <c:formatCode>0.0</c:formatCode>
              <c:ptCount val="3"/>
              <c:pt idx="0">
                <c:v>40.700000000000003</c:v>
              </c:pt>
              <c:pt idx="1">
                <c:v>41.1</c:v>
              </c:pt>
              <c:pt idx="2">
                <c:v>31.9</c:v>
              </c:pt>
            </c:numLit>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0-F81A-4259-AF04-49A536093C5F}"/>
            </c:ext>
          </c:extLst>
        </c:ser>
        <c:ser>
          <c:idx val="1"/>
          <c:order val="1"/>
          <c:tx>
            <c:v>Evacuated tube</c:v>
          </c:tx>
          <c:spPr>
            <a:solidFill>
              <a:srgbClr val="D58A00"/>
            </a:solidFill>
          </c:spPr>
          <c:invertIfNegative val="1"/>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3"/>
              <c:pt idx="0">
                <c:v>High
7.50 kWh/m²</c:v>
              </c:pt>
              <c:pt idx="1">
                <c:v>Average
5.99 kWh/m²</c:v>
              </c:pt>
              <c:pt idx="2">
                <c:v>Low
1.99 kWh/m²</c:v>
              </c:pt>
            </c:strLit>
          </c:cat>
          <c:val>
            <c:numLit>
              <c:formatCode>0.0</c:formatCode>
              <c:ptCount val="3"/>
              <c:pt idx="0">
                <c:v>27.1</c:v>
              </c:pt>
              <c:pt idx="1">
                <c:v>29.9</c:v>
              </c:pt>
              <c:pt idx="2">
                <c:v>26.6</c:v>
              </c:pt>
            </c:numLit>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1-F81A-4259-AF04-49A536093C5F}"/>
            </c:ext>
          </c:extLst>
        </c:ser>
        <c:ser>
          <c:idx val="2"/>
          <c:order val="2"/>
          <c:tx>
            <c:v>PV2Heat</c:v>
          </c:tx>
          <c:spPr>
            <a:solidFill>
              <a:srgbClr val="4F7F52"/>
            </a:solidFill>
          </c:spPr>
          <c:invertIfNegative val="1"/>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3"/>
              <c:pt idx="0">
                <c:v>High
7.50 kWh/m²</c:v>
              </c:pt>
              <c:pt idx="1">
                <c:v>Average
5.99 kWh/m²</c:v>
              </c:pt>
              <c:pt idx="2">
                <c:v>Low
1.99 kWh/m²</c:v>
              </c:pt>
            </c:strLit>
          </c:cat>
          <c:val>
            <c:numLit>
              <c:formatCode>0.0</c:formatCode>
              <c:ptCount val="3"/>
              <c:pt idx="0">
                <c:v>13.4</c:v>
              </c:pt>
              <c:pt idx="1">
                <c:v>16.5</c:v>
              </c:pt>
              <c:pt idx="2">
                <c:v>17.5</c:v>
              </c:pt>
            </c:numLit>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2-F81A-4259-AF04-49A536093C5F}"/>
            </c:ext>
          </c:extLst>
        </c:ser>
        <c:dLbls>
          <c:dLblPos val="outEnd"/>
          <c:showLegendKey val="0"/>
          <c:showVal val="1"/>
          <c:showCatName val="0"/>
          <c:showSerName val="0"/>
          <c:showPercent val="0"/>
          <c:showBubbleSize val="0"/>
        </c:dLbls>
        <c:gapWidth val="55"/>
        <c:axId val="48650112"/>
        <c:axId val="48672768"/>
      </c:barChart>
      <c:catAx>
        <c:axId val="48650112"/>
        <c:scaling>
          <c:orientation val="minMax"/>
        </c:scaling>
        <c:delete val="0"/>
        <c:axPos val="b"/>
        <c:numFmt formatCode="General" sourceLinked="1"/>
        <c:majorTickMark val="out"/>
        <c:minorTickMark val="none"/>
        <c:tickLblPos val="low"/>
        <c:spPr>
          <a:ln w="11430">
            <a:solidFill>
              <a:srgbClr val="111111"/>
            </a:solidFill>
            <a:prstDash val="solid"/>
          </a:ln>
        </c:spPr>
        <c:txPr>
          <a:bodyPr rot="0" anchorCtr="1"/>
          <a:lstStyle/>
          <a:p>
            <a:pPr>
              <a:defRPr sz="900"/>
            </a:pPr>
            <a:endParaRPr lang="de-DE"/>
          </a:p>
        </c:txPr>
        <c:crossAx val="48672768"/>
        <c:crosses val="autoZero"/>
        <c:auto val="1"/>
        <c:lblAlgn val="ctr"/>
        <c:lblOffset val="100"/>
        <c:noMultiLvlLbl val="0"/>
      </c:catAx>
      <c:valAx>
        <c:axId val="48672768"/>
        <c:scaling>
          <c:orientation val="minMax"/>
        </c:scaling>
        <c:delete val="0"/>
        <c:axPos val="l"/>
        <c:title>
          <c:tx>
            <c:rich>
              <a:bodyPr/>
              <a:lstStyle/>
              <a:p>
                <a:r>
                  <a:rPr lang="de-AT" sz="1050"/>
                  <a:t>Gross-area efficiency [%]</a:t>
                </a:r>
              </a:p>
            </c:rich>
          </c:tx>
          <c:layout>
            <c:manualLayout>
              <c:xMode val="edge"/>
              <c:yMode val="edge"/>
              <c:x val="4.3507538194269679E-3"/>
              <c:y val="0.18477439808776458"/>
            </c:manualLayout>
          </c:layout>
          <c:overlay val="1"/>
        </c:title>
        <c:numFmt formatCode="0" sourceLinked="0"/>
        <c:majorTickMark val="out"/>
        <c:minorTickMark val="none"/>
        <c:tickLblPos val="nextTo"/>
        <c:spPr>
          <a:ln w="11430">
            <a:solidFill>
              <a:srgbClr val="111111"/>
            </a:solidFill>
            <a:prstDash val="solid"/>
          </a:ln>
        </c:spPr>
        <c:txPr>
          <a:bodyPr anchorCtr="1"/>
          <a:lstStyle/>
          <a:p>
            <a:pPr>
              <a:defRPr sz="900"/>
            </a:pPr>
            <a:endParaRPr lang="de-DE"/>
          </a:p>
        </c:txPr>
        <c:crossAx val="48650112"/>
        <c:crosses val="autoZero"/>
        <c:crossBetween val="between"/>
        <c:majorUnit val="10"/>
      </c:valAx>
    </c:plotArea>
    <c:legend>
      <c:legendPos val="t"/>
      <c:overlay val="0"/>
    </c:legend>
    <c:plotVisOnly val="1"/>
    <c:dispBlanksAs val="zero"/>
    <c:showDLblsOverMax val="1"/>
  </c:chart>
  <c:spPr>
    <a:ln w="9525">
      <a:noFill/>
      <a:prstDash val="solid"/>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199225062874121"/>
          <c:y val="7.9336458708979443E-2"/>
          <c:w val="0.74964353714946652"/>
          <c:h val="0.75334823139895113"/>
        </c:manualLayout>
      </c:layout>
      <c:barChart>
        <c:barDir val="col"/>
        <c:grouping val="clustered"/>
        <c:varyColors val="0"/>
        <c:ser>
          <c:idx val="0"/>
          <c:order val="0"/>
          <c:tx>
            <c:v>Flat plate</c:v>
          </c:tx>
          <c:spPr>
            <a:solidFill>
              <a:srgbClr val="1F4E79"/>
            </a:solidFill>
          </c:spPr>
          <c:invertIfNegative val="1"/>
          <c:dLbls>
            <c:dLbl>
              <c:idx val="1"/>
              <c:delete val="1"/>
              <c:extLst>
                <c:ext xmlns:c15="http://schemas.microsoft.com/office/drawing/2012/chart" uri="{CE6537A1-D6FC-4f65-9D91-7224C49458BB}"/>
                <c:ext xmlns:c16="http://schemas.microsoft.com/office/drawing/2014/chart" uri="{C3380CC4-5D6E-409C-BE32-E72D297353CC}">
                  <c16:uniqueId val="{00000000-0358-48B4-8321-4D0114131CD6}"/>
                </c:ext>
              </c:extLst>
            </c:dLbl>
            <c:dLbl>
              <c:idx val="2"/>
              <c:delete val="1"/>
              <c:extLst>
                <c:ext xmlns:c15="http://schemas.microsoft.com/office/drawing/2012/chart" uri="{CE6537A1-D6FC-4f65-9D91-7224C49458BB}"/>
                <c:ext xmlns:c16="http://schemas.microsoft.com/office/drawing/2014/chart" uri="{C3380CC4-5D6E-409C-BE32-E72D297353CC}">
                  <c16:uniqueId val="{00000001-0358-48B4-8321-4D0114131CD6}"/>
                </c:ext>
              </c:extLst>
            </c:dLbl>
            <c:spPr>
              <a:noFill/>
              <a:ln>
                <a:noFill/>
              </a:ln>
              <a:effectLst/>
            </c:spPr>
            <c:txPr>
              <a:bodyPr anchorCtr="1"/>
              <a:lstStyle/>
              <a:p>
                <a:pPr>
                  <a:defRPr sz="825"/>
                </a:pPr>
                <a:endParaRPr lang="de-D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3"/>
              <c:pt idx="0">
                <c:v>Flat plate</c:v>
              </c:pt>
              <c:pt idx="1">
                <c:v>Evacuated tube</c:v>
              </c:pt>
              <c:pt idx="2">
                <c:v>PV2Heat</c:v>
              </c:pt>
            </c:strLit>
          </c:cat>
          <c:val>
            <c:numLit>
              <c:formatCode>0.0</c:formatCode>
              <c:ptCount val="3"/>
              <c:pt idx="0">
                <c:v>20.348223415700001</c:v>
              </c:pt>
              <c:pt idx="1">
                <c:v>0</c:v>
              </c:pt>
              <c:pt idx="2">
                <c:v>0</c:v>
              </c:pt>
            </c:numLit>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2-0358-48B4-8321-4D0114131CD6}"/>
            </c:ext>
          </c:extLst>
        </c:ser>
        <c:ser>
          <c:idx val="1"/>
          <c:order val="1"/>
          <c:tx>
            <c:v>Evacuated tube</c:v>
          </c:tx>
          <c:spPr>
            <a:solidFill>
              <a:srgbClr val="D58A00"/>
            </a:solidFill>
          </c:spPr>
          <c:invertIfNegative val="1"/>
          <c:dLbls>
            <c:dLbl>
              <c:idx val="0"/>
              <c:delete val="1"/>
              <c:extLst>
                <c:ext xmlns:c15="http://schemas.microsoft.com/office/drawing/2012/chart" uri="{CE6537A1-D6FC-4f65-9D91-7224C49458BB}"/>
                <c:ext xmlns:c16="http://schemas.microsoft.com/office/drawing/2014/chart" uri="{C3380CC4-5D6E-409C-BE32-E72D297353CC}">
                  <c16:uniqueId val="{00000003-0358-48B4-8321-4D0114131CD6}"/>
                </c:ext>
              </c:extLst>
            </c:dLbl>
            <c:dLbl>
              <c:idx val="2"/>
              <c:delete val="1"/>
              <c:extLst>
                <c:ext xmlns:c15="http://schemas.microsoft.com/office/drawing/2012/chart" uri="{CE6537A1-D6FC-4f65-9D91-7224C49458BB}"/>
                <c:ext xmlns:c16="http://schemas.microsoft.com/office/drawing/2014/chart" uri="{C3380CC4-5D6E-409C-BE32-E72D297353CC}">
                  <c16:uniqueId val="{00000004-0358-48B4-8321-4D0114131CD6}"/>
                </c:ext>
              </c:extLst>
            </c:dLbl>
            <c:spPr>
              <a:noFill/>
              <a:ln>
                <a:noFill/>
              </a:ln>
              <a:effectLst/>
            </c:spPr>
            <c:txPr>
              <a:bodyPr anchorCtr="1"/>
              <a:lstStyle/>
              <a:p>
                <a:pPr>
                  <a:defRPr sz="825"/>
                </a:pPr>
                <a:endParaRPr lang="de-D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3"/>
              <c:pt idx="0">
                <c:v>Flat plate</c:v>
              </c:pt>
              <c:pt idx="1">
                <c:v>Evacuated tube</c:v>
              </c:pt>
              <c:pt idx="2">
                <c:v>PV2Heat</c:v>
              </c:pt>
            </c:strLit>
          </c:cat>
          <c:val>
            <c:numLit>
              <c:formatCode>0.0</c:formatCode>
              <c:ptCount val="3"/>
              <c:pt idx="0">
                <c:v>0</c:v>
              </c:pt>
              <c:pt idx="1">
                <c:v>29.620203969799999</c:v>
              </c:pt>
              <c:pt idx="2">
                <c:v>0</c:v>
              </c:pt>
            </c:numLit>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5-0358-48B4-8321-4D0114131CD6}"/>
            </c:ext>
          </c:extLst>
        </c:ser>
        <c:ser>
          <c:idx val="2"/>
          <c:order val="2"/>
          <c:tx>
            <c:v>PV2Heat</c:v>
          </c:tx>
          <c:spPr>
            <a:solidFill>
              <a:srgbClr val="4F7F52"/>
            </a:solidFill>
          </c:spPr>
          <c:invertIfNegative val="1"/>
          <c:dLbls>
            <c:dLbl>
              <c:idx val="0"/>
              <c:delete val="1"/>
              <c:extLst>
                <c:ext xmlns:c15="http://schemas.microsoft.com/office/drawing/2012/chart" uri="{CE6537A1-D6FC-4f65-9D91-7224C49458BB}"/>
                <c:ext xmlns:c16="http://schemas.microsoft.com/office/drawing/2014/chart" uri="{C3380CC4-5D6E-409C-BE32-E72D297353CC}">
                  <c16:uniqueId val="{00000006-0358-48B4-8321-4D0114131CD6}"/>
                </c:ext>
              </c:extLst>
            </c:dLbl>
            <c:dLbl>
              <c:idx val="1"/>
              <c:delete val="1"/>
              <c:extLst>
                <c:ext xmlns:c15="http://schemas.microsoft.com/office/drawing/2012/chart" uri="{CE6537A1-D6FC-4f65-9D91-7224C49458BB}"/>
                <c:ext xmlns:c16="http://schemas.microsoft.com/office/drawing/2014/chart" uri="{C3380CC4-5D6E-409C-BE32-E72D297353CC}">
                  <c16:uniqueId val="{00000007-0358-48B4-8321-4D0114131CD6}"/>
                </c:ext>
              </c:extLst>
            </c:dLbl>
            <c:spPr>
              <a:noFill/>
              <a:ln>
                <a:noFill/>
              </a:ln>
              <a:effectLst/>
            </c:spPr>
            <c:txPr>
              <a:bodyPr anchorCtr="1"/>
              <a:lstStyle/>
              <a:p>
                <a:pPr>
                  <a:defRPr sz="825"/>
                </a:pPr>
                <a:endParaRPr lang="de-D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3"/>
              <c:pt idx="0">
                <c:v>Flat plate</c:v>
              </c:pt>
              <c:pt idx="1">
                <c:v>Evacuated tube</c:v>
              </c:pt>
              <c:pt idx="2">
                <c:v>PV2Heat</c:v>
              </c:pt>
            </c:strLit>
          </c:cat>
          <c:val>
            <c:numLit>
              <c:formatCode>0.0</c:formatCode>
              <c:ptCount val="3"/>
              <c:pt idx="0">
                <c:v>0</c:v>
              </c:pt>
              <c:pt idx="1">
                <c:v>0</c:v>
              </c:pt>
              <c:pt idx="2">
                <c:v>71.479102815800005</c:v>
              </c:pt>
            </c:numLit>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8-0358-48B4-8321-4D0114131CD6}"/>
            </c:ext>
          </c:extLst>
        </c:ser>
        <c:dLbls>
          <c:dLblPos val="outEnd"/>
          <c:showLegendKey val="0"/>
          <c:showVal val="1"/>
          <c:showCatName val="0"/>
          <c:showSerName val="0"/>
          <c:showPercent val="0"/>
          <c:showBubbleSize val="0"/>
        </c:dLbls>
        <c:gapWidth val="50"/>
        <c:overlap val="100"/>
        <c:axId val="48650112"/>
        <c:axId val="48672768"/>
      </c:barChart>
      <c:catAx>
        <c:axId val="48650112"/>
        <c:scaling>
          <c:orientation val="minMax"/>
        </c:scaling>
        <c:delete val="0"/>
        <c:axPos val="b"/>
        <c:numFmt formatCode="General" sourceLinked="1"/>
        <c:majorTickMark val="out"/>
        <c:minorTickMark val="none"/>
        <c:tickLblPos val="low"/>
        <c:spPr>
          <a:ln w="11430">
            <a:solidFill>
              <a:srgbClr val="111111"/>
            </a:solidFill>
            <a:prstDash val="solid"/>
          </a:ln>
        </c:spPr>
        <c:txPr>
          <a:bodyPr rot="0" anchorCtr="1"/>
          <a:lstStyle/>
          <a:p>
            <a:pPr>
              <a:defRPr sz="900"/>
            </a:pPr>
            <a:endParaRPr lang="de-DE"/>
          </a:p>
        </c:txPr>
        <c:crossAx val="48672768"/>
        <c:crosses val="autoZero"/>
        <c:auto val="1"/>
        <c:lblAlgn val="ctr"/>
        <c:lblOffset val="100"/>
        <c:noMultiLvlLbl val="0"/>
      </c:catAx>
      <c:valAx>
        <c:axId val="48672768"/>
        <c:scaling>
          <c:orientation val="minMax"/>
        </c:scaling>
        <c:delete val="0"/>
        <c:axPos val="l"/>
        <c:title>
          <c:tx>
            <c:rich>
              <a:bodyPr/>
              <a:lstStyle/>
              <a:p>
                <a:r>
                  <a:rPr lang="de-AT" sz="700"/>
                  <a:t>GWP100 [g CO₂-eq/kWh </a:t>
                </a:r>
                <a:r>
                  <a:rPr lang="de-AT" sz="700" baseline="-25000"/>
                  <a:t>useful</a:t>
                </a:r>
                <a:r>
                  <a:rPr lang="de-AT" sz="700"/>
                  <a:t>]</a:t>
                </a:r>
              </a:p>
            </c:rich>
          </c:tx>
          <c:overlay val="1"/>
        </c:title>
        <c:numFmt formatCode="0" sourceLinked="0"/>
        <c:majorTickMark val="out"/>
        <c:minorTickMark val="none"/>
        <c:tickLblPos val="nextTo"/>
        <c:spPr>
          <a:ln w="11430">
            <a:solidFill>
              <a:srgbClr val="111111"/>
            </a:solidFill>
            <a:prstDash val="solid"/>
          </a:ln>
        </c:spPr>
        <c:txPr>
          <a:bodyPr anchorCtr="1"/>
          <a:lstStyle/>
          <a:p>
            <a:pPr>
              <a:defRPr sz="900"/>
            </a:pPr>
            <a:endParaRPr lang="de-DE"/>
          </a:p>
        </c:txPr>
        <c:crossAx val="48650112"/>
        <c:crosses val="autoZero"/>
        <c:crossBetween val="between"/>
        <c:majorUnit val="10"/>
      </c:valAx>
    </c:plotArea>
    <c:plotVisOnly val="1"/>
    <c:dispBlanksAs val="zero"/>
    <c:showDLblsOverMax val="1"/>
  </c:chart>
  <c:spPr>
    <a:ln w="9525">
      <a:noFill/>
      <a:prstDash val="solid"/>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473520213652636"/>
          <c:y val="7.9336458708979443E-2"/>
          <c:w val="0.79690128945136818"/>
          <c:h val="0.75334823139895113"/>
        </c:manualLayout>
      </c:layout>
      <c:barChart>
        <c:barDir val="col"/>
        <c:grouping val="clustered"/>
        <c:varyColors val="0"/>
        <c:ser>
          <c:idx val="0"/>
          <c:order val="0"/>
          <c:tx>
            <c:v>Flat plate</c:v>
          </c:tx>
          <c:spPr>
            <a:solidFill>
              <a:srgbClr val="1F4E79"/>
            </a:solidFill>
          </c:spPr>
          <c:invertIfNegative val="1"/>
          <c:dLbls>
            <c:dLbl>
              <c:idx val="1"/>
              <c:delete val="1"/>
              <c:extLst>
                <c:ext xmlns:c15="http://schemas.microsoft.com/office/drawing/2012/chart" uri="{CE6537A1-D6FC-4f65-9D91-7224C49458BB}"/>
                <c:ext xmlns:c16="http://schemas.microsoft.com/office/drawing/2014/chart" uri="{C3380CC4-5D6E-409C-BE32-E72D297353CC}">
                  <c16:uniqueId val="{00000000-20C8-468C-92D5-8EF87D73182E}"/>
                </c:ext>
              </c:extLst>
            </c:dLbl>
            <c:dLbl>
              <c:idx val="2"/>
              <c:delete val="1"/>
              <c:extLst>
                <c:ext xmlns:c15="http://schemas.microsoft.com/office/drawing/2012/chart" uri="{CE6537A1-D6FC-4f65-9D91-7224C49458BB}"/>
                <c:ext xmlns:c16="http://schemas.microsoft.com/office/drawing/2014/chart" uri="{C3380CC4-5D6E-409C-BE32-E72D297353CC}">
                  <c16:uniqueId val="{00000001-20C8-468C-92D5-8EF87D73182E}"/>
                </c:ext>
              </c:extLst>
            </c:dLbl>
            <c:spPr>
              <a:noFill/>
              <a:ln>
                <a:noFill/>
              </a:ln>
              <a:effectLst/>
            </c:spPr>
            <c:txPr>
              <a:bodyPr anchorCtr="1"/>
              <a:lstStyle/>
              <a:p>
                <a:pPr>
                  <a:defRPr sz="825"/>
                </a:pPr>
                <a:endParaRPr lang="de-D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3"/>
              <c:pt idx="0">
                <c:v>Flat plate</c:v>
              </c:pt>
              <c:pt idx="1">
                <c:v>Evacuated tube</c:v>
              </c:pt>
              <c:pt idx="2">
                <c:v>PV2Heat</c:v>
              </c:pt>
            </c:strLit>
          </c:cat>
          <c:val>
            <c:numLit>
              <c:formatCode>0.000</c:formatCode>
              <c:ptCount val="3"/>
              <c:pt idx="0">
                <c:v>0.27273246829999997</c:v>
              </c:pt>
              <c:pt idx="1">
                <c:v>0</c:v>
              </c:pt>
              <c:pt idx="2">
                <c:v>0</c:v>
              </c:pt>
            </c:numLit>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2-20C8-468C-92D5-8EF87D73182E}"/>
            </c:ext>
          </c:extLst>
        </c:ser>
        <c:ser>
          <c:idx val="1"/>
          <c:order val="1"/>
          <c:tx>
            <c:v>Evacuated tube</c:v>
          </c:tx>
          <c:spPr>
            <a:solidFill>
              <a:srgbClr val="D58A00"/>
            </a:solidFill>
          </c:spPr>
          <c:invertIfNegative val="1"/>
          <c:dLbls>
            <c:dLbl>
              <c:idx val="0"/>
              <c:delete val="1"/>
              <c:extLst>
                <c:ext xmlns:c15="http://schemas.microsoft.com/office/drawing/2012/chart" uri="{CE6537A1-D6FC-4f65-9D91-7224C49458BB}"/>
                <c:ext xmlns:c16="http://schemas.microsoft.com/office/drawing/2014/chart" uri="{C3380CC4-5D6E-409C-BE32-E72D297353CC}">
                  <c16:uniqueId val="{00000003-20C8-468C-92D5-8EF87D73182E}"/>
                </c:ext>
              </c:extLst>
            </c:dLbl>
            <c:dLbl>
              <c:idx val="2"/>
              <c:delete val="1"/>
              <c:extLst>
                <c:ext xmlns:c15="http://schemas.microsoft.com/office/drawing/2012/chart" uri="{CE6537A1-D6FC-4f65-9D91-7224C49458BB}"/>
                <c:ext xmlns:c16="http://schemas.microsoft.com/office/drawing/2014/chart" uri="{C3380CC4-5D6E-409C-BE32-E72D297353CC}">
                  <c16:uniqueId val="{00000004-20C8-468C-92D5-8EF87D73182E}"/>
                </c:ext>
              </c:extLst>
            </c:dLbl>
            <c:spPr>
              <a:noFill/>
              <a:ln>
                <a:noFill/>
              </a:ln>
              <a:effectLst/>
            </c:spPr>
            <c:txPr>
              <a:bodyPr anchorCtr="1"/>
              <a:lstStyle/>
              <a:p>
                <a:pPr>
                  <a:defRPr sz="825"/>
                </a:pPr>
                <a:endParaRPr lang="de-D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3"/>
              <c:pt idx="0">
                <c:v>Flat plate</c:v>
              </c:pt>
              <c:pt idx="1">
                <c:v>Evacuated tube</c:v>
              </c:pt>
              <c:pt idx="2">
                <c:v>PV2Heat</c:v>
              </c:pt>
            </c:strLit>
          </c:cat>
          <c:val>
            <c:numLit>
              <c:formatCode>0.000</c:formatCode>
              <c:ptCount val="3"/>
              <c:pt idx="0">
                <c:v>0</c:v>
              </c:pt>
              <c:pt idx="1">
                <c:v>0.41283332849999999</c:v>
              </c:pt>
              <c:pt idx="2">
                <c:v>0</c:v>
              </c:pt>
            </c:numLit>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5-20C8-468C-92D5-8EF87D73182E}"/>
            </c:ext>
          </c:extLst>
        </c:ser>
        <c:ser>
          <c:idx val="2"/>
          <c:order val="2"/>
          <c:tx>
            <c:v>PV2Heat</c:v>
          </c:tx>
          <c:spPr>
            <a:solidFill>
              <a:srgbClr val="4F7F52"/>
            </a:solidFill>
          </c:spPr>
          <c:invertIfNegative val="1"/>
          <c:dLbls>
            <c:dLbl>
              <c:idx val="0"/>
              <c:delete val="1"/>
              <c:extLst>
                <c:ext xmlns:c15="http://schemas.microsoft.com/office/drawing/2012/chart" uri="{CE6537A1-D6FC-4f65-9D91-7224C49458BB}"/>
                <c:ext xmlns:c16="http://schemas.microsoft.com/office/drawing/2014/chart" uri="{C3380CC4-5D6E-409C-BE32-E72D297353CC}">
                  <c16:uniqueId val="{00000006-20C8-468C-92D5-8EF87D73182E}"/>
                </c:ext>
              </c:extLst>
            </c:dLbl>
            <c:dLbl>
              <c:idx val="1"/>
              <c:delete val="1"/>
              <c:extLst>
                <c:ext xmlns:c15="http://schemas.microsoft.com/office/drawing/2012/chart" uri="{CE6537A1-D6FC-4f65-9D91-7224C49458BB}"/>
                <c:ext xmlns:c16="http://schemas.microsoft.com/office/drawing/2014/chart" uri="{C3380CC4-5D6E-409C-BE32-E72D297353CC}">
                  <c16:uniqueId val="{00000007-20C8-468C-92D5-8EF87D73182E}"/>
                </c:ext>
              </c:extLst>
            </c:dLbl>
            <c:spPr>
              <a:noFill/>
              <a:ln>
                <a:noFill/>
              </a:ln>
              <a:effectLst/>
            </c:spPr>
            <c:txPr>
              <a:bodyPr anchorCtr="1"/>
              <a:lstStyle/>
              <a:p>
                <a:pPr>
                  <a:defRPr sz="825"/>
                </a:pPr>
                <a:endParaRPr lang="de-D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3"/>
              <c:pt idx="0">
                <c:v>Flat plate</c:v>
              </c:pt>
              <c:pt idx="1">
                <c:v>Evacuated tube</c:v>
              </c:pt>
              <c:pt idx="2">
                <c:v>PV2Heat</c:v>
              </c:pt>
            </c:strLit>
          </c:cat>
          <c:val>
            <c:numLit>
              <c:formatCode>0.000</c:formatCode>
              <c:ptCount val="3"/>
              <c:pt idx="0">
                <c:v>0</c:v>
              </c:pt>
              <c:pt idx="1">
                <c:v>0</c:v>
              </c:pt>
              <c:pt idx="2">
                <c:v>1.1309267714</c:v>
              </c:pt>
            </c:numLit>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8-20C8-468C-92D5-8EF87D73182E}"/>
            </c:ext>
          </c:extLst>
        </c:ser>
        <c:dLbls>
          <c:dLblPos val="outEnd"/>
          <c:showLegendKey val="0"/>
          <c:showVal val="1"/>
          <c:showCatName val="0"/>
          <c:showSerName val="0"/>
          <c:showPercent val="0"/>
          <c:showBubbleSize val="0"/>
        </c:dLbls>
        <c:gapWidth val="50"/>
        <c:overlap val="100"/>
        <c:axId val="48650112"/>
        <c:axId val="48672768"/>
      </c:barChart>
      <c:catAx>
        <c:axId val="48650112"/>
        <c:scaling>
          <c:orientation val="minMax"/>
        </c:scaling>
        <c:delete val="0"/>
        <c:axPos val="b"/>
        <c:numFmt formatCode="General" sourceLinked="1"/>
        <c:majorTickMark val="out"/>
        <c:minorTickMark val="none"/>
        <c:tickLblPos val="low"/>
        <c:spPr>
          <a:ln w="11430">
            <a:solidFill>
              <a:srgbClr val="111111"/>
            </a:solidFill>
            <a:prstDash val="solid"/>
          </a:ln>
        </c:spPr>
        <c:txPr>
          <a:bodyPr rot="0" anchorCtr="1"/>
          <a:lstStyle/>
          <a:p>
            <a:pPr>
              <a:defRPr sz="900"/>
            </a:pPr>
            <a:endParaRPr lang="de-DE"/>
          </a:p>
        </c:txPr>
        <c:crossAx val="48672768"/>
        <c:crosses val="autoZero"/>
        <c:auto val="1"/>
        <c:lblAlgn val="ctr"/>
        <c:lblOffset val="100"/>
        <c:noMultiLvlLbl val="0"/>
      </c:catAx>
      <c:valAx>
        <c:axId val="48672768"/>
        <c:scaling>
          <c:orientation val="minMax"/>
        </c:scaling>
        <c:delete val="0"/>
        <c:axPos val="l"/>
        <c:title>
          <c:tx>
            <c:rich>
              <a:bodyPr/>
              <a:lstStyle/>
              <a:p>
                <a:r>
                  <a:rPr lang="de-AT" sz="700"/>
                  <a:t>CED [MJ/kWh </a:t>
                </a:r>
                <a:r>
                  <a:rPr lang="de-AT" sz="700" baseline="-25000"/>
                  <a:t>useful</a:t>
                </a:r>
                <a:r>
                  <a:rPr lang="de-AT" sz="700"/>
                  <a:t>]</a:t>
                </a:r>
              </a:p>
            </c:rich>
          </c:tx>
          <c:overlay val="1"/>
        </c:title>
        <c:numFmt formatCode="0.0" sourceLinked="0"/>
        <c:majorTickMark val="out"/>
        <c:minorTickMark val="none"/>
        <c:tickLblPos val="nextTo"/>
        <c:spPr>
          <a:ln w="11430">
            <a:solidFill>
              <a:srgbClr val="111111"/>
            </a:solidFill>
            <a:prstDash val="solid"/>
          </a:ln>
        </c:spPr>
        <c:txPr>
          <a:bodyPr anchorCtr="1"/>
          <a:lstStyle/>
          <a:p>
            <a:pPr>
              <a:defRPr sz="900"/>
            </a:pPr>
            <a:endParaRPr lang="de-DE"/>
          </a:p>
        </c:txPr>
        <c:crossAx val="48650112"/>
        <c:crosses val="autoZero"/>
        <c:crossBetween val="between"/>
        <c:majorUnit val="0.2"/>
      </c:valAx>
    </c:plotArea>
    <c:plotVisOnly val="1"/>
    <c:dispBlanksAs val="zero"/>
    <c:showDLblsOverMax val="1"/>
  </c:chart>
  <c:spPr>
    <a:ln w="9525">
      <a:noFill/>
      <a:prstDash val="solid"/>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LCOH</c:v>
          </c:tx>
          <c:spPr>
            <a:solidFill>
              <a:srgbClr val="1F4E79"/>
            </a:solidFill>
          </c:spPr>
          <c:invertIfNegative val="1"/>
          <c:dPt>
            <c:idx val="0"/>
            <c:invertIfNegative val="1"/>
            <c:bubble3D val="0"/>
            <c:spPr>
              <a:solidFill>
                <a:srgbClr val="1F4E79"/>
              </a:solidFill>
              <a:ln w="953">
                <a:solidFill>
                  <a:srgbClr val="1F4E79"/>
                </a:solidFill>
                <a:prstDash val="solid"/>
              </a:ln>
            </c:spPr>
            <c:extLst>
              <c:ext xmlns:c16="http://schemas.microsoft.com/office/drawing/2014/chart" uri="{C3380CC4-5D6E-409C-BE32-E72D297353CC}">
                <c16:uniqueId val="{00000001-1E3B-429C-9B23-14C1DD5369E2}"/>
              </c:ext>
            </c:extLst>
          </c:dPt>
          <c:dPt>
            <c:idx val="1"/>
            <c:invertIfNegative val="1"/>
            <c:bubble3D val="0"/>
            <c:spPr>
              <a:solidFill>
                <a:srgbClr val="D58A00"/>
              </a:solidFill>
              <a:ln w="953">
                <a:solidFill>
                  <a:srgbClr val="D58A00"/>
                </a:solidFill>
                <a:prstDash val="solid"/>
              </a:ln>
            </c:spPr>
            <c:extLst>
              <c:ext xmlns:c16="http://schemas.microsoft.com/office/drawing/2014/chart" uri="{C3380CC4-5D6E-409C-BE32-E72D297353CC}">
                <c16:uniqueId val="{00000003-1E3B-429C-9B23-14C1DD5369E2}"/>
              </c:ext>
            </c:extLst>
          </c:dPt>
          <c:dPt>
            <c:idx val="2"/>
            <c:invertIfNegative val="1"/>
            <c:bubble3D val="0"/>
            <c:spPr>
              <a:solidFill>
                <a:srgbClr val="4F7F52"/>
              </a:solidFill>
              <a:ln w="953">
                <a:solidFill>
                  <a:srgbClr val="4F7F52"/>
                </a:solidFill>
                <a:prstDash val="solid"/>
              </a:ln>
            </c:spPr>
            <c:extLst>
              <c:ext xmlns:c16="http://schemas.microsoft.com/office/drawing/2014/chart" uri="{C3380CC4-5D6E-409C-BE32-E72D297353CC}">
                <c16:uniqueId val="{00000005-1E3B-429C-9B23-14C1DD5369E2}"/>
              </c:ext>
            </c:extLst>
          </c:dPt>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stdErr"/>
            <c:noEndCap val="0"/>
          </c:errBars>
          <c:cat>
            <c:strLit>
              <c:ptCount val="3"/>
              <c:pt idx="0">
                <c:v>Flat plate</c:v>
              </c:pt>
              <c:pt idx="1">
                <c:v>Evacuated tube</c:v>
              </c:pt>
              <c:pt idx="2">
                <c:v>PV2Heat</c:v>
              </c:pt>
            </c:strLit>
          </c:cat>
          <c:val>
            <c:numLit>
              <c:formatCode>0.000</c:formatCode>
              <c:ptCount val="3"/>
              <c:pt idx="0">
                <c:v>8.1000000000000003E-2</c:v>
              </c:pt>
              <c:pt idx="1">
                <c:v>0.155</c:v>
              </c:pt>
              <c:pt idx="2">
                <c:v>0.122</c:v>
              </c:pt>
            </c:numLit>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6-1E3B-429C-9B23-14C1DD5369E2}"/>
            </c:ext>
          </c:extLst>
        </c:ser>
        <c:dLbls>
          <c:dLblPos val="outEnd"/>
          <c:showLegendKey val="0"/>
          <c:showVal val="1"/>
          <c:showCatName val="0"/>
          <c:showSerName val="0"/>
          <c:showPercent val="0"/>
          <c:showBubbleSize val="0"/>
        </c:dLbls>
        <c:gapWidth val="70"/>
        <c:axId val="48650112"/>
        <c:axId val="48672768"/>
      </c:barChart>
      <c:catAx>
        <c:axId val="48650112"/>
        <c:scaling>
          <c:orientation val="minMax"/>
        </c:scaling>
        <c:delete val="0"/>
        <c:axPos val="b"/>
        <c:majorGridlines>
          <c:spPr>
            <a:ln w="9525">
              <a:noFill/>
              <a:prstDash val="dash"/>
            </a:ln>
          </c:spPr>
        </c:majorGridlines>
        <c:numFmt formatCode="General" sourceLinked="1"/>
        <c:majorTickMark val="none"/>
        <c:minorTickMark val="none"/>
        <c:tickLblPos val="nextTo"/>
        <c:crossAx val="48672768"/>
        <c:crosses val="autoZero"/>
        <c:auto val="1"/>
        <c:lblAlgn val="ctr"/>
        <c:lblOffset val="100"/>
        <c:noMultiLvlLbl val="0"/>
      </c:catAx>
      <c:valAx>
        <c:axId val="48672768"/>
        <c:scaling>
          <c:orientation val="minMax"/>
        </c:scaling>
        <c:delete val="0"/>
        <c:axPos val="l"/>
        <c:majorGridlines>
          <c:spPr>
            <a:ln w="9525">
              <a:noFill/>
              <a:prstDash val="dash"/>
            </a:ln>
          </c:spPr>
        </c:majorGridlines>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de-AT" sz="1000"/>
                  <a:t>Estimated LCOH [EUR/kWh </a:t>
                </a:r>
                <a:r>
                  <a:rPr lang="de-AT" sz="1000" baseline="-25000"/>
                  <a:t>useful</a:t>
                </a:r>
                <a:r>
                  <a:rPr lang="de-AT" sz="1000"/>
                  <a:t>]</a:t>
                </a:r>
              </a:p>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endParaRPr lang="de-AT"/>
              </a:p>
            </c:rich>
          </c:tx>
          <c:overlay val="0"/>
        </c:title>
        <c:numFmt formatCode="0.000" sourceLinked="1"/>
        <c:majorTickMark val="none"/>
        <c:minorTickMark val="none"/>
        <c:tickLblPos val="nextTo"/>
        <c:crossAx val="48650112"/>
        <c:crosses val="autoZero"/>
        <c:crossBetween val="between"/>
      </c:valAx>
    </c:plotArea>
    <c:plotVisOnly val="1"/>
    <c:dispBlanksAs val="zero"/>
    <c:showDLblsOverMax val="1"/>
  </c:chart>
  <c:spPr>
    <a:ln w="9525">
      <a:noFill/>
      <a:prstDash val="solid"/>
    </a:ln>
  </c:spPr>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ChatGPT">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a:ea typeface="Calibri Light"/>
      <a:cs typeface="Calibri Light"/>
    </a:majorFont>
    <a:minorFont>
      <a:latin typeface="Calibri"/>
      <a:ea typeface="Calibri"/>
      <a:cs typeface="Calibri"/>
    </a:minorFont>
  </a:fontScheme>
  <a:fmtScheme name="ChatGPT">
    <a:fillStyleLst>
      <a:solidFill>
        <a:schemeClr val="phClr"/>
      </a:solidFill>
      <a:gradFill>
        <a:gsLst>
          <a:gs pos="0">
            <a:schemeClr val="phClr">
              <a:tint val="67000"/>
              <a:lumMod val="110000"/>
              <a:satMod val="105000"/>
            </a:schemeClr>
          </a:gs>
          <a:gs pos="50000">
            <a:schemeClr val="phClr">
              <a:tint val="73000"/>
              <a:lumMod val="105000"/>
              <a:satMod val="103000"/>
            </a:schemeClr>
          </a:gs>
          <a:gs pos="100000">
            <a:schemeClr val="phClr">
              <a:tint val="81000"/>
              <a:lumMod val="105000"/>
              <a:satMod val="109000"/>
            </a:schemeClr>
          </a:gs>
        </a:gsLst>
        <a:lin ang="5400000" scaled="0"/>
      </a:gradFill>
      <a:gradFill>
        <a:gsLst>
          <a:gs pos="0">
            <a:schemeClr val="phClr">
              <a:tint val="94000"/>
              <a:lumMod val="102000"/>
              <a:satMod val="103000"/>
            </a:schemeClr>
          </a:gs>
          <a:gs pos="50000">
            <a:schemeClr val="phClr">
              <a:shade val="100000"/>
              <a:lumMod val="100000"/>
              <a:satMod val="110000"/>
            </a:schemeClr>
          </a:gs>
          <a:gs pos="100000">
            <a:schemeClr val="phClr">
              <a:shade val="78000"/>
              <a:lumMod val="99000"/>
              <a:satMod val="120000"/>
            </a:schemeClr>
          </a:gs>
        </a:gsLst>
        <a:lin ang="5400000" scaled="0"/>
      </a:gradFill>
    </a:fillStyleLst>
    <a:lnStyleLst>
      <a:ln w="12700">
        <a:solidFill>
          <a:schemeClr val="phClr"/>
        </a:solidFill>
        <a:prstDash val="solid"/>
      </a:ln>
      <a:ln w="19050">
        <a:solidFill>
          <a:schemeClr val="phClr"/>
        </a:solidFill>
        <a:prstDash val="solid"/>
      </a:ln>
      <a:ln w="25400">
        <a:solidFill>
          <a:schemeClr val="phClr"/>
        </a:solidFill>
        <a:prstDash val="solid"/>
      </a:ln>
    </a:lnStyleLst>
    <a:effectStyleLst>
      <a:effectStyle>
        <a:effectLst/>
      </a:effectStyle>
      <a:effectStyle>
        <a:effectLst/>
      </a:effectStyle>
      <a:effectStyle>
        <a:effectLst>
          <a:outerShdw blurRad="57150" dist="19050" dir="540000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hade val="98000"/>
              <a:lumMod val="102000"/>
              <a:satMod val="150000"/>
            </a:schemeClr>
          </a:gs>
          <a:gs pos="50000">
            <a:schemeClr val="phClr">
              <a:tint val="98000"/>
              <a:shade val="90000"/>
              <a:lumMod val="103000"/>
              <a:satMod val="130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ChatGPT">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a:ea typeface="Calibri Light"/>
      <a:cs typeface="Calibri Light"/>
    </a:majorFont>
    <a:minorFont>
      <a:latin typeface="Calibri"/>
      <a:ea typeface="Calibri"/>
      <a:cs typeface="Calibri"/>
    </a:minorFont>
  </a:fontScheme>
  <a:fmtScheme name="ChatGPT">
    <a:fillStyleLst>
      <a:solidFill>
        <a:schemeClr val="phClr"/>
      </a:solidFill>
      <a:gradFill>
        <a:gsLst>
          <a:gs pos="0">
            <a:schemeClr val="phClr">
              <a:tint val="67000"/>
              <a:lumMod val="110000"/>
              <a:satMod val="105000"/>
            </a:schemeClr>
          </a:gs>
          <a:gs pos="50000">
            <a:schemeClr val="phClr">
              <a:tint val="73000"/>
              <a:lumMod val="105000"/>
              <a:satMod val="103000"/>
            </a:schemeClr>
          </a:gs>
          <a:gs pos="100000">
            <a:schemeClr val="phClr">
              <a:tint val="81000"/>
              <a:lumMod val="105000"/>
              <a:satMod val="109000"/>
            </a:schemeClr>
          </a:gs>
        </a:gsLst>
        <a:lin ang="5400000" scaled="0"/>
      </a:gradFill>
      <a:gradFill>
        <a:gsLst>
          <a:gs pos="0">
            <a:schemeClr val="phClr">
              <a:tint val="94000"/>
              <a:lumMod val="102000"/>
              <a:satMod val="103000"/>
            </a:schemeClr>
          </a:gs>
          <a:gs pos="50000">
            <a:schemeClr val="phClr">
              <a:shade val="100000"/>
              <a:lumMod val="100000"/>
              <a:satMod val="110000"/>
            </a:schemeClr>
          </a:gs>
          <a:gs pos="100000">
            <a:schemeClr val="phClr">
              <a:shade val="78000"/>
              <a:lumMod val="99000"/>
              <a:satMod val="120000"/>
            </a:schemeClr>
          </a:gs>
        </a:gsLst>
        <a:lin ang="5400000" scaled="0"/>
      </a:gradFill>
    </a:fillStyleLst>
    <a:lnStyleLst>
      <a:ln w="12700">
        <a:solidFill>
          <a:schemeClr val="phClr"/>
        </a:solidFill>
        <a:prstDash val="solid"/>
      </a:ln>
      <a:ln w="19050">
        <a:solidFill>
          <a:schemeClr val="phClr"/>
        </a:solidFill>
        <a:prstDash val="solid"/>
      </a:ln>
      <a:ln w="25400">
        <a:solidFill>
          <a:schemeClr val="phClr"/>
        </a:solidFill>
        <a:prstDash val="solid"/>
      </a:ln>
    </a:lnStyleLst>
    <a:effectStyleLst>
      <a:effectStyle>
        <a:effectLst/>
      </a:effectStyle>
      <a:effectStyle>
        <a:effectLst/>
      </a:effectStyle>
      <a:effectStyle>
        <a:effectLst>
          <a:outerShdw blurRad="57150" dist="19050" dir="540000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hade val="98000"/>
              <a:lumMod val="102000"/>
              <a:satMod val="150000"/>
            </a:schemeClr>
          </a:gs>
          <a:gs pos="50000">
            <a:schemeClr val="phClr">
              <a:tint val="98000"/>
              <a:shade val="90000"/>
              <a:lumMod val="103000"/>
              <a:satMod val="130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ChatGPT">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a:ea typeface="Calibri Light"/>
      <a:cs typeface="Calibri Light"/>
    </a:majorFont>
    <a:minorFont>
      <a:latin typeface="Calibri"/>
      <a:ea typeface="Calibri"/>
      <a:cs typeface="Calibri"/>
    </a:minorFont>
  </a:fontScheme>
  <a:fmtScheme name="ChatGPT">
    <a:fillStyleLst>
      <a:solidFill>
        <a:schemeClr val="phClr"/>
      </a:solidFill>
      <a:gradFill>
        <a:gsLst>
          <a:gs pos="0">
            <a:schemeClr val="phClr">
              <a:tint val="67000"/>
              <a:lumMod val="110000"/>
              <a:satMod val="105000"/>
            </a:schemeClr>
          </a:gs>
          <a:gs pos="50000">
            <a:schemeClr val="phClr">
              <a:tint val="73000"/>
              <a:lumMod val="105000"/>
              <a:satMod val="103000"/>
            </a:schemeClr>
          </a:gs>
          <a:gs pos="100000">
            <a:schemeClr val="phClr">
              <a:tint val="81000"/>
              <a:lumMod val="105000"/>
              <a:satMod val="109000"/>
            </a:schemeClr>
          </a:gs>
        </a:gsLst>
        <a:lin ang="5400000" scaled="0"/>
      </a:gradFill>
      <a:gradFill>
        <a:gsLst>
          <a:gs pos="0">
            <a:schemeClr val="phClr">
              <a:tint val="94000"/>
              <a:lumMod val="102000"/>
              <a:satMod val="103000"/>
            </a:schemeClr>
          </a:gs>
          <a:gs pos="50000">
            <a:schemeClr val="phClr">
              <a:shade val="100000"/>
              <a:lumMod val="100000"/>
              <a:satMod val="110000"/>
            </a:schemeClr>
          </a:gs>
          <a:gs pos="100000">
            <a:schemeClr val="phClr">
              <a:shade val="78000"/>
              <a:lumMod val="99000"/>
              <a:satMod val="120000"/>
            </a:schemeClr>
          </a:gs>
        </a:gsLst>
        <a:lin ang="5400000" scaled="0"/>
      </a:gradFill>
    </a:fillStyleLst>
    <a:lnStyleLst>
      <a:ln w="12700">
        <a:solidFill>
          <a:schemeClr val="phClr"/>
        </a:solidFill>
        <a:prstDash val="solid"/>
      </a:ln>
      <a:ln w="19050">
        <a:solidFill>
          <a:schemeClr val="phClr"/>
        </a:solidFill>
        <a:prstDash val="solid"/>
      </a:ln>
      <a:ln w="25400">
        <a:solidFill>
          <a:schemeClr val="phClr"/>
        </a:solidFill>
        <a:prstDash val="solid"/>
      </a:ln>
    </a:lnStyleLst>
    <a:effectStyleLst>
      <a:effectStyle>
        <a:effectLst/>
      </a:effectStyle>
      <a:effectStyle>
        <a:effectLst/>
      </a:effectStyle>
      <a:effectStyle>
        <a:effectLst>
          <a:outerShdw blurRad="57150" dist="19050" dir="540000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hade val="98000"/>
              <a:lumMod val="102000"/>
              <a:satMod val="150000"/>
            </a:schemeClr>
          </a:gs>
          <a:gs pos="50000">
            <a:schemeClr val="phClr">
              <a:tint val="98000"/>
              <a:shade val="90000"/>
              <a:lumMod val="103000"/>
              <a:satMod val="130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9BFB8-058B-48AD-AD6D-72512242D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4743</Words>
  <Characters>29885</Characters>
  <Application>Microsoft Office Word</Application>
  <DocSecurity>0</DocSecurity>
  <Lines>249</Lines>
  <Paragraphs>69</Paragraphs>
  <ScaleCrop>false</ScaleCrop>
  <Company/>
  <LinksUpToDate>false</LinksUpToDate>
  <CharactersWithSpaces>34559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2026-09-17T09:59:00Z</dcterms:created>
  <dcterms:modified xsi:type="dcterms:W3CDTF">2026-09-17T11:38:00Z</dcterms:modified>
</cp:coreProperties>
</file>