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1B5" w:rsidRDefault="003A41B5" w:rsidP="00E11BE1"/>
    <w:p w:rsidR="003A41B5" w:rsidRDefault="003A41B5" w:rsidP="00E11BE1"/>
    <w:p w:rsidR="00704B24" w:rsidRPr="00E11BE1" w:rsidRDefault="00E11BE1" w:rsidP="00E11BE1">
      <w:pPr>
        <w:jc w:val="center"/>
        <w:rPr>
          <w:b/>
          <w:sz w:val="28"/>
        </w:rPr>
      </w:pPr>
      <w:r w:rsidRPr="00E11BE1">
        <w:rPr>
          <w:b/>
          <w:sz w:val="28"/>
        </w:rPr>
        <w:t>CHARACTERISATION AND MODELLING OF THE TEMPERATURE AND RATE DEPENDENT SHEAR BEHAVIOUR OF A NON-CONSOLIDATED POWDER IMPREGNATED FABRIC</w:t>
      </w:r>
    </w:p>
    <w:p w:rsidR="00704B24" w:rsidRPr="00F35C8A" w:rsidRDefault="00704B24" w:rsidP="00E11BE1"/>
    <w:p w:rsidR="00704B24" w:rsidRDefault="00252742" w:rsidP="00E11BE1">
      <w:pPr>
        <w:jc w:val="center"/>
      </w:pPr>
      <w:r>
        <w:t>T.</w:t>
      </w:r>
      <w:r w:rsidR="000F5808">
        <w:t xml:space="preserve"> Baumard</w:t>
      </w:r>
      <w:r w:rsidR="00704B24" w:rsidRPr="00F35C8A">
        <w:rPr>
          <w:vertAlign w:val="superscript"/>
        </w:rPr>
        <w:t>1</w:t>
      </w:r>
      <w:r w:rsidR="000F5808">
        <w:rPr>
          <w:vertAlign w:val="superscript"/>
        </w:rPr>
        <w:t>,2</w:t>
      </w:r>
      <w:r w:rsidR="00704B24" w:rsidRPr="00F35C8A">
        <w:t xml:space="preserve">, </w:t>
      </w:r>
      <w:r w:rsidR="000F5808">
        <w:t>G</w:t>
      </w:r>
      <w:r>
        <w:t>.</w:t>
      </w:r>
      <w:r w:rsidR="000F5808">
        <w:t xml:space="preserve"> Menary</w:t>
      </w:r>
      <w:r w:rsidR="000F5808">
        <w:rPr>
          <w:vertAlign w:val="superscript"/>
        </w:rPr>
        <w:t>1</w:t>
      </w:r>
      <w:r w:rsidR="000F5808">
        <w:t>, O</w:t>
      </w:r>
      <w:r>
        <w:t>.</w:t>
      </w:r>
      <w:r w:rsidR="000F5808">
        <w:t xml:space="preserve"> De Almeida</w:t>
      </w:r>
      <w:r w:rsidR="000F5808" w:rsidRPr="00F35C8A">
        <w:rPr>
          <w:vertAlign w:val="superscript"/>
        </w:rPr>
        <w:t>2</w:t>
      </w:r>
      <w:r w:rsidR="000F5808">
        <w:t>, F</w:t>
      </w:r>
      <w:r>
        <w:t>.</w:t>
      </w:r>
      <w:r w:rsidR="000F5808">
        <w:t xml:space="preserve"> Schmidt</w:t>
      </w:r>
      <w:r w:rsidR="000F5808" w:rsidRPr="00F35C8A">
        <w:rPr>
          <w:vertAlign w:val="superscript"/>
        </w:rPr>
        <w:t>2</w:t>
      </w:r>
      <w:r w:rsidR="000F5808">
        <w:t xml:space="preserve"> </w:t>
      </w:r>
      <w:r w:rsidR="00704B24" w:rsidRPr="00F35C8A">
        <w:t xml:space="preserve">and </w:t>
      </w:r>
      <w:r w:rsidR="000F5808">
        <w:t>J</w:t>
      </w:r>
      <w:r>
        <w:t>.</w:t>
      </w:r>
      <w:r w:rsidR="000F5808">
        <w:t xml:space="preserve"> Bika</w:t>
      </w:r>
      <w:r w:rsidR="00704B24" w:rsidRPr="00F35C8A">
        <w:t>r</w:t>
      </w:r>
      <w:r w:rsidR="000F5808">
        <w:t>d</w:t>
      </w:r>
      <w:r w:rsidR="00704B24" w:rsidRPr="00F35C8A">
        <w:rPr>
          <w:vertAlign w:val="superscript"/>
        </w:rPr>
        <w:t>3</w:t>
      </w:r>
    </w:p>
    <w:p w:rsidR="00866F2B" w:rsidRPr="00866F2B" w:rsidRDefault="00866F2B" w:rsidP="00E11BE1">
      <w:pPr>
        <w:jc w:val="center"/>
      </w:pPr>
    </w:p>
    <w:p w:rsidR="00704B24" w:rsidRPr="008F4FC2" w:rsidRDefault="00704B24" w:rsidP="00E11BE1">
      <w:pPr>
        <w:jc w:val="center"/>
      </w:pPr>
      <w:r w:rsidRPr="008F4FC2">
        <w:rPr>
          <w:vertAlign w:val="superscript"/>
        </w:rPr>
        <w:t>1</w:t>
      </w:r>
      <w:r w:rsidR="000F5808">
        <w:t>School of Mechanical and Aerospace Engineering</w:t>
      </w:r>
      <w:r w:rsidR="00945048" w:rsidRPr="008F4FC2">
        <w:t xml:space="preserve">, </w:t>
      </w:r>
      <w:r w:rsidR="000F5808">
        <w:t>Queen’s University Belfast</w:t>
      </w:r>
      <w:r w:rsidR="00945048" w:rsidRPr="008F4FC2">
        <w:t xml:space="preserve">, </w:t>
      </w:r>
      <w:r w:rsidR="000F5808">
        <w:t>Stranmillis Road, Belfast BT9 5AG, United Kingdom</w:t>
      </w:r>
    </w:p>
    <w:p w:rsidR="00704B24" w:rsidRPr="000F5808" w:rsidRDefault="00172A18" w:rsidP="00E11BE1">
      <w:pPr>
        <w:jc w:val="center"/>
        <w:rPr>
          <w:lang w:val="fr-FR"/>
        </w:rPr>
      </w:pPr>
      <w:r w:rsidRPr="000F5808">
        <w:rPr>
          <w:lang w:val="fr-FR"/>
        </w:rPr>
        <w:t>Web P</w:t>
      </w:r>
      <w:r w:rsidR="00704B24" w:rsidRPr="000F5808">
        <w:rPr>
          <w:lang w:val="fr-FR"/>
        </w:rPr>
        <w:t xml:space="preserve">age: </w:t>
      </w:r>
      <w:r w:rsidR="000F5808" w:rsidRPr="000F5808">
        <w:rPr>
          <w:lang w:val="fr-FR"/>
        </w:rPr>
        <w:t>https://www.qub.ac.uk/</w:t>
      </w:r>
    </w:p>
    <w:p w:rsidR="00172A18" w:rsidRPr="000F5808" w:rsidRDefault="00704B24" w:rsidP="00E11BE1">
      <w:pPr>
        <w:jc w:val="center"/>
        <w:rPr>
          <w:lang w:val="fr-FR"/>
        </w:rPr>
      </w:pPr>
      <w:r w:rsidRPr="000F5808">
        <w:rPr>
          <w:vertAlign w:val="superscript"/>
          <w:lang w:val="fr-FR"/>
        </w:rPr>
        <w:t>2</w:t>
      </w:r>
      <w:r w:rsidRPr="000F5808">
        <w:rPr>
          <w:lang w:val="fr-FR"/>
        </w:rPr>
        <w:t>Institut</w:t>
      </w:r>
      <w:r w:rsidR="000F5808" w:rsidRPr="000F5808">
        <w:rPr>
          <w:lang w:val="fr-FR"/>
        </w:rPr>
        <w:t xml:space="preserve"> Clément Ader</w:t>
      </w:r>
      <w:r w:rsidR="00172A18" w:rsidRPr="000F5808">
        <w:rPr>
          <w:lang w:val="fr-FR"/>
        </w:rPr>
        <w:t xml:space="preserve">, </w:t>
      </w:r>
      <w:r w:rsidR="000F5808" w:rsidRPr="000F5808">
        <w:rPr>
          <w:lang w:val="fr-FR"/>
        </w:rPr>
        <w:t>Université de Toulouse, CNRS, Mines Albi, UPS, INSA, ISAE-SUPAERO, Campus Jarlard, 81013 Albi, France</w:t>
      </w:r>
    </w:p>
    <w:p w:rsidR="00704B24" w:rsidRPr="000F5808" w:rsidRDefault="00172A18" w:rsidP="00E11BE1">
      <w:pPr>
        <w:jc w:val="center"/>
        <w:rPr>
          <w:lang w:val="fr-FR"/>
        </w:rPr>
      </w:pPr>
      <w:r w:rsidRPr="000F5808">
        <w:rPr>
          <w:lang w:val="fr-FR"/>
        </w:rPr>
        <w:t>Web P</w:t>
      </w:r>
      <w:r w:rsidR="00704B24" w:rsidRPr="000F5808">
        <w:rPr>
          <w:lang w:val="fr-FR"/>
        </w:rPr>
        <w:t xml:space="preserve">age: </w:t>
      </w:r>
      <w:r w:rsidR="000F5808" w:rsidRPr="000F5808">
        <w:rPr>
          <w:lang w:val="fr-FR"/>
        </w:rPr>
        <w:t>http://www.institut-clement-ader.org/</w:t>
      </w:r>
    </w:p>
    <w:p w:rsidR="00172A18" w:rsidRPr="000F5808" w:rsidRDefault="00704B24" w:rsidP="00E11BE1">
      <w:pPr>
        <w:jc w:val="center"/>
        <w:rPr>
          <w:lang w:val="fr-FR"/>
        </w:rPr>
      </w:pPr>
      <w:r w:rsidRPr="000F5808">
        <w:rPr>
          <w:vertAlign w:val="superscript"/>
          <w:lang w:val="fr-FR"/>
        </w:rPr>
        <w:t>3</w:t>
      </w:r>
      <w:r w:rsidR="000F5808" w:rsidRPr="000F5808">
        <w:rPr>
          <w:lang w:val="fr-FR"/>
        </w:rPr>
        <w:t xml:space="preserve">Solvay R&amp;I, 85 Avenue des Frères Perret, </w:t>
      </w:r>
      <w:r w:rsidR="000F5808">
        <w:rPr>
          <w:lang w:val="fr-FR"/>
        </w:rPr>
        <w:t>69190 Saint-Fons, France</w:t>
      </w:r>
    </w:p>
    <w:p w:rsidR="000F5808" w:rsidRPr="000F5808" w:rsidRDefault="00704B24" w:rsidP="00E11BE1">
      <w:pPr>
        <w:jc w:val="center"/>
        <w:rPr>
          <w:lang w:val="en-GB"/>
        </w:rPr>
      </w:pPr>
      <w:r w:rsidRPr="000F5808">
        <w:rPr>
          <w:lang w:val="en-GB"/>
        </w:rPr>
        <w:t>Email</w:t>
      </w:r>
      <w:r w:rsidR="000F5808" w:rsidRPr="000F5808">
        <w:rPr>
          <w:lang w:val="en-GB"/>
        </w:rPr>
        <w:t>s</w:t>
      </w:r>
      <w:r w:rsidRPr="000F5808">
        <w:rPr>
          <w:lang w:val="en-GB"/>
        </w:rPr>
        <w:t>:</w:t>
      </w:r>
      <w:r w:rsidR="000F5808" w:rsidRPr="000F5808">
        <w:rPr>
          <w:lang w:val="en-GB"/>
        </w:rPr>
        <w:t xml:space="preserve"> T. Baumard : </w:t>
      </w:r>
      <w:hyperlink r:id="rId8" w:history="1">
        <w:r w:rsidR="000F5808" w:rsidRPr="000F5808">
          <w:rPr>
            <w:rStyle w:val="Hyperlink"/>
            <w:lang w:val="en-GB"/>
          </w:rPr>
          <w:t>tbaumard01@qub.ac.uk</w:t>
        </w:r>
      </w:hyperlink>
    </w:p>
    <w:p w:rsidR="000F5808" w:rsidRPr="000F5808" w:rsidRDefault="000F5808" w:rsidP="00E11BE1">
      <w:pPr>
        <w:jc w:val="center"/>
        <w:rPr>
          <w:lang w:val="en-GB"/>
        </w:rPr>
      </w:pPr>
      <w:r w:rsidRPr="000F5808">
        <w:rPr>
          <w:lang w:val="en-GB"/>
        </w:rPr>
        <w:t xml:space="preserve">G. Menary : </w:t>
      </w:r>
      <w:hyperlink r:id="rId9" w:history="1">
        <w:r w:rsidRPr="000F5808">
          <w:rPr>
            <w:rStyle w:val="Hyperlink"/>
            <w:lang w:val="en-GB"/>
          </w:rPr>
          <w:t>g.h.menary@qub.ac.uk</w:t>
        </w:r>
      </w:hyperlink>
    </w:p>
    <w:p w:rsidR="000F5808" w:rsidRPr="000F5808" w:rsidRDefault="000F5808" w:rsidP="00E11BE1">
      <w:pPr>
        <w:jc w:val="center"/>
        <w:rPr>
          <w:lang w:val="fr-FR"/>
        </w:rPr>
      </w:pPr>
      <w:r w:rsidRPr="000F5808">
        <w:rPr>
          <w:lang w:val="fr-FR"/>
        </w:rPr>
        <w:t>O. D</w:t>
      </w:r>
      <w:r>
        <w:rPr>
          <w:lang w:val="fr-FR"/>
        </w:rPr>
        <w:t>e Almeida :</w:t>
      </w:r>
      <w:r w:rsidRPr="000F5808">
        <w:rPr>
          <w:lang w:val="fr-FR"/>
        </w:rPr>
        <w:t xml:space="preserve"> </w:t>
      </w:r>
      <w:hyperlink r:id="rId10" w:history="1">
        <w:r w:rsidRPr="000F5808">
          <w:rPr>
            <w:rStyle w:val="Hyperlink"/>
            <w:lang w:val="fr-FR"/>
          </w:rPr>
          <w:t>olivier.dealmeida@mines-albi.fr</w:t>
        </w:r>
      </w:hyperlink>
    </w:p>
    <w:p w:rsidR="000F5808" w:rsidRPr="000F5808" w:rsidRDefault="000F5808" w:rsidP="00E11BE1">
      <w:pPr>
        <w:jc w:val="center"/>
        <w:rPr>
          <w:lang w:val="en-GB"/>
        </w:rPr>
      </w:pPr>
      <w:r>
        <w:t>F. Schmidt</w:t>
      </w:r>
      <w:r w:rsidR="00806125">
        <w:t xml:space="preserve"> </w:t>
      </w:r>
      <w:r>
        <w:t xml:space="preserve">:  </w:t>
      </w:r>
      <w:hyperlink r:id="rId11" w:history="1">
        <w:r w:rsidRPr="000F5808">
          <w:rPr>
            <w:rStyle w:val="Hyperlink"/>
            <w:lang w:val="en-GB"/>
          </w:rPr>
          <w:t>fabrice.schmidt@mines-albi.fr</w:t>
        </w:r>
      </w:hyperlink>
    </w:p>
    <w:p w:rsidR="000F5808" w:rsidRDefault="000F5808" w:rsidP="00E11BE1">
      <w:pPr>
        <w:jc w:val="center"/>
      </w:pPr>
      <w:r>
        <w:t>J. Bikard</w:t>
      </w:r>
      <w:r w:rsidR="00806125">
        <w:t xml:space="preserve"> </w:t>
      </w:r>
      <w:r>
        <w:t xml:space="preserve">: </w:t>
      </w:r>
      <w:hyperlink r:id="rId12" w:history="1">
        <w:r w:rsidRPr="00D74C5D">
          <w:rPr>
            <w:rStyle w:val="Hyperlink"/>
          </w:rPr>
          <w:t>jerome.bikard@solvay.com</w:t>
        </w:r>
      </w:hyperlink>
    </w:p>
    <w:p w:rsidR="00DB312B" w:rsidRDefault="00DB312B" w:rsidP="00E11BE1"/>
    <w:p w:rsidR="00704B24" w:rsidRPr="00F35C8A" w:rsidRDefault="00704B24" w:rsidP="00E11BE1"/>
    <w:p w:rsidR="00704B24" w:rsidRPr="00F35C8A" w:rsidRDefault="00704B24" w:rsidP="00E11BE1">
      <w:r w:rsidRPr="00F35C8A">
        <w:rPr>
          <w:b/>
        </w:rPr>
        <w:t>Keywords:</w:t>
      </w:r>
      <w:r w:rsidRPr="00F35C8A">
        <w:t xml:space="preserve"> </w:t>
      </w:r>
      <w:r w:rsidR="00B41893">
        <w:t xml:space="preserve">Thermoplastic composites, Semipreg, </w:t>
      </w:r>
      <w:r w:rsidR="00E31AB1">
        <w:t>Bias extension test</w:t>
      </w:r>
    </w:p>
    <w:p w:rsidR="00704B24" w:rsidRDefault="00704B24" w:rsidP="00E11BE1">
      <w:r w:rsidRPr="00F35C8A">
        <w:t xml:space="preserve"> </w:t>
      </w:r>
    </w:p>
    <w:p w:rsidR="00656C88" w:rsidRPr="00F35C8A" w:rsidRDefault="00656C88" w:rsidP="00E11BE1"/>
    <w:p w:rsidR="00792AC2" w:rsidRPr="00E11BE1" w:rsidRDefault="00704B24" w:rsidP="00E11BE1">
      <w:pPr>
        <w:rPr>
          <w:b/>
        </w:rPr>
      </w:pPr>
      <w:r w:rsidRPr="00E11BE1">
        <w:rPr>
          <w:b/>
        </w:rPr>
        <w:t>Abstract</w:t>
      </w:r>
      <w:r w:rsidR="00824DA1" w:rsidRPr="00E11BE1">
        <w:rPr>
          <w:b/>
        </w:rPr>
        <w:t xml:space="preserve"> </w:t>
      </w:r>
    </w:p>
    <w:p w:rsidR="00704B24" w:rsidRPr="00E11BE1" w:rsidRDefault="00824DA1" w:rsidP="00E11BE1">
      <w:r w:rsidRPr="00E11BE1">
        <w:t>The shear behavior of a non-consolidated powder impregnated PA66/glass woven semipreg is investigated through bias extension tests at different temperatures and testing speeds</w:t>
      </w:r>
      <w:r w:rsidR="002A3767" w:rsidRPr="00E11BE1">
        <w:t xml:space="preserve"> in the thermoforming processing range</w:t>
      </w:r>
      <w:r w:rsidRPr="00E11BE1">
        <w:t>, and compared to the behavior of the same material after a preconsolidation step. Results show in both cases an increase of the shear modulus with lower temperatures</w:t>
      </w:r>
      <w:r w:rsidR="002A3767" w:rsidRPr="00E11BE1">
        <w:t xml:space="preserve">, as expected from the thermodependance of the matrix viscosity. </w:t>
      </w:r>
      <w:r w:rsidR="00792AC2" w:rsidRPr="00E11BE1">
        <w:t>In contrast with the preconsolidated samples, the semipreg does not present a dependence on shear rate, which is attributed to different friction configurations between the yarns.</w:t>
      </w:r>
      <w:r w:rsidR="00110787">
        <w:t xml:space="preserve"> A model based on multiplicative decoupling allows for a good prediction of the shear behavior of the semipreg material</w:t>
      </w:r>
      <w:r w:rsidR="00E31AB1">
        <w:t>.</w:t>
      </w:r>
    </w:p>
    <w:p w:rsidR="00051531" w:rsidRPr="00792AC2" w:rsidRDefault="00051531" w:rsidP="00051531">
      <w:pPr>
        <w:pStyle w:val="Default"/>
        <w:rPr>
          <w:sz w:val="22"/>
          <w:szCs w:val="22"/>
        </w:rPr>
      </w:pPr>
    </w:p>
    <w:p w:rsidR="00152D8E" w:rsidRPr="00792AC2" w:rsidRDefault="00152D8E" w:rsidP="00E11BE1"/>
    <w:p w:rsidR="00792AC2" w:rsidRDefault="00A14A8C" w:rsidP="00792AC2">
      <w:pPr>
        <w:pStyle w:val="1stTitleWCCM"/>
        <w:numPr>
          <w:ilvl w:val="0"/>
          <w:numId w:val="4"/>
        </w:numPr>
        <w:tabs>
          <w:tab w:val="clear" w:pos="360"/>
          <w:tab w:val="left" w:pos="284"/>
        </w:tabs>
        <w:spacing w:before="0" w:after="0"/>
        <w:ind w:left="0" w:firstLine="0"/>
        <w:outlineLvl w:val="0"/>
        <w:rPr>
          <w:caps w:val="0"/>
          <w:sz w:val="22"/>
          <w:szCs w:val="22"/>
        </w:rPr>
      </w:pPr>
      <w:r w:rsidRPr="00A14A8C">
        <w:rPr>
          <w:caps w:val="0"/>
          <w:sz w:val="22"/>
          <w:szCs w:val="22"/>
        </w:rPr>
        <w:t>Intro</w:t>
      </w:r>
      <w:r>
        <w:rPr>
          <w:caps w:val="0"/>
          <w:sz w:val="22"/>
          <w:szCs w:val="22"/>
        </w:rPr>
        <w:t>duction</w:t>
      </w:r>
    </w:p>
    <w:p w:rsidR="00792AC2" w:rsidRPr="00792AC2" w:rsidRDefault="00792AC2" w:rsidP="00E11BE1"/>
    <w:p w:rsidR="00824DA1" w:rsidRDefault="00824DA1" w:rsidP="00E11BE1">
      <w:pPr>
        <w:rPr>
          <w:lang w:val="en-IE"/>
        </w:rPr>
      </w:pPr>
      <w:r w:rsidRPr="00792AC2">
        <w:rPr>
          <w:lang w:val="en-IE"/>
        </w:rPr>
        <w:t>The thermoforming process, as used in the manufacturing of thermoplastic composites parts, consists in heating a consolidated preform above the melting temperature of the matrix, and subsequently transferring it into a press where it is shaped. A potential way of reducing the cycle time would be to form directly from a non-consolidated semi-product. This has been experimentally studied for commingled prepregs</w:t>
      </w:r>
      <w:r w:rsidR="007417B3">
        <w:rPr>
          <w:lang w:val="en-IE"/>
        </w:rPr>
        <w:t xml:space="preserve"> [1]</w:t>
      </w:r>
      <w:r w:rsidRPr="00792AC2">
        <w:rPr>
          <w:lang w:val="en-IE"/>
        </w:rPr>
        <w:t>. In the case of powder-impregnated fabrics, previous studies have been focused mostly on the forming of flat or single-curvature parts</w:t>
      </w:r>
      <w:r w:rsidR="007417B3">
        <w:rPr>
          <w:lang w:val="en-IE"/>
        </w:rPr>
        <w:t xml:space="preserve"> [2]</w:t>
      </w:r>
      <w:r w:rsidRPr="00792AC2">
        <w:rPr>
          <w:lang w:val="en-IE"/>
        </w:rPr>
        <w:t>.</w:t>
      </w:r>
    </w:p>
    <w:p w:rsidR="00EC01E9" w:rsidRPr="00792AC2" w:rsidRDefault="00EC01E9" w:rsidP="00E11BE1">
      <w:pPr>
        <w:rPr>
          <w:lang w:val="en-IE"/>
        </w:rPr>
      </w:pPr>
    </w:p>
    <w:p w:rsidR="00824DA1" w:rsidRPr="00792AC2" w:rsidRDefault="00824DA1" w:rsidP="00E11BE1">
      <w:pPr>
        <w:rPr>
          <w:lang w:val="en-IE"/>
        </w:rPr>
      </w:pPr>
      <w:r w:rsidRPr="00792AC2">
        <w:rPr>
          <w:lang w:val="en-IE"/>
        </w:rPr>
        <w:t xml:space="preserve">In order to allow the development of numerical tools to predict process induced defects, the mechanical behaviour of the powdered semi-preg has to be characterised and modelled (with in-plane shear being the main mode of deformation during the forming of parts with complex geometries). This work focuses on the experimental characterisation of a powder impregnated PA6.6/glass twill </w:t>
      </w:r>
      <w:r w:rsidRPr="00792AC2">
        <w:rPr>
          <w:vertAlign w:val="superscript"/>
          <w:lang w:val="en-IE"/>
        </w:rPr>
        <w:t>2</w:t>
      </w:r>
      <w:r w:rsidRPr="00792AC2">
        <w:rPr>
          <w:lang w:val="en-IE"/>
        </w:rPr>
        <w:t>/</w:t>
      </w:r>
      <w:r w:rsidRPr="00792AC2">
        <w:rPr>
          <w:vertAlign w:val="subscript"/>
          <w:lang w:val="en-IE"/>
        </w:rPr>
        <w:t xml:space="preserve">2 </w:t>
      </w:r>
      <w:r w:rsidRPr="00792AC2">
        <w:rPr>
          <w:lang w:val="en-IE"/>
        </w:rPr>
        <w:t xml:space="preserve">fabric. Bias-extension tests have been conducted on both the non-consolidated and pre-consolidated material, at various temperatures and shear rates representative of the forming conditions. </w:t>
      </w:r>
    </w:p>
    <w:p w:rsidR="00824DA1" w:rsidRPr="00F35C8A" w:rsidRDefault="00824DA1" w:rsidP="00E11BE1"/>
    <w:p w:rsidR="002D5FD5" w:rsidRDefault="001029D9" w:rsidP="00792AC2">
      <w:pPr>
        <w:pStyle w:val="1stTitleWCCM"/>
        <w:numPr>
          <w:ilvl w:val="0"/>
          <w:numId w:val="4"/>
        </w:numPr>
        <w:tabs>
          <w:tab w:val="clear" w:pos="360"/>
          <w:tab w:val="left" w:pos="284"/>
        </w:tabs>
        <w:spacing w:before="0" w:after="0"/>
        <w:ind w:left="357" w:hanging="357"/>
        <w:outlineLvl w:val="0"/>
        <w:rPr>
          <w:caps w:val="0"/>
          <w:sz w:val="22"/>
          <w:szCs w:val="22"/>
        </w:rPr>
      </w:pPr>
      <w:r>
        <w:rPr>
          <w:caps w:val="0"/>
          <w:sz w:val="22"/>
          <w:szCs w:val="22"/>
        </w:rPr>
        <w:lastRenderedPageBreak/>
        <w:t>Material and e</w:t>
      </w:r>
      <w:r w:rsidR="00E36939">
        <w:rPr>
          <w:caps w:val="0"/>
          <w:sz w:val="22"/>
          <w:szCs w:val="22"/>
        </w:rPr>
        <w:t xml:space="preserve">xperimental </w:t>
      </w:r>
      <w:r>
        <w:rPr>
          <w:caps w:val="0"/>
          <w:sz w:val="22"/>
          <w:szCs w:val="22"/>
        </w:rPr>
        <w:t>procedure</w:t>
      </w:r>
    </w:p>
    <w:p w:rsidR="00E31AB1" w:rsidRDefault="00E31AB1" w:rsidP="00E31AB1">
      <w:pPr>
        <w:pStyle w:val="1stTitleWCCM"/>
        <w:tabs>
          <w:tab w:val="clear" w:pos="360"/>
          <w:tab w:val="left" w:pos="284"/>
        </w:tabs>
        <w:spacing w:before="0" w:after="0"/>
        <w:outlineLvl w:val="0"/>
        <w:rPr>
          <w:caps w:val="0"/>
          <w:sz w:val="22"/>
          <w:szCs w:val="22"/>
        </w:rPr>
      </w:pPr>
    </w:p>
    <w:p w:rsidR="00E31AB1" w:rsidRDefault="00E31AB1" w:rsidP="00E31AB1">
      <w:pPr>
        <w:pStyle w:val="1stTitleWCCM"/>
        <w:tabs>
          <w:tab w:val="clear" w:pos="360"/>
          <w:tab w:val="left" w:pos="284"/>
        </w:tabs>
        <w:spacing w:before="0" w:after="0"/>
        <w:outlineLvl w:val="0"/>
        <w:rPr>
          <w:caps w:val="0"/>
          <w:sz w:val="22"/>
          <w:szCs w:val="22"/>
        </w:rPr>
      </w:pPr>
      <w:r>
        <w:rPr>
          <w:caps w:val="0"/>
          <w:sz w:val="22"/>
          <w:szCs w:val="22"/>
        </w:rPr>
        <w:t>2.1 Material characteristics</w:t>
      </w:r>
    </w:p>
    <w:p w:rsidR="00792AC2" w:rsidRDefault="00792AC2" w:rsidP="00E11BE1"/>
    <w:p w:rsidR="00A26B87" w:rsidRPr="00D96442" w:rsidRDefault="003603B1" w:rsidP="00E11BE1">
      <w:r w:rsidRPr="00D96442">
        <w:t xml:space="preserve">The material used in this study is a </w:t>
      </w:r>
      <w:r w:rsidR="009802C2" w:rsidRPr="00D96442">
        <w:t xml:space="preserve">powder-impregnated </w:t>
      </w:r>
      <w:r w:rsidRPr="00D96442">
        <w:t>PA66/glass twill 2/2 fabric, provided by Solvay. In its as-supplied state, the matrix is distributed on both faces of the fabric as a network of coalesced droplets</w:t>
      </w:r>
      <w:r w:rsidR="009802C2" w:rsidRPr="00D96442">
        <w:t xml:space="preserve"> (as shown in </w:t>
      </w:r>
      <w:r w:rsidR="009802C2" w:rsidRPr="00D96442">
        <w:fldChar w:fldCharType="begin"/>
      </w:r>
      <w:r w:rsidR="009802C2" w:rsidRPr="00D96442">
        <w:instrText xml:space="preserve"> REF _Ref513647300 \h </w:instrText>
      </w:r>
      <w:r w:rsidR="00824DA1" w:rsidRPr="00D96442">
        <w:instrText xml:space="preserve"> \* MERGEFORMAT </w:instrText>
      </w:r>
      <w:r w:rsidR="009802C2" w:rsidRPr="00D96442">
        <w:fldChar w:fldCharType="separate"/>
      </w:r>
      <w:r w:rsidR="009802C2" w:rsidRPr="00D96442">
        <w:t xml:space="preserve">Figure </w:t>
      </w:r>
      <w:r w:rsidR="009802C2" w:rsidRPr="00D96442">
        <w:rPr>
          <w:noProof/>
        </w:rPr>
        <w:t>1</w:t>
      </w:r>
      <w:r w:rsidR="009802C2" w:rsidRPr="00D96442">
        <w:fldChar w:fldCharType="end"/>
      </w:r>
      <w:r w:rsidR="009802C2" w:rsidRPr="00D96442">
        <w:t>)</w:t>
      </w:r>
      <w:r w:rsidRPr="00D96442">
        <w:t xml:space="preserve">. </w:t>
      </w:r>
    </w:p>
    <w:p w:rsidR="00A26B87" w:rsidRDefault="00A26B87" w:rsidP="00E11BE1"/>
    <w:p w:rsidR="00EF291A" w:rsidRPr="00EF291A" w:rsidRDefault="00EF291A" w:rsidP="00E11BE1"/>
    <w:p w:rsidR="00A26B87" w:rsidRDefault="00E11BE1" w:rsidP="001045F8">
      <w:pPr>
        <w:jc w:val="center"/>
      </w:pPr>
      <w:r>
        <w:rPr>
          <w:noProof/>
          <w:lang w:val="en-GB" w:eastAsia="en-GB"/>
        </w:rPr>
        <w:drawing>
          <wp:inline distT="0" distB="0" distL="0" distR="0">
            <wp:extent cx="5086350" cy="1600200"/>
            <wp:effectExtent l="0" t="0" r="0" b="0"/>
            <wp:docPr id="1" name="Picture 1" descr="img_cross_section_prep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cross_section_prepr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86350" cy="1600200"/>
                    </a:xfrm>
                    <a:prstGeom prst="rect">
                      <a:avLst/>
                    </a:prstGeom>
                    <a:noFill/>
                    <a:ln>
                      <a:noFill/>
                    </a:ln>
                  </pic:spPr>
                </pic:pic>
              </a:graphicData>
            </a:graphic>
          </wp:inline>
        </w:drawing>
      </w:r>
    </w:p>
    <w:p w:rsidR="00A26B87" w:rsidRPr="009D260E" w:rsidRDefault="00A26B87" w:rsidP="00E11BE1"/>
    <w:p w:rsidR="00A26B87" w:rsidRPr="009D260E" w:rsidRDefault="00A26B87" w:rsidP="001045F8">
      <w:pPr>
        <w:pStyle w:val="Caption"/>
        <w:jc w:val="center"/>
      </w:pPr>
      <w:bookmarkStart w:id="0" w:name="_Ref513647300"/>
      <w:r w:rsidRPr="009D260E">
        <w:t xml:space="preserve">Figure </w:t>
      </w:r>
      <w:r w:rsidRPr="009D260E">
        <w:fldChar w:fldCharType="begin"/>
      </w:r>
      <w:r w:rsidRPr="009D260E">
        <w:instrText xml:space="preserve"> SEQ Figure \* ARABIC </w:instrText>
      </w:r>
      <w:r w:rsidRPr="009D260E">
        <w:fldChar w:fldCharType="separate"/>
      </w:r>
      <w:r>
        <w:rPr>
          <w:noProof/>
        </w:rPr>
        <w:t>1</w:t>
      </w:r>
      <w:r w:rsidRPr="009D260E">
        <w:fldChar w:fldCharType="end"/>
      </w:r>
      <w:bookmarkEnd w:id="0"/>
      <w:r w:rsidR="00EF291A">
        <w:t>.</w:t>
      </w:r>
      <w:r w:rsidRPr="009D260E">
        <w:t xml:space="preserve"> </w:t>
      </w:r>
      <w:r w:rsidRPr="00EF291A">
        <w:t>Semipreg fabric cross-section; the PA66 droplets are highlighted in blue</w:t>
      </w:r>
    </w:p>
    <w:p w:rsidR="00A26B87" w:rsidRDefault="00A26B87" w:rsidP="00E11BE1"/>
    <w:p w:rsidR="00EF291A" w:rsidRPr="00EF291A" w:rsidRDefault="00EF291A" w:rsidP="00E11BE1"/>
    <w:p w:rsidR="001029D9" w:rsidRPr="00D96442" w:rsidRDefault="003603B1" w:rsidP="00E11BE1">
      <w:r w:rsidRPr="00D96442">
        <w:t>The main characteristics of t</w:t>
      </w:r>
      <w:r w:rsidR="00446C1F" w:rsidRPr="00D96442">
        <w:t>he fabric are summed up in</w:t>
      </w:r>
      <w:r w:rsidRPr="00D96442">
        <w:t xml:space="preserve"> </w:t>
      </w:r>
      <w:r w:rsidR="00446C1F" w:rsidRPr="00D96442">
        <w:fldChar w:fldCharType="begin"/>
      </w:r>
      <w:r w:rsidR="00446C1F" w:rsidRPr="00D96442">
        <w:instrText xml:space="preserve"> REF _Ref513642719 \h </w:instrText>
      </w:r>
      <w:r w:rsidR="00824DA1" w:rsidRPr="00D96442">
        <w:instrText xml:space="preserve"> \* MERGEFORMAT </w:instrText>
      </w:r>
      <w:r w:rsidR="00446C1F" w:rsidRPr="00D96442">
        <w:fldChar w:fldCharType="separate"/>
      </w:r>
      <w:r w:rsidR="00446C1F" w:rsidRPr="00D96442">
        <w:t xml:space="preserve">Table </w:t>
      </w:r>
      <w:r w:rsidR="00446C1F" w:rsidRPr="00D96442">
        <w:rPr>
          <w:noProof/>
        </w:rPr>
        <w:t>1</w:t>
      </w:r>
      <w:r w:rsidR="00446C1F" w:rsidRPr="00D96442">
        <w:fldChar w:fldCharType="end"/>
      </w:r>
      <w:r w:rsidR="00446C1F" w:rsidRPr="00D96442">
        <w:t>.</w:t>
      </w:r>
      <w:r w:rsidR="00A26B87" w:rsidRPr="00D96442">
        <w:t xml:space="preserve"> The PA66 used </w:t>
      </w:r>
      <w:r w:rsidR="00FA32FF" w:rsidRPr="00D96442">
        <w:t>is a high fluidity grade, with dynamic melt viscosity of 30Pa.s at 10s</w:t>
      </w:r>
      <w:r w:rsidR="00FA32FF" w:rsidRPr="00D96442">
        <w:rPr>
          <w:vertAlign w:val="superscript"/>
        </w:rPr>
        <w:t>-</w:t>
      </w:r>
      <w:r w:rsidR="00FA32FF" w:rsidRPr="00D96442">
        <w:t xml:space="preserve">1 and </w:t>
      </w:r>
      <w:r w:rsidR="00A26B87" w:rsidRPr="00D96442">
        <w:t>presents a melti</w:t>
      </w:r>
      <w:r w:rsidR="00904802">
        <w:t xml:space="preserve">ng temperature of 260°C and a </w:t>
      </w:r>
      <w:r w:rsidR="00A26B87" w:rsidRPr="00D96442">
        <w:t xml:space="preserve">crystallization temperature of 225°C as determined by DSC at a heating/cooling rate of 20°C/min. </w:t>
      </w:r>
      <w:r w:rsidR="00FA32FF" w:rsidRPr="00D96442">
        <w:t>In addition to the semipreg material, s</w:t>
      </w:r>
      <w:r w:rsidR="00B41893" w:rsidRPr="00D96442">
        <w:t>amples of 320x300mm² were preconsolidated by thermocompression at 2bars, 295°C to be used as a reference material in the bias extension tests.</w:t>
      </w:r>
      <w:r w:rsidR="00FA32FF" w:rsidRPr="00D96442">
        <w:t xml:space="preserve"> The resulting plates have a thickness of 0.51±0.02mm.</w:t>
      </w:r>
    </w:p>
    <w:p w:rsidR="003603B1" w:rsidRDefault="003603B1" w:rsidP="00E11BE1"/>
    <w:p w:rsidR="00EF291A" w:rsidRPr="00EF291A" w:rsidRDefault="00EF291A" w:rsidP="00E11BE1"/>
    <w:p w:rsidR="00446C1F" w:rsidRDefault="00446C1F" w:rsidP="00E11BE1">
      <w:pPr>
        <w:pStyle w:val="Caption"/>
        <w:jc w:val="center"/>
      </w:pPr>
      <w:bookmarkStart w:id="1" w:name="_Ref513642719"/>
      <w:r w:rsidRPr="00446C1F">
        <w:t xml:space="preserve">Table </w:t>
      </w:r>
      <w:r w:rsidRPr="00446C1F">
        <w:fldChar w:fldCharType="begin"/>
      </w:r>
      <w:r w:rsidRPr="00446C1F">
        <w:instrText xml:space="preserve"> SEQ Table \* ARABIC </w:instrText>
      </w:r>
      <w:r w:rsidRPr="00446C1F">
        <w:fldChar w:fldCharType="separate"/>
      </w:r>
      <w:r w:rsidRPr="00446C1F">
        <w:rPr>
          <w:noProof/>
        </w:rPr>
        <w:t>1</w:t>
      </w:r>
      <w:r w:rsidRPr="00446C1F">
        <w:fldChar w:fldCharType="end"/>
      </w:r>
      <w:bookmarkEnd w:id="1"/>
      <w:r w:rsidR="00EF291A">
        <w:t>.</w:t>
      </w:r>
      <w:r w:rsidRPr="00446C1F">
        <w:t xml:space="preserve"> </w:t>
      </w:r>
      <w:r w:rsidRPr="00EF291A">
        <w:t>Main material properties</w:t>
      </w:r>
    </w:p>
    <w:p w:rsidR="00446C1F" w:rsidRPr="00446C1F" w:rsidRDefault="00446C1F" w:rsidP="00E11BE1"/>
    <w:tbl>
      <w:tblPr>
        <w:tblW w:w="0" w:type="auto"/>
        <w:tblInd w:w="1526" w:type="dxa"/>
        <w:tblBorders>
          <w:top w:val="single" w:sz="4" w:space="0" w:color="auto"/>
          <w:bottom w:val="single" w:sz="4" w:space="0" w:color="auto"/>
          <w:insideH w:val="single" w:sz="4" w:space="0" w:color="auto"/>
        </w:tblBorders>
        <w:tblLook w:val="04A0" w:firstRow="1" w:lastRow="0" w:firstColumn="1" w:lastColumn="0" w:noHBand="0" w:noVBand="1"/>
      </w:tblPr>
      <w:tblGrid>
        <w:gridCol w:w="3118"/>
        <w:gridCol w:w="3544"/>
      </w:tblGrid>
      <w:tr w:rsidR="003603B1" w:rsidTr="00E11BE1">
        <w:tc>
          <w:tcPr>
            <w:tcW w:w="3118" w:type="dxa"/>
            <w:shd w:val="clear" w:color="auto" w:fill="auto"/>
          </w:tcPr>
          <w:p w:rsidR="003603B1" w:rsidRDefault="00446C1F" w:rsidP="00E11BE1">
            <w:pPr>
              <w:jc w:val="center"/>
            </w:pPr>
            <w:r>
              <w:t>Weave type</w:t>
            </w:r>
          </w:p>
        </w:tc>
        <w:tc>
          <w:tcPr>
            <w:tcW w:w="3544" w:type="dxa"/>
            <w:shd w:val="clear" w:color="auto" w:fill="auto"/>
          </w:tcPr>
          <w:p w:rsidR="003603B1" w:rsidRDefault="00446C1F" w:rsidP="00E11BE1">
            <w:pPr>
              <w:jc w:val="center"/>
            </w:pPr>
            <w:r>
              <w:t>Twill 2/2</w:t>
            </w:r>
          </w:p>
        </w:tc>
      </w:tr>
      <w:tr w:rsidR="003603B1" w:rsidTr="00E11BE1">
        <w:tc>
          <w:tcPr>
            <w:tcW w:w="3118" w:type="dxa"/>
            <w:shd w:val="clear" w:color="auto" w:fill="auto"/>
          </w:tcPr>
          <w:p w:rsidR="00446C1F" w:rsidRDefault="00446C1F" w:rsidP="00E11BE1">
            <w:pPr>
              <w:jc w:val="center"/>
            </w:pPr>
            <w:r>
              <w:t>Warp/weft ratio</w:t>
            </w:r>
          </w:p>
        </w:tc>
        <w:tc>
          <w:tcPr>
            <w:tcW w:w="3544" w:type="dxa"/>
            <w:shd w:val="clear" w:color="auto" w:fill="auto"/>
          </w:tcPr>
          <w:p w:rsidR="003603B1" w:rsidRDefault="00446C1F" w:rsidP="00E11BE1">
            <w:pPr>
              <w:jc w:val="center"/>
            </w:pPr>
            <w:r>
              <w:t>Balanced</w:t>
            </w:r>
          </w:p>
        </w:tc>
      </w:tr>
      <w:tr w:rsidR="00446C1F" w:rsidTr="00E11BE1">
        <w:tc>
          <w:tcPr>
            <w:tcW w:w="3118" w:type="dxa"/>
            <w:shd w:val="clear" w:color="auto" w:fill="auto"/>
          </w:tcPr>
          <w:p w:rsidR="00446C1F" w:rsidRDefault="00446C1F" w:rsidP="00E11BE1">
            <w:pPr>
              <w:jc w:val="center"/>
            </w:pPr>
            <w:r>
              <w:t>Yarn count</w:t>
            </w:r>
          </w:p>
        </w:tc>
        <w:tc>
          <w:tcPr>
            <w:tcW w:w="3544" w:type="dxa"/>
            <w:shd w:val="clear" w:color="auto" w:fill="auto"/>
          </w:tcPr>
          <w:p w:rsidR="00446C1F" w:rsidRDefault="00446C1F" w:rsidP="00E11BE1">
            <w:pPr>
              <w:jc w:val="center"/>
            </w:pPr>
            <w:r>
              <w:t>2.6 ends per cm</w:t>
            </w:r>
          </w:p>
        </w:tc>
      </w:tr>
      <w:tr w:rsidR="003603B1" w:rsidTr="00E11BE1">
        <w:tc>
          <w:tcPr>
            <w:tcW w:w="3118" w:type="dxa"/>
            <w:shd w:val="clear" w:color="auto" w:fill="auto"/>
          </w:tcPr>
          <w:p w:rsidR="003603B1" w:rsidRDefault="00446C1F" w:rsidP="00E11BE1">
            <w:pPr>
              <w:jc w:val="center"/>
            </w:pPr>
            <w:r>
              <w:t>Semipreg style</w:t>
            </w:r>
          </w:p>
        </w:tc>
        <w:tc>
          <w:tcPr>
            <w:tcW w:w="3544" w:type="dxa"/>
            <w:shd w:val="clear" w:color="auto" w:fill="auto"/>
          </w:tcPr>
          <w:p w:rsidR="003603B1" w:rsidRDefault="00446C1F" w:rsidP="00E11BE1">
            <w:pPr>
              <w:jc w:val="center"/>
            </w:pPr>
            <w:r>
              <w:t>Powdered, 2 faces</w:t>
            </w:r>
          </w:p>
        </w:tc>
      </w:tr>
      <w:tr w:rsidR="003603B1" w:rsidTr="00E11BE1">
        <w:tc>
          <w:tcPr>
            <w:tcW w:w="3118" w:type="dxa"/>
            <w:shd w:val="clear" w:color="auto" w:fill="auto"/>
          </w:tcPr>
          <w:p w:rsidR="003603B1" w:rsidRDefault="00446C1F" w:rsidP="00E11BE1">
            <w:pPr>
              <w:jc w:val="center"/>
            </w:pPr>
            <w:r>
              <w:t>Areal weight (glass fabric)</w:t>
            </w:r>
          </w:p>
        </w:tc>
        <w:tc>
          <w:tcPr>
            <w:tcW w:w="3544" w:type="dxa"/>
            <w:shd w:val="clear" w:color="auto" w:fill="auto"/>
          </w:tcPr>
          <w:p w:rsidR="003603B1" w:rsidRDefault="00446C1F" w:rsidP="00E11BE1">
            <w:pPr>
              <w:jc w:val="center"/>
            </w:pPr>
            <w:r>
              <w:t>600g/m²</w:t>
            </w:r>
          </w:p>
        </w:tc>
      </w:tr>
      <w:tr w:rsidR="003603B1" w:rsidTr="00E11BE1">
        <w:tc>
          <w:tcPr>
            <w:tcW w:w="3118" w:type="dxa"/>
            <w:shd w:val="clear" w:color="auto" w:fill="auto"/>
          </w:tcPr>
          <w:p w:rsidR="003603B1" w:rsidRDefault="00446C1F" w:rsidP="00E11BE1">
            <w:pPr>
              <w:jc w:val="center"/>
            </w:pPr>
            <w:r>
              <w:t>Areal weight (semipreg)</w:t>
            </w:r>
          </w:p>
        </w:tc>
        <w:tc>
          <w:tcPr>
            <w:tcW w:w="3544" w:type="dxa"/>
            <w:shd w:val="clear" w:color="auto" w:fill="auto"/>
          </w:tcPr>
          <w:p w:rsidR="003603B1" w:rsidRDefault="00446C1F" w:rsidP="00E11BE1">
            <w:pPr>
              <w:jc w:val="center"/>
            </w:pPr>
            <w:r>
              <w:t>960g/m²</w:t>
            </w:r>
          </w:p>
        </w:tc>
      </w:tr>
    </w:tbl>
    <w:p w:rsidR="003603B1" w:rsidRPr="00EF291A" w:rsidRDefault="003603B1" w:rsidP="00E11BE1"/>
    <w:p w:rsidR="003603B1" w:rsidRPr="00EF291A" w:rsidRDefault="003603B1" w:rsidP="00E11BE1"/>
    <w:p w:rsidR="00150A3F" w:rsidRDefault="00E31AB1" w:rsidP="00E31AB1">
      <w:pPr>
        <w:pStyle w:val="1stTitleWCCM"/>
        <w:numPr>
          <w:ilvl w:val="1"/>
          <w:numId w:val="4"/>
        </w:numPr>
        <w:tabs>
          <w:tab w:val="clear" w:pos="360"/>
          <w:tab w:val="left" w:pos="284"/>
        </w:tabs>
        <w:spacing w:before="0" w:after="0"/>
        <w:ind w:left="357" w:hanging="357"/>
        <w:outlineLvl w:val="0"/>
        <w:rPr>
          <w:caps w:val="0"/>
          <w:sz w:val="22"/>
          <w:szCs w:val="22"/>
        </w:rPr>
      </w:pPr>
      <w:r>
        <w:rPr>
          <w:caps w:val="0"/>
          <w:sz w:val="22"/>
          <w:szCs w:val="22"/>
        </w:rPr>
        <w:t xml:space="preserve"> </w:t>
      </w:r>
      <w:r w:rsidR="00150A3F">
        <w:rPr>
          <w:caps w:val="0"/>
          <w:sz w:val="22"/>
          <w:szCs w:val="22"/>
        </w:rPr>
        <w:t>Bias-</w:t>
      </w:r>
      <w:r w:rsidR="00A750D8">
        <w:rPr>
          <w:caps w:val="0"/>
          <w:sz w:val="22"/>
          <w:szCs w:val="22"/>
        </w:rPr>
        <w:t>extension tests</w:t>
      </w:r>
    </w:p>
    <w:p w:rsidR="00E31AB1" w:rsidRDefault="00E31AB1" w:rsidP="00E31AB1">
      <w:pPr>
        <w:pStyle w:val="1stTitleWCCM"/>
        <w:tabs>
          <w:tab w:val="clear" w:pos="360"/>
          <w:tab w:val="left" w:pos="284"/>
        </w:tabs>
        <w:spacing w:before="0" w:after="0"/>
        <w:ind w:left="720"/>
        <w:outlineLvl w:val="0"/>
        <w:rPr>
          <w:caps w:val="0"/>
          <w:sz w:val="22"/>
          <w:szCs w:val="22"/>
        </w:rPr>
      </w:pPr>
    </w:p>
    <w:p w:rsidR="00150A3F" w:rsidRDefault="00150A3F" w:rsidP="00E11BE1">
      <w:r w:rsidRPr="00D96442">
        <w:t>The bias-extension test is one of the main experimental test used to characterize the shear behavior of woven materials, and consists in a tensile test on a sample of aspect ratio &gt;2 in which the yarns are initially oriented at ±45° relative to the direction of the applied tension.</w:t>
      </w:r>
      <w:r w:rsidR="0049134F" w:rsidRPr="00D96442">
        <w:t xml:space="preserve"> This leads to a state of pure shear in the center of the sample. The setup used is more compact than picture frame tests and can therefore easily be implemented in an environmental chamber for high-temperature testing.</w:t>
      </w:r>
    </w:p>
    <w:p w:rsidR="00EC01E9" w:rsidRPr="00D96442" w:rsidRDefault="00EC01E9" w:rsidP="00E11BE1"/>
    <w:p w:rsidR="00BD23DE" w:rsidRDefault="00246179" w:rsidP="00E11BE1">
      <w:r w:rsidRPr="00D96442">
        <w:t xml:space="preserve">Samples of 250x100mm² </w:t>
      </w:r>
      <w:r w:rsidR="00150A3F" w:rsidRPr="00D96442">
        <w:t xml:space="preserve">with a ±45° orientation </w:t>
      </w:r>
      <w:r w:rsidRPr="00D96442">
        <w:t>were cut out of the semipreg roll and the preconsolidated plates.</w:t>
      </w:r>
      <w:r w:rsidR="0049134F" w:rsidRPr="00D96442">
        <w:t xml:space="preserve"> Bias-extension tests were conducted with a MTS250kN universal testing system equipped with a MTS651 environmental chamber at speeds of 10, 100 and 1000mm/min and temperatures of 265°C and 280°C. The evolution of shear angle in the central region during testing was recorded in each test with an AVT Pike camera.</w:t>
      </w:r>
    </w:p>
    <w:p w:rsidR="00EC01E9" w:rsidRPr="00D96442" w:rsidRDefault="00EC01E9" w:rsidP="00E11BE1"/>
    <w:p w:rsidR="0049134F" w:rsidRDefault="0049134F" w:rsidP="00E11BE1">
      <w:r w:rsidRPr="00D96442">
        <w:t xml:space="preserve">The resulting averaged shear stress versus shear angle curves for the preconsolidated and semipreg material </w:t>
      </w:r>
      <w:r w:rsidR="00E21B57" w:rsidRPr="00D96442">
        <w:t xml:space="preserve">at </w:t>
      </w:r>
      <w:r w:rsidRPr="00D96442">
        <w:t xml:space="preserve">each test condition are presented in </w:t>
      </w:r>
      <w:r w:rsidRPr="00D96442">
        <w:fldChar w:fldCharType="begin"/>
      </w:r>
      <w:r w:rsidRPr="00D96442">
        <w:instrText xml:space="preserve"> REF _Ref513652721 \h  \* MERGEFORMAT </w:instrText>
      </w:r>
      <w:r w:rsidRPr="00D96442">
        <w:fldChar w:fldCharType="separate"/>
      </w:r>
      <w:r w:rsidRPr="00D96442">
        <w:t xml:space="preserve">Figure </w:t>
      </w:r>
      <w:r w:rsidRPr="00D96442">
        <w:rPr>
          <w:noProof/>
        </w:rPr>
        <w:t>2</w:t>
      </w:r>
      <w:r w:rsidRPr="00D96442">
        <w:fldChar w:fldCharType="end"/>
      </w:r>
      <w:r w:rsidRPr="00D96442">
        <w:t>.</w:t>
      </w:r>
      <w:r w:rsidR="00904802">
        <w:t xml:space="preserve"> The curves present the typical phases expected from bias extension tests: an initially high modulus due to static friction between the yarns, followed by a phase in which the yarns are free to rotate around their crossover point. As the yarns come in contact, transverse compaction leads to a gradual increase in the shear stiffness. Intra-ply slippage mechanisms then become preponderant modes of deformation to accommodate the displacement.</w:t>
      </w:r>
      <w:r w:rsidR="00A961CC">
        <w:t xml:space="preserve"> In the case of the semipreg, these crossover and inter-tow slip leads to the formation of dry zones with resin-rich boundaries which might lead to dry spots after consolidation as the matrix impregnation needs to occur in the plane rather than mainly through-the-thickness..</w:t>
      </w:r>
    </w:p>
    <w:p w:rsidR="001F66E6" w:rsidRPr="00D96442" w:rsidRDefault="001F66E6" w:rsidP="00E11BE1"/>
    <w:p w:rsidR="0049134F" w:rsidRDefault="0049134F" w:rsidP="00E11BE1"/>
    <w:tbl>
      <w:tblPr>
        <w:tblW w:w="0" w:type="auto"/>
        <w:tblLook w:val="04A0" w:firstRow="1" w:lastRow="0" w:firstColumn="1" w:lastColumn="0" w:noHBand="0" w:noVBand="1"/>
      </w:tblPr>
      <w:tblGrid>
        <w:gridCol w:w="4540"/>
        <w:gridCol w:w="4533"/>
      </w:tblGrid>
      <w:tr w:rsidR="005A3993" w:rsidRPr="006C0685" w:rsidTr="006C0685">
        <w:tc>
          <w:tcPr>
            <w:tcW w:w="4644" w:type="dxa"/>
            <w:shd w:val="clear" w:color="auto" w:fill="auto"/>
          </w:tcPr>
          <w:p w:rsidR="005A3993" w:rsidRPr="005A3993" w:rsidRDefault="00E11BE1" w:rsidP="00E11BE1">
            <w:pPr>
              <w:jc w:val="center"/>
            </w:pPr>
            <w:r w:rsidRPr="006C0685">
              <w:rPr>
                <w:noProof/>
                <w:lang w:val="en-GB" w:eastAsia="en-GB"/>
              </w:rPr>
              <w:drawing>
                <wp:inline distT="0" distB="0" distL="0" distR="0">
                  <wp:extent cx="2686050" cy="2114550"/>
                  <wp:effectExtent l="0" t="0" r="0" b="0"/>
                  <wp:docPr id="2" name="Picture 2" descr="results_CS_avg_allte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s_CS_avg_alltemp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86050" cy="2114550"/>
                          </a:xfrm>
                          <a:prstGeom prst="rect">
                            <a:avLst/>
                          </a:prstGeom>
                          <a:noFill/>
                          <a:ln>
                            <a:noFill/>
                          </a:ln>
                        </pic:spPr>
                      </pic:pic>
                    </a:graphicData>
                  </a:graphic>
                </wp:inline>
              </w:drawing>
            </w:r>
          </w:p>
        </w:tc>
        <w:tc>
          <w:tcPr>
            <w:tcW w:w="4645" w:type="dxa"/>
            <w:shd w:val="clear" w:color="auto" w:fill="auto"/>
          </w:tcPr>
          <w:p w:rsidR="005A3993" w:rsidRPr="006C0685" w:rsidRDefault="00E11BE1" w:rsidP="00E11BE1">
            <w:pPr>
              <w:jc w:val="center"/>
            </w:pPr>
            <w:r w:rsidRPr="006C0685">
              <w:rPr>
                <w:noProof/>
                <w:lang w:val="en-GB" w:eastAsia="en-GB"/>
              </w:rPr>
              <w:drawing>
                <wp:inline distT="0" distB="0" distL="0" distR="0">
                  <wp:extent cx="2676525" cy="2105025"/>
                  <wp:effectExtent l="0" t="0" r="0" b="0"/>
                  <wp:docPr id="3" name="Picture 3" descr="Results_SP_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s_SP_aver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76525" cy="2105025"/>
                          </a:xfrm>
                          <a:prstGeom prst="rect">
                            <a:avLst/>
                          </a:prstGeom>
                          <a:noFill/>
                          <a:ln>
                            <a:noFill/>
                          </a:ln>
                        </pic:spPr>
                      </pic:pic>
                    </a:graphicData>
                  </a:graphic>
                </wp:inline>
              </w:drawing>
            </w:r>
          </w:p>
        </w:tc>
      </w:tr>
      <w:tr w:rsidR="005A3993" w:rsidRPr="006C0685" w:rsidTr="006C0685">
        <w:tc>
          <w:tcPr>
            <w:tcW w:w="4644" w:type="dxa"/>
            <w:shd w:val="clear" w:color="auto" w:fill="auto"/>
          </w:tcPr>
          <w:p w:rsidR="005A3993" w:rsidRDefault="005A3993" w:rsidP="00E11BE1">
            <w:pPr>
              <w:jc w:val="center"/>
            </w:pPr>
            <w:r w:rsidRPr="006C0685">
              <w:t>(a)</w:t>
            </w:r>
          </w:p>
        </w:tc>
        <w:tc>
          <w:tcPr>
            <w:tcW w:w="4645" w:type="dxa"/>
            <w:shd w:val="clear" w:color="auto" w:fill="auto"/>
          </w:tcPr>
          <w:p w:rsidR="005A3993" w:rsidRDefault="005A3993" w:rsidP="00E11BE1">
            <w:pPr>
              <w:jc w:val="center"/>
            </w:pPr>
            <w:r w:rsidRPr="006C0685">
              <w:t>(b)</w:t>
            </w:r>
          </w:p>
        </w:tc>
      </w:tr>
      <w:tr w:rsidR="005A3993" w:rsidRPr="006C0685" w:rsidTr="006C0685">
        <w:tc>
          <w:tcPr>
            <w:tcW w:w="9289" w:type="dxa"/>
            <w:gridSpan w:val="2"/>
            <w:shd w:val="clear" w:color="auto" w:fill="auto"/>
          </w:tcPr>
          <w:p w:rsidR="00EF291A" w:rsidRDefault="00EF291A" w:rsidP="00E11BE1">
            <w:bookmarkStart w:id="2" w:name="_Ref513652721"/>
          </w:p>
          <w:p w:rsidR="005A3993" w:rsidRPr="006C0685" w:rsidRDefault="005A3993" w:rsidP="00E11BE1">
            <w:pPr>
              <w:jc w:val="center"/>
              <w:rPr>
                <w:b/>
                <w:caps/>
              </w:rPr>
            </w:pPr>
            <w:r w:rsidRPr="006C0685">
              <w:rPr>
                <w:b/>
              </w:rPr>
              <w:t xml:space="preserve">Figure </w:t>
            </w:r>
            <w:r w:rsidRPr="006C0685">
              <w:rPr>
                <w:b/>
              </w:rPr>
              <w:fldChar w:fldCharType="begin"/>
            </w:r>
            <w:r w:rsidRPr="006C0685">
              <w:rPr>
                <w:b/>
              </w:rPr>
              <w:instrText xml:space="preserve"> SEQ Figure \* ARABIC </w:instrText>
            </w:r>
            <w:r w:rsidRPr="006C0685">
              <w:rPr>
                <w:b/>
              </w:rPr>
              <w:fldChar w:fldCharType="separate"/>
            </w:r>
            <w:r w:rsidR="00772BAB" w:rsidRPr="006C0685">
              <w:rPr>
                <w:b/>
                <w:noProof/>
              </w:rPr>
              <w:t>2</w:t>
            </w:r>
            <w:r w:rsidRPr="006C0685">
              <w:rPr>
                <w:b/>
              </w:rPr>
              <w:fldChar w:fldCharType="end"/>
            </w:r>
            <w:bookmarkEnd w:id="2"/>
            <w:r w:rsidR="00EF291A">
              <w:rPr>
                <w:b/>
              </w:rPr>
              <w:t>.</w:t>
            </w:r>
            <w:r w:rsidRPr="006C0685">
              <w:rPr>
                <w:b/>
              </w:rPr>
              <w:t xml:space="preserve"> </w:t>
            </w:r>
            <w:r w:rsidRPr="00EF291A">
              <w:t>Shear stress versus shear angle results for (a) preconsolidated material, (b) semipreg</w:t>
            </w:r>
          </w:p>
        </w:tc>
      </w:tr>
    </w:tbl>
    <w:p w:rsidR="005A3993" w:rsidRDefault="005A3993" w:rsidP="00E11BE1"/>
    <w:p w:rsidR="00904802" w:rsidRDefault="00904802" w:rsidP="00E11BE1"/>
    <w:p w:rsidR="00904802" w:rsidRDefault="00904802" w:rsidP="00E11BE1">
      <w:r>
        <w:t>Decreasing the test temperature leads to an increase of the measured shear stress both for the preconsolidated and the semipreg material. This is due to an increase in the viscosity of the matrix as the temperature gets closer to the crystallization temperature; the mobility of the yarns is therefore affected as they are either fully impregnated (in the case of the preconsolidated) or sandwiched between polymer rich layers in the case of the semipreg.</w:t>
      </w:r>
      <w:r w:rsidR="00B31205">
        <w:t xml:space="preserve"> In the same fashion, increasing the test speed (and thus the shear rate) increases the measured shear stress for the preconsolidated material. </w:t>
      </w:r>
      <w:r w:rsidR="00340AAC">
        <w:t>Other studies also report this effect for various thermoplastic composites</w:t>
      </w:r>
      <w:r w:rsidR="007417B3">
        <w:t xml:space="preserve"> [3]</w:t>
      </w:r>
      <w:r w:rsidR="00340AAC">
        <w:t xml:space="preserve">; this behavior is attributed to the shear rate dependent lubricated friction behavior at the yarn/yarn interfaces. </w:t>
      </w:r>
    </w:p>
    <w:p w:rsidR="00EC01E9" w:rsidRDefault="00EC01E9" w:rsidP="00E11BE1"/>
    <w:p w:rsidR="00F249E9" w:rsidRDefault="00F249E9" w:rsidP="00E11BE1">
      <w:r>
        <w:t>The semipreg material show</w:t>
      </w:r>
      <w:r w:rsidR="00E31AB1">
        <w:t>s</w:t>
      </w:r>
      <w:r>
        <w:t xml:space="preserve"> a much lower dependence on shear rate. This can be explained by </w:t>
      </w:r>
      <w:r w:rsidR="001045F8">
        <w:t xml:space="preserve">the </w:t>
      </w:r>
      <w:r>
        <w:t xml:space="preserve">differences in </w:t>
      </w:r>
      <w:r w:rsidR="001045F8">
        <w:t>terms of</w:t>
      </w:r>
      <w:r>
        <w:t xml:space="preserve"> spatial distribution of the matrix in the woven fabric. In contrast with the preconsolidated material, the contact between the yarns is not lubricated as the matrix is only present on the outer surfaces of the fabric. </w:t>
      </w:r>
      <w:r w:rsidR="00E31AB1">
        <w:t>Results on</w:t>
      </w:r>
      <w:r w:rsidR="00193271">
        <w:t xml:space="preserve"> dry fabric/fabric or fabric/tool friction </w:t>
      </w:r>
      <w:r w:rsidR="00E31AB1">
        <w:t xml:space="preserve">coefficient </w:t>
      </w:r>
      <w:r w:rsidR="00193271">
        <w:t xml:space="preserve">as a function of velocity </w:t>
      </w:r>
      <w:r w:rsidR="00E31AB1">
        <w:t>presented in the literature are</w:t>
      </w:r>
      <w:r w:rsidR="00193271">
        <w:t xml:space="preserve"> consistent with those obtained in this study, with limited effect of the shear rate on friction coefficient in dry friction when compared to lubricated contact</w:t>
      </w:r>
      <w:r w:rsidR="007417B3">
        <w:t xml:space="preserve"> [4]</w:t>
      </w:r>
      <w:r w:rsidR="00193271">
        <w:t>.</w:t>
      </w:r>
    </w:p>
    <w:p w:rsidR="005A3993" w:rsidRDefault="005A3993" w:rsidP="00E11BE1"/>
    <w:p w:rsidR="00704B24" w:rsidRDefault="008B6986" w:rsidP="00D13F6A">
      <w:pPr>
        <w:pStyle w:val="1stTitleWCCM"/>
        <w:tabs>
          <w:tab w:val="clear" w:pos="360"/>
          <w:tab w:val="left" w:pos="284"/>
        </w:tabs>
        <w:spacing w:before="0" w:after="0"/>
        <w:outlineLvl w:val="0"/>
        <w:rPr>
          <w:caps w:val="0"/>
          <w:sz w:val="22"/>
          <w:szCs w:val="22"/>
        </w:rPr>
      </w:pPr>
      <w:r>
        <w:rPr>
          <w:sz w:val="22"/>
          <w:szCs w:val="22"/>
        </w:rPr>
        <w:t>3</w:t>
      </w:r>
      <w:r w:rsidR="00A14A8C">
        <w:rPr>
          <w:sz w:val="22"/>
          <w:szCs w:val="22"/>
        </w:rPr>
        <w:t>.</w:t>
      </w:r>
      <w:r w:rsidR="00E36939">
        <w:rPr>
          <w:sz w:val="22"/>
          <w:szCs w:val="22"/>
        </w:rPr>
        <w:t xml:space="preserve">  </w:t>
      </w:r>
      <w:r w:rsidR="00E36939">
        <w:rPr>
          <w:caps w:val="0"/>
          <w:sz w:val="22"/>
          <w:szCs w:val="22"/>
        </w:rPr>
        <w:t>Modeling</w:t>
      </w:r>
    </w:p>
    <w:p w:rsidR="00E36939" w:rsidRDefault="00E36939" w:rsidP="00E11BE1"/>
    <w:p w:rsidR="00EC01E9" w:rsidRDefault="00EC01E9" w:rsidP="00E11BE1">
      <w:r>
        <w:t>The approach used here is an extension of the work presented by Pierce et al</w:t>
      </w:r>
      <w:r w:rsidR="007417B3">
        <w:t xml:space="preserve"> [5]</w:t>
      </w:r>
      <w:r w:rsidR="002D7C10">
        <w:t xml:space="preserve"> in which the material is modeled as a continuum</w:t>
      </w:r>
      <w:r>
        <w:t>, and based on a hypoelastic formulation:</w:t>
      </w:r>
    </w:p>
    <w:p w:rsidR="00EC01E9" w:rsidRDefault="00EC01E9" w:rsidP="00E11BE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4"/>
      </w:tblGrid>
      <w:tr w:rsidR="00EC01E9" w:rsidTr="00EC01E9">
        <w:tc>
          <w:tcPr>
            <w:tcW w:w="8359" w:type="dxa"/>
          </w:tcPr>
          <w:p w:rsidR="00EC01E9" w:rsidRDefault="00F6432E" w:rsidP="00E11BE1">
            <m:oMathPara>
              <m:oMath>
                <m:sSup>
                  <m:sSupPr>
                    <m:ctrlPr>
                      <w:rPr>
                        <w:rFonts w:ascii="Cambria Math" w:hAnsi="Cambria Math"/>
                        <w:i/>
                      </w:rPr>
                    </m:ctrlPr>
                  </m:sSupPr>
                  <m:e>
                    <m:r>
                      <m:rPr>
                        <m:sty m:val="bi"/>
                      </m:rPr>
                      <w:rPr>
                        <w:rFonts w:ascii="Cambria Math" w:hAnsi="Cambria Math"/>
                      </w:rPr>
                      <m:t>σ</m:t>
                    </m:r>
                  </m:e>
                  <m:sup>
                    <m:r>
                      <m:rPr>
                        <m:sty m:val="p"/>
                      </m:rPr>
                      <w:rPr>
                        <w:rFonts w:ascii="Cambria Math" w:hAnsi="Cambria Math"/>
                      </w:rPr>
                      <m:t>∇</m:t>
                    </m:r>
                  </m:sup>
                </m:sSup>
                <m:r>
                  <w:rPr>
                    <w:rFonts w:ascii="Cambria Math" w:hAnsi="Cambria Math"/>
                  </w:rPr>
                  <m:t>=</m:t>
                </m:r>
                <m:r>
                  <m:rPr>
                    <m:sty m:val="bi"/>
                  </m:rPr>
                  <w:rPr>
                    <w:rFonts w:ascii="Cambria Math" w:hAnsi="Cambria Math"/>
                  </w:rPr>
                  <m:t>C</m:t>
                </m:r>
                <m:r>
                  <w:rPr>
                    <w:rFonts w:ascii="Cambria Math" w:hAnsi="Cambria Math"/>
                  </w:rPr>
                  <m:t>:</m:t>
                </m:r>
                <m:r>
                  <m:rPr>
                    <m:sty m:val="bi"/>
                  </m:rPr>
                  <w:rPr>
                    <w:rFonts w:ascii="Cambria Math" w:hAnsi="Cambria Math"/>
                  </w:rPr>
                  <m:t>D</m:t>
                </m:r>
              </m:oMath>
            </m:oMathPara>
          </w:p>
        </w:tc>
        <w:tc>
          <w:tcPr>
            <w:tcW w:w="704" w:type="dxa"/>
          </w:tcPr>
          <w:p w:rsidR="00EC01E9" w:rsidRDefault="00EC01E9" w:rsidP="00EC01E9">
            <w:pPr>
              <w:jc w:val="right"/>
            </w:pPr>
            <w:r>
              <w:t>(1)</w:t>
            </w:r>
          </w:p>
        </w:tc>
      </w:tr>
    </w:tbl>
    <w:p w:rsidR="00EC01E9" w:rsidRDefault="00EC01E9" w:rsidP="00E11BE1"/>
    <w:p w:rsidR="00EC01E9" w:rsidRDefault="00EC01E9" w:rsidP="00E11BE1">
      <w:r>
        <w:lastRenderedPageBreak/>
        <w:t xml:space="preserve">Where σ is the Cauchy stress tensor, D the strain rate tensor and C a fourth order constitutive tensor expressed in the frame of the fiber. </w:t>
      </w:r>
      <m:oMath>
        <m:r>
          <m:rPr>
            <m:sty m:val="p"/>
          </m:rPr>
          <w:rPr>
            <w:rFonts w:ascii="Cambria Math" w:hAnsi="Cambria Math"/>
          </w:rPr>
          <m:t>∇</m:t>
        </m:r>
      </m:oMath>
      <w:r>
        <w:t xml:space="preserve"> is an objective derivation operator based on the deformation tensor. The constitutive relation is expressed in</w:t>
      </w:r>
      <w:r w:rsidR="001F66E6">
        <w:t xml:space="preserve"> a frame fixed with the material directions</w:t>
      </w:r>
    </w:p>
    <w:p w:rsidR="00EC01E9" w:rsidRDefault="00EC01E9" w:rsidP="00E11BE1"/>
    <w:p w:rsidR="00E11BE1" w:rsidRDefault="00193271" w:rsidP="00E11BE1">
      <w:r>
        <w:t>A rate- and temperature- dependent model proposed by Machado</w:t>
      </w:r>
      <w:r w:rsidR="007417B3">
        <w:t xml:space="preserve"> [6]</w:t>
      </w:r>
      <w:r>
        <w:t xml:space="preserve"> to represent the shear behavior of preconsolidated woven composites is </w:t>
      </w:r>
      <w:r w:rsidR="002D7C10">
        <w:t>u</w:t>
      </w:r>
      <w:r>
        <w:t xml:space="preserve">sed. The shear modulus assumes multiplicative decoupling between the effects of temperature, speed and the non linear shear response as shown in Equation </w:t>
      </w:r>
      <w:r w:rsidR="00EC01E9">
        <w:t>2</w:t>
      </w:r>
      <w:r>
        <w:t>. The shear rate dependence is modelled through a Cowper-Symonds overstress law (power law) and the t</w:t>
      </w:r>
      <w:r w:rsidR="00110787">
        <w:t>hermal</w:t>
      </w:r>
      <w:r>
        <w:t xml:space="preserve"> dependence is given by an exponential </w:t>
      </w:r>
      <w:r w:rsidR="00110787">
        <w:t>temperature factor.</w:t>
      </w:r>
    </w:p>
    <w:p w:rsidR="002D7C10" w:rsidRDefault="002D7C10" w:rsidP="00E11BE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67"/>
        <w:gridCol w:w="806"/>
      </w:tblGrid>
      <w:tr w:rsidR="00E11BE1" w:rsidTr="00435657">
        <w:trPr>
          <w:trHeight w:val="595"/>
        </w:trPr>
        <w:tc>
          <w:tcPr>
            <w:tcW w:w="8472" w:type="dxa"/>
            <w:vAlign w:val="center"/>
          </w:tcPr>
          <w:p w:rsidR="00E11BE1" w:rsidRDefault="00F6432E" w:rsidP="007F5B04">
            <w:pPr>
              <w:jc w:val="center"/>
            </w:pPr>
            <m:oMathPara>
              <m:oMath>
                <m:sSub>
                  <m:sSubPr>
                    <m:ctrlPr>
                      <w:rPr>
                        <w:rFonts w:ascii="Cambria Math" w:hAnsi="Cambria Math"/>
                        <w:i/>
                      </w:rPr>
                    </m:ctrlPr>
                  </m:sSubPr>
                  <m:e>
                    <m:r>
                      <w:rPr>
                        <w:rFonts w:ascii="Cambria Math" w:hAnsi="Cambria Math"/>
                      </w:rPr>
                      <m:t>G</m:t>
                    </m:r>
                  </m:e>
                  <m:sub>
                    <m:r>
                      <w:rPr>
                        <w:rFonts w:ascii="Cambria Math" w:hAnsi="Cambria Math"/>
                      </w:rPr>
                      <m:t>12</m:t>
                    </m:r>
                  </m:sub>
                </m:sSub>
                <m:d>
                  <m:dPr>
                    <m:ctrlPr>
                      <w:rPr>
                        <w:rFonts w:ascii="Cambria Math" w:hAnsi="Cambria Math"/>
                        <w:i/>
                      </w:rPr>
                    </m:ctrlPr>
                  </m:dPr>
                  <m:e>
                    <m:r>
                      <w:rPr>
                        <w:rFonts w:ascii="Cambria Math" w:hAnsi="Cambria Math"/>
                      </w:rPr>
                      <m:t>γ,</m:t>
                    </m:r>
                    <m:acc>
                      <m:accPr>
                        <m:chr m:val="̇"/>
                        <m:ctrlPr>
                          <w:rPr>
                            <w:rFonts w:ascii="Cambria Math" w:hAnsi="Cambria Math"/>
                            <w:i/>
                          </w:rPr>
                        </m:ctrlPr>
                      </m:accPr>
                      <m:e>
                        <m:r>
                          <w:rPr>
                            <w:rFonts w:ascii="Cambria Math" w:hAnsi="Cambria Math"/>
                          </w:rPr>
                          <m:t>γ</m:t>
                        </m:r>
                      </m:e>
                    </m:acc>
                    <m:r>
                      <w:rPr>
                        <w:rFonts w:ascii="Cambria Math" w:hAnsi="Cambria Math"/>
                      </w:rPr>
                      <m:t>,T</m:t>
                    </m:r>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+2</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γ+3</m:t>
                    </m:r>
                    <m:sSub>
                      <m:sSubPr>
                        <m:ctrlPr>
                          <w:rPr>
                            <w:rFonts w:ascii="Cambria Math" w:hAnsi="Cambria Math"/>
                            <w:i/>
                          </w:rPr>
                        </m:ctrlPr>
                      </m:sSubPr>
                      <m:e>
                        <m:r>
                          <w:rPr>
                            <w:rFonts w:ascii="Cambria Math" w:hAnsi="Cambria Math"/>
                          </w:rPr>
                          <m:t>a</m:t>
                        </m:r>
                      </m:e>
                      <m:sub>
                        <m:r>
                          <w:rPr>
                            <w:rFonts w:ascii="Cambria Math" w:hAnsi="Cambria Math"/>
                          </w:rPr>
                          <m:t>3</m:t>
                        </m:r>
                      </m:sub>
                    </m:sSub>
                    <m:sSup>
                      <m:sSupPr>
                        <m:ctrlPr>
                          <w:rPr>
                            <w:rFonts w:ascii="Cambria Math" w:hAnsi="Cambria Math"/>
                            <w:i/>
                          </w:rPr>
                        </m:ctrlPr>
                      </m:sSupPr>
                      <m:e>
                        <m:r>
                          <w:rPr>
                            <w:rFonts w:ascii="Cambria Math" w:hAnsi="Cambria Math"/>
                          </w:rPr>
                          <m:t>γ</m:t>
                        </m:r>
                      </m:e>
                      <m:sup>
                        <m:r>
                          <w:rPr>
                            <w:rFonts w:ascii="Cambria Math" w:hAnsi="Cambria Math"/>
                          </w:rPr>
                          <m:t>2</m:t>
                        </m:r>
                      </m:sup>
                    </m:sSup>
                  </m:e>
                </m:d>
                <m:d>
                  <m:dPr>
                    <m:ctrlPr>
                      <w:rPr>
                        <w:rFonts w:ascii="Cambria Math" w:hAnsi="Cambria Math"/>
                        <w:i/>
                      </w:rPr>
                    </m:ctrlPr>
                  </m:dPr>
                  <m:e>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hAnsi="Cambria Math"/>
                                      </w:rPr>
                                      <m:t>γ</m:t>
                                    </m:r>
                                  </m:e>
                                </m:acc>
                              </m:num>
                              <m:den>
                                <m:r>
                                  <w:rPr>
                                    <w:rFonts w:ascii="Cambria Math" w:hAnsi="Cambria Math"/>
                                  </w:rPr>
                                  <m:t>D</m:t>
                                </m:r>
                              </m:den>
                            </m:f>
                          </m:e>
                        </m:d>
                      </m:e>
                      <m:sup>
                        <m:f>
                          <m:fPr>
                            <m:ctrlPr>
                              <w:rPr>
                                <w:rFonts w:ascii="Cambria Math" w:hAnsi="Cambria Math"/>
                                <w:i/>
                              </w:rPr>
                            </m:ctrlPr>
                          </m:fPr>
                          <m:num>
                            <m:r>
                              <w:rPr>
                                <w:rFonts w:ascii="Cambria Math" w:hAnsi="Cambria Math"/>
                              </w:rPr>
                              <m:t>1</m:t>
                            </m:r>
                          </m:num>
                          <m:den>
                            <m:r>
                              <w:rPr>
                                <w:rFonts w:ascii="Cambria Math" w:hAnsi="Cambria Math"/>
                              </w:rPr>
                              <m:t>P</m:t>
                            </m:r>
                          </m:den>
                        </m:f>
                      </m:sup>
                    </m:sSup>
                  </m:e>
                </m:d>
                <m:d>
                  <m:dPr>
                    <m:ctrlPr>
                      <w:rPr>
                        <w:rFonts w:ascii="Cambria Math" w:hAnsi="Cambria Math"/>
                        <w:i/>
                      </w:rPr>
                    </m:ctrlPr>
                  </m:dPr>
                  <m:e>
                    <m:sSup>
                      <m:sSupPr>
                        <m:ctrlPr>
                          <w:rPr>
                            <w:rFonts w:ascii="Cambria Math" w:hAnsi="Cambria Math"/>
                            <w:i/>
                          </w:rPr>
                        </m:ctrlPr>
                      </m:sSupPr>
                      <m:e>
                        <m:r>
                          <w:rPr>
                            <w:rFonts w:ascii="Cambria Math" w:hAnsi="Cambria Math"/>
                          </w:rPr>
                          <m:t>e</m:t>
                        </m:r>
                      </m:e>
                      <m:sup>
                        <m:r>
                          <w:rPr>
                            <w:rFonts w:ascii="Cambria Math" w:hAnsi="Cambria Math"/>
                          </w:rPr>
                          <m:t>A</m:t>
                        </m:r>
                        <m:f>
                          <m:fPr>
                            <m:ctrlPr>
                              <w:rPr>
                                <w:rFonts w:ascii="Cambria Math" w:hAnsi="Cambria Math"/>
                                <w:i/>
                              </w:rPr>
                            </m:ctrlPr>
                          </m:fPr>
                          <m:num>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0</m:t>
                                </m:r>
                              </m:sub>
                            </m:sSub>
                          </m:num>
                          <m:den>
                            <m:sSub>
                              <m:sSubPr>
                                <m:ctrlPr>
                                  <w:rPr>
                                    <w:rFonts w:ascii="Cambria Math" w:hAnsi="Cambria Math"/>
                                    <w:i/>
                                  </w:rPr>
                                </m:ctrlPr>
                              </m:sSubPr>
                              <m:e>
                                <m:r>
                                  <w:rPr>
                                    <w:rFonts w:ascii="Cambria Math" w:hAnsi="Cambria Math"/>
                                  </w:rPr>
                                  <m:t>T</m:t>
                                </m:r>
                              </m:e>
                              <m:sub>
                                <m:r>
                                  <w:rPr>
                                    <w:rFonts w:ascii="Cambria Math" w:hAnsi="Cambria Math"/>
                                  </w:rPr>
                                  <m:t>0</m:t>
                                </m:r>
                              </m:sub>
                            </m:sSub>
                          </m:den>
                        </m:f>
                      </m:sup>
                    </m:sSup>
                  </m:e>
                </m:d>
              </m:oMath>
            </m:oMathPara>
          </w:p>
        </w:tc>
        <w:tc>
          <w:tcPr>
            <w:tcW w:w="817" w:type="dxa"/>
            <w:vAlign w:val="center"/>
          </w:tcPr>
          <w:p w:rsidR="00E11BE1" w:rsidRDefault="00EC01E9" w:rsidP="007F5B04">
            <w:pPr>
              <w:jc w:val="right"/>
            </w:pPr>
            <w:r>
              <w:t>(2</w:t>
            </w:r>
            <w:r w:rsidR="00E11BE1">
              <w:t>)</w:t>
            </w:r>
          </w:p>
        </w:tc>
      </w:tr>
    </w:tbl>
    <w:p w:rsidR="00E11BE1" w:rsidRDefault="00E11BE1" w:rsidP="00E11BE1"/>
    <w:p w:rsidR="00E11BE1" w:rsidRDefault="00727819" w:rsidP="00E11BE1">
      <w:r>
        <w:t xml:space="preserve">The model parameters have been determined for the PA66/glass fabric in both configurations by non linear optimization on the shear stress versus shear angle data using MATLAB; the non constant shear rate during the bias extension test is considered during the optimization. </w:t>
      </w:r>
      <w:r w:rsidR="00110787">
        <w:t>A comparison between the experimental results and the model prediction is given in Figure 3.</w:t>
      </w:r>
      <w:r>
        <w:t xml:space="preserve"> The proposed model provides a good description of the behavior in both cases, in terms of temperature and rate dependence. </w:t>
      </w:r>
    </w:p>
    <w:p w:rsidR="00435657" w:rsidRDefault="00435657">
      <w:pPr>
        <w:jc w:val="left"/>
      </w:pPr>
    </w:p>
    <w:p w:rsidR="00E11BE1" w:rsidRDefault="00E11BE1" w:rsidP="00E11BE1"/>
    <w:tbl>
      <w:tblPr>
        <w:tblW w:w="0" w:type="auto"/>
        <w:jc w:val="center"/>
        <w:tblLook w:val="04A0" w:firstRow="1" w:lastRow="0" w:firstColumn="1" w:lastColumn="0" w:noHBand="0" w:noVBand="1"/>
      </w:tblPr>
      <w:tblGrid>
        <w:gridCol w:w="4536"/>
        <w:gridCol w:w="4537"/>
      </w:tblGrid>
      <w:tr w:rsidR="005A3993" w:rsidTr="001045F8">
        <w:trPr>
          <w:cantSplit/>
          <w:jc w:val="center"/>
        </w:trPr>
        <w:tc>
          <w:tcPr>
            <w:tcW w:w="4644" w:type="dxa"/>
            <w:shd w:val="clear" w:color="auto" w:fill="auto"/>
          </w:tcPr>
          <w:p w:rsidR="005A3993" w:rsidRDefault="00E11BE1" w:rsidP="00E11BE1">
            <w:pPr>
              <w:jc w:val="center"/>
            </w:pPr>
            <w:r>
              <w:rPr>
                <w:noProof/>
                <w:lang w:val="en-GB" w:eastAsia="en-GB"/>
              </w:rPr>
              <w:drawing>
                <wp:inline distT="0" distB="0" distL="0" distR="0">
                  <wp:extent cx="2686050" cy="2105025"/>
                  <wp:effectExtent l="0" t="0" r="0" b="0"/>
                  <wp:docPr id="4" name="Picture 4" descr="results_CS_265_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s_CS_265_3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6050" cy="2105025"/>
                          </a:xfrm>
                          <a:prstGeom prst="rect">
                            <a:avLst/>
                          </a:prstGeom>
                          <a:noFill/>
                          <a:ln>
                            <a:noFill/>
                          </a:ln>
                        </pic:spPr>
                      </pic:pic>
                    </a:graphicData>
                  </a:graphic>
                </wp:inline>
              </w:drawing>
            </w:r>
          </w:p>
        </w:tc>
        <w:tc>
          <w:tcPr>
            <w:tcW w:w="4645" w:type="dxa"/>
            <w:shd w:val="clear" w:color="auto" w:fill="auto"/>
          </w:tcPr>
          <w:p w:rsidR="005A3993" w:rsidRDefault="00E11BE1" w:rsidP="00E11BE1">
            <w:pPr>
              <w:jc w:val="center"/>
            </w:pPr>
            <w:r>
              <w:rPr>
                <w:noProof/>
                <w:lang w:val="en-GB" w:eastAsia="en-GB"/>
              </w:rPr>
              <w:drawing>
                <wp:inline distT="0" distB="0" distL="0" distR="0">
                  <wp:extent cx="2686050" cy="2105025"/>
                  <wp:effectExtent l="0" t="0" r="0" b="0"/>
                  <wp:docPr id="5" name="Picture 5" descr="results_CS_280_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s_CS_280_3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86050" cy="2105025"/>
                          </a:xfrm>
                          <a:prstGeom prst="rect">
                            <a:avLst/>
                          </a:prstGeom>
                          <a:noFill/>
                          <a:ln>
                            <a:noFill/>
                          </a:ln>
                        </pic:spPr>
                      </pic:pic>
                    </a:graphicData>
                  </a:graphic>
                </wp:inline>
              </w:drawing>
            </w:r>
          </w:p>
        </w:tc>
      </w:tr>
      <w:tr w:rsidR="005A3993" w:rsidTr="001045F8">
        <w:trPr>
          <w:cantSplit/>
          <w:jc w:val="center"/>
        </w:trPr>
        <w:tc>
          <w:tcPr>
            <w:tcW w:w="4644" w:type="dxa"/>
            <w:shd w:val="clear" w:color="auto" w:fill="auto"/>
          </w:tcPr>
          <w:p w:rsidR="005A3993" w:rsidRPr="006C0685" w:rsidRDefault="005A3993" w:rsidP="00E11BE1">
            <w:pPr>
              <w:jc w:val="center"/>
            </w:pPr>
            <w:r w:rsidRPr="006C0685">
              <w:t>(a)</w:t>
            </w:r>
          </w:p>
        </w:tc>
        <w:tc>
          <w:tcPr>
            <w:tcW w:w="4645" w:type="dxa"/>
            <w:shd w:val="clear" w:color="auto" w:fill="auto"/>
          </w:tcPr>
          <w:p w:rsidR="005A3993" w:rsidRPr="006C0685" w:rsidRDefault="005A3993" w:rsidP="00E11BE1">
            <w:pPr>
              <w:jc w:val="center"/>
            </w:pPr>
            <w:r w:rsidRPr="006C0685">
              <w:t>(b)</w:t>
            </w:r>
          </w:p>
        </w:tc>
      </w:tr>
      <w:tr w:rsidR="005A3993" w:rsidTr="001045F8">
        <w:trPr>
          <w:cantSplit/>
          <w:jc w:val="center"/>
        </w:trPr>
        <w:tc>
          <w:tcPr>
            <w:tcW w:w="4644" w:type="dxa"/>
            <w:shd w:val="clear" w:color="auto" w:fill="auto"/>
          </w:tcPr>
          <w:p w:rsidR="005A3993" w:rsidRDefault="00E11BE1" w:rsidP="00E11BE1">
            <w:pPr>
              <w:jc w:val="center"/>
            </w:pPr>
            <w:r>
              <w:rPr>
                <w:noProof/>
                <w:lang w:val="en-GB" w:eastAsia="en-GB"/>
              </w:rPr>
              <w:drawing>
                <wp:inline distT="0" distB="0" distL="0" distR="0">
                  <wp:extent cx="2686050" cy="2105025"/>
                  <wp:effectExtent l="0" t="0" r="0" b="0"/>
                  <wp:docPr id="6" name="Picture 6" descr="Model_SP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del_SP_26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86050" cy="2105025"/>
                          </a:xfrm>
                          <a:prstGeom prst="rect">
                            <a:avLst/>
                          </a:prstGeom>
                          <a:noFill/>
                          <a:ln>
                            <a:noFill/>
                          </a:ln>
                        </pic:spPr>
                      </pic:pic>
                    </a:graphicData>
                  </a:graphic>
                </wp:inline>
              </w:drawing>
            </w:r>
          </w:p>
        </w:tc>
        <w:tc>
          <w:tcPr>
            <w:tcW w:w="4645" w:type="dxa"/>
            <w:shd w:val="clear" w:color="auto" w:fill="auto"/>
          </w:tcPr>
          <w:p w:rsidR="005A3993" w:rsidRDefault="00E11BE1" w:rsidP="00E11BE1">
            <w:pPr>
              <w:jc w:val="center"/>
            </w:pPr>
            <w:r>
              <w:rPr>
                <w:noProof/>
                <w:lang w:val="en-GB" w:eastAsia="en-GB"/>
              </w:rPr>
              <w:drawing>
                <wp:inline distT="0" distB="0" distL="0" distR="0">
                  <wp:extent cx="2686050" cy="2105025"/>
                  <wp:effectExtent l="0" t="0" r="0" b="0"/>
                  <wp:docPr id="7" name="Picture 7" descr="Model_SP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odel_SP_28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86050" cy="2105025"/>
                          </a:xfrm>
                          <a:prstGeom prst="rect">
                            <a:avLst/>
                          </a:prstGeom>
                          <a:noFill/>
                          <a:ln>
                            <a:noFill/>
                          </a:ln>
                        </pic:spPr>
                      </pic:pic>
                    </a:graphicData>
                  </a:graphic>
                </wp:inline>
              </w:drawing>
            </w:r>
          </w:p>
        </w:tc>
      </w:tr>
      <w:tr w:rsidR="005A3993" w:rsidTr="001045F8">
        <w:trPr>
          <w:cantSplit/>
          <w:jc w:val="center"/>
        </w:trPr>
        <w:tc>
          <w:tcPr>
            <w:tcW w:w="4644" w:type="dxa"/>
            <w:shd w:val="clear" w:color="auto" w:fill="auto"/>
          </w:tcPr>
          <w:p w:rsidR="005A3993" w:rsidRPr="006C0685" w:rsidRDefault="005A3993" w:rsidP="00E11BE1">
            <w:pPr>
              <w:jc w:val="center"/>
            </w:pPr>
            <w:r w:rsidRPr="006C0685">
              <w:t>(c)</w:t>
            </w:r>
          </w:p>
        </w:tc>
        <w:tc>
          <w:tcPr>
            <w:tcW w:w="4645" w:type="dxa"/>
            <w:shd w:val="clear" w:color="auto" w:fill="auto"/>
          </w:tcPr>
          <w:p w:rsidR="005A3993" w:rsidRDefault="005A3993" w:rsidP="00E11BE1">
            <w:pPr>
              <w:jc w:val="center"/>
            </w:pPr>
            <w:r w:rsidRPr="006C0685">
              <w:t>(d)</w:t>
            </w:r>
          </w:p>
          <w:p w:rsidR="001F66E6" w:rsidRPr="006C0685" w:rsidRDefault="001F66E6" w:rsidP="00E11BE1">
            <w:pPr>
              <w:jc w:val="center"/>
            </w:pPr>
          </w:p>
        </w:tc>
      </w:tr>
      <w:tr w:rsidR="005A3993" w:rsidTr="001045F8">
        <w:trPr>
          <w:cantSplit/>
          <w:jc w:val="center"/>
        </w:trPr>
        <w:tc>
          <w:tcPr>
            <w:tcW w:w="9289" w:type="dxa"/>
            <w:gridSpan w:val="2"/>
            <w:shd w:val="clear" w:color="auto" w:fill="auto"/>
          </w:tcPr>
          <w:p w:rsidR="005A3993" w:rsidRPr="006C0685" w:rsidRDefault="00772BAB" w:rsidP="00E11BE1">
            <w:pPr>
              <w:jc w:val="center"/>
              <w:rPr>
                <w:b/>
              </w:rPr>
            </w:pPr>
            <w:r w:rsidRPr="006C0685">
              <w:rPr>
                <w:b/>
              </w:rPr>
              <w:t xml:space="preserve">Figure </w:t>
            </w:r>
            <w:r w:rsidRPr="006C0685">
              <w:rPr>
                <w:b/>
              </w:rPr>
              <w:fldChar w:fldCharType="begin"/>
            </w:r>
            <w:r w:rsidRPr="006C0685">
              <w:rPr>
                <w:b/>
              </w:rPr>
              <w:instrText xml:space="preserve"> SEQ Figure \* ARABIC </w:instrText>
            </w:r>
            <w:r w:rsidRPr="006C0685">
              <w:rPr>
                <w:b/>
              </w:rPr>
              <w:fldChar w:fldCharType="separate"/>
            </w:r>
            <w:r w:rsidRPr="006C0685">
              <w:rPr>
                <w:b/>
                <w:noProof/>
              </w:rPr>
              <w:t>3</w:t>
            </w:r>
            <w:r w:rsidRPr="006C0685">
              <w:rPr>
                <w:b/>
              </w:rPr>
              <w:fldChar w:fldCharType="end"/>
            </w:r>
            <w:r w:rsidR="00EF291A">
              <w:rPr>
                <w:b/>
              </w:rPr>
              <w:t>.</w:t>
            </w:r>
            <w:r w:rsidRPr="006C0685">
              <w:rPr>
                <w:b/>
              </w:rPr>
              <w:t xml:space="preserve"> </w:t>
            </w:r>
            <w:r w:rsidRPr="00EF291A">
              <w:t>Comparison between experimental results</w:t>
            </w:r>
            <w:r w:rsidR="00CD5622">
              <w:t xml:space="preserve"> (solid lines)</w:t>
            </w:r>
            <w:r w:rsidRPr="00EF291A">
              <w:t xml:space="preserve"> and model prediction</w:t>
            </w:r>
            <w:r w:rsidR="00CD5622">
              <w:t xml:space="preserve"> (grey surface)</w:t>
            </w:r>
            <w:r w:rsidRPr="00EF291A">
              <w:t xml:space="preserve"> for the preconsolidated material at (a) 265°C and (b) 280°C and for the semipreg at (c) 265°C and (d) 280°C</w:t>
            </w:r>
            <w:r w:rsidR="00CD5622">
              <w:t>.</w:t>
            </w:r>
          </w:p>
        </w:tc>
      </w:tr>
    </w:tbl>
    <w:p w:rsidR="005A3993" w:rsidRDefault="005A3993" w:rsidP="00E11BE1"/>
    <w:p w:rsidR="005A3993" w:rsidRDefault="005A3993" w:rsidP="00E11BE1"/>
    <w:p w:rsidR="00E36939" w:rsidRPr="00727819" w:rsidRDefault="00E36939" w:rsidP="00D13F6A">
      <w:pPr>
        <w:pStyle w:val="1stTitleWCCM"/>
        <w:tabs>
          <w:tab w:val="clear" w:pos="360"/>
          <w:tab w:val="left" w:pos="284"/>
        </w:tabs>
        <w:spacing w:before="0" w:after="0"/>
        <w:outlineLvl w:val="0"/>
        <w:rPr>
          <w:caps w:val="0"/>
          <w:sz w:val="22"/>
          <w:szCs w:val="22"/>
        </w:rPr>
      </w:pPr>
      <w:r>
        <w:rPr>
          <w:caps w:val="0"/>
          <w:sz w:val="22"/>
          <w:szCs w:val="22"/>
        </w:rPr>
        <w:t>4.  Conclusions</w:t>
      </w:r>
    </w:p>
    <w:p w:rsidR="00A427ED" w:rsidRDefault="00A427ED" w:rsidP="00E51BF1"/>
    <w:p w:rsidR="003500D6" w:rsidRDefault="003500D6" w:rsidP="00E51BF1">
      <w:r>
        <w:t xml:space="preserve">The shear behavior of a PA66/glass woven fabric was characterized from bias extension tests at different temperatures and shear rates representative of the thermoforming process. </w:t>
      </w:r>
      <w:r w:rsidR="00ED0767">
        <w:t>The material was tested both in its as-received powder impregnated form, and following a preconsolidation step.</w:t>
      </w:r>
    </w:p>
    <w:p w:rsidR="003B6253" w:rsidRDefault="003500D6" w:rsidP="003500D6">
      <w:pPr>
        <w:rPr>
          <w:rFonts w:ascii="Helvetica" w:hAnsi="Helvetica"/>
          <w:color w:val="000000"/>
          <w:sz w:val="21"/>
          <w:szCs w:val="21"/>
        </w:rPr>
      </w:pPr>
      <w:r>
        <w:rPr>
          <w:rFonts w:eastAsia="Calibri"/>
          <w:lang w:val="en-GB" w:eastAsia="en-GB"/>
        </w:rPr>
        <w:t>Results show that while both materials present an increase of the shear stiffness with decreasing temperature, the semipreg is not sensitive to shear rate. This is explained by different friction mechanisms at the yarn crossover points: dry friction for the semipreg, compared to lubricated friction for the preconsolidated composite. Intra-ply slip mechanisms in semipregs leads to a characteristic pattern of dry zones and resin-rich boundaries that might affect the impregnation in a later phase. A temperature and rate-dependent model based on multiplicative decoupling was successfully used to represent the behaviour of the material in its processing range, and validated on virtual bias extension tests. An hemispheric forming setup is under development to further validate this model at a larger scale and investigate the forming and consolidation of non-consolidated stacks.</w:t>
      </w:r>
    </w:p>
    <w:p w:rsidR="006D2BC0" w:rsidRDefault="006D2BC0" w:rsidP="003500D6"/>
    <w:p w:rsidR="00704B24" w:rsidRPr="00F35C8A" w:rsidRDefault="00704B24" w:rsidP="00704B24">
      <w:pPr>
        <w:pStyle w:val="NormalWCCM"/>
        <w:ind w:firstLine="0"/>
        <w:rPr>
          <w:sz w:val="22"/>
          <w:szCs w:val="22"/>
        </w:rPr>
      </w:pPr>
    </w:p>
    <w:p w:rsidR="00704B24" w:rsidRPr="00D21CBA" w:rsidRDefault="00A14A8C" w:rsidP="006D2BC0">
      <w:pPr>
        <w:pStyle w:val="RefTitleWCCM"/>
        <w:spacing w:before="0" w:after="0"/>
        <w:outlineLvl w:val="0"/>
        <w:rPr>
          <w:caps w:val="0"/>
          <w:sz w:val="22"/>
          <w:szCs w:val="22"/>
          <w:lang w:val="fr-FR"/>
        </w:rPr>
      </w:pPr>
      <w:r w:rsidRPr="00D21CBA">
        <w:rPr>
          <w:caps w:val="0"/>
          <w:sz w:val="22"/>
          <w:szCs w:val="22"/>
          <w:lang w:val="fr-FR"/>
        </w:rPr>
        <w:t>References</w:t>
      </w:r>
    </w:p>
    <w:p w:rsidR="006D2BC0" w:rsidRPr="00D21CBA" w:rsidRDefault="006D2BC0" w:rsidP="00E11BE1">
      <w:pPr>
        <w:rPr>
          <w:lang w:val="fr-FR"/>
        </w:rPr>
      </w:pPr>
    </w:p>
    <w:p w:rsidR="00D21CBA" w:rsidRPr="00D21CBA" w:rsidRDefault="00D21CBA" w:rsidP="00D21CBA">
      <w:pPr>
        <w:ind w:left="425" w:hanging="425"/>
        <w:rPr>
          <w:lang w:val="fr-FR"/>
        </w:rPr>
      </w:pPr>
      <w:r w:rsidRPr="00D21CBA">
        <w:rPr>
          <w:lang w:val="en-GB"/>
        </w:rPr>
        <w:t>[1]</w:t>
      </w:r>
      <w:r w:rsidRPr="00D21CBA">
        <w:rPr>
          <w:lang w:val="en-GB"/>
        </w:rPr>
        <w:tab/>
      </w:r>
      <w:r w:rsidRPr="00D21CBA">
        <w:rPr>
          <w:lang w:val="en-GB"/>
        </w:rPr>
        <w:t>U</w:t>
      </w:r>
      <w:r w:rsidRPr="00D21CBA">
        <w:rPr>
          <w:lang w:val="en-GB"/>
        </w:rPr>
        <w:t xml:space="preserve">. </w:t>
      </w:r>
      <w:r w:rsidRPr="00D21CBA">
        <w:rPr>
          <w:lang w:val="en-GB"/>
        </w:rPr>
        <w:t>Thomann</w:t>
      </w:r>
      <w:r w:rsidRPr="00D21CBA">
        <w:rPr>
          <w:lang w:val="en-GB"/>
        </w:rPr>
        <w:t xml:space="preserve">, </w:t>
      </w:r>
      <w:r w:rsidRPr="00D21CBA">
        <w:rPr>
          <w:lang w:val="en-GB"/>
        </w:rPr>
        <w:t>M</w:t>
      </w:r>
      <w:r w:rsidRPr="00D21CBA">
        <w:rPr>
          <w:lang w:val="en-GB"/>
        </w:rPr>
        <w:t xml:space="preserve">. </w:t>
      </w:r>
      <w:r w:rsidRPr="00D21CBA">
        <w:rPr>
          <w:lang w:val="en-GB"/>
        </w:rPr>
        <w:t>Sauter</w:t>
      </w:r>
      <w:r w:rsidRPr="00D21CBA">
        <w:rPr>
          <w:lang w:val="en-GB"/>
        </w:rPr>
        <w:t>, P.</w:t>
      </w:r>
      <w:r w:rsidRPr="00D21CBA">
        <w:rPr>
          <w:lang w:val="en-GB"/>
        </w:rPr>
        <w:t xml:space="preserve"> Ermanni</w:t>
      </w:r>
      <w:r w:rsidRPr="00D21CBA">
        <w:rPr>
          <w:lang w:val="en-GB"/>
        </w:rPr>
        <w:t xml:space="preserve">. </w:t>
      </w:r>
      <w:r>
        <w:t>A combined impregnation and heat transfer model for stamp forming of unconsolidated commingled yarn preforms</w:t>
      </w:r>
      <w:r>
        <w:t>.</w:t>
      </w:r>
      <w:r w:rsidRPr="0064062A">
        <w:t xml:space="preserve"> </w:t>
      </w:r>
      <w:r w:rsidRPr="00D21CBA">
        <w:rPr>
          <w:i/>
          <w:lang w:val="fr-FR"/>
        </w:rPr>
        <w:t>Composites Science And Technology</w:t>
      </w:r>
      <w:r w:rsidRPr="00D21CBA">
        <w:rPr>
          <w:i/>
          <w:lang w:val="fr-FR"/>
        </w:rPr>
        <w:t>,</w:t>
      </w:r>
      <w:r w:rsidRPr="00D21CBA">
        <w:rPr>
          <w:lang w:val="fr-FR"/>
        </w:rPr>
        <w:t xml:space="preserve"> </w:t>
      </w:r>
      <w:r w:rsidRPr="00D21CBA">
        <w:rPr>
          <w:lang w:val="fr-FR"/>
        </w:rPr>
        <w:t>64</w:t>
      </w:r>
      <w:r w:rsidRPr="00D21CBA">
        <w:rPr>
          <w:lang w:val="fr-FR"/>
        </w:rPr>
        <w:t>:1</w:t>
      </w:r>
      <w:r w:rsidRPr="00D21CBA">
        <w:rPr>
          <w:lang w:val="fr-FR"/>
        </w:rPr>
        <w:t>637-1651</w:t>
      </w:r>
      <w:r w:rsidRPr="00D21CBA">
        <w:rPr>
          <w:lang w:val="fr-FR"/>
        </w:rPr>
        <w:t>, 20</w:t>
      </w:r>
      <w:r w:rsidRPr="00D21CBA">
        <w:rPr>
          <w:lang w:val="fr-FR"/>
        </w:rPr>
        <w:t>04</w:t>
      </w:r>
      <w:r w:rsidRPr="00D21CBA">
        <w:rPr>
          <w:lang w:val="fr-FR"/>
        </w:rPr>
        <w:t>.</w:t>
      </w:r>
    </w:p>
    <w:p w:rsidR="00D21CBA" w:rsidRPr="004A1C1E" w:rsidRDefault="00D21CBA" w:rsidP="00D21CBA">
      <w:pPr>
        <w:ind w:left="425" w:hanging="425"/>
      </w:pPr>
      <w:r w:rsidRPr="00D21CBA">
        <w:rPr>
          <w:lang w:val="en-GB"/>
        </w:rPr>
        <w:t>[2</w:t>
      </w:r>
      <w:r w:rsidRPr="00D21CBA">
        <w:rPr>
          <w:lang w:val="en-GB"/>
        </w:rPr>
        <w:t>]</w:t>
      </w:r>
      <w:r w:rsidRPr="00D21CBA">
        <w:rPr>
          <w:lang w:val="en-GB"/>
        </w:rPr>
        <w:tab/>
      </w:r>
      <w:r w:rsidRPr="00D21CBA">
        <w:rPr>
          <w:lang w:val="en-GB"/>
        </w:rPr>
        <w:t>M</w:t>
      </w:r>
      <w:r w:rsidRPr="00D21CBA">
        <w:rPr>
          <w:lang w:val="en-GB"/>
        </w:rPr>
        <w:t xml:space="preserve">. </w:t>
      </w:r>
      <w:r w:rsidRPr="00D21CBA">
        <w:rPr>
          <w:lang w:val="en-GB"/>
        </w:rPr>
        <w:t>Connor, S. Toll, J.A.E. M</w:t>
      </w:r>
      <w:r>
        <w:rPr>
          <w:lang w:val="en-GB"/>
        </w:rPr>
        <w:t>å</w:t>
      </w:r>
      <w:r w:rsidRPr="00D21CBA">
        <w:rPr>
          <w:lang w:val="en-GB"/>
        </w:rPr>
        <w:t>nson, A.G Gibson</w:t>
      </w:r>
      <w:r w:rsidRPr="00D21CBA">
        <w:rPr>
          <w:lang w:val="en-GB"/>
        </w:rPr>
        <w:t xml:space="preserve">. </w:t>
      </w:r>
      <w:r>
        <w:t>A model for the consolidation of aligned thermoplastic powder impregnated composites</w:t>
      </w:r>
      <w:r>
        <w:t>.</w:t>
      </w:r>
      <w:r w:rsidRPr="0064062A">
        <w:t xml:space="preserve"> </w:t>
      </w:r>
      <w:r w:rsidRPr="0064062A">
        <w:rPr>
          <w:i/>
        </w:rPr>
        <w:t>I</w:t>
      </w:r>
      <w:r>
        <w:rPr>
          <w:i/>
        </w:rPr>
        <w:t>Journal of Thermoplastic Composite Materials,</w:t>
      </w:r>
      <w:r w:rsidRPr="0064062A">
        <w:t xml:space="preserve"> </w:t>
      </w:r>
      <w:r>
        <w:t>8</w:t>
      </w:r>
      <w:r>
        <w:t>:</w:t>
      </w:r>
      <w:r>
        <w:t>138-162</w:t>
      </w:r>
      <w:r>
        <w:t xml:space="preserve">, </w:t>
      </w:r>
      <w:r>
        <w:t>199</w:t>
      </w:r>
      <w:r>
        <w:t>5.</w:t>
      </w:r>
    </w:p>
    <w:p w:rsidR="00D21CBA" w:rsidRPr="00DF2B85" w:rsidRDefault="00D21CBA" w:rsidP="00D21CBA">
      <w:pPr>
        <w:ind w:left="425" w:hanging="425"/>
        <w:rPr>
          <w:lang w:val="en-GB"/>
        </w:rPr>
      </w:pPr>
      <w:r w:rsidRPr="007417B3">
        <w:rPr>
          <w:lang w:val="fr-FR"/>
        </w:rPr>
        <w:t>[</w:t>
      </w:r>
      <w:r w:rsidR="007417B3" w:rsidRPr="007417B3">
        <w:rPr>
          <w:lang w:val="fr-FR"/>
        </w:rPr>
        <w:t>3</w:t>
      </w:r>
      <w:r w:rsidRPr="007417B3">
        <w:rPr>
          <w:lang w:val="fr-FR"/>
        </w:rPr>
        <w:t>]</w:t>
      </w:r>
      <w:r w:rsidRPr="007417B3">
        <w:rPr>
          <w:lang w:val="fr-FR"/>
        </w:rPr>
        <w:tab/>
      </w:r>
      <w:r w:rsidR="007417B3" w:rsidRPr="007417B3">
        <w:rPr>
          <w:lang w:val="fr-FR"/>
        </w:rPr>
        <w:t>E</w:t>
      </w:r>
      <w:r w:rsidRPr="007417B3">
        <w:rPr>
          <w:lang w:val="fr-FR"/>
        </w:rPr>
        <w:t xml:space="preserve">. </w:t>
      </w:r>
      <w:r w:rsidR="007417B3" w:rsidRPr="007417B3">
        <w:rPr>
          <w:lang w:val="fr-FR"/>
        </w:rPr>
        <w:t>Guzman-Maldonado</w:t>
      </w:r>
      <w:r w:rsidRPr="007417B3">
        <w:rPr>
          <w:lang w:val="fr-FR"/>
        </w:rPr>
        <w:t xml:space="preserve">, </w:t>
      </w:r>
      <w:r w:rsidR="007417B3" w:rsidRPr="007417B3">
        <w:rPr>
          <w:lang w:val="fr-FR"/>
        </w:rPr>
        <w:t xml:space="preserve">N. Hamila, P. Boisse, J. </w:t>
      </w:r>
      <w:r w:rsidR="007417B3">
        <w:rPr>
          <w:lang w:val="fr-FR"/>
        </w:rPr>
        <w:t>Bikard</w:t>
      </w:r>
      <w:r w:rsidRPr="007417B3">
        <w:rPr>
          <w:lang w:val="fr-FR"/>
        </w:rPr>
        <w:t xml:space="preserve">. </w:t>
      </w:r>
      <w:r w:rsidR="007417B3">
        <w:t>Thermomechanical analysis, modelling and simulation of the forming of pre-impregnated thermoplastic composites</w:t>
      </w:r>
      <w:r>
        <w:t>.</w:t>
      </w:r>
      <w:r w:rsidRPr="0064062A">
        <w:t xml:space="preserve"> </w:t>
      </w:r>
      <w:r w:rsidR="007417B3" w:rsidRPr="00DF2B85">
        <w:rPr>
          <w:i/>
          <w:lang w:val="fr-FR"/>
        </w:rPr>
        <w:t>Composites: Part A</w:t>
      </w:r>
      <w:r w:rsidRPr="00DF2B85">
        <w:rPr>
          <w:i/>
          <w:lang w:val="fr-FR"/>
        </w:rPr>
        <w:t>,</w:t>
      </w:r>
      <w:r w:rsidRPr="00DF2B85">
        <w:rPr>
          <w:lang w:val="fr-FR"/>
        </w:rPr>
        <w:t xml:space="preserve"> </w:t>
      </w:r>
      <w:r w:rsidR="007417B3" w:rsidRPr="00DF2B85">
        <w:rPr>
          <w:lang w:val="fr-FR"/>
        </w:rPr>
        <w:t>78</w:t>
      </w:r>
      <w:r w:rsidRPr="00DF2B85">
        <w:rPr>
          <w:lang w:val="fr-FR"/>
        </w:rPr>
        <w:t>:</w:t>
      </w:r>
      <w:r w:rsidR="007417B3" w:rsidRPr="00DF2B85">
        <w:rPr>
          <w:lang w:val="fr-FR"/>
        </w:rPr>
        <w:t>211</w:t>
      </w:r>
      <w:r w:rsidRPr="00DF2B85">
        <w:rPr>
          <w:lang w:val="fr-FR"/>
        </w:rPr>
        <w:t>–</w:t>
      </w:r>
      <w:r w:rsidR="007417B3" w:rsidRPr="00DF2B85">
        <w:rPr>
          <w:lang w:val="fr-FR"/>
        </w:rPr>
        <w:t>222</w:t>
      </w:r>
      <w:r w:rsidRPr="00DF2B85">
        <w:rPr>
          <w:lang w:val="en-GB"/>
        </w:rPr>
        <w:t>, 2015.</w:t>
      </w:r>
    </w:p>
    <w:p w:rsidR="00D21CBA" w:rsidRPr="00ED0173" w:rsidRDefault="00DF2B85" w:rsidP="00ED0173">
      <w:pPr>
        <w:ind w:left="425" w:hanging="425"/>
        <w:rPr>
          <w:lang w:val="en-GB"/>
        </w:rPr>
      </w:pPr>
      <w:r w:rsidRPr="00DF2B85">
        <w:rPr>
          <w:lang w:val="en-GB"/>
        </w:rPr>
        <w:t>[4</w:t>
      </w:r>
      <w:r w:rsidR="00D21CBA" w:rsidRPr="00DF2B85">
        <w:rPr>
          <w:lang w:val="en-GB"/>
        </w:rPr>
        <w:t>]</w:t>
      </w:r>
      <w:r w:rsidR="00D21CBA" w:rsidRPr="00DF2B85">
        <w:rPr>
          <w:lang w:val="en-GB"/>
        </w:rPr>
        <w:tab/>
      </w:r>
      <w:r w:rsidRPr="00DF2B85">
        <w:rPr>
          <w:lang w:val="en-GB"/>
        </w:rPr>
        <w:t>L. Liu, J. Chen, B. Zhu, T. Yu, X. Tao, J. Cao</w:t>
      </w:r>
      <w:r w:rsidR="00D21CBA" w:rsidRPr="00DF2B85">
        <w:rPr>
          <w:lang w:val="en-GB"/>
        </w:rPr>
        <w:t xml:space="preserve">. </w:t>
      </w:r>
      <w:r w:rsidR="00ED0173">
        <w:t>The yarn-to-yarn friction of woven fabrics</w:t>
      </w:r>
      <w:bookmarkStart w:id="3" w:name="_GoBack"/>
      <w:bookmarkEnd w:id="3"/>
      <w:r w:rsidR="00D21CBA">
        <w:t>.</w:t>
      </w:r>
      <w:r w:rsidR="00D21CBA" w:rsidRPr="0064062A">
        <w:t xml:space="preserve"> </w:t>
      </w:r>
      <w:r w:rsidR="00ED0173" w:rsidRPr="00DF2B85">
        <w:rPr>
          <w:i/>
          <w:lang w:val="en-GB"/>
        </w:rPr>
        <w:t>Proceedings of the 9th international ESAFORM conference on material forming, Glasgow, United Kingdom</w:t>
      </w:r>
      <w:r w:rsidR="00ED0173" w:rsidRPr="00DF2B85">
        <w:rPr>
          <w:lang w:val="en-GB"/>
        </w:rPr>
        <w:t xml:space="preserve">, </w:t>
      </w:r>
      <w:r w:rsidR="00ED0173">
        <w:rPr>
          <w:lang w:val="en-GB"/>
        </w:rPr>
        <w:t>April 26-28 2006</w:t>
      </w:r>
      <w:r w:rsidR="00ED0173" w:rsidRPr="00DF2B85">
        <w:rPr>
          <w:lang w:val="en-GB"/>
        </w:rPr>
        <w:t>.</w:t>
      </w:r>
      <w:r w:rsidR="00D21CBA">
        <w:t>.</w:t>
      </w:r>
    </w:p>
    <w:p w:rsidR="007417B3" w:rsidRPr="004A1C1E" w:rsidRDefault="007417B3" w:rsidP="007417B3">
      <w:pPr>
        <w:ind w:left="425" w:hanging="425"/>
      </w:pPr>
      <w:r w:rsidRPr="007417B3">
        <w:rPr>
          <w:lang w:val="en-GB"/>
        </w:rPr>
        <w:t>[</w:t>
      </w:r>
      <w:r w:rsidRPr="007417B3">
        <w:rPr>
          <w:lang w:val="en-GB"/>
        </w:rPr>
        <w:t>5</w:t>
      </w:r>
      <w:r w:rsidRPr="007417B3">
        <w:rPr>
          <w:lang w:val="en-GB"/>
        </w:rPr>
        <w:t>]</w:t>
      </w:r>
      <w:r w:rsidRPr="007417B3">
        <w:rPr>
          <w:lang w:val="en-GB"/>
        </w:rPr>
        <w:tab/>
      </w:r>
      <w:r w:rsidRPr="007417B3">
        <w:rPr>
          <w:lang w:val="en-GB"/>
        </w:rPr>
        <w:t>R</w:t>
      </w:r>
      <w:r w:rsidRPr="007417B3">
        <w:rPr>
          <w:lang w:val="en-GB"/>
        </w:rPr>
        <w:t xml:space="preserve">. </w:t>
      </w:r>
      <w:r w:rsidRPr="007417B3">
        <w:rPr>
          <w:lang w:val="en-GB"/>
        </w:rPr>
        <w:t>Pierce, B. Falzon, M. Thompson, R. Boman</w:t>
      </w:r>
      <w:r w:rsidRPr="007417B3">
        <w:rPr>
          <w:lang w:val="en-GB"/>
        </w:rPr>
        <w:t xml:space="preserve">. </w:t>
      </w:r>
      <w:r>
        <w:t>Implementation of a non-orthogonal constitutive model for the finite element simulation of textile composite draping</w:t>
      </w:r>
      <w:r>
        <w:t>.</w:t>
      </w:r>
      <w:r w:rsidRPr="0064062A">
        <w:t xml:space="preserve"> </w:t>
      </w:r>
      <w:r>
        <w:rPr>
          <w:i/>
        </w:rPr>
        <w:t>Applied Mechanics and Materials</w:t>
      </w:r>
      <w:r>
        <w:rPr>
          <w:i/>
        </w:rPr>
        <w:t>,</w:t>
      </w:r>
      <w:r w:rsidRPr="0064062A">
        <w:t xml:space="preserve"> </w:t>
      </w:r>
      <w:r w:rsidRPr="00CE5B52">
        <w:t>5</w:t>
      </w:r>
      <w:r>
        <w:t>53</w:t>
      </w:r>
      <w:r>
        <w:t>:</w:t>
      </w:r>
      <w:r>
        <w:t>76</w:t>
      </w:r>
      <w:r w:rsidRPr="0064062A">
        <w:t>–</w:t>
      </w:r>
      <w:r>
        <w:t>81</w:t>
      </w:r>
      <w:r>
        <w:t>, 201</w:t>
      </w:r>
      <w:r>
        <w:t>4</w:t>
      </w:r>
      <w:r>
        <w:t>.</w:t>
      </w:r>
    </w:p>
    <w:p w:rsidR="007417B3" w:rsidRPr="004A1C1E" w:rsidRDefault="007417B3" w:rsidP="007417B3">
      <w:pPr>
        <w:ind w:left="425" w:hanging="425"/>
      </w:pPr>
      <w:r w:rsidRPr="007417B3">
        <w:rPr>
          <w:lang w:val="en-GB"/>
        </w:rPr>
        <w:t>[</w:t>
      </w:r>
      <w:r w:rsidRPr="007417B3">
        <w:rPr>
          <w:lang w:val="en-GB"/>
        </w:rPr>
        <w:t>6</w:t>
      </w:r>
      <w:r w:rsidRPr="007417B3">
        <w:rPr>
          <w:lang w:val="en-GB"/>
        </w:rPr>
        <w:t>]</w:t>
      </w:r>
      <w:r w:rsidRPr="007417B3">
        <w:rPr>
          <w:lang w:val="en-GB"/>
        </w:rPr>
        <w:tab/>
      </w:r>
      <w:r w:rsidRPr="007417B3">
        <w:rPr>
          <w:lang w:val="en-GB"/>
        </w:rPr>
        <w:t>M. Machado, L. Murenu, M. Fischlschweiger, Z. Major</w:t>
      </w:r>
      <w:r w:rsidRPr="007417B3">
        <w:rPr>
          <w:lang w:val="en-GB"/>
        </w:rPr>
        <w:t xml:space="preserve">. </w:t>
      </w:r>
      <w:r>
        <w:t>Analysis of the thermomechanical shear behavior of woven-reinforced thermoplastic matrix composites during forming</w:t>
      </w:r>
      <w:r>
        <w:t>.</w:t>
      </w:r>
      <w:r w:rsidRPr="0064062A">
        <w:t xml:space="preserve"> </w:t>
      </w:r>
      <w:r>
        <w:rPr>
          <w:i/>
        </w:rPr>
        <w:t>Composites: Part A</w:t>
      </w:r>
      <w:r>
        <w:rPr>
          <w:i/>
        </w:rPr>
        <w:t>,</w:t>
      </w:r>
      <w:r w:rsidRPr="0064062A">
        <w:t xml:space="preserve"> </w:t>
      </w:r>
      <w:r>
        <w:t>86</w:t>
      </w:r>
      <w:r>
        <w:t>:</w:t>
      </w:r>
      <w:r>
        <w:t>39-48</w:t>
      </w:r>
      <w:r>
        <w:t>, 201</w:t>
      </w:r>
      <w:r>
        <w:t>6</w:t>
      </w:r>
      <w:r>
        <w:t>.</w:t>
      </w:r>
    </w:p>
    <w:p w:rsidR="007417B3" w:rsidRPr="004A1C1E" w:rsidRDefault="007417B3" w:rsidP="00D21CBA">
      <w:pPr>
        <w:ind w:left="425" w:hanging="425"/>
      </w:pPr>
    </w:p>
    <w:p w:rsidR="007C46DE" w:rsidRDefault="007C46DE" w:rsidP="00E11BE1"/>
    <w:p w:rsidR="009148E5" w:rsidRDefault="009148E5" w:rsidP="00E11BE1"/>
    <w:p w:rsidR="009148E5" w:rsidRDefault="009148E5" w:rsidP="00E11BE1"/>
    <w:p w:rsidR="009148E5" w:rsidRDefault="009148E5" w:rsidP="00E11BE1"/>
    <w:p w:rsidR="009148E5" w:rsidRDefault="009148E5" w:rsidP="00E11BE1"/>
    <w:p w:rsidR="009148E5" w:rsidRPr="000D3BBE" w:rsidRDefault="009148E5" w:rsidP="00E11BE1"/>
    <w:sectPr w:rsidR="009148E5" w:rsidRPr="000D3BBE" w:rsidSect="00A84527">
      <w:headerReference w:type="even" r:id="rId20"/>
      <w:headerReference w:type="default" r:id="rId21"/>
      <w:footerReference w:type="default" r:id="rId22"/>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32E" w:rsidRDefault="00F6432E" w:rsidP="00E11BE1">
      <w:r>
        <w:separator/>
      </w:r>
    </w:p>
  </w:endnote>
  <w:endnote w:type="continuationSeparator" w:id="0">
    <w:p w:rsidR="00F6432E" w:rsidRDefault="00F6432E" w:rsidP="00E11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81B" w:rsidRPr="00E11BE1" w:rsidRDefault="001B37B0" w:rsidP="00E11BE1">
    <w:pPr>
      <w:jc w:val="center"/>
      <w:rPr>
        <w:sz w:val="18"/>
        <w:szCs w:val="18"/>
      </w:rPr>
    </w:pPr>
    <w:r w:rsidRPr="00E11BE1">
      <w:rPr>
        <w:sz w:val="18"/>
        <w:szCs w:val="18"/>
      </w:rPr>
      <w:t>T. Baumard, G. Menary, O. De Almeida, F. Schmidt and J. Bikard</w:t>
    </w:r>
  </w:p>
  <w:p w:rsidR="001D492D" w:rsidRDefault="001D492D" w:rsidP="00E11B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32E" w:rsidRDefault="00F6432E" w:rsidP="00E11BE1">
      <w:r>
        <w:separator/>
      </w:r>
    </w:p>
  </w:footnote>
  <w:footnote w:type="continuationSeparator" w:id="0">
    <w:p w:rsidR="00F6432E" w:rsidRDefault="00F6432E" w:rsidP="00E11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527" w:rsidRPr="00CF611D" w:rsidRDefault="00704B24" w:rsidP="00E11BE1">
    <w:pPr>
      <w:pStyle w:val="Header"/>
    </w:pPr>
    <w:r w:rsidRPr="00CF611D">
      <w:rPr>
        <w:lang w:val="fr-CH"/>
      </w:rPr>
      <w:tab/>
    </w:r>
    <w:r w:rsidRPr="00CF611D">
      <w:rPr>
        <w:lang w:val="en-GB"/>
      </w:rPr>
      <w:t>First A. Author, Second B. Author and Third C. Author</w:t>
    </w:r>
    <w:r w:rsidRPr="00CF611D">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8E5" w:rsidRPr="00E11BE1" w:rsidRDefault="009148E5" w:rsidP="00E11BE1">
    <w:pPr>
      <w:pStyle w:val="Header"/>
      <w:rPr>
        <w:sz w:val="18"/>
      </w:rPr>
    </w:pPr>
    <w:r w:rsidRPr="00E11BE1">
      <w:rPr>
        <w:sz w:val="18"/>
      </w:rPr>
      <w:t>ECCM1</w:t>
    </w:r>
    <w:r w:rsidR="00A32C5B" w:rsidRPr="00E11BE1">
      <w:rPr>
        <w:sz w:val="18"/>
      </w:rPr>
      <w:t>8</w:t>
    </w:r>
    <w:r w:rsidRPr="00E11BE1">
      <w:rPr>
        <w:sz w:val="18"/>
      </w:rPr>
      <w:t xml:space="preserve"> - 1</w:t>
    </w:r>
    <w:r w:rsidR="00A32C5B" w:rsidRPr="00E11BE1">
      <w:rPr>
        <w:sz w:val="18"/>
      </w:rPr>
      <w:t>8</w:t>
    </w:r>
    <w:r w:rsidRPr="00E11BE1">
      <w:rPr>
        <w:sz w:val="18"/>
        <w:vertAlign w:val="superscript"/>
      </w:rPr>
      <w:t>th</w:t>
    </w:r>
    <w:r w:rsidRPr="00E11BE1">
      <w:rPr>
        <w:sz w:val="18"/>
      </w:rPr>
      <w:t xml:space="preserve"> European Conference on Composite Materials</w:t>
    </w:r>
    <w:r w:rsidR="00E11BE1" w:rsidRPr="00E11BE1">
      <w:rPr>
        <w:sz w:val="18"/>
      </w:rPr>
      <w:tab/>
    </w:r>
  </w:p>
  <w:p w:rsidR="00A84527" w:rsidRPr="00B57AEB" w:rsidRDefault="00A32C5B" w:rsidP="00E11BE1">
    <w:pPr>
      <w:pStyle w:val="Header"/>
    </w:pPr>
    <w:r w:rsidRPr="00E11BE1">
      <w:rPr>
        <w:sz w:val="18"/>
      </w:rPr>
      <w:t>Athens, Greece</w:t>
    </w:r>
    <w:r w:rsidR="009148E5" w:rsidRPr="00E11BE1">
      <w:rPr>
        <w:sz w:val="18"/>
      </w:rPr>
      <w:t>, 2</w:t>
    </w:r>
    <w:r w:rsidRPr="00E11BE1">
      <w:rPr>
        <w:sz w:val="18"/>
      </w:rPr>
      <w:t>4</w:t>
    </w:r>
    <w:r w:rsidR="009148E5" w:rsidRPr="00E11BE1">
      <w:rPr>
        <w:sz w:val="18"/>
      </w:rPr>
      <w:t>-</w:t>
    </w:r>
    <w:r w:rsidRPr="00E11BE1">
      <w:rPr>
        <w:sz w:val="18"/>
      </w:rPr>
      <w:t>28</w:t>
    </w:r>
    <w:r w:rsidR="009148E5" w:rsidRPr="00E11BE1">
      <w:rPr>
        <w:sz w:val="18"/>
        <w:vertAlign w:val="superscript"/>
      </w:rPr>
      <w:t>th</w:t>
    </w:r>
    <w:r w:rsidR="009148E5" w:rsidRPr="00E11BE1">
      <w:rPr>
        <w:sz w:val="18"/>
      </w:rPr>
      <w:t xml:space="preserve"> June 201</w:t>
    </w:r>
    <w:r w:rsidRPr="00E11BE1">
      <w:rPr>
        <w:sz w:val="18"/>
      </w:rPr>
      <w:t>8</w:t>
    </w:r>
    <w:r w:rsidR="00352125">
      <w:tab/>
    </w:r>
    <w:r w:rsidR="00E11BE1">
      <w:tab/>
    </w:r>
    <w:r w:rsidR="00352125" w:rsidRPr="009148E5">
      <w:fldChar w:fldCharType="begin"/>
    </w:r>
    <w:r w:rsidR="00352125" w:rsidRPr="009148E5">
      <w:instrText>PAGE   \* MERGEFORMAT</w:instrText>
    </w:r>
    <w:r w:rsidR="00352125" w:rsidRPr="009148E5">
      <w:fldChar w:fldCharType="separate"/>
    </w:r>
    <w:r w:rsidR="00ED0173">
      <w:rPr>
        <w:noProof/>
      </w:rPr>
      <w:t>5</w:t>
    </w:r>
    <w:r w:rsidR="00352125" w:rsidRPr="009148E5">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CAC1766"/>
    <w:multiLevelType w:val="multilevel"/>
    <w:tmpl w:val="768A16B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E7"/>
    <w:rsid w:val="00006A04"/>
    <w:rsid w:val="000118EA"/>
    <w:rsid w:val="00044B69"/>
    <w:rsid w:val="00051531"/>
    <w:rsid w:val="0007274E"/>
    <w:rsid w:val="000806D4"/>
    <w:rsid w:val="00093A3E"/>
    <w:rsid w:val="000A1EFD"/>
    <w:rsid w:val="000B65AE"/>
    <w:rsid w:val="000C6C7F"/>
    <w:rsid w:val="000D3BBE"/>
    <w:rsid w:val="000E6BB4"/>
    <w:rsid w:val="000E7758"/>
    <w:rsid w:val="000F5808"/>
    <w:rsid w:val="001029D9"/>
    <w:rsid w:val="001045F8"/>
    <w:rsid w:val="00110787"/>
    <w:rsid w:val="0011753B"/>
    <w:rsid w:val="001234CC"/>
    <w:rsid w:val="00150A3F"/>
    <w:rsid w:val="00152D8E"/>
    <w:rsid w:val="00172A18"/>
    <w:rsid w:val="001768DD"/>
    <w:rsid w:val="00193271"/>
    <w:rsid w:val="001A2735"/>
    <w:rsid w:val="001B37B0"/>
    <w:rsid w:val="001B500D"/>
    <w:rsid w:val="001B5C61"/>
    <w:rsid w:val="001B5DFA"/>
    <w:rsid w:val="001D1123"/>
    <w:rsid w:val="001D492D"/>
    <w:rsid w:val="001D5A90"/>
    <w:rsid w:val="001F66E6"/>
    <w:rsid w:val="00206A59"/>
    <w:rsid w:val="00211628"/>
    <w:rsid w:val="00246179"/>
    <w:rsid w:val="00252742"/>
    <w:rsid w:val="002721E0"/>
    <w:rsid w:val="00294B69"/>
    <w:rsid w:val="002A3767"/>
    <w:rsid w:val="002B3383"/>
    <w:rsid w:val="002B4784"/>
    <w:rsid w:val="002C4340"/>
    <w:rsid w:val="002D35AA"/>
    <w:rsid w:val="002D3DF2"/>
    <w:rsid w:val="002D5FD5"/>
    <w:rsid w:val="002D7C10"/>
    <w:rsid w:val="00302925"/>
    <w:rsid w:val="00323F1F"/>
    <w:rsid w:val="00340AAC"/>
    <w:rsid w:val="003477ED"/>
    <w:rsid w:val="003500D6"/>
    <w:rsid w:val="00351C58"/>
    <w:rsid w:val="00352125"/>
    <w:rsid w:val="003603B1"/>
    <w:rsid w:val="00377295"/>
    <w:rsid w:val="003A054A"/>
    <w:rsid w:val="003A41B5"/>
    <w:rsid w:val="003B6253"/>
    <w:rsid w:val="003B6663"/>
    <w:rsid w:val="003D3BAA"/>
    <w:rsid w:val="003E4FD8"/>
    <w:rsid w:val="003F0F69"/>
    <w:rsid w:val="00412A5D"/>
    <w:rsid w:val="00425386"/>
    <w:rsid w:val="00427346"/>
    <w:rsid w:val="00432826"/>
    <w:rsid w:val="0043410B"/>
    <w:rsid w:val="00435657"/>
    <w:rsid w:val="0044074B"/>
    <w:rsid w:val="00442A07"/>
    <w:rsid w:val="00446C1F"/>
    <w:rsid w:val="00462CAB"/>
    <w:rsid w:val="0048719B"/>
    <w:rsid w:val="00490E88"/>
    <w:rsid w:val="0049134F"/>
    <w:rsid w:val="004A1C1E"/>
    <w:rsid w:val="004A3F6F"/>
    <w:rsid w:val="004B5367"/>
    <w:rsid w:val="004C3B9A"/>
    <w:rsid w:val="004E18A3"/>
    <w:rsid w:val="004F0F2E"/>
    <w:rsid w:val="004F254A"/>
    <w:rsid w:val="00524FDB"/>
    <w:rsid w:val="005447CA"/>
    <w:rsid w:val="00547C4C"/>
    <w:rsid w:val="00556716"/>
    <w:rsid w:val="0056281B"/>
    <w:rsid w:val="0058241B"/>
    <w:rsid w:val="005A03E1"/>
    <w:rsid w:val="005A3993"/>
    <w:rsid w:val="005C0E2D"/>
    <w:rsid w:val="005D5E9F"/>
    <w:rsid w:val="005E074B"/>
    <w:rsid w:val="005E41EA"/>
    <w:rsid w:val="0062778E"/>
    <w:rsid w:val="0064062A"/>
    <w:rsid w:val="00655863"/>
    <w:rsid w:val="00656C88"/>
    <w:rsid w:val="00663FD3"/>
    <w:rsid w:val="0067045F"/>
    <w:rsid w:val="00684C69"/>
    <w:rsid w:val="0069222A"/>
    <w:rsid w:val="006B56EA"/>
    <w:rsid w:val="006C0685"/>
    <w:rsid w:val="006C6507"/>
    <w:rsid w:val="006D2BC0"/>
    <w:rsid w:val="006F17BC"/>
    <w:rsid w:val="006F3756"/>
    <w:rsid w:val="006F41B8"/>
    <w:rsid w:val="006F609B"/>
    <w:rsid w:val="00700071"/>
    <w:rsid w:val="007013C9"/>
    <w:rsid w:val="0070220C"/>
    <w:rsid w:val="00704B24"/>
    <w:rsid w:val="00725CCF"/>
    <w:rsid w:val="00727819"/>
    <w:rsid w:val="007417B3"/>
    <w:rsid w:val="00772BAB"/>
    <w:rsid w:val="007925D0"/>
    <w:rsid w:val="00792AC2"/>
    <w:rsid w:val="007A0397"/>
    <w:rsid w:val="007A083D"/>
    <w:rsid w:val="007C46DE"/>
    <w:rsid w:val="007F2B8F"/>
    <w:rsid w:val="007F5B04"/>
    <w:rsid w:val="00806125"/>
    <w:rsid w:val="00806172"/>
    <w:rsid w:val="00824DA1"/>
    <w:rsid w:val="0083599B"/>
    <w:rsid w:val="00854AF2"/>
    <w:rsid w:val="00866F2B"/>
    <w:rsid w:val="0087430A"/>
    <w:rsid w:val="00892894"/>
    <w:rsid w:val="008929D8"/>
    <w:rsid w:val="008A04FF"/>
    <w:rsid w:val="008B6986"/>
    <w:rsid w:val="008C25B7"/>
    <w:rsid w:val="008C4AFB"/>
    <w:rsid w:val="008C5896"/>
    <w:rsid w:val="008E6524"/>
    <w:rsid w:val="008F0428"/>
    <w:rsid w:val="008F2896"/>
    <w:rsid w:val="008F4FC2"/>
    <w:rsid w:val="00904802"/>
    <w:rsid w:val="00904CF1"/>
    <w:rsid w:val="009148E5"/>
    <w:rsid w:val="0091620C"/>
    <w:rsid w:val="00945048"/>
    <w:rsid w:val="0097115A"/>
    <w:rsid w:val="009802C2"/>
    <w:rsid w:val="00992411"/>
    <w:rsid w:val="009B204C"/>
    <w:rsid w:val="009C1196"/>
    <w:rsid w:val="009C7CE7"/>
    <w:rsid w:val="009D260E"/>
    <w:rsid w:val="00A11466"/>
    <w:rsid w:val="00A14A8C"/>
    <w:rsid w:val="00A1555A"/>
    <w:rsid w:val="00A26B87"/>
    <w:rsid w:val="00A276DA"/>
    <w:rsid w:val="00A32C5B"/>
    <w:rsid w:val="00A427ED"/>
    <w:rsid w:val="00A5638A"/>
    <w:rsid w:val="00A65FB7"/>
    <w:rsid w:val="00A71AB9"/>
    <w:rsid w:val="00A750D8"/>
    <w:rsid w:val="00A815AA"/>
    <w:rsid w:val="00A84527"/>
    <w:rsid w:val="00A961CC"/>
    <w:rsid w:val="00A96ED1"/>
    <w:rsid w:val="00AA6F8A"/>
    <w:rsid w:val="00AB7F54"/>
    <w:rsid w:val="00AC7B93"/>
    <w:rsid w:val="00AE4826"/>
    <w:rsid w:val="00B10C97"/>
    <w:rsid w:val="00B31205"/>
    <w:rsid w:val="00B41893"/>
    <w:rsid w:val="00B635CD"/>
    <w:rsid w:val="00B81430"/>
    <w:rsid w:val="00BA0676"/>
    <w:rsid w:val="00BD23DE"/>
    <w:rsid w:val="00C12945"/>
    <w:rsid w:val="00C13D08"/>
    <w:rsid w:val="00C173C4"/>
    <w:rsid w:val="00C5281A"/>
    <w:rsid w:val="00C77351"/>
    <w:rsid w:val="00C84FC4"/>
    <w:rsid w:val="00CA3006"/>
    <w:rsid w:val="00CB0360"/>
    <w:rsid w:val="00CD5622"/>
    <w:rsid w:val="00CE3EDF"/>
    <w:rsid w:val="00CE5B52"/>
    <w:rsid w:val="00CE700F"/>
    <w:rsid w:val="00D03E78"/>
    <w:rsid w:val="00D10D76"/>
    <w:rsid w:val="00D13F6A"/>
    <w:rsid w:val="00D21CBA"/>
    <w:rsid w:val="00D2727C"/>
    <w:rsid w:val="00D333B2"/>
    <w:rsid w:val="00D420AC"/>
    <w:rsid w:val="00D5226E"/>
    <w:rsid w:val="00D66BEA"/>
    <w:rsid w:val="00D92B50"/>
    <w:rsid w:val="00D96442"/>
    <w:rsid w:val="00DB0E2B"/>
    <w:rsid w:val="00DB312B"/>
    <w:rsid w:val="00DC1241"/>
    <w:rsid w:val="00DD4FD2"/>
    <w:rsid w:val="00DF2B85"/>
    <w:rsid w:val="00DF4AE5"/>
    <w:rsid w:val="00E11BE1"/>
    <w:rsid w:val="00E126A6"/>
    <w:rsid w:val="00E21B57"/>
    <w:rsid w:val="00E31AB1"/>
    <w:rsid w:val="00E36939"/>
    <w:rsid w:val="00E51BF1"/>
    <w:rsid w:val="00E82219"/>
    <w:rsid w:val="00E975B4"/>
    <w:rsid w:val="00EC01E9"/>
    <w:rsid w:val="00ED0173"/>
    <w:rsid w:val="00ED0767"/>
    <w:rsid w:val="00ED6EEE"/>
    <w:rsid w:val="00EE036A"/>
    <w:rsid w:val="00EF291A"/>
    <w:rsid w:val="00EF6F85"/>
    <w:rsid w:val="00F11948"/>
    <w:rsid w:val="00F249E9"/>
    <w:rsid w:val="00F24E7F"/>
    <w:rsid w:val="00F26D5C"/>
    <w:rsid w:val="00F52697"/>
    <w:rsid w:val="00F54B55"/>
    <w:rsid w:val="00F6432E"/>
    <w:rsid w:val="00FA32FF"/>
    <w:rsid w:val="00FD2CC8"/>
    <w:rsid w:val="00FE4B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20610"/>
  <w15:chartTrackingRefBased/>
  <w15:docId w15:val="{2CE7B345-4B61-4907-8301-AA3672E34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1BE1"/>
    <w:pPr>
      <w:jc w:val="both"/>
    </w:pPr>
    <w:rPr>
      <w:rFonts w:ascii="Times New Roman" w:eastAsia="Times New Roman" w:hAnsi="Times New Roman"/>
      <w:sz w:val="22"/>
      <w:szCs w:val="22"/>
      <w:lang w:val="en-US"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BodyText">
    <w:name w:val="Body Text"/>
    <w:basedOn w:val="Normal"/>
    <w:link w:val="BodyTextChar"/>
    <w:rsid w:val="00704B24"/>
    <w:rPr>
      <w:lang w:val="en-GB" w:eastAsia="x-none"/>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customStyle="1" w:styleId="Default">
    <w:name w:val="Default"/>
    <w:rsid w:val="00051531"/>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39"/>
    <w:rsid w:val="00360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46C1F"/>
    <w:rPr>
      <w:b/>
      <w:bCs/>
      <w:sz w:val="20"/>
      <w:szCs w:val="20"/>
    </w:rPr>
  </w:style>
  <w:style w:type="character" w:styleId="PlaceholderText">
    <w:name w:val="Placeholder Text"/>
    <w:basedOn w:val="DefaultParagraphFont"/>
    <w:uiPriority w:val="99"/>
    <w:semiHidden/>
    <w:rsid w:val="009C11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baumard01@qub.ac.uk"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jerome.bikard@solvay.com"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brice.schmidt@mines-albi.f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mailto:olivier.dealmeida@mines-albi.fr"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g.h.menary@qub.ac.uk" TargetMode="External"/><Relationship Id="rId14" Type="http://schemas.openxmlformats.org/officeDocument/2006/relationships/image" Target="media/image2.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Tru06</b:Tag>
    <b:SourceType>JournalArticle</b:SourceType>
    <b:Guid>{5F431674-8053-40BB-BBA1-F55D6F4BA4C7}</b:Guid>
    <b:Title>Experimental investigation of stamp forming of unconsolidated commingled E-glass/polypropylene fabric</b:Title>
    <b:Year>2006</b:Year>
    <b:Pages>555-570</b:Pages>
    <b:JournalName>Composites Science and Technology</b:JournalName>
    <b:Volume>66</b:Volume>
    <b:Author>
      <b:Author>
        <b:NameList>
          <b:Person>
            <b:Last>Trudel-Boucher</b:Last>
            <b:First>D</b:First>
          </b:Person>
          <b:Person>
            <b:Last>Fisa</b:Last>
            <b:First>B</b:First>
          </b:Person>
          <b:Person>
            <b:Last>Denault</b:Last>
            <b:First>J</b:First>
          </b:Person>
          <b:Person>
            <b:Last>Gagnon</b:Last>
            <b:First>P</b:First>
          </b:Person>
        </b:NameList>
      </b:Author>
    </b:Author>
    <b:RefOrder>1</b:RefOrder>
  </b:Source>
  <b:Source>
    <b:Tag>Tho04</b:Tag>
    <b:SourceType>JournalArticle</b:SourceType>
    <b:Guid>{39E766A5-B23B-4349-9CDD-96F4209EFD41}</b:Guid>
    <b:Title>A combined impregnation and heat transfer model for stamp forming of unconsolidated commingled yarn preforms</b:Title>
    <b:JournalName>Composites Science and Technology</b:JournalName>
    <b:Year>2004</b:Year>
    <b:Pages>1637-1651</b:Pages>
    <b:Volume>64</b:Volume>
    <b:Author>
      <b:Author>
        <b:NameList>
          <b:Person>
            <b:Last>Thomann</b:Last>
            <b:Middle>I</b:Middle>
            <b:First>U</b:First>
          </b:Person>
          <b:Person>
            <b:Last>Sauter</b:Last>
            <b:First>M</b:First>
          </b:Person>
          <b:Person>
            <b:Last>Ermanni</b:Last>
            <b:First>P</b:First>
          </b:Person>
        </b:NameList>
      </b:Author>
    </b:Author>
    <b:RefOrder>2</b:RefOrder>
  </b:Source>
  <b:Source>
    <b:Tag>Con95</b:Tag>
    <b:SourceType>JournalArticle</b:SourceType>
    <b:Guid>{1B1A895E-CDFC-4C88-81D3-17B253CDB113}</b:Guid>
    <b:Title>A model for the consolidation of aligned thermoplastic powder impregnated composites</b:Title>
    <b:JournalName>Journal of Thermoplastic Composite Materials</b:JournalName>
    <b:Year>1995</b:Year>
    <b:Pages>138-162</b:Pages>
    <b:Volume>8</b:Volume>
    <b:Author>
      <b:Author>
        <b:NameList>
          <b:Person>
            <b:Last>Connor</b:Last>
            <b:First>M.</b:First>
          </b:Person>
          <b:Person>
            <b:Last>Toll</b:Last>
            <b:First>S.</b:First>
          </b:Person>
          <b:Person>
            <b:Last>Månson</b:Last>
            <b:First>J.-A.</b:First>
          </b:Person>
          <b:Person>
            <b:Last>Gibson</b:Last>
            <b:First>G.</b:First>
          </b:Person>
        </b:NameList>
      </b:Author>
    </b:Author>
    <b:RefOrder>3</b:RefOrder>
  </b:Source>
</b:Sources>
</file>

<file path=customXml/itemProps1.xml><?xml version="1.0" encoding="utf-8"?>
<ds:datastoreItem xmlns:ds="http://schemas.openxmlformats.org/officeDocument/2006/customXml" ds:itemID="{87DB006C-B065-4327-BB2C-5FBB8E0C1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5</Pages>
  <Words>1799</Words>
  <Characters>10257</Characters>
  <Application>Microsoft Office Word</Application>
  <DocSecurity>0</DocSecurity>
  <Lines>85</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ECCM17_Paper_Template</vt:lpstr>
      <vt:lpstr>ECCM17_Paper_Template</vt:lpstr>
    </vt:vector>
  </TitlesOfParts>
  <Company>Leibniz-Rechenzentrum</Company>
  <LinksUpToDate>false</LinksUpToDate>
  <CharactersWithSpaces>12032</CharactersWithSpaces>
  <SharedDoc>false</SharedDoc>
  <HLinks>
    <vt:vector size="36" baseType="variant">
      <vt:variant>
        <vt:i4>1245216</vt:i4>
      </vt:variant>
      <vt:variant>
        <vt:i4>36</vt:i4>
      </vt:variant>
      <vt:variant>
        <vt:i4>0</vt:i4>
      </vt:variant>
      <vt:variant>
        <vt:i4>5</vt:i4>
      </vt:variant>
      <vt:variant>
        <vt:lpwstr>mailto:info@eccm18.org</vt:lpwstr>
      </vt:variant>
      <vt:variant>
        <vt:lpwstr/>
      </vt:variant>
      <vt:variant>
        <vt:i4>6946845</vt:i4>
      </vt:variant>
      <vt:variant>
        <vt:i4>12</vt:i4>
      </vt:variant>
      <vt:variant>
        <vt:i4>0</vt:i4>
      </vt:variant>
      <vt:variant>
        <vt:i4>5</vt:i4>
      </vt:variant>
      <vt:variant>
        <vt:lpwstr>mailto:jerome.bikard@solvay.com</vt:lpwstr>
      </vt:variant>
      <vt:variant>
        <vt:lpwstr/>
      </vt:variant>
      <vt:variant>
        <vt:i4>4391036</vt:i4>
      </vt:variant>
      <vt:variant>
        <vt:i4>9</vt:i4>
      </vt:variant>
      <vt:variant>
        <vt:i4>0</vt:i4>
      </vt:variant>
      <vt:variant>
        <vt:i4>5</vt:i4>
      </vt:variant>
      <vt:variant>
        <vt:lpwstr>mailto:fabrice.schmidt@mines-albi.fr</vt:lpwstr>
      </vt:variant>
      <vt:variant>
        <vt:lpwstr/>
      </vt:variant>
      <vt:variant>
        <vt:i4>3145745</vt:i4>
      </vt:variant>
      <vt:variant>
        <vt:i4>6</vt:i4>
      </vt:variant>
      <vt:variant>
        <vt:i4>0</vt:i4>
      </vt:variant>
      <vt:variant>
        <vt:i4>5</vt:i4>
      </vt:variant>
      <vt:variant>
        <vt:lpwstr>mailto:olivier.dealmeida@mines-albi.fr</vt:lpwstr>
      </vt:variant>
      <vt:variant>
        <vt:lpwstr/>
      </vt:variant>
      <vt:variant>
        <vt:i4>1114219</vt:i4>
      </vt:variant>
      <vt:variant>
        <vt:i4>3</vt:i4>
      </vt:variant>
      <vt:variant>
        <vt:i4>0</vt:i4>
      </vt:variant>
      <vt:variant>
        <vt:i4>5</vt:i4>
      </vt:variant>
      <vt:variant>
        <vt:lpwstr>mailto:g.h.menary@qub.ac.uk</vt:lpwstr>
      </vt:variant>
      <vt:variant>
        <vt:lpwstr/>
      </vt:variant>
      <vt:variant>
        <vt:i4>5570613</vt:i4>
      </vt:variant>
      <vt:variant>
        <vt:i4>0</vt:i4>
      </vt:variant>
      <vt:variant>
        <vt:i4>0</vt:i4>
      </vt:variant>
      <vt:variant>
        <vt:i4>5</vt:i4>
      </vt:variant>
      <vt:variant>
        <vt:lpwstr>mailto:tbaumard01@qub.ac.uk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cp:lastModifiedBy>Théo Baumard</cp:lastModifiedBy>
  <cp:revision>14</cp:revision>
  <cp:lastPrinted>2016-03-11T13:16:00Z</cp:lastPrinted>
  <dcterms:created xsi:type="dcterms:W3CDTF">2018-05-10T09:57:00Z</dcterms:created>
  <dcterms:modified xsi:type="dcterms:W3CDTF">2018-05-17T10:24:00Z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