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6FC622" w14:textId="2244B01D" w:rsidR="00DB52E7" w:rsidRDefault="004053B5" w:rsidP="00B32703">
      <w:pPr>
        <w:pStyle w:val="SWCTitle"/>
        <w:rPr>
          <w:sz w:val="28"/>
          <w:szCs w:val="28"/>
        </w:rPr>
      </w:pPr>
      <w:r w:rsidRPr="0C79E7B2">
        <w:rPr>
          <w:sz w:val="28"/>
          <w:szCs w:val="28"/>
        </w:rPr>
        <w:t>EuroSun</w:t>
      </w:r>
      <w:r w:rsidR="00FC1781" w:rsidRPr="0C79E7B2">
        <w:rPr>
          <w:sz w:val="28"/>
          <w:szCs w:val="28"/>
        </w:rPr>
        <w:t>202</w:t>
      </w:r>
      <w:r w:rsidR="00FA4DF8" w:rsidRPr="0C79E7B2">
        <w:rPr>
          <w:sz w:val="28"/>
          <w:szCs w:val="28"/>
        </w:rPr>
        <w:t>6</w:t>
      </w:r>
    </w:p>
    <w:p w14:paraId="2B536CB4" w14:textId="23990E75" w:rsidR="001A775B" w:rsidRDefault="007C4A4B" w:rsidP="009F7C7E">
      <w:pPr>
        <w:pStyle w:val="SWCTitle"/>
        <w:pBdr>
          <w:bottom w:val="single" w:sz="6" w:space="1" w:color="auto"/>
        </w:pBdr>
      </w:pPr>
      <w:r w:rsidRPr="007C4A4B">
        <w:rPr>
          <w:sz w:val="28"/>
          <w:szCs w:val="28"/>
        </w:rPr>
        <w:t xml:space="preserve">Parametric Analysis of TES Temperature Effects on COP and Payback in PV–Heat Pump Systems for Residential DHW </w:t>
      </w:r>
    </w:p>
    <w:p w14:paraId="3A7DF4B5" w14:textId="77777777" w:rsidR="001A775B" w:rsidRDefault="001A775B" w:rsidP="001A775B">
      <w:pPr>
        <w:pStyle w:val="SWCSummary"/>
      </w:pPr>
      <w:r>
        <w:t>Summary</w:t>
      </w:r>
    </w:p>
    <w:p w14:paraId="3DC8F60B" w14:textId="12051D24" w:rsidR="00562082" w:rsidRPr="00F65044" w:rsidRDefault="00562082" w:rsidP="00562082">
      <w:pPr>
        <w:pStyle w:val="SWCText"/>
        <w:pBdr>
          <w:bottom w:val="single" w:sz="6" w:space="1" w:color="auto"/>
        </w:pBdr>
        <w:rPr>
          <w:rFonts w:cs="Minion Pro"/>
          <w:color w:val="000000" w:themeColor="text1"/>
        </w:rPr>
      </w:pPr>
      <w:r w:rsidRPr="00F65044">
        <w:rPr>
          <w:rFonts w:cs="Minion Pro"/>
          <w:color w:val="000000" w:themeColor="text1"/>
        </w:rPr>
        <w:t xml:space="preserve">Energy efficiency is a key pathway toward a sustainable society. In buildings, an especially relevant system combines on-site photovoltaics (PV), heat pumps (HP) for HVAC and domestic hot water (DHW) demand, and thermal energy storage (TES). However, existing studies often overlook a critical factor: the reduction in heat pump coefficient of performance (COP) caused by TES temperature differentials. This study investigates this effect using a DesignBuilder/EnergyPlus model of a PV+HP+TES system serving the DHW demand of a residential building in Spain. A parametric analysis of </w:t>
      </w:r>
      <w:r w:rsidR="0011210D">
        <w:rPr>
          <w:rFonts w:cs="Minion Pro"/>
          <w:color w:val="000000" w:themeColor="text1"/>
        </w:rPr>
        <w:t>TES system volume</w:t>
      </w:r>
      <w:r w:rsidRPr="00F65044">
        <w:rPr>
          <w:rFonts w:cs="Minion Pro"/>
          <w:color w:val="000000" w:themeColor="text1"/>
        </w:rPr>
        <w:t xml:space="preserve"> and temperature was performed, along with a sensitivity analysis of TES </w:t>
      </w:r>
      <w:r w:rsidR="00060241">
        <w:t xml:space="preserve">payback period </w:t>
      </w:r>
      <w:r w:rsidRPr="00F65044">
        <w:rPr>
          <w:rFonts w:cs="Minion Pro"/>
          <w:color w:val="000000" w:themeColor="text1"/>
        </w:rPr>
        <w:t xml:space="preserve">under different PV excess injection compensation prices. Results show that optimal TES temperature depends on storage volume and significantly affects savings. Additionally, </w:t>
      </w:r>
      <w:r w:rsidR="00060241">
        <w:t xml:space="preserve">payback period </w:t>
      </w:r>
      <w:r w:rsidRPr="00F65044">
        <w:rPr>
          <w:rFonts w:cs="Minion Pro"/>
          <w:color w:val="000000" w:themeColor="text1"/>
        </w:rPr>
        <w:t xml:space="preserve">sensitivity to injection price </w:t>
      </w:r>
      <w:r w:rsidR="003744F1" w:rsidRPr="00F65044">
        <w:rPr>
          <w:rFonts w:cs="Minion Pro"/>
          <w:color w:val="000000" w:themeColor="text1"/>
        </w:rPr>
        <w:t>behaved as non-linear, meaning that</w:t>
      </w:r>
      <w:r w:rsidRPr="00F65044">
        <w:rPr>
          <w:rFonts w:cs="Minion Pro"/>
          <w:color w:val="000000" w:themeColor="text1"/>
        </w:rPr>
        <w:t xml:space="preserve"> small price reductions m</w:t>
      </w:r>
      <w:r w:rsidR="00D63301">
        <w:rPr>
          <w:rFonts w:cs="Minion Pro"/>
          <w:color w:val="000000" w:themeColor="text1"/>
        </w:rPr>
        <w:t xml:space="preserve">ay enable economic viability of </w:t>
      </w:r>
      <w:r w:rsidRPr="00F65044">
        <w:rPr>
          <w:rFonts w:cs="Minion Pro"/>
          <w:color w:val="000000" w:themeColor="text1"/>
        </w:rPr>
        <w:t>PV+HP+TES systems under future renewable energy scenarios.</w:t>
      </w:r>
    </w:p>
    <w:p w14:paraId="5AB3A3E7" w14:textId="417F19B4" w:rsidR="00DB52E7" w:rsidRDefault="00DB52E7" w:rsidP="00562082">
      <w:pPr>
        <w:pStyle w:val="SWCText"/>
        <w:pBdr>
          <w:bottom w:val="single" w:sz="6" w:space="1" w:color="auto"/>
        </w:pBdr>
        <w:rPr>
          <w:i/>
          <w:iCs/>
        </w:rPr>
      </w:pPr>
      <w:r w:rsidRPr="0004545F">
        <w:rPr>
          <w:i/>
          <w:iCs/>
        </w:rPr>
        <w:t xml:space="preserve">Keywords: </w:t>
      </w:r>
      <w:r w:rsidR="000A533A">
        <w:rPr>
          <w:i/>
          <w:iCs/>
        </w:rPr>
        <w:t xml:space="preserve">Thermal Energy Storage, </w:t>
      </w:r>
      <w:r w:rsidR="007C4A4B">
        <w:rPr>
          <w:i/>
          <w:iCs/>
        </w:rPr>
        <w:t>Heat Pumps</w:t>
      </w:r>
      <w:r w:rsidR="000A533A">
        <w:rPr>
          <w:i/>
          <w:iCs/>
        </w:rPr>
        <w:t xml:space="preserve">, </w:t>
      </w:r>
      <w:r w:rsidR="007C4A4B">
        <w:rPr>
          <w:i/>
          <w:iCs/>
        </w:rPr>
        <w:t>On-site PV</w:t>
      </w:r>
      <w:r w:rsidR="000A533A">
        <w:rPr>
          <w:i/>
          <w:iCs/>
        </w:rPr>
        <w:t xml:space="preserve">, </w:t>
      </w:r>
      <w:r w:rsidR="007C4A4B">
        <w:rPr>
          <w:i/>
          <w:iCs/>
        </w:rPr>
        <w:t>Parametric Analysis</w:t>
      </w:r>
      <w:r w:rsidR="00D736CD">
        <w:rPr>
          <w:i/>
          <w:iCs/>
        </w:rPr>
        <w:t>.</w:t>
      </w:r>
    </w:p>
    <w:p w14:paraId="01458796" w14:textId="2E6AACB7" w:rsidR="00FA4DF8" w:rsidRDefault="002C089D" w:rsidP="001A775B">
      <w:pPr>
        <w:pStyle w:val="SWCText"/>
        <w:pBdr>
          <w:bottom w:val="single" w:sz="6" w:space="1" w:color="auto"/>
        </w:pBdr>
        <w:rPr>
          <w:i/>
          <w:iCs/>
        </w:rPr>
      </w:pPr>
      <w:r>
        <w:rPr>
          <w:i/>
          <w:iCs/>
        </w:rPr>
        <w:t>Field of application for the findings:</w:t>
      </w:r>
      <w:r w:rsidR="00091654">
        <w:rPr>
          <w:i/>
          <w:iCs/>
        </w:rPr>
        <w:t xml:space="preserve"> Thermal Energy Storage</w:t>
      </w:r>
    </w:p>
    <w:p w14:paraId="185A319D" w14:textId="7C70CE7E" w:rsidR="002C089D" w:rsidRDefault="00CC3B0C" w:rsidP="001A775B">
      <w:pPr>
        <w:pStyle w:val="SWCText"/>
        <w:pBdr>
          <w:bottom w:val="single" w:sz="6" w:space="1" w:color="auto"/>
        </w:pBdr>
      </w:pPr>
      <w:r>
        <w:rPr>
          <w:i/>
          <w:iCs/>
        </w:rPr>
        <w:t>Addressed audience:</w:t>
      </w:r>
      <w:r w:rsidR="003B2180">
        <w:rPr>
          <w:i/>
          <w:iCs/>
        </w:rPr>
        <w:t xml:space="preserve"> Researchers and practitioners.</w:t>
      </w:r>
    </w:p>
    <w:p w14:paraId="51CD8377" w14:textId="45D4B910" w:rsidR="00D32EF0" w:rsidRPr="004C4EE9" w:rsidRDefault="00D32EF0" w:rsidP="004C4EE9">
      <w:pPr>
        <w:pStyle w:val="SWCHeading1"/>
      </w:pPr>
      <w:r w:rsidRPr="004C4EE9">
        <w:t>Introduction</w:t>
      </w:r>
    </w:p>
    <w:p w14:paraId="01C75008" w14:textId="7D9AAEBF" w:rsidR="00741A87" w:rsidRDefault="00AA7A56" w:rsidP="00F1538E">
      <w:pPr>
        <w:pStyle w:val="SWCText"/>
      </w:pPr>
      <w:r>
        <w:t>Global warming is one of the most significant challenges of this century. Among the available mitigation strategies, energy efficiency</w:t>
      </w:r>
      <w:r w:rsidR="00320175">
        <w:t xml:space="preserve"> </w:t>
      </w:r>
      <w:r>
        <w:t>plays a central role. Buildings account for approximately 40% of annual energy demand in Europe,</w:t>
      </w:r>
      <w:r w:rsidRPr="00AA7A56">
        <w:t xml:space="preserve"> </w:t>
      </w:r>
      <w:r>
        <w:t>making them a key target for efficiency improvements</w:t>
      </w:r>
      <w:r w:rsidR="00404B4D">
        <w:t xml:space="preserve"> </w:t>
      </w:r>
      <w:sdt>
        <w:sdtPr>
          <w:tag w:val="MENDELEY_CITATION_v3_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"/>
          <w:id w:val="-1332594011"/>
          <w:placeholder>
            <w:docPart w:val="DefaultPlaceholder_-1854013440"/>
          </w:placeholder>
        </w:sdtPr>
        <w:sdtEndPr/>
        <w:sdtContent>
          <w:r w:rsidR="000C28B6" w:rsidRPr="000C28B6">
            <w:t>(“In focus: Energy efficiency in buildings | Comisión Europea,” n.d.)</w:t>
          </w:r>
        </w:sdtContent>
      </w:sdt>
      <w:r>
        <w:t>.</w:t>
      </w:r>
      <w:r w:rsidR="00741A87">
        <w:t xml:space="preserve"> </w:t>
      </w:r>
      <w:r>
        <w:t xml:space="preserve">A system of growing interest combines on-site photovoltaic (PV) generation, heat pumps (HP) for HVAC and domestic hot water (DHW), and </w:t>
      </w:r>
      <w:r w:rsidR="00320175">
        <w:t xml:space="preserve">thermal energy storage </w:t>
      </w:r>
      <w:r w:rsidR="00404B4D">
        <w:t xml:space="preserve">systems </w:t>
      </w:r>
      <w:r w:rsidR="00320175">
        <w:t xml:space="preserve">(TES) </w:t>
      </w:r>
      <w:sdt>
        <w:sdtPr>
          <w:tag w:val="MENDELEY_CITATION_v3_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"/>
          <w:id w:val="1246756090"/>
          <w:placeholder>
            <w:docPart w:val="DefaultPlaceholder_-1854013440"/>
          </w:placeholder>
        </w:sdtPr>
        <w:sdtEndPr/>
        <w:sdtContent>
          <w:r w:rsidR="000C28B6" w:rsidRPr="000C28B6">
            <w:t>(Li et al., 2022)</w:t>
          </w:r>
        </w:sdtContent>
      </w:sdt>
      <w:r w:rsidR="0069119E">
        <w:t>.</w:t>
      </w:r>
    </w:p>
    <w:p w14:paraId="7B7287F3" w14:textId="6E33DFE6" w:rsidR="00D34917" w:rsidRDefault="00D34917" w:rsidP="00F1538E">
      <w:pPr>
        <w:pStyle w:val="SWCText"/>
      </w:pPr>
      <w:r>
        <w:t>In thi</w:t>
      </w:r>
      <w:r w:rsidR="00CF170E">
        <w:t>s combination, photovoltaic</w:t>
      </w:r>
      <w:r>
        <w:t xml:space="preserve"> generation reduces grid electricity consumption and </w:t>
      </w:r>
      <w:r w:rsidR="008E1A70">
        <w:t xml:space="preserve">can often achieve favourable </w:t>
      </w:r>
      <w:r>
        <w:t xml:space="preserve">economic and life-cycle emission </w:t>
      </w:r>
      <w:r w:rsidR="008E1A70">
        <w:t>results</w:t>
      </w:r>
      <w:r>
        <w:t xml:space="preserve"> </w:t>
      </w:r>
      <w:sdt>
        <w:sdtPr>
          <w:tag w:val="MENDELEY_CITATION_v3_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"/>
          <w:id w:val="-1010527280"/>
          <w:placeholder>
            <w:docPart w:val="DefaultPlaceholder_-1854013440"/>
          </w:placeholder>
        </w:sdtPr>
        <w:sdtEndPr/>
        <w:sdtContent>
          <w:r w:rsidR="000C28B6" w:rsidRPr="000C28B6">
            <w:t>(Latchiba et al., 2026)</w:t>
          </w:r>
        </w:sdtContent>
      </w:sdt>
      <w:r w:rsidR="00404B4D">
        <w:t xml:space="preserve">. </w:t>
      </w:r>
      <w:r>
        <w:t>PV inte</w:t>
      </w:r>
      <w:r w:rsidR="00CF170E">
        <w:t>grates well with heat pumps</w:t>
      </w:r>
      <w:r>
        <w:t xml:space="preserve">, which use electricity to provide heating, cooling and domestic hot water. In mild climates, </w:t>
      </w:r>
      <w:r w:rsidR="00CF170E">
        <w:t>heat pumps</w:t>
      </w:r>
      <w:r>
        <w:t xml:space="preserve"> can </w:t>
      </w:r>
      <w:r w:rsidR="008E1A70">
        <w:t xml:space="preserve">attain high </w:t>
      </w:r>
      <w:r>
        <w:t>coefficients of performance (COP)</w:t>
      </w:r>
      <w:r w:rsidR="008E1A70">
        <w:t>, making</w:t>
      </w:r>
      <w:r>
        <w:t xml:space="preserve"> them competitive with fuel-based boilers (e.g., gas or biomass) </w:t>
      </w:r>
      <w:sdt>
        <w:sdtPr>
          <w:tag w:val="MENDELEY_CITATION_v3_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"/>
          <w:id w:val="-287051914"/>
          <w:placeholder>
            <w:docPart w:val="DefaultPlaceholder_-1854013440"/>
          </w:placeholder>
        </w:sdtPr>
        <w:sdtEndPr/>
        <w:sdtContent>
          <w:r w:rsidR="000C28B6" w:rsidRPr="000C28B6">
            <w:t>(Schito et al., 2026)</w:t>
          </w:r>
        </w:sdtContent>
      </w:sdt>
      <w:r w:rsidR="00404B4D">
        <w:t xml:space="preserve">. </w:t>
      </w:r>
      <w:r w:rsidR="008E1A70" w:rsidRPr="008E1A70">
        <w:rPr>
          <w:lang w:val="de-DE"/>
        </w:rPr>
        <w:t>This is particularly relevant in residential buildings with low or no daytime occupancy, where substantial PV surpluses may occur despite the electricity consumed by the heat pump (Wang and Hui, 2026). When coupled with heat pumps through an appropriate control strategy, thermal energy storage (TES) can absorb part of this surplus by converting electricity into stored heat or cooling for later use.</w:t>
      </w:r>
    </w:p>
    <w:p w14:paraId="766A3CF6" w14:textId="1CFA1F6C" w:rsidR="00404B4D" w:rsidRPr="00D34917" w:rsidRDefault="00404B4D" w:rsidP="00F1538E">
      <w:pPr>
        <w:pStyle w:val="SWCText"/>
        <w:rPr>
          <w:lang w:val="de-DE"/>
        </w:rPr>
      </w:pPr>
      <w:r>
        <w:t>TES system</w:t>
      </w:r>
      <w:r w:rsidR="008E1A70">
        <w:t>s can</w:t>
      </w:r>
      <w:r>
        <w:t xml:space="preserve"> </w:t>
      </w:r>
      <w:r w:rsidR="00D34917">
        <w:t>store heat or cold for periods from hours to months</w:t>
      </w:r>
      <w:r>
        <w:t xml:space="preserve"> </w:t>
      </w:r>
      <w:sdt>
        <w:sdtPr>
          <w:tag w:val="MENDELEY_CITATION_v3_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"/>
          <w:id w:val="-1416159631"/>
          <w:placeholder>
            <w:docPart w:val="DefaultPlaceholder_-1854013440"/>
          </w:placeholder>
        </w:sdtPr>
        <w:sdtEndPr/>
        <w:sdtContent>
          <w:r w:rsidR="000C28B6" w:rsidRPr="000C28B6">
            <w:t>(Osterman and Stritih, 2021)</w:t>
          </w:r>
        </w:sdtContent>
      </w:sdt>
      <w:r>
        <w:t>.</w:t>
      </w:r>
      <w:r w:rsidR="00466901">
        <w:t xml:space="preserve"> </w:t>
      </w:r>
      <w:r w:rsidR="008E1A70">
        <w:t>Amongst the different TES technologies available, t</w:t>
      </w:r>
      <w:r w:rsidR="00D34917">
        <w:t xml:space="preserve">his study </w:t>
      </w:r>
      <w:r w:rsidR="008E1A70">
        <w:t xml:space="preserve">considers </w:t>
      </w:r>
      <w:r w:rsidR="00D34917">
        <w:t xml:space="preserve">sensible heat storage with water as the storage medium </w:t>
      </w:r>
      <w:sdt>
        <w:sdtPr>
          <w:tag w:val="MENDELEY_CITATION_v3_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"/>
          <w:id w:val="-872992307"/>
          <w:placeholder>
            <w:docPart w:val="DefaultPlaceholder_-1854013440"/>
          </w:placeholder>
        </w:sdtPr>
        <w:sdtEndPr/>
        <w:sdtContent>
          <w:r w:rsidR="000C28B6" w:rsidRPr="000C28B6">
            <w:t>(Agyenim and Hewitt, 2010)</w:t>
          </w:r>
        </w:sdtContent>
      </w:sdt>
      <w:r w:rsidR="00466901">
        <w:t xml:space="preserve">. </w:t>
      </w:r>
      <w:r w:rsidR="00EE77CF" w:rsidRPr="00EE77CF">
        <w:rPr>
          <w:lang w:val="de-DE"/>
        </w:rPr>
        <w:t>The system follows a daily charge–discharge cycle, shifting part of the heat pump’s electricity consumption towards periods of high PV availability. This load-shifting strategy increases PV self-consumption and can reduce grid electricity imports (Wang and Hui, 2026).</w:t>
      </w:r>
      <w:r w:rsidR="00466901">
        <w:t xml:space="preserve"> </w:t>
      </w:r>
    </w:p>
    <w:p w14:paraId="503E161F" w14:textId="4A0ADE46" w:rsidR="0069119E" w:rsidRDefault="00320175" w:rsidP="00F1538E">
      <w:pPr>
        <w:pStyle w:val="SWCText"/>
      </w:pPr>
      <w:r>
        <w:t>However</w:t>
      </w:r>
      <w:r w:rsidR="00CC60F0">
        <w:t>,</w:t>
      </w:r>
      <w:r w:rsidR="00EE77CF">
        <w:t xml:space="preserve"> when approaching this effect,</w:t>
      </w:r>
      <w:r w:rsidR="00CC60F0">
        <w:t xml:space="preserve"> many studies overlook a critical factor: the reduction in heat pump coefficient of performance (COP)</w:t>
      </w:r>
      <w:r w:rsidR="00171662">
        <w:t xml:space="preserve">. </w:t>
      </w:r>
      <w:r w:rsidR="00171662">
        <w:rPr>
          <w:lang w:val="de-DE"/>
        </w:rPr>
        <w:t>C</w:t>
      </w:r>
      <w:r w:rsidR="00171662" w:rsidRPr="00171662">
        <w:rPr>
          <w:lang w:val="de-DE"/>
        </w:rPr>
        <w:t>harging the TES requires the heat pump to operate at a higher temperature lift, ow</w:t>
      </w:r>
      <w:r w:rsidR="00171662">
        <w:rPr>
          <w:lang w:val="de-DE"/>
        </w:rPr>
        <w:t>ed</w:t>
      </w:r>
      <w:r w:rsidR="00171662" w:rsidRPr="00171662">
        <w:rPr>
          <w:lang w:val="de-DE"/>
        </w:rPr>
        <w:t xml:space="preserve"> to the storage temperature range and the temperature differences required for heat transfer. Increasing this range enhances storage capacity but reduces the heat pump COP, creating a fundamental trade-off between storage capacity and conversion efficiency that must be carefully evaluated</w:t>
      </w:r>
      <w:r w:rsidR="00171662">
        <w:t xml:space="preserve"> </w:t>
      </w:r>
      <w:sdt>
        <w:sdtPr>
          <w:rPr>
            <w:szCs w:val="18"/>
          </w:rPr>
          <w:tag w:val="MENDELEY_CITATION_v3_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"/>
          <w:id w:val="1287862592"/>
          <w:placeholder>
            <w:docPart w:val="50DDA19012C64C47AE72EA7ABDC521CC"/>
          </w:placeholder>
        </w:sdtPr>
        <w:sdtEndPr/>
        <w:sdtContent>
          <w:r w:rsidR="000C28B6" w:rsidRPr="000C28B6">
            <w:rPr>
              <w:szCs w:val="18"/>
            </w:rPr>
            <w:t>(Fischer et al., 2014; Osterman and Stritih, 2021)</w:t>
          </w:r>
        </w:sdtContent>
      </w:sdt>
      <w:r w:rsidR="0069119E">
        <w:rPr>
          <w:szCs w:val="18"/>
        </w:rPr>
        <w:t xml:space="preserve">. </w:t>
      </w:r>
      <w:r w:rsidR="00D63301">
        <w:t xml:space="preserve">Furthermore, some studies neglect </w:t>
      </w:r>
      <w:r w:rsidR="00630B6C">
        <w:t xml:space="preserve">to account for </w:t>
      </w:r>
      <w:r w:rsidR="00D63301">
        <w:t xml:space="preserve">the injection of excess PV electricity into the </w:t>
      </w:r>
      <w:r w:rsidR="00D63301">
        <w:lastRenderedPageBreak/>
        <w:t xml:space="preserve">grid, </w:t>
      </w:r>
      <w:r w:rsidR="00630B6C">
        <w:t>a direct competitor with energy storage</w:t>
      </w:r>
      <w:r w:rsidR="00D63301">
        <w:t>. This creates a gap in the integrated assessment and optimal design of PV+HP+TES systems</w:t>
      </w:r>
      <w:r w:rsidR="00630B6C">
        <w:t>, where long and dynamic simulations are required</w:t>
      </w:r>
      <w:r w:rsidR="00D63301">
        <w:t>.</w:t>
      </w:r>
    </w:p>
    <w:p w14:paraId="46E8DCBC" w14:textId="3C4A9B37" w:rsidR="00D63301" w:rsidRDefault="00630B6C" w:rsidP="00F1538E">
      <w:pPr>
        <w:pStyle w:val="SWCText"/>
      </w:pPr>
      <w:r>
        <w:t>In this study, t</w:t>
      </w:r>
      <w:r w:rsidR="00D63301">
        <w:t>o evaluate the effects of TES</w:t>
      </w:r>
      <w:r w:rsidR="00821191">
        <w:t xml:space="preserve"> system</w:t>
      </w:r>
      <w:r w:rsidR="00D63301">
        <w:t xml:space="preserve"> </w:t>
      </w:r>
      <w:r>
        <w:t xml:space="preserve">size, temperature </w:t>
      </w:r>
      <w:r w:rsidR="00D63301">
        <w:t>and grid injection compensation price, a DesignBuilder/EnergyPlus model was developed for a 12-dwelling residential building in Pamplona, Spain. The system includes rooftop PV panels, a heat pum</w:t>
      </w:r>
      <w:r w:rsidR="00B01CE8">
        <w:t>p supplying domestic hot water</w:t>
      </w:r>
      <w:r w:rsidR="00D63301">
        <w:t xml:space="preserve">, and a </w:t>
      </w:r>
      <w:r w:rsidR="006A60EF">
        <w:t xml:space="preserve">water </w:t>
      </w:r>
      <w:r w:rsidR="00D63301">
        <w:t>storage tank acting as TES</w:t>
      </w:r>
      <w:r w:rsidR="00821191">
        <w:t xml:space="preserve"> system</w:t>
      </w:r>
      <w:r w:rsidR="00D63301">
        <w:t>. A parametric analysis was conducted on TES</w:t>
      </w:r>
      <w:r w:rsidR="00821191">
        <w:t xml:space="preserve"> system</w:t>
      </w:r>
      <w:r w:rsidR="00D63301">
        <w:t xml:space="preserve"> temperature, volume, and PV excess injection price, using Spanish electricity prices from 2023.</w:t>
      </w:r>
      <w:r w:rsidR="00316766">
        <w:t xml:space="preserve"> This model will be described in the methodology, followed by a discussion of the economic savings results.</w:t>
      </w:r>
    </w:p>
    <w:p w14:paraId="3EBB0799" w14:textId="0DA07B70" w:rsidR="008063D4" w:rsidRPr="008063D4" w:rsidRDefault="00DA2F8E" w:rsidP="008063D4">
      <w:pPr>
        <w:pStyle w:val="SWCHeading1"/>
      </w:pPr>
      <w:r>
        <w:t>Methodology</w:t>
      </w:r>
    </w:p>
    <w:p w14:paraId="1C5141BB" w14:textId="7293BA00" w:rsidR="004C2FE0" w:rsidRPr="00D43827" w:rsidRDefault="004C2FE0" w:rsidP="004C2FE0">
      <w:pPr>
        <w:pStyle w:val="SWCHeading11"/>
        <w:numPr>
          <w:ilvl w:val="1"/>
          <w:numId w:val="11"/>
        </w:numPr>
      </w:pPr>
      <w:r>
        <w:t>DHW system modelling</w:t>
      </w:r>
    </w:p>
    <w:p w14:paraId="4FF9157A" w14:textId="6A4D9FAB" w:rsidR="00F84F74" w:rsidRDefault="009851BB" w:rsidP="007C1632">
      <w:pPr>
        <w:pStyle w:val="SWCText"/>
      </w:pPr>
      <w:r>
        <w:t>T</w:t>
      </w:r>
      <w:r w:rsidR="00D63301">
        <w:t xml:space="preserve">he case study is a 12-dwelling residential building in </w:t>
      </w:r>
      <w:r w:rsidR="00D63301">
        <w:rPr>
          <w:rStyle w:val="whitespace-normal"/>
        </w:rPr>
        <w:t>Pamplona</w:t>
      </w:r>
      <w:r w:rsidR="00D63301">
        <w:t>. DHW demand was estimated at 907.2 L/day</w:t>
      </w:r>
      <w:r w:rsidR="00F61368">
        <w:t xml:space="preserve"> at 60°C</w:t>
      </w:r>
      <w:r w:rsidR="00D63301">
        <w:t xml:space="preserve"> according to </w:t>
      </w:r>
      <w:r w:rsidR="00480C03">
        <w:t xml:space="preserve">the </w:t>
      </w:r>
      <w:r w:rsidR="00EC4428">
        <w:t xml:space="preserve">Spanish </w:t>
      </w:r>
      <w:r w:rsidR="00480C03">
        <w:t xml:space="preserve">regulation </w:t>
      </w:r>
      <w:r w:rsidR="002525D8">
        <w:t>“</w:t>
      </w:r>
      <w:r w:rsidR="00D63301">
        <w:t>CTE-DBHE-Anejo F</w:t>
      </w:r>
      <w:r w:rsidR="002525D8">
        <w:t>”</w:t>
      </w:r>
      <w:r w:rsidR="00D63301">
        <w:t xml:space="preserve">, with an hourly profile adapted from </w:t>
      </w:r>
      <w:sdt>
        <w:sdtPr>
          <w:tag w:val="MENDELEY_CITATION_v3_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"/>
          <w:id w:val="-1841697076"/>
          <w:placeholder>
            <w:docPart w:val="DefaultPlaceholder_-1854013440"/>
          </w:placeholder>
        </w:sdtPr>
        <w:sdtEndPr/>
        <w:sdtContent>
          <w:r w:rsidR="000C28B6" w:rsidRPr="000C28B6">
            <w:t>(Sborz et al., 2022)</w:t>
          </w:r>
        </w:sdtContent>
      </w:sdt>
      <w:r w:rsidR="00D63301">
        <w:t>, featuring afternoon and evening peaks</w:t>
      </w:r>
      <w:r w:rsidR="00185F9D">
        <w:t xml:space="preserve">. </w:t>
      </w:r>
      <w:r w:rsidR="00F84F74">
        <w:t xml:space="preserve">This DHW demand hourly profile is shown in </w:t>
      </w:r>
      <w:r w:rsidR="00F84F74">
        <w:fldChar w:fldCharType="begin"/>
      </w:r>
      <w:r w:rsidR="00F84F74">
        <w:instrText xml:space="preserve"> REF _Ref232072757 \h </w:instrText>
      </w:r>
      <w:r w:rsidR="00F84F74">
        <w:fldChar w:fldCharType="separate"/>
      </w:r>
      <w:r w:rsidR="002337D2">
        <w:t xml:space="preserve">Fig. </w:t>
      </w:r>
      <w:r w:rsidR="002337D2">
        <w:rPr>
          <w:noProof/>
        </w:rPr>
        <w:t>1</w:t>
      </w:r>
      <w:r w:rsidR="00F84F74">
        <w:fldChar w:fldCharType="end"/>
      </w:r>
      <w:r w:rsidR="00F84F74">
        <w:t xml:space="preserve">. </w:t>
      </w:r>
    </w:p>
    <w:p w14:paraId="7B97CC1A" w14:textId="719EB8F1" w:rsidR="00F84F74" w:rsidRDefault="008E2B87" w:rsidP="00F84F74">
      <w:pPr>
        <w:pStyle w:val="SWCText"/>
        <w:keepNext/>
        <w:jc w:val="center"/>
      </w:pPr>
      <w:r>
        <w:rPr>
          <w:noProof/>
          <w:lang w:val="es-ES" w:eastAsia="es-ES"/>
        </w:rPr>
        <w:drawing>
          <wp:inline distT="0" distB="0" distL="0" distR="0" wp14:anchorId="5F1470EE" wp14:editId="0C9445B9">
            <wp:extent cx="3456869" cy="1800000"/>
            <wp:effectExtent l="0" t="0" r="0" b="0"/>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456869" cy="1800000"/>
                    </a:xfrm>
                    <a:prstGeom prst="rect">
                      <a:avLst/>
                    </a:prstGeom>
                    <a:noFill/>
                  </pic:spPr>
                </pic:pic>
              </a:graphicData>
            </a:graphic>
          </wp:inline>
        </w:drawing>
      </w:r>
    </w:p>
    <w:p w14:paraId="6F7AE250" w14:textId="4DF72330" w:rsidR="00F84F74" w:rsidRDefault="00F84F74" w:rsidP="00F84F74">
      <w:pPr>
        <w:pStyle w:val="SWCTableFigureCaption"/>
      </w:pPr>
      <w:bookmarkStart w:id="0" w:name="_Ref232072757"/>
      <w:r>
        <w:t xml:space="preserve">Fig. </w:t>
      </w:r>
      <w:r>
        <w:fldChar w:fldCharType="begin"/>
      </w:r>
      <w:r>
        <w:instrText xml:space="preserve"> SEQ Fig. \* ARABIC </w:instrText>
      </w:r>
      <w:r>
        <w:fldChar w:fldCharType="separate"/>
      </w:r>
      <w:r w:rsidR="002337D2">
        <w:rPr>
          <w:noProof/>
        </w:rPr>
        <w:t>1</w:t>
      </w:r>
      <w:r>
        <w:fldChar w:fldCharType="end"/>
      </w:r>
      <w:bookmarkEnd w:id="0"/>
      <w:r>
        <w:t>. DHW hourly demand profile</w:t>
      </w:r>
    </w:p>
    <w:p w14:paraId="65974024" w14:textId="67A0F8A6" w:rsidR="00187B0A" w:rsidRDefault="00D63301" w:rsidP="007C1632">
      <w:pPr>
        <w:pStyle w:val="SWCText"/>
      </w:pPr>
      <w:r>
        <w:t xml:space="preserve">The system was modelled in </w:t>
      </w:r>
      <w:r>
        <w:rPr>
          <w:rStyle w:val="whitespace-normal"/>
        </w:rPr>
        <w:t>DesignBuilder</w:t>
      </w:r>
      <w:r>
        <w:t xml:space="preserve"> using a plant loop with a heat pump and a DHW loop with a storage tank acting as TES</w:t>
      </w:r>
      <w:r w:rsidR="00821191">
        <w:t xml:space="preserve"> system</w:t>
      </w:r>
      <w:r>
        <w:t>. The heat pump charges the TES</w:t>
      </w:r>
      <w:r w:rsidR="00821191">
        <w:t xml:space="preserve"> system</w:t>
      </w:r>
      <w:r>
        <w:t xml:space="preserve"> </w:t>
      </w:r>
      <w:r w:rsidRPr="008E2B87">
        <w:t>in series</w:t>
      </w:r>
      <w:r>
        <w:t xml:space="preserve">, and the TES </w:t>
      </w:r>
      <w:r w:rsidR="008341B0">
        <w:t xml:space="preserve">system </w:t>
      </w:r>
      <w:r>
        <w:t>discharges to meet the DHW demand.</w:t>
      </w:r>
    </w:p>
    <w:p w14:paraId="2A9B5AE0" w14:textId="4BA48FCC" w:rsidR="005E47C6" w:rsidRDefault="00454301" w:rsidP="005E47C6">
      <w:pPr>
        <w:pStyle w:val="SWCText"/>
        <w:keepNext/>
        <w:jc w:val="center"/>
      </w:pPr>
      <w:r>
        <w:rPr>
          <w:noProof/>
          <w:lang w:val="es-ES" w:eastAsia="es-ES"/>
        </w:rPr>
        <w:drawing>
          <wp:inline distT="0" distB="0" distL="0" distR="0" wp14:anchorId="00CC565C" wp14:editId="11A1BE8C">
            <wp:extent cx="4549864" cy="3240000"/>
            <wp:effectExtent l="0" t="0" r="3175"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549864" cy="3240000"/>
                    </a:xfrm>
                    <a:prstGeom prst="rect">
                      <a:avLst/>
                    </a:prstGeom>
                    <a:noFill/>
                  </pic:spPr>
                </pic:pic>
              </a:graphicData>
            </a:graphic>
          </wp:inline>
        </w:drawing>
      </w:r>
    </w:p>
    <w:p w14:paraId="75F8B734" w14:textId="2F569DF3" w:rsidR="00570862" w:rsidRPr="00187B0A" w:rsidRDefault="005E47C6" w:rsidP="005E47C6">
      <w:pPr>
        <w:pStyle w:val="SWCTableFigureCaption"/>
      </w:pPr>
      <w:r>
        <w:t xml:space="preserve">Fig. </w:t>
      </w:r>
      <w:r>
        <w:fldChar w:fldCharType="begin"/>
      </w:r>
      <w:r>
        <w:instrText xml:space="preserve"> SEQ Fig. \* ARABIC </w:instrText>
      </w:r>
      <w:r>
        <w:fldChar w:fldCharType="separate"/>
      </w:r>
      <w:r w:rsidR="002337D2">
        <w:rPr>
          <w:noProof/>
        </w:rPr>
        <w:t>2</w:t>
      </w:r>
      <w:r>
        <w:fldChar w:fldCharType="end"/>
      </w:r>
      <w:r w:rsidR="003B400E">
        <w:t>: DHW loops model in Design Builder</w:t>
      </w:r>
    </w:p>
    <w:p w14:paraId="543B3127" w14:textId="2A59E2E6" w:rsidR="00861175" w:rsidRDefault="00861175" w:rsidP="00D63301">
      <w:pPr>
        <w:pStyle w:val="SWCText"/>
      </w:pPr>
      <w:r>
        <w:rPr>
          <w:color w:val="000000" w:themeColor="text1"/>
        </w:rPr>
        <w:lastRenderedPageBreak/>
        <w:t xml:space="preserve">The configuration of the DHW TES system is </w:t>
      </w:r>
      <w:r w:rsidRPr="008E2B87">
        <w:rPr>
          <w:color w:val="000000" w:themeColor="text1"/>
        </w:rPr>
        <w:t>in series</w:t>
      </w:r>
      <w:r>
        <w:rPr>
          <w:color w:val="000000" w:themeColor="text1"/>
        </w:rPr>
        <w:t xml:space="preserve">. This is shown in </w:t>
      </w:r>
      <w:r>
        <w:rPr>
          <w:color w:val="000000" w:themeColor="text1"/>
        </w:rPr>
        <w:fldChar w:fldCharType="begin"/>
      </w:r>
      <w:r>
        <w:rPr>
          <w:color w:val="000000" w:themeColor="text1"/>
        </w:rPr>
        <w:instrText xml:space="preserve"> REF _Ref231299893 \h </w:instrText>
      </w:r>
      <w:r>
        <w:rPr>
          <w:color w:val="000000" w:themeColor="text1"/>
        </w:rPr>
      </w:r>
      <w:r>
        <w:rPr>
          <w:color w:val="000000" w:themeColor="text1"/>
        </w:rPr>
        <w:fldChar w:fldCharType="separate"/>
      </w:r>
      <w:r w:rsidR="002337D2">
        <w:t xml:space="preserve">Fig. </w:t>
      </w:r>
      <w:r w:rsidR="002337D2">
        <w:rPr>
          <w:noProof/>
        </w:rPr>
        <w:t>3</w:t>
      </w:r>
      <w:r>
        <w:rPr>
          <w:color w:val="000000" w:themeColor="text1"/>
        </w:rPr>
        <w:fldChar w:fldCharType="end"/>
      </w:r>
      <w:r>
        <w:rPr>
          <w:color w:val="000000" w:themeColor="text1"/>
        </w:rPr>
        <w:t xml:space="preserve">. In a series configuration the heat pump feeds the TES system and the TES system directly satisfies the demand. If the heat pump </w:t>
      </w:r>
      <w:r w:rsidR="0098316E">
        <w:rPr>
          <w:color w:val="000000" w:themeColor="text1"/>
        </w:rPr>
        <w:t xml:space="preserve">could </w:t>
      </w:r>
      <w:r>
        <w:rPr>
          <w:color w:val="000000" w:themeColor="text1"/>
        </w:rPr>
        <w:t>also bypass the TES system</w:t>
      </w:r>
      <w:r w:rsidR="00A83633">
        <w:rPr>
          <w:color w:val="000000" w:themeColor="text1"/>
        </w:rPr>
        <w:t xml:space="preserve"> to satisfy demand then the configuration would be </w:t>
      </w:r>
      <w:r w:rsidR="00A83633" w:rsidRPr="00850277">
        <w:rPr>
          <w:color w:val="000000" w:themeColor="text1"/>
        </w:rPr>
        <w:t>in parallel</w:t>
      </w:r>
      <w:r w:rsidR="00A83633">
        <w:rPr>
          <w:color w:val="000000" w:themeColor="text1"/>
        </w:rPr>
        <w:t>. The series configuration simplifies installation and control, thus it is commonly used in real cases. However, it also reduces the overall COP as the heat pump has to operate at higher than TES system temperatures at all times. Due to the series configuration being more common as well as more sensitive to TES system temperatures, it was chosen as the configuration for this study.</w:t>
      </w:r>
    </w:p>
    <w:p w14:paraId="290A89B8" w14:textId="77777777" w:rsidR="0061794F" w:rsidRDefault="0061794F" w:rsidP="00D63301">
      <w:pPr>
        <w:pStyle w:val="SWCText"/>
        <w:rPr>
          <w:color w:val="000000" w:themeColor="text1"/>
        </w:rPr>
      </w:pPr>
    </w:p>
    <w:p w14:paraId="31D10D42" w14:textId="2E2652EC" w:rsidR="00481EBF" w:rsidRDefault="0014114C" w:rsidP="00481EBF">
      <w:pPr>
        <w:pStyle w:val="SWCText"/>
        <w:keepNext/>
        <w:jc w:val="center"/>
      </w:pPr>
      <w:r>
        <w:rPr>
          <w:noProof/>
          <w:lang w:val="es-ES" w:eastAsia="es-ES"/>
        </w:rPr>
        <w:drawing>
          <wp:inline distT="0" distB="0" distL="0" distR="0" wp14:anchorId="2C43C310" wp14:editId="5A4BB048">
            <wp:extent cx="3867162" cy="1800000"/>
            <wp:effectExtent l="0" t="0" r="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67162" cy="1800000"/>
                    </a:xfrm>
                    <a:prstGeom prst="rect">
                      <a:avLst/>
                    </a:prstGeom>
                    <a:noFill/>
                  </pic:spPr>
                </pic:pic>
              </a:graphicData>
            </a:graphic>
          </wp:inline>
        </w:drawing>
      </w:r>
    </w:p>
    <w:p w14:paraId="257D1DCE" w14:textId="7D113C93" w:rsidR="00481EBF" w:rsidRDefault="00481EBF" w:rsidP="00481EBF">
      <w:pPr>
        <w:pStyle w:val="SWCTableFigureCaption"/>
        <w:rPr>
          <w:color w:val="000000" w:themeColor="text1"/>
        </w:rPr>
      </w:pPr>
      <w:bookmarkStart w:id="1" w:name="_Ref231299893"/>
      <w:r>
        <w:t xml:space="preserve">Fig. </w:t>
      </w:r>
      <w:r>
        <w:fldChar w:fldCharType="begin"/>
      </w:r>
      <w:r>
        <w:instrText xml:space="preserve"> SEQ Fig. \* ARABIC </w:instrText>
      </w:r>
      <w:r>
        <w:fldChar w:fldCharType="separate"/>
      </w:r>
      <w:r w:rsidR="002337D2">
        <w:rPr>
          <w:noProof/>
        </w:rPr>
        <w:t>3</w:t>
      </w:r>
      <w:r>
        <w:fldChar w:fldCharType="end"/>
      </w:r>
      <w:bookmarkEnd w:id="1"/>
      <w:r>
        <w:t>. HP + TES</w:t>
      </w:r>
      <w:r w:rsidR="00821191">
        <w:t xml:space="preserve"> system</w:t>
      </w:r>
      <w:r>
        <w:t xml:space="preserve"> in series configuration scheme</w:t>
      </w:r>
    </w:p>
    <w:p w14:paraId="7AA9B94E" w14:textId="330B37A4" w:rsidR="00570862" w:rsidRDefault="00D63301" w:rsidP="00D63301">
      <w:pPr>
        <w:pStyle w:val="SWCText"/>
        <w:rPr>
          <w:color w:val="000000" w:themeColor="text1"/>
        </w:rPr>
      </w:pPr>
      <w:r w:rsidRPr="00D63301">
        <w:rPr>
          <w:color w:val="000000" w:themeColor="text1"/>
        </w:rPr>
        <w:t>The model uses a heat pump based on the LIFT 81-P÷1204-P</w:t>
      </w:r>
      <w:r w:rsidR="00796B75">
        <w:rPr>
          <w:color w:val="000000" w:themeColor="text1"/>
        </w:rPr>
        <w:t xml:space="preserve"> model</w:t>
      </w:r>
      <w:r w:rsidRPr="00D63301">
        <w:rPr>
          <w:color w:val="000000" w:themeColor="text1"/>
        </w:rPr>
        <w:t xml:space="preserve"> from Trane. To </w:t>
      </w:r>
      <w:r w:rsidR="00856566">
        <w:rPr>
          <w:color w:val="000000" w:themeColor="text1"/>
        </w:rPr>
        <w:t>reproduce</w:t>
      </w:r>
      <w:r w:rsidR="00796B75">
        <w:rPr>
          <w:color w:val="000000" w:themeColor="text1"/>
        </w:rPr>
        <w:t xml:space="preserve"> its</w:t>
      </w:r>
      <w:r w:rsidRPr="00D63301">
        <w:rPr>
          <w:color w:val="000000" w:themeColor="text1"/>
        </w:rPr>
        <w:t xml:space="preserve"> performance, the heat pump parameters in EnergyPlus were calibrated </w:t>
      </w:r>
      <w:r w:rsidRPr="00367FF4">
        <w:rPr>
          <w:color w:val="000000" w:themeColor="text1"/>
        </w:rPr>
        <w:t xml:space="preserve">so that simulated electrical consumption matched manufacturer performance curves across outdoor and </w:t>
      </w:r>
      <w:r w:rsidR="00BB0894" w:rsidRPr="00DA3503">
        <w:rPr>
          <w:color w:val="000000" w:themeColor="text1"/>
        </w:rPr>
        <w:t>inlet</w:t>
      </w:r>
      <w:r w:rsidR="00BB0894">
        <w:rPr>
          <w:color w:val="000000" w:themeColor="text1"/>
        </w:rPr>
        <w:t xml:space="preserve"> </w:t>
      </w:r>
      <w:r w:rsidRPr="00367FF4">
        <w:rPr>
          <w:color w:val="000000" w:themeColor="text1"/>
        </w:rPr>
        <w:t xml:space="preserve">load temperatures. </w:t>
      </w:r>
      <w:r w:rsidR="0014114C">
        <w:rPr>
          <w:color w:val="000000" w:themeColor="text1"/>
        </w:rPr>
        <w:t>The calibration consists on slightly changing the heat pump electricity consumption parameters related to</w:t>
      </w:r>
      <w:r w:rsidR="00925FA1">
        <w:rPr>
          <w:color w:val="000000" w:themeColor="text1"/>
        </w:rPr>
        <w:t xml:space="preserve"> source and </w:t>
      </w:r>
      <w:r w:rsidR="0014114C">
        <w:rPr>
          <w:color w:val="000000" w:themeColor="text1"/>
        </w:rPr>
        <w:t xml:space="preserve">inlet temperature in various yearly simulations until </w:t>
      </w:r>
      <w:r w:rsidR="00925FA1">
        <w:rPr>
          <w:color w:val="000000" w:themeColor="text1"/>
        </w:rPr>
        <w:t xml:space="preserve">the heat pump electricity consumption </w:t>
      </w:r>
      <w:r w:rsidR="0014114C">
        <w:rPr>
          <w:color w:val="000000" w:themeColor="text1"/>
        </w:rPr>
        <w:t xml:space="preserve">matches that of the manufacturer. </w:t>
      </w:r>
      <w:r w:rsidRPr="00367FF4">
        <w:rPr>
          <w:color w:val="000000" w:themeColor="text1"/>
        </w:rPr>
        <w:t xml:space="preserve">This calibration captures the COP reduction at higher load temperatures, which is </w:t>
      </w:r>
      <w:r w:rsidR="00187B0A">
        <w:rPr>
          <w:color w:val="000000" w:themeColor="text1"/>
        </w:rPr>
        <w:t>key</w:t>
      </w:r>
      <w:r w:rsidRPr="00367FF4">
        <w:rPr>
          <w:color w:val="000000" w:themeColor="text1"/>
        </w:rPr>
        <w:t xml:space="preserve"> to the TES</w:t>
      </w:r>
      <w:r w:rsidR="00821191">
        <w:rPr>
          <w:color w:val="000000" w:themeColor="text1"/>
        </w:rPr>
        <w:t xml:space="preserve"> system</w:t>
      </w:r>
      <w:r w:rsidRPr="00367FF4">
        <w:rPr>
          <w:color w:val="000000" w:themeColor="text1"/>
        </w:rPr>
        <w:t xml:space="preserve"> temperature parametric analysis.</w:t>
      </w:r>
      <w:r w:rsidR="00F56A93" w:rsidRPr="00367FF4">
        <w:rPr>
          <w:color w:val="000000" w:themeColor="text1"/>
        </w:rPr>
        <w:t xml:space="preserve"> </w:t>
      </w:r>
      <w:r w:rsidRPr="00367FF4">
        <w:rPr>
          <w:color w:val="000000" w:themeColor="text1"/>
        </w:rPr>
        <w:t>The TES</w:t>
      </w:r>
      <w:r w:rsidR="00821191">
        <w:rPr>
          <w:color w:val="000000" w:themeColor="text1"/>
        </w:rPr>
        <w:t xml:space="preserve"> system</w:t>
      </w:r>
      <w:r w:rsidR="00BB4D6B" w:rsidRPr="00367FF4">
        <w:rPr>
          <w:color w:val="000000" w:themeColor="text1"/>
        </w:rPr>
        <w:t xml:space="preserve"> base temperature was set to 60</w:t>
      </w:r>
      <w:r w:rsidRPr="00367FF4">
        <w:rPr>
          <w:color w:val="000000" w:themeColor="text1"/>
        </w:rPr>
        <w:t>°C and charged up to a variable maximum temperature, defined as a parameter in the analysis.</w:t>
      </w:r>
      <w:r w:rsidR="0007514B" w:rsidRPr="00367FF4">
        <w:rPr>
          <w:color w:val="000000" w:themeColor="text1"/>
        </w:rPr>
        <w:t xml:space="preserve"> </w:t>
      </w:r>
      <w:r w:rsidR="00361C61">
        <w:rPr>
          <w:color w:val="000000" w:themeColor="text1"/>
        </w:rPr>
        <w:t xml:space="preserve">This is shown in </w:t>
      </w:r>
      <w:r w:rsidR="00361C61">
        <w:rPr>
          <w:color w:val="000000" w:themeColor="text1"/>
        </w:rPr>
        <w:fldChar w:fldCharType="begin"/>
      </w:r>
      <w:r w:rsidR="00361C61">
        <w:rPr>
          <w:color w:val="000000" w:themeColor="text1"/>
        </w:rPr>
        <w:instrText xml:space="preserve"> REF _Ref231300567 \h </w:instrText>
      </w:r>
      <w:r w:rsidR="00361C61">
        <w:rPr>
          <w:color w:val="000000" w:themeColor="text1"/>
        </w:rPr>
      </w:r>
      <w:r w:rsidR="00361C61">
        <w:rPr>
          <w:color w:val="000000" w:themeColor="text1"/>
        </w:rPr>
        <w:fldChar w:fldCharType="separate"/>
      </w:r>
      <w:r w:rsidR="002337D2">
        <w:t xml:space="preserve">Fig. </w:t>
      </w:r>
      <w:r w:rsidR="002337D2">
        <w:rPr>
          <w:noProof/>
        </w:rPr>
        <w:t>4</w:t>
      </w:r>
      <w:r w:rsidR="00361C61">
        <w:rPr>
          <w:color w:val="000000" w:themeColor="text1"/>
        </w:rPr>
        <w:fldChar w:fldCharType="end"/>
      </w:r>
      <w:r w:rsidR="00701C48">
        <w:rPr>
          <w:color w:val="000000" w:themeColor="text1"/>
        </w:rPr>
        <w:t>, where the modified simulation electrical power at different load temperatures resembles that of the manufacturer for the high temperature heat pump.</w:t>
      </w:r>
    </w:p>
    <w:p w14:paraId="47D76497" w14:textId="2B4C029F" w:rsidR="005E47C6" w:rsidRDefault="0014114C" w:rsidP="005E47C6">
      <w:pPr>
        <w:pStyle w:val="SWCText"/>
        <w:keepNext/>
        <w:jc w:val="center"/>
      </w:pPr>
      <w:r>
        <w:rPr>
          <w:noProof/>
          <w:lang w:val="es-ES" w:eastAsia="es-ES"/>
        </w:rPr>
        <w:drawing>
          <wp:inline distT="0" distB="0" distL="0" distR="0" wp14:anchorId="7551D6CF" wp14:editId="6C4509D7">
            <wp:extent cx="3297752" cy="1800000"/>
            <wp:effectExtent l="0" t="0" r="0"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297752" cy="1800000"/>
                    </a:xfrm>
                    <a:prstGeom prst="rect">
                      <a:avLst/>
                    </a:prstGeom>
                    <a:noFill/>
                  </pic:spPr>
                </pic:pic>
              </a:graphicData>
            </a:graphic>
          </wp:inline>
        </w:drawing>
      </w:r>
    </w:p>
    <w:p w14:paraId="3EBDAB93" w14:textId="63717EDB" w:rsidR="00570862" w:rsidRDefault="005E47C6" w:rsidP="005E47C6">
      <w:pPr>
        <w:pStyle w:val="SWCTableFigureCaption"/>
        <w:rPr>
          <w:color w:val="000000" w:themeColor="text1"/>
        </w:rPr>
      </w:pPr>
      <w:bookmarkStart w:id="2" w:name="_Ref231300567"/>
      <w:r>
        <w:t xml:space="preserve">Fig. </w:t>
      </w:r>
      <w:r>
        <w:fldChar w:fldCharType="begin"/>
      </w:r>
      <w:r>
        <w:instrText xml:space="preserve"> SEQ Fig. \* ARABIC </w:instrText>
      </w:r>
      <w:r>
        <w:fldChar w:fldCharType="separate"/>
      </w:r>
      <w:r w:rsidR="002337D2">
        <w:rPr>
          <w:noProof/>
        </w:rPr>
        <w:t>4</w:t>
      </w:r>
      <w:r>
        <w:fldChar w:fldCharType="end"/>
      </w:r>
      <w:bookmarkEnd w:id="2"/>
      <w:r w:rsidR="009E7E3C">
        <w:t>: Electrical power consumption of simulated modified heat pump and manufacturer data</w:t>
      </w:r>
    </w:p>
    <w:p w14:paraId="593DFB48" w14:textId="63F23BE5" w:rsidR="008063D4" w:rsidRPr="00D43827" w:rsidRDefault="008063D4" w:rsidP="004C2FE0">
      <w:pPr>
        <w:pStyle w:val="SWCHeading11"/>
        <w:numPr>
          <w:ilvl w:val="1"/>
          <w:numId w:val="11"/>
        </w:numPr>
      </w:pPr>
      <w:r>
        <w:t>TES system control strategy</w:t>
      </w:r>
    </w:p>
    <w:p w14:paraId="30F4E7F5" w14:textId="7AEC42C6" w:rsidR="001F47C7" w:rsidRDefault="00CE42BF" w:rsidP="00CE42BF">
      <w:pPr>
        <w:pStyle w:val="SWCText"/>
      </w:pPr>
      <w:r w:rsidRPr="00D63301">
        <w:t>The control strategy prioritizes charging the TES</w:t>
      </w:r>
      <w:r>
        <w:t xml:space="preserve"> system</w:t>
      </w:r>
      <w:r w:rsidRPr="00D63301">
        <w:t xml:space="preserve"> during hours with the lowest electricity price, ensuring it is fully charged </w:t>
      </w:r>
      <w:r w:rsidR="007C5E05">
        <w:t>each 24 hour period</w:t>
      </w:r>
      <w:r w:rsidRPr="00D63301">
        <w:t xml:space="preserve">. </w:t>
      </w:r>
      <w:r w:rsidR="001F47C7">
        <w:t>If PV generation presents excess electricity, that hour is considered in the strategy as having a price of 0</w:t>
      </w:r>
      <w:r w:rsidR="00FD29FD">
        <w:t xml:space="preserve"> </w:t>
      </w:r>
      <w:r w:rsidR="001F47C7">
        <w:t>€/kWh</w:t>
      </w:r>
      <w:r w:rsidR="00FA2419">
        <w:t>. This promotes self-sustainability by using more of the generated PV electricity via storing it as heat in the TES system.</w:t>
      </w:r>
    </w:p>
    <w:p w14:paraId="7F0FA792" w14:textId="4BA507CF" w:rsidR="00CE42BF" w:rsidRDefault="00CE42BF" w:rsidP="00CE42BF">
      <w:pPr>
        <w:pStyle w:val="SWCText"/>
      </w:pPr>
      <w:r>
        <w:t>The strategy defines three operating modes: charge, discharge and compensation.</w:t>
      </w:r>
      <w:r w:rsidR="008E2B87">
        <w:t xml:space="preserve"> </w:t>
      </w:r>
      <w:r>
        <w:t>The naming</w:t>
      </w:r>
      <w:r w:rsidR="008E2B87">
        <w:t xml:space="preserve"> of the operating modes</w:t>
      </w:r>
      <w:r>
        <w:t xml:space="preserve"> indicates if during that hour, the TES system temperature is expected to rise (Charging), decrease (Discharging) or stay constant by the end of the hour (Compensation).</w:t>
      </w:r>
    </w:p>
    <w:p w14:paraId="169C813B" w14:textId="77777777" w:rsidR="00CE42BF" w:rsidRDefault="00CE42BF" w:rsidP="00CE42BF">
      <w:pPr>
        <w:pStyle w:val="SWCText"/>
      </w:pPr>
      <w:r>
        <w:lastRenderedPageBreak/>
        <w:t>The algorithm ranks the twenty four hours of each day by electricity price in ascending order, assigning a price of zero euros to hours when PV generation exceeds on-site consumption. It then selects as many hours for charging as required to raise the TES system state of charge from empty to full. The algorithm includes heat pump capacity as a function of outdoor temperature to determine achievable charging rates. Charging hours therefore occur during PV surplus periods and, when PV is insufficient, during low-price night hours.</w:t>
      </w:r>
    </w:p>
    <w:p w14:paraId="0D166B36" w14:textId="1529609A" w:rsidR="00CE42BF" w:rsidRDefault="00CE42BF" w:rsidP="00CE42BF">
      <w:pPr>
        <w:pStyle w:val="SWCText"/>
      </w:pPr>
      <w:r>
        <w:t xml:space="preserve">Knowing the TES system nominal capacity in kilowatt hours and the hourly thermal demand, the algorithm next selects discharging hours from highest to lowest electricity price until the </w:t>
      </w:r>
      <w:r w:rsidR="008E2B87">
        <w:t xml:space="preserve">all the </w:t>
      </w:r>
      <w:r>
        <w:t>thermal energy</w:t>
      </w:r>
      <w:r w:rsidR="008E2B87">
        <w:t xml:space="preserve"> of the TES system</w:t>
      </w:r>
      <w:r>
        <w:t xml:space="preserve"> is allocated. During discharging hours the TES </w:t>
      </w:r>
      <w:r w:rsidR="008341B0">
        <w:t xml:space="preserve">system </w:t>
      </w:r>
      <w:r>
        <w:t>outlet temperature decreases as energy is withdrawn.</w:t>
      </w:r>
    </w:p>
    <w:p w14:paraId="1AA94CF1" w14:textId="71D02354" w:rsidR="008E2B87" w:rsidRDefault="00CE42BF" w:rsidP="00CE42BF">
      <w:pPr>
        <w:pStyle w:val="SWCText"/>
      </w:pPr>
      <w:r>
        <w:t xml:space="preserve">The remaining mode is charge compensation. In compensation mode the heat pump supplies the same thermal energy to the TES system that the TES system has just discharged to meet demand in that hour, keeping the TES temperature effectively constant so stored heat can be reserved for </w:t>
      </w:r>
      <w:r w:rsidR="008E2B87">
        <w:t>future</w:t>
      </w:r>
      <w:r>
        <w:t>, more expensive hours.</w:t>
      </w:r>
    </w:p>
    <w:p w14:paraId="2F145B01" w14:textId="0753B5EC" w:rsidR="00CE42BF" w:rsidRDefault="00CE42BF" w:rsidP="00CE42BF">
      <w:pPr>
        <w:pStyle w:val="SWCText"/>
      </w:pPr>
      <w:r>
        <w:t xml:space="preserve">The control strategy was implemented in MATLAB using demand and PV production time series derived from a simulation without </w:t>
      </w:r>
      <w:r w:rsidR="00BF059E">
        <w:t xml:space="preserve">the </w:t>
      </w:r>
      <w:r>
        <w:t>TES</w:t>
      </w:r>
      <w:r w:rsidRPr="00821191">
        <w:t xml:space="preserve"> </w:t>
      </w:r>
      <w:r>
        <w:t>system. This creates a year</w:t>
      </w:r>
      <w:r w:rsidR="008E2B87">
        <w:t xml:space="preserve"> </w:t>
      </w:r>
      <w:r>
        <w:t xml:space="preserve">long predictive schedule that was exported to EnergyPlus as hourly control schedules. In addition, a minimum temperature safeguard was implemented in the simulation that forces charging when TES system temperature falls below </w:t>
      </w:r>
      <w:r w:rsidR="00BF059E">
        <w:t xml:space="preserve">the 60° C setpoint </w:t>
      </w:r>
      <w:r>
        <w:t xml:space="preserve">to maintain </w:t>
      </w:r>
      <w:r w:rsidR="00BF059E">
        <w:t xml:space="preserve">adequate </w:t>
      </w:r>
      <w:r>
        <w:t>operating conditions.</w:t>
      </w:r>
    </w:p>
    <w:p w14:paraId="6DC9E041" w14:textId="3176D043" w:rsidR="00CE42BF" w:rsidRPr="00CE42BF" w:rsidRDefault="00CE42BF" w:rsidP="00DA3503">
      <w:pPr>
        <w:pStyle w:val="SWCText"/>
      </w:pPr>
      <w:r>
        <w:t>Overall, the logic charges the TES system during low-price hours, with PV surplus hours treated as the lowest cost, and discharges during the highest-price hours. This load-shifting reduces grid electricity imports by increasing PV self-consumption and improves economic performance by avoiding purchasing high-cost electricity during the more expensive hours of the day.</w:t>
      </w:r>
    </w:p>
    <w:p w14:paraId="1BEF58D5" w14:textId="5A7DCFCA" w:rsidR="008063D4" w:rsidRPr="00D43827" w:rsidRDefault="008063D4" w:rsidP="004C2FE0">
      <w:pPr>
        <w:pStyle w:val="SWCHeading11"/>
        <w:numPr>
          <w:ilvl w:val="1"/>
          <w:numId w:val="11"/>
        </w:numPr>
      </w:pPr>
      <w:r>
        <w:t xml:space="preserve">Results </w:t>
      </w:r>
      <w:r w:rsidR="00CA728D">
        <w:t>calculations</w:t>
      </w:r>
      <w:r>
        <w:t xml:space="preserve">: Energy and economic </w:t>
      </w:r>
      <w:r w:rsidR="00B50346">
        <w:t>results</w:t>
      </w:r>
      <w:r>
        <w:t>.</w:t>
      </w:r>
    </w:p>
    <w:p w14:paraId="522C8C5F" w14:textId="1674B61E" w:rsidR="0061794F" w:rsidRDefault="00B50346" w:rsidP="00D63301">
      <w:pPr>
        <w:pStyle w:val="SWCText"/>
      </w:pPr>
      <w:r>
        <w:t>The grid electricity import reduction</w:t>
      </w:r>
      <w:r w:rsidR="0061794F">
        <w:t xml:space="preserve"> </w:t>
      </w:r>
      <w:r>
        <w:t xml:space="preserve">is </w:t>
      </w:r>
      <w:r w:rsidR="00B8063C">
        <w:t>calculated</w:t>
      </w:r>
      <w:r w:rsidR="0061794F">
        <w:t xml:space="preserve"> as </w:t>
      </w:r>
      <w:r>
        <w:t xml:space="preserve">the </w:t>
      </w:r>
      <w:r w:rsidR="0061794F">
        <w:t xml:space="preserve">reduction in electricity drawn from the grid. The baseline (0 </w:t>
      </w:r>
      <w:r w:rsidR="00FD29FD">
        <w:t>MWh</w:t>
      </w:r>
      <w:r w:rsidR="0061794F">
        <w:t>·year</w:t>
      </w:r>
      <w:r w:rsidR="0061794F" w:rsidRPr="0061794F">
        <w:rPr>
          <w:vertAlign w:val="superscript"/>
        </w:rPr>
        <w:t>−1</w:t>
      </w:r>
      <w:r w:rsidR="0061794F">
        <w:t xml:space="preserve"> savings) is the grid consumption for the smallest TES</w:t>
      </w:r>
      <w:r w:rsidR="00821191">
        <w:t xml:space="preserve"> system</w:t>
      </w:r>
      <w:r w:rsidR="0061794F">
        <w:t xml:space="preserve"> volume and temperature (0.2 m3 at 70 °C). For each parametric case, hourly grid consumption was calculated where </w:t>
      </w:r>
      <w:r w:rsidR="00570C7B">
        <w:t>grid electricity import reduction</w:t>
      </w:r>
      <w:r w:rsidR="0061794F">
        <w:t xml:space="preserve"> equals the difference between the </w:t>
      </w:r>
      <w:r w:rsidR="008E10D5">
        <w:t xml:space="preserve">baseline </w:t>
      </w:r>
      <w:r w:rsidR="0061794F">
        <w:t xml:space="preserve">grid consumption and the grid consumption for that case. The </w:t>
      </w:r>
      <w:r w:rsidR="00570C7B">
        <w:t>grid electricity import reduction</w:t>
      </w:r>
      <w:r w:rsidR="0061794F">
        <w:t xml:space="preserve"> in this study represent</w:t>
      </w:r>
      <w:r w:rsidR="00337C68">
        <w:t>s</w:t>
      </w:r>
      <w:r w:rsidR="0061794F">
        <w:t xml:space="preserve"> the additional PV self-consumption achieved by storing surplus PV as heat.</w:t>
      </w:r>
    </w:p>
    <w:p w14:paraId="2380C766" w14:textId="723F1D69" w:rsidR="006B1358" w:rsidRDefault="006B1358" w:rsidP="00D63301">
      <w:pPr>
        <w:pStyle w:val="SWCText"/>
      </w:pPr>
      <w:r>
        <w:t xml:space="preserve">Economic savings are computed in two components. First, the reduced purchase cost: hourly grid consumption multiplied by the hourly electricity purchase price, summed for the year. Second, the compensation for exported PV: a compensation allocated as a reduction in the monthly electricity bill for injected PV energy, using market compensation rates applicable to small consumers from the Spanish market </w:t>
      </w:r>
      <w:sdt>
        <w:sdtPr>
          <w:rPr>
            <w:color w:val="auto"/>
          </w:rPr>
          <w:tag w:val="MENDELEY_CITATION_v3_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"/>
          <w:id w:val="-1766145279"/>
          <w:placeholder>
            <w:docPart w:val="241A9B67E54D43D6B9845E3364C3F57F"/>
          </w:placeholder>
        </w:sdtPr>
        <w:sdtEndPr/>
        <w:sdtContent>
          <w:r w:rsidRPr="00626FC8">
            <w:rPr>
              <w:color w:val="auto"/>
            </w:rPr>
            <w:t>(“Análisis | ESIOS electricidad · datos · transparencia,” n.d.)</w:t>
          </w:r>
        </w:sdtContent>
      </w:sdt>
      <w:r>
        <w:t>. Therefore the total annual economic savings equal the purchase cost minus the annual compensation credited for exported PV. This intrinsically gives value to excess energy, where the energy saving results do not give energy value to electricity injection onto the grid.</w:t>
      </w:r>
    </w:p>
    <w:p w14:paraId="4D211B7C" w14:textId="2C50B87F" w:rsidR="006B1358" w:rsidRDefault="006B1358" w:rsidP="00D63301">
      <w:pPr>
        <w:pStyle w:val="SWCText"/>
      </w:pPr>
      <w:r>
        <w:t>TES</w:t>
      </w:r>
      <w:r w:rsidR="00821191">
        <w:t xml:space="preserve"> system</w:t>
      </w:r>
      <w:r>
        <w:t xml:space="preserve"> investment cost for the simple payback analysis was obtained from the CYPE construction price generator </w:t>
      </w:r>
      <w:sdt>
        <w:sdtPr>
          <w:tag w:val="MENDELEY_CITATION_v3_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"/>
          <w:id w:val="-1547435779"/>
          <w:placeholder>
            <w:docPart w:val="B271420BD225433F9CB054E8287AD76F"/>
          </w:placeholder>
        </w:sdtPr>
        <w:sdtEndPr/>
        <w:sdtContent>
          <w:r w:rsidRPr="000C28B6">
            <w:t>(“Generador de precios de la construcción. CYPE Ingenieros” n.d.)</w:t>
          </w:r>
        </w:sdtContent>
      </w:sdt>
      <w:r>
        <w:t>. Simple payback was calculated as TES system cost</w:t>
      </w:r>
      <w:r w:rsidR="00E96729">
        <w:t xml:space="preserve"> minus the </w:t>
      </w:r>
      <w:r w:rsidR="008E10D5">
        <w:t xml:space="preserve">baseline </w:t>
      </w:r>
      <w:r w:rsidR="0082657F">
        <w:t>case (</w:t>
      </w:r>
      <w:r w:rsidR="00E96729">
        <w:t>0.2 m</w:t>
      </w:r>
      <w:r w:rsidR="00E96729">
        <w:rPr>
          <w:vertAlign w:val="superscript"/>
        </w:rPr>
        <w:t>3</w:t>
      </w:r>
      <w:r w:rsidR="0082657F">
        <w:t xml:space="preserve">) </w:t>
      </w:r>
      <w:r w:rsidR="00E96729">
        <w:t>cost</w:t>
      </w:r>
      <w:r>
        <w:t xml:space="preserve"> divided by first</w:t>
      </w:r>
      <w:r>
        <w:noBreakHyphen/>
        <w:t>year total economic savings for the best-performing case at each volume. This yields an approximate number of years until capital is recovered</w:t>
      </w:r>
      <w:r w:rsidR="00304BF2">
        <w:t xml:space="preserve"> if at least some TES system were to be installed</w:t>
      </w:r>
      <w:r w:rsidR="00A04C97">
        <w:t>,</w:t>
      </w:r>
      <w:r>
        <w:t xml:space="preserve"> and is sufficient </w:t>
      </w:r>
      <w:r w:rsidR="00A04C97">
        <w:t xml:space="preserve">as a metric </w:t>
      </w:r>
      <w:r>
        <w:t xml:space="preserve">for the parametric comparison of compensation price </w:t>
      </w:r>
      <w:r w:rsidR="00A04C97">
        <w:t>for this study.</w:t>
      </w:r>
    </w:p>
    <w:p w14:paraId="3D83E22A" w14:textId="1FA7B7EC" w:rsidR="003E1E1C" w:rsidRPr="006309AA" w:rsidRDefault="00DA2F8E" w:rsidP="00490F10">
      <w:pPr>
        <w:pStyle w:val="SWCHeading1"/>
      </w:pPr>
      <w:r>
        <w:t>Result</w:t>
      </w:r>
      <w:r w:rsidR="00562F6F">
        <w:t>s</w:t>
      </w:r>
    </w:p>
    <w:p w14:paraId="07882D6B" w14:textId="6E4CD252" w:rsidR="00D32EF0" w:rsidRDefault="00570C7B" w:rsidP="00E97342">
      <w:pPr>
        <w:pStyle w:val="SWCHeading11"/>
        <w:numPr>
          <w:ilvl w:val="1"/>
          <w:numId w:val="11"/>
        </w:numPr>
      </w:pPr>
      <w:r>
        <w:t xml:space="preserve">Grid </w:t>
      </w:r>
      <w:bookmarkStart w:id="3" w:name="_GoBack"/>
      <w:bookmarkEnd w:id="3"/>
      <w:r>
        <w:t>electricity import reduction</w:t>
      </w:r>
      <w:r w:rsidR="00DA2F8E">
        <w:t>, effects of temperature and size</w:t>
      </w:r>
    </w:p>
    <w:p w14:paraId="0302C152" w14:textId="3A440AA9" w:rsidR="00F5363D" w:rsidRDefault="00F04CB4" w:rsidP="00F04CB4">
      <w:pPr>
        <w:pStyle w:val="SWCText"/>
      </w:pPr>
      <w:r w:rsidRPr="00F04CB4">
        <w:t>The</w:t>
      </w:r>
      <w:r w:rsidR="00821191">
        <w:t xml:space="preserve"> first set of</w:t>
      </w:r>
      <w:r w:rsidRPr="00F04CB4">
        <w:t xml:space="preserve"> results focus</w:t>
      </w:r>
      <w:r w:rsidR="00821191">
        <w:t>es</w:t>
      </w:r>
      <w:r w:rsidRPr="00F04CB4">
        <w:t xml:space="preserve"> on the annual </w:t>
      </w:r>
      <w:r w:rsidR="00570C7B">
        <w:t>grid electricity import reduction</w:t>
      </w:r>
      <w:r w:rsidRPr="00F04CB4">
        <w:t xml:space="preserve"> of TES </w:t>
      </w:r>
      <w:r w:rsidR="00821191">
        <w:t xml:space="preserve">system </w:t>
      </w:r>
      <w:r w:rsidRPr="00F04CB4">
        <w:t xml:space="preserve">implementation as a function of storage volume and maximum storage temperature. </w:t>
      </w:r>
      <w:r>
        <w:fldChar w:fldCharType="begin"/>
      </w:r>
      <w:r>
        <w:instrText xml:space="preserve"> REF _Ref231308426 \h </w:instrText>
      </w:r>
      <w:r>
        <w:fldChar w:fldCharType="separate"/>
      </w:r>
      <w:r w:rsidR="002337D2" w:rsidRPr="00404B4D">
        <w:t xml:space="preserve">Tab. </w:t>
      </w:r>
      <w:r w:rsidR="002337D2">
        <w:rPr>
          <w:noProof/>
        </w:rPr>
        <w:t>1</w:t>
      </w:r>
      <w:r>
        <w:fldChar w:fldCharType="end"/>
      </w:r>
      <w:r>
        <w:t xml:space="preserve"> presents savings (</w:t>
      </w:r>
      <w:r w:rsidR="00FD29FD">
        <w:t>MWh</w:t>
      </w:r>
      <w:r w:rsidRPr="00F04CB4">
        <w:t>·year-1) for each simulated combination, color-coded by performance and highlighting the top 10%.</w:t>
      </w:r>
      <w:r>
        <w:t xml:space="preserve">Three main trends from energy saving results are observed. </w:t>
      </w:r>
    </w:p>
    <w:p w14:paraId="5C255CEB" w14:textId="6FE36E13" w:rsidR="00F04CB4" w:rsidRDefault="00F04CB4" w:rsidP="00F04CB4">
      <w:pPr>
        <w:pStyle w:val="SWCText"/>
      </w:pPr>
      <w:r>
        <w:t>First, volumes below 1m</w:t>
      </w:r>
      <w:r>
        <w:rPr>
          <w:vertAlign w:val="superscript"/>
        </w:rPr>
        <w:t>3</w:t>
      </w:r>
      <w:r>
        <w:t xml:space="preserve"> result in net grid energy losses, as minor storage capacity fails to offset the COP </w:t>
      </w:r>
      <w:r>
        <w:lastRenderedPageBreak/>
        <w:t>reduction associated with higher operating temperatures.</w:t>
      </w:r>
    </w:p>
    <w:p w14:paraId="206A957D" w14:textId="070F98CE" w:rsidR="00F04CB4" w:rsidRDefault="00F04CB4" w:rsidP="00F04CB4">
      <w:pPr>
        <w:pStyle w:val="SWCText"/>
      </w:pPr>
      <w:r>
        <w:t xml:space="preserve">Second, maximum savings occur at lower temperatures for larger volumes, </w:t>
      </w:r>
      <w:r w:rsidR="002B16B6">
        <w:t xml:space="preserve">with </w:t>
      </w:r>
      <w:r w:rsidR="002E78EF">
        <w:t>no particular constant capacity showing maximum savings. This indicates that the best TES system design for a particular case study depends on the specific volume–temperature combination.</w:t>
      </w:r>
    </w:p>
    <w:p w14:paraId="7B513ACF" w14:textId="62829419" w:rsidR="00F04CB4" w:rsidRPr="00F04CB4" w:rsidRDefault="00F04CB4" w:rsidP="00362B8A">
      <w:pPr>
        <w:pStyle w:val="SWCText"/>
      </w:pPr>
      <w:r>
        <w:t>Third, undersizing is penalize</w:t>
      </w:r>
      <w:r w:rsidR="00563FF5">
        <w:t>d</w:t>
      </w:r>
      <w:r>
        <w:t xml:space="preserve">, but oversizing shows almost no effect. Undersized TES </w:t>
      </w:r>
      <w:r w:rsidR="00821191">
        <w:t xml:space="preserve">system </w:t>
      </w:r>
      <w:r>
        <w:t xml:space="preserve">configurations deplete before the end of the day and require morning recharging during high-price hours. </w:t>
      </w:r>
      <w:r w:rsidRPr="00866284">
        <w:t xml:space="preserve">In </w:t>
      </w:r>
      <w:r>
        <w:fldChar w:fldCharType="begin"/>
      </w:r>
      <w:r>
        <w:instrText xml:space="preserve"> REF _Ref231308426 \h </w:instrText>
      </w:r>
      <w:r>
        <w:fldChar w:fldCharType="separate"/>
      </w:r>
      <w:r w:rsidR="002337D2" w:rsidRPr="00404B4D">
        <w:t xml:space="preserve">Tab. </w:t>
      </w:r>
      <w:r w:rsidR="002337D2">
        <w:rPr>
          <w:noProof/>
        </w:rPr>
        <w:t>1</w:t>
      </w:r>
      <w:r>
        <w:fldChar w:fldCharType="end"/>
      </w:r>
      <w:r w:rsidRPr="00866284">
        <w:t>, this appears as a sharp decrease in savings when moving from optimal combinations to smaller volumes or lower temperatures</w:t>
      </w:r>
      <w:r>
        <w:t>. Note that this effect is specific to the herein-used series configurations, where the heat pump cannot bypass the TES</w:t>
      </w:r>
      <w:r w:rsidR="00821191" w:rsidRPr="00821191">
        <w:t xml:space="preserve"> </w:t>
      </w:r>
      <w:r w:rsidR="00821191">
        <w:t>system</w:t>
      </w:r>
      <w:r>
        <w:t>. However, once optimal volume for that temperature (or viceversa) is reached,</w:t>
      </w:r>
      <w:r w:rsidR="004E62A2">
        <w:t xml:space="preserve"> </w:t>
      </w:r>
      <w:r w:rsidR="00570C7B">
        <w:t>grid electricity import reduction</w:t>
      </w:r>
      <w:r w:rsidR="004E62A2">
        <w:t xml:space="preserve"> plateau</w:t>
      </w:r>
      <w:r w:rsidR="00337C68">
        <w:t>s</w:t>
      </w:r>
      <w:r w:rsidR="004E62A2">
        <w:t xml:space="preserve"> and</w:t>
      </w:r>
      <w:r>
        <w:t xml:space="preserve"> higher capacities </w:t>
      </w:r>
      <w:r w:rsidR="00821191">
        <w:t>do not</w:t>
      </w:r>
      <w:r>
        <w:t xml:space="preserve"> show </w:t>
      </w:r>
      <w:r w:rsidR="00563FF5">
        <w:t xml:space="preserve">significant </w:t>
      </w:r>
      <w:r>
        <w:t>decreases. Only at 80</w:t>
      </w:r>
      <w:r w:rsidR="00073D27">
        <w:t>°</w:t>
      </w:r>
      <w:r>
        <w:t>C maximum temperature, where the thermal losses on the tank’s surface is higher, do</w:t>
      </w:r>
      <w:r w:rsidR="00337C68">
        <w:t>es</w:t>
      </w:r>
      <w:r>
        <w:t xml:space="preserve"> the </w:t>
      </w:r>
      <w:r w:rsidR="00570C7B">
        <w:t>grid electricity import reduction</w:t>
      </w:r>
      <w:r>
        <w:t xml:space="preserve"> decrease after the optimal at volumes 4-6m3.</w:t>
      </w:r>
    </w:p>
    <w:p w14:paraId="0D40CD1B" w14:textId="35F2041C" w:rsidR="003B400E" w:rsidRDefault="003B400E" w:rsidP="003B400E">
      <w:pPr>
        <w:pStyle w:val="SWCTableFigureCaption"/>
      </w:pPr>
      <w:r w:rsidRPr="00F04CB4">
        <w:tab/>
      </w:r>
      <w:r w:rsidRPr="00F04CB4">
        <w:tab/>
      </w:r>
      <w:r w:rsidRPr="00F04CB4">
        <w:tab/>
      </w:r>
      <w:bookmarkStart w:id="4" w:name="_Ref231308426"/>
      <w:r w:rsidRPr="00404B4D">
        <w:t xml:space="preserve">Tab. </w:t>
      </w:r>
      <w:r>
        <w:fldChar w:fldCharType="begin"/>
      </w:r>
      <w:r w:rsidRPr="00404B4D">
        <w:instrText xml:space="preserve"> SEQ Tab. \* ARABIC </w:instrText>
      </w:r>
      <w:r>
        <w:fldChar w:fldCharType="separate"/>
      </w:r>
      <w:r w:rsidR="002337D2">
        <w:rPr>
          <w:noProof/>
        </w:rPr>
        <w:t>1</w:t>
      </w:r>
      <w:r>
        <w:fldChar w:fldCharType="end"/>
      </w:r>
      <w:bookmarkEnd w:id="4"/>
      <w:r w:rsidRPr="003B400E">
        <w:t xml:space="preserve"> </w:t>
      </w:r>
      <w:r w:rsidR="00570C7B">
        <w:t>Grid electricity import reduction</w:t>
      </w:r>
      <w:r>
        <w:t xml:space="preserve"> (</w:t>
      </w:r>
      <w:r w:rsidR="001659D7">
        <w:t>MWh</w:t>
      </w:r>
      <w:r>
        <w:t>·year</w:t>
      </w:r>
      <w:r>
        <w:rPr>
          <w:vertAlign w:val="superscript"/>
        </w:rPr>
        <w:t>-1</w:t>
      </w:r>
      <w:r>
        <w:t xml:space="preserve">) </w:t>
      </w:r>
      <w:r w:rsidRPr="009747B4">
        <w:t xml:space="preserve">results from the </w:t>
      </w:r>
      <w:r w:rsidRPr="00BB4D6B">
        <w:t>parametric</w:t>
      </w:r>
      <w:r w:rsidRPr="009747B4">
        <w:t xml:space="preserve"> analysis</w:t>
      </w:r>
    </w:p>
    <w:tbl>
      <w:tblPr>
        <w:tblW w:w="0" w:type="auto"/>
        <w:jc w:val="center"/>
        <w:tblLayout w:type="fixed"/>
        <w:tblCellMar>
          <w:left w:w="70" w:type="dxa"/>
          <w:right w:w="70" w:type="dxa"/>
        </w:tblCellMar>
        <w:tblLook w:val="04A0" w:firstRow="1" w:lastRow="0" w:firstColumn="1" w:lastColumn="0" w:noHBand="0" w:noVBand="1"/>
      </w:tblPr>
      <w:tblGrid>
        <w:gridCol w:w="850"/>
        <w:gridCol w:w="850"/>
        <w:gridCol w:w="850"/>
        <w:gridCol w:w="850"/>
        <w:gridCol w:w="850"/>
        <w:gridCol w:w="850"/>
        <w:gridCol w:w="854"/>
      </w:tblGrid>
      <w:tr w:rsidR="006622DF" w:rsidRPr="006622DF" w14:paraId="1695D6F6" w14:textId="77777777" w:rsidTr="006622DF">
        <w:trPr>
          <w:trHeight w:val="164"/>
          <w:jc w:val="center"/>
        </w:trPr>
        <w:tc>
          <w:tcPr>
            <w:tcW w:w="850" w:type="dxa"/>
            <w:tcBorders>
              <w:top w:val="nil"/>
              <w:left w:val="nil"/>
              <w:bottom w:val="nil"/>
              <w:right w:val="nil"/>
            </w:tcBorders>
            <w:noWrap/>
            <w:vAlign w:val="bottom"/>
          </w:tcPr>
          <w:p w14:paraId="4AD54306" w14:textId="77777777" w:rsidR="006622DF" w:rsidRPr="006622DF" w:rsidRDefault="006622DF" w:rsidP="006622DF">
            <w:pPr>
              <w:jc w:val="right"/>
              <w:rPr>
                <w:color w:val="000000"/>
                <w:sz w:val="20"/>
                <w:szCs w:val="20"/>
              </w:rPr>
            </w:pPr>
          </w:p>
        </w:tc>
        <w:tc>
          <w:tcPr>
            <w:tcW w:w="5104" w:type="dxa"/>
            <w:gridSpan w:val="6"/>
            <w:tcBorders>
              <w:top w:val="nil"/>
              <w:left w:val="nil"/>
              <w:bottom w:val="nil"/>
              <w:right w:val="nil"/>
            </w:tcBorders>
            <w:noWrap/>
            <w:vAlign w:val="bottom"/>
          </w:tcPr>
          <w:p w14:paraId="727920AF" w14:textId="79573E0E" w:rsidR="006622DF" w:rsidRPr="006622DF" w:rsidRDefault="006622DF" w:rsidP="000A2D64">
            <w:pPr>
              <w:jc w:val="center"/>
              <w:rPr>
                <w:color w:val="000000"/>
                <w:sz w:val="20"/>
                <w:szCs w:val="20"/>
              </w:rPr>
            </w:pPr>
            <w:r w:rsidRPr="00BB4D6B">
              <w:rPr>
                <w:color w:val="000000"/>
                <w:sz w:val="20"/>
                <w:szCs w:val="20"/>
              </w:rPr>
              <w:t>Max</w:t>
            </w:r>
            <w:r w:rsidR="006F0CD1">
              <w:rPr>
                <w:color w:val="000000"/>
                <w:sz w:val="20"/>
                <w:szCs w:val="20"/>
              </w:rPr>
              <w:t>imum</w:t>
            </w:r>
            <w:r w:rsidRPr="00BB4D6B">
              <w:rPr>
                <w:color w:val="000000"/>
                <w:sz w:val="20"/>
                <w:szCs w:val="20"/>
              </w:rPr>
              <w:t xml:space="preserve"> storage Temperature (</w:t>
            </w:r>
            <w:r w:rsidR="000A2D64">
              <w:rPr>
                <w:color w:val="000000"/>
                <w:sz w:val="20"/>
                <w:szCs w:val="20"/>
                <w:vertAlign w:val="superscript"/>
              </w:rPr>
              <w:t>°</w:t>
            </w:r>
            <w:r w:rsidRPr="00BB4D6B">
              <w:rPr>
                <w:color w:val="000000"/>
                <w:sz w:val="20"/>
                <w:szCs w:val="20"/>
              </w:rPr>
              <w:t>C)</w:t>
            </w:r>
          </w:p>
        </w:tc>
      </w:tr>
      <w:tr w:rsidR="006622DF" w:rsidRPr="006622DF" w14:paraId="5F451CE8" w14:textId="77777777" w:rsidTr="003B400E">
        <w:trPr>
          <w:trHeight w:val="164"/>
          <w:jc w:val="center"/>
        </w:trPr>
        <w:tc>
          <w:tcPr>
            <w:tcW w:w="850" w:type="dxa"/>
            <w:tcBorders>
              <w:top w:val="nil"/>
              <w:left w:val="nil"/>
              <w:bottom w:val="nil"/>
              <w:right w:val="nil"/>
            </w:tcBorders>
            <w:noWrap/>
            <w:vAlign w:val="bottom"/>
            <w:hideMark/>
          </w:tcPr>
          <w:p w14:paraId="0A89FC26" w14:textId="22F493C0" w:rsidR="00214939" w:rsidRDefault="00E2677B" w:rsidP="00850277">
            <w:pPr>
              <w:jc w:val="right"/>
              <w:rPr>
                <w:color w:val="000000"/>
                <w:sz w:val="20"/>
                <w:szCs w:val="20"/>
              </w:rPr>
            </w:pPr>
            <w:r>
              <w:rPr>
                <w:color w:val="000000"/>
                <w:sz w:val="20"/>
                <w:szCs w:val="20"/>
              </w:rPr>
              <w:t>TES</w:t>
            </w:r>
          </w:p>
          <w:p w14:paraId="654679C3" w14:textId="78DCDFF6" w:rsidR="006622DF" w:rsidRPr="006622DF" w:rsidRDefault="00214939" w:rsidP="00850277">
            <w:pPr>
              <w:jc w:val="right"/>
              <w:rPr>
                <w:color w:val="000000"/>
                <w:sz w:val="20"/>
                <w:szCs w:val="20"/>
                <w:lang w:val="es-ES" w:eastAsia="es-ES"/>
              </w:rPr>
            </w:pPr>
            <w:r>
              <w:rPr>
                <w:color w:val="000000"/>
                <w:sz w:val="20"/>
                <w:szCs w:val="20"/>
              </w:rPr>
              <w:t>system</w:t>
            </w:r>
            <w:r w:rsidR="00E2677B">
              <w:rPr>
                <w:color w:val="000000"/>
                <w:sz w:val="20"/>
                <w:szCs w:val="20"/>
              </w:rPr>
              <w:t xml:space="preserve"> volume</w:t>
            </w:r>
            <w:r w:rsidR="006622DF" w:rsidRPr="00BB4D6B">
              <w:rPr>
                <w:color w:val="000000"/>
                <w:sz w:val="20"/>
                <w:szCs w:val="20"/>
              </w:rPr>
              <w:t xml:space="preserve"> (m3)</w:t>
            </w:r>
          </w:p>
        </w:tc>
        <w:tc>
          <w:tcPr>
            <w:tcW w:w="850" w:type="dxa"/>
            <w:tcBorders>
              <w:top w:val="nil"/>
              <w:left w:val="nil"/>
              <w:bottom w:val="nil"/>
              <w:right w:val="nil"/>
            </w:tcBorders>
            <w:noWrap/>
            <w:vAlign w:val="bottom"/>
            <w:hideMark/>
          </w:tcPr>
          <w:p w14:paraId="5BBA213A" w14:textId="77777777" w:rsidR="006622DF" w:rsidRPr="006622DF" w:rsidRDefault="006622DF" w:rsidP="006622DF">
            <w:pPr>
              <w:jc w:val="right"/>
              <w:rPr>
                <w:color w:val="000000"/>
                <w:sz w:val="20"/>
                <w:szCs w:val="20"/>
              </w:rPr>
            </w:pPr>
            <w:r w:rsidRPr="006622DF">
              <w:rPr>
                <w:color w:val="000000"/>
                <w:sz w:val="20"/>
                <w:szCs w:val="20"/>
              </w:rPr>
              <w:t>70</w:t>
            </w:r>
          </w:p>
        </w:tc>
        <w:tc>
          <w:tcPr>
            <w:tcW w:w="850" w:type="dxa"/>
            <w:tcBorders>
              <w:top w:val="nil"/>
              <w:left w:val="nil"/>
              <w:bottom w:val="nil"/>
              <w:right w:val="nil"/>
            </w:tcBorders>
            <w:noWrap/>
            <w:vAlign w:val="bottom"/>
            <w:hideMark/>
          </w:tcPr>
          <w:p w14:paraId="0E99A3C9" w14:textId="77777777" w:rsidR="006622DF" w:rsidRPr="006622DF" w:rsidRDefault="006622DF" w:rsidP="006622DF">
            <w:pPr>
              <w:jc w:val="right"/>
              <w:rPr>
                <w:color w:val="000000"/>
                <w:sz w:val="20"/>
                <w:szCs w:val="20"/>
              </w:rPr>
            </w:pPr>
            <w:r w:rsidRPr="006622DF">
              <w:rPr>
                <w:color w:val="000000"/>
                <w:sz w:val="20"/>
                <w:szCs w:val="20"/>
              </w:rPr>
              <w:t>72</w:t>
            </w:r>
          </w:p>
        </w:tc>
        <w:tc>
          <w:tcPr>
            <w:tcW w:w="850" w:type="dxa"/>
            <w:tcBorders>
              <w:top w:val="nil"/>
              <w:left w:val="nil"/>
              <w:bottom w:val="nil"/>
              <w:right w:val="nil"/>
            </w:tcBorders>
            <w:noWrap/>
            <w:vAlign w:val="bottom"/>
            <w:hideMark/>
          </w:tcPr>
          <w:p w14:paraId="372D1735" w14:textId="77777777" w:rsidR="006622DF" w:rsidRPr="006622DF" w:rsidRDefault="006622DF" w:rsidP="006622DF">
            <w:pPr>
              <w:jc w:val="right"/>
              <w:rPr>
                <w:color w:val="000000"/>
                <w:sz w:val="20"/>
                <w:szCs w:val="20"/>
              </w:rPr>
            </w:pPr>
            <w:r w:rsidRPr="006622DF">
              <w:rPr>
                <w:color w:val="000000"/>
                <w:sz w:val="20"/>
                <w:szCs w:val="20"/>
              </w:rPr>
              <w:t>74</w:t>
            </w:r>
          </w:p>
        </w:tc>
        <w:tc>
          <w:tcPr>
            <w:tcW w:w="850" w:type="dxa"/>
            <w:tcBorders>
              <w:top w:val="nil"/>
              <w:left w:val="nil"/>
              <w:bottom w:val="nil"/>
              <w:right w:val="nil"/>
            </w:tcBorders>
            <w:noWrap/>
            <w:vAlign w:val="bottom"/>
            <w:hideMark/>
          </w:tcPr>
          <w:p w14:paraId="57E02724" w14:textId="77777777" w:rsidR="006622DF" w:rsidRPr="006622DF" w:rsidRDefault="006622DF" w:rsidP="006622DF">
            <w:pPr>
              <w:jc w:val="right"/>
              <w:rPr>
                <w:color w:val="000000"/>
                <w:sz w:val="20"/>
                <w:szCs w:val="20"/>
              </w:rPr>
            </w:pPr>
            <w:r w:rsidRPr="006622DF">
              <w:rPr>
                <w:color w:val="000000"/>
                <w:sz w:val="20"/>
                <w:szCs w:val="20"/>
              </w:rPr>
              <w:t>76</w:t>
            </w:r>
          </w:p>
        </w:tc>
        <w:tc>
          <w:tcPr>
            <w:tcW w:w="850" w:type="dxa"/>
            <w:tcBorders>
              <w:top w:val="nil"/>
              <w:left w:val="nil"/>
              <w:bottom w:val="nil"/>
              <w:right w:val="nil"/>
            </w:tcBorders>
            <w:noWrap/>
            <w:vAlign w:val="bottom"/>
            <w:hideMark/>
          </w:tcPr>
          <w:p w14:paraId="4D4A7694" w14:textId="77777777" w:rsidR="006622DF" w:rsidRPr="006622DF" w:rsidRDefault="006622DF" w:rsidP="006622DF">
            <w:pPr>
              <w:jc w:val="right"/>
              <w:rPr>
                <w:color w:val="000000"/>
                <w:sz w:val="20"/>
                <w:szCs w:val="20"/>
              </w:rPr>
            </w:pPr>
            <w:r w:rsidRPr="006622DF">
              <w:rPr>
                <w:color w:val="000000"/>
                <w:sz w:val="20"/>
                <w:szCs w:val="20"/>
              </w:rPr>
              <w:t>78</w:t>
            </w:r>
          </w:p>
        </w:tc>
        <w:tc>
          <w:tcPr>
            <w:tcW w:w="854" w:type="dxa"/>
            <w:tcBorders>
              <w:top w:val="nil"/>
              <w:left w:val="nil"/>
              <w:bottom w:val="nil"/>
              <w:right w:val="nil"/>
            </w:tcBorders>
            <w:noWrap/>
            <w:vAlign w:val="bottom"/>
            <w:hideMark/>
          </w:tcPr>
          <w:p w14:paraId="3CB3F830" w14:textId="77777777" w:rsidR="006622DF" w:rsidRPr="006622DF" w:rsidRDefault="006622DF" w:rsidP="006622DF">
            <w:pPr>
              <w:jc w:val="right"/>
              <w:rPr>
                <w:color w:val="000000"/>
                <w:sz w:val="20"/>
                <w:szCs w:val="20"/>
              </w:rPr>
            </w:pPr>
            <w:r w:rsidRPr="006622DF">
              <w:rPr>
                <w:color w:val="000000"/>
                <w:sz w:val="20"/>
                <w:szCs w:val="20"/>
              </w:rPr>
              <w:t>80</w:t>
            </w:r>
          </w:p>
        </w:tc>
      </w:tr>
      <w:tr w:rsidR="006622DF" w:rsidRPr="006622DF" w14:paraId="74208F42" w14:textId="77777777" w:rsidTr="003B400E">
        <w:trPr>
          <w:trHeight w:val="164"/>
          <w:jc w:val="center"/>
        </w:trPr>
        <w:tc>
          <w:tcPr>
            <w:tcW w:w="850" w:type="dxa"/>
            <w:tcBorders>
              <w:top w:val="nil"/>
              <w:left w:val="nil"/>
              <w:bottom w:val="nil"/>
              <w:right w:val="nil"/>
            </w:tcBorders>
            <w:noWrap/>
            <w:vAlign w:val="bottom"/>
            <w:hideMark/>
          </w:tcPr>
          <w:p w14:paraId="7972D774" w14:textId="77777777" w:rsidR="006622DF" w:rsidRPr="006622DF" w:rsidRDefault="006622DF" w:rsidP="006622DF">
            <w:pPr>
              <w:jc w:val="right"/>
              <w:rPr>
                <w:color w:val="000000"/>
                <w:sz w:val="20"/>
                <w:szCs w:val="20"/>
              </w:rPr>
            </w:pPr>
            <w:r w:rsidRPr="006622DF">
              <w:rPr>
                <w:color w:val="000000"/>
                <w:sz w:val="20"/>
                <w:szCs w:val="20"/>
              </w:rPr>
              <w:t>0.2</w:t>
            </w:r>
          </w:p>
        </w:tc>
        <w:tc>
          <w:tcPr>
            <w:tcW w:w="850" w:type="dxa"/>
            <w:tcBorders>
              <w:top w:val="nil"/>
              <w:left w:val="nil"/>
              <w:bottom w:val="nil"/>
              <w:right w:val="nil"/>
            </w:tcBorders>
            <w:shd w:val="clear" w:color="000000" w:fill="F9806F"/>
            <w:noWrap/>
            <w:vAlign w:val="bottom"/>
            <w:hideMark/>
          </w:tcPr>
          <w:p w14:paraId="45C081EA" w14:textId="77777777" w:rsidR="006622DF" w:rsidRPr="006622DF" w:rsidRDefault="006622DF" w:rsidP="006622DF">
            <w:pPr>
              <w:jc w:val="right"/>
              <w:rPr>
                <w:color w:val="000000"/>
                <w:sz w:val="20"/>
                <w:szCs w:val="20"/>
              </w:rPr>
            </w:pPr>
            <w:r w:rsidRPr="006622DF">
              <w:rPr>
                <w:color w:val="000000"/>
                <w:sz w:val="20"/>
                <w:szCs w:val="20"/>
              </w:rPr>
              <w:t>0.00</w:t>
            </w:r>
          </w:p>
        </w:tc>
        <w:tc>
          <w:tcPr>
            <w:tcW w:w="850" w:type="dxa"/>
            <w:tcBorders>
              <w:top w:val="nil"/>
              <w:left w:val="nil"/>
              <w:bottom w:val="nil"/>
              <w:right w:val="nil"/>
            </w:tcBorders>
            <w:shd w:val="clear" w:color="000000" w:fill="F97E6F"/>
            <w:noWrap/>
            <w:vAlign w:val="bottom"/>
            <w:hideMark/>
          </w:tcPr>
          <w:p w14:paraId="0544C2C1" w14:textId="77777777" w:rsidR="006622DF" w:rsidRPr="006622DF" w:rsidRDefault="006622DF" w:rsidP="006622DF">
            <w:pPr>
              <w:jc w:val="right"/>
              <w:rPr>
                <w:color w:val="000000"/>
                <w:sz w:val="20"/>
                <w:szCs w:val="20"/>
              </w:rPr>
            </w:pPr>
            <w:r w:rsidRPr="006622DF">
              <w:rPr>
                <w:color w:val="000000"/>
                <w:sz w:val="20"/>
                <w:szCs w:val="20"/>
              </w:rPr>
              <w:t>-0.04</w:t>
            </w:r>
          </w:p>
        </w:tc>
        <w:tc>
          <w:tcPr>
            <w:tcW w:w="850" w:type="dxa"/>
            <w:tcBorders>
              <w:top w:val="nil"/>
              <w:left w:val="nil"/>
              <w:bottom w:val="nil"/>
              <w:right w:val="nil"/>
            </w:tcBorders>
            <w:shd w:val="clear" w:color="000000" w:fill="F97C6E"/>
            <w:noWrap/>
            <w:vAlign w:val="bottom"/>
            <w:hideMark/>
          </w:tcPr>
          <w:p w14:paraId="39F02A4C" w14:textId="77777777" w:rsidR="006622DF" w:rsidRPr="006622DF" w:rsidRDefault="006622DF" w:rsidP="006622DF">
            <w:pPr>
              <w:jc w:val="right"/>
              <w:rPr>
                <w:color w:val="000000"/>
                <w:sz w:val="20"/>
                <w:szCs w:val="20"/>
              </w:rPr>
            </w:pPr>
            <w:r w:rsidRPr="006622DF">
              <w:rPr>
                <w:color w:val="000000"/>
                <w:sz w:val="20"/>
                <w:szCs w:val="20"/>
              </w:rPr>
              <w:t>-0.09</w:t>
            </w:r>
          </w:p>
        </w:tc>
        <w:tc>
          <w:tcPr>
            <w:tcW w:w="850" w:type="dxa"/>
            <w:tcBorders>
              <w:top w:val="nil"/>
              <w:left w:val="nil"/>
              <w:bottom w:val="nil"/>
              <w:right w:val="nil"/>
            </w:tcBorders>
            <w:shd w:val="clear" w:color="000000" w:fill="F8796E"/>
            <w:noWrap/>
            <w:vAlign w:val="bottom"/>
            <w:hideMark/>
          </w:tcPr>
          <w:p w14:paraId="4D938AB0" w14:textId="77777777" w:rsidR="006622DF" w:rsidRPr="006622DF" w:rsidRDefault="006622DF" w:rsidP="006622DF">
            <w:pPr>
              <w:jc w:val="right"/>
              <w:rPr>
                <w:color w:val="000000"/>
                <w:sz w:val="20"/>
                <w:szCs w:val="20"/>
              </w:rPr>
            </w:pPr>
            <w:r w:rsidRPr="006622DF">
              <w:rPr>
                <w:color w:val="000000"/>
                <w:sz w:val="20"/>
                <w:szCs w:val="20"/>
              </w:rPr>
              <w:t>-0.15</w:t>
            </w:r>
          </w:p>
        </w:tc>
        <w:tc>
          <w:tcPr>
            <w:tcW w:w="850" w:type="dxa"/>
            <w:tcBorders>
              <w:top w:val="nil"/>
              <w:left w:val="nil"/>
              <w:bottom w:val="nil"/>
              <w:right w:val="nil"/>
            </w:tcBorders>
            <w:shd w:val="clear" w:color="000000" w:fill="F8746D"/>
            <w:noWrap/>
            <w:vAlign w:val="bottom"/>
            <w:hideMark/>
          </w:tcPr>
          <w:p w14:paraId="303C5D0D" w14:textId="77777777" w:rsidR="006622DF" w:rsidRPr="006622DF" w:rsidRDefault="006622DF" w:rsidP="006622DF">
            <w:pPr>
              <w:jc w:val="right"/>
              <w:rPr>
                <w:color w:val="000000"/>
                <w:sz w:val="20"/>
                <w:szCs w:val="20"/>
              </w:rPr>
            </w:pPr>
            <w:r w:rsidRPr="006622DF">
              <w:rPr>
                <w:color w:val="000000"/>
                <w:sz w:val="20"/>
                <w:szCs w:val="20"/>
              </w:rPr>
              <w:t>-0.25</w:t>
            </w:r>
          </w:p>
        </w:tc>
        <w:tc>
          <w:tcPr>
            <w:tcW w:w="854" w:type="dxa"/>
            <w:tcBorders>
              <w:top w:val="nil"/>
              <w:left w:val="nil"/>
              <w:bottom w:val="nil"/>
              <w:right w:val="nil"/>
            </w:tcBorders>
            <w:shd w:val="clear" w:color="000000" w:fill="F86F6C"/>
            <w:noWrap/>
            <w:vAlign w:val="bottom"/>
            <w:hideMark/>
          </w:tcPr>
          <w:p w14:paraId="16CA90C5" w14:textId="77777777" w:rsidR="006622DF" w:rsidRPr="006622DF" w:rsidRDefault="006622DF" w:rsidP="006622DF">
            <w:pPr>
              <w:jc w:val="right"/>
              <w:rPr>
                <w:color w:val="000000"/>
                <w:sz w:val="20"/>
                <w:szCs w:val="20"/>
              </w:rPr>
            </w:pPr>
            <w:r w:rsidRPr="006622DF">
              <w:rPr>
                <w:color w:val="000000"/>
                <w:sz w:val="20"/>
                <w:szCs w:val="20"/>
              </w:rPr>
              <w:t>-0.37</w:t>
            </w:r>
          </w:p>
        </w:tc>
      </w:tr>
      <w:tr w:rsidR="006622DF" w:rsidRPr="006622DF" w14:paraId="45287DB7" w14:textId="77777777" w:rsidTr="003B400E">
        <w:trPr>
          <w:trHeight w:val="164"/>
          <w:jc w:val="center"/>
        </w:trPr>
        <w:tc>
          <w:tcPr>
            <w:tcW w:w="850" w:type="dxa"/>
            <w:tcBorders>
              <w:top w:val="nil"/>
              <w:left w:val="nil"/>
              <w:bottom w:val="nil"/>
              <w:right w:val="nil"/>
            </w:tcBorders>
            <w:noWrap/>
            <w:vAlign w:val="bottom"/>
            <w:hideMark/>
          </w:tcPr>
          <w:p w14:paraId="2024D1F0" w14:textId="77777777" w:rsidR="006622DF" w:rsidRPr="006622DF" w:rsidRDefault="006622DF" w:rsidP="006622DF">
            <w:pPr>
              <w:jc w:val="right"/>
              <w:rPr>
                <w:color w:val="000000"/>
                <w:sz w:val="20"/>
                <w:szCs w:val="20"/>
              </w:rPr>
            </w:pPr>
            <w:r w:rsidRPr="006622DF">
              <w:rPr>
                <w:color w:val="000000"/>
                <w:sz w:val="20"/>
                <w:szCs w:val="20"/>
              </w:rPr>
              <w:t>0.4</w:t>
            </w:r>
          </w:p>
        </w:tc>
        <w:tc>
          <w:tcPr>
            <w:tcW w:w="850" w:type="dxa"/>
            <w:tcBorders>
              <w:top w:val="nil"/>
              <w:left w:val="nil"/>
              <w:bottom w:val="nil"/>
              <w:right w:val="nil"/>
            </w:tcBorders>
            <w:shd w:val="clear" w:color="000000" w:fill="F97F6F"/>
            <w:noWrap/>
            <w:vAlign w:val="bottom"/>
            <w:hideMark/>
          </w:tcPr>
          <w:p w14:paraId="3F969A83" w14:textId="77777777" w:rsidR="006622DF" w:rsidRPr="006622DF" w:rsidRDefault="006622DF" w:rsidP="006622DF">
            <w:pPr>
              <w:jc w:val="right"/>
              <w:rPr>
                <w:color w:val="000000"/>
                <w:sz w:val="20"/>
                <w:szCs w:val="20"/>
              </w:rPr>
            </w:pPr>
            <w:r w:rsidRPr="006622DF">
              <w:rPr>
                <w:color w:val="000000"/>
                <w:sz w:val="20"/>
                <w:szCs w:val="20"/>
              </w:rPr>
              <w:t>-0.02</w:t>
            </w:r>
          </w:p>
        </w:tc>
        <w:tc>
          <w:tcPr>
            <w:tcW w:w="850" w:type="dxa"/>
            <w:tcBorders>
              <w:top w:val="nil"/>
              <w:left w:val="nil"/>
              <w:bottom w:val="nil"/>
              <w:right w:val="nil"/>
            </w:tcBorders>
            <w:shd w:val="clear" w:color="000000" w:fill="F97C6E"/>
            <w:noWrap/>
            <w:vAlign w:val="bottom"/>
            <w:hideMark/>
          </w:tcPr>
          <w:p w14:paraId="0FB26185" w14:textId="77777777" w:rsidR="006622DF" w:rsidRPr="006622DF" w:rsidRDefault="006622DF" w:rsidP="006622DF">
            <w:pPr>
              <w:jc w:val="right"/>
              <w:rPr>
                <w:color w:val="000000"/>
                <w:sz w:val="20"/>
                <w:szCs w:val="20"/>
              </w:rPr>
            </w:pPr>
            <w:r w:rsidRPr="006622DF">
              <w:rPr>
                <w:color w:val="000000"/>
                <w:sz w:val="20"/>
                <w:szCs w:val="20"/>
              </w:rPr>
              <w:t>-0.09</w:t>
            </w:r>
          </w:p>
        </w:tc>
        <w:tc>
          <w:tcPr>
            <w:tcW w:w="850" w:type="dxa"/>
            <w:tcBorders>
              <w:top w:val="nil"/>
              <w:left w:val="nil"/>
              <w:bottom w:val="nil"/>
              <w:right w:val="nil"/>
            </w:tcBorders>
            <w:shd w:val="clear" w:color="000000" w:fill="F97B6E"/>
            <w:noWrap/>
            <w:vAlign w:val="bottom"/>
            <w:hideMark/>
          </w:tcPr>
          <w:p w14:paraId="4953DB32" w14:textId="77777777" w:rsidR="006622DF" w:rsidRPr="006622DF" w:rsidRDefault="006622DF" w:rsidP="006622DF">
            <w:pPr>
              <w:jc w:val="right"/>
              <w:rPr>
                <w:color w:val="000000"/>
                <w:sz w:val="20"/>
                <w:szCs w:val="20"/>
              </w:rPr>
            </w:pPr>
            <w:r w:rsidRPr="006622DF">
              <w:rPr>
                <w:color w:val="000000"/>
                <w:sz w:val="20"/>
                <w:szCs w:val="20"/>
              </w:rPr>
              <w:t>-0.09</w:t>
            </w:r>
          </w:p>
        </w:tc>
        <w:tc>
          <w:tcPr>
            <w:tcW w:w="850" w:type="dxa"/>
            <w:tcBorders>
              <w:top w:val="nil"/>
              <w:left w:val="nil"/>
              <w:bottom w:val="nil"/>
              <w:right w:val="nil"/>
            </w:tcBorders>
            <w:shd w:val="clear" w:color="000000" w:fill="F8766D"/>
            <w:noWrap/>
            <w:vAlign w:val="bottom"/>
            <w:hideMark/>
          </w:tcPr>
          <w:p w14:paraId="310CE9A0" w14:textId="77777777" w:rsidR="006622DF" w:rsidRPr="006622DF" w:rsidRDefault="006622DF" w:rsidP="006622DF">
            <w:pPr>
              <w:jc w:val="right"/>
              <w:rPr>
                <w:color w:val="000000"/>
                <w:sz w:val="20"/>
                <w:szCs w:val="20"/>
              </w:rPr>
            </w:pPr>
            <w:r w:rsidRPr="006622DF">
              <w:rPr>
                <w:color w:val="000000"/>
                <w:sz w:val="20"/>
                <w:szCs w:val="20"/>
              </w:rPr>
              <w:t>-0.21</w:t>
            </w:r>
          </w:p>
        </w:tc>
        <w:tc>
          <w:tcPr>
            <w:tcW w:w="850" w:type="dxa"/>
            <w:tcBorders>
              <w:top w:val="nil"/>
              <w:left w:val="nil"/>
              <w:bottom w:val="nil"/>
              <w:right w:val="nil"/>
            </w:tcBorders>
            <w:shd w:val="clear" w:color="000000" w:fill="F8706C"/>
            <w:noWrap/>
            <w:vAlign w:val="bottom"/>
            <w:hideMark/>
          </w:tcPr>
          <w:p w14:paraId="576B7E82" w14:textId="77777777" w:rsidR="006622DF" w:rsidRPr="006622DF" w:rsidRDefault="006622DF" w:rsidP="006622DF">
            <w:pPr>
              <w:jc w:val="right"/>
              <w:rPr>
                <w:color w:val="000000"/>
                <w:sz w:val="20"/>
                <w:szCs w:val="20"/>
              </w:rPr>
            </w:pPr>
            <w:r w:rsidRPr="006622DF">
              <w:rPr>
                <w:color w:val="000000"/>
                <w:sz w:val="20"/>
                <w:szCs w:val="20"/>
              </w:rPr>
              <w:t>-0.35</w:t>
            </w:r>
          </w:p>
        </w:tc>
        <w:tc>
          <w:tcPr>
            <w:tcW w:w="854" w:type="dxa"/>
            <w:tcBorders>
              <w:top w:val="nil"/>
              <w:left w:val="nil"/>
              <w:bottom w:val="nil"/>
              <w:right w:val="nil"/>
            </w:tcBorders>
            <w:shd w:val="clear" w:color="000000" w:fill="F86D6B"/>
            <w:noWrap/>
            <w:vAlign w:val="bottom"/>
            <w:hideMark/>
          </w:tcPr>
          <w:p w14:paraId="51E123D5" w14:textId="77777777" w:rsidR="006622DF" w:rsidRPr="006622DF" w:rsidRDefault="006622DF" w:rsidP="006622DF">
            <w:pPr>
              <w:jc w:val="right"/>
              <w:rPr>
                <w:color w:val="000000"/>
                <w:sz w:val="20"/>
                <w:szCs w:val="20"/>
              </w:rPr>
            </w:pPr>
            <w:r w:rsidRPr="006622DF">
              <w:rPr>
                <w:color w:val="000000"/>
                <w:sz w:val="20"/>
                <w:szCs w:val="20"/>
              </w:rPr>
              <w:t>-0.41</w:t>
            </w:r>
          </w:p>
        </w:tc>
      </w:tr>
      <w:tr w:rsidR="006622DF" w:rsidRPr="006622DF" w14:paraId="740CF778" w14:textId="77777777" w:rsidTr="003B400E">
        <w:trPr>
          <w:trHeight w:val="164"/>
          <w:jc w:val="center"/>
        </w:trPr>
        <w:tc>
          <w:tcPr>
            <w:tcW w:w="850" w:type="dxa"/>
            <w:tcBorders>
              <w:top w:val="nil"/>
              <w:left w:val="nil"/>
              <w:bottom w:val="nil"/>
              <w:right w:val="nil"/>
            </w:tcBorders>
            <w:noWrap/>
            <w:vAlign w:val="bottom"/>
            <w:hideMark/>
          </w:tcPr>
          <w:p w14:paraId="3D6BBF6E" w14:textId="77777777" w:rsidR="006622DF" w:rsidRPr="006622DF" w:rsidRDefault="006622DF" w:rsidP="006622DF">
            <w:pPr>
              <w:jc w:val="right"/>
              <w:rPr>
                <w:color w:val="000000"/>
                <w:sz w:val="20"/>
                <w:szCs w:val="20"/>
              </w:rPr>
            </w:pPr>
            <w:r w:rsidRPr="006622DF">
              <w:rPr>
                <w:color w:val="000000"/>
                <w:sz w:val="20"/>
                <w:szCs w:val="20"/>
              </w:rPr>
              <w:t>0.5</w:t>
            </w:r>
          </w:p>
        </w:tc>
        <w:tc>
          <w:tcPr>
            <w:tcW w:w="850" w:type="dxa"/>
            <w:tcBorders>
              <w:top w:val="nil"/>
              <w:left w:val="nil"/>
              <w:bottom w:val="nil"/>
              <w:right w:val="nil"/>
            </w:tcBorders>
            <w:shd w:val="clear" w:color="000000" w:fill="F97F6F"/>
            <w:noWrap/>
            <w:vAlign w:val="bottom"/>
            <w:hideMark/>
          </w:tcPr>
          <w:p w14:paraId="699BB2A7" w14:textId="77777777" w:rsidR="006622DF" w:rsidRPr="006622DF" w:rsidRDefault="006622DF" w:rsidP="006622DF">
            <w:pPr>
              <w:jc w:val="right"/>
              <w:rPr>
                <w:color w:val="000000"/>
                <w:sz w:val="20"/>
                <w:szCs w:val="20"/>
              </w:rPr>
            </w:pPr>
            <w:r w:rsidRPr="006622DF">
              <w:rPr>
                <w:color w:val="000000"/>
                <w:sz w:val="20"/>
                <w:szCs w:val="20"/>
              </w:rPr>
              <w:t>-0.02</w:t>
            </w:r>
          </w:p>
        </w:tc>
        <w:tc>
          <w:tcPr>
            <w:tcW w:w="850" w:type="dxa"/>
            <w:tcBorders>
              <w:top w:val="nil"/>
              <w:left w:val="nil"/>
              <w:bottom w:val="nil"/>
              <w:right w:val="nil"/>
            </w:tcBorders>
            <w:shd w:val="clear" w:color="000000" w:fill="F97C6E"/>
            <w:noWrap/>
            <w:vAlign w:val="bottom"/>
            <w:hideMark/>
          </w:tcPr>
          <w:p w14:paraId="1521ACC1" w14:textId="77777777" w:rsidR="006622DF" w:rsidRPr="006622DF" w:rsidRDefault="006622DF" w:rsidP="006622DF">
            <w:pPr>
              <w:jc w:val="right"/>
              <w:rPr>
                <w:color w:val="000000"/>
                <w:sz w:val="20"/>
                <w:szCs w:val="20"/>
              </w:rPr>
            </w:pPr>
            <w:r w:rsidRPr="006622DF">
              <w:rPr>
                <w:color w:val="000000"/>
                <w:sz w:val="20"/>
                <w:szCs w:val="20"/>
              </w:rPr>
              <w:t>-0.07</w:t>
            </w:r>
          </w:p>
        </w:tc>
        <w:tc>
          <w:tcPr>
            <w:tcW w:w="850" w:type="dxa"/>
            <w:tcBorders>
              <w:top w:val="nil"/>
              <w:left w:val="nil"/>
              <w:bottom w:val="nil"/>
              <w:right w:val="nil"/>
            </w:tcBorders>
            <w:shd w:val="clear" w:color="000000" w:fill="F8786D"/>
            <w:noWrap/>
            <w:vAlign w:val="bottom"/>
            <w:hideMark/>
          </w:tcPr>
          <w:p w14:paraId="47ED13CC" w14:textId="77777777" w:rsidR="006622DF" w:rsidRPr="006622DF" w:rsidRDefault="006622DF" w:rsidP="006622DF">
            <w:pPr>
              <w:jc w:val="right"/>
              <w:rPr>
                <w:color w:val="000000"/>
                <w:sz w:val="20"/>
                <w:szCs w:val="20"/>
              </w:rPr>
            </w:pPr>
            <w:r w:rsidRPr="006622DF">
              <w:rPr>
                <w:color w:val="000000"/>
                <w:sz w:val="20"/>
                <w:szCs w:val="20"/>
              </w:rPr>
              <w:t>-0.18</w:t>
            </w:r>
          </w:p>
        </w:tc>
        <w:tc>
          <w:tcPr>
            <w:tcW w:w="850" w:type="dxa"/>
            <w:tcBorders>
              <w:top w:val="nil"/>
              <w:left w:val="nil"/>
              <w:bottom w:val="nil"/>
              <w:right w:val="nil"/>
            </w:tcBorders>
            <w:shd w:val="clear" w:color="000000" w:fill="F8756D"/>
            <w:noWrap/>
            <w:vAlign w:val="bottom"/>
            <w:hideMark/>
          </w:tcPr>
          <w:p w14:paraId="6D1D4EFA" w14:textId="77777777" w:rsidR="006622DF" w:rsidRPr="006622DF" w:rsidRDefault="006622DF" w:rsidP="006622DF">
            <w:pPr>
              <w:jc w:val="right"/>
              <w:rPr>
                <w:color w:val="000000"/>
                <w:sz w:val="20"/>
                <w:szCs w:val="20"/>
              </w:rPr>
            </w:pPr>
            <w:r w:rsidRPr="006622DF">
              <w:rPr>
                <w:color w:val="000000"/>
                <w:sz w:val="20"/>
                <w:szCs w:val="20"/>
              </w:rPr>
              <w:t>-0.24</w:t>
            </w:r>
          </w:p>
        </w:tc>
        <w:tc>
          <w:tcPr>
            <w:tcW w:w="850" w:type="dxa"/>
            <w:tcBorders>
              <w:top w:val="nil"/>
              <w:left w:val="nil"/>
              <w:bottom w:val="nil"/>
              <w:right w:val="nil"/>
            </w:tcBorders>
            <w:shd w:val="clear" w:color="000000" w:fill="F86E6C"/>
            <w:noWrap/>
            <w:vAlign w:val="bottom"/>
            <w:hideMark/>
          </w:tcPr>
          <w:p w14:paraId="186BACCE" w14:textId="77777777" w:rsidR="006622DF" w:rsidRPr="006622DF" w:rsidRDefault="006622DF" w:rsidP="006622DF">
            <w:pPr>
              <w:jc w:val="right"/>
              <w:rPr>
                <w:color w:val="000000"/>
                <w:sz w:val="20"/>
                <w:szCs w:val="20"/>
              </w:rPr>
            </w:pPr>
            <w:r w:rsidRPr="006622DF">
              <w:rPr>
                <w:color w:val="000000"/>
                <w:sz w:val="20"/>
                <w:szCs w:val="20"/>
              </w:rPr>
              <w:t>-0.39</w:t>
            </w:r>
          </w:p>
        </w:tc>
        <w:tc>
          <w:tcPr>
            <w:tcW w:w="854" w:type="dxa"/>
            <w:tcBorders>
              <w:top w:val="nil"/>
              <w:left w:val="nil"/>
              <w:bottom w:val="nil"/>
              <w:right w:val="nil"/>
            </w:tcBorders>
            <w:shd w:val="clear" w:color="000000" w:fill="F8696B"/>
            <w:noWrap/>
            <w:vAlign w:val="bottom"/>
            <w:hideMark/>
          </w:tcPr>
          <w:p w14:paraId="75D12889" w14:textId="77777777" w:rsidR="006622DF" w:rsidRPr="006622DF" w:rsidRDefault="006622DF" w:rsidP="006622DF">
            <w:pPr>
              <w:jc w:val="right"/>
              <w:rPr>
                <w:color w:val="000000"/>
                <w:sz w:val="20"/>
                <w:szCs w:val="20"/>
              </w:rPr>
            </w:pPr>
            <w:r w:rsidRPr="006622DF">
              <w:rPr>
                <w:color w:val="000000"/>
                <w:sz w:val="20"/>
                <w:szCs w:val="20"/>
              </w:rPr>
              <w:t>-0.51</w:t>
            </w:r>
          </w:p>
        </w:tc>
      </w:tr>
      <w:tr w:rsidR="006622DF" w:rsidRPr="006622DF" w14:paraId="724AF161" w14:textId="77777777" w:rsidTr="003B400E">
        <w:trPr>
          <w:trHeight w:val="164"/>
          <w:jc w:val="center"/>
        </w:trPr>
        <w:tc>
          <w:tcPr>
            <w:tcW w:w="850" w:type="dxa"/>
            <w:tcBorders>
              <w:top w:val="nil"/>
              <w:left w:val="nil"/>
              <w:bottom w:val="nil"/>
              <w:right w:val="nil"/>
            </w:tcBorders>
            <w:noWrap/>
            <w:vAlign w:val="bottom"/>
            <w:hideMark/>
          </w:tcPr>
          <w:p w14:paraId="307E9F6B" w14:textId="77777777" w:rsidR="006622DF" w:rsidRPr="006622DF" w:rsidRDefault="006622DF" w:rsidP="006622DF">
            <w:pPr>
              <w:jc w:val="right"/>
              <w:rPr>
                <w:color w:val="000000"/>
                <w:sz w:val="20"/>
                <w:szCs w:val="20"/>
              </w:rPr>
            </w:pPr>
            <w:r w:rsidRPr="006622DF">
              <w:rPr>
                <w:color w:val="000000"/>
                <w:sz w:val="20"/>
                <w:szCs w:val="20"/>
              </w:rPr>
              <w:t>0.6</w:t>
            </w:r>
          </w:p>
        </w:tc>
        <w:tc>
          <w:tcPr>
            <w:tcW w:w="850" w:type="dxa"/>
            <w:tcBorders>
              <w:top w:val="nil"/>
              <w:left w:val="nil"/>
              <w:bottom w:val="nil"/>
              <w:right w:val="nil"/>
            </w:tcBorders>
            <w:shd w:val="clear" w:color="000000" w:fill="F97E6F"/>
            <w:noWrap/>
            <w:vAlign w:val="bottom"/>
            <w:hideMark/>
          </w:tcPr>
          <w:p w14:paraId="04B6AA36" w14:textId="77777777" w:rsidR="006622DF" w:rsidRPr="006622DF" w:rsidRDefault="006622DF" w:rsidP="006622DF">
            <w:pPr>
              <w:jc w:val="right"/>
              <w:rPr>
                <w:color w:val="000000"/>
                <w:sz w:val="20"/>
                <w:szCs w:val="20"/>
              </w:rPr>
            </w:pPr>
            <w:r w:rsidRPr="006622DF">
              <w:rPr>
                <w:color w:val="000000"/>
                <w:sz w:val="20"/>
                <w:szCs w:val="20"/>
              </w:rPr>
              <w:t>-0.03</w:t>
            </w:r>
          </w:p>
        </w:tc>
        <w:tc>
          <w:tcPr>
            <w:tcW w:w="850" w:type="dxa"/>
            <w:tcBorders>
              <w:top w:val="nil"/>
              <w:left w:val="nil"/>
              <w:bottom w:val="nil"/>
              <w:right w:val="nil"/>
            </w:tcBorders>
            <w:shd w:val="clear" w:color="000000" w:fill="F8796E"/>
            <w:noWrap/>
            <w:vAlign w:val="bottom"/>
            <w:hideMark/>
          </w:tcPr>
          <w:p w14:paraId="6EAC8107" w14:textId="77777777" w:rsidR="006622DF" w:rsidRPr="006622DF" w:rsidRDefault="006622DF" w:rsidP="006622DF">
            <w:pPr>
              <w:jc w:val="right"/>
              <w:rPr>
                <w:color w:val="000000"/>
                <w:sz w:val="20"/>
                <w:szCs w:val="20"/>
              </w:rPr>
            </w:pPr>
            <w:r w:rsidRPr="006622DF">
              <w:rPr>
                <w:color w:val="000000"/>
                <w:sz w:val="20"/>
                <w:szCs w:val="20"/>
              </w:rPr>
              <w:t>-0.14</w:t>
            </w:r>
          </w:p>
        </w:tc>
        <w:tc>
          <w:tcPr>
            <w:tcW w:w="850" w:type="dxa"/>
            <w:tcBorders>
              <w:top w:val="nil"/>
              <w:left w:val="nil"/>
              <w:bottom w:val="nil"/>
              <w:right w:val="nil"/>
            </w:tcBorders>
            <w:shd w:val="clear" w:color="000000" w:fill="F8756D"/>
            <w:noWrap/>
            <w:vAlign w:val="bottom"/>
            <w:hideMark/>
          </w:tcPr>
          <w:p w14:paraId="6ADED836" w14:textId="77777777" w:rsidR="006622DF" w:rsidRPr="006622DF" w:rsidRDefault="006622DF" w:rsidP="006622DF">
            <w:pPr>
              <w:jc w:val="right"/>
              <w:rPr>
                <w:color w:val="000000"/>
                <w:sz w:val="20"/>
                <w:szCs w:val="20"/>
              </w:rPr>
            </w:pPr>
            <w:r w:rsidRPr="006622DF">
              <w:rPr>
                <w:color w:val="000000"/>
                <w:sz w:val="20"/>
                <w:szCs w:val="20"/>
              </w:rPr>
              <w:t>-0.24</w:t>
            </w:r>
          </w:p>
        </w:tc>
        <w:tc>
          <w:tcPr>
            <w:tcW w:w="850" w:type="dxa"/>
            <w:tcBorders>
              <w:top w:val="nil"/>
              <w:left w:val="nil"/>
              <w:bottom w:val="nil"/>
              <w:right w:val="nil"/>
            </w:tcBorders>
            <w:shd w:val="clear" w:color="000000" w:fill="F8726C"/>
            <w:noWrap/>
            <w:vAlign w:val="bottom"/>
            <w:hideMark/>
          </w:tcPr>
          <w:p w14:paraId="02197466" w14:textId="77777777" w:rsidR="006622DF" w:rsidRPr="006622DF" w:rsidRDefault="006622DF" w:rsidP="006622DF">
            <w:pPr>
              <w:jc w:val="right"/>
              <w:rPr>
                <w:color w:val="000000"/>
                <w:sz w:val="20"/>
                <w:szCs w:val="20"/>
              </w:rPr>
            </w:pPr>
            <w:r w:rsidRPr="006622DF">
              <w:rPr>
                <w:color w:val="000000"/>
                <w:sz w:val="20"/>
                <w:szCs w:val="20"/>
              </w:rPr>
              <w:t>-0.29</w:t>
            </w:r>
          </w:p>
        </w:tc>
        <w:tc>
          <w:tcPr>
            <w:tcW w:w="850" w:type="dxa"/>
            <w:tcBorders>
              <w:top w:val="nil"/>
              <w:left w:val="nil"/>
              <w:bottom w:val="nil"/>
              <w:right w:val="nil"/>
            </w:tcBorders>
            <w:shd w:val="clear" w:color="000000" w:fill="F86C6B"/>
            <w:noWrap/>
            <w:vAlign w:val="bottom"/>
            <w:hideMark/>
          </w:tcPr>
          <w:p w14:paraId="25932C5F" w14:textId="77777777" w:rsidR="006622DF" w:rsidRPr="006622DF" w:rsidRDefault="006622DF" w:rsidP="006622DF">
            <w:pPr>
              <w:jc w:val="right"/>
              <w:rPr>
                <w:color w:val="000000"/>
                <w:sz w:val="20"/>
                <w:szCs w:val="20"/>
              </w:rPr>
            </w:pPr>
            <w:r w:rsidRPr="006622DF">
              <w:rPr>
                <w:color w:val="000000"/>
                <w:sz w:val="20"/>
                <w:szCs w:val="20"/>
              </w:rPr>
              <w:t>-0.44</w:t>
            </w:r>
          </w:p>
        </w:tc>
        <w:tc>
          <w:tcPr>
            <w:tcW w:w="854" w:type="dxa"/>
            <w:tcBorders>
              <w:top w:val="nil"/>
              <w:left w:val="nil"/>
              <w:bottom w:val="nil"/>
              <w:right w:val="nil"/>
            </w:tcBorders>
            <w:shd w:val="clear" w:color="000000" w:fill="F8696B"/>
            <w:noWrap/>
            <w:vAlign w:val="bottom"/>
            <w:hideMark/>
          </w:tcPr>
          <w:p w14:paraId="1A19FEA6" w14:textId="77777777" w:rsidR="006622DF" w:rsidRPr="006622DF" w:rsidRDefault="006622DF" w:rsidP="006622DF">
            <w:pPr>
              <w:jc w:val="right"/>
              <w:rPr>
                <w:color w:val="000000"/>
                <w:sz w:val="20"/>
                <w:szCs w:val="20"/>
              </w:rPr>
            </w:pPr>
            <w:r w:rsidRPr="006622DF">
              <w:rPr>
                <w:color w:val="000000"/>
                <w:sz w:val="20"/>
                <w:szCs w:val="20"/>
              </w:rPr>
              <w:t>-0.49</w:t>
            </w:r>
          </w:p>
        </w:tc>
      </w:tr>
      <w:tr w:rsidR="006622DF" w:rsidRPr="006622DF" w14:paraId="603DD912" w14:textId="77777777" w:rsidTr="003B400E">
        <w:trPr>
          <w:trHeight w:val="164"/>
          <w:jc w:val="center"/>
        </w:trPr>
        <w:tc>
          <w:tcPr>
            <w:tcW w:w="850" w:type="dxa"/>
            <w:tcBorders>
              <w:top w:val="nil"/>
              <w:left w:val="nil"/>
              <w:bottom w:val="nil"/>
              <w:right w:val="nil"/>
            </w:tcBorders>
            <w:noWrap/>
            <w:vAlign w:val="bottom"/>
            <w:hideMark/>
          </w:tcPr>
          <w:p w14:paraId="401B1697" w14:textId="77777777" w:rsidR="006622DF" w:rsidRPr="006622DF" w:rsidRDefault="006622DF" w:rsidP="006622DF">
            <w:pPr>
              <w:jc w:val="right"/>
              <w:rPr>
                <w:color w:val="000000"/>
                <w:sz w:val="20"/>
                <w:szCs w:val="20"/>
              </w:rPr>
            </w:pPr>
            <w:r w:rsidRPr="006622DF">
              <w:rPr>
                <w:color w:val="000000"/>
                <w:sz w:val="20"/>
                <w:szCs w:val="20"/>
              </w:rPr>
              <w:t>0.8</w:t>
            </w:r>
          </w:p>
        </w:tc>
        <w:tc>
          <w:tcPr>
            <w:tcW w:w="850" w:type="dxa"/>
            <w:tcBorders>
              <w:top w:val="nil"/>
              <w:left w:val="nil"/>
              <w:bottom w:val="nil"/>
              <w:right w:val="nil"/>
            </w:tcBorders>
            <w:shd w:val="clear" w:color="000000" w:fill="F8796E"/>
            <w:noWrap/>
            <w:vAlign w:val="bottom"/>
            <w:hideMark/>
          </w:tcPr>
          <w:p w14:paraId="6A3E7E89" w14:textId="77777777" w:rsidR="006622DF" w:rsidRPr="006622DF" w:rsidRDefault="006622DF" w:rsidP="006622DF">
            <w:pPr>
              <w:jc w:val="right"/>
              <w:rPr>
                <w:color w:val="000000"/>
                <w:sz w:val="20"/>
                <w:szCs w:val="20"/>
              </w:rPr>
            </w:pPr>
            <w:r w:rsidRPr="006622DF">
              <w:rPr>
                <w:color w:val="000000"/>
                <w:sz w:val="20"/>
                <w:szCs w:val="20"/>
              </w:rPr>
              <w:t>-0.16</w:t>
            </w:r>
          </w:p>
        </w:tc>
        <w:tc>
          <w:tcPr>
            <w:tcW w:w="850" w:type="dxa"/>
            <w:tcBorders>
              <w:top w:val="nil"/>
              <w:left w:val="nil"/>
              <w:bottom w:val="nil"/>
              <w:right w:val="nil"/>
            </w:tcBorders>
            <w:shd w:val="clear" w:color="000000" w:fill="F8796E"/>
            <w:noWrap/>
            <w:vAlign w:val="bottom"/>
            <w:hideMark/>
          </w:tcPr>
          <w:p w14:paraId="7A894C3F" w14:textId="77777777" w:rsidR="006622DF" w:rsidRPr="006622DF" w:rsidRDefault="006622DF" w:rsidP="006622DF">
            <w:pPr>
              <w:jc w:val="right"/>
              <w:rPr>
                <w:color w:val="000000"/>
                <w:sz w:val="20"/>
                <w:szCs w:val="20"/>
              </w:rPr>
            </w:pPr>
            <w:r w:rsidRPr="006622DF">
              <w:rPr>
                <w:color w:val="000000"/>
                <w:sz w:val="20"/>
                <w:szCs w:val="20"/>
              </w:rPr>
              <w:t>-0.15</w:t>
            </w:r>
          </w:p>
        </w:tc>
        <w:tc>
          <w:tcPr>
            <w:tcW w:w="850" w:type="dxa"/>
            <w:tcBorders>
              <w:top w:val="nil"/>
              <w:left w:val="nil"/>
              <w:bottom w:val="nil"/>
              <w:right w:val="nil"/>
            </w:tcBorders>
            <w:shd w:val="clear" w:color="000000" w:fill="F8786E"/>
            <w:noWrap/>
            <w:vAlign w:val="bottom"/>
            <w:hideMark/>
          </w:tcPr>
          <w:p w14:paraId="003EFE1C" w14:textId="77777777" w:rsidR="006622DF" w:rsidRPr="006622DF" w:rsidRDefault="006622DF" w:rsidP="006622DF">
            <w:pPr>
              <w:jc w:val="right"/>
              <w:rPr>
                <w:color w:val="000000"/>
                <w:sz w:val="20"/>
                <w:szCs w:val="20"/>
              </w:rPr>
            </w:pPr>
            <w:r w:rsidRPr="006622DF">
              <w:rPr>
                <w:color w:val="000000"/>
                <w:sz w:val="20"/>
                <w:szCs w:val="20"/>
              </w:rPr>
              <w:t>-0.16</w:t>
            </w:r>
          </w:p>
        </w:tc>
        <w:tc>
          <w:tcPr>
            <w:tcW w:w="850" w:type="dxa"/>
            <w:tcBorders>
              <w:top w:val="nil"/>
              <w:left w:val="nil"/>
              <w:bottom w:val="nil"/>
              <w:right w:val="nil"/>
            </w:tcBorders>
            <w:shd w:val="clear" w:color="000000" w:fill="F8736D"/>
            <w:noWrap/>
            <w:vAlign w:val="bottom"/>
            <w:hideMark/>
          </w:tcPr>
          <w:p w14:paraId="0BA716F9" w14:textId="77777777" w:rsidR="006622DF" w:rsidRPr="006622DF" w:rsidRDefault="006622DF" w:rsidP="006622DF">
            <w:pPr>
              <w:jc w:val="right"/>
              <w:rPr>
                <w:color w:val="000000"/>
                <w:sz w:val="20"/>
                <w:szCs w:val="20"/>
              </w:rPr>
            </w:pPr>
            <w:r w:rsidRPr="006622DF">
              <w:rPr>
                <w:color w:val="000000"/>
                <w:sz w:val="20"/>
                <w:szCs w:val="20"/>
              </w:rPr>
              <w:t>-0.27</w:t>
            </w:r>
          </w:p>
        </w:tc>
        <w:tc>
          <w:tcPr>
            <w:tcW w:w="850" w:type="dxa"/>
            <w:tcBorders>
              <w:top w:val="nil"/>
              <w:left w:val="nil"/>
              <w:bottom w:val="nil"/>
              <w:right w:val="nil"/>
            </w:tcBorders>
            <w:shd w:val="clear" w:color="000000" w:fill="F8706C"/>
            <w:noWrap/>
            <w:vAlign w:val="bottom"/>
            <w:hideMark/>
          </w:tcPr>
          <w:p w14:paraId="2428F4AD" w14:textId="77777777" w:rsidR="006622DF" w:rsidRPr="006622DF" w:rsidRDefault="006622DF" w:rsidP="006622DF">
            <w:pPr>
              <w:jc w:val="right"/>
              <w:rPr>
                <w:color w:val="000000"/>
                <w:sz w:val="20"/>
                <w:szCs w:val="20"/>
              </w:rPr>
            </w:pPr>
            <w:r w:rsidRPr="006622DF">
              <w:rPr>
                <w:color w:val="000000"/>
                <w:sz w:val="20"/>
                <w:szCs w:val="20"/>
              </w:rPr>
              <w:t>-0.34</w:t>
            </w:r>
          </w:p>
        </w:tc>
        <w:tc>
          <w:tcPr>
            <w:tcW w:w="854" w:type="dxa"/>
            <w:tcBorders>
              <w:top w:val="nil"/>
              <w:left w:val="nil"/>
              <w:bottom w:val="nil"/>
              <w:right w:val="nil"/>
            </w:tcBorders>
            <w:shd w:val="clear" w:color="000000" w:fill="F86E6C"/>
            <w:noWrap/>
            <w:vAlign w:val="bottom"/>
            <w:hideMark/>
          </w:tcPr>
          <w:p w14:paraId="523F44C3" w14:textId="77777777" w:rsidR="006622DF" w:rsidRPr="006622DF" w:rsidRDefault="006622DF" w:rsidP="006622DF">
            <w:pPr>
              <w:jc w:val="right"/>
              <w:rPr>
                <w:color w:val="000000"/>
                <w:sz w:val="20"/>
                <w:szCs w:val="20"/>
              </w:rPr>
            </w:pPr>
            <w:r w:rsidRPr="006622DF">
              <w:rPr>
                <w:color w:val="000000"/>
                <w:sz w:val="20"/>
                <w:szCs w:val="20"/>
              </w:rPr>
              <w:t>-0.39</w:t>
            </w:r>
          </w:p>
        </w:tc>
      </w:tr>
      <w:tr w:rsidR="006622DF" w:rsidRPr="006622DF" w14:paraId="7BA69D8D" w14:textId="77777777" w:rsidTr="003B400E">
        <w:trPr>
          <w:trHeight w:val="164"/>
          <w:jc w:val="center"/>
        </w:trPr>
        <w:tc>
          <w:tcPr>
            <w:tcW w:w="850" w:type="dxa"/>
            <w:tcBorders>
              <w:top w:val="nil"/>
              <w:left w:val="nil"/>
              <w:bottom w:val="nil"/>
              <w:right w:val="nil"/>
            </w:tcBorders>
            <w:noWrap/>
            <w:vAlign w:val="bottom"/>
            <w:hideMark/>
          </w:tcPr>
          <w:p w14:paraId="3FBD832C" w14:textId="77777777" w:rsidR="006622DF" w:rsidRPr="006622DF" w:rsidRDefault="006622DF" w:rsidP="006622DF">
            <w:pPr>
              <w:jc w:val="right"/>
              <w:rPr>
                <w:color w:val="000000"/>
                <w:sz w:val="20"/>
                <w:szCs w:val="20"/>
              </w:rPr>
            </w:pPr>
            <w:r w:rsidRPr="006622DF">
              <w:rPr>
                <w:color w:val="000000"/>
                <w:sz w:val="20"/>
                <w:szCs w:val="20"/>
              </w:rPr>
              <w:t>1</w:t>
            </w:r>
          </w:p>
        </w:tc>
        <w:tc>
          <w:tcPr>
            <w:tcW w:w="850" w:type="dxa"/>
            <w:tcBorders>
              <w:top w:val="nil"/>
              <w:left w:val="nil"/>
              <w:bottom w:val="nil"/>
              <w:right w:val="nil"/>
            </w:tcBorders>
            <w:shd w:val="clear" w:color="000000" w:fill="F8796E"/>
            <w:noWrap/>
            <w:vAlign w:val="bottom"/>
            <w:hideMark/>
          </w:tcPr>
          <w:p w14:paraId="645DFD95" w14:textId="77777777" w:rsidR="006622DF" w:rsidRPr="006622DF" w:rsidRDefault="006622DF" w:rsidP="006622DF">
            <w:pPr>
              <w:jc w:val="right"/>
              <w:rPr>
                <w:color w:val="000000"/>
                <w:sz w:val="20"/>
                <w:szCs w:val="20"/>
              </w:rPr>
            </w:pPr>
            <w:r w:rsidRPr="006622DF">
              <w:rPr>
                <w:color w:val="000000"/>
                <w:sz w:val="20"/>
                <w:szCs w:val="20"/>
              </w:rPr>
              <w:t>-0.15</w:t>
            </w:r>
          </w:p>
        </w:tc>
        <w:tc>
          <w:tcPr>
            <w:tcW w:w="850" w:type="dxa"/>
            <w:tcBorders>
              <w:top w:val="nil"/>
              <w:left w:val="nil"/>
              <w:bottom w:val="nil"/>
              <w:right w:val="nil"/>
            </w:tcBorders>
            <w:shd w:val="clear" w:color="000000" w:fill="F8776D"/>
            <w:noWrap/>
            <w:vAlign w:val="bottom"/>
            <w:hideMark/>
          </w:tcPr>
          <w:p w14:paraId="04D62BBA" w14:textId="77777777" w:rsidR="006622DF" w:rsidRPr="006622DF" w:rsidRDefault="006622DF" w:rsidP="006622DF">
            <w:pPr>
              <w:jc w:val="right"/>
              <w:rPr>
                <w:color w:val="000000"/>
                <w:sz w:val="20"/>
                <w:szCs w:val="20"/>
              </w:rPr>
            </w:pPr>
            <w:r w:rsidRPr="006622DF">
              <w:rPr>
                <w:color w:val="000000"/>
                <w:sz w:val="20"/>
                <w:szCs w:val="20"/>
              </w:rPr>
              <w:t>-0.20</w:t>
            </w:r>
          </w:p>
        </w:tc>
        <w:tc>
          <w:tcPr>
            <w:tcW w:w="850" w:type="dxa"/>
            <w:tcBorders>
              <w:top w:val="nil"/>
              <w:left w:val="nil"/>
              <w:bottom w:val="nil"/>
              <w:right w:val="nil"/>
            </w:tcBorders>
            <w:shd w:val="clear" w:color="000000" w:fill="F8786E"/>
            <w:noWrap/>
            <w:vAlign w:val="bottom"/>
            <w:hideMark/>
          </w:tcPr>
          <w:p w14:paraId="275835F2" w14:textId="77777777" w:rsidR="006622DF" w:rsidRPr="006622DF" w:rsidRDefault="006622DF" w:rsidP="006622DF">
            <w:pPr>
              <w:jc w:val="right"/>
              <w:rPr>
                <w:color w:val="000000"/>
                <w:sz w:val="20"/>
                <w:szCs w:val="20"/>
              </w:rPr>
            </w:pPr>
            <w:r w:rsidRPr="006622DF">
              <w:rPr>
                <w:color w:val="000000"/>
                <w:sz w:val="20"/>
                <w:szCs w:val="20"/>
              </w:rPr>
              <w:t>-0.16</w:t>
            </w:r>
          </w:p>
        </w:tc>
        <w:tc>
          <w:tcPr>
            <w:tcW w:w="850" w:type="dxa"/>
            <w:tcBorders>
              <w:top w:val="nil"/>
              <w:left w:val="nil"/>
              <w:bottom w:val="nil"/>
              <w:right w:val="nil"/>
            </w:tcBorders>
            <w:shd w:val="clear" w:color="000000" w:fill="F8756D"/>
            <w:noWrap/>
            <w:vAlign w:val="bottom"/>
            <w:hideMark/>
          </w:tcPr>
          <w:p w14:paraId="7E1A414E" w14:textId="77777777" w:rsidR="006622DF" w:rsidRPr="006622DF" w:rsidRDefault="006622DF" w:rsidP="006622DF">
            <w:pPr>
              <w:jc w:val="right"/>
              <w:rPr>
                <w:color w:val="000000"/>
                <w:sz w:val="20"/>
                <w:szCs w:val="20"/>
              </w:rPr>
            </w:pPr>
            <w:r w:rsidRPr="006622DF">
              <w:rPr>
                <w:color w:val="000000"/>
                <w:sz w:val="20"/>
                <w:szCs w:val="20"/>
              </w:rPr>
              <w:t>-0.23</w:t>
            </w:r>
          </w:p>
        </w:tc>
        <w:tc>
          <w:tcPr>
            <w:tcW w:w="850" w:type="dxa"/>
            <w:tcBorders>
              <w:top w:val="nil"/>
              <w:left w:val="nil"/>
              <w:bottom w:val="nil"/>
              <w:right w:val="nil"/>
            </w:tcBorders>
            <w:shd w:val="clear" w:color="000000" w:fill="F8776D"/>
            <w:noWrap/>
            <w:vAlign w:val="bottom"/>
            <w:hideMark/>
          </w:tcPr>
          <w:p w14:paraId="5048369C" w14:textId="77777777" w:rsidR="006622DF" w:rsidRPr="006622DF" w:rsidRDefault="006622DF" w:rsidP="006622DF">
            <w:pPr>
              <w:jc w:val="right"/>
              <w:rPr>
                <w:color w:val="000000"/>
                <w:sz w:val="20"/>
                <w:szCs w:val="20"/>
              </w:rPr>
            </w:pPr>
            <w:r w:rsidRPr="006622DF">
              <w:rPr>
                <w:color w:val="000000"/>
                <w:sz w:val="20"/>
                <w:szCs w:val="20"/>
              </w:rPr>
              <w:t>-0.20</w:t>
            </w:r>
          </w:p>
        </w:tc>
        <w:tc>
          <w:tcPr>
            <w:tcW w:w="854" w:type="dxa"/>
            <w:tcBorders>
              <w:top w:val="nil"/>
              <w:left w:val="nil"/>
              <w:bottom w:val="nil"/>
              <w:right w:val="nil"/>
            </w:tcBorders>
            <w:shd w:val="clear" w:color="000000" w:fill="F97C6E"/>
            <w:noWrap/>
            <w:vAlign w:val="bottom"/>
            <w:hideMark/>
          </w:tcPr>
          <w:p w14:paraId="7D63E073" w14:textId="77777777" w:rsidR="006622DF" w:rsidRPr="006622DF" w:rsidRDefault="006622DF" w:rsidP="006622DF">
            <w:pPr>
              <w:jc w:val="right"/>
              <w:rPr>
                <w:color w:val="000000"/>
                <w:sz w:val="20"/>
                <w:szCs w:val="20"/>
              </w:rPr>
            </w:pPr>
            <w:r w:rsidRPr="006622DF">
              <w:rPr>
                <w:color w:val="000000"/>
                <w:sz w:val="20"/>
                <w:szCs w:val="20"/>
              </w:rPr>
              <w:t>-0.09</w:t>
            </w:r>
          </w:p>
        </w:tc>
      </w:tr>
      <w:tr w:rsidR="006622DF" w:rsidRPr="006622DF" w14:paraId="5F653F30" w14:textId="77777777" w:rsidTr="003B400E">
        <w:trPr>
          <w:trHeight w:val="164"/>
          <w:jc w:val="center"/>
        </w:trPr>
        <w:tc>
          <w:tcPr>
            <w:tcW w:w="850" w:type="dxa"/>
            <w:tcBorders>
              <w:top w:val="nil"/>
              <w:left w:val="nil"/>
              <w:bottom w:val="nil"/>
              <w:right w:val="nil"/>
            </w:tcBorders>
            <w:noWrap/>
            <w:vAlign w:val="bottom"/>
            <w:hideMark/>
          </w:tcPr>
          <w:p w14:paraId="41F71B24" w14:textId="77777777" w:rsidR="006622DF" w:rsidRPr="006622DF" w:rsidRDefault="006622DF" w:rsidP="006622DF">
            <w:pPr>
              <w:jc w:val="right"/>
              <w:rPr>
                <w:color w:val="000000"/>
                <w:sz w:val="20"/>
                <w:szCs w:val="20"/>
              </w:rPr>
            </w:pPr>
            <w:r w:rsidRPr="006622DF">
              <w:rPr>
                <w:color w:val="000000"/>
                <w:sz w:val="20"/>
                <w:szCs w:val="20"/>
              </w:rPr>
              <w:t>2</w:t>
            </w:r>
          </w:p>
        </w:tc>
        <w:tc>
          <w:tcPr>
            <w:tcW w:w="850" w:type="dxa"/>
            <w:tcBorders>
              <w:top w:val="nil"/>
              <w:left w:val="nil"/>
              <w:bottom w:val="nil"/>
              <w:right w:val="nil"/>
            </w:tcBorders>
            <w:shd w:val="clear" w:color="000000" w:fill="FA8E72"/>
            <w:noWrap/>
            <w:vAlign w:val="bottom"/>
            <w:hideMark/>
          </w:tcPr>
          <w:p w14:paraId="3FD903BA" w14:textId="77777777" w:rsidR="006622DF" w:rsidRPr="006622DF" w:rsidRDefault="006622DF" w:rsidP="006622DF">
            <w:pPr>
              <w:jc w:val="right"/>
              <w:rPr>
                <w:color w:val="000000"/>
                <w:sz w:val="20"/>
                <w:szCs w:val="20"/>
              </w:rPr>
            </w:pPr>
            <w:r w:rsidRPr="006622DF">
              <w:rPr>
                <w:color w:val="000000"/>
                <w:sz w:val="20"/>
                <w:szCs w:val="20"/>
              </w:rPr>
              <w:t>0.32</w:t>
            </w:r>
          </w:p>
        </w:tc>
        <w:tc>
          <w:tcPr>
            <w:tcW w:w="850" w:type="dxa"/>
            <w:tcBorders>
              <w:top w:val="nil"/>
              <w:left w:val="nil"/>
              <w:bottom w:val="nil"/>
              <w:right w:val="nil"/>
            </w:tcBorders>
            <w:shd w:val="clear" w:color="000000" w:fill="FA9E75"/>
            <w:noWrap/>
            <w:vAlign w:val="bottom"/>
            <w:hideMark/>
          </w:tcPr>
          <w:p w14:paraId="0370D3A3" w14:textId="77777777" w:rsidR="006622DF" w:rsidRPr="006622DF" w:rsidRDefault="006622DF" w:rsidP="006622DF">
            <w:pPr>
              <w:jc w:val="right"/>
              <w:rPr>
                <w:color w:val="000000"/>
                <w:sz w:val="20"/>
                <w:szCs w:val="20"/>
              </w:rPr>
            </w:pPr>
            <w:r w:rsidRPr="006622DF">
              <w:rPr>
                <w:color w:val="000000"/>
                <w:sz w:val="20"/>
                <w:szCs w:val="20"/>
              </w:rPr>
              <w:t>0.68</w:t>
            </w:r>
          </w:p>
        </w:tc>
        <w:tc>
          <w:tcPr>
            <w:tcW w:w="850" w:type="dxa"/>
            <w:tcBorders>
              <w:top w:val="nil"/>
              <w:left w:val="nil"/>
              <w:bottom w:val="nil"/>
              <w:right w:val="nil"/>
            </w:tcBorders>
            <w:shd w:val="clear" w:color="000000" w:fill="FBB078"/>
            <w:noWrap/>
            <w:vAlign w:val="bottom"/>
            <w:hideMark/>
          </w:tcPr>
          <w:p w14:paraId="1A73B842" w14:textId="77777777" w:rsidR="006622DF" w:rsidRPr="006622DF" w:rsidRDefault="006622DF" w:rsidP="006622DF">
            <w:pPr>
              <w:jc w:val="right"/>
              <w:rPr>
                <w:color w:val="000000"/>
                <w:sz w:val="20"/>
                <w:szCs w:val="20"/>
              </w:rPr>
            </w:pPr>
            <w:r w:rsidRPr="006622DF">
              <w:rPr>
                <w:color w:val="000000"/>
                <w:sz w:val="20"/>
                <w:szCs w:val="20"/>
              </w:rPr>
              <w:t>1.07</w:t>
            </w:r>
          </w:p>
        </w:tc>
        <w:tc>
          <w:tcPr>
            <w:tcW w:w="850" w:type="dxa"/>
            <w:tcBorders>
              <w:top w:val="nil"/>
              <w:left w:val="nil"/>
              <w:bottom w:val="nil"/>
              <w:right w:val="nil"/>
            </w:tcBorders>
            <w:shd w:val="clear" w:color="000000" w:fill="FBA376"/>
            <w:noWrap/>
            <w:vAlign w:val="bottom"/>
            <w:hideMark/>
          </w:tcPr>
          <w:p w14:paraId="64707D9D" w14:textId="77777777" w:rsidR="006622DF" w:rsidRPr="006622DF" w:rsidRDefault="006622DF" w:rsidP="006622DF">
            <w:pPr>
              <w:jc w:val="right"/>
              <w:rPr>
                <w:color w:val="000000"/>
                <w:sz w:val="20"/>
                <w:szCs w:val="20"/>
              </w:rPr>
            </w:pPr>
            <w:r w:rsidRPr="006622DF">
              <w:rPr>
                <w:color w:val="000000"/>
                <w:sz w:val="20"/>
                <w:szCs w:val="20"/>
              </w:rPr>
              <w:t>0.78</w:t>
            </w:r>
          </w:p>
        </w:tc>
        <w:tc>
          <w:tcPr>
            <w:tcW w:w="850" w:type="dxa"/>
            <w:tcBorders>
              <w:top w:val="nil"/>
              <w:left w:val="nil"/>
              <w:bottom w:val="nil"/>
              <w:right w:val="nil"/>
            </w:tcBorders>
            <w:shd w:val="clear" w:color="000000" w:fill="FAA075"/>
            <w:noWrap/>
            <w:vAlign w:val="bottom"/>
            <w:hideMark/>
          </w:tcPr>
          <w:p w14:paraId="4A8FCE5F" w14:textId="77777777" w:rsidR="006622DF" w:rsidRPr="006622DF" w:rsidRDefault="006622DF" w:rsidP="006622DF">
            <w:pPr>
              <w:jc w:val="right"/>
              <w:rPr>
                <w:color w:val="000000"/>
                <w:sz w:val="20"/>
                <w:szCs w:val="20"/>
              </w:rPr>
            </w:pPr>
            <w:r w:rsidRPr="006622DF">
              <w:rPr>
                <w:color w:val="000000"/>
                <w:sz w:val="20"/>
                <w:szCs w:val="20"/>
              </w:rPr>
              <w:t>0.71</w:t>
            </w:r>
          </w:p>
        </w:tc>
        <w:tc>
          <w:tcPr>
            <w:tcW w:w="854" w:type="dxa"/>
            <w:tcBorders>
              <w:top w:val="nil"/>
              <w:left w:val="nil"/>
              <w:bottom w:val="nil"/>
              <w:right w:val="nil"/>
            </w:tcBorders>
            <w:shd w:val="clear" w:color="000000" w:fill="FCB87A"/>
            <w:noWrap/>
            <w:vAlign w:val="bottom"/>
            <w:hideMark/>
          </w:tcPr>
          <w:p w14:paraId="09ECE04A" w14:textId="77777777" w:rsidR="006622DF" w:rsidRPr="006622DF" w:rsidRDefault="006622DF" w:rsidP="006622DF">
            <w:pPr>
              <w:jc w:val="right"/>
              <w:rPr>
                <w:color w:val="000000"/>
                <w:sz w:val="20"/>
                <w:szCs w:val="20"/>
              </w:rPr>
            </w:pPr>
            <w:r w:rsidRPr="006622DF">
              <w:rPr>
                <w:color w:val="000000"/>
                <w:sz w:val="20"/>
                <w:szCs w:val="20"/>
              </w:rPr>
              <w:t>1.24</w:t>
            </w:r>
          </w:p>
        </w:tc>
      </w:tr>
      <w:tr w:rsidR="006622DF" w:rsidRPr="006622DF" w14:paraId="1EB80C61" w14:textId="77777777" w:rsidTr="003B400E">
        <w:trPr>
          <w:trHeight w:val="164"/>
          <w:jc w:val="center"/>
        </w:trPr>
        <w:tc>
          <w:tcPr>
            <w:tcW w:w="850" w:type="dxa"/>
            <w:tcBorders>
              <w:top w:val="nil"/>
              <w:left w:val="nil"/>
              <w:bottom w:val="nil"/>
              <w:right w:val="nil"/>
            </w:tcBorders>
            <w:noWrap/>
            <w:vAlign w:val="bottom"/>
            <w:hideMark/>
          </w:tcPr>
          <w:p w14:paraId="4A35F924" w14:textId="77777777" w:rsidR="006622DF" w:rsidRPr="006622DF" w:rsidRDefault="006622DF" w:rsidP="006622DF">
            <w:pPr>
              <w:jc w:val="right"/>
              <w:rPr>
                <w:color w:val="000000"/>
                <w:sz w:val="20"/>
                <w:szCs w:val="20"/>
              </w:rPr>
            </w:pPr>
            <w:r w:rsidRPr="006622DF">
              <w:rPr>
                <w:color w:val="000000"/>
                <w:sz w:val="20"/>
                <w:szCs w:val="20"/>
              </w:rPr>
              <w:t>3</w:t>
            </w:r>
          </w:p>
        </w:tc>
        <w:tc>
          <w:tcPr>
            <w:tcW w:w="850" w:type="dxa"/>
            <w:tcBorders>
              <w:top w:val="nil"/>
              <w:left w:val="nil"/>
              <w:bottom w:val="nil"/>
              <w:right w:val="nil"/>
            </w:tcBorders>
            <w:shd w:val="clear" w:color="000000" w:fill="FBAB77"/>
            <w:noWrap/>
            <w:vAlign w:val="bottom"/>
            <w:hideMark/>
          </w:tcPr>
          <w:p w14:paraId="13A3B8B7" w14:textId="77777777" w:rsidR="006622DF" w:rsidRPr="006622DF" w:rsidRDefault="006622DF" w:rsidP="006622DF">
            <w:pPr>
              <w:jc w:val="right"/>
              <w:rPr>
                <w:color w:val="000000"/>
                <w:sz w:val="20"/>
                <w:szCs w:val="20"/>
              </w:rPr>
            </w:pPr>
            <w:r w:rsidRPr="006622DF">
              <w:rPr>
                <w:color w:val="000000"/>
                <w:sz w:val="20"/>
                <w:szCs w:val="20"/>
              </w:rPr>
              <w:t>0.96</w:t>
            </w:r>
          </w:p>
        </w:tc>
        <w:tc>
          <w:tcPr>
            <w:tcW w:w="850" w:type="dxa"/>
            <w:tcBorders>
              <w:top w:val="nil"/>
              <w:left w:val="nil"/>
              <w:bottom w:val="nil"/>
              <w:right w:val="nil"/>
            </w:tcBorders>
            <w:shd w:val="clear" w:color="000000" w:fill="FBA977"/>
            <w:noWrap/>
            <w:vAlign w:val="bottom"/>
            <w:hideMark/>
          </w:tcPr>
          <w:p w14:paraId="0AF207C5" w14:textId="77777777" w:rsidR="006622DF" w:rsidRPr="006622DF" w:rsidRDefault="006622DF" w:rsidP="006622DF">
            <w:pPr>
              <w:jc w:val="right"/>
              <w:rPr>
                <w:color w:val="000000"/>
                <w:sz w:val="20"/>
                <w:szCs w:val="20"/>
              </w:rPr>
            </w:pPr>
            <w:r w:rsidRPr="006622DF">
              <w:rPr>
                <w:color w:val="000000"/>
                <w:sz w:val="20"/>
                <w:szCs w:val="20"/>
              </w:rPr>
              <w:t>0.91</w:t>
            </w:r>
          </w:p>
        </w:tc>
        <w:tc>
          <w:tcPr>
            <w:tcW w:w="850" w:type="dxa"/>
            <w:tcBorders>
              <w:top w:val="nil"/>
              <w:left w:val="nil"/>
              <w:bottom w:val="nil"/>
              <w:right w:val="nil"/>
            </w:tcBorders>
            <w:shd w:val="clear" w:color="000000" w:fill="FCBD7B"/>
            <w:noWrap/>
            <w:vAlign w:val="bottom"/>
            <w:hideMark/>
          </w:tcPr>
          <w:p w14:paraId="0220C864" w14:textId="77777777" w:rsidR="006622DF" w:rsidRPr="006622DF" w:rsidRDefault="006622DF" w:rsidP="006622DF">
            <w:pPr>
              <w:jc w:val="right"/>
              <w:rPr>
                <w:color w:val="000000"/>
                <w:sz w:val="20"/>
                <w:szCs w:val="20"/>
              </w:rPr>
            </w:pPr>
            <w:r w:rsidRPr="006622DF">
              <w:rPr>
                <w:color w:val="000000"/>
                <w:sz w:val="20"/>
                <w:szCs w:val="20"/>
              </w:rPr>
              <w:t>1.35</w:t>
            </w:r>
          </w:p>
        </w:tc>
        <w:tc>
          <w:tcPr>
            <w:tcW w:w="850" w:type="dxa"/>
            <w:tcBorders>
              <w:top w:val="nil"/>
              <w:left w:val="nil"/>
              <w:bottom w:val="nil"/>
              <w:right w:val="nil"/>
            </w:tcBorders>
            <w:shd w:val="clear" w:color="000000" w:fill="FEE683"/>
            <w:noWrap/>
            <w:vAlign w:val="bottom"/>
            <w:hideMark/>
          </w:tcPr>
          <w:p w14:paraId="3EB4642B" w14:textId="77777777" w:rsidR="006622DF" w:rsidRPr="006622DF" w:rsidRDefault="006622DF" w:rsidP="006622DF">
            <w:pPr>
              <w:jc w:val="right"/>
              <w:rPr>
                <w:color w:val="000000"/>
                <w:sz w:val="20"/>
                <w:szCs w:val="20"/>
              </w:rPr>
            </w:pPr>
            <w:r w:rsidRPr="006622DF">
              <w:rPr>
                <w:color w:val="000000"/>
                <w:sz w:val="20"/>
                <w:szCs w:val="20"/>
              </w:rPr>
              <w:t>2.26</w:t>
            </w:r>
          </w:p>
        </w:tc>
        <w:tc>
          <w:tcPr>
            <w:tcW w:w="850" w:type="dxa"/>
            <w:tcBorders>
              <w:top w:val="nil"/>
              <w:left w:val="nil"/>
              <w:bottom w:val="nil"/>
              <w:right w:val="nil"/>
            </w:tcBorders>
            <w:shd w:val="clear" w:color="000000" w:fill="E1E383"/>
            <w:noWrap/>
            <w:vAlign w:val="bottom"/>
            <w:hideMark/>
          </w:tcPr>
          <w:p w14:paraId="2973962C" w14:textId="77777777" w:rsidR="006622DF" w:rsidRPr="006622DF" w:rsidRDefault="006622DF" w:rsidP="006622DF">
            <w:pPr>
              <w:jc w:val="right"/>
              <w:rPr>
                <w:color w:val="000000"/>
                <w:sz w:val="20"/>
                <w:szCs w:val="20"/>
              </w:rPr>
            </w:pPr>
            <w:r w:rsidRPr="006622DF">
              <w:rPr>
                <w:color w:val="000000"/>
                <w:sz w:val="20"/>
                <w:szCs w:val="20"/>
              </w:rPr>
              <w:t>2.47</w:t>
            </w:r>
          </w:p>
        </w:tc>
        <w:tc>
          <w:tcPr>
            <w:tcW w:w="854" w:type="dxa"/>
            <w:tcBorders>
              <w:top w:val="nil"/>
              <w:left w:val="nil"/>
              <w:bottom w:val="nil"/>
              <w:right w:val="nil"/>
            </w:tcBorders>
            <w:shd w:val="clear" w:color="000000" w:fill="E5E483"/>
            <w:noWrap/>
            <w:vAlign w:val="bottom"/>
            <w:hideMark/>
          </w:tcPr>
          <w:p w14:paraId="5254EA94" w14:textId="77777777" w:rsidR="006622DF" w:rsidRPr="006622DF" w:rsidRDefault="006622DF" w:rsidP="006622DF">
            <w:pPr>
              <w:jc w:val="right"/>
              <w:rPr>
                <w:color w:val="000000"/>
                <w:sz w:val="20"/>
                <w:szCs w:val="20"/>
              </w:rPr>
            </w:pPr>
            <w:r w:rsidRPr="006622DF">
              <w:rPr>
                <w:color w:val="000000"/>
                <w:sz w:val="20"/>
                <w:szCs w:val="20"/>
              </w:rPr>
              <w:t>2.45</w:t>
            </w:r>
          </w:p>
        </w:tc>
      </w:tr>
      <w:tr w:rsidR="006622DF" w:rsidRPr="006622DF" w14:paraId="2FD4A4F2" w14:textId="77777777" w:rsidTr="003B400E">
        <w:trPr>
          <w:trHeight w:val="164"/>
          <w:jc w:val="center"/>
        </w:trPr>
        <w:tc>
          <w:tcPr>
            <w:tcW w:w="850" w:type="dxa"/>
            <w:tcBorders>
              <w:top w:val="nil"/>
              <w:left w:val="nil"/>
              <w:bottom w:val="nil"/>
              <w:right w:val="nil"/>
            </w:tcBorders>
            <w:noWrap/>
            <w:vAlign w:val="bottom"/>
            <w:hideMark/>
          </w:tcPr>
          <w:p w14:paraId="15BFAC33" w14:textId="77777777" w:rsidR="006622DF" w:rsidRPr="006622DF" w:rsidRDefault="006622DF" w:rsidP="006622DF">
            <w:pPr>
              <w:jc w:val="right"/>
              <w:rPr>
                <w:color w:val="000000"/>
                <w:sz w:val="20"/>
                <w:szCs w:val="20"/>
              </w:rPr>
            </w:pPr>
            <w:r w:rsidRPr="006622DF">
              <w:rPr>
                <w:color w:val="000000"/>
                <w:sz w:val="20"/>
                <w:szCs w:val="20"/>
              </w:rPr>
              <w:t>4</w:t>
            </w:r>
          </w:p>
        </w:tc>
        <w:tc>
          <w:tcPr>
            <w:tcW w:w="850" w:type="dxa"/>
            <w:tcBorders>
              <w:top w:val="nil"/>
              <w:left w:val="nil"/>
              <w:bottom w:val="nil"/>
              <w:right w:val="nil"/>
            </w:tcBorders>
            <w:shd w:val="clear" w:color="000000" w:fill="FA9F75"/>
            <w:noWrap/>
            <w:vAlign w:val="bottom"/>
            <w:hideMark/>
          </w:tcPr>
          <w:p w14:paraId="753DD486" w14:textId="77777777" w:rsidR="006622DF" w:rsidRPr="006622DF" w:rsidRDefault="006622DF" w:rsidP="006622DF">
            <w:pPr>
              <w:jc w:val="right"/>
              <w:rPr>
                <w:color w:val="000000"/>
                <w:sz w:val="20"/>
                <w:szCs w:val="20"/>
              </w:rPr>
            </w:pPr>
            <w:r w:rsidRPr="006622DF">
              <w:rPr>
                <w:color w:val="000000"/>
                <w:sz w:val="20"/>
                <w:szCs w:val="20"/>
              </w:rPr>
              <w:t>0.70</w:t>
            </w:r>
          </w:p>
        </w:tc>
        <w:tc>
          <w:tcPr>
            <w:tcW w:w="850" w:type="dxa"/>
            <w:tcBorders>
              <w:top w:val="nil"/>
              <w:left w:val="nil"/>
              <w:bottom w:val="nil"/>
              <w:right w:val="nil"/>
            </w:tcBorders>
            <w:shd w:val="clear" w:color="000000" w:fill="FDD780"/>
            <w:noWrap/>
            <w:vAlign w:val="bottom"/>
            <w:hideMark/>
          </w:tcPr>
          <w:p w14:paraId="600F1B21" w14:textId="77777777" w:rsidR="006622DF" w:rsidRPr="006622DF" w:rsidRDefault="006622DF" w:rsidP="006622DF">
            <w:pPr>
              <w:jc w:val="right"/>
              <w:rPr>
                <w:color w:val="000000"/>
                <w:sz w:val="20"/>
                <w:szCs w:val="20"/>
              </w:rPr>
            </w:pPr>
            <w:r w:rsidRPr="006622DF">
              <w:rPr>
                <w:color w:val="000000"/>
                <w:sz w:val="20"/>
                <w:szCs w:val="20"/>
              </w:rPr>
              <w:t>1.92</w:t>
            </w:r>
          </w:p>
        </w:tc>
        <w:tc>
          <w:tcPr>
            <w:tcW w:w="850" w:type="dxa"/>
            <w:tcBorders>
              <w:top w:val="nil"/>
              <w:left w:val="nil"/>
              <w:bottom w:val="nil"/>
              <w:right w:val="nil"/>
            </w:tcBorders>
            <w:shd w:val="clear" w:color="000000" w:fill="C4DA81"/>
            <w:noWrap/>
            <w:vAlign w:val="bottom"/>
            <w:hideMark/>
          </w:tcPr>
          <w:p w14:paraId="3E90A3F8" w14:textId="77777777" w:rsidR="006622DF" w:rsidRPr="006622DF" w:rsidRDefault="006622DF" w:rsidP="006622DF">
            <w:pPr>
              <w:jc w:val="right"/>
              <w:rPr>
                <w:color w:val="000000"/>
                <w:sz w:val="20"/>
                <w:szCs w:val="20"/>
              </w:rPr>
            </w:pPr>
            <w:r w:rsidRPr="006622DF">
              <w:rPr>
                <w:color w:val="000000"/>
                <w:sz w:val="20"/>
                <w:szCs w:val="20"/>
              </w:rPr>
              <w:t>2.57</w:t>
            </w:r>
          </w:p>
        </w:tc>
        <w:tc>
          <w:tcPr>
            <w:tcW w:w="850" w:type="dxa"/>
            <w:tcBorders>
              <w:top w:val="nil"/>
              <w:left w:val="nil"/>
              <w:bottom w:val="nil"/>
              <w:right w:val="nil"/>
            </w:tcBorders>
            <w:shd w:val="clear" w:color="000000" w:fill="A3D17F"/>
            <w:noWrap/>
            <w:vAlign w:val="bottom"/>
            <w:hideMark/>
          </w:tcPr>
          <w:p w14:paraId="4DEF38E9" w14:textId="77777777" w:rsidR="006622DF" w:rsidRPr="006622DF" w:rsidRDefault="006622DF" w:rsidP="006622DF">
            <w:pPr>
              <w:jc w:val="right"/>
              <w:rPr>
                <w:color w:val="000000"/>
                <w:sz w:val="20"/>
                <w:szCs w:val="20"/>
              </w:rPr>
            </w:pPr>
            <w:r w:rsidRPr="006622DF">
              <w:rPr>
                <w:color w:val="000000"/>
                <w:sz w:val="20"/>
                <w:szCs w:val="20"/>
              </w:rPr>
              <w:t>2.68</w:t>
            </w:r>
          </w:p>
        </w:tc>
        <w:tc>
          <w:tcPr>
            <w:tcW w:w="850" w:type="dxa"/>
            <w:tcBorders>
              <w:top w:val="nil"/>
              <w:left w:val="nil"/>
              <w:bottom w:val="nil"/>
              <w:right w:val="nil"/>
            </w:tcBorders>
            <w:shd w:val="clear" w:color="000000" w:fill="B4D680"/>
            <w:noWrap/>
            <w:vAlign w:val="bottom"/>
            <w:hideMark/>
          </w:tcPr>
          <w:p w14:paraId="6D6717FC" w14:textId="77777777" w:rsidR="006622DF" w:rsidRPr="006622DF" w:rsidRDefault="006622DF" w:rsidP="006622DF">
            <w:pPr>
              <w:jc w:val="right"/>
              <w:rPr>
                <w:color w:val="000000"/>
                <w:sz w:val="20"/>
                <w:szCs w:val="20"/>
              </w:rPr>
            </w:pPr>
            <w:r w:rsidRPr="006622DF">
              <w:rPr>
                <w:color w:val="000000"/>
                <w:sz w:val="20"/>
                <w:szCs w:val="20"/>
              </w:rPr>
              <w:t>2.62</w:t>
            </w:r>
          </w:p>
        </w:tc>
        <w:tc>
          <w:tcPr>
            <w:tcW w:w="854" w:type="dxa"/>
            <w:tcBorders>
              <w:top w:val="nil"/>
              <w:left w:val="nil"/>
              <w:bottom w:val="nil"/>
              <w:right w:val="nil"/>
            </w:tcBorders>
            <w:shd w:val="clear" w:color="000000" w:fill="CDDD82"/>
            <w:noWrap/>
            <w:vAlign w:val="bottom"/>
            <w:hideMark/>
          </w:tcPr>
          <w:p w14:paraId="27101A7B" w14:textId="77777777" w:rsidR="006622DF" w:rsidRPr="006622DF" w:rsidRDefault="006622DF" w:rsidP="006622DF">
            <w:pPr>
              <w:jc w:val="right"/>
              <w:rPr>
                <w:color w:val="000000"/>
                <w:sz w:val="20"/>
                <w:szCs w:val="20"/>
              </w:rPr>
            </w:pPr>
            <w:r w:rsidRPr="006622DF">
              <w:rPr>
                <w:color w:val="000000"/>
                <w:sz w:val="20"/>
                <w:szCs w:val="20"/>
              </w:rPr>
              <w:t>2.54</w:t>
            </w:r>
          </w:p>
        </w:tc>
      </w:tr>
      <w:tr w:rsidR="006622DF" w:rsidRPr="006622DF" w14:paraId="06D570B5" w14:textId="77777777" w:rsidTr="003B400E">
        <w:trPr>
          <w:trHeight w:val="164"/>
          <w:jc w:val="center"/>
        </w:trPr>
        <w:tc>
          <w:tcPr>
            <w:tcW w:w="850" w:type="dxa"/>
            <w:tcBorders>
              <w:top w:val="nil"/>
              <w:left w:val="nil"/>
              <w:bottom w:val="nil"/>
              <w:right w:val="nil"/>
            </w:tcBorders>
            <w:noWrap/>
            <w:vAlign w:val="bottom"/>
            <w:hideMark/>
          </w:tcPr>
          <w:p w14:paraId="0BC89D9A" w14:textId="77777777" w:rsidR="006622DF" w:rsidRPr="006622DF" w:rsidRDefault="006622DF" w:rsidP="006622DF">
            <w:pPr>
              <w:jc w:val="right"/>
              <w:rPr>
                <w:color w:val="000000"/>
                <w:sz w:val="20"/>
                <w:szCs w:val="20"/>
              </w:rPr>
            </w:pPr>
            <w:r w:rsidRPr="006622DF">
              <w:rPr>
                <w:color w:val="000000"/>
                <w:sz w:val="20"/>
                <w:szCs w:val="20"/>
              </w:rPr>
              <w:t>5</w:t>
            </w:r>
          </w:p>
        </w:tc>
        <w:tc>
          <w:tcPr>
            <w:tcW w:w="850" w:type="dxa"/>
            <w:tcBorders>
              <w:top w:val="nil"/>
              <w:left w:val="nil"/>
              <w:bottom w:val="nil"/>
              <w:right w:val="nil"/>
            </w:tcBorders>
            <w:shd w:val="clear" w:color="000000" w:fill="FDC67D"/>
            <w:noWrap/>
            <w:vAlign w:val="bottom"/>
            <w:hideMark/>
          </w:tcPr>
          <w:p w14:paraId="2A52CD93" w14:textId="77777777" w:rsidR="006622DF" w:rsidRPr="006622DF" w:rsidRDefault="006622DF" w:rsidP="006622DF">
            <w:pPr>
              <w:jc w:val="right"/>
              <w:rPr>
                <w:color w:val="000000"/>
                <w:sz w:val="20"/>
                <w:szCs w:val="20"/>
              </w:rPr>
            </w:pPr>
            <w:r w:rsidRPr="006622DF">
              <w:rPr>
                <w:color w:val="000000"/>
                <w:sz w:val="20"/>
                <w:szCs w:val="20"/>
              </w:rPr>
              <w:t>1.56</w:t>
            </w:r>
          </w:p>
        </w:tc>
        <w:tc>
          <w:tcPr>
            <w:tcW w:w="850" w:type="dxa"/>
            <w:tcBorders>
              <w:top w:val="nil"/>
              <w:left w:val="nil"/>
              <w:bottom w:val="nil"/>
              <w:right w:val="nil"/>
            </w:tcBorders>
            <w:shd w:val="clear" w:color="000000" w:fill="CEDD82"/>
            <w:noWrap/>
            <w:vAlign w:val="bottom"/>
            <w:hideMark/>
          </w:tcPr>
          <w:p w14:paraId="45A555D2" w14:textId="77777777" w:rsidR="006622DF" w:rsidRPr="006622DF" w:rsidRDefault="006622DF" w:rsidP="006622DF">
            <w:pPr>
              <w:jc w:val="right"/>
              <w:rPr>
                <w:color w:val="000000"/>
                <w:sz w:val="20"/>
                <w:szCs w:val="20"/>
              </w:rPr>
            </w:pPr>
            <w:r w:rsidRPr="006622DF">
              <w:rPr>
                <w:color w:val="000000"/>
                <w:sz w:val="20"/>
                <w:szCs w:val="20"/>
              </w:rPr>
              <w:t>2.53</w:t>
            </w:r>
          </w:p>
        </w:tc>
        <w:tc>
          <w:tcPr>
            <w:tcW w:w="850" w:type="dxa"/>
            <w:tcBorders>
              <w:top w:val="single" w:sz="4" w:space="0" w:color="auto"/>
              <w:left w:val="single" w:sz="4" w:space="0" w:color="auto"/>
              <w:bottom w:val="single" w:sz="4" w:space="0" w:color="auto"/>
              <w:right w:val="single" w:sz="4" w:space="0" w:color="auto"/>
            </w:tcBorders>
            <w:shd w:val="clear" w:color="000000" w:fill="89C97E"/>
            <w:noWrap/>
            <w:vAlign w:val="bottom"/>
            <w:hideMark/>
          </w:tcPr>
          <w:p w14:paraId="72DA35D3" w14:textId="77777777" w:rsidR="006622DF" w:rsidRPr="006622DF" w:rsidRDefault="006622DF" w:rsidP="006622DF">
            <w:pPr>
              <w:jc w:val="right"/>
              <w:rPr>
                <w:b/>
                <w:bCs/>
                <w:color w:val="000000"/>
                <w:sz w:val="20"/>
                <w:szCs w:val="20"/>
              </w:rPr>
            </w:pPr>
            <w:r w:rsidRPr="006622DF">
              <w:rPr>
                <w:b/>
                <w:bCs/>
                <w:color w:val="000000"/>
                <w:sz w:val="20"/>
                <w:szCs w:val="20"/>
              </w:rPr>
              <w:t>2.77</w:t>
            </w:r>
          </w:p>
        </w:tc>
        <w:tc>
          <w:tcPr>
            <w:tcW w:w="850" w:type="dxa"/>
            <w:tcBorders>
              <w:top w:val="nil"/>
              <w:left w:val="nil"/>
              <w:bottom w:val="nil"/>
              <w:right w:val="nil"/>
            </w:tcBorders>
            <w:shd w:val="clear" w:color="000000" w:fill="A2D17F"/>
            <w:noWrap/>
            <w:vAlign w:val="bottom"/>
            <w:hideMark/>
          </w:tcPr>
          <w:p w14:paraId="384FC601" w14:textId="77777777" w:rsidR="006622DF" w:rsidRPr="006622DF" w:rsidRDefault="006622DF" w:rsidP="006622DF">
            <w:pPr>
              <w:jc w:val="right"/>
              <w:rPr>
                <w:color w:val="000000"/>
                <w:sz w:val="20"/>
                <w:szCs w:val="20"/>
              </w:rPr>
            </w:pPr>
            <w:r w:rsidRPr="006622DF">
              <w:rPr>
                <w:color w:val="000000"/>
                <w:sz w:val="20"/>
                <w:szCs w:val="20"/>
              </w:rPr>
              <w:t>2.68</w:t>
            </w:r>
          </w:p>
        </w:tc>
        <w:tc>
          <w:tcPr>
            <w:tcW w:w="850" w:type="dxa"/>
            <w:tcBorders>
              <w:top w:val="nil"/>
              <w:left w:val="nil"/>
              <w:bottom w:val="nil"/>
              <w:right w:val="nil"/>
            </w:tcBorders>
            <w:shd w:val="clear" w:color="000000" w:fill="BCD881"/>
            <w:noWrap/>
            <w:vAlign w:val="bottom"/>
            <w:hideMark/>
          </w:tcPr>
          <w:p w14:paraId="676BF2FF" w14:textId="77777777" w:rsidR="006622DF" w:rsidRPr="006622DF" w:rsidRDefault="006622DF" w:rsidP="006622DF">
            <w:pPr>
              <w:jc w:val="right"/>
              <w:rPr>
                <w:color w:val="000000"/>
                <w:sz w:val="20"/>
                <w:szCs w:val="20"/>
              </w:rPr>
            </w:pPr>
            <w:r w:rsidRPr="006622DF">
              <w:rPr>
                <w:color w:val="000000"/>
                <w:sz w:val="20"/>
                <w:szCs w:val="20"/>
              </w:rPr>
              <w:t>2.59</w:t>
            </w:r>
          </w:p>
        </w:tc>
        <w:tc>
          <w:tcPr>
            <w:tcW w:w="854" w:type="dxa"/>
            <w:tcBorders>
              <w:top w:val="nil"/>
              <w:left w:val="nil"/>
              <w:bottom w:val="nil"/>
              <w:right w:val="nil"/>
            </w:tcBorders>
            <w:shd w:val="clear" w:color="000000" w:fill="B4D680"/>
            <w:noWrap/>
            <w:vAlign w:val="bottom"/>
            <w:hideMark/>
          </w:tcPr>
          <w:p w14:paraId="33560A49" w14:textId="77777777" w:rsidR="006622DF" w:rsidRPr="006622DF" w:rsidRDefault="006622DF" w:rsidP="006622DF">
            <w:pPr>
              <w:jc w:val="right"/>
              <w:rPr>
                <w:color w:val="000000"/>
                <w:sz w:val="20"/>
                <w:szCs w:val="20"/>
              </w:rPr>
            </w:pPr>
            <w:r w:rsidRPr="006622DF">
              <w:rPr>
                <w:color w:val="000000"/>
                <w:sz w:val="20"/>
                <w:szCs w:val="20"/>
              </w:rPr>
              <w:t>2.62</w:t>
            </w:r>
          </w:p>
        </w:tc>
      </w:tr>
      <w:tr w:rsidR="006622DF" w:rsidRPr="006622DF" w14:paraId="22B99A8F" w14:textId="77777777" w:rsidTr="003B400E">
        <w:trPr>
          <w:trHeight w:val="164"/>
          <w:jc w:val="center"/>
        </w:trPr>
        <w:tc>
          <w:tcPr>
            <w:tcW w:w="850" w:type="dxa"/>
            <w:tcBorders>
              <w:top w:val="nil"/>
              <w:left w:val="nil"/>
              <w:bottom w:val="nil"/>
              <w:right w:val="nil"/>
            </w:tcBorders>
            <w:noWrap/>
            <w:vAlign w:val="bottom"/>
            <w:hideMark/>
          </w:tcPr>
          <w:p w14:paraId="45518F98" w14:textId="77777777" w:rsidR="006622DF" w:rsidRPr="006622DF" w:rsidRDefault="006622DF" w:rsidP="006622DF">
            <w:pPr>
              <w:jc w:val="right"/>
              <w:rPr>
                <w:color w:val="000000"/>
                <w:sz w:val="20"/>
                <w:szCs w:val="20"/>
              </w:rPr>
            </w:pPr>
            <w:r w:rsidRPr="006622DF">
              <w:rPr>
                <w:color w:val="000000"/>
                <w:sz w:val="20"/>
                <w:szCs w:val="20"/>
              </w:rPr>
              <w:t>6</w:t>
            </w:r>
          </w:p>
        </w:tc>
        <w:tc>
          <w:tcPr>
            <w:tcW w:w="850" w:type="dxa"/>
            <w:tcBorders>
              <w:top w:val="nil"/>
              <w:left w:val="nil"/>
              <w:bottom w:val="nil"/>
              <w:right w:val="nil"/>
            </w:tcBorders>
            <w:shd w:val="clear" w:color="000000" w:fill="FEE182"/>
            <w:noWrap/>
            <w:vAlign w:val="bottom"/>
            <w:hideMark/>
          </w:tcPr>
          <w:p w14:paraId="64FE8AC4" w14:textId="77777777" w:rsidR="006622DF" w:rsidRPr="006622DF" w:rsidRDefault="006622DF" w:rsidP="006622DF">
            <w:pPr>
              <w:jc w:val="right"/>
              <w:rPr>
                <w:color w:val="000000"/>
                <w:sz w:val="20"/>
                <w:szCs w:val="20"/>
              </w:rPr>
            </w:pPr>
            <w:r w:rsidRPr="006622DF">
              <w:rPr>
                <w:color w:val="000000"/>
                <w:sz w:val="20"/>
                <w:szCs w:val="20"/>
              </w:rPr>
              <w:t>2.15</w:t>
            </w:r>
          </w:p>
        </w:tc>
        <w:tc>
          <w:tcPr>
            <w:tcW w:w="850" w:type="dxa"/>
            <w:tcBorders>
              <w:top w:val="single" w:sz="4" w:space="0" w:color="auto"/>
              <w:left w:val="single" w:sz="4" w:space="0" w:color="auto"/>
              <w:bottom w:val="single" w:sz="4" w:space="0" w:color="auto"/>
              <w:right w:val="single" w:sz="4" w:space="0" w:color="auto"/>
            </w:tcBorders>
            <w:shd w:val="clear" w:color="000000" w:fill="8ACA7E"/>
            <w:noWrap/>
            <w:vAlign w:val="bottom"/>
            <w:hideMark/>
          </w:tcPr>
          <w:p w14:paraId="141E6529" w14:textId="77777777" w:rsidR="006622DF" w:rsidRPr="006622DF" w:rsidRDefault="006622DF" w:rsidP="006622DF">
            <w:pPr>
              <w:jc w:val="right"/>
              <w:rPr>
                <w:b/>
                <w:bCs/>
                <w:color w:val="000000"/>
                <w:sz w:val="20"/>
                <w:szCs w:val="20"/>
              </w:rPr>
            </w:pPr>
            <w:r w:rsidRPr="006622DF">
              <w:rPr>
                <w:b/>
                <w:bCs/>
                <w:color w:val="000000"/>
                <w:sz w:val="20"/>
                <w:szCs w:val="20"/>
              </w:rPr>
              <w:t>2.77</w:t>
            </w:r>
          </w:p>
        </w:tc>
        <w:tc>
          <w:tcPr>
            <w:tcW w:w="850" w:type="dxa"/>
            <w:tcBorders>
              <w:top w:val="nil"/>
              <w:left w:val="nil"/>
              <w:bottom w:val="nil"/>
              <w:right w:val="nil"/>
            </w:tcBorders>
            <w:shd w:val="clear" w:color="000000" w:fill="93CC7E"/>
            <w:noWrap/>
            <w:vAlign w:val="bottom"/>
            <w:hideMark/>
          </w:tcPr>
          <w:p w14:paraId="6D1B9535" w14:textId="77777777" w:rsidR="006622DF" w:rsidRPr="006622DF" w:rsidRDefault="006622DF" w:rsidP="006622DF">
            <w:pPr>
              <w:jc w:val="right"/>
              <w:rPr>
                <w:color w:val="000000"/>
                <w:sz w:val="20"/>
                <w:szCs w:val="20"/>
              </w:rPr>
            </w:pPr>
            <w:r w:rsidRPr="006622DF">
              <w:rPr>
                <w:color w:val="000000"/>
                <w:sz w:val="20"/>
                <w:szCs w:val="20"/>
              </w:rPr>
              <w:t>2.74</w:t>
            </w:r>
          </w:p>
        </w:tc>
        <w:tc>
          <w:tcPr>
            <w:tcW w:w="850" w:type="dxa"/>
            <w:tcBorders>
              <w:top w:val="nil"/>
              <w:left w:val="nil"/>
              <w:bottom w:val="nil"/>
              <w:right w:val="nil"/>
            </w:tcBorders>
            <w:shd w:val="clear" w:color="000000" w:fill="A6D27F"/>
            <w:noWrap/>
            <w:vAlign w:val="bottom"/>
            <w:hideMark/>
          </w:tcPr>
          <w:p w14:paraId="5637FEC0" w14:textId="77777777" w:rsidR="006622DF" w:rsidRPr="006622DF" w:rsidRDefault="006622DF" w:rsidP="006622DF">
            <w:pPr>
              <w:jc w:val="right"/>
              <w:rPr>
                <w:color w:val="000000"/>
                <w:sz w:val="20"/>
                <w:szCs w:val="20"/>
              </w:rPr>
            </w:pPr>
            <w:r w:rsidRPr="006622DF">
              <w:rPr>
                <w:color w:val="000000"/>
                <w:sz w:val="20"/>
                <w:szCs w:val="20"/>
              </w:rPr>
              <w:t>2.67</w:t>
            </w:r>
          </w:p>
        </w:tc>
        <w:tc>
          <w:tcPr>
            <w:tcW w:w="850" w:type="dxa"/>
            <w:tcBorders>
              <w:top w:val="nil"/>
              <w:left w:val="nil"/>
              <w:bottom w:val="nil"/>
              <w:right w:val="nil"/>
            </w:tcBorders>
            <w:shd w:val="clear" w:color="000000" w:fill="B7D780"/>
            <w:noWrap/>
            <w:vAlign w:val="bottom"/>
            <w:hideMark/>
          </w:tcPr>
          <w:p w14:paraId="3D34E630" w14:textId="77777777" w:rsidR="006622DF" w:rsidRPr="006622DF" w:rsidRDefault="006622DF" w:rsidP="006622DF">
            <w:pPr>
              <w:jc w:val="right"/>
              <w:rPr>
                <w:color w:val="000000"/>
                <w:sz w:val="20"/>
                <w:szCs w:val="20"/>
              </w:rPr>
            </w:pPr>
            <w:r w:rsidRPr="006622DF">
              <w:rPr>
                <w:color w:val="000000"/>
                <w:sz w:val="20"/>
                <w:szCs w:val="20"/>
              </w:rPr>
              <w:t>2.61</w:t>
            </w:r>
          </w:p>
        </w:tc>
        <w:tc>
          <w:tcPr>
            <w:tcW w:w="854" w:type="dxa"/>
            <w:tcBorders>
              <w:top w:val="nil"/>
              <w:left w:val="nil"/>
              <w:bottom w:val="nil"/>
              <w:right w:val="nil"/>
            </w:tcBorders>
            <w:shd w:val="clear" w:color="000000" w:fill="CFDD82"/>
            <w:noWrap/>
            <w:vAlign w:val="bottom"/>
            <w:hideMark/>
          </w:tcPr>
          <w:p w14:paraId="316FA27E" w14:textId="77777777" w:rsidR="006622DF" w:rsidRPr="006622DF" w:rsidRDefault="006622DF" w:rsidP="006622DF">
            <w:pPr>
              <w:jc w:val="right"/>
              <w:rPr>
                <w:color w:val="000000"/>
                <w:sz w:val="20"/>
                <w:szCs w:val="20"/>
              </w:rPr>
            </w:pPr>
            <w:r w:rsidRPr="006622DF">
              <w:rPr>
                <w:color w:val="000000"/>
                <w:sz w:val="20"/>
                <w:szCs w:val="20"/>
              </w:rPr>
              <w:t>2.53</w:t>
            </w:r>
          </w:p>
        </w:tc>
      </w:tr>
      <w:tr w:rsidR="006622DF" w:rsidRPr="006622DF" w14:paraId="298692F9" w14:textId="77777777" w:rsidTr="003B400E">
        <w:trPr>
          <w:trHeight w:val="164"/>
          <w:jc w:val="center"/>
        </w:trPr>
        <w:tc>
          <w:tcPr>
            <w:tcW w:w="850" w:type="dxa"/>
            <w:tcBorders>
              <w:top w:val="nil"/>
              <w:left w:val="nil"/>
              <w:bottom w:val="nil"/>
              <w:right w:val="nil"/>
            </w:tcBorders>
            <w:noWrap/>
            <w:vAlign w:val="bottom"/>
            <w:hideMark/>
          </w:tcPr>
          <w:p w14:paraId="456B312C" w14:textId="77777777" w:rsidR="006622DF" w:rsidRPr="006622DF" w:rsidRDefault="006622DF" w:rsidP="006622DF">
            <w:pPr>
              <w:jc w:val="right"/>
              <w:rPr>
                <w:color w:val="000000"/>
                <w:sz w:val="20"/>
                <w:szCs w:val="20"/>
              </w:rPr>
            </w:pPr>
            <w:r w:rsidRPr="006622DF">
              <w:rPr>
                <w:color w:val="000000"/>
                <w:sz w:val="20"/>
                <w:szCs w:val="20"/>
              </w:rPr>
              <w:t>7</w:t>
            </w:r>
          </w:p>
        </w:tc>
        <w:tc>
          <w:tcPr>
            <w:tcW w:w="850" w:type="dxa"/>
            <w:tcBorders>
              <w:top w:val="nil"/>
              <w:left w:val="nil"/>
              <w:bottom w:val="nil"/>
              <w:right w:val="nil"/>
            </w:tcBorders>
            <w:shd w:val="clear" w:color="000000" w:fill="BBD881"/>
            <w:noWrap/>
            <w:vAlign w:val="bottom"/>
            <w:hideMark/>
          </w:tcPr>
          <w:p w14:paraId="3C4A3AED" w14:textId="77777777" w:rsidR="006622DF" w:rsidRPr="006622DF" w:rsidRDefault="006622DF" w:rsidP="006622DF">
            <w:pPr>
              <w:jc w:val="right"/>
              <w:rPr>
                <w:color w:val="000000"/>
                <w:sz w:val="20"/>
                <w:szCs w:val="20"/>
              </w:rPr>
            </w:pPr>
            <w:r w:rsidRPr="006622DF">
              <w:rPr>
                <w:color w:val="000000"/>
                <w:sz w:val="20"/>
                <w:szCs w:val="20"/>
              </w:rPr>
              <w:t>2.60</w:t>
            </w:r>
          </w:p>
        </w:tc>
        <w:tc>
          <w:tcPr>
            <w:tcW w:w="850" w:type="dxa"/>
            <w:tcBorders>
              <w:top w:val="single" w:sz="4" w:space="0" w:color="auto"/>
              <w:left w:val="single" w:sz="4" w:space="0" w:color="auto"/>
              <w:bottom w:val="single" w:sz="4" w:space="0" w:color="auto"/>
              <w:right w:val="single" w:sz="4" w:space="0" w:color="auto"/>
            </w:tcBorders>
            <w:shd w:val="clear" w:color="000000" w:fill="8CCA7E"/>
            <w:noWrap/>
            <w:vAlign w:val="bottom"/>
            <w:hideMark/>
          </w:tcPr>
          <w:p w14:paraId="06C37D0E" w14:textId="77777777" w:rsidR="006622DF" w:rsidRPr="006622DF" w:rsidRDefault="006622DF" w:rsidP="006622DF">
            <w:pPr>
              <w:jc w:val="right"/>
              <w:rPr>
                <w:b/>
                <w:bCs/>
                <w:color w:val="000000"/>
                <w:sz w:val="20"/>
                <w:szCs w:val="20"/>
              </w:rPr>
            </w:pPr>
            <w:r w:rsidRPr="006622DF">
              <w:rPr>
                <w:b/>
                <w:bCs/>
                <w:color w:val="000000"/>
                <w:sz w:val="20"/>
                <w:szCs w:val="20"/>
              </w:rPr>
              <w:t>2.76</w:t>
            </w:r>
          </w:p>
        </w:tc>
        <w:tc>
          <w:tcPr>
            <w:tcW w:w="850" w:type="dxa"/>
            <w:tcBorders>
              <w:top w:val="nil"/>
              <w:left w:val="nil"/>
              <w:bottom w:val="nil"/>
              <w:right w:val="nil"/>
            </w:tcBorders>
            <w:shd w:val="clear" w:color="000000" w:fill="9CCF7F"/>
            <w:noWrap/>
            <w:vAlign w:val="bottom"/>
            <w:hideMark/>
          </w:tcPr>
          <w:p w14:paraId="14A1253B" w14:textId="77777777" w:rsidR="006622DF" w:rsidRPr="006622DF" w:rsidRDefault="006622DF" w:rsidP="006622DF">
            <w:pPr>
              <w:jc w:val="right"/>
              <w:rPr>
                <w:color w:val="000000"/>
                <w:sz w:val="20"/>
                <w:szCs w:val="20"/>
              </w:rPr>
            </w:pPr>
            <w:r w:rsidRPr="006622DF">
              <w:rPr>
                <w:color w:val="000000"/>
                <w:sz w:val="20"/>
                <w:szCs w:val="20"/>
              </w:rPr>
              <w:t>2.70</w:t>
            </w:r>
          </w:p>
        </w:tc>
        <w:tc>
          <w:tcPr>
            <w:tcW w:w="850" w:type="dxa"/>
            <w:tcBorders>
              <w:top w:val="nil"/>
              <w:left w:val="nil"/>
              <w:bottom w:val="nil"/>
              <w:right w:val="nil"/>
            </w:tcBorders>
            <w:shd w:val="clear" w:color="000000" w:fill="B7D780"/>
            <w:noWrap/>
            <w:vAlign w:val="bottom"/>
            <w:hideMark/>
          </w:tcPr>
          <w:p w14:paraId="051E032E" w14:textId="77777777" w:rsidR="006622DF" w:rsidRPr="006622DF" w:rsidRDefault="006622DF" w:rsidP="006622DF">
            <w:pPr>
              <w:jc w:val="right"/>
              <w:rPr>
                <w:color w:val="000000"/>
                <w:sz w:val="20"/>
                <w:szCs w:val="20"/>
              </w:rPr>
            </w:pPr>
            <w:r w:rsidRPr="006622DF">
              <w:rPr>
                <w:color w:val="000000"/>
                <w:sz w:val="20"/>
                <w:szCs w:val="20"/>
              </w:rPr>
              <w:t>2.61</w:t>
            </w:r>
          </w:p>
        </w:tc>
        <w:tc>
          <w:tcPr>
            <w:tcW w:w="850" w:type="dxa"/>
            <w:tcBorders>
              <w:top w:val="single" w:sz="4" w:space="0" w:color="auto"/>
              <w:left w:val="single" w:sz="4" w:space="0" w:color="auto"/>
              <w:bottom w:val="single" w:sz="4" w:space="0" w:color="auto"/>
              <w:right w:val="single" w:sz="4" w:space="0" w:color="auto"/>
            </w:tcBorders>
            <w:shd w:val="clear" w:color="000000" w:fill="7EC67D"/>
            <w:noWrap/>
            <w:vAlign w:val="bottom"/>
            <w:hideMark/>
          </w:tcPr>
          <w:p w14:paraId="6B6CBEC5" w14:textId="77777777" w:rsidR="006622DF" w:rsidRPr="006622DF" w:rsidRDefault="006622DF" w:rsidP="006622DF">
            <w:pPr>
              <w:jc w:val="right"/>
              <w:rPr>
                <w:b/>
                <w:bCs/>
                <w:color w:val="000000"/>
                <w:sz w:val="20"/>
                <w:szCs w:val="20"/>
              </w:rPr>
            </w:pPr>
            <w:r w:rsidRPr="006622DF">
              <w:rPr>
                <w:b/>
                <w:bCs/>
                <w:color w:val="000000"/>
                <w:sz w:val="20"/>
                <w:szCs w:val="20"/>
              </w:rPr>
              <w:t>2.81</w:t>
            </w:r>
          </w:p>
        </w:tc>
        <w:tc>
          <w:tcPr>
            <w:tcW w:w="854" w:type="dxa"/>
            <w:tcBorders>
              <w:top w:val="nil"/>
              <w:left w:val="nil"/>
              <w:bottom w:val="nil"/>
              <w:right w:val="nil"/>
            </w:tcBorders>
            <w:shd w:val="clear" w:color="000000" w:fill="FEE883"/>
            <w:noWrap/>
            <w:vAlign w:val="bottom"/>
            <w:hideMark/>
          </w:tcPr>
          <w:p w14:paraId="45DF7B36" w14:textId="77777777" w:rsidR="006622DF" w:rsidRPr="006622DF" w:rsidRDefault="006622DF" w:rsidP="006622DF">
            <w:pPr>
              <w:jc w:val="right"/>
              <w:rPr>
                <w:color w:val="000000"/>
                <w:sz w:val="20"/>
                <w:szCs w:val="20"/>
              </w:rPr>
            </w:pPr>
            <w:r w:rsidRPr="006622DF">
              <w:rPr>
                <w:color w:val="000000"/>
                <w:sz w:val="20"/>
                <w:szCs w:val="20"/>
              </w:rPr>
              <w:t>2.30</w:t>
            </w:r>
          </w:p>
        </w:tc>
      </w:tr>
      <w:tr w:rsidR="006622DF" w:rsidRPr="006622DF" w14:paraId="7573D265" w14:textId="77777777" w:rsidTr="003B400E">
        <w:trPr>
          <w:trHeight w:val="164"/>
          <w:jc w:val="center"/>
        </w:trPr>
        <w:tc>
          <w:tcPr>
            <w:tcW w:w="850" w:type="dxa"/>
            <w:tcBorders>
              <w:top w:val="nil"/>
              <w:left w:val="nil"/>
              <w:bottom w:val="nil"/>
              <w:right w:val="nil"/>
            </w:tcBorders>
            <w:noWrap/>
            <w:vAlign w:val="bottom"/>
            <w:hideMark/>
          </w:tcPr>
          <w:p w14:paraId="2AC11175" w14:textId="77777777" w:rsidR="006622DF" w:rsidRPr="006622DF" w:rsidRDefault="006622DF" w:rsidP="006622DF">
            <w:pPr>
              <w:jc w:val="right"/>
              <w:rPr>
                <w:color w:val="000000"/>
                <w:sz w:val="20"/>
                <w:szCs w:val="20"/>
              </w:rPr>
            </w:pPr>
            <w:r w:rsidRPr="006622DF">
              <w:rPr>
                <w:color w:val="000000"/>
                <w:sz w:val="20"/>
                <w:szCs w:val="20"/>
              </w:rPr>
              <w:t>8</w:t>
            </w:r>
          </w:p>
        </w:tc>
        <w:tc>
          <w:tcPr>
            <w:tcW w:w="850" w:type="dxa"/>
            <w:tcBorders>
              <w:top w:val="single" w:sz="4" w:space="0" w:color="auto"/>
              <w:left w:val="single" w:sz="4" w:space="0" w:color="auto"/>
              <w:bottom w:val="single" w:sz="4" w:space="0" w:color="auto"/>
              <w:right w:val="single" w:sz="4" w:space="0" w:color="auto"/>
            </w:tcBorders>
            <w:shd w:val="clear" w:color="000000" w:fill="7AC57D"/>
            <w:noWrap/>
            <w:vAlign w:val="bottom"/>
            <w:hideMark/>
          </w:tcPr>
          <w:p w14:paraId="4BC7756B" w14:textId="77777777" w:rsidR="006622DF" w:rsidRPr="006622DF" w:rsidRDefault="006622DF" w:rsidP="006622DF">
            <w:pPr>
              <w:jc w:val="right"/>
              <w:rPr>
                <w:b/>
                <w:bCs/>
                <w:color w:val="000000"/>
                <w:sz w:val="20"/>
                <w:szCs w:val="20"/>
              </w:rPr>
            </w:pPr>
            <w:r w:rsidRPr="006622DF">
              <w:rPr>
                <w:b/>
                <w:bCs/>
                <w:color w:val="000000"/>
                <w:sz w:val="20"/>
                <w:szCs w:val="20"/>
              </w:rPr>
              <w:t>2.82</w:t>
            </w:r>
          </w:p>
        </w:tc>
        <w:tc>
          <w:tcPr>
            <w:tcW w:w="850" w:type="dxa"/>
            <w:tcBorders>
              <w:top w:val="single" w:sz="4" w:space="0" w:color="auto"/>
              <w:left w:val="single" w:sz="4" w:space="0" w:color="auto"/>
              <w:bottom w:val="single" w:sz="4" w:space="0" w:color="auto"/>
              <w:right w:val="single" w:sz="4" w:space="0" w:color="auto"/>
            </w:tcBorders>
            <w:shd w:val="clear" w:color="000000" w:fill="83C87D"/>
            <w:noWrap/>
            <w:vAlign w:val="bottom"/>
            <w:hideMark/>
          </w:tcPr>
          <w:p w14:paraId="3DF06163" w14:textId="77777777" w:rsidR="006622DF" w:rsidRPr="006622DF" w:rsidRDefault="006622DF" w:rsidP="006622DF">
            <w:pPr>
              <w:jc w:val="right"/>
              <w:rPr>
                <w:b/>
                <w:bCs/>
                <w:color w:val="000000"/>
                <w:sz w:val="20"/>
                <w:szCs w:val="20"/>
              </w:rPr>
            </w:pPr>
            <w:r w:rsidRPr="006622DF">
              <w:rPr>
                <w:b/>
                <w:bCs/>
                <w:color w:val="000000"/>
                <w:sz w:val="20"/>
                <w:szCs w:val="20"/>
              </w:rPr>
              <w:t>2.79</w:t>
            </w:r>
          </w:p>
        </w:tc>
        <w:tc>
          <w:tcPr>
            <w:tcW w:w="850" w:type="dxa"/>
            <w:tcBorders>
              <w:top w:val="nil"/>
              <w:left w:val="nil"/>
              <w:bottom w:val="nil"/>
              <w:right w:val="nil"/>
            </w:tcBorders>
            <w:shd w:val="clear" w:color="000000" w:fill="A5D17F"/>
            <w:noWrap/>
            <w:vAlign w:val="bottom"/>
            <w:hideMark/>
          </w:tcPr>
          <w:p w14:paraId="49D4F2CC" w14:textId="77777777" w:rsidR="006622DF" w:rsidRPr="006622DF" w:rsidRDefault="006622DF" w:rsidP="006622DF">
            <w:pPr>
              <w:jc w:val="right"/>
              <w:rPr>
                <w:color w:val="000000"/>
                <w:sz w:val="20"/>
                <w:szCs w:val="20"/>
              </w:rPr>
            </w:pPr>
            <w:r w:rsidRPr="006622DF">
              <w:rPr>
                <w:color w:val="000000"/>
                <w:sz w:val="20"/>
                <w:szCs w:val="20"/>
              </w:rPr>
              <w:t>2.67</w:t>
            </w:r>
          </w:p>
        </w:tc>
        <w:tc>
          <w:tcPr>
            <w:tcW w:w="850" w:type="dxa"/>
            <w:tcBorders>
              <w:top w:val="nil"/>
              <w:left w:val="nil"/>
              <w:bottom w:val="nil"/>
              <w:right w:val="nil"/>
            </w:tcBorders>
            <w:shd w:val="clear" w:color="000000" w:fill="91CC7E"/>
            <w:noWrap/>
            <w:vAlign w:val="bottom"/>
            <w:hideMark/>
          </w:tcPr>
          <w:p w14:paraId="0973622A" w14:textId="77777777" w:rsidR="006622DF" w:rsidRPr="006622DF" w:rsidRDefault="006622DF" w:rsidP="006622DF">
            <w:pPr>
              <w:jc w:val="right"/>
              <w:rPr>
                <w:color w:val="000000"/>
                <w:sz w:val="20"/>
                <w:szCs w:val="20"/>
              </w:rPr>
            </w:pPr>
            <w:r w:rsidRPr="006622DF">
              <w:rPr>
                <w:color w:val="000000"/>
                <w:sz w:val="20"/>
                <w:szCs w:val="20"/>
              </w:rPr>
              <w:t>2.74</w:t>
            </w:r>
          </w:p>
        </w:tc>
        <w:tc>
          <w:tcPr>
            <w:tcW w:w="850" w:type="dxa"/>
            <w:tcBorders>
              <w:top w:val="nil"/>
              <w:left w:val="nil"/>
              <w:bottom w:val="nil"/>
              <w:right w:val="nil"/>
            </w:tcBorders>
            <w:shd w:val="clear" w:color="000000" w:fill="B9D780"/>
            <w:noWrap/>
            <w:vAlign w:val="bottom"/>
            <w:hideMark/>
          </w:tcPr>
          <w:p w14:paraId="2A89A7DF" w14:textId="77777777" w:rsidR="006622DF" w:rsidRPr="006622DF" w:rsidRDefault="006622DF" w:rsidP="006622DF">
            <w:pPr>
              <w:jc w:val="right"/>
              <w:rPr>
                <w:color w:val="000000"/>
                <w:sz w:val="20"/>
                <w:szCs w:val="20"/>
              </w:rPr>
            </w:pPr>
            <w:r w:rsidRPr="006622DF">
              <w:rPr>
                <w:color w:val="000000"/>
                <w:sz w:val="20"/>
                <w:szCs w:val="20"/>
              </w:rPr>
              <w:t>2.60</w:t>
            </w:r>
          </w:p>
        </w:tc>
        <w:tc>
          <w:tcPr>
            <w:tcW w:w="854" w:type="dxa"/>
            <w:tcBorders>
              <w:top w:val="nil"/>
              <w:left w:val="nil"/>
              <w:bottom w:val="nil"/>
              <w:right w:val="nil"/>
            </w:tcBorders>
            <w:shd w:val="clear" w:color="000000" w:fill="FEE182"/>
            <w:noWrap/>
            <w:vAlign w:val="bottom"/>
            <w:hideMark/>
          </w:tcPr>
          <w:p w14:paraId="7DF9DBD7" w14:textId="77777777" w:rsidR="006622DF" w:rsidRPr="006622DF" w:rsidRDefault="006622DF" w:rsidP="006622DF">
            <w:pPr>
              <w:jc w:val="right"/>
              <w:rPr>
                <w:color w:val="000000"/>
                <w:sz w:val="20"/>
                <w:szCs w:val="20"/>
              </w:rPr>
            </w:pPr>
            <w:r w:rsidRPr="006622DF">
              <w:rPr>
                <w:color w:val="000000"/>
                <w:sz w:val="20"/>
                <w:szCs w:val="20"/>
              </w:rPr>
              <w:t>2.14</w:t>
            </w:r>
          </w:p>
        </w:tc>
      </w:tr>
      <w:tr w:rsidR="006622DF" w:rsidRPr="006622DF" w14:paraId="7BBC4F2B" w14:textId="77777777" w:rsidTr="003B400E">
        <w:trPr>
          <w:trHeight w:val="164"/>
          <w:jc w:val="center"/>
        </w:trPr>
        <w:tc>
          <w:tcPr>
            <w:tcW w:w="850" w:type="dxa"/>
            <w:tcBorders>
              <w:top w:val="nil"/>
              <w:left w:val="nil"/>
              <w:bottom w:val="nil"/>
              <w:right w:val="nil"/>
            </w:tcBorders>
            <w:noWrap/>
            <w:vAlign w:val="bottom"/>
            <w:hideMark/>
          </w:tcPr>
          <w:p w14:paraId="775B604D" w14:textId="77777777" w:rsidR="006622DF" w:rsidRPr="006622DF" w:rsidRDefault="006622DF" w:rsidP="006622DF">
            <w:pPr>
              <w:jc w:val="right"/>
              <w:rPr>
                <w:color w:val="000000"/>
                <w:sz w:val="20"/>
                <w:szCs w:val="20"/>
              </w:rPr>
            </w:pPr>
            <w:r w:rsidRPr="006622DF">
              <w:rPr>
                <w:color w:val="000000"/>
                <w:sz w:val="20"/>
                <w:szCs w:val="20"/>
              </w:rPr>
              <w:t>9</w:t>
            </w:r>
          </w:p>
        </w:tc>
        <w:tc>
          <w:tcPr>
            <w:tcW w:w="850" w:type="dxa"/>
            <w:tcBorders>
              <w:top w:val="single" w:sz="4" w:space="0" w:color="auto"/>
              <w:left w:val="single" w:sz="4" w:space="0" w:color="auto"/>
              <w:bottom w:val="single" w:sz="4" w:space="0" w:color="auto"/>
              <w:right w:val="single" w:sz="4" w:space="0" w:color="auto"/>
            </w:tcBorders>
            <w:shd w:val="clear" w:color="000000" w:fill="63BE7B"/>
            <w:noWrap/>
            <w:vAlign w:val="bottom"/>
            <w:hideMark/>
          </w:tcPr>
          <w:p w14:paraId="078A74AB" w14:textId="77777777" w:rsidR="006622DF" w:rsidRPr="006622DF" w:rsidRDefault="006622DF" w:rsidP="006622DF">
            <w:pPr>
              <w:jc w:val="right"/>
              <w:rPr>
                <w:b/>
                <w:bCs/>
                <w:color w:val="000000"/>
                <w:sz w:val="20"/>
                <w:szCs w:val="20"/>
              </w:rPr>
            </w:pPr>
            <w:r w:rsidRPr="006622DF">
              <w:rPr>
                <w:b/>
                <w:bCs/>
                <w:color w:val="000000"/>
                <w:sz w:val="20"/>
                <w:szCs w:val="20"/>
              </w:rPr>
              <w:t>2.90</w:t>
            </w:r>
          </w:p>
        </w:tc>
        <w:tc>
          <w:tcPr>
            <w:tcW w:w="850" w:type="dxa"/>
            <w:tcBorders>
              <w:top w:val="nil"/>
              <w:left w:val="nil"/>
              <w:bottom w:val="nil"/>
              <w:right w:val="nil"/>
            </w:tcBorders>
            <w:shd w:val="clear" w:color="000000" w:fill="B3D580"/>
            <w:noWrap/>
            <w:vAlign w:val="bottom"/>
            <w:hideMark/>
          </w:tcPr>
          <w:p w14:paraId="65AA7FFD" w14:textId="77777777" w:rsidR="006622DF" w:rsidRPr="006622DF" w:rsidRDefault="006622DF" w:rsidP="006622DF">
            <w:pPr>
              <w:jc w:val="right"/>
              <w:rPr>
                <w:color w:val="000000"/>
                <w:sz w:val="20"/>
                <w:szCs w:val="20"/>
              </w:rPr>
            </w:pPr>
            <w:r w:rsidRPr="006622DF">
              <w:rPr>
                <w:color w:val="000000"/>
                <w:sz w:val="20"/>
                <w:szCs w:val="20"/>
              </w:rPr>
              <w:t>2.62</w:t>
            </w:r>
          </w:p>
        </w:tc>
        <w:tc>
          <w:tcPr>
            <w:tcW w:w="850" w:type="dxa"/>
            <w:tcBorders>
              <w:top w:val="single" w:sz="4" w:space="0" w:color="auto"/>
              <w:left w:val="single" w:sz="4" w:space="0" w:color="auto"/>
              <w:bottom w:val="single" w:sz="4" w:space="0" w:color="auto"/>
              <w:right w:val="single" w:sz="4" w:space="0" w:color="auto"/>
            </w:tcBorders>
            <w:shd w:val="clear" w:color="000000" w:fill="90CB7E"/>
            <w:noWrap/>
            <w:vAlign w:val="bottom"/>
            <w:hideMark/>
          </w:tcPr>
          <w:p w14:paraId="58FCEBC5" w14:textId="77777777" w:rsidR="006622DF" w:rsidRPr="006622DF" w:rsidRDefault="006622DF" w:rsidP="006622DF">
            <w:pPr>
              <w:jc w:val="right"/>
              <w:rPr>
                <w:b/>
                <w:bCs/>
                <w:color w:val="000000"/>
                <w:sz w:val="20"/>
                <w:szCs w:val="20"/>
              </w:rPr>
            </w:pPr>
            <w:r w:rsidRPr="006622DF">
              <w:rPr>
                <w:b/>
                <w:bCs/>
                <w:color w:val="000000"/>
                <w:sz w:val="20"/>
                <w:szCs w:val="20"/>
              </w:rPr>
              <w:t>2.74</w:t>
            </w:r>
          </w:p>
        </w:tc>
        <w:tc>
          <w:tcPr>
            <w:tcW w:w="850" w:type="dxa"/>
            <w:tcBorders>
              <w:top w:val="nil"/>
              <w:left w:val="nil"/>
              <w:bottom w:val="nil"/>
              <w:right w:val="nil"/>
            </w:tcBorders>
            <w:shd w:val="clear" w:color="000000" w:fill="A3D17F"/>
            <w:noWrap/>
            <w:vAlign w:val="bottom"/>
            <w:hideMark/>
          </w:tcPr>
          <w:p w14:paraId="79EDBCC1" w14:textId="77777777" w:rsidR="006622DF" w:rsidRPr="006622DF" w:rsidRDefault="006622DF" w:rsidP="006622DF">
            <w:pPr>
              <w:jc w:val="right"/>
              <w:rPr>
                <w:color w:val="000000"/>
                <w:sz w:val="20"/>
                <w:szCs w:val="20"/>
              </w:rPr>
            </w:pPr>
            <w:r w:rsidRPr="006622DF">
              <w:rPr>
                <w:color w:val="000000"/>
                <w:sz w:val="20"/>
                <w:szCs w:val="20"/>
              </w:rPr>
              <w:t>2.68</w:t>
            </w:r>
          </w:p>
        </w:tc>
        <w:tc>
          <w:tcPr>
            <w:tcW w:w="850" w:type="dxa"/>
            <w:tcBorders>
              <w:top w:val="nil"/>
              <w:left w:val="nil"/>
              <w:bottom w:val="nil"/>
              <w:right w:val="nil"/>
            </w:tcBorders>
            <w:shd w:val="clear" w:color="000000" w:fill="E7E583"/>
            <w:noWrap/>
            <w:vAlign w:val="bottom"/>
            <w:hideMark/>
          </w:tcPr>
          <w:p w14:paraId="306F304D" w14:textId="77777777" w:rsidR="006622DF" w:rsidRPr="006622DF" w:rsidRDefault="006622DF" w:rsidP="006622DF">
            <w:pPr>
              <w:jc w:val="right"/>
              <w:rPr>
                <w:color w:val="000000"/>
                <w:sz w:val="20"/>
                <w:szCs w:val="20"/>
              </w:rPr>
            </w:pPr>
            <w:r w:rsidRPr="006622DF">
              <w:rPr>
                <w:color w:val="000000"/>
                <w:sz w:val="20"/>
                <w:szCs w:val="20"/>
              </w:rPr>
              <w:t>2.44</w:t>
            </w:r>
          </w:p>
        </w:tc>
        <w:tc>
          <w:tcPr>
            <w:tcW w:w="854" w:type="dxa"/>
            <w:tcBorders>
              <w:top w:val="nil"/>
              <w:left w:val="nil"/>
              <w:bottom w:val="nil"/>
              <w:right w:val="nil"/>
            </w:tcBorders>
            <w:shd w:val="clear" w:color="000000" w:fill="FEE182"/>
            <w:noWrap/>
            <w:vAlign w:val="bottom"/>
            <w:hideMark/>
          </w:tcPr>
          <w:p w14:paraId="349CBAF0" w14:textId="77777777" w:rsidR="006622DF" w:rsidRPr="006622DF" w:rsidRDefault="006622DF" w:rsidP="006622DF">
            <w:pPr>
              <w:jc w:val="right"/>
              <w:rPr>
                <w:color w:val="000000"/>
                <w:sz w:val="20"/>
                <w:szCs w:val="20"/>
              </w:rPr>
            </w:pPr>
            <w:r w:rsidRPr="006622DF">
              <w:rPr>
                <w:color w:val="000000"/>
                <w:sz w:val="20"/>
                <w:szCs w:val="20"/>
              </w:rPr>
              <w:t>2.14</w:t>
            </w:r>
          </w:p>
        </w:tc>
      </w:tr>
      <w:tr w:rsidR="006622DF" w:rsidRPr="006622DF" w14:paraId="39420127" w14:textId="77777777" w:rsidTr="003B400E">
        <w:trPr>
          <w:trHeight w:val="164"/>
          <w:jc w:val="center"/>
        </w:trPr>
        <w:tc>
          <w:tcPr>
            <w:tcW w:w="850" w:type="dxa"/>
            <w:tcBorders>
              <w:top w:val="nil"/>
              <w:left w:val="nil"/>
              <w:bottom w:val="nil"/>
              <w:right w:val="nil"/>
            </w:tcBorders>
            <w:noWrap/>
            <w:vAlign w:val="bottom"/>
            <w:hideMark/>
          </w:tcPr>
          <w:p w14:paraId="0236177E" w14:textId="77777777" w:rsidR="006622DF" w:rsidRPr="006622DF" w:rsidRDefault="006622DF" w:rsidP="006622DF">
            <w:pPr>
              <w:jc w:val="right"/>
              <w:rPr>
                <w:color w:val="000000"/>
                <w:sz w:val="20"/>
                <w:szCs w:val="20"/>
              </w:rPr>
            </w:pPr>
            <w:r w:rsidRPr="006622DF">
              <w:rPr>
                <w:color w:val="000000"/>
                <w:sz w:val="20"/>
                <w:szCs w:val="20"/>
              </w:rPr>
              <w:t>10</w:t>
            </w:r>
          </w:p>
        </w:tc>
        <w:tc>
          <w:tcPr>
            <w:tcW w:w="850" w:type="dxa"/>
            <w:tcBorders>
              <w:top w:val="nil"/>
              <w:left w:val="nil"/>
              <w:bottom w:val="nil"/>
              <w:right w:val="nil"/>
            </w:tcBorders>
            <w:shd w:val="clear" w:color="000000" w:fill="97CD7E"/>
            <w:noWrap/>
            <w:vAlign w:val="bottom"/>
            <w:hideMark/>
          </w:tcPr>
          <w:p w14:paraId="702FDB6B" w14:textId="77777777" w:rsidR="006622DF" w:rsidRPr="006622DF" w:rsidRDefault="006622DF" w:rsidP="006622DF">
            <w:pPr>
              <w:jc w:val="right"/>
              <w:rPr>
                <w:color w:val="000000"/>
                <w:sz w:val="20"/>
                <w:szCs w:val="20"/>
              </w:rPr>
            </w:pPr>
            <w:r w:rsidRPr="006622DF">
              <w:rPr>
                <w:color w:val="000000"/>
                <w:sz w:val="20"/>
                <w:szCs w:val="20"/>
              </w:rPr>
              <w:t>2.72</w:t>
            </w:r>
          </w:p>
        </w:tc>
        <w:tc>
          <w:tcPr>
            <w:tcW w:w="850" w:type="dxa"/>
            <w:tcBorders>
              <w:top w:val="nil"/>
              <w:left w:val="nil"/>
              <w:bottom w:val="nil"/>
              <w:right w:val="nil"/>
            </w:tcBorders>
            <w:shd w:val="clear" w:color="000000" w:fill="C1D981"/>
            <w:noWrap/>
            <w:vAlign w:val="bottom"/>
            <w:hideMark/>
          </w:tcPr>
          <w:p w14:paraId="77017CE0" w14:textId="77777777" w:rsidR="006622DF" w:rsidRPr="006622DF" w:rsidRDefault="006622DF" w:rsidP="006622DF">
            <w:pPr>
              <w:jc w:val="right"/>
              <w:rPr>
                <w:color w:val="000000"/>
                <w:sz w:val="20"/>
                <w:szCs w:val="20"/>
              </w:rPr>
            </w:pPr>
            <w:r w:rsidRPr="006622DF">
              <w:rPr>
                <w:color w:val="000000"/>
                <w:sz w:val="20"/>
                <w:szCs w:val="20"/>
              </w:rPr>
              <w:t>2.58</w:t>
            </w:r>
          </w:p>
        </w:tc>
        <w:tc>
          <w:tcPr>
            <w:tcW w:w="850" w:type="dxa"/>
            <w:tcBorders>
              <w:top w:val="single" w:sz="4" w:space="0" w:color="auto"/>
              <w:left w:val="single" w:sz="4" w:space="0" w:color="auto"/>
              <w:bottom w:val="single" w:sz="4" w:space="0" w:color="auto"/>
              <w:right w:val="single" w:sz="4" w:space="0" w:color="auto"/>
            </w:tcBorders>
            <w:shd w:val="clear" w:color="000000" w:fill="8ECB7E"/>
            <w:noWrap/>
            <w:vAlign w:val="bottom"/>
            <w:hideMark/>
          </w:tcPr>
          <w:p w14:paraId="0F20889A" w14:textId="77777777" w:rsidR="006622DF" w:rsidRPr="006622DF" w:rsidRDefault="006622DF" w:rsidP="006622DF">
            <w:pPr>
              <w:jc w:val="right"/>
              <w:rPr>
                <w:b/>
                <w:bCs/>
                <w:color w:val="000000"/>
                <w:sz w:val="20"/>
                <w:szCs w:val="20"/>
              </w:rPr>
            </w:pPr>
            <w:r w:rsidRPr="006622DF">
              <w:rPr>
                <w:b/>
                <w:bCs/>
                <w:color w:val="000000"/>
                <w:sz w:val="20"/>
                <w:szCs w:val="20"/>
              </w:rPr>
              <w:t>2.75</w:t>
            </w:r>
          </w:p>
        </w:tc>
        <w:tc>
          <w:tcPr>
            <w:tcW w:w="850" w:type="dxa"/>
            <w:tcBorders>
              <w:top w:val="nil"/>
              <w:left w:val="nil"/>
              <w:bottom w:val="nil"/>
              <w:right w:val="nil"/>
            </w:tcBorders>
            <w:shd w:val="clear" w:color="000000" w:fill="B1D580"/>
            <w:noWrap/>
            <w:vAlign w:val="bottom"/>
            <w:hideMark/>
          </w:tcPr>
          <w:p w14:paraId="6E252CB9" w14:textId="77777777" w:rsidR="006622DF" w:rsidRPr="006622DF" w:rsidRDefault="006622DF" w:rsidP="006622DF">
            <w:pPr>
              <w:jc w:val="right"/>
              <w:rPr>
                <w:color w:val="000000"/>
                <w:sz w:val="20"/>
                <w:szCs w:val="20"/>
              </w:rPr>
            </w:pPr>
            <w:r w:rsidRPr="006622DF">
              <w:rPr>
                <w:color w:val="000000"/>
                <w:sz w:val="20"/>
                <w:szCs w:val="20"/>
              </w:rPr>
              <w:t>2.63</w:t>
            </w:r>
          </w:p>
        </w:tc>
        <w:tc>
          <w:tcPr>
            <w:tcW w:w="850" w:type="dxa"/>
            <w:tcBorders>
              <w:top w:val="nil"/>
              <w:left w:val="nil"/>
              <w:bottom w:val="nil"/>
              <w:right w:val="nil"/>
            </w:tcBorders>
            <w:shd w:val="clear" w:color="000000" w:fill="DCE182"/>
            <w:noWrap/>
            <w:vAlign w:val="bottom"/>
            <w:hideMark/>
          </w:tcPr>
          <w:p w14:paraId="23319890" w14:textId="77777777" w:rsidR="006622DF" w:rsidRPr="006622DF" w:rsidRDefault="006622DF" w:rsidP="006622DF">
            <w:pPr>
              <w:jc w:val="right"/>
              <w:rPr>
                <w:color w:val="000000"/>
                <w:sz w:val="20"/>
                <w:szCs w:val="20"/>
              </w:rPr>
            </w:pPr>
            <w:r w:rsidRPr="006622DF">
              <w:rPr>
                <w:color w:val="000000"/>
                <w:sz w:val="20"/>
                <w:szCs w:val="20"/>
              </w:rPr>
              <w:t>2.48</w:t>
            </w:r>
          </w:p>
        </w:tc>
        <w:tc>
          <w:tcPr>
            <w:tcW w:w="854" w:type="dxa"/>
            <w:tcBorders>
              <w:top w:val="nil"/>
              <w:left w:val="nil"/>
              <w:bottom w:val="nil"/>
              <w:right w:val="nil"/>
            </w:tcBorders>
            <w:shd w:val="clear" w:color="000000" w:fill="FEE783"/>
            <w:noWrap/>
            <w:vAlign w:val="bottom"/>
            <w:hideMark/>
          </w:tcPr>
          <w:p w14:paraId="40B6A0C2" w14:textId="77777777" w:rsidR="006622DF" w:rsidRPr="006622DF" w:rsidRDefault="006622DF" w:rsidP="006622DF">
            <w:pPr>
              <w:jc w:val="right"/>
              <w:rPr>
                <w:color w:val="000000"/>
                <w:sz w:val="20"/>
                <w:szCs w:val="20"/>
              </w:rPr>
            </w:pPr>
            <w:r w:rsidRPr="006622DF">
              <w:rPr>
                <w:color w:val="000000"/>
                <w:sz w:val="20"/>
                <w:szCs w:val="20"/>
              </w:rPr>
              <w:t>2.29</w:t>
            </w:r>
          </w:p>
        </w:tc>
      </w:tr>
    </w:tbl>
    <w:p w14:paraId="53C5FF1F" w14:textId="77777777" w:rsidR="006622DF" w:rsidRDefault="006622DF" w:rsidP="00C77422">
      <w:pPr>
        <w:pStyle w:val="SWCText"/>
      </w:pPr>
    </w:p>
    <w:p w14:paraId="6138BDEA" w14:textId="3427591E" w:rsidR="00481EBF" w:rsidRDefault="00F04CB4" w:rsidP="00D43827">
      <w:pPr>
        <w:pStyle w:val="Textocomentario"/>
      </w:pPr>
      <w:r>
        <w:t xml:space="preserve">This last effect of sharp losses on undersizing but plateauing if oversizing can be seen on the 3D plot shown in </w:t>
      </w:r>
      <w:r>
        <w:fldChar w:fldCharType="begin"/>
      </w:r>
      <w:r>
        <w:instrText xml:space="preserve"> REF _Ref231308758 \h </w:instrText>
      </w:r>
      <w:r>
        <w:fldChar w:fldCharType="separate"/>
      </w:r>
      <w:r w:rsidR="002337D2">
        <w:t xml:space="preserve">Fig. </w:t>
      </w:r>
      <w:r w:rsidR="002337D2">
        <w:rPr>
          <w:noProof/>
        </w:rPr>
        <w:t>5</w:t>
      </w:r>
      <w:r w:rsidR="002337D2">
        <w:t>:</w:t>
      </w:r>
      <w:r>
        <w:fldChar w:fldCharType="end"/>
      </w:r>
      <w:r>
        <w:t xml:space="preserve">. Following the TES </w:t>
      </w:r>
      <w:r w:rsidR="00821191">
        <w:t xml:space="preserve">system </w:t>
      </w:r>
      <w:r>
        <w:t xml:space="preserve">volume axis, only at maximum temperatures does the plateau present a </w:t>
      </w:r>
      <w:r w:rsidR="003608F2">
        <w:t>slight descension</w:t>
      </w:r>
      <w:r>
        <w:t xml:space="preserve"> for high </w:t>
      </w:r>
      <w:r w:rsidR="00F942FD">
        <w:t>temperatures and volume combinations, mostly due to losses through the tank‘s surface</w:t>
      </w:r>
      <w:r>
        <w:t>.</w:t>
      </w:r>
    </w:p>
    <w:p w14:paraId="452B4522" w14:textId="3DEC7027" w:rsidR="006622DF" w:rsidRPr="00D43827" w:rsidRDefault="006622DF" w:rsidP="00C77422">
      <w:pPr>
        <w:pStyle w:val="SWCText"/>
        <w:rPr>
          <w:lang w:val="de-DE"/>
        </w:rPr>
      </w:pPr>
    </w:p>
    <w:p w14:paraId="3EEBEA5C" w14:textId="3099B5AD" w:rsidR="005E47C6" w:rsidRDefault="00214939" w:rsidP="005E47C6">
      <w:pPr>
        <w:pStyle w:val="SWCText"/>
        <w:keepNext/>
        <w:jc w:val="center"/>
      </w:pPr>
      <w:r>
        <w:rPr>
          <w:noProof/>
          <w:lang w:val="es-ES" w:eastAsia="es-ES"/>
        </w:rPr>
        <w:drawing>
          <wp:inline distT="0" distB="0" distL="0" distR="0" wp14:anchorId="6D1FACF2" wp14:editId="55F285A6">
            <wp:extent cx="3183871" cy="2340000"/>
            <wp:effectExtent l="0" t="0" r="0" b="3175"/>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183871" cy="2340000"/>
                    </a:xfrm>
                    <a:prstGeom prst="rect">
                      <a:avLst/>
                    </a:prstGeom>
                    <a:noFill/>
                  </pic:spPr>
                </pic:pic>
              </a:graphicData>
            </a:graphic>
          </wp:inline>
        </w:drawing>
      </w:r>
    </w:p>
    <w:p w14:paraId="1F7A4371" w14:textId="3C6688D2" w:rsidR="006622DF" w:rsidRDefault="005E47C6" w:rsidP="00D43827">
      <w:pPr>
        <w:pStyle w:val="SWCTableFigureCaption"/>
      </w:pPr>
      <w:bookmarkStart w:id="5" w:name="_Ref231308758"/>
      <w:r>
        <w:t xml:space="preserve">Fig. </w:t>
      </w:r>
      <w:r>
        <w:fldChar w:fldCharType="begin"/>
      </w:r>
      <w:r>
        <w:instrText xml:space="preserve"> SEQ Fig. \* ARABIC </w:instrText>
      </w:r>
      <w:r>
        <w:fldChar w:fldCharType="separate"/>
      </w:r>
      <w:r w:rsidR="002337D2">
        <w:rPr>
          <w:noProof/>
        </w:rPr>
        <w:t>5</w:t>
      </w:r>
      <w:r>
        <w:fldChar w:fldCharType="end"/>
      </w:r>
      <w:r w:rsidR="00D43827">
        <w:t>:</w:t>
      </w:r>
      <w:bookmarkEnd w:id="5"/>
      <w:r w:rsidR="00D5176F">
        <w:t xml:space="preserve"> </w:t>
      </w:r>
      <w:r w:rsidR="00D76BA2">
        <w:t>3D plot of i</w:t>
      </w:r>
      <w:r w:rsidR="00D5176F">
        <w:t>nfluence of maximum temperature and TES system volume on grid electricity import reduction</w:t>
      </w:r>
    </w:p>
    <w:p w14:paraId="60FDEDA1" w14:textId="5732676A" w:rsidR="00D43827" w:rsidRPr="00D43827" w:rsidRDefault="00D43827" w:rsidP="004C2FE0">
      <w:pPr>
        <w:pStyle w:val="SWCHeading11"/>
        <w:numPr>
          <w:ilvl w:val="1"/>
          <w:numId w:val="11"/>
        </w:numPr>
      </w:pPr>
      <w:bookmarkStart w:id="6" w:name="_Ref222907460"/>
      <w:r w:rsidRPr="00D43827">
        <w:lastRenderedPageBreak/>
        <w:t xml:space="preserve"> </w:t>
      </w:r>
      <w:r>
        <w:t>Economic savings, effects of temperature and size</w:t>
      </w:r>
    </w:p>
    <w:p w14:paraId="07163DE3" w14:textId="22A46F40" w:rsidR="00D43827" w:rsidRDefault="00D43827" w:rsidP="00D43827">
      <w:pPr>
        <w:pStyle w:val="SWCText"/>
      </w:pPr>
      <w:r>
        <w:t xml:space="preserve">The </w:t>
      </w:r>
      <w:r w:rsidR="00821191">
        <w:t xml:space="preserve">second set of </w:t>
      </w:r>
      <w:r>
        <w:t xml:space="preserve">results </w:t>
      </w:r>
      <w:r w:rsidR="00821191">
        <w:t>are</w:t>
      </w:r>
      <w:r>
        <w:t xml:space="preserve"> annual economic savings of TES </w:t>
      </w:r>
      <w:r w:rsidR="00821191">
        <w:t xml:space="preserve">system </w:t>
      </w:r>
      <w:r>
        <w:t xml:space="preserve">implementation. </w:t>
      </w:r>
      <w:r w:rsidR="003E7912">
        <w:fldChar w:fldCharType="begin"/>
      </w:r>
      <w:r w:rsidR="003E7912">
        <w:instrText xml:space="preserve"> REF _Ref231308257 \h </w:instrText>
      </w:r>
      <w:r w:rsidR="003E7912">
        <w:fldChar w:fldCharType="separate"/>
      </w:r>
      <w:r w:rsidR="002337D2" w:rsidRPr="00AA7A56">
        <w:t xml:space="preserve">Tab. </w:t>
      </w:r>
      <w:r w:rsidR="002337D2">
        <w:rPr>
          <w:noProof/>
        </w:rPr>
        <w:t>2</w:t>
      </w:r>
      <w:r w:rsidR="003E7912">
        <w:fldChar w:fldCharType="end"/>
      </w:r>
      <w:r w:rsidR="003E7912">
        <w:t xml:space="preserve"> </w:t>
      </w:r>
      <w:r>
        <w:t>presents savings (€·year</w:t>
      </w:r>
      <w:r>
        <w:rPr>
          <w:vertAlign w:val="superscript"/>
        </w:rPr>
        <w:t>-1</w:t>
      </w:r>
      <w:r>
        <w:t>) for each simulated combination, color-coded by performan</w:t>
      </w:r>
      <w:r w:rsidR="00A118BF">
        <w:t>ce and highlighting the top 10%, with the same baseline case of 70°C and 0.2m</w:t>
      </w:r>
      <w:r w:rsidR="00A118BF">
        <w:rPr>
          <w:vertAlign w:val="superscript"/>
        </w:rPr>
        <w:t>3</w:t>
      </w:r>
      <w:r w:rsidR="00A118BF">
        <w:t>.</w:t>
      </w:r>
      <w:r w:rsidRPr="00E432AD">
        <w:t xml:space="preserve"> </w:t>
      </w:r>
    </w:p>
    <w:p w14:paraId="7B50E3A2" w14:textId="147D9EF7" w:rsidR="00D43827" w:rsidRDefault="00F04CB4" w:rsidP="00D43827">
      <w:pPr>
        <w:pStyle w:val="SWCText"/>
      </w:pPr>
      <w:r>
        <w:t>Two of the three</w:t>
      </w:r>
      <w:r w:rsidR="00D43827">
        <w:t xml:space="preserve"> main trends </w:t>
      </w:r>
      <w:r>
        <w:t xml:space="preserve">from energy saving results </w:t>
      </w:r>
      <w:r w:rsidR="00D43827">
        <w:t>are observed</w:t>
      </w:r>
      <w:r>
        <w:t>, somewhat changed</w:t>
      </w:r>
      <w:r w:rsidR="00D43827">
        <w:t xml:space="preserve">. </w:t>
      </w:r>
      <w:r>
        <w:t>Volumes</w:t>
      </w:r>
      <w:r w:rsidR="00D43827">
        <w:t xml:space="preserve"> </w:t>
      </w:r>
      <w:r>
        <w:t xml:space="preserve">now </w:t>
      </w:r>
      <w:r w:rsidR="00D43827">
        <w:t>below 2m</w:t>
      </w:r>
      <w:r w:rsidR="00D43827">
        <w:rPr>
          <w:vertAlign w:val="superscript"/>
        </w:rPr>
        <w:t>3</w:t>
      </w:r>
      <w:r w:rsidR="00D43827">
        <w:t xml:space="preserve"> result in net economic losses, </w:t>
      </w:r>
      <w:r>
        <w:t xml:space="preserve">which is higher volumes than the minimum for </w:t>
      </w:r>
      <w:r w:rsidR="00570C7B">
        <w:t>grid electricity import reduction</w:t>
      </w:r>
      <w:r>
        <w:t>. This is due to the fact that using excess electricity from PV is injected has an economic value, therefore the economic savings are going to penalize TES systems as injecting onto the grid is a direct economic competitor to TES</w:t>
      </w:r>
      <w:r w:rsidR="00821191" w:rsidRPr="00821191">
        <w:t xml:space="preserve"> </w:t>
      </w:r>
      <w:r w:rsidR="00821191">
        <w:t>system</w:t>
      </w:r>
      <w:r>
        <w:t>.</w:t>
      </w:r>
    </w:p>
    <w:p w14:paraId="6939CA91" w14:textId="32482766" w:rsidR="00D43827" w:rsidRDefault="00D43827" w:rsidP="00D43827">
      <w:pPr>
        <w:pStyle w:val="SWCText"/>
      </w:pPr>
      <w:r>
        <w:t>Second, maximum savings occur at lower temperatures for larger volumes, but these optimal points do not correspond to a constant storage capacity</w:t>
      </w:r>
      <w:r w:rsidR="002B16B6">
        <w:t xml:space="preserve"> nor </w:t>
      </w:r>
      <w:r w:rsidR="002E78EF">
        <w:t>concentrate at</w:t>
      </w:r>
      <w:r w:rsidR="002B16B6">
        <w:t xml:space="preserve"> maximum temperature at low volumes</w:t>
      </w:r>
      <w:r>
        <w:t>. For example, 9m</w:t>
      </w:r>
      <w:r>
        <w:rPr>
          <w:vertAlign w:val="superscript"/>
        </w:rPr>
        <w:t>3</w:t>
      </w:r>
      <w:r>
        <w:t xml:space="preserve"> at 70</w:t>
      </w:r>
      <w:r>
        <w:rPr>
          <w:color w:val="000000" w:themeColor="text1"/>
        </w:rPr>
        <w:t>°</w:t>
      </w:r>
      <w:r>
        <w:t>C (105 kWh</w:t>
      </w:r>
      <w:r w:rsidR="006047C5">
        <w:t xml:space="preserve"> of capacity</w:t>
      </w:r>
      <w:r>
        <w:t>) and 4 m</w:t>
      </w:r>
      <w:r>
        <w:rPr>
          <w:vertAlign w:val="superscript"/>
        </w:rPr>
        <w:t>3</w:t>
      </w:r>
      <w:r>
        <w:t xml:space="preserve"> at 74</w:t>
      </w:r>
      <w:r>
        <w:rPr>
          <w:color w:val="000000" w:themeColor="text1"/>
        </w:rPr>
        <w:t>°</w:t>
      </w:r>
      <w:r>
        <w:t xml:space="preserve">C </w:t>
      </w:r>
      <w:r w:rsidR="002E78EF">
        <w:t xml:space="preserve">(65 kWh) yield similar savings. As with the </w:t>
      </w:r>
      <w:r w:rsidR="00570C7B">
        <w:t>grid electricity import reduction</w:t>
      </w:r>
      <w:r w:rsidR="002E78EF">
        <w:t xml:space="preserve"> results, this shows</w:t>
      </w:r>
      <w:r>
        <w:t xml:space="preserve"> that optimal performance depends on the specific</w:t>
      </w:r>
      <w:r w:rsidR="002E78EF">
        <w:t xml:space="preserve"> volume–temperature combination.</w:t>
      </w:r>
    </w:p>
    <w:p w14:paraId="06661DAC" w14:textId="73883589" w:rsidR="004B6875" w:rsidRDefault="00F04CB4" w:rsidP="00D43827">
      <w:pPr>
        <w:pStyle w:val="SWCText"/>
      </w:pPr>
      <w:r>
        <w:t xml:space="preserve">Third, undersizing is </w:t>
      </w:r>
      <w:r w:rsidR="002B16B6">
        <w:t xml:space="preserve">still </w:t>
      </w:r>
      <w:r>
        <w:t>penalized more severely than oversizing</w:t>
      </w:r>
      <w:r w:rsidR="002B16B6">
        <w:t xml:space="preserve"> but oversizing is now also penalized</w:t>
      </w:r>
      <w:r>
        <w:t xml:space="preserve">. </w:t>
      </w:r>
      <w:r w:rsidR="002B16B6">
        <w:t xml:space="preserve">In particular, the loss of COP at higher temperatures, causing less injection onto the grid, reaches a point where </w:t>
      </w:r>
      <w:r w:rsidR="00821191">
        <w:t>it is</w:t>
      </w:r>
      <w:r w:rsidR="002B16B6">
        <w:t xml:space="preserve"> economically more suitable to not </w:t>
      </w:r>
      <w:r w:rsidR="00912638">
        <w:t>increase</w:t>
      </w:r>
      <w:r w:rsidR="002B16B6">
        <w:t xml:space="preserve"> TES system capacity </w:t>
      </w:r>
      <w:r w:rsidR="00912638">
        <w:t>to avoid</w:t>
      </w:r>
      <w:r w:rsidR="002B16B6">
        <w:t xml:space="preserve"> </w:t>
      </w:r>
      <w:r w:rsidR="00912638">
        <w:t>increasing</w:t>
      </w:r>
      <w:r w:rsidR="002B16B6">
        <w:t xml:space="preserve"> the temperature </w:t>
      </w:r>
      <w:r w:rsidR="00912638">
        <w:t>further and</w:t>
      </w:r>
      <w:r w:rsidR="002B16B6">
        <w:t xml:space="preserve"> inject</w:t>
      </w:r>
      <w:r w:rsidR="00912638">
        <w:t>ing</w:t>
      </w:r>
      <w:r w:rsidR="002B16B6">
        <w:t xml:space="preserve"> less electricity on the grid.</w:t>
      </w:r>
    </w:p>
    <w:p w14:paraId="5A38554B" w14:textId="496040B9" w:rsidR="004E4013" w:rsidRPr="009747B4" w:rsidRDefault="003B400E" w:rsidP="008E2B87">
      <w:pPr>
        <w:pStyle w:val="SWCTableFigureCaption"/>
      </w:pPr>
      <w:r>
        <w:tab/>
      </w:r>
      <w:bookmarkStart w:id="7" w:name="_Ref231308257"/>
      <w:r w:rsidR="004E4013" w:rsidRPr="00AA7A56">
        <w:t xml:space="preserve">Tab. </w:t>
      </w:r>
      <w:r w:rsidR="004E4013">
        <w:fldChar w:fldCharType="begin"/>
      </w:r>
      <w:r w:rsidR="004E4013" w:rsidRPr="00AA7A56">
        <w:instrText xml:space="preserve"> SEQ Tab. \* ARABIC </w:instrText>
      </w:r>
      <w:r w:rsidR="004E4013">
        <w:fldChar w:fldCharType="separate"/>
      </w:r>
      <w:r w:rsidR="002337D2">
        <w:rPr>
          <w:noProof/>
        </w:rPr>
        <w:t>2</w:t>
      </w:r>
      <w:r w:rsidR="004E4013">
        <w:fldChar w:fldCharType="end"/>
      </w:r>
      <w:bookmarkEnd w:id="6"/>
      <w:bookmarkEnd w:id="7"/>
      <w:r w:rsidR="009747B4" w:rsidRPr="00AA7A56">
        <w:t xml:space="preserve">. </w:t>
      </w:r>
      <w:r w:rsidR="009747B4" w:rsidRPr="009747B4">
        <w:t>Economic saving</w:t>
      </w:r>
      <w:r w:rsidR="00047C1B">
        <w:t>s (€</w:t>
      </w:r>
      <w:r w:rsidR="00052351">
        <w:t>·year</w:t>
      </w:r>
      <w:r w:rsidR="00052351">
        <w:rPr>
          <w:vertAlign w:val="superscript"/>
        </w:rPr>
        <w:t>-1</w:t>
      </w:r>
      <w:r w:rsidR="00047C1B">
        <w:t xml:space="preserve">) </w:t>
      </w:r>
      <w:r w:rsidR="009747B4" w:rsidRPr="009747B4">
        <w:t xml:space="preserve">results from the </w:t>
      </w:r>
      <w:r w:rsidR="009747B4" w:rsidRPr="00BB4D6B">
        <w:t>parametric</w:t>
      </w:r>
      <w:r w:rsidR="009747B4" w:rsidRPr="009747B4">
        <w:t xml:space="preserve"> analysis</w:t>
      </w:r>
    </w:p>
    <w:tbl>
      <w:tblPr>
        <w:tblW w:w="5954" w:type="dxa"/>
        <w:jc w:val="center"/>
        <w:tblLayout w:type="fixed"/>
        <w:tblCellMar>
          <w:left w:w="70" w:type="dxa"/>
          <w:right w:w="70" w:type="dxa"/>
        </w:tblCellMar>
        <w:tblLook w:val="04A0" w:firstRow="1" w:lastRow="0" w:firstColumn="1" w:lastColumn="0" w:noHBand="0" w:noVBand="1"/>
      </w:tblPr>
      <w:tblGrid>
        <w:gridCol w:w="850"/>
        <w:gridCol w:w="850"/>
        <w:gridCol w:w="850"/>
        <w:gridCol w:w="850"/>
        <w:gridCol w:w="850"/>
        <w:gridCol w:w="850"/>
        <w:gridCol w:w="854"/>
      </w:tblGrid>
      <w:tr w:rsidR="00EC182D" w:rsidRPr="00BB4D6B" w14:paraId="5EDE36AE" w14:textId="77777777" w:rsidTr="006622DF">
        <w:trPr>
          <w:trHeight w:val="80"/>
          <w:jc w:val="center"/>
        </w:trPr>
        <w:tc>
          <w:tcPr>
            <w:tcW w:w="850" w:type="dxa"/>
            <w:noWrap/>
            <w:vAlign w:val="bottom"/>
          </w:tcPr>
          <w:p w14:paraId="69BD9B8E" w14:textId="5C222890" w:rsidR="00EC182D" w:rsidRPr="00BB4D6B" w:rsidRDefault="00EC182D" w:rsidP="00EC182D">
            <w:pPr>
              <w:rPr>
                <w:color w:val="000000"/>
                <w:sz w:val="20"/>
                <w:szCs w:val="20"/>
              </w:rPr>
            </w:pPr>
          </w:p>
        </w:tc>
        <w:tc>
          <w:tcPr>
            <w:tcW w:w="5104" w:type="dxa"/>
            <w:gridSpan w:val="6"/>
            <w:noWrap/>
            <w:vAlign w:val="bottom"/>
          </w:tcPr>
          <w:p w14:paraId="58FC3731" w14:textId="1FC93DCE" w:rsidR="00EC182D" w:rsidRPr="00BB4D6B" w:rsidRDefault="00EC182D" w:rsidP="00EC182D">
            <w:pPr>
              <w:jc w:val="center"/>
              <w:rPr>
                <w:color w:val="000000"/>
                <w:sz w:val="20"/>
                <w:szCs w:val="20"/>
              </w:rPr>
            </w:pPr>
            <w:r w:rsidRPr="00BB4D6B">
              <w:rPr>
                <w:color w:val="000000"/>
                <w:sz w:val="20"/>
                <w:szCs w:val="20"/>
              </w:rPr>
              <w:t>Max</w:t>
            </w:r>
            <w:r w:rsidR="006F0CD1">
              <w:rPr>
                <w:color w:val="000000"/>
                <w:sz w:val="20"/>
                <w:szCs w:val="20"/>
              </w:rPr>
              <w:t>imum</w:t>
            </w:r>
            <w:r w:rsidRPr="00BB4D6B">
              <w:rPr>
                <w:color w:val="000000"/>
                <w:sz w:val="20"/>
                <w:szCs w:val="20"/>
              </w:rPr>
              <w:t xml:space="preserve"> storage Temperature (</w:t>
            </w:r>
            <w:r w:rsidR="000A2D64">
              <w:rPr>
                <w:color w:val="000000"/>
                <w:sz w:val="20"/>
                <w:szCs w:val="20"/>
                <w:vertAlign w:val="superscript"/>
              </w:rPr>
              <w:t>°</w:t>
            </w:r>
            <w:r w:rsidRPr="00BB4D6B">
              <w:rPr>
                <w:color w:val="000000"/>
                <w:sz w:val="20"/>
                <w:szCs w:val="20"/>
              </w:rPr>
              <w:t>C)</w:t>
            </w:r>
          </w:p>
        </w:tc>
      </w:tr>
      <w:tr w:rsidR="00EC182D" w:rsidRPr="00BB4D6B" w14:paraId="2E5D19E9" w14:textId="77777777" w:rsidTr="006622DF">
        <w:trPr>
          <w:trHeight w:val="165"/>
          <w:jc w:val="center"/>
        </w:trPr>
        <w:tc>
          <w:tcPr>
            <w:tcW w:w="850" w:type="dxa"/>
            <w:noWrap/>
            <w:vAlign w:val="bottom"/>
            <w:hideMark/>
          </w:tcPr>
          <w:p w14:paraId="3BC29FDA" w14:textId="77777777" w:rsidR="00214939" w:rsidRDefault="00E2677B" w:rsidP="00EC182D">
            <w:pPr>
              <w:rPr>
                <w:color w:val="000000"/>
                <w:sz w:val="20"/>
                <w:szCs w:val="20"/>
              </w:rPr>
            </w:pPr>
            <w:r w:rsidRPr="00E2677B">
              <w:rPr>
                <w:color w:val="000000"/>
                <w:sz w:val="20"/>
                <w:szCs w:val="20"/>
              </w:rPr>
              <w:t xml:space="preserve">TES </w:t>
            </w:r>
          </w:p>
          <w:p w14:paraId="3000E172" w14:textId="14A99F45" w:rsidR="00214939" w:rsidRDefault="00214939" w:rsidP="00EC182D">
            <w:pPr>
              <w:rPr>
                <w:color w:val="000000"/>
                <w:sz w:val="20"/>
                <w:szCs w:val="20"/>
              </w:rPr>
            </w:pPr>
            <w:r>
              <w:rPr>
                <w:color w:val="000000"/>
                <w:sz w:val="20"/>
                <w:szCs w:val="20"/>
              </w:rPr>
              <w:t>system</w:t>
            </w:r>
          </w:p>
          <w:p w14:paraId="04B7AD27" w14:textId="0654D68D" w:rsidR="00EC182D" w:rsidRPr="00BB4D6B" w:rsidRDefault="00E2677B" w:rsidP="00EC182D">
            <w:pPr>
              <w:rPr>
                <w:color w:val="000000"/>
                <w:sz w:val="20"/>
                <w:szCs w:val="20"/>
              </w:rPr>
            </w:pPr>
            <w:r w:rsidRPr="00E2677B">
              <w:rPr>
                <w:color w:val="000000"/>
                <w:sz w:val="20"/>
                <w:szCs w:val="20"/>
              </w:rPr>
              <w:t xml:space="preserve">volume </w:t>
            </w:r>
            <w:r w:rsidR="00EC182D" w:rsidRPr="00BB4D6B">
              <w:rPr>
                <w:color w:val="000000"/>
                <w:sz w:val="20"/>
                <w:szCs w:val="20"/>
              </w:rPr>
              <w:t>(m3)</w:t>
            </w:r>
          </w:p>
        </w:tc>
        <w:tc>
          <w:tcPr>
            <w:tcW w:w="850" w:type="dxa"/>
            <w:noWrap/>
            <w:vAlign w:val="bottom"/>
            <w:hideMark/>
          </w:tcPr>
          <w:p w14:paraId="5000832A" w14:textId="0E0DC5CD" w:rsidR="00EC182D" w:rsidRPr="00BB4D6B" w:rsidRDefault="00EC182D" w:rsidP="00EC182D">
            <w:pPr>
              <w:jc w:val="right"/>
              <w:rPr>
                <w:color w:val="000000"/>
                <w:sz w:val="20"/>
                <w:szCs w:val="20"/>
              </w:rPr>
            </w:pPr>
            <w:r w:rsidRPr="00BB4D6B">
              <w:rPr>
                <w:color w:val="000000"/>
                <w:sz w:val="20"/>
                <w:szCs w:val="20"/>
              </w:rPr>
              <w:t>70</w:t>
            </w:r>
          </w:p>
        </w:tc>
        <w:tc>
          <w:tcPr>
            <w:tcW w:w="850" w:type="dxa"/>
            <w:noWrap/>
            <w:vAlign w:val="bottom"/>
            <w:hideMark/>
          </w:tcPr>
          <w:p w14:paraId="3EB4C204" w14:textId="26942829" w:rsidR="00EC182D" w:rsidRPr="00BB4D6B" w:rsidRDefault="00EC182D" w:rsidP="00EC182D">
            <w:pPr>
              <w:jc w:val="right"/>
              <w:rPr>
                <w:color w:val="000000"/>
                <w:sz w:val="20"/>
                <w:szCs w:val="20"/>
              </w:rPr>
            </w:pPr>
            <w:r w:rsidRPr="00BB4D6B">
              <w:rPr>
                <w:color w:val="000000"/>
                <w:sz w:val="20"/>
                <w:szCs w:val="20"/>
              </w:rPr>
              <w:t>72</w:t>
            </w:r>
          </w:p>
        </w:tc>
        <w:tc>
          <w:tcPr>
            <w:tcW w:w="850" w:type="dxa"/>
            <w:noWrap/>
            <w:vAlign w:val="bottom"/>
            <w:hideMark/>
          </w:tcPr>
          <w:p w14:paraId="3783F28A" w14:textId="7BE2707D" w:rsidR="00EC182D" w:rsidRPr="00BB4D6B" w:rsidRDefault="00EC182D" w:rsidP="00EC182D">
            <w:pPr>
              <w:jc w:val="right"/>
              <w:rPr>
                <w:color w:val="000000"/>
                <w:sz w:val="20"/>
                <w:szCs w:val="20"/>
              </w:rPr>
            </w:pPr>
            <w:r w:rsidRPr="00BB4D6B">
              <w:rPr>
                <w:color w:val="000000"/>
                <w:sz w:val="20"/>
                <w:szCs w:val="20"/>
              </w:rPr>
              <w:t>74</w:t>
            </w:r>
          </w:p>
        </w:tc>
        <w:tc>
          <w:tcPr>
            <w:tcW w:w="850" w:type="dxa"/>
            <w:noWrap/>
            <w:vAlign w:val="bottom"/>
            <w:hideMark/>
          </w:tcPr>
          <w:p w14:paraId="5BFC5EDD" w14:textId="5202406B" w:rsidR="00EC182D" w:rsidRPr="00BB4D6B" w:rsidRDefault="00EC182D" w:rsidP="00EC182D">
            <w:pPr>
              <w:jc w:val="right"/>
              <w:rPr>
                <w:color w:val="000000"/>
                <w:sz w:val="20"/>
                <w:szCs w:val="20"/>
              </w:rPr>
            </w:pPr>
            <w:r w:rsidRPr="00BB4D6B">
              <w:rPr>
                <w:color w:val="000000"/>
                <w:sz w:val="20"/>
                <w:szCs w:val="20"/>
              </w:rPr>
              <w:t>76</w:t>
            </w:r>
          </w:p>
        </w:tc>
        <w:tc>
          <w:tcPr>
            <w:tcW w:w="850" w:type="dxa"/>
            <w:noWrap/>
            <w:vAlign w:val="bottom"/>
            <w:hideMark/>
          </w:tcPr>
          <w:p w14:paraId="7BD0301B" w14:textId="22D48D78" w:rsidR="00EC182D" w:rsidRPr="00BB4D6B" w:rsidRDefault="00EC182D" w:rsidP="00EC182D">
            <w:pPr>
              <w:jc w:val="right"/>
              <w:rPr>
                <w:color w:val="000000"/>
                <w:sz w:val="20"/>
                <w:szCs w:val="20"/>
              </w:rPr>
            </w:pPr>
            <w:r w:rsidRPr="00BB4D6B">
              <w:rPr>
                <w:color w:val="000000"/>
                <w:sz w:val="20"/>
                <w:szCs w:val="20"/>
              </w:rPr>
              <w:t>78</w:t>
            </w:r>
          </w:p>
        </w:tc>
        <w:tc>
          <w:tcPr>
            <w:tcW w:w="850" w:type="dxa"/>
            <w:noWrap/>
            <w:vAlign w:val="bottom"/>
            <w:hideMark/>
          </w:tcPr>
          <w:p w14:paraId="7CD26441" w14:textId="43011069" w:rsidR="00EC182D" w:rsidRPr="00BB4D6B" w:rsidRDefault="00EC182D" w:rsidP="00EC182D">
            <w:pPr>
              <w:jc w:val="right"/>
              <w:rPr>
                <w:color w:val="000000"/>
                <w:sz w:val="20"/>
                <w:szCs w:val="20"/>
              </w:rPr>
            </w:pPr>
            <w:r w:rsidRPr="00BB4D6B">
              <w:rPr>
                <w:color w:val="000000"/>
                <w:sz w:val="20"/>
                <w:szCs w:val="20"/>
              </w:rPr>
              <w:t>80</w:t>
            </w:r>
          </w:p>
        </w:tc>
      </w:tr>
      <w:tr w:rsidR="00EC182D" w:rsidRPr="00BB4D6B" w14:paraId="69CCC5D9" w14:textId="77777777" w:rsidTr="006622DF">
        <w:trPr>
          <w:trHeight w:val="165"/>
          <w:jc w:val="center"/>
        </w:trPr>
        <w:tc>
          <w:tcPr>
            <w:tcW w:w="850" w:type="dxa"/>
            <w:noWrap/>
            <w:vAlign w:val="bottom"/>
            <w:hideMark/>
          </w:tcPr>
          <w:p w14:paraId="44B7C2B5" w14:textId="77777777" w:rsidR="00EC182D" w:rsidRPr="00BB4D6B" w:rsidRDefault="00EC182D" w:rsidP="00EC182D">
            <w:pPr>
              <w:jc w:val="right"/>
              <w:rPr>
                <w:color w:val="000000"/>
                <w:sz w:val="20"/>
                <w:szCs w:val="20"/>
              </w:rPr>
            </w:pPr>
            <w:r w:rsidRPr="00BB4D6B">
              <w:rPr>
                <w:color w:val="000000"/>
                <w:sz w:val="20"/>
                <w:szCs w:val="20"/>
              </w:rPr>
              <w:t>0.2</w:t>
            </w:r>
          </w:p>
        </w:tc>
        <w:tc>
          <w:tcPr>
            <w:tcW w:w="850" w:type="dxa"/>
            <w:shd w:val="clear" w:color="000000" w:fill="FA9F75"/>
            <w:noWrap/>
            <w:vAlign w:val="bottom"/>
            <w:hideMark/>
          </w:tcPr>
          <w:p w14:paraId="541FE951" w14:textId="77777777" w:rsidR="00EC182D" w:rsidRPr="00BB4D6B" w:rsidRDefault="00EC182D" w:rsidP="00EC182D">
            <w:pPr>
              <w:jc w:val="right"/>
              <w:rPr>
                <w:color w:val="000000"/>
                <w:sz w:val="20"/>
                <w:szCs w:val="20"/>
              </w:rPr>
            </w:pPr>
            <w:r w:rsidRPr="00BB4D6B">
              <w:rPr>
                <w:color w:val="000000"/>
                <w:sz w:val="20"/>
                <w:szCs w:val="20"/>
              </w:rPr>
              <w:t>0</w:t>
            </w:r>
          </w:p>
        </w:tc>
        <w:tc>
          <w:tcPr>
            <w:tcW w:w="850" w:type="dxa"/>
            <w:shd w:val="clear" w:color="000000" w:fill="FA9A74"/>
            <w:noWrap/>
            <w:vAlign w:val="bottom"/>
            <w:hideMark/>
          </w:tcPr>
          <w:p w14:paraId="6746B645" w14:textId="77777777" w:rsidR="00EC182D" w:rsidRPr="00BB4D6B" w:rsidRDefault="00EC182D" w:rsidP="00EC182D">
            <w:pPr>
              <w:jc w:val="right"/>
              <w:rPr>
                <w:color w:val="000000"/>
                <w:sz w:val="20"/>
                <w:szCs w:val="20"/>
              </w:rPr>
            </w:pPr>
            <w:r w:rsidRPr="00BB4D6B">
              <w:rPr>
                <w:color w:val="000000"/>
                <w:sz w:val="20"/>
                <w:szCs w:val="20"/>
              </w:rPr>
              <w:t>-10</w:t>
            </w:r>
          </w:p>
        </w:tc>
        <w:tc>
          <w:tcPr>
            <w:tcW w:w="850" w:type="dxa"/>
            <w:shd w:val="clear" w:color="000000" w:fill="FA9673"/>
            <w:noWrap/>
            <w:vAlign w:val="bottom"/>
            <w:hideMark/>
          </w:tcPr>
          <w:p w14:paraId="1ECB59D9" w14:textId="77777777" w:rsidR="00EC182D" w:rsidRPr="00BB4D6B" w:rsidRDefault="00EC182D" w:rsidP="00EC182D">
            <w:pPr>
              <w:jc w:val="right"/>
              <w:rPr>
                <w:color w:val="000000"/>
                <w:sz w:val="20"/>
                <w:szCs w:val="20"/>
              </w:rPr>
            </w:pPr>
            <w:r w:rsidRPr="00BB4D6B">
              <w:rPr>
                <w:color w:val="000000"/>
                <w:sz w:val="20"/>
                <w:szCs w:val="20"/>
              </w:rPr>
              <w:t>-19</w:t>
            </w:r>
          </w:p>
        </w:tc>
        <w:tc>
          <w:tcPr>
            <w:tcW w:w="850" w:type="dxa"/>
            <w:shd w:val="clear" w:color="000000" w:fill="FA8E72"/>
            <w:noWrap/>
            <w:vAlign w:val="bottom"/>
            <w:hideMark/>
          </w:tcPr>
          <w:p w14:paraId="7A429911" w14:textId="77777777" w:rsidR="00EC182D" w:rsidRPr="00BB4D6B" w:rsidRDefault="00EC182D" w:rsidP="00EC182D">
            <w:pPr>
              <w:jc w:val="right"/>
              <w:rPr>
                <w:color w:val="000000"/>
                <w:sz w:val="20"/>
                <w:szCs w:val="20"/>
              </w:rPr>
            </w:pPr>
            <w:r w:rsidRPr="00BB4D6B">
              <w:rPr>
                <w:color w:val="000000"/>
                <w:sz w:val="20"/>
                <w:szCs w:val="20"/>
              </w:rPr>
              <w:t>-35</w:t>
            </w:r>
          </w:p>
        </w:tc>
        <w:tc>
          <w:tcPr>
            <w:tcW w:w="850" w:type="dxa"/>
            <w:shd w:val="clear" w:color="000000" w:fill="F98570"/>
            <w:noWrap/>
            <w:vAlign w:val="bottom"/>
            <w:hideMark/>
          </w:tcPr>
          <w:p w14:paraId="67F72D11" w14:textId="77777777" w:rsidR="00EC182D" w:rsidRPr="00BB4D6B" w:rsidRDefault="00EC182D" w:rsidP="00EC182D">
            <w:pPr>
              <w:jc w:val="right"/>
              <w:rPr>
                <w:color w:val="000000"/>
                <w:sz w:val="20"/>
                <w:szCs w:val="20"/>
              </w:rPr>
            </w:pPr>
            <w:r w:rsidRPr="00BB4D6B">
              <w:rPr>
                <w:color w:val="000000"/>
                <w:sz w:val="20"/>
                <w:szCs w:val="20"/>
              </w:rPr>
              <w:t>-54</w:t>
            </w:r>
          </w:p>
        </w:tc>
        <w:tc>
          <w:tcPr>
            <w:tcW w:w="850" w:type="dxa"/>
            <w:shd w:val="clear" w:color="000000" w:fill="F97D6E"/>
            <w:noWrap/>
            <w:vAlign w:val="bottom"/>
            <w:hideMark/>
          </w:tcPr>
          <w:p w14:paraId="1088C3D0" w14:textId="77777777" w:rsidR="00EC182D" w:rsidRPr="00BB4D6B" w:rsidRDefault="00EC182D" w:rsidP="00EC182D">
            <w:pPr>
              <w:jc w:val="right"/>
              <w:rPr>
                <w:color w:val="000000"/>
                <w:sz w:val="20"/>
                <w:szCs w:val="20"/>
              </w:rPr>
            </w:pPr>
            <w:r w:rsidRPr="00BB4D6B">
              <w:rPr>
                <w:color w:val="000000"/>
                <w:sz w:val="20"/>
                <w:szCs w:val="20"/>
              </w:rPr>
              <w:t>-72</w:t>
            </w:r>
          </w:p>
        </w:tc>
      </w:tr>
      <w:tr w:rsidR="00EC182D" w:rsidRPr="00BB4D6B" w14:paraId="655A4D68" w14:textId="77777777" w:rsidTr="006622DF">
        <w:trPr>
          <w:trHeight w:val="165"/>
          <w:jc w:val="center"/>
        </w:trPr>
        <w:tc>
          <w:tcPr>
            <w:tcW w:w="850" w:type="dxa"/>
            <w:noWrap/>
            <w:vAlign w:val="bottom"/>
            <w:hideMark/>
          </w:tcPr>
          <w:p w14:paraId="6FCEF404" w14:textId="77777777" w:rsidR="00EC182D" w:rsidRPr="00BB4D6B" w:rsidRDefault="00EC182D" w:rsidP="00EC182D">
            <w:pPr>
              <w:jc w:val="right"/>
              <w:rPr>
                <w:color w:val="000000"/>
                <w:sz w:val="20"/>
                <w:szCs w:val="20"/>
              </w:rPr>
            </w:pPr>
            <w:r w:rsidRPr="00BB4D6B">
              <w:rPr>
                <w:color w:val="000000"/>
                <w:sz w:val="20"/>
                <w:szCs w:val="20"/>
              </w:rPr>
              <w:t>0.4</w:t>
            </w:r>
          </w:p>
        </w:tc>
        <w:tc>
          <w:tcPr>
            <w:tcW w:w="850" w:type="dxa"/>
            <w:shd w:val="clear" w:color="000000" w:fill="FA9C74"/>
            <w:noWrap/>
            <w:vAlign w:val="bottom"/>
            <w:hideMark/>
          </w:tcPr>
          <w:p w14:paraId="404BB9B4" w14:textId="77777777" w:rsidR="00EC182D" w:rsidRPr="00BB4D6B" w:rsidRDefault="00EC182D" w:rsidP="00EC182D">
            <w:pPr>
              <w:jc w:val="right"/>
              <w:rPr>
                <w:color w:val="000000"/>
                <w:sz w:val="20"/>
                <w:szCs w:val="20"/>
              </w:rPr>
            </w:pPr>
            <w:r w:rsidRPr="00BB4D6B">
              <w:rPr>
                <w:color w:val="000000"/>
                <w:sz w:val="20"/>
                <w:szCs w:val="20"/>
              </w:rPr>
              <w:t>-5</w:t>
            </w:r>
          </w:p>
        </w:tc>
        <w:tc>
          <w:tcPr>
            <w:tcW w:w="850" w:type="dxa"/>
            <w:shd w:val="clear" w:color="000000" w:fill="FA9874"/>
            <w:noWrap/>
            <w:vAlign w:val="bottom"/>
            <w:hideMark/>
          </w:tcPr>
          <w:p w14:paraId="34200934" w14:textId="77777777" w:rsidR="00EC182D" w:rsidRPr="00BB4D6B" w:rsidRDefault="00EC182D" w:rsidP="00EC182D">
            <w:pPr>
              <w:jc w:val="right"/>
              <w:rPr>
                <w:color w:val="000000"/>
                <w:sz w:val="20"/>
                <w:szCs w:val="20"/>
              </w:rPr>
            </w:pPr>
            <w:r w:rsidRPr="00BB4D6B">
              <w:rPr>
                <w:color w:val="000000"/>
                <w:sz w:val="20"/>
                <w:szCs w:val="20"/>
              </w:rPr>
              <w:t>-14</w:t>
            </w:r>
          </w:p>
        </w:tc>
        <w:tc>
          <w:tcPr>
            <w:tcW w:w="850" w:type="dxa"/>
            <w:shd w:val="clear" w:color="000000" w:fill="FA9573"/>
            <w:noWrap/>
            <w:vAlign w:val="bottom"/>
            <w:hideMark/>
          </w:tcPr>
          <w:p w14:paraId="4C0DEF6C" w14:textId="77777777" w:rsidR="00EC182D" w:rsidRPr="00BB4D6B" w:rsidRDefault="00EC182D" w:rsidP="00EC182D">
            <w:pPr>
              <w:jc w:val="right"/>
              <w:rPr>
                <w:color w:val="000000"/>
                <w:sz w:val="20"/>
                <w:szCs w:val="20"/>
              </w:rPr>
            </w:pPr>
            <w:r w:rsidRPr="00BB4D6B">
              <w:rPr>
                <w:color w:val="000000"/>
                <w:sz w:val="20"/>
                <w:szCs w:val="20"/>
              </w:rPr>
              <w:t>-21</w:t>
            </w:r>
          </w:p>
        </w:tc>
        <w:tc>
          <w:tcPr>
            <w:tcW w:w="850" w:type="dxa"/>
            <w:shd w:val="clear" w:color="000000" w:fill="F98971"/>
            <w:noWrap/>
            <w:vAlign w:val="bottom"/>
            <w:hideMark/>
          </w:tcPr>
          <w:p w14:paraId="4DA6F2C7" w14:textId="77777777" w:rsidR="00EC182D" w:rsidRPr="00BB4D6B" w:rsidRDefault="00EC182D" w:rsidP="00EC182D">
            <w:pPr>
              <w:jc w:val="right"/>
              <w:rPr>
                <w:color w:val="000000"/>
                <w:sz w:val="20"/>
                <w:szCs w:val="20"/>
              </w:rPr>
            </w:pPr>
            <w:r w:rsidRPr="00BB4D6B">
              <w:rPr>
                <w:color w:val="000000"/>
                <w:sz w:val="20"/>
                <w:szCs w:val="20"/>
              </w:rPr>
              <w:t>-47</w:t>
            </w:r>
          </w:p>
        </w:tc>
        <w:tc>
          <w:tcPr>
            <w:tcW w:w="850" w:type="dxa"/>
            <w:shd w:val="clear" w:color="000000" w:fill="F97E6F"/>
            <w:noWrap/>
            <w:vAlign w:val="bottom"/>
            <w:hideMark/>
          </w:tcPr>
          <w:p w14:paraId="18BC8F64" w14:textId="77777777" w:rsidR="00EC182D" w:rsidRPr="00BB4D6B" w:rsidRDefault="00EC182D" w:rsidP="00EC182D">
            <w:pPr>
              <w:jc w:val="right"/>
              <w:rPr>
                <w:color w:val="000000"/>
                <w:sz w:val="20"/>
                <w:szCs w:val="20"/>
              </w:rPr>
            </w:pPr>
            <w:r w:rsidRPr="00BB4D6B">
              <w:rPr>
                <w:color w:val="000000"/>
                <w:sz w:val="20"/>
                <w:szCs w:val="20"/>
              </w:rPr>
              <w:t>-70</w:t>
            </w:r>
          </w:p>
        </w:tc>
        <w:tc>
          <w:tcPr>
            <w:tcW w:w="850" w:type="dxa"/>
            <w:shd w:val="clear" w:color="000000" w:fill="F8776D"/>
            <w:noWrap/>
            <w:vAlign w:val="bottom"/>
            <w:hideMark/>
          </w:tcPr>
          <w:p w14:paraId="14D5B3AA" w14:textId="77777777" w:rsidR="00EC182D" w:rsidRPr="00BB4D6B" w:rsidRDefault="00EC182D" w:rsidP="00EC182D">
            <w:pPr>
              <w:jc w:val="right"/>
              <w:rPr>
                <w:color w:val="000000"/>
                <w:sz w:val="20"/>
                <w:szCs w:val="20"/>
              </w:rPr>
            </w:pPr>
            <w:r w:rsidRPr="00BB4D6B">
              <w:rPr>
                <w:color w:val="000000"/>
                <w:sz w:val="20"/>
                <w:szCs w:val="20"/>
              </w:rPr>
              <w:t>-84</w:t>
            </w:r>
          </w:p>
        </w:tc>
      </w:tr>
      <w:tr w:rsidR="00EC182D" w:rsidRPr="00BB4D6B" w14:paraId="1BBE5431" w14:textId="77777777" w:rsidTr="006622DF">
        <w:trPr>
          <w:trHeight w:val="165"/>
          <w:jc w:val="center"/>
        </w:trPr>
        <w:tc>
          <w:tcPr>
            <w:tcW w:w="850" w:type="dxa"/>
            <w:noWrap/>
            <w:vAlign w:val="bottom"/>
            <w:hideMark/>
          </w:tcPr>
          <w:p w14:paraId="54588804" w14:textId="77777777" w:rsidR="00EC182D" w:rsidRPr="00BB4D6B" w:rsidRDefault="00EC182D" w:rsidP="00EC182D">
            <w:pPr>
              <w:jc w:val="right"/>
              <w:rPr>
                <w:color w:val="000000"/>
                <w:sz w:val="20"/>
                <w:szCs w:val="20"/>
              </w:rPr>
            </w:pPr>
            <w:r w:rsidRPr="00BB4D6B">
              <w:rPr>
                <w:color w:val="000000"/>
                <w:sz w:val="20"/>
                <w:szCs w:val="20"/>
              </w:rPr>
              <w:t>0.5</w:t>
            </w:r>
          </w:p>
        </w:tc>
        <w:tc>
          <w:tcPr>
            <w:tcW w:w="850" w:type="dxa"/>
            <w:shd w:val="clear" w:color="000000" w:fill="FA9D75"/>
            <w:noWrap/>
            <w:vAlign w:val="bottom"/>
            <w:hideMark/>
          </w:tcPr>
          <w:p w14:paraId="5A7DF5DF" w14:textId="77777777" w:rsidR="00EC182D" w:rsidRPr="00BB4D6B" w:rsidRDefault="00EC182D" w:rsidP="00EC182D">
            <w:pPr>
              <w:jc w:val="right"/>
              <w:rPr>
                <w:color w:val="000000"/>
                <w:sz w:val="20"/>
                <w:szCs w:val="20"/>
              </w:rPr>
            </w:pPr>
            <w:r w:rsidRPr="00BB4D6B">
              <w:rPr>
                <w:color w:val="000000"/>
                <w:sz w:val="20"/>
                <w:szCs w:val="20"/>
              </w:rPr>
              <w:t>-2</w:t>
            </w:r>
          </w:p>
        </w:tc>
        <w:tc>
          <w:tcPr>
            <w:tcW w:w="850" w:type="dxa"/>
            <w:shd w:val="clear" w:color="000000" w:fill="FA9773"/>
            <w:noWrap/>
            <w:vAlign w:val="bottom"/>
            <w:hideMark/>
          </w:tcPr>
          <w:p w14:paraId="2D4E5A62" w14:textId="77777777" w:rsidR="00EC182D" w:rsidRPr="00BB4D6B" w:rsidRDefault="00EC182D" w:rsidP="00EC182D">
            <w:pPr>
              <w:jc w:val="right"/>
              <w:rPr>
                <w:color w:val="000000"/>
                <w:sz w:val="20"/>
                <w:szCs w:val="20"/>
              </w:rPr>
            </w:pPr>
            <w:r w:rsidRPr="00BB4D6B">
              <w:rPr>
                <w:color w:val="000000"/>
                <w:sz w:val="20"/>
                <w:szCs w:val="20"/>
              </w:rPr>
              <w:t>-17</w:t>
            </w:r>
          </w:p>
        </w:tc>
        <w:tc>
          <w:tcPr>
            <w:tcW w:w="850" w:type="dxa"/>
            <w:shd w:val="clear" w:color="000000" w:fill="FA8E72"/>
            <w:noWrap/>
            <w:vAlign w:val="bottom"/>
            <w:hideMark/>
          </w:tcPr>
          <w:p w14:paraId="31EE2A6F" w14:textId="77777777" w:rsidR="00EC182D" w:rsidRPr="00BB4D6B" w:rsidRDefault="00EC182D" w:rsidP="00EC182D">
            <w:pPr>
              <w:jc w:val="right"/>
              <w:rPr>
                <w:color w:val="000000"/>
                <w:sz w:val="20"/>
                <w:szCs w:val="20"/>
              </w:rPr>
            </w:pPr>
            <w:r w:rsidRPr="00BB4D6B">
              <w:rPr>
                <w:color w:val="000000"/>
                <w:sz w:val="20"/>
                <w:szCs w:val="20"/>
              </w:rPr>
              <w:t>-35</w:t>
            </w:r>
          </w:p>
        </w:tc>
        <w:tc>
          <w:tcPr>
            <w:tcW w:w="850" w:type="dxa"/>
            <w:shd w:val="clear" w:color="000000" w:fill="F98770"/>
            <w:noWrap/>
            <w:vAlign w:val="bottom"/>
            <w:hideMark/>
          </w:tcPr>
          <w:p w14:paraId="18DEAD15" w14:textId="77777777" w:rsidR="00EC182D" w:rsidRPr="00BB4D6B" w:rsidRDefault="00EC182D" w:rsidP="00EC182D">
            <w:pPr>
              <w:jc w:val="right"/>
              <w:rPr>
                <w:color w:val="000000"/>
                <w:sz w:val="20"/>
                <w:szCs w:val="20"/>
              </w:rPr>
            </w:pPr>
            <w:r w:rsidRPr="00BB4D6B">
              <w:rPr>
                <w:color w:val="000000"/>
                <w:sz w:val="20"/>
                <w:szCs w:val="20"/>
              </w:rPr>
              <w:t>-51</w:t>
            </w:r>
          </w:p>
        </w:tc>
        <w:tc>
          <w:tcPr>
            <w:tcW w:w="850" w:type="dxa"/>
            <w:shd w:val="clear" w:color="000000" w:fill="F97C6E"/>
            <w:noWrap/>
            <w:vAlign w:val="bottom"/>
            <w:hideMark/>
          </w:tcPr>
          <w:p w14:paraId="31A2C06B" w14:textId="77777777" w:rsidR="00EC182D" w:rsidRPr="00BB4D6B" w:rsidRDefault="00EC182D" w:rsidP="00EC182D">
            <w:pPr>
              <w:jc w:val="right"/>
              <w:rPr>
                <w:color w:val="000000"/>
                <w:sz w:val="20"/>
                <w:szCs w:val="20"/>
              </w:rPr>
            </w:pPr>
            <w:r w:rsidRPr="00BB4D6B">
              <w:rPr>
                <w:color w:val="000000"/>
                <w:sz w:val="20"/>
                <w:szCs w:val="20"/>
              </w:rPr>
              <w:t>-73</w:t>
            </w:r>
          </w:p>
        </w:tc>
        <w:tc>
          <w:tcPr>
            <w:tcW w:w="850" w:type="dxa"/>
            <w:shd w:val="clear" w:color="000000" w:fill="F8736C"/>
            <w:noWrap/>
            <w:vAlign w:val="bottom"/>
            <w:hideMark/>
          </w:tcPr>
          <w:p w14:paraId="4BBC8EC7" w14:textId="77777777" w:rsidR="00EC182D" w:rsidRPr="00BB4D6B" w:rsidRDefault="00EC182D" w:rsidP="00EC182D">
            <w:pPr>
              <w:jc w:val="right"/>
              <w:rPr>
                <w:color w:val="000000"/>
                <w:sz w:val="20"/>
                <w:szCs w:val="20"/>
              </w:rPr>
            </w:pPr>
            <w:r w:rsidRPr="00BB4D6B">
              <w:rPr>
                <w:color w:val="000000"/>
                <w:sz w:val="20"/>
                <w:szCs w:val="20"/>
              </w:rPr>
              <w:t>-94</w:t>
            </w:r>
          </w:p>
        </w:tc>
      </w:tr>
      <w:tr w:rsidR="00EC182D" w:rsidRPr="00BB4D6B" w14:paraId="600671EF" w14:textId="77777777" w:rsidTr="006622DF">
        <w:trPr>
          <w:trHeight w:val="165"/>
          <w:jc w:val="center"/>
        </w:trPr>
        <w:tc>
          <w:tcPr>
            <w:tcW w:w="850" w:type="dxa"/>
            <w:noWrap/>
            <w:vAlign w:val="bottom"/>
            <w:hideMark/>
          </w:tcPr>
          <w:p w14:paraId="6FB0A4DA" w14:textId="77777777" w:rsidR="00EC182D" w:rsidRPr="00BB4D6B" w:rsidRDefault="00EC182D" w:rsidP="00EC182D">
            <w:pPr>
              <w:jc w:val="right"/>
              <w:rPr>
                <w:color w:val="000000"/>
                <w:sz w:val="20"/>
                <w:szCs w:val="20"/>
              </w:rPr>
            </w:pPr>
            <w:r w:rsidRPr="00BB4D6B">
              <w:rPr>
                <w:color w:val="000000"/>
                <w:sz w:val="20"/>
                <w:szCs w:val="20"/>
              </w:rPr>
              <w:t>0.6</w:t>
            </w:r>
          </w:p>
        </w:tc>
        <w:tc>
          <w:tcPr>
            <w:tcW w:w="850" w:type="dxa"/>
            <w:shd w:val="clear" w:color="000000" w:fill="FA9A74"/>
            <w:noWrap/>
            <w:vAlign w:val="bottom"/>
            <w:hideMark/>
          </w:tcPr>
          <w:p w14:paraId="4FEEA332" w14:textId="77777777" w:rsidR="00EC182D" w:rsidRPr="00BB4D6B" w:rsidRDefault="00EC182D" w:rsidP="00EC182D">
            <w:pPr>
              <w:jc w:val="right"/>
              <w:rPr>
                <w:color w:val="000000"/>
                <w:sz w:val="20"/>
                <w:szCs w:val="20"/>
              </w:rPr>
            </w:pPr>
            <w:r w:rsidRPr="00BB4D6B">
              <w:rPr>
                <w:color w:val="000000"/>
                <w:sz w:val="20"/>
                <w:szCs w:val="20"/>
              </w:rPr>
              <w:t>-10</w:t>
            </w:r>
          </w:p>
        </w:tc>
        <w:tc>
          <w:tcPr>
            <w:tcW w:w="850" w:type="dxa"/>
            <w:shd w:val="clear" w:color="000000" w:fill="FA9172"/>
            <w:noWrap/>
            <w:vAlign w:val="bottom"/>
            <w:hideMark/>
          </w:tcPr>
          <w:p w14:paraId="10F79167" w14:textId="77777777" w:rsidR="00EC182D" w:rsidRPr="00BB4D6B" w:rsidRDefault="00EC182D" w:rsidP="00EC182D">
            <w:pPr>
              <w:jc w:val="right"/>
              <w:rPr>
                <w:color w:val="000000"/>
                <w:sz w:val="20"/>
                <w:szCs w:val="20"/>
              </w:rPr>
            </w:pPr>
            <w:r w:rsidRPr="00BB4D6B">
              <w:rPr>
                <w:color w:val="000000"/>
                <w:sz w:val="20"/>
                <w:szCs w:val="20"/>
              </w:rPr>
              <w:t>-28</w:t>
            </w:r>
          </w:p>
        </w:tc>
        <w:tc>
          <w:tcPr>
            <w:tcW w:w="850" w:type="dxa"/>
            <w:shd w:val="clear" w:color="000000" w:fill="F98C71"/>
            <w:noWrap/>
            <w:vAlign w:val="bottom"/>
            <w:hideMark/>
          </w:tcPr>
          <w:p w14:paraId="0491E6E7" w14:textId="77777777" w:rsidR="00EC182D" w:rsidRPr="00BB4D6B" w:rsidRDefault="00EC182D" w:rsidP="00EC182D">
            <w:pPr>
              <w:jc w:val="right"/>
              <w:rPr>
                <w:color w:val="000000"/>
                <w:sz w:val="20"/>
                <w:szCs w:val="20"/>
              </w:rPr>
            </w:pPr>
            <w:r w:rsidRPr="00BB4D6B">
              <w:rPr>
                <w:color w:val="000000"/>
                <w:sz w:val="20"/>
                <w:szCs w:val="20"/>
              </w:rPr>
              <w:t>-40</w:t>
            </w:r>
          </w:p>
        </w:tc>
        <w:tc>
          <w:tcPr>
            <w:tcW w:w="850" w:type="dxa"/>
            <w:shd w:val="clear" w:color="000000" w:fill="F98370"/>
            <w:noWrap/>
            <w:vAlign w:val="bottom"/>
            <w:hideMark/>
          </w:tcPr>
          <w:p w14:paraId="6C53CE28" w14:textId="77777777" w:rsidR="00EC182D" w:rsidRPr="00BB4D6B" w:rsidRDefault="00EC182D" w:rsidP="00EC182D">
            <w:pPr>
              <w:jc w:val="right"/>
              <w:rPr>
                <w:color w:val="000000"/>
                <w:sz w:val="20"/>
                <w:szCs w:val="20"/>
              </w:rPr>
            </w:pPr>
            <w:r w:rsidRPr="00BB4D6B">
              <w:rPr>
                <w:color w:val="000000"/>
                <w:sz w:val="20"/>
                <w:szCs w:val="20"/>
              </w:rPr>
              <w:t>-60</w:t>
            </w:r>
          </w:p>
        </w:tc>
        <w:tc>
          <w:tcPr>
            <w:tcW w:w="850" w:type="dxa"/>
            <w:shd w:val="clear" w:color="000000" w:fill="F8776D"/>
            <w:noWrap/>
            <w:vAlign w:val="bottom"/>
            <w:hideMark/>
          </w:tcPr>
          <w:p w14:paraId="6618D51B" w14:textId="77777777" w:rsidR="00EC182D" w:rsidRPr="00BB4D6B" w:rsidRDefault="00EC182D" w:rsidP="00EC182D">
            <w:pPr>
              <w:jc w:val="right"/>
              <w:rPr>
                <w:color w:val="000000"/>
                <w:sz w:val="20"/>
                <w:szCs w:val="20"/>
              </w:rPr>
            </w:pPr>
            <w:r w:rsidRPr="00BB4D6B">
              <w:rPr>
                <w:color w:val="000000"/>
                <w:sz w:val="20"/>
                <w:szCs w:val="20"/>
              </w:rPr>
              <w:t>-85</w:t>
            </w:r>
          </w:p>
        </w:tc>
        <w:tc>
          <w:tcPr>
            <w:tcW w:w="850" w:type="dxa"/>
            <w:shd w:val="clear" w:color="000000" w:fill="F86F6C"/>
            <w:noWrap/>
            <w:vAlign w:val="bottom"/>
            <w:hideMark/>
          </w:tcPr>
          <w:p w14:paraId="61B46152" w14:textId="77777777" w:rsidR="00EC182D" w:rsidRPr="00BB4D6B" w:rsidRDefault="00EC182D" w:rsidP="00EC182D">
            <w:pPr>
              <w:jc w:val="right"/>
              <w:rPr>
                <w:color w:val="000000"/>
                <w:sz w:val="20"/>
                <w:szCs w:val="20"/>
              </w:rPr>
            </w:pPr>
            <w:r w:rsidRPr="00BB4D6B">
              <w:rPr>
                <w:color w:val="000000"/>
                <w:sz w:val="20"/>
                <w:szCs w:val="20"/>
              </w:rPr>
              <w:t>-102</w:t>
            </w:r>
          </w:p>
        </w:tc>
      </w:tr>
      <w:tr w:rsidR="00EC182D" w:rsidRPr="00BB4D6B" w14:paraId="70B0341D" w14:textId="77777777" w:rsidTr="006622DF">
        <w:trPr>
          <w:trHeight w:val="165"/>
          <w:jc w:val="center"/>
        </w:trPr>
        <w:tc>
          <w:tcPr>
            <w:tcW w:w="850" w:type="dxa"/>
            <w:noWrap/>
            <w:vAlign w:val="bottom"/>
            <w:hideMark/>
          </w:tcPr>
          <w:p w14:paraId="724DD448" w14:textId="77777777" w:rsidR="00EC182D" w:rsidRPr="00BB4D6B" w:rsidRDefault="00EC182D" w:rsidP="00EC182D">
            <w:pPr>
              <w:jc w:val="right"/>
              <w:rPr>
                <w:color w:val="000000"/>
                <w:sz w:val="20"/>
                <w:szCs w:val="20"/>
              </w:rPr>
            </w:pPr>
            <w:r w:rsidRPr="00BB4D6B">
              <w:rPr>
                <w:color w:val="000000"/>
                <w:sz w:val="20"/>
                <w:szCs w:val="20"/>
              </w:rPr>
              <w:t>0.8</w:t>
            </w:r>
          </w:p>
        </w:tc>
        <w:tc>
          <w:tcPr>
            <w:tcW w:w="850" w:type="dxa"/>
            <w:shd w:val="clear" w:color="000000" w:fill="FA9573"/>
            <w:noWrap/>
            <w:vAlign w:val="bottom"/>
            <w:hideMark/>
          </w:tcPr>
          <w:p w14:paraId="4A53ABA6" w14:textId="77777777" w:rsidR="00EC182D" w:rsidRPr="00BB4D6B" w:rsidRDefault="00EC182D" w:rsidP="00EC182D">
            <w:pPr>
              <w:jc w:val="right"/>
              <w:rPr>
                <w:color w:val="000000"/>
                <w:sz w:val="20"/>
                <w:szCs w:val="20"/>
              </w:rPr>
            </w:pPr>
            <w:r w:rsidRPr="00BB4D6B">
              <w:rPr>
                <w:color w:val="000000"/>
                <w:sz w:val="20"/>
                <w:szCs w:val="20"/>
              </w:rPr>
              <w:t>-20</w:t>
            </w:r>
          </w:p>
        </w:tc>
        <w:tc>
          <w:tcPr>
            <w:tcW w:w="850" w:type="dxa"/>
            <w:shd w:val="clear" w:color="000000" w:fill="FA8E72"/>
            <w:noWrap/>
            <w:vAlign w:val="bottom"/>
            <w:hideMark/>
          </w:tcPr>
          <w:p w14:paraId="06ECD2DB" w14:textId="77777777" w:rsidR="00EC182D" w:rsidRPr="00BB4D6B" w:rsidRDefault="00EC182D" w:rsidP="00EC182D">
            <w:pPr>
              <w:jc w:val="right"/>
              <w:rPr>
                <w:color w:val="000000"/>
                <w:sz w:val="20"/>
                <w:szCs w:val="20"/>
              </w:rPr>
            </w:pPr>
            <w:r w:rsidRPr="00BB4D6B">
              <w:rPr>
                <w:color w:val="000000"/>
                <w:sz w:val="20"/>
                <w:szCs w:val="20"/>
              </w:rPr>
              <w:t>-35</w:t>
            </w:r>
          </w:p>
        </w:tc>
        <w:tc>
          <w:tcPr>
            <w:tcW w:w="850" w:type="dxa"/>
            <w:shd w:val="clear" w:color="000000" w:fill="F98470"/>
            <w:noWrap/>
            <w:vAlign w:val="bottom"/>
            <w:hideMark/>
          </w:tcPr>
          <w:p w14:paraId="4661BCFA" w14:textId="77777777" w:rsidR="00EC182D" w:rsidRPr="00BB4D6B" w:rsidRDefault="00EC182D" w:rsidP="00EC182D">
            <w:pPr>
              <w:jc w:val="right"/>
              <w:rPr>
                <w:color w:val="000000"/>
                <w:sz w:val="20"/>
                <w:szCs w:val="20"/>
              </w:rPr>
            </w:pPr>
            <w:r w:rsidRPr="00BB4D6B">
              <w:rPr>
                <w:color w:val="000000"/>
                <w:sz w:val="20"/>
                <w:szCs w:val="20"/>
              </w:rPr>
              <w:t>-56</w:t>
            </w:r>
          </w:p>
        </w:tc>
        <w:tc>
          <w:tcPr>
            <w:tcW w:w="850" w:type="dxa"/>
            <w:shd w:val="clear" w:color="000000" w:fill="F97F6F"/>
            <w:noWrap/>
            <w:vAlign w:val="bottom"/>
            <w:hideMark/>
          </w:tcPr>
          <w:p w14:paraId="2E9B9D1C" w14:textId="77777777" w:rsidR="00EC182D" w:rsidRPr="00BB4D6B" w:rsidRDefault="00EC182D" w:rsidP="00EC182D">
            <w:pPr>
              <w:jc w:val="right"/>
              <w:rPr>
                <w:color w:val="000000"/>
                <w:sz w:val="20"/>
                <w:szCs w:val="20"/>
              </w:rPr>
            </w:pPr>
            <w:r w:rsidRPr="00BB4D6B">
              <w:rPr>
                <w:color w:val="000000"/>
                <w:sz w:val="20"/>
                <w:szCs w:val="20"/>
              </w:rPr>
              <w:t>-69</w:t>
            </w:r>
          </w:p>
        </w:tc>
        <w:tc>
          <w:tcPr>
            <w:tcW w:w="850" w:type="dxa"/>
            <w:shd w:val="clear" w:color="000000" w:fill="F8716C"/>
            <w:noWrap/>
            <w:vAlign w:val="bottom"/>
            <w:hideMark/>
          </w:tcPr>
          <w:p w14:paraId="22E7104B" w14:textId="77777777" w:rsidR="00EC182D" w:rsidRPr="00BB4D6B" w:rsidRDefault="00EC182D" w:rsidP="00EC182D">
            <w:pPr>
              <w:jc w:val="right"/>
              <w:rPr>
                <w:color w:val="000000"/>
                <w:sz w:val="20"/>
                <w:szCs w:val="20"/>
              </w:rPr>
            </w:pPr>
            <w:r w:rsidRPr="00BB4D6B">
              <w:rPr>
                <w:color w:val="000000"/>
                <w:sz w:val="20"/>
                <w:szCs w:val="20"/>
              </w:rPr>
              <w:t>-98</w:t>
            </w:r>
          </w:p>
        </w:tc>
        <w:tc>
          <w:tcPr>
            <w:tcW w:w="850" w:type="dxa"/>
            <w:shd w:val="clear" w:color="000000" w:fill="F8696B"/>
            <w:noWrap/>
            <w:vAlign w:val="bottom"/>
            <w:hideMark/>
          </w:tcPr>
          <w:p w14:paraId="1568CDEA" w14:textId="77777777" w:rsidR="00EC182D" w:rsidRPr="00BB4D6B" w:rsidRDefault="00EC182D" w:rsidP="00EC182D">
            <w:pPr>
              <w:jc w:val="right"/>
              <w:rPr>
                <w:color w:val="000000"/>
                <w:sz w:val="20"/>
                <w:szCs w:val="20"/>
              </w:rPr>
            </w:pPr>
            <w:r w:rsidRPr="00BB4D6B">
              <w:rPr>
                <w:color w:val="000000"/>
                <w:sz w:val="20"/>
                <w:szCs w:val="20"/>
              </w:rPr>
              <w:t>-116</w:t>
            </w:r>
          </w:p>
        </w:tc>
      </w:tr>
      <w:tr w:rsidR="00EC182D" w:rsidRPr="00BB4D6B" w14:paraId="053CB5BB" w14:textId="77777777" w:rsidTr="006622DF">
        <w:trPr>
          <w:trHeight w:val="165"/>
          <w:jc w:val="center"/>
        </w:trPr>
        <w:tc>
          <w:tcPr>
            <w:tcW w:w="850" w:type="dxa"/>
            <w:noWrap/>
            <w:vAlign w:val="bottom"/>
            <w:hideMark/>
          </w:tcPr>
          <w:p w14:paraId="32CC3FE3" w14:textId="77777777" w:rsidR="00EC182D" w:rsidRPr="00BB4D6B" w:rsidRDefault="00EC182D" w:rsidP="00EC182D">
            <w:pPr>
              <w:jc w:val="right"/>
              <w:rPr>
                <w:color w:val="000000"/>
                <w:sz w:val="20"/>
                <w:szCs w:val="20"/>
              </w:rPr>
            </w:pPr>
            <w:r w:rsidRPr="00BB4D6B">
              <w:rPr>
                <w:color w:val="000000"/>
                <w:sz w:val="20"/>
                <w:szCs w:val="20"/>
              </w:rPr>
              <w:t>1</w:t>
            </w:r>
          </w:p>
        </w:tc>
        <w:tc>
          <w:tcPr>
            <w:tcW w:w="850" w:type="dxa"/>
            <w:shd w:val="clear" w:color="000000" w:fill="F98C71"/>
            <w:noWrap/>
            <w:vAlign w:val="bottom"/>
            <w:hideMark/>
          </w:tcPr>
          <w:p w14:paraId="0DE8CD6C" w14:textId="77777777" w:rsidR="00EC182D" w:rsidRPr="00BB4D6B" w:rsidRDefault="00EC182D" w:rsidP="00EC182D">
            <w:pPr>
              <w:jc w:val="right"/>
              <w:rPr>
                <w:color w:val="000000"/>
                <w:sz w:val="20"/>
                <w:szCs w:val="20"/>
              </w:rPr>
            </w:pPr>
            <w:r w:rsidRPr="00BB4D6B">
              <w:rPr>
                <w:color w:val="000000"/>
                <w:sz w:val="20"/>
                <w:szCs w:val="20"/>
              </w:rPr>
              <w:t>-40</w:t>
            </w:r>
          </w:p>
        </w:tc>
        <w:tc>
          <w:tcPr>
            <w:tcW w:w="850" w:type="dxa"/>
            <w:shd w:val="clear" w:color="000000" w:fill="F98B71"/>
            <w:noWrap/>
            <w:vAlign w:val="bottom"/>
            <w:hideMark/>
          </w:tcPr>
          <w:p w14:paraId="371D5019" w14:textId="77777777" w:rsidR="00EC182D" w:rsidRPr="00BB4D6B" w:rsidRDefault="00EC182D" w:rsidP="00EC182D">
            <w:pPr>
              <w:jc w:val="right"/>
              <w:rPr>
                <w:color w:val="000000"/>
                <w:sz w:val="20"/>
                <w:szCs w:val="20"/>
              </w:rPr>
            </w:pPr>
            <w:r w:rsidRPr="00BB4D6B">
              <w:rPr>
                <w:color w:val="000000"/>
                <w:sz w:val="20"/>
                <w:szCs w:val="20"/>
              </w:rPr>
              <w:t>-43</w:t>
            </w:r>
          </w:p>
        </w:tc>
        <w:tc>
          <w:tcPr>
            <w:tcW w:w="850" w:type="dxa"/>
            <w:shd w:val="clear" w:color="000000" w:fill="F9806F"/>
            <w:noWrap/>
            <w:vAlign w:val="bottom"/>
            <w:hideMark/>
          </w:tcPr>
          <w:p w14:paraId="7A969AD5" w14:textId="77777777" w:rsidR="00EC182D" w:rsidRPr="00BB4D6B" w:rsidRDefault="00EC182D" w:rsidP="00EC182D">
            <w:pPr>
              <w:jc w:val="right"/>
              <w:rPr>
                <w:color w:val="000000"/>
                <w:sz w:val="20"/>
                <w:szCs w:val="20"/>
              </w:rPr>
            </w:pPr>
            <w:r w:rsidRPr="00BB4D6B">
              <w:rPr>
                <w:color w:val="000000"/>
                <w:sz w:val="20"/>
                <w:szCs w:val="20"/>
              </w:rPr>
              <w:t>-66</w:t>
            </w:r>
          </w:p>
        </w:tc>
        <w:tc>
          <w:tcPr>
            <w:tcW w:w="850" w:type="dxa"/>
            <w:shd w:val="clear" w:color="000000" w:fill="F8786E"/>
            <w:noWrap/>
            <w:vAlign w:val="bottom"/>
            <w:hideMark/>
          </w:tcPr>
          <w:p w14:paraId="7EBECFB7" w14:textId="77777777" w:rsidR="00EC182D" w:rsidRPr="00BB4D6B" w:rsidRDefault="00EC182D" w:rsidP="00EC182D">
            <w:pPr>
              <w:jc w:val="right"/>
              <w:rPr>
                <w:color w:val="000000"/>
                <w:sz w:val="20"/>
                <w:szCs w:val="20"/>
              </w:rPr>
            </w:pPr>
            <w:r w:rsidRPr="00BB4D6B">
              <w:rPr>
                <w:color w:val="000000"/>
                <w:sz w:val="20"/>
                <w:szCs w:val="20"/>
              </w:rPr>
              <w:t>-82</w:t>
            </w:r>
          </w:p>
        </w:tc>
        <w:tc>
          <w:tcPr>
            <w:tcW w:w="850" w:type="dxa"/>
            <w:shd w:val="clear" w:color="000000" w:fill="F86F6C"/>
            <w:noWrap/>
            <w:vAlign w:val="bottom"/>
            <w:hideMark/>
          </w:tcPr>
          <w:p w14:paraId="7933A6DF" w14:textId="77777777" w:rsidR="00EC182D" w:rsidRPr="00BB4D6B" w:rsidRDefault="00EC182D" w:rsidP="00EC182D">
            <w:pPr>
              <w:jc w:val="right"/>
              <w:rPr>
                <w:color w:val="000000"/>
                <w:sz w:val="20"/>
                <w:szCs w:val="20"/>
              </w:rPr>
            </w:pPr>
            <w:r w:rsidRPr="00BB4D6B">
              <w:rPr>
                <w:color w:val="000000"/>
                <w:sz w:val="20"/>
                <w:szCs w:val="20"/>
              </w:rPr>
              <w:t>-103</w:t>
            </w:r>
          </w:p>
        </w:tc>
        <w:tc>
          <w:tcPr>
            <w:tcW w:w="850" w:type="dxa"/>
            <w:shd w:val="clear" w:color="000000" w:fill="F97F6F"/>
            <w:noWrap/>
            <w:vAlign w:val="bottom"/>
            <w:hideMark/>
          </w:tcPr>
          <w:p w14:paraId="4D95C1E8" w14:textId="77777777" w:rsidR="00EC182D" w:rsidRPr="00BB4D6B" w:rsidRDefault="00EC182D" w:rsidP="00EC182D">
            <w:pPr>
              <w:jc w:val="right"/>
              <w:rPr>
                <w:color w:val="000000"/>
                <w:sz w:val="20"/>
                <w:szCs w:val="20"/>
              </w:rPr>
            </w:pPr>
            <w:r w:rsidRPr="00BB4D6B">
              <w:rPr>
                <w:color w:val="000000"/>
                <w:sz w:val="20"/>
                <w:szCs w:val="20"/>
              </w:rPr>
              <w:t>-67</w:t>
            </w:r>
          </w:p>
        </w:tc>
      </w:tr>
      <w:tr w:rsidR="00EC182D" w:rsidRPr="00BB4D6B" w14:paraId="43535AFD" w14:textId="77777777" w:rsidTr="006622DF">
        <w:trPr>
          <w:trHeight w:val="165"/>
          <w:jc w:val="center"/>
        </w:trPr>
        <w:tc>
          <w:tcPr>
            <w:tcW w:w="850" w:type="dxa"/>
            <w:noWrap/>
            <w:vAlign w:val="bottom"/>
            <w:hideMark/>
          </w:tcPr>
          <w:p w14:paraId="05146F40" w14:textId="77777777" w:rsidR="00EC182D" w:rsidRPr="00BB4D6B" w:rsidRDefault="00EC182D" w:rsidP="00EC182D">
            <w:pPr>
              <w:jc w:val="right"/>
              <w:rPr>
                <w:color w:val="000000"/>
                <w:sz w:val="20"/>
                <w:szCs w:val="20"/>
              </w:rPr>
            </w:pPr>
            <w:r w:rsidRPr="00BB4D6B">
              <w:rPr>
                <w:color w:val="000000"/>
                <w:sz w:val="20"/>
                <w:szCs w:val="20"/>
              </w:rPr>
              <w:t>2</w:t>
            </w:r>
          </w:p>
        </w:tc>
        <w:tc>
          <w:tcPr>
            <w:tcW w:w="850" w:type="dxa"/>
            <w:shd w:val="clear" w:color="000000" w:fill="F98570"/>
            <w:noWrap/>
            <w:vAlign w:val="bottom"/>
            <w:hideMark/>
          </w:tcPr>
          <w:p w14:paraId="540F7327" w14:textId="77777777" w:rsidR="00EC182D" w:rsidRPr="00BB4D6B" w:rsidRDefault="00EC182D" w:rsidP="00EC182D">
            <w:pPr>
              <w:jc w:val="right"/>
              <w:rPr>
                <w:color w:val="000000"/>
                <w:sz w:val="20"/>
                <w:szCs w:val="20"/>
              </w:rPr>
            </w:pPr>
            <w:r w:rsidRPr="00BB4D6B">
              <w:rPr>
                <w:color w:val="000000"/>
                <w:sz w:val="20"/>
                <w:szCs w:val="20"/>
              </w:rPr>
              <w:t>-55</w:t>
            </w:r>
          </w:p>
        </w:tc>
        <w:tc>
          <w:tcPr>
            <w:tcW w:w="850" w:type="dxa"/>
            <w:shd w:val="clear" w:color="000000" w:fill="FBA776"/>
            <w:noWrap/>
            <w:vAlign w:val="bottom"/>
            <w:hideMark/>
          </w:tcPr>
          <w:p w14:paraId="6FC1757C" w14:textId="77777777" w:rsidR="00EC182D" w:rsidRPr="00BB4D6B" w:rsidRDefault="00EC182D" w:rsidP="00EC182D">
            <w:pPr>
              <w:jc w:val="right"/>
              <w:rPr>
                <w:color w:val="000000"/>
                <w:sz w:val="20"/>
                <w:szCs w:val="20"/>
              </w:rPr>
            </w:pPr>
            <w:r w:rsidRPr="00BB4D6B">
              <w:rPr>
                <w:color w:val="000000"/>
                <w:sz w:val="20"/>
                <w:szCs w:val="20"/>
              </w:rPr>
              <w:t>18</w:t>
            </w:r>
          </w:p>
        </w:tc>
        <w:tc>
          <w:tcPr>
            <w:tcW w:w="850" w:type="dxa"/>
            <w:shd w:val="clear" w:color="000000" w:fill="FAA075"/>
            <w:noWrap/>
            <w:vAlign w:val="bottom"/>
            <w:hideMark/>
          </w:tcPr>
          <w:p w14:paraId="6BC504F0" w14:textId="77777777" w:rsidR="00EC182D" w:rsidRPr="00BB4D6B" w:rsidRDefault="00EC182D" w:rsidP="00EC182D">
            <w:pPr>
              <w:jc w:val="right"/>
              <w:rPr>
                <w:color w:val="000000"/>
                <w:sz w:val="20"/>
                <w:szCs w:val="20"/>
              </w:rPr>
            </w:pPr>
            <w:r w:rsidRPr="00BB4D6B">
              <w:rPr>
                <w:color w:val="000000"/>
                <w:sz w:val="20"/>
                <w:szCs w:val="20"/>
              </w:rPr>
              <w:t>3</w:t>
            </w:r>
          </w:p>
        </w:tc>
        <w:tc>
          <w:tcPr>
            <w:tcW w:w="850" w:type="dxa"/>
            <w:shd w:val="clear" w:color="000000" w:fill="FDC87D"/>
            <w:noWrap/>
            <w:vAlign w:val="bottom"/>
            <w:hideMark/>
          </w:tcPr>
          <w:p w14:paraId="005B64CD" w14:textId="77777777" w:rsidR="00EC182D" w:rsidRPr="00BB4D6B" w:rsidRDefault="00EC182D" w:rsidP="00EC182D">
            <w:pPr>
              <w:jc w:val="right"/>
              <w:rPr>
                <w:color w:val="000000"/>
                <w:sz w:val="20"/>
                <w:szCs w:val="20"/>
              </w:rPr>
            </w:pPr>
            <w:r w:rsidRPr="00BB4D6B">
              <w:rPr>
                <w:color w:val="000000"/>
                <w:sz w:val="20"/>
                <w:szCs w:val="20"/>
              </w:rPr>
              <w:t>89</w:t>
            </w:r>
          </w:p>
        </w:tc>
        <w:tc>
          <w:tcPr>
            <w:tcW w:w="850" w:type="dxa"/>
            <w:shd w:val="clear" w:color="000000" w:fill="FDC67C"/>
            <w:noWrap/>
            <w:vAlign w:val="bottom"/>
            <w:hideMark/>
          </w:tcPr>
          <w:p w14:paraId="4D36B875" w14:textId="77777777" w:rsidR="00EC182D" w:rsidRPr="00BB4D6B" w:rsidRDefault="00EC182D" w:rsidP="00EC182D">
            <w:pPr>
              <w:jc w:val="right"/>
              <w:rPr>
                <w:color w:val="000000"/>
                <w:sz w:val="20"/>
                <w:szCs w:val="20"/>
              </w:rPr>
            </w:pPr>
            <w:r w:rsidRPr="00BB4D6B">
              <w:rPr>
                <w:color w:val="000000"/>
                <w:sz w:val="20"/>
                <w:szCs w:val="20"/>
              </w:rPr>
              <w:t>85</w:t>
            </w:r>
          </w:p>
        </w:tc>
        <w:tc>
          <w:tcPr>
            <w:tcW w:w="850" w:type="dxa"/>
            <w:shd w:val="clear" w:color="000000" w:fill="FCC17C"/>
            <w:noWrap/>
            <w:vAlign w:val="bottom"/>
            <w:hideMark/>
          </w:tcPr>
          <w:p w14:paraId="474F2BE2" w14:textId="77777777" w:rsidR="00EC182D" w:rsidRPr="00BB4D6B" w:rsidRDefault="00EC182D" w:rsidP="00EC182D">
            <w:pPr>
              <w:jc w:val="right"/>
              <w:rPr>
                <w:color w:val="000000"/>
                <w:sz w:val="20"/>
                <w:szCs w:val="20"/>
              </w:rPr>
            </w:pPr>
            <w:r w:rsidRPr="00BB4D6B">
              <w:rPr>
                <w:color w:val="000000"/>
                <w:sz w:val="20"/>
                <w:szCs w:val="20"/>
              </w:rPr>
              <w:t>74</w:t>
            </w:r>
          </w:p>
        </w:tc>
      </w:tr>
      <w:tr w:rsidR="00EC182D" w:rsidRPr="00BB4D6B" w14:paraId="1423240F" w14:textId="77777777" w:rsidTr="006622DF">
        <w:trPr>
          <w:trHeight w:val="165"/>
          <w:jc w:val="center"/>
        </w:trPr>
        <w:tc>
          <w:tcPr>
            <w:tcW w:w="850" w:type="dxa"/>
            <w:noWrap/>
            <w:vAlign w:val="bottom"/>
            <w:hideMark/>
          </w:tcPr>
          <w:p w14:paraId="6FD6663D" w14:textId="77777777" w:rsidR="00EC182D" w:rsidRPr="00BB4D6B" w:rsidRDefault="00EC182D" w:rsidP="00EC182D">
            <w:pPr>
              <w:jc w:val="right"/>
              <w:rPr>
                <w:color w:val="000000"/>
                <w:sz w:val="20"/>
                <w:szCs w:val="20"/>
              </w:rPr>
            </w:pPr>
            <w:r w:rsidRPr="00BB4D6B">
              <w:rPr>
                <w:color w:val="000000"/>
                <w:sz w:val="20"/>
                <w:szCs w:val="20"/>
              </w:rPr>
              <w:t>3</w:t>
            </w:r>
          </w:p>
        </w:tc>
        <w:tc>
          <w:tcPr>
            <w:tcW w:w="850" w:type="dxa"/>
            <w:shd w:val="clear" w:color="000000" w:fill="FED980"/>
            <w:noWrap/>
            <w:vAlign w:val="bottom"/>
            <w:hideMark/>
          </w:tcPr>
          <w:p w14:paraId="267C2E67" w14:textId="77777777" w:rsidR="00EC182D" w:rsidRPr="00BB4D6B" w:rsidRDefault="00EC182D" w:rsidP="00EC182D">
            <w:pPr>
              <w:jc w:val="right"/>
              <w:rPr>
                <w:color w:val="000000"/>
                <w:sz w:val="20"/>
                <w:szCs w:val="20"/>
              </w:rPr>
            </w:pPr>
            <w:r w:rsidRPr="00BB4D6B">
              <w:rPr>
                <w:color w:val="000000"/>
                <w:sz w:val="20"/>
                <w:szCs w:val="20"/>
              </w:rPr>
              <w:t>126</w:t>
            </w:r>
          </w:p>
        </w:tc>
        <w:tc>
          <w:tcPr>
            <w:tcW w:w="850" w:type="dxa"/>
            <w:shd w:val="clear" w:color="000000" w:fill="FEE182"/>
            <w:noWrap/>
            <w:vAlign w:val="bottom"/>
            <w:hideMark/>
          </w:tcPr>
          <w:p w14:paraId="050CDF44" w14:textId="77777777" w:rsidR="00EC182D" w:rsidRPr="00BB4D6B" w:rsidRDefault="00EC182D" w:rsidP="00EC182D">
            <w:pPr>
              <w:jc w:val="right"/>
              <w:rPr>
                <w:color w:val="000000"/>
                <w:sz w:val="20"/>
                <w:szCs w:val="20"/>
              </w:rPr>
            </w:pPr>
            <w:r w:rsidRPr="00BB4D6B">
              <w:rPr>
                <w:color w:val="000000"/>
                <w:sz w:val="20"/>
                <w:szCs w:val="20"/>
              </w:rPr>
              <w:t>144</w:t>
            </w:r>
          </w:p>
        </w:tc>
        <w:tc>
          <w:tcPr>
            <w:tcW w:w="850" w:type="dxa"/>
            <w:shd w:val="clear" w:color="000000" w:fill="FDCB7D"/>
            <w:noWrap/>
            <w:vAlign w:val="bottom"/>
            <w:hideMark/>
          </w:tcPr>
          <w:p w14:paraId="59DDEFDF" w14:textId="77777777" w:rsidR="00EC182D" w:rsidRPr="00BB4D6B" w:rsidRDefault="00EC182D" w:rsidP="00EC182D">
            <w:pPr>
              <w:jc w:val="right"/>
              <w:rPr>
                <w:color w:val="000000"/>
                <w:sz w:val="20"/>
                <w:szCs w:val="20"/>
              </w:rPr>
            </w:pPr>
            <w:r w:rsidRPr="00BB4D6B">
              <w:rPr>
                <w:color w:val="000000"/>
                <w:sz w:val="20"/>
                <w:szCs w:val="20"/>
              </w:rPr>
              <w:t>96</w:t>
            </w:r>
          </w:p>
        </w:tc>
        <w:tc>
          <w:tcPr>
            <w:tcW w:w="850" w:type="dxa"/>
            <w:shd w:val="clear" w:color="000000" w:fill="F9EA84"/>
            <w:noWrap/>
            <w:vAlign w:val="bottom"/>
            <w:hideMark/>
          </w:tcPr>
          <w:p w14:paraId="32481262" w14:textId="77777777" w:rsidR="00EC182D" w:rsidRPr="00BB4D6B" w:rsidRDefault="00EC182D" w:rsidP="00EC182D">
            <w:pPr>
              <w:jc w:val="right"/>
              <w:rPr>
                <w:color w:val="000000"/>
                <w:sz w:val="20"/>
                <w:szCs w:val="20"/>
              </w:rPr>
            </w:pPr>
            <w:r w:rsidRPr="00BB4D6B">
              <w:rPr>
                <w:color w:val="000000"/>
                <w:sz w:val="20"/>
                <w:szCs w:val="20"/>
              </w:rPr>
              <w:t>167</w:t>
            </w:r>
          </w:p>
        </w:tc>
        <w:tc>
          <w:tcPr>
            <w:tcW w:w="850" w:type="dxa"/>
            <w:shd w:val="clear" w:color="000000" w:fill="A9D380"/>
            <w:noWrap/>
            <w:vAlign w:val="bottom"/>
            <w:hideMark/>
          </w:tcPr>
          <w:p w14:paraId="11F60150" w14:textId="77777777" w:rsidR="00EC182D" w:rsidRPr="00BB4D6B" w:rsidRDefault="00EC182D" w:rsidP="00EC182D">
            <w:pPr>
              <w:jc w:val="right"/>
              <w:rPr>
                <w:color w:val="000000"/>
                <w:sz w:val="20"/>
                <w:szCs w:val="20"/>
              </w:rPr>
            </w:pPr>
            <w:r w:rsidRPr="00BB4D6B">
              <w:rPr>
                <w:color w:val="000000"/>
                <w:sz w:val="20"/>
                <w:szCs w:val="20"/>
              </w:rPr>
              <w:t>209</w:t>
            </w:r>
          </w:p>
        </w:tc>
        <w:tc>
          <w:tcPr>
            <w:tcW w:w="850" w:type="dxa"/>
            <w:shd w:val="clear" w:color="000000" w:fill="CEDD82"/>
            <w:noWrap/>
            <w:vAlign w:val="bottom"/>
            <w:hideMark/>
          </w:tcPr>
          <w:p w14:paraId="259D0705" w14:textId="77777777" w:rsidR="00EC182D" w:rsidRPr="00BB4D6B" w:rsidRDefault="00EC182D" w:rsidP="00EC182D">
            <w:pPr>
              <w:jc w:val="right"/>
              <w:rPr>
                <w:color w:val="000000"/>
                <w:sz w:val="20"/>
                <w:szCs w:val="20"/>
              </w:rPr>
            </w:pPr>
            <w:r w:rsidRPr="00BB4D6B">
              <w:rPr>
                <w:color w:val="000000"/>
                <w:sz w:val="20"/>
                <w:szCs w:val="20"/>
              </w:rPr>
              <w:t>190</w:t>
            </w:r>
          </w:p>
        </w:tc>
      </w:tr>
      <w:tr w:rsidR="00EC182D" w:rsidRPr="00BB4D6B" w14:paraId="5C91ABDB" w14:textId="77777777" w:rsidTr="006622DF">
        <w:trPr>
          <w:trHeight w:val="165"/>
          <w:jc w:val="center"/>
        </w:trPr>
        <w:tc>
          <w:tcPr>
            <w:tcW w:w="850" w:type="dxa"/>
            <w:noWrap/>
            <w:vAlign w:val="bottom"/>
            <w:hideMark/>
          </w:tcPr>
          <w:p w14:paraId="232B13BD" w14:textId="77777777" w:rsidR="00EC182D" w:rsidRPr="00BB4D6B" w:rsidRDefault="00EC182D" w:rsidP="00EC182D">
            <w:pPr>
              <w:jc w:val="right"/>
              <w:rPr>
                <w:color w:val="000000"/>
                <w:sz w:val="20"/>
                <w:szCs w:val="20"/>
              </w:rPr>
            </w:pPr>
            <w:r w:rsidRPr="00BB4D6B">
              <w:rPr>
                <w:color w:val="000000"/>
                <w:sz w:val="20"/>
                <w:szCs w:val="20"/>
              </w:rPr>
              <w:t>4</w:t>
            </w:r>
          </w:p>
        </w:tc>
        <w:tc>
          <w:tcPr>
            <w:tcW w:w="850" w:type="dxa"/>
            <w:shd w:val="clear" w:color="000000" w:fill="FDD07E"/>
            <w:noWrap/>
            <w:vAlign w:val="bottom"/>
            <w:hideMark/>
          </w:tcPr>
          <w:p w14:paraId="43AC1B6B" w14:textId="77777777" w:rsidR="00EC182D" w:rsidRPr="00BB4D6B" w:rsidRDefault="00EC182D" w:rsidP="00EC182D">
            <w:pPr>
              <w:jc w:val="right"/>
              <w:rPr>
                <w:color w:val="000000"/>
                <w:sz w:val="20"/>
                <w:szCs w:val="20"/>
              </w:rPr>
            </w:pPr>
            <w:r w:rsidRPr="00BB4D6B">
              <w:rPr>
                <w:color w:val="000000"/>
                <w:sz w:val="20"/>
                <w:szCs w:val="20"/>
              </w:rPr>
              <w:t>106</w:t>
            </w:r>
          </w:p>
        </w:tc>
        <w:tc>
          <w:tcPr>
            <w:tcW w:w="850" w:type="dxa"/>
            <w:shd w:val="clear" w:color="000000" w:fill="FEDF81"/>
            <w:noWrap/>
            <w:vAlign w:val="bottom"/>
            <w:hideMark/>
          </w:tcPr>
          <w:p w14:paraId="3CA49FCE" w14:textId="77777777" w:rsidR="00EC182D" w:rsidRPr="00BB4D6B" w:rsidRDefault="00EC182D" w:rsidP="00EC182D">
            <w:pPr>
              <w:jc w:val="right"/>
              <w:rPr>
                <w:color w:val="000000"/>
                <w:sz w:val="20"/>
                <w:szCs w:val="20"/>
              </w:rPr>
            </w:pPr>
            <w:r w:rsidRPr="00BB4D6B">
              <w:rPr>
                <w:color w:val="000000"/>
                <w:sz w:val="20"/>
                <w:szCs w:val="20"/>
              </w:rPr>
              <w:t>138</w:t>
            </w:r>
          </w:p>
        </w:tc>
        <w:tc>
          <w:tcPr>
            <w:tcW w:w="850" w:type="dxa"/>
            <w:shd w:val="clear" w:color="000000" w:fill="87C97E"/>
            <w:noWrap/>
            <w:vAlign w:val="bottom"/>
            <w:hideMark/>
          </w:tcPr>
          <w:p w14:paraId="129363B3" w14:textId="77777777" w:rsidR="00EC182D" w:rsidRPr="00BB4D6B" w:rsidRDefault="00EC182D" w:rsidP="00EC182D">
            <w:pPr>
              <w:jc w:val="right"/>
              <w:rPr>
                <w:b/>
                <w:bCs/>
                <w:color w:val="000000"/>
                <w:sz w:val="20"/>
                <w:szCs w:val="20"/>
              </w:rPr>
            </w:pPr>
            <w:r w:rsidRPr="00BB4D6B">
              <w:rPr>
                <w:b/>
                <w:bCs/>
                <w:color w:val="000000"/>
                <w:sz w:val="20"/>
                <w:szCs w:val="20"/>
              </w:rPr>
              <w:t>226</w:t>
            </w:r>
          </w:p>
        </w:tc>
        <w:tc>
          <w:tcPr>
            <w:tcW w:w="850" w:type="dxa"/>
            <w:shd w:val="clear" w:color="000000" w:fill="8CCA7E"/>
            <w:noWrap/>
            <w:vAlign w:val="bottom"/>
            <w:hideMark/>
          </w:tcPr>
          <w:p w14:paraId="3B6496E8" w14:textId="77777777" w:rsidR="00EC182D" w:rsidRPr="00BB4D6B" w:rsidRDefault="00EC182D" w:rsidP="00EC182D">
            <w:pPr>
              <w:jc w:val="right"/>
              <w:rPr>
                <w:b/>
                <w:bCs/>
                <w:color w:val="000000"/>
                <w:sz w:val="20"/>
                <w:szCs w:val="20"/>
              </w:rPr>
            </w:pPr>
            <w:r w:rsidRPr="00BB4D6B">
              <w:rPr>
                <w:b/>
                <w:bCs/>
                <w:color w:val="000000"/>
                <w:sz w:val="20"/>
                <w:szCs w:val="20"/>
              </w:rPr>
              <w:t>224</w:t>
            </w:r>
          </w:p>
        </w:tc>
        <w:tc>
          <w:tcPr>
            <w:tcW w:w="850" w:type="dxa"/>
            <w:shd w:val="clear" w:color="000000" w:fill="B8D780"/>
            <w:noWrap/>
            <w:vAlign w:val="bottom"/>
            <w:hideMark/>
          </w:tcPr>
          <w:p w14:paraId="1CFE03B2" w14:textId="77777777" w:rsidR="00EC182D" w:rsidRPr="00BB4D6B" w:rsidRDefault="00EC182D" w:rsidP="00EC182D">
            <w:pPr>
              <w:jc w:val="right"/>
              <w:rPr>
                <w:color w:val="000000"/>
                <w:sz w:val="20"/>
                <w:szCs w:val="20"/>
              </w:rPr>
            </w:pPr>
            <w:r w:rsidRPr="00BB4D6B">
              <w:rPr>
                <w:color w:val="000000"/>
                <w:sz w:val="20"/>
                <w:szCs w:val="20"/>
              </w:rPr>
              <w:t>201</w:t>
            </w:r>
          </w:p>
        </w:tc>
        <w:tc>
          <w:tcPr>
            <w:tcW w:w="850" w:type="dxa"/>
            <w:shd w:val="clear" w:color="000000" w:fill="F9EA84"/>
            <w:noWrap/>
            <w:vAlign w:val="bottom"/>
            <w:hideMark/>
          </w:tcPr>
          <w:p w14:paraId="57E08D18" w14:textId="77777777" w:rsidR="00EC182D" w:rsidRPr="00BB4D6B" w:rsidRDefault="00EC182D" w:rsidP="00EC182D">
            <w:pPr>
              <w:jc w:val="right"/>
              <w:rPr>
                <w:color w:val="000000"/>
                <w:sz w:val="20"/>
                <w:szCs w:val="20"/>
              </w:rPr>
            </w:pPr>
            <w:r w:rsidRPr="00BB4D6B">
              <w:rPr>
                <w:color w:val="000000"/>
                <w:sz w:val="20"/>
                <w:szCs w:val="20"/>
              </w:rPr>
              <w:t>167</w:t>
            </w:r>
          </w:p>
        </w:tc>
      </w:tr>
      <w:tr w:rsidR="00EC182D" w:rsidRPr="00BB4D6B" w14:paraId="6F259088" w14:textId="77777777" w:rsidTr="006622DF">
        <w:trPr>
          <w:trHeight w:val="165"/>
          <w:jc w:val="center"/>
        </w:trPr>
        <w:tc>
          <w:tcPr>
            <w:tcW w:w="850" w:type="dxa"/>
            <w:noWrap/>
            <w:vAlign w:val="bottom"/>
            <w:hideMark/>
          </w:tcPr>
          <w:p w14:paraId="5B7ADE1A" w14:textId="77777777" w:rsidR="00EC182D" w:rsidRPr="00BB4D6B" w:rsidRDefault="00EC182D" w:rsidP="00EC182D">
            <w:pPr>
              <w:jc w:val="right"/>
              <w:rPr>
                <w:color w:val="000000"/>
                <w:sz w:val="20"/>
                <w:szCs w:val="20"/>
              </w:rPr>
            </w:pPr>
            <w:r w:rsidRPr="00BB4D6B">
              <w:rPr>
                <w:color w:val="000000"/>
                <w:sz w:val="20"/>
                <w:szCs w:val="20"/>
              </w:rPr>
              <w:t>5</w:t>
            </w:r>
          </w:p>
        </w:tc>
        <w:tc>
          <w:tcPr>
            <w:tcW w:w="850" w:type="dxa"/>
            <w:shd w:val="clear" w:color="000000" w:fill="FDD07E"/>
            <w:noWrap/>
            <w:vAlign w:val="bottom"/>
            <w:hideMark/>
          </w:tcPr>
          <w:p w14:paraId="130EF9D5" w14:textId="77777777" w:rsidR="00EC182D" w:rsidRPr="00BB4D6B" w:rsidRDefault="00EC182D" w:rsidP="00EC182D">
            <w:pPr>
              <w:jc w:val="right"/>
              <w:rPr>
                <w:color w:val="000000"/>
                <w:sz w:val="20"/>
                <w:szCs w:val="20"/>
              </w:rPr>
            </w:pPr>
            <w:r w:rsidRPr="00BB4D6B">
              <w:rPr>
                <w:color w:val="000000"/>
                <w:sz w:val="20"/>
                <w:szCs w:val="20"/>
              </w:rPr>
              <w:t>106</w:t>
            </w:r>
          </w:p>
        </w:tc>
        <w:tc>
          <w:tcPr>
            <w:tcW w:w="850" w:type="dxa"/>
            <w:shd w:val="clear" w:color="000000" w:fill="98CE7F"/>
            <w:noWrap/>
            <w:vAlign w:val="bottom"/>
            <w:hideMark/>
          </w:tcPr>
          <w:p w14:paraId="409314D4" w14:textId="77777777" w:rsidR="00EC182D" w:rsidRPr="00BB4D6B" w:rsidRDefault="00EC182D" w:rsidP="00EC182D">
            <w:pPr>
              <w:jc w:val="right"/>
              <w:rPr>
                <w:b/>
                <w:bCs/>
                <w:color w:val="000000"/>
                <w:sz w:val="20"/>
                <w:szCs w:val="20"/>
              </w:rPr>
            </w:pPr>
            <w:r w:rsidRPr="00BB4D6B">
              <w:rPr>
                <w:b/>
                <w:bCs/>
                <w:color w:val="000000"/>
                <w:sz w:val="20"/>
                <w:szCs w:val="20"/>
              </w:rPr>
              <w:t>217</w:t>
            </w:r>
          </w:p>
        </w:tc>
        <w:tc>
          <w:tcPr>
            <w:tcW w:w="850" w:type="dxa"/>
            <w:shd w:val="clear" w:color="000000" w:fill="72C37C"/>
            <w:noWrap/>
            <w:vAlign w:val="bottom"/>
            <w:hideMark/>
          </w:tcPr>
          <w:p w14:paraId="6592E88C" w14:textId="77777777" w:rsidR="00EC182D" w:rsidRPr="00BB4D6B" w:rsidRDefault="00EC182D" w:rsidP="00EC182D">
            <w:pPr>
              <w:jc w:val="right"/>
              <w:rPr>
                <w:b/>
                <w:bCs/>
                <w:color w:val="000000"/>
                <w:sz w:val="20"/>
                <w:szCs w:val="20"/>
              </w:rPr>
            </w:pPr>
            <w:r w:rsidRPr="00BB4D6B">
              <w:rPr>
                <w:b/>
                <w:bCs/>
                <w:color w:val="000000"/>
                <w:sz w:val="20"/>
                <w:szCs w:val="20"/>
              </w:rPr>
              <w:t>237</w:t>
            </w:r>
          </w:p>
        </w:tc>
        <w:tc>
          <w:tcPr>
            <w:tcW w:w="850" w:type="dxa"/>
            <w:shd w:val="clear" w:color="000000" w:fill="BDD881"/>
            <w:noWrap/>
            <w:vAlign w:val="bottom"/>
            <w:hideMark/>
          </w:tcPr>
          <w:p w14:paraId="4FF03367" w14:textId="77777777" w:rsidR="00EC182D" w:rsidRPr="00BB4D6B" w:rsidRDefault="00EC182D" w:rsidP="00EC182D">
            <w:pPr>
              <w:jc w:val="right"/>
              <w:rPr>
                <w:color w:val="000000"/>
                <w:sz w:val="20"/>
                <w:szCs w:val="20"/>
              </w:rPr>
            </w:pPr>
            <w:r w:rsidRPr="00BB4D6B">
              <w:rPr>
                <w:color w:val="000000"/>
                <w:sz w:val="20"/>
                <w:szCs w:val="20"/>
              </w:rPr>
              <w:t>198</w:t>
            </w:r>
          </w:p>
        </w:tc>
        <w:tc>
          <w:tcPr>
            <w:tcW w:w="850" w:type="dxa"/>
            <w:shd w:val="clear" w:color="000000" w:fill="F5E884"/>
            <w:noWrap/>
            <w:vAlign w:val="bottom"/>
            <w:hideMark/>
          </w:tcPr>
          <w:p w14:paraId="4CF0C983" w14:textId="77777777" w:rsidR="00EC182D" w:rsidRPr="00BB4D6B" w:rsidRDefault="00EC182D" w:rsidP="00EC182D">
            <w:pPr>
              <w:jc w:val="right"/>
              <w:rPr>
                <w:color w:val="000000"/>
                <w:sz w:val="20"/>
                <w:szCs w:val="20"/>
              </w:rPr>
            </w:pPr>
            <w:r w:rsidRPr="00BB4D6B">
              <w:rPr>
                <w:color w:val="000000"/>
                <w:sz w:val="20"/>
                <w:szCs w:val="20"/>
              </w:rPr>
              <w:t>169</w:t>
            </w:r>
          </w:p>
        </w:tc>
        <w:tc>
          <w:tcPr>
            <w:tcW w:w="850" w:type="dxa"/>
            <w:shd w:val="clear" w:color="000000" w:fill="D4DF82"/>
            <w:noWrap/>
            <w:vAlign w:val="bottom"/>
            <w:hideMark/>
          </w:tcPr>
          <w:p w14:paraId="4C6F914A" w14:textId="77777777" w:rsidR="00EC182D" w:rsidRPr="00BB4D6B" w:rsidRDefault="00EC182D" w:rsidP="00EC182D">
            <w:pPr>
              <w:jc w:val="right"/>
              <w:rPr>
                <w:color w:val="000000"/>
                <w:sz w:val="20"/>
                <w:szCs w:val="20"/>
              </w:rPr>
            </w:pPr>
            <w:r w:rsidRPr="00BB4D6B">
              <w:rPr>
                <w:color w:val="000000"/>
                <w:sz w:val="20"/>
                <w:szCs w:val="20"/>
              </w:rPr>
              <w:t>186</w:t>
            </w:r>
          </w:p>
        </w:tc>
      </w:tr>
      <w:tr w:rsidR="00EC182D" w:rsidRPr="00BB4D6B" w14:paraId="5C8B1A46" w14:textId="77777777" w:rsidTr="006622DF">
        <w:trPr>
          <w:trHeight w:val="165"/>
          <w:jc w:val="center"/>
        </w:trPr>
        <w:tc>
          <w:tcPr>
            <w:tcW w:w="850" w:type="dxa"/>
            <w:noWrap/>
            <w:vAlign w:val="bottom"/>
            <w:hideMark/>
          </w:tcPr>
          <w:p w14:paraId="0F26AAA5" w14:textId="77777777" w:rsidR="00EC182D" w:rsidRPr="00BB4D6B" w:rsidRDefault="00EC182D" w:rsidP="00EC182D">
            <w:pPr>
              <w:jc w:val="right"/>
              <w:rPr>
                <w:color w:val="000000"/>
                <w:sz w:val="20"/>
                <w:szCs w:val="20"/>
              </w:rPr>
            </w:pPr>
            <w:r w:rsidRPr="00BB4D6B">
              <w:rPr>
                <w:color w:val="000000"/>
                <w:sz w:val="20"/>
                <w:szCs w:val="20"/>
              </w:rPr>
              <w:t>6</w:t>
            </w:r>
          </w:p>
        </w:tc>
        <w:tc>
          <w:tcPr>
            <w:tcW w:w="850" w:type="dxa"/>
            <w:shd w:val="clear" w:color="000000" w:fill="F2E884"/>
            <w:noWrap/>
            <w:vAlign w:val="bottom"/>
            <w:hideMark/>
          </w:tcPr>
          <w:p w14:paraId="62C052DD" w14:textId="77777777" w:rsidR="00EC182D" w:rsidRPr="00BB4D6B" w:rsidRDefault="00EC182D" w:rsidP="00EC182D">
            <w:pPr>
              <w:jc w:val="right"/>
              <w:rPr>
                <w:color w:val="000000"/>
                <w:sz w:val="20"/>
                <w:szCs w:val="20"/>
              </w:rPr>
            </w:pPr>
            <w:r w:rsidRPr="00BB4D6B">
              <w:rPr>
                <w:color w:val="000000"/>
                <w:sz w:val="20"/>
                <w:szCs w:val="20"/>
              </w:rPr>
              <w:t>171</w:t>
            </w:r>
          </w:p>
        </w:tc>
        <w:tc>
          <w:tcPr>
            <w:tcW w:w="850" w:type="dxa"/>
            <w:shd w:val="clear" w:color="000000" w:fill="63BE7B"/>
            <w:noWrap/>
            <w:vAlign w:val="bottom"/>
            <w:hideMark/>
          </w:tcPr>
          <w:p w14:paraId="0737D7EF" w14:textId="77777777" w:rsidR="00EC182D" w:rsidRPr="00BB4D6B" w:rsidRDefault="00EC182D" w:rsidP="00EC182D">
            <w:pPr>
              <w:jc w:val="right"/>
              <w:rPr>
                <w:b/>
                <w:bCs/>
                <w:color w:val="000000"/>
                <w:sz w:val="20"/>
                <w:szCs w:val="20"/>
              </w:rPr>
            </w:pPr>
            <w:r w:rsidRPr="00BB4D6B">
              <w:rPr>
                <w:b/>
                <w:bCs/>
                <w:color w:val="000000"/>
                <w:sz w:val="20"/>
                <w:szCs w:val="20"/>
              </w:rPr>
              <w:t>245</w:t>
            </w:r>
          </w:p>
        </w:tc>
        <w:tc>
          <w:tcPr>
            <w:tcW w:w="850" w:type="dxa"/>
            <w:shd w:val="clear" w:color="000000" w:fill="ADD480"/>
            <w:noWrap/>
            <w:vAlign w:val="bottom"/>
            <w:hideMark/>
          </w:tcPr>
          <w:p w14:paraId="046391AB" w14:textId="77777777" w:rsidR="00EC182D" w:rsidRPr="00BB4D6B" w:rsidRDefault="00EC182D" w:rsidP="00EC182D">
            <w:pPr>
              <w:jc w:val="right"/>
              <w:rPr>
                <w:color w:val="000000"/>
                <w:sz w:val="20"/>
                <w:szCs w:val="20"/>
              </w:rPr>
            </w:pPr>
            <w:r w:rsidRPr="00BB4D6B">
              <w:rPr>
                <w:color w:val="000000"/>
                <w:sz w:val="20"/>
                <w:szCs w:val="20"/>
              </w:rPr>
              <w:t>206</w:t>
            </w:r>
          </w:p>
        </w:tc>
        <w:tc>
          <w:tcPr>
            <w:tcW w:w="850" w:type="dxa"/>
            <w:shd w:val="clear" w:color="000000" w:fill="DAE182"/>
            <w:noWrap/>
            <w:vAlign w:val="bottom"/>
            <w:hideMark/>
          </w:tcPr>
          <w:p w14:paraId="7AD7F62E" w14:textId="77777777" w:rsidR="00EC182D" w:rsidRPr="00BB4D6B" w:rsidRDefault="00EC182D" w:rsidP="00EC182D">
            <w:pPr>
              <w:jc w:val="right"/>
              <w:rPr>
                <w:color w:val="000000"/>
                <w:sz w:val="20"/>
                <w:szCs w:val="20"/>
              </w:rPr>
            </w:pPr>
            <w:r w:rsidRPr="00BB4D6B">
              <w:rPr>
                <w:color w:val="000000"/>
                <w:sz w:val="20"/>
                <w:szCs w:val="20"/>
              </w:rPr>
              <w:t>183</w:t>
            </w:r>
          </w:p>
        </w:tc>
        <w:tc>
          <w:tcPr>
            <w:tcW w:w="850" w:type="dxa"/>
            <w:shd w:val="clear" w:color="000000" w:fill="FEE883"/>
            <w:noWrap/>
            <w:vAlign w:val="bottom"/>
            <w:hideMark/>
          </w:tcPr>
          <w:p w14:paraId="4A0C313B" w14:textId="77777777" w:rsidR="00EC182D" w:rsidRPr="00BB4D6B" w:rsidRDefault="00EC182D" w:rsidP="00EC182D">
            <w:pPr>
              <w:jc w:val="right"/>
              <w:rPr>
                <w:color w:val="000000"/>
                <w:sz w:val="20"/>
                <w:szCs w:val="20"/>
              </w:rPr>
            </w:pPr>
            <w:r w:rsidRPr="00BB4D6B">
              <w:rPr>
                <w:color w:val="000000"/>
                <w:sz w:val="20"/>
                <w:szCs w:val="20"/>
              </w:rPr>
              <w:t>159</w:t>
            </w:r>
          </w:p>
        </w:tc>
        <w:tc>
          <w:tcPr>
            <w:tcW w:w="850" w:type="dxa"/>
            <w:shd w:val="clear" w:color="000000" w:fill="CDDD82"/>
            <w:noWrap/>
            <w:vAlign w:val="bottom"/>
            <w:hideMark/>
          </w:tcPr>
          <w:p w14:paraId="50C97B46" w14:textId="77777777" w:rsidR="00EC182D" w:rsidRPr="00BB4D6B" w:rsidRDefault="00EC182D" w:rsidP="00EC182D">
            <w:pPr>
              <w:jc w:val="right"/>
              <w:rPr>
                <w:color w:val="000000"/>
                <w:sz w:val="20"/>
                <w:szCs w:val="20"/>
              </w:rPr>
            </w:pPr>
            <w:r w:rsidRPr="00BB4D6B">
              <w:rPr>
                <w:color w:val="000000"/>
                <w:sz w:val="20"/>
                <w:szCs w:val="20"/>
              </w:rPr>
              <w:t>190</w:t>
            </w:r>
          </w:p>
        </w:tc>
      </w:tr>
      <w:tr w:rsidR="00EC182D" w:rsidRPr="00BB4D6B" w14:paraId="261199A5" w14:textId="77777777" w:rsidTr="006622DF">
        <w:trPr>
          <w:trHeight w:val="165"/>
          <w:jc w:val="center"/>
        </w:trPr>
        <w:tc>
          <w:tcPr>
            <w:tcW w:w="850" w:type="dxa"/>
            <w:noWrap/>
            <w:vAlign w:val="bottom"/>
            <w:hideMark/>
          </w:tcPr>
          <w:p w14:paraId="5F7BD435" w14:textId="77777777" w:rsidR="00EC182D" w:rsidRPr="00BB4D6B" w:rsidRDefault="00EC182D" w:rsidP="00EC182D">
            <w:pPr>
              <w:jc w:val="right"/>
              <w:rPr>
                <w:color w:val="000000"/>
                <w:sz w:val="20"/>
                <w:szCs w:val="20"/>
              </w:rPr>
            </w:pPr>
            <w:r w:rsidRPr="00BB4D6B">
              <w:rPr>
                <w:color w:val="000000"/>
                <w:sz w:val="20"/>
                <w:szCs w:val="20"/>
              </w:rPr>
              <w:t>7</w:t>
            </w:r>
          </w:p>
        </w:tc>
        <w:tc>
          <w:tcPr>
            <w:tcW w:w="850" w:type="dxa"/>
            <w:shd w:val="clear" w:color="000000" w:fill="78C47D"/>
            <w:noWrap/>
            <w:vAlign w:val="bottom"/>
            <w:hideMark/>
          </w:tcPr>
          <w:p w14:paraId="46FC1E39" w14:textId="77777777" w:rsidR="00EC182D" w:rsidRPr="00BB4D6B" w:rsidRDefault="00EC182D" w:rsidP="00EC182D">
            <w:pPr>
              <w:jc w:val="right"/>
              <w:rPr>
                <w:b/>
                <w:bCs/>
                <w:color w:val="000000"/>
                <w:sz w:val="20"/>
                <w:szCs w:val="20"/>
              </w:rPr>
            </w:pPr>
            <w:r w:rsidRPr="00BB4D6B">
              <w:rPr>
                <w:b/>
                <w:bCs/>
                <w:color w:val="000000"/>
                <w:sz w:val="20"/>
                <w:szCs w:val="20"/>
              </w:rPr>
              <w:t>234</w:t>
            </w:r>
          </w:p>
        </w:tc>
        <w:tc>
          <w:tcPr>
            <w:tcW w:w="850" w:type="dxa"/>
            <w:shd w:val="clear" w:color="000000" w:fill="92CC7E"/>
            <w:noWrap/>
            <w:vAlign w:val="bottom"/>
            <w:hideMark/>
          </w:tcPr>
          <w:p w14:paraId="51205689" w14:textId="77777777" w:rsidR="00EC182D" w:rsidRPr="00BB4D6B" w:rsidRDefault="00EC182D" w:rsidP="00EC182D">
            <w:pPr>
              <w:jc w:val="right"/>
              <w:rPr>
                <w:b/>
                <w:bCs/>
                <w:color w:val="000000"/>
                <w:sz w:val="20"/>
                <w:szCs w:val="20"/>
              </w:rPr>
            </w:pPr>
            <w:r w:rsidRPr="00BB4D6B">
              <w:rPr>
                <w:b/>
                <w:bCs/>
                <w:color w:val="000000"/>
                <w:sz w:val="20"/>
                <w:szCs w:val="20"/>
              </w:rPr>
              <w:t>221</w:t>
            </w:r>
          </w:p>
        </w:tc>
        <w:tc>
          <w:tcPr>
            <w:tcW w:w="850" w:type="dxa"/>
            <w:shd w:val="clear" w:color="000000" w:fill="B8D780"/>
            <w:noWrap/>
            <w:vAlign w:val="bottom"/>
            <w:hideMark/>
          </w:tcPr>
          <w:p w14:paraId="60A499D6" w14:textId="77777777" w:rsidR="00EC182D" w:rsidRPr="00BB4D6B" w:rsidRDefault="00EC182D" w:rsidP="00EC182D">
            <w:pPr>
              <w:jc w:val="right"/>
              <w:rPr>
                <w:color w:val="000000"/>
                <w:sz w:val="20"/>
                <w:szCs w:val="20"/>
              </w:rPr>
            </w:pPr>
            <w:r w:rsidRPr="00BB4D6B">
              <w:rPr>
                <w:color w:val="000000"/>
                <w:sz w:val="20"/>
                <w:szCs w:val="20"/>
              </w:rPr>
              <w:t>201</w:t>
            </w:r>
          </w:p>
        </w:tc>
        <w:tc>
          <w:tcPr>
            <w:tcW w:w="850" w:type="dxa"/>
            <w:shd w:val="clear" w:color="000000" w:fill="EBE683"/>
            <w:noWrap/>
            <w:vAlign w:val="bottom"/>
            <w:hideMark/>
          </w:tcPr>
          <w:p w14:paraId="25AE9F4E" w14:textId="77777777" w:rsidR="00EC182D" w:rsidRPr="00BB4D6B" w:rsidRDefault="00EC182D" w:rsidP="00EC182D">
            <w:pPr>
              <w:jc w:val="right"/>
              <w:rPr>
                <w:color w:val="000000"/>
                <w:sz w:val="20"/>
                <w:szCs w:val="20"/>
              </w:rPr>
            </w:pPr>
            <w:r w:rsidRPr="00BB4D6B">
              <w:rPr>
                <w:color w:val="000000"/>
                <w:sz w:val="20"/>
                <w:szCs w:val="20"/>
              </w:rPr>
              <w:t>174</w:t>
            </w:r>
          </w:p>
        </w:tc>
        <w:tc>
          <w:tcPr>
            <w:tcW w:w="850" w:type="dxa"/>
            <w:shd w:val="clear" w:color="000000" w:fill="E0E283"/>
            <w:noWrap/>
            <w:vAlign w:val="bottom"/>
            <w:hideMark/>
          </w:tcPr>
          <w:p w14:paraId="372230C7" w14:textId="77777777" w:rsidR="00EC182D" w:rsidRPr="00BB4D6B" w:rsidRDefault="00EC182D" w:rsidP="00EC182D">
            <w:pPr>
              <w:jc w:val="right"/>
              <w:rPr>
                <w:color w:val="000000"/>
                <w:sz w:val="20"/>
                <w:szCs w:val="20"/>
              </w:rPr>
            </w:pPr>
            <w:r w:rsidRPr="00BB4D6B">
              <w:rPr>
                <w:color w:val="000000"/>
                <w:sz w:val="20"/>
                <w:szCs w:val="20"/>
              </w:rPr>
              <w:t>180</w:t>
            </w:r>
          </w:p>
        </w:tc>
        <w:tc>
          <w:tcPr>
            <w:tcW w:w="850" w:type="dxa"/>
            <w:shd w:val="clear" w:color="000000" w:fill="FBEA84"/>
            <w:noWrap/>
            <w:vAlign w:val="bottom"/>
            <w:hideMark/>
          </w:tcPr>
          <w:p w14:paraId="35B61A09" w14:textId="77777777" w:rsidR="00EC182D" w:rsidRPr="00BB4D6B" w:rsidRDefault="00EC182D" w:rsidP="00EC182D">
            <w:pPr>
              <w:jc w:val="right"/>
              <w:rPr>
                <w:color w:val="000000"/>
                <w:sz w:val="20"/>
                <w:szCs w:val="20"/>
              </w:rPr>
            </w:pPr>
            <w:r w:rsidRPr="00BB4D6B">
              <w:rPr>
                <w:color w:val="000000"/>
                <w:sz w:val="20"/>
                <w:szCs w:val="20"/>
              </w:rPr>
              <w:t>166</w:t>
            </w:r>
          </w:p>
        </w:tc>
      </w:tr>
      <w:tr w:rsidR="00EC182D" w:rsidRPr="00BB4D6B" w14:paraId="44D93762" w14:textId="77777777" w:rsidTr="006622DF">
        <w:trPr>
          <w:trHeight w:val="165"/>
          <w:jc w:val="center"/>
        </w:trPr>
        <w:tc>
          <w:tcPr>
            <w:tcW w:w="850" w:type="dxa"/>
            <w:noWrap/>
            <w:vAlign w:val="bottom"/>
            <w:hideMark/>
          </w:tcPr>
          <w:p w14:paraId="0C4028A2" w14:textId="77777777" w:rsidR="00EC182D" w:rsidRPr="00BB4D6B" w:rsidRDefault="00EC182D" w:rsidP="00EC182D">
            <w:pPr>
              <w:jc w:val="right"/>
              <w:rPr>
                <w:color w:val="000000"/>
                <w:sz w:val="20"/>
                <w:szCs w:val="20"/>
              </w:rPr>
            </w:pPr>
            <w:r w:rsidRPr="00BB4D6B">
              <w:rPr>
                <w:color w:val="000000"/>
                <w:sz w:val="20"/>
                <w:szCs w:val="20"/>
              </w:rPr>
              <w:t>8</w:t>
            </w:r>
          </w:p>
        </w:tc>
        <w:tc>
          <w:tcPr>
            <w:tcW w:w="850" w:type="dxa"/>
            <w:shd w:val="clear" w:color="000000" w:fill="66BF7C"/>
            <w:noWrap/>
            <w:vAlign w:val="bottom"/>
            <w:hideMark/>
          </w:tcPr>
          <w:p w14:paraId="41D81059" w14:textId="77777777" w:rsidR="00EC182D" w:rsidRPr="00BB4D6B" w:rsidRDefault="00EC182D" w:rsidP="00EC182D">
            <w:pPr>
              <w:jc w:val="right"/>
              <w:rPr>
                <w:b/>
                <w:bCs/>
                <w:color w:val="000000"/>
                <w:sz w:val="20"/>
                <w:szCs w:val="20"/>
              </w:rPr>
            </w:pPr>
            <w:r w:rsidRPr="00BB4D6B">
              <w:rPr>
                <w:b/>
                <w:bCs/>
                <w:color w:val="000000"/>
                <w:sz w:val="20"/>
                <w:szCs w:val="20"/>
              </w:rPr>
              <w:t>244</w:t>
            </w:r>
          </w:p>
        </w:tc>
        <w:tc>
          <w:tcPr>
            <w:tcW w:w="850" w:type="dxa"/>
            <w:shd w:val="clear" w:color="000000" w:fill="BED981"/>
            <w:noWrap/>
            <w:vAlign w:val="bottom"/>
            <w:hideMark/>
          </w:tcPr>
          <w:p w14:paraId="18F80378" w14:textId="77777777" w:rsidR="00EC182D" w:rsidRPr="00BB4D6B" w:rsidRDefault="00EC182D" w:rsidP="00EC182D">
            <w:pPr>
              <w:jc w:val="right"/>
              <w:rPr>
                <w:color w:val="000000"/>
                <w:sz w:val="20"/>
                <w:szCs w:val="20"/>
              </w:rPr>
            </w:pPr>
            <w:r w:rsidRPr="00BB4D6B">
              <w:rPr>
                <w:color w:val="000000"/>
                <w:sz w:val="20"/>
                <w:szCs w:val="20"/>
              </w:rPr>
              <w:t>198</w:t>
            </w:r>
          </w:p>
        </w:tc>
        <w:tc>
          <w:tcPr>
            <w:tcW w:w="850" w:type="dxa"/>
            <w:shd w:val="clear" w:color="000000" w:fill="CFDD82"/>
            <w:noWrap/>
            <w:vAlign w:val="bottom"/>
            <w:hideMark/>
          </w:tcPr>
          <w:p w14:paraId="7DA9E3F6" w14:textId="77777777" w:rsidR="00EC182D" w:rsidRPr="00BB4D6B" w:rsidRDefault="00EC182D" w:rsidP="00EC182D">
            <w:pPr>
              <w:jc w:val="right"/>
              <w:rPr>
                <w:color w:val="000000"/>
                <w:sz w:val="20"/>
                <w:szCs w:val="20"/>
              </w:rPr>
            </w:pPr>
            <w:r w:rsidRPr="00BB4D6B">
              <w:rPr>
                <w:color w:val="000000"/>
                <w:sz w:val="20"/>
                <w:szCs w:val="20"/>
              </w:rPr>
              <w:t>189</w:t>
            </w:r>
          </w:p>
        </w:tc>
        <w:tc>
          <w:tcPr>
            <w:tcW w:w="850" w:type="dxa"/>
            <w:shd w:val="clear" w:color="000000" w:fill="ECE683"/>
            <w:noWrap/>
            <w:vAlign w:val="bottom"/>
            <w:hideMark/>
          </w:tcPr>
          <w:p w14:paraId="799B5E9B" w14:textId="77777777" w:rsidR="00EC182D" w:rsidRPr="00BB4D6B" w:rsidRDefault="00EC182D" w:rsidP="00EC182D">
            <w:pPr>
              <w:jc w:val="right"/>
              <w:rPr>
                <w:color w:val="000000"/>
                <w:sz w:val="20"/>
                <w:szCs w:val="20"/>
              </w:rPr>
            </w:pPr>
            <w:r w:rsidRPr="00BB4D6B">
              <w:rPr>
                <w:color w:val="000000"/>
                <w:sz w:val="20"/>
                <w:szCs w:val="20"/>
              </w:rPr>
              <w:t>174</w:t>
            </w:r>
          </w:p>
        </w:tc>
        <w:tc>
          <w:tcPr>
            <w:tcW w:w="850" w:type="dxa"/>
            <w:shd w:val="clear" w:color="000000" w:fill="E1E383"/>
            <w:noWrap/>
            <w:vAlign w:val="bottom"/>
            <w:hideMark/>
          </w:tcPr>
          <w:p w14:paraId="58896574" w14:textId="77777777" w:rsidR="00EC182D" w:rsidRPr="00BB4D6B" w:rsidRDefault="00EC182D" w:rsidP="00EC182D">
            <w:pPr>
              <w:jc w:val="right"/>
              <w:rPr>
                <w:color w:val="000000"/>
                <w:sz w:val="20"/>
                <w:szCs w:val="20"/>
              </w:rPr>
            </w:pPr>
            <w:r w:rsidRPr="00BB4D6B">
              <w:rPr>
                <w:color w:val="000000"/>
                <w:sz w:val="20"/>
                <w:szCs w:val="20"/>
              </w:rPr>
              <w:t>179</w:t>
            </w:r>
          </w:p>
        </w:tc>
        <w:tc>
          <w:tcPr>
            <w:tcW w:w="850" w:type="dxa"/>
            <w:shd w:val="clear" w:color="000000" w:fill="FEE983"/>
            <w:noWrap/>
            <w:vAlign w:val="bottom"/>
            <w:hideMark/>
          </w:tcPr>
          <w:p w14:paraId="2A060ACE" w14:textId="77777777" w:rsidR="00EC182D" w:rsidRPr="00BB4D6B" w:rsidRDefault="00EC182D" w:rsidP="00EC182D">
            <w:pPr>
              <w:jc w:val="right"/>
              <w:rPr>
                <w:color w:val="000000"/>
                <w:sz w:val="20"/>
                <w:szCs w:val="20"/>
              </w:rPr>
            </w:pPr>
            <w:r w:rsidRPr="00BB4D6B">
              <w:rPr>
                <w:color w:val="000000"/>
                <w:sz w:val="20"/>
                <w:szCs w:val="20"/>
              </w:rPr>
              <w:t>161</w:t>
            </w:r>
          </w:p>
        </w:tc>
      </w:tr>
      <w:tr w:rsidR="00EC182D" w:rsidRPr="00BB4D6B" w14:paraId="61DA1231" w14:textId="77777777" w:rsidTr="006622DF">
        <w:trPr>
          <w:trHeight w:val="165"/>
          <w:jc w:val="center"/>
        </w:trPr>
        <w:tc>
          <w:tcPr>
            <w:tcW w:w="850" w:type="dxa"/>
            <w:noWrap/>
            <w:vAlign w:val="bottom"/>
            <w:hideMark/>
          </w:tcPr>
          <w:p w14:paraId="5C2E8D6E" w14:textId="77777777" w:rsidR="00EC182D" w:rsidRPr="00BB4D6B" w:rsidRDefault="00EC182D" w:rsidP="00EC182D">
            <w:pPr>
              <w:jc w:val="right"/>
              <w:rPr>
                <w:color w:val="000000"/>
                <w:sz w:val="20"/>
                <w:szCs w:val="20"/>
              </w:rPr>
            </w:pPr>
            <w:r w:rsidRPr="00BB4D6B">
              <w:rPr>
                <w:color w:val="000000"/>
                <w:sz w:val="20"/>
                <w:szCs w:val="20"/>
              </w:rPr>
              <w:t>9</w:t>
            </w:r>
          </w:p>
        </w:tc>
        <w:tc>
          <w:tcPr>
            <w:tcW w:w="850" w:type="dxa"/>
            <w:shd w:val="clear" w:color="000000" w:fill="85C87D"/>
            <w:noWrap/>
            <w:vAlign w:val="bottom"/>
            <w:hideMark/>
          </w:tcPr>
          <w:p w14:paraId="0524B69C" w14:textId="77777777" w:rsidR="00EC182D" w:rsidRPr="00BB4D6B" w:rsidRDefault="00EC182D" w:rsidP="00EC182D">
            <w:pPr>
              <w:jc w:val="right"/>
              <w:rPr>
                <w:b/>
                <w:bCs/>
                <w:color w:val="000000"/>
                <w:sz w:val="20"/>
                <w:szCs w:val="20"/>
              </w:rPr>
            </w:pPr>
            <w:r w:rsidRPr="00BB4D6B">
              <w:rPr>
                <w:b/>
                <w:bCs/>
                <w:color w:val="000000"/>
                <w:sz w:val="20"/>
                <w:szCs w:val="20"/>
              </w:rPr>
              <w:t>227</w:t>
            </w:r>
          </w:p>
        </w:tc>
        <w:tc>
          <w:tcPr>
            <w:tcW w:w="850" w:type="dxa"/>
            <w:shd w:val="clear" w:color="000000" w:fill="CCDD82"/>
            <w:noWrap/>
            <w:vAlign w:val="bottom"/>
            <w:hideMark/>
          </w:tcPr>
          <w:p w14:paraId="6C7E2316" w14:textId="77777777" w:rsidR="00EC182D" w:rsidRPr="00BB4D6B" w:rsidRDefault="00EC182D" w:rsidP="00EC182D">
            <w:pPr>
              <w:jc w:val="right"/>
              <w:rPr>
                <w:color w:val="000000"/>
                <w:sz w:val="20"/>
                <w:szCs w:val="20"/>
              </w:rPr>
            </w:pPr>
            <w:r w:rsidRPr="00BB4D6B">
              <w:rPr>
                <w:color w:val="000000"/>
                <w:sz w:val="20"/>
                <w:szCs w:val="20"/>
              </w:rPr>
              <w:t>190</w:t>
            </w:r>
          </w:p>
        </w:tc>
        <w:tc>
          <w:tcPr>
            <w:tcW w:w="850" w:type="dxa"/>
            <w:shd w:val="clear" w:color="000000" w:fill="D8E082"/>
            <w:noWrap/>
            <w:vAlign w:val="bottom"/>
            <w:hideMark/>
          </w:tcPr>
          <w:p w14:paraId="3E14E779" w14:textId="77777777" w:rsidR="00EC182D" w:rsidRPr="00BB4D6B" w:rsidRDefault="00EC182D" w:rsidP="00EC182D">
            <w:pPr>
              <w:jc w:val="right"/>
              <w:rPr>
                <w:color w:val="000000"/>
                <w:sz w:val="20"/>
                <w:szCs w:val="20"/>
              </w:rPr>
            </w:pPr>
            <w:r w:rsidRPr="00BB4D6B">
              <w:rPr>
                <w:color w:val="000000"/>
                <w:sz w:val="20"/>
                <w:szCs w:val="20"/>
              </w:rPr>
              <w:t>184</w:t>
            </w:r>
          </w:p>
        </w:tc>
        <w:tc>
          <w:tcPr>
            <w:tcW w:w="850" w:type="dxa"/>
            <w:shd w:val="clear" w:color="000000" w:fill="F1E784"/>
            <w:noWrap/>
            <w:vAlign w:val="bottom"/>
            <w:hideMark/>
          </w:tcPr>
          <w:p w14:paraId="4300D6C3" w14:textId="77777777" w:rsidR="00EC182D" w:rsidRPr="00BB4D6B" w:rsidRDefault="00EC182D" w:rsidP="00EC182D">
            <w:pPr>
              <w:jc w:val="right"/>
              <w:rPr>
                <w:color w:val="000000"/>
                <w:sz w:val="20"/>
                <w:szCs w:val="20"/>
              </w:rPr>
            </w:pPr>
            <w:r w:rsidRPr="00BB4D6B">
              <w:rPr>
                <w:color w:val="000000"/>
                <w:sz w:val="20"/>
                <w:szCs w:val="20"/>
              </w:rPr>
              <w:t>171</w:t>
            </w:r>
          </w:p>
        </w:tc>
        <w:tc>
          <w:tcPr>
            <w:tcW w:w="850" w:type="dxa"/>
            <w:shd w:val="clear" w:color="000000" w:fill="F6E984"/>
            <w:noWrap/>
            <w:vAlign w:val="bottom"/>
            <w:hideMark/>
          </w:tcPr>
          <w:p w14:paraId="123BCD76" w14:textId="77777777" w:rsidR="00EC182D" w:rsidRPr="00BB4D6B" w:rsidRDefault="00EC182D" w:rsidP="00EC182D">
            <w:pPr>
              <w:jc w:val="right"/>
              <w:rPr>
                <w:color w:val="000000"/>
                <w:sz w:val="20"/>
                <w:szCs w:val="20"/>
              </w:rPr>
            </w:pPr>
            <w:r w:rsidRPr="00BB4D6B">
              <w:rPr>
                <w:color w:val="000000"/>
                <w:sz w:val="20"/>
                <w:szCs w:val="20"/>
              </w:rPr>
              <w:t>168</w:t>
            </w:r>
          </w:p>
        </w:tc>
        <w:tc>
          <w:tcPr>
            <w:tcW w:w="850" w:type="dxa"/>
            <w:shd w:val="clear" w:color="000000" w:fill="FEDD81"/>
            <w:noWrap/>
            <w:vAlign w:val="bottom"/>
            <w:hideMark/>
          </w:tcPr>
          <w:p w14:paraId="1B45DA72" w14:textId="77777777" w:rsidR="00EC182D" w:rsidRPr="00BB4D6B" w:rsidRDefault="00EC182D" w:rsidP="00EC182D">
            <w:pPr>
              <w:jc w:val="right"/>
              <w:rPr>
                <w:color w:val="000000"/>
                <w:sz w:val="20"/>
                <w:szCs w:val="20"/>
              </w:rPr>
            </w:pPr>
            <w:r w:rsidRPr="00BB4D6B">
              <w:rPr>
                <w:color w:val="000000"/>
                <w:sz w:val="20"/>
                <w:szCs w:val="20"/>
              </w:rPr>
              <w:t>134</w:t>
            </w:r>
          </w:p>
        </w:tc>
      </w:tr>
      <w:tr w:rsidR="00EC182D" w:rsidRPr="00BB4D6B" w14:paraId="14A43944" w14:textId="77777777" w:rsidTr="006622DF">
        <w:trPr>
          <w:trHeight w:val="165"/>
          <w:jc w:val="center"/>
        </w:trPr>
        <w:tc>
          <w:tcPr>
            <w:tcW w:w="850" w:type="dxa"/>
            <w:noWrap/>
            <w:vAlign w:val="bottom"/>
            <w:hideMark/>
          </w:tcPr>
          <w:p w14:paraId="05F8C649" w14:textId="77777777" w:rsidR="00EC182D" w:rsidRPr="00BB4D6B" w:rsidRDefault="00EC182D" w:rsidP="00EC182D">
            <w:pPr>
              <w:jc w:val="right"/>
              <w:rPr>
                <w:color w:val="000000"/>
                <w:sz w:val="20"/>
                <w:szCs w:val="20"/>
              </w:rPr>
            </w:pPr>
            <w:r w:rsidRPr="00BB4D6B">
              <w:rPr>
                <w:color w:val="000000"/>
                <w:sz w:val="20"/>
                <w:szCs w:val="20"/>
              </w:rPr>
              <w:t>10</w:t>
            </w:r>
          </w:p>
        </w:tc>
        <w:tc>
          <w:tcPr>
            <w:tcW w:w="850" w:type="dxa"/>
            <w:shd w:val="clear" w:color="000000" w:fill="C6DB81"/>
            <w:noWrap/>
            <w:vAlign w:val="bottom"/>
            <w:hideMark/>
          </w:tcPr>
          <w:p w14:paraId="649F389F" w14:textId="77777777" w:rsidR="00EC182D" w:rsidRPr="00BB4D6B" w:rsidRDefault="00EC182D" w:rsidP="00EC182D">
            <w:pPr>
              <w:jc w:val="right"/>
              <w:rPr>
                <w:color w:val="000000"/>
                <w:sz w:val="20"/>
                <w:szCs w:val="20"/>
              </w:rPr>
            </w:pPr>
            <w:r w:rsidRPr="00BB4D6B">
              <w:rPr>
                <w:color w:val="000000"/>
                <w:sz w:val="20"/>
                <w:szCs w:val="20"/>
              </w:rPr>
              <w:t>194</w:t>
            </w:r>
          </w:p>
        </w:tc>
        <w:tc>
          <w:tcPr>
            <w:tcW w:w="850" w:type="dxa"/>
            <w:shd w:val="clear" w:color="000000" w:fill="EEE784"/>
            <w:noWrap/>
            <w:vAlign w:val="bottom"/>
            <w:hideMark/>
          </w:tcPr>
          <w:p w14:paraId="4B4C1110" w14:textId="77777777" w:rsidR="00EC182D" w:rsidRPr="00BB4D6B" w:rsidRDefault="00EC182D" w:rsidP="00EC182D">
            <w:pPr>
              <w:jc w:val="right"/>
              <w:rPr>
                <w:color w:val="000000"/>
                <w:sz w:val="20"/>
                <w:szCs w:val="20"/>
              </w:rPr>
            </w:pPr>
            <w:r w:rsidRPr="00BB4D6B">
              <w:rPr>
                <w:color w:val="000000"/>
                <w:sz w:val="20"/>
                <w:szCs w:val="20"/>
              </w:rPr>
              <w:t>172</w:t>
            </w:r>
          </w:p>
        </w:tc>
        <w:tc>
          <w:tcPr>
            <w:tcW w:w="850" w:type="dxa"/>
            <w:shd w:val="clear" w:color="000000" w:fill="E5E483"/>
            <w:noWrap/>
            <w:vAlign w:val="bottom"/>
            <w:hideMark/>
          </w:tcPr>
          <w:p w14:paraId="403782D5" w14:textId="77777777" w:rsidR="00EC182D" w:rsidRPr="00BB4D6B" w:rsidRDefault="00EC182D" w:rsidP="00EC182D">
            <w:pPr>
              <w:jc w:val="right"/>
              <w:rPr>
                <w:color w:val="000000"/>
                <w:sz w:val="20"/>
                <w:szCs w:val="20"/>
              </w:rPr>
            </w:pPr>
            <w:r w:rsidRPr="00BB4D6B">
              <w:rPr>
                <w:color w:val="000000"/>
                <w:sz w:val="20"/>
                <w:szCs w:val="20"/>
              </w:rPr>
              <w:t>178</w:t>
            </w:r>
          </w:p>
        </w:tc>
        <w:tc>
          <w:tcPr>
            <w:tcW w:w="850" w:type="dxa"/>
            <w:shd w:val="clear" w:color="000000" w:fill="FEE883"/>
            <w:noWrap/>
            <w:vAlign w:val="bottom"/>
            <w:hideMark/>
          </w:tcPr>
          <w:p w14:paraId="2CA2EE10" w14:textId="77777777" w:rsidR="00EC182D" w:rsidRPr="00BB4D6B" w:rsidRDefault="00EC182D" w:rsidP="00EC182D">
            <w:pPr>
              <w:jc w:val="right"/>
              <w:rPr>
                <w:color w:val="000000"/>
                <w:sz w:val="20"/>
                <w:szCs w:val="20"/>
              </w:rPr>
            </w:pPr>
            <w:r w:rsidRPr="00BB4D6B">
              <w:rPr>
                <w:color w:val="000000"/>
                <w:sz w:val="20"/>
                <w:szCs w:val="20"/>
              </w:rPr>
              <w:t>158</w:t>
            </w:r>
          </w:p>
        </w:tc>
        <w:tc>
          <w:tcPr>
            <w:tcW w:w="850" w:type="dxa"/>
            <w:shd w:val="clear" w:color="000000" w:fill="FEEA83"/>
            <w:noWrap/>
            <w:vAlign w:val="bottom"/>
            <w:hideMark/>
          </w:tcPr>
          <w:p w14:paraId="019396A3" w14:textId="77777777" w:rsidR="00EC182D" w:rsidRPr="00BB4D6B" w:rsidRDefault="00EC182D" w:rsidP="00EC182D">
            <w:pPr>
              <w:jc w:val="right"/>
              <w:rPr>
                <w:color w:val="000000"/>
                <w:sz w:val="20"/>
                <w:szCs w:val="20"/>
              </w:rPr>
            </w:pPr>
            <w:r w:rsidRPr="00BB4D6B">
              <w:rPr>
                <w:color w:val="000000"/>
                <w:sz w:val="20"/>
                <w:szCs w:val="20"/>
              </w:rPr>
              <w:t>162</w:t>
            </w:r>
          </w:p>
        </w:tc>
        <w:tc>
          <w:tcPr>
            <w:tcW w:w="850" w:type="dxa"/>
            <w:shd w:val="clear" w:color="000000" w:fill="FEE582"/>
            <w:noWrap/>
            <w:vAlign w:val="bottom"/>
            <w:hideMark/>
          </w:tcPr>
          <w:p w14:paraId="16068EE2" w14:textId="77777777" w:rsidR="00EC182D" w:rsidRPr="00BB4D6B" w:rsidRDefault="00EC182D" w:rsidP="00EC182D">
            <w:pPr>
              <w:jc w:val="right"/>
              <w:rPr>
                <w:color w:val="000000"/>
                <w:sz w:val="20"/>
                <w:szCs w:val="20"/>
              </w:rPr>
            </w:pPr>
            <w:r w:rsidRPr="00BB4D6B">
              <w:rPr>
                <w:color w:val="000000"/>
                <w:sz w:val="20"/>
                <w:szCs w:val="20"/>
              </w:rPr>
              <w:t>152</w:t>
            </w:r>
          </w:p>
        </w:tc>
      </w:tr>
    </w:tbl>
    <w:p w14:paraId="615E8E96" w14:textId="2BF973FB" w:rsidR="00810673" w:rsidRPr="002B16B6" w:rsidRDefault="002B16B6" w:rsidP="00810673">
      <w:pPr>
        <w:pStyle w:val="SWCText"/>
      </w:pPr>
      <w:r w:rsidRPr="002B16B6">
        <w:t xml:space="preserve">This oversizing </w:t>
      </w:r>
      <w:r w:rsidR="005F7977" w:rsidRPr="002B16B6">
        <w:t>penalization</w:t>
      </w:r>
      <w:r w:rsidRPr="002B16B6">
        <w:t xml:space="preserve"> of economic savings is shown in </w:t>
      </w:r>
      <w:r>
        <w:fldChar w:fldCharType="begin"/>
      </w:r>
      <w:r>
        <w:instrText xml:space="preserve"> REF _Ref231309255 \h </w:instrText>
      </w:r>
      <w:r>
        <w:fldChar w:fldCharType="separate"/>
      </w:r>
      <w:r w:rsidR="002337D2">
        <w:t xml:space="preserve">Fig. </w:t>
      </w:r>
      <w:r w:rsidR="002337D2">
        <w:rPr>
          <w:noProof/>
        </w:rPr>
        <w:t>6</w:t>
      </w:r>
      <w:r>
        <w:fldChar w:fldCharType="end"/>
      </w:r>
      <w:r>
        <w:t>. The 3D plot shows that for higher volumes and temperatures, instead of being a plateau of savings there is now a peak followed by a descent. This is characteristic of TES systems in series configuration: having to maintain high temperatures in the TES system without being able to bypass it penalizes the excess PV injection into the grid</w:t>
      </w:r>
      <w:r w:rsidR="008E5979">
        <w:t>.</w:t>
      </w:r>
      <w:r>
        <w:t xml:space="preserve"> </w:t>
      </w:r>
      <w:r w:rsidR="008E5979">
        <w:t>As this injection</w:t>
      </w:r>
      <w:r>
        <w:t xml:space="preserve"> has an economic value, oversizing</w:t>
      </w:r>
      <w:r w:rsidR="00593A60">
        <w:t>, and in particular higher than optimal</w:t>
      </w:r>
      <w:r>
        <w:t xml:space="preserve"> temperatures</w:t>
      </w:r>
      <w:r w:rsidR="00B45170">
        <w:t xml:space="preserve"> for each volume</w:t>
      </w:r>
      <w:r w:rsidR="00593A60">
        <w:t>,</w:t>
      </w:r>
      <w:r>
        <w:t xml:space="preserve"> leads to reduced economic savings.</w:t>
      </w:r>
    </w:p>
    <w:p w14:paraId="54A44FA0" w14:textId="6225F355" w:rsidR="005E47C6" w:rsidRDefault="00214939" w:rsidP="005E47C6">
      <w:pPr>
        <w:pStyle w:val="SWCText"/>
        <w:keepNext/>
        <w:jc w:val="center"/>
      </w:pPr>
      <w:r>
        <w:rPr>
          <w:noProof/>
          <w:lang w:val="es-ES" w:eastAsia="es-ES"/>
        </w:rPr>
        <w:lastRenderedPageBreak/>
        <w:drawing>
          <wp:inline distT="0" distB="0" distL="0" distR="0" wp14:anchorId="11FFE073" wp14:editId="0B103D4C">
            <wp:extent cx="3288329" cy="2340000"/>
            <wp:effectExtent l="0" t="0" r="7620" b="3175"/>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288329" cy="2340000"/>
                    </a:xfrm>
                    <a:prstGeom prst="rect">
                      <a:avLst/>
                    </a:prstGeom>
                    <a:noFill/>
                  </pic:spPr>
                </pic:pic>
              </a:graphicData>
            </a:graphic>
          </wp:inline>
        </w:drawing>
      </w:r>
    </w:p>
    <w:p w14:paraId="754A1D21" w14:textId="59512EDD" w:rsidR="00DF719E" w:rsidRDefault="005E47C6" w:rsidP="005E47C6">
      <w:pPr>
        <w:pStyle w:val="SWCTableFigureCaption"/>
      </w:pPr>
      <w:bookmarkStart w:id="8" w:name="_Ref231309255"/>
      <w:r>
        <w:t xml:space="preserve">Fig. </w:t>
      </w:r>
      <w:r>
        <w:fldChar w:fldCharType="begin"/>
      </w:r>
      <w:r>
        <w:instrText xml:space="preserve"> SEQ Fig. \* ARABIC </w:instrText>
      </w:r>
      <w:r>
        <w:fldChar w:fldCharType="separate"/>
      </w:r>
      <w:r w:rsidR="002337D2">
        <w:rPr>
          <w:noProof/>
        </w:rPr>
        <w:t>6</w:t>
      </w:r>
      <w:r>
        <w:fldChar w:fldCharType="end"/>
      </w:r>
      <w:bookmarkEnd w:id="8"/>
      <w:r w:rsidR="00D5176F">
        <w:t>:</w:t>
      </w:r>
      <w:r w:rsidR="00D5176F" w:rsidRPr="00D5176F">
        <w:t xml:space="preserve"> </w:t>
      </w:r>
      <w:r w:rsidR="00D76BA2">
        <w:t>3D plot of i</w:t>
      </w:r>
      <w:r w:rsidR="00D5176F" w:rsidRPr="00D5176F">
        <w:t xml:space="preserve">nfluence of maximum temperature and TES system volume on </w:t>
      </w:r>
      <w:r w:rsidR="00D5176F">
        <w:t>economic savings</w:t>
      </w:r>
    </w:p>
    <w:p w14:paraId="457F5409" w14:textId="1993653D" w:rsidR="006F0CD1" w:rsidRPr="00850277" w:rsidRDefault="00DA2F8E" w:rsidP="008E2B87">
      <w:pPr>
        <w:pStyle w:val="SWCHeading11"/>
        <w:numPr>
          <w:ilvl w:val="1"/>
          <w:numId w:val="11"/>
        </w:numPr>
      </w:pPr>
      <w:r>
        <w:t xml:space="preserve">Simple </w:t>
      </w:r>
      <w:r w:rsidR="00B641E7">
        <w:t xml:space="preserve">payback period </w:t>
      </w:r>
      <w:r>
        <w:t>study</w:t>
      </w:r>
      <w:r w:rsidR="00DB5902">
        <w:t>:</w:t>
      </w:r>
      <w:r>
        <w:t xml:space="preserve"> effect of electricity injection </w:t>
      </w:r>
      <w:r w:rsidR="00C9323C">
        <w:t xml:space="preserve">compensation </w:t>
      </w:r>
      <w:r>
        <w:t>price</w:t>
      </w:r>
    </w:p>
    <w:p w14:paraId="5FFF55C4" w14:textId="7C859C5C" w:rsidR="00A44B6C" w:rsidRDefault="00A44B6C" w:rsidP="0084100F">
      <w:pPr>
        <w:pStyle w:val="SWCText"/>
      </w:pPr>
      <w:r>
        <w:t xml:space="preserve">Injecting excess PV electricity and receiving compensation effectively uses the grid as a storage resource with zero </w:t>
      </w:r>
      <w:r w:rsidR="00821191">
        <w:t>investment</w:t>
      </w:r>
      <w:r>
        <w:t xml:space="preserve"> cost and a virtual efficiency equal to the ratio of the compensation price to the electricity purchase price, which varies hourly, daily and monthly. Consequently, the compensation price strongly influences TES</w:t>
      </w:r>
      <w:r w:rsidR="00821191">
        <w:t xml:space="preserve"> system</w:t>
      </w:r>
      <w:r>
        <w:t xml:space="preserve"> economics. Assessing how changes in compensation levels affect total TES</w:t>
      </w:r>
      <w:r w:rsidR="005D1CD4" w:rsidRPr="005D1CD4">
        <w:t xml:space="preserve"> </w:t>
      </w:r>
      <w:r w:rsidR="005D1CD4">
        <w:t>system</w:t>
      </w:r>
      <w:r>
        <w:t xml:space="preserve"> payback time is therefore important for system design and selection.</w:t>
      </w:r>
    </w:p>
    <w:p w14:paraId="155F0269" w14:textId="5C7BF425" w:rsidR="00BC045D" w:rsidRDefault="00EA0AB3" w:rsidP="0084100F">
      <w:pPr>
        <w:pStyle w:val="SWCText"/>
      </w:pPr>
      <w:r>
        <w:t xml:space="preserve">A </w:t>
      </w:r>
      <w:r w:rsidR="00173582">
        <w:t>simplified</w:t>
      </w:r>
      <w:r>
        <w:t xml:space="preserve"> </w:t>
      </w:r>
      <w:r w:rsidR="00B641E7">
        <w:t xml:space="preserve">payback period </w:t>
      </w:r>
      <w:r>
        <w:t>analysis was performed by dividing TES</w:t>
      </w:r>
      <w:r w:rsidR="005D1CD4" w:rsidRPr="005D1CD4">
        <w:t xml:space="preserve"> </w:t>
      </w:r>
      <w:r w:rsidR="005D1CD4">
        <w:t>system</w:t>
      </w:r>
      <w:r>
        <w:t xml:space="preserve"> cost</w:t>
      </w:r>
      <w:r w:rsidR="0097181C">
        <w:t xml:space="preserve"> minus the </w:t>
      </w:r>
      <w:r w:rsidR="008E10D5">
        <w:t xml:space="preserve">baseline </w:t>
      </w:r>
      <w:r w:rsidR="0097181C">
        <w:t>case (0.2 m</w:t>
      </w:r>
      <w:r w:rsidR="0097181C">
        <w:rPr>
          <w:vertAlign w:val="superscript"/>
        </w:rPr>
        <w:t>3</w:t>
      </w:r>
      <w:r w:rsidR="0097181C">
        <w:t>) cost</w:t>
      </w:r>
      <w:r>
        <w:t xml:space="preserve"> by first-year economic savings</w:t>
      </w:r>
      <w:r w:rsidR="0008036B">
        <w:t xml:space="preserve"> for the best case at all volumes</w:t>
      </w:r>
      <w:r w:rsidR="00A55AA0">
        <w:t>.</w:t>
      </w:r>
      <w:r w:rsidR="00622684">
        <w:t xml:space="preserve"> This comparison with the </w:t>
      </w:r>
      <w:r w:rsidR="008E10D5">
        <w:t xml:space="preserve">baseline </w:t>
      </w:r>
      <w:r w:rsidR="00622684">
        <w:t>case using the smallest studied volume (0.2m</w:t>
      </w:r>
      <w:r w:rsidR="00622684">
        <w:rPr>
          <w:vertAlign w:val="superscript"/>
        </w:rPr>
        <w:t>3</w:t>
      </w:r>
      <w:r w:rsidR="00622684">
        <w:t>) is useful to compare different TES systems based on both their economic savings as well as initial investment.</w:t>
      </w:r>
      <w:r w:rsidR="00A55AA0">
        <w:t xml:space="preserve"> </w:t>
      </w:r>
      <w:r>
        <w:fldChar w:fldCharType="begin"/>
      </w:r>
      <w:r>
        <w:instrText xml:space="preserve"> REF _Ref222910657 \h </w:instrText>
      </w:r>
      <w:r>
        <w:fldChar w:fldCharType="separate"/>
      </w:r>
      <w:r w:rsidR="002337D2">
        <w:t xml:space="preserve">Fig. </w:t>
      </w:r>
      <w:r w:rsidR="002337D2">
        <w:rPr>
          <w:noProof/>
        </w:rPr>
        <w:t>7</w:t>
      </w:r>
      <w:r>
        <w:fldChar w:fldCharType="end"/>
      </w:r>
      <w:r>
        <w:t xml:space="preserve"> shows </w:t>
      </w:r>
      <w:r w:rsidR="00B641E7">
        <w:t xml:space="preserve">payback period </w:t>
      </w:r>
      <w:r>
        <w:t xml:space="preserve">as a function of </w:t>
      </w:r>
      <w:r w:rsidR="0011210D">
        <w:t>TES system volume</w:t>
      </w:r>
      <w:r>
        <w:t xml:space="preserve"> </w:t>
      </w:r>
      <w:r w:rsidR="00CD76B6">
        <w:t>using the best-case temperature</w:t>
      </w:r>
      <w:r w:rsidR="008E2B87">
        <w:t xml:space="preserve"> for each case</w:t>
      </w:r>
      <w:r w:rsidR="00CD76B6">
        <w:t>.</w:t>
      </w:r>
      <w:r>
        <w:t xml:space="preserve"> </w:t>
      </w:r>
      <w:r w:rsidR="00CD76B6">
        <w:t xml:space="preserve">Five </w:t>
      </w:r>
      <w:r>
        <w:t>different injection compensation</w:t>
      </w:r>
      <w:r w:rsidR="005D7104">
        <w:t xml:space="preserve"> price</w:t>
      </w:r>
      <w:r>
        <w:t xml:space="preserve"> scenarios</w:t>
      </w:r>
      <w:r w:rsidR="00CD76B6">
        <w:t xml:space="preserve"> were calculated</w:t>
      </w:r>
      <w:r>
        <w:t xml:space="preserve">: </w:t>
      </w:r>
      <w:r w:rsidR="00CB1A00">
        <w:t xml:space="preserve">from 100% (Spain 2023 </w:t>
      </w:r>
      <w:r w:rsidR="00622684">
        <w:t xml:space="preserve">as a </w:t>
      </w:r>
      <w:r w:rsidR="00CB1A00">
        <w:t>baseline)</w:t>
      </w:r>
      <w:r>
        <w:t xml:space="preserve"> </w:t>
      </w:r>
      <w:r w:rsidR="00CB1A00">
        <w:t>down to</w:t>
      </w:r>
      <w:r>
        <w:t xml:space="preserve"> 0%.</w:t>
      </w:r>
    </w:p>
    <w:p w14:paraId="41F02280" w14:textId="4C53393C" w:rsidR="00BC045D" w:rsidRDefault="00BC045D" w:rsidP="0084100F">
      <w:pPr>
        <w:pStyle w:val="SWCText"/>
      </w:pPr>
      <w:r>
        <w:t xml:space="preserve">The simple </w:t>
      </w:r>
      <w:r w:rsidR="00B641E7">
        <w:t xml:space="preserve">payback period </w:t>
      </w:r>
      <w:r>
        <w:t>study showcases that using regular 2023 compensation prices, they payback period of the TES is higher than its lifetime (around 20 years for a typical TES</w:t>
      </w:r>
      <w:r w:rsidR="005D1CD4" w:rsidRPr="005D1CD4">
        <w:t xml:space="preserve"> </w:t>
      </w:r>
      <w:r w:rsidR="005D1CD4">
        <w:t>system</w:t>
      </w:r>
      <w:r>
        <w:t xml:space="preserve">). In scenarios of reduced compensation prices, volumes of </w:t>
      </w:r>
      <w:r w:rsidR="008E2B87">
        <w:t>2</w:t>
      </w:r>
      <w:r>
        <w:t>-5m</w:t>
      </w:r>
      <w:r>
        <w:rPr>
          <w:vertAlign w:val="superscript"/>
        </w:rPr>
        <w:t>3</w:t>
      </w:r>
      <w:r>
        <w:t xml:space="preserve"> present </w:t>
      </w:r>
      <w:r w:rsidR="00B641E7">
        <w:t xml:space="preserve">payback periods </w:t>
      </w:r>
      <w:r>
        <w:t>equal or lower to the TES</w:t>
      </w:r>
      <w:r w:rsidR="005D1CD4" w:rsidRPr="005D1CD4">
        <w:t xml:space="preserve"> </w:t>
      </w:r>
      <w:r w:rsidR="005D1CD4">
        <w:t>system</w:t>
      </w:r>
      <w:r>
        <w:t xml:space="preserve"> lifetime.</w:t>
      </w:r>
    </w:p>
    <w:p w14:paraId="2A961B73" w14:textId="16AF8D84" w:rsidR="00EA0AB3" w:rsidRDefault="005D1CD4" w:rsidP="0084100F">
      <w:pPr>
        <w:pStyle w:val="SWCText"/>
      </w:pPr>
      <w:r>
        <w:t>In addition</w:t>
      </w:r>
      <w:r w:rsidR="00BC045D">
        <w:t>, results</w:t>
      </w:r>
      <w:r w:rsidR="00EA0AB3">
        <w:t xml:space="preserve"> show a non-linear relationship between compensation price and </w:t>
      </w:r>
      <w:r w:rsidR="00B641E7">
        <w:t>payback period</w:t>
      </w:r>
      <w:r w:rsidR="00EA0AB3">
        <w:t xml:space="preserve">. The initial reduction in compensation has the greatest impact, while further reductions produce smaller changes, indicating an asymptotic trend. </w:t>
      </w:r>
      <w:r w:rsidR="00173582">
        <w:t xml:space="preserve">A reduction of 25% causes volumes of </w:t>
      </w:r>
      <w:r w:rsidR="00173582" w:rsidRPr="00173582">
        <w:t>3m</w:t>
      </w:r>
      <w:r w:rsidR="00173582" w:rsidRPr="00173582">
        <w:rPr>
          <w:vertAlign w:val="superscript"/>
        </w:rPr>
        <w:t>3</w:t>
      </w:r>
      <w:r w:rsidR="00173582">
        <w:t xml:space="preserve"> to have </w:t>
      </w:r>
      <w:r w:rsidR="00B641E7">
        <w:t xml:space="preserve">payback periods </w:t>
      </w:r>
      <w:r w:rsidR="00173582">
        <w:t>of lower than the 20 years of estimated lifetime of a TES</w:t>
      </w:r>
      <w:r w:rsidRPr="005D1CD4">
        <w:t xml:space="preserve"> </w:t>
      </w:r>
      <w:r>
        <w:t>system</w:t>
      </w:r>
      <w:r w:rsidR="00173582">
        <w:t xml:space="preserve">. </w:t>
      </w:r>
      <w:r w:rsidR="00EA0AB3" w:rsidRPr="00173582">
        <w:t>This</w:t>
      </w:r>
      <w:r w:rsidR="00EA0AB3">
        <w:t xml:space="preserve"> highlights the sensitivity of TES</w:t>
      </w:r>
      <w:r w:rsidRPr="005D1CD4">
        <w:t xml:space="preserve"> </w:t>
      </w:r>
      <w:r>
        <w:t>system</w:t>
      </w:r>
      <w:r w:rsidR="00EA0AB3">
        <w:t xml:space="preserve"> economic viability to compensation schemes and its potential under future scenarios with increased PV penetration</w:t>
      </w:r>
      <w:r w:rsidR="007227C2">
        <w:t xml:space="preserve"> in the grid</w:t>
      </w:r>
      <w:r w:rsidR="00EA0AB3">
        <w:t>.</w:t>
      </w:r>
    </w:p>
    <w:p w14:paraId="7014D44B" w14:textId="3BFEF264" w:rsidR="00333DBD" w:rsidRDefault="00850277" w:rsidP="00333DBD">
      <w:pPr>
        <w:pStyle w:val="SWCText"/>
        <w:keepNext/>
        <w:jc w:val="center"/>
      </w:pPr>
      <w:r>
        <w:rPr>
          <w:noProof/>
          <w:lang w:val="es-ES" w:eastAsia="es-ES"/>
        </w:rPr>
        <w:lastRenderedPageBreak/>
        <w:drawing>
          <wp:inline distT="0" distB="0" distL="0" distR="0" wp14:anchorId="50205A24" wp14:editId="2FBE22D2">
            <wp:extent cx="4125284" cy="2340000"/>
            <wp:effectExtent l="0" t="0" r="8890" b="3175"/>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125284" cy="2340000"/>
                    </a:xfrm>
                    <a:prstGeom prst="rect">
                      <a:avLst/>
                    </a:prstGeom>
                    <a:noFill/>
                  </pic:spPr>
                </pic:pic>
              </a:graphicData>
            </a:graphic>
          </wp:inline>
        </w:drawing>
      </w:r>
    </w:p>
    <w:p w14:paraId="7E0B799F" w14:textId="41A9CA31" w:rsidR="00A92044" w:rsidRDefault="00333DBD" w:rsidP="00BB4D6B">
      <w:pPr>
        <w:pStyle w:val="SWCTableFigureCaption"/>
      </w:pPr>
      <w:bookmarkStart w:id="9" w:name="_Ref222910657"/>
      <w:r>
        <w:t xml:space="preserve">Fig. </w:t>
      </w:r>
      <w:r>
        <w:fldChar w:fldCharType="begin"/>
      </w:r>
      <w:r>
        <w:instrText xml:space="preserve"> SEQ Fig. \* ARABIC </w:instrText>
      </w:r>
      <w:r>
        <w:fldChar w:fldCharType="separate"/>
      </w:r>
      <w:r w:rsidR="002337D2">
        <w:rPr>
          <w:noProof/>
        </w:rPr>
        <w:t>7</w:t>
      </w:r>
      <w:r>
        <w:fldChar w:fldCharType="end"/>
      </w:r>
      <w:bookmarkEnd w:id="9"/>
      <w:r>
        <w:t xml:space="preserve">: </w:t>
      </w:r>
      <w:r w:rsidR="00B641E7">
        <w:t xml:space="preserve">Payback periods </w:t>
      </w:r>
      <w:r>
        <w:t xml:space="preserve">for different </w:t>
      </w:r>
      <w:r w:rsidR="0011210D">
        <w:t>TES system volume</w:t>
      </w:r>
      <w:r>
        <w:t>s</w:t>
      </w:r>
      <w:r w:rsidR="00B641E7">
        <w:t xml:space="preserve"> at the best-case maximum temperature</w:t>
      </w:r>
    </w:p>
    <w:p w14:paraId="6C842A91" w14:textId="2F05BA5D" w:rsidR="003869E8" w:rsidRPr="00C97946" w:rsidRDefault="00F277D2" w:rsidP="00490F10">
      <w:pPr>
        <w:pStyle w:val="SWCHeading1"/>
      </w:pPr>
      <w:r>
        <w:rPr>
          <w:lang w:val="en-GB"/>
        </w:rPr>
        <w:t>Conclusions</w:t>
      </w:r>
    </w:p>
    <w:p w14:paraId="35FE7F06" w14:textId="7D0A7DE8" w:rsidR="009F615D" w:rsidRDefault="009F615D" w:rsidP="009F615D">
      <w:pPr>
        <w:pStyle w:val="SWCText"/>
      </w:pPr>
      <w:r>
        <w:t xml:space="preserve">This study </w:t>
      </w:r>
      <w:r w:rsidR="00B742DB">
        <w:t>researched the dynamic behavior of PV+HP+</w:t>
      </w:r>
      <w:r>
        <w:t xml:space="preserve">TES systems, using a DesignBuilder/EnergyPlus model of a residential building in Pamplona, Spain. The focus was the </w:t>
      </w:r>
      <w:r w:rsidR="006B7F33">
        <w:t>seldom</w:t>
      </w:r>
      <w:r>
        <w:t xml:space="preserve"> studied influence of TES</w:t>
      </w:r>
      <w:r w:rsidR="005D1CD4" w:rsidRPr="005D1CD4">
        <w:t xml:space="preserve"> </w:t>
      </w:r>
      <w:r w:rsidR="005D1CD4">
        <w:t>system</w:t>
      </w:r>
      <w:r>
        <w:t xml:space="preserve"> temperature across different storage sizes</w:t>
      </w:r>
      <w:r w:rsidR="00A61C2F">
        <w:t xml:space="preserve"> in a parametric study of a DHW system</w:t>
      </w:r>
      <w:r w:rsidR="00CC2B80">
        <w:t xml:space="preserve"> as well as the effect of the compensation price for injecting excess PV onto the grid.</w:t>
      </w:r>
    </w:p>
    <w:p w14:paraId="5567B921" w14:textId="139F2F95" w:rsidR="007A269B" w:rsidRDefault="007A269B" w:rsidP="007A269B">
      <w:pPr>
        <w:pStyle w:val="SWCText"/>
      </w:pPr>
      <w:r>
        <w:t xml:space="preserve">Results indicate that peak </w:t>
      </w:r>
      <w:r w:rsidR="008E10D5">
        <w:t xml:space="preserve">self-sustainability </w:t>
      </w:r>
      <w:r>
        <w:t xml:space="preserve">and economic </w:t>
      </w:r>
      <w:r w:rsidR="008E10D5">
        <w:t xml:space="preserve">results </w:t>
      </w:r>
      <w:r>
        <w:t>occur for specific combinations of TES system volume and operating temperature rather than for a single storage capacity</w:t>
      </w:r>
      <w:r w:rsidR="00A846B6">
        <w:t>. This highlights the importance of studying both variables and their influence in the design phase</w:t>
      </w:r>
      <w:r>
        <w:t xml:space="preserve">. In the series configuration studied, modest undersizing can sharply reduce savings </w:t>
      </w:r>
      <w:r w:rsidR="00EB5359">
        <w:rPr>
          <w:szCs w:val="20"/>
        </w:rPr>
        <w:t>as the TES depletes before the end of the day and recharges during high-price morning hours. This while also increasing operating temperatures and reducing the COP of the system result in oversizing being an important risk in series configurated PV + HP + TES systems</w:t>
      </w:r>
      <w:r>
        <w:t>.</w:t>
      </w:r>
      <w:r w:rsidR="0014302D">
        <w:t xml:space="preserve"> </w:t>
      </w:r>
    </w:p>
    <w:p w14:paraId="76CBFEFC" w14:textId="5C6EAFD2" w:rsidR="007A269B" w:rsidRDefault="007A269B" w:rsidP="007A269B">
      <w:pPr>
        <w:pStyle w:val="SWCText"/>
      </w:pPr>
      <w:r>
        <w:t xml:space="preserve">As for oversizing, </w:t>
      </w:r>
      <w:r w:rsidR="00915F83">
        <w:t xml:space="preserve">grid electricity import reductions </w:t>
      </w:r>
      <w:r>
        <w:t>are insensitive to moderate oversizing</w:t>
      </w:r>
      <w:r w:rsidR="00915F83">
        <w:t>, reaching</w:t>
      </w:r>
      <w:r>
        <w:t xml:space="preserve"> a plateau beyond certain temperature–size combination</w:t>
      </w:r>
      <w:r w:rsidR="00915F83">
        <w:t>s</w:t>
      </w:r>
      <w:r>
        <w:t xml:space="preserve"> of the TES system. Economic savings howeve</w:t>
      </w:r>
      <w:r w:rsidR="00915F83">
        <w:t>r</w:t>
      </w:r>
      <w:r>
        <w:t xml:space="preserve"> are penalized by oversizing because higher TES system temperatures reduce heat pump COP, which in turn lowers injected PV onto the grid and the associated compensation. Because the </w:t>
      </w:r>
      <w:r w:rsidR="00570C7B">
        <w:t>grid electricity import reduction</w:t>
      </w:r>
      <w:r>
        <w:t xml:space="preserve"> metric does not account for exported PV, reductions in exported energy do not change the reported energetic savings.</w:t>
      </w:r>
    </w:p>
    <w:p w14:paraId="5F859C64" w14:textId="7DDAC875" w:rsidR="00B6337C" w:rsidRDefault="009F615D" w:rsidP="007A269B">
      <w:pPr>
        <w:pStyle w:val="SWCText"/>
      </w:pPr>
      <w:r>
        <w:t>The study also examined how PV injection compensation affects TES</w:t>
      </w:r>
      <w:r w:rsidR="00DB08D9" w:rsidRPr="00DB08D9">
        <w:t xml:space="preserve"> </w:t>
      </w:r>
      <w:r w:rsidR="00DB08D9">
        <w:t>system</w:t>
      </w:r>
      <w:r>
        <w:t xml:space="preserve"> </w:t>
      </w:r>
      <w:r w:rsidR="00605E48">
        <w:t>payback period</w:t>
      </w:r>
      <w:r>
        <w:t>. The relationship is significant and non-linear: small changes in compensation can strongly influence payback time, while further reductions have less effect. These findings highlight the need for case-by-case analyses under different grids, pricing schemes, and future renewable scenarios to evaluate the economic performance of TES systems.</w:t>
      </w:r>
    </w:p>
    <w:p w14:paraId="3CF92C97" w14:textId="1EF9E59E" w:rsidR="00F277D2" w:rsidRDefault="00F277D2" w:rsidP="00F277D2">
      <w:pPr>
        <w:pStyle w:val="SWCHeading1"/>
      </w:pPr>
      <w:r>
        <w:t>References</w:t>
      </w:r>
    </w:p>
    <w:sdt>
      <w:sdtPr>
        <w:rPr>
          <w:color w:val="000000"/>
          <w:sz w:val="20"/>
          <w:szCs w:val="22"/>
          <w:lang w:val="en-US"/>
        </w:rPr>
        <w:tag w:val="MENDELEY_BIBLIOGRAPHY"/>
        <w:id w:val="-1200858094"/>
        <w:placeholder>
          <w:docPart w:val="DefaultPlaceholder_-1854013440"/>
        </w:placeholder>
      </w:sdtPr>
      <w:sdtEndPr/>
      <w:sdtContent>
        <w:p w14:paraId="772A5AD7" w14:textId="77777777" w:rsidR="00626FC8" w:rsidRPr="00626FC8" w:rsidRDefault="00626FC8">
          <w:pPr>
            <w:autoSpaceDE w:val="0"/>
            <w:autoSpaceDN w:val="0"/>
            <w:ind w:hanging="480"/>
            <w:divId w:val="1269580205"/>
            <w:rPr>
              <w:color w:val="000000"/>
              <w:sz w:val="20"/>
            </w:rPr>
          </w:pPr>
          <w:r w:rsidRPr="00626FC8">
            <w:rPr>
              <w:color w:val="000000"/>
              <w:sz w:val="20"/>
            </w:rPr>
            <w:t>Agyenim, F., Hewitt, N., 2010. The development of a finned phase change material (PCM) storage system to take advantage of off-peak electricity tariff for improvement in cost of heat pump operation. Energy Build. 42, 1552–1560. https://doi.org/10.1016/j.enbuild.2010.03.027</w:t>
          </w:r>
        </w:p>
        <w:p w14:paraId="2EEBD45B" w14:textId="77777777" w:rsidR="00626FC8" w:rsidRPr="00626FC8" w:rsidRDefault="00626FC8">
          <w:pPr>
            <w:autoSpaceDE w:val="0"/>
            <w:autoSpaceDN w:val="0"/>
            <w:ind w:hanging="480"/>
            <w:divId w:val="762803943"/>
            <w:rPr>
              <w:color w:val="000000"/>
              <w:sz w:val="20"/>
            </w:rPr>
          </w:pPr>
          <w:r w:rsidRPr="00626FC8">
            <w:rPr>
              <w:color w:val="000000"/>
              <w:sz w:val="20"/>
            </w:rPr>
            <w:t>Análisis | ESIOS electricidad · datos · transparencia [WWW Document], n.d. URL https://www.esios.ree.es/es/analisis/1001?vis=1&amp;start_date=24-01-2025T00%3A00&amp;end_date=24-01-2025T23%3A55&amp;compare_start_date=23-01-2025T00%3A00&amp;groupby=hour# (accessed 1.24.25).</w:t>
          </w:r>
        </w:p>
        <w:p w14:paraId="283E706A" w14:textId="77777777" w:rsidR="00626FC8" w:rsidRPr="00626FC8" w:rsidRDefault="00626FC8">
          <w:pPr>
            <w:autoSpaceDE w:val="0"/>
            <w:autoSpaceDN w:val="0"/>
            <w:ind w:hanging="480"/>
            <w:divId w:val="596139905"/>
            <w:rPr>
              <w:color w:val="000000"/>
              <w:sz w:val="20"/>
            </w:rPr>
          </w:pPr>
          <w:r w:rsidRPr="00626FC8">
            <w:rPr>
              <w:color w:val="000000"/>
              <w:sz w:val="20"/>
            </w:rPr>
            <w:t>Fischer, D., Toral, T.R., Lindberg, K.B., Wille-Haussmann, B., Madani, H., 2014. Investigation of Thermal Storage Operation Strategies with Heat Pumps in German Multi Family Houses. Energy Procedia 58, 137–144. https://doi.org/10.1016/J.EGYPRO.2014.10.420</w:t>
          </w:r>
        </w:p>
        <w:p w14:paraId="7E6B65AD" w14:textId="77777777" w:rsidR="00626FC8" w:rsidRPr="00626FC8" w:rsidRDefault="00626FC8">
          <w:pPr>
            <w:autoSpaceDE w:val="0"/>
            <w:autoSpaceDN w:val="0"/>
            <w:ind w:hanging="480"/>
            <w:divId w:val="73750585"/>
            <w:rPr>
              <w:color w:val="000000"/>
              <w:sz w:val="20"/>
            </w:rPr>
          </w:pPr>
          <w:r w:rsidRPr="00626FC8">
            <w:rPr>
              <w:color w:val="000000"/>
              <w:sz w:val="20"/>
            </w:rPr>
            <w:t>Generador de Precios CYPE [WWW Document], n.d. URL http://generadordeprecios.info/obra_nueva/Instalaciones/IC_Calefaccion__climatizacion_y_A/Sistemas_de_conduccion_de_agua/Acumulador_para_A.C.S_0_0_33_0_0_0_0_0_0_0_0.html#gsc.tab=0 (accessed 1.23.25).</w:t>
          </w:r>
        </w:p>
        <w:p w14:paraId="79288F83" w14:textId="77777777" w:rsidR="00626FC8" w:rsidRPr="00626FC8" w:rsidRDefault="00626FC8">
          <w:pPr>
            <w:autoSpaceDE w:val="0"/>
            <w:autoSpaceDN w:val="0"/>
            <w:ind w:hanging="480"/>
            <w:divId w:val="613484421"/>
            <w:rPr>
              <w:color w:val="000000"/>
              <w:sz w:val="20"/>
            </w:rPr>
          </w:pPr>
          <w:r w:rsidRPr="00626FC8">
            <w:rPr>
              <w:color w:val="000000"/>
              <w:sz w:val="20"/>
            </w:rPr>
            <w:lastRenderedPageBreak/>
            <w:t>In focus: Energy efficiency in buildings | Comisión Europea, n.d.</w:t>
          </w:r>
        </w:p>
        <w:p w14:paraId="24168390" w14:textId="77777777" w:rsidR="00626FC8" w:rsidRPr="00626FC8" w:rsidRDefault="00626FC8">
          <w:pPr>
            <w:autoSpaceDE w:val="0"/>
            <w:autoSpaceDN w:val="0"/>
            <w:ind w:hanging="480"/>
            <w:divId w:val="172845446"/>
            <w:rPr>
              <w:color w:val="000000"/>
              <w:sz w:val="20"/>
            </w:rPr>
          </w:pPr>
          <w:r w:rsidRPr="00626FC8">
            <w:rPr>
              <w:color w:val="000000"/>
              <w:sz w:val="20"/>
            </w:rPr>
            <w:t>Latchiba, W.E., Waita, S., Krueger, R., Mwabora, J.M., 2026. Assessment of the life cycle of photovoltaic solar technologies for sustainable energy transitions: Implications for climate policy and low-carbon system integration. Resources, Environment and Sustainability 25, 100328. https://doi.org/10.1016/J.RESENV.2026.100328</w:t>
          </w:r>
        </w:p>
        <w:p w14:paraId="0EC1DF3E" w14:textId="77777777" w:rsidR="00626FC8" w:rsidRPr="00626FC8" w:rsidRDefault="00626FC8">
          <w:pPr>
            <w:autoSpaceDE w:val="0"/>
            <w:autoSpaceDN w:val="0"/>
            <w:ind w:hanging="480"/>
            <w:divId w:val="1791897801"/>
            <w:rPr>
              <w:color w:val="000000"/>
              <w:sz w:val="20"/>
            </w:rPr>
          </w:pPr>
          <w:r w:rsidRPr="00626FC8">
            <w:rPr>
              <w:color w:val="000000"/>
              <w:sz w:val="20"/>
            </w:rPr>
            <w:t>Li, Y., Rosengarten, G., Stanley, C., Mojiri, A., 2022. Electrification of residential heating, cooling and hot water: Load smoothing using onsite photovoltaics, heat pump and thermal batteries. J. Energy Storage 56, 105873. https://doi.org/10.1016/J.EST.2022.105873</w:t>
          </w:r>
        </w:p>
        <w:p w14:paraId="3E9DFC47" w14:textId="77777777" w:rsidR="00626FC8" w:rsidRPr="00626FC8" w:rsidRDefault="00626FC8">
          <w:pPr>
            <w:autoSpaceDE w:val="0"/>
            <w:autoSpaceDN w:val="0"/>
            <w:ind w:hanging="480"/>
            <w:divId w:val="711226134"/>
            <w:rPr>
              <w:color w:val="000000"/>
              <w:sz w:val="20"/>
            </w:rPr>
          </w:pPr>
          <w:r w:rsidRPr="00626FC8">
            <w:rPr>
              <w:color w:val="000000"/>
              <w:sz w:val="20"/>
            </w:rPr>
            <w:t>Osterman, E., Stritih, U., 2021. Review on compression heat pump systems with thermal energy storage for heating and cooling of buildings. J. Energy Storage 39, 102569. https://doi.org/10.1016/J.EST.2021.102569</w:t>
          </w:r>
        </w:p>
        <w:p w14:paraId="4DE416D2" w14:textId="77777777" w:rsidR="00626FC8" w:rsidRPr="00626FC8" w:rsidRDefault="00626FC8">
          <w:pPr>
            <w:autoSpaceDE w:val="0"/>
            <w:autoSpaceDN w:val="0"/>
            <w:ind w:hanging="480"/>
            <w:divId w:val="723986677"/>
            <w:rPr>
              <w:color w:val="000000"/>
              <w:sz w:val="20"/>
            </w:rPr>
          </w:pPr>
          <w:r w:rsidRPr="00626FC8">
            <w:rPr>
              <w:color w:val="000000"/>
              <w:sz w:val="20"/>
            </w:rPr>
            <w:t>Sborz, J., Cominato, C., Kalbusch, A., Henning, E., 2022. Hourly and daily domestic hot water consumption in social housing dwellings: An analysis in apartment buildings in Southern Brazil. Solar Energy 232, 459–470. https://doi.org/10.1016/J.SOLENER.2021.12.067</w:t>
          </w:r>
        </w:p>
        <w:p w14:paraId="424C46C3" w14:textId="77777777" w:rsidR="00626FC8" w:rsidRPr="00626FC8" w:rsidRDefault="00626FC8">
          <w:pPr>
            <w:autoSpaceDE w:val="0"/>
            <w:autoSpaceDN w:val="0"/>
            <w:ind w:hanging="480"/>
            <w:divId w:val="1238370310"/>
            <w:rPr>
              <w:color w:val="000000"/>
              <w:sz w:val="20"/>
            </w:rPr>
          </w:pPr>
          <w:r w:rsidRPr="00626FC8">
            <w:rPr>
              <w:color w:val="000000"/>
              <w:sz w:val="20"/>
            </w:rPr>
            <w:t>Schito, E., Conti, P., Testi, D., Montagud-Montalvá, C., Vivancos, J.-L., 2026. Economic and environmental assessment of hybrid heat pumps: a cross-country analysis. Energy Build. 353, 116857. https://doi.org/10.1016/J.ENBUILD.2025.116857</w:t>
          </w:r>
        </w:p>
        <w:p w14:paraId="034383D4" w14:textId="77777777" w:rsidR="00626FC8" w:rsidRPr="00626FC8" w:rsidRDefault="00626FC8">
          <w:pPr>
            <w:autoSpaceDE w:val="0"/>
            <w:autoSpaceDN w:val="0"/>
            <w:ind w:hanging="480"/>
            <w:divId w:val="1416974095"/>
            <w:rPr>
              <w:color w:val="000000"/>
              <w:sz w:val="20"/>
            </w:rPr>
          </w:pPr>
          <w:r w:rsidRPr="00626FC8">
            <w:rPr>
              <w:color w:val="000000"/>
              <w:sz w:val="20"/>
            </w:rPr>
            <w:t>Wang, L., Hui, C., 2026. Enhancing cost efficiency and energy performance in residential buildings with thermal energy storage and predictive control. Appl. Therm. Eng. 300, 131373. https://doi.org/10.1016/J.APPLTHERMALENG.2026.131373</w:t>
          </w:r>
        </w:p>
        <w:p w14:paraId="263188FC" w14:textId="50251F73" w:rsidR="008F54F8" w:rsidRDefault="00626FC8" w:rsidP="00D63D44">
          <w:pPr>
            <w:pStyle w:val="SWCText"/>
          </w:pPr>
          <w:r w:rsidRPr="00626FC8">
            <w:t> </w:t>
          </w:r>
        </w:p>
      </w:sdtContent>
    </w:sdt>
    <w:sectPr w:rsidR="008F54F8" w:rsidSect="00F277D2">
      <w:footnotePr>
        <w:numRestart w:val="eachPage"/>
      </w:footnotePr>
      <w:pgSz w:w="11908" w:h="16838"/>
      <w:pgMar w:top="1078" w:right="1440" w:bottom="1440" w:left="1701" w:header="284" w:footer="284" w:gutter="0"/>
      <w:pgNumType w:start="1"/>
      <w:cols w:space="720"/>
      <w:noEndnote/>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835E05D" w16cex:dateUtc="2026-08-05T09:10:00Z"/>
  <w16cex:commentExtensible w16cex:durableId="3BB9333C" w16cex:dateUtc="2026-08-05T09:12:00Z"/>
  <w16cex:commentExtensible w16cex:durableId="7F60C5A5" w16cex:dateUtc="2026-08-05T09:13:00Z"/>
  <w16cex:commentExtensible w16cex:durableId="55D33CF7" w16cex:dateUtc="2026-08-05T09:14:00Z"/>
  <w16cex:commentExtensible w16cex:durableId="44E89DB5" w16cex:dateUtc="2026-08-05T09:16:00Z"/>
  <w16cex:commentExtensible w16cex:durableId="45B2FD0C" w16cex:dateUtc="2026-08-05T09:18:00Z"/>
  <w16cex:commentExtensible w16cex:durableId="0369883C" w16cex:dateUtc="2026-08-05T09:18:00Z"/>
  <w16cex:commentExtensible w16cex:durableId="289333E3" w16cex:dateUtc="2026-08-05T09:20:00Z"/>
  <w16cex:commentExtensible w16cex:durableId="192F4FF0" w16cex:dateUtc="2026-08-05T09:25:00Z"/>
  <w16cex:commentExtensible w16cex:durableId="2BF0EE75" w16cex:dateUtc="2026-08-05T09:56:00Z"/>
  <w16cex:commentExtensible w16cex:durableId="07E5754B" w16cex:dateUtc="2026-08-05T09:22:00Z"/>
  <w16cex:commentExtensible w16cex:durableId="0D6F8598" w16cex:dateUtc="2026-08-05T09:28:00Z"/>
  <w16cex:commentExtensible w16cex:durableId="4E165030" w16cex:dateUtc="2026-08-05T09:29:00Z"/>
  <w16cex:commentExtensible w16cex:durableId="2D225143" w16cex:dateUtc="2026-08-05T09:29:00Z"/>
  <w16cex:commentExtensible w16cex:durableId="130F35D5" w16cex:dateUtc="2026-08-05T09:3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7D6CEC8" w16cid:durableId="4835E05D"/>
  <w16cid:commentId w16cid:paraId="37195E44" w16cid:durableId="3BB9333C"/>
  <w16cid:commentId w16cid:paraId="410FB83B" w16cid:durableId="7F60C5A5"/>
  <w16cid:commentId w16cid:paraId="4724E07A" w16cid:durableId="55D33CF7"/>
  <w16cid:commentId w16cid:paraId="15B5E68A" w16cid:durableId="44E89DB5"/>
  <w16cid:commentId w16cid:paraId="24EECFB4" w16cid:durableId="45B2FD0C"/>
  <w16cid:commentId w16cid:paraId="54712A85" w16cid:durableId="0369883C"/>
  <w16cid:commentId w16cid:paraId="674C3FFE" w16cid:durableId="289333E3"/>
  <w16cid:commentId w16cid:paraId="7EDC258E" w16cid:durableId="192F4FF0"/>
  <w16cid:commentId w16cid:paraId="1C7398A3" w16cid:durableId="2BF0EE75"/>
  <w16cid:commentId w16cid:paraId="19F840C6" w16cid:durableId="07E5754B"/>
  <w16cid:commentId w16cid:paraId="48DB387C" w16cid:durableId="0D6F8598"/>
  <w16cid:commentId w16cid:paraId="2B1D73EE" w16cid:durableId="4E165030"/>
  <w16cid:commentId w16cid:paraId="05641C42" w16cid:durableId="2D225143"/>
  <w16cid:commentId w16cid:paraId="4077AE0F" w16cid:durableId="130F35D5"/>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5E2055" w14:textId="77777777" w:rsidR="0078156C" w:rsidRDefault="0078156C">
      <w:r>
        <w:separator/>
      </w:r>
    </w:p>
  </w:endnote>
  <w:endnote w:type="continuationSeparator" w:id="0">
    <w:p w14:paraId="6F05C494" w14:textId="77777777" w:rsidR="0078156C" w:rsidRDefault="007815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inion Pro">
    <w:altName w:val="Cambria Math"/>
    <w:panose1 w:val="00000000000000000000"/>
    <w:charset w:val="00"/>
    <w:family w:val="roman"/>
    <w:notTrueType/>
    <w:pitch w:val="variable"/>
    <w:sig w:usb0="60000287" w:usb1="00000001" w:usb2="00000000" w:usb3="00000000" w:csb0="000001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D6C694" w14:textId="77777777" w:rsidR="0078156C" w:rsidRDefault="0078156C">
      <w:r>
        <w:separator/>
      </w:r>
    </w:p>
  </w:footnote>
  <w:footnote w:type="continuationSeparator" w:id="0">
    <w:p w14:paraId="2B69F302" w14:textId="77777777" w:rsidR="0078156C" w:rsidRDefault="0078156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CFC5FAD4"/>
    <w:multiLevelType w:val="hybridMultilevel"/>
    <w:tmpl w:val="B740534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0"/>
    <w:multiLevelType w:val="singleLevel"/>
    <w:tmpl w:val="8BBE5F78"/>
    <w:lvl w:ilvl="0">
      <w:start w:val="1"/>
      <w:numFmt w:val="bullet"/>
      <w:lvlText w:val=""/>
      <w:lvlJc w:val="left"/>
      <w:pPr>
        <w:tabs>
          <w:tab w:val="num" w:pos="1492"/>
        </w:tabs>
        <w:ind w:left="1492" w:hanging="360"/>
      </w:pPr>
      <w:rPr>
        <w:rFonts w:ascii="Symbol" w:hAnsi="Symbol" w:hint="default"/>
      </w:rPr>
    </w:lvl>
  </w:abstractNum>
  <w:abstractNum w:abstractNumId="2" w15:restartNumberingAfterBreak="0">
    <w:nsid w:val="FFFFFF81"/>
    <w:multiLevelType w:val="singleLevel"/>
    <w:tmpl w:val="41467FA0"/>
    <w:lvl w:ilvl="0">
      <w:start w:val="1"/>
      <w:numFmt w:val="bullet"/>
      <w:lvlText w:val=""/>
      <w:lvlJc w:val="left"/>
      <w:pPr>
        <w:tabs>
          <w:tab w:val="num" w:pos="1209"/>
        </w:tabs>
        <w:ind w:left="1209" w:hanging="360"/>
      </w:pPr>
      <w:rPr>
        <w:rFonts w:ascii="Symbol" w:hAnsi="Symbol" w:hint="default"/>
      </w:rPr>
    </w:lvl>
  </w:abstractNum>
  <w:abstractNum w:abstractNumId="3" w15:restartNumberingAfterBreak="0">
    <w:nsid w:val="FFFFFF82"/>
    <w:multiLevelType w:val="singleLevel"/>
    <w:tmpl w:val="647421D6"/>
    <w:lvl w:ilvl="0">
      <w:start w:val="1"/>
      <w:numFmt w:val="bullet"/>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EB1292B0"/>
    <w:lvl w:ilvl="0">
      <w:start w:val="1"/>
      <w:numFmt w:val="bullet"/>
      <w:lvlText w:val=""/>
      <w:lvlJc w:val="left"/>
      <w:pPr>
        <w:tabs>
          <w:tab w:val="num" w:pos="643"/>
        </w:tabs>
        <w:ind w:left="643" w:hanging="360"/>
      </w:pPr>
      <w:rPr>
        <w:rFonts w:ascii="Symbol" w:hAnsi="Symbol" w:hint="default"/>
      </w:rPr>
    </w:lvl>
  </w:abstractNum>
  <w:abstractNum w:abstractNumId="5" w15:restartNumberingAfterBreak="0">
    <w:nsid w:val="FFFFFF89"/>
    <w:multiLevelType w:val="singleLevel"/>
    <w:tmpl w:val="6E8C6812"/>
    <w:lvl w:ilvl="0">
      <w:start w:val="1"/>
      <w:numFmt w:val="bullet"/>
      <w:pStyle w:val="Listaconvietas"/>
      <w:lvlText w:val=""/>
      <w:lvlJc w:val="left"/>
      <w:pPr>
        <w:tabs>
          <w:tab w:val="num" w:pos="360"/>
        </w:tabs>
        <w:ind w:left="360" w:hanging="360"/>
      </w:pPr>
      <w:rPr>
        <w:rFonts w:ascii="Symbol" w:hAnsi="Symbol" w:hint="default"/>
      </w:rPr>
    </w:lvl>
  </w:abstractNum>
  <w:abstractNum w:abstractNumId="6" w15:restartNumberingAfterBreak="0">
    <w:nsid w:val="1C551AE5"/>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7" w15:restartNumberingAfterBreak="0">
    <w:nsid w:val="23791F8E"/>
    <w:multiLevelType w:val="multilevel"/>
    <w:tmpl w:val="15DC06A0"/>
    <w:lvl w:ilvl="0">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26AD7B49"/>
    <w:multiLevelType w:val="multilevel"/>
    <w:tmpl w:val="47C4BDDE"/>
    <w:lvl w:ilvl="0">
      <w:numFmt w:val="none"/>
      <w:lvlText w:val="3.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9" w15:restartNumberingAfterBreak="0">
    <w:nsid w:val="302C45F0"/>
    <w:multiLevelType w:val="multilevel"/>
    <w:tmpl w:val="F44CAF6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0" w15:restartNumberingAfterBreak="0">
    <w:nsid w:val="35B80708"/>
    <w:multiLevelType w:val="hybridMultilevel"/>
    <w:tmpl w:val="727EE29C"/>
    <w:lvl w:ilvl="0" w:tplc="29EEE16E">
      <w:start w:val="1"/>
      <w:numFmt w:val="bullet"/>
      <w:pStyle w:val="SWCBulletedList"/>
      <w:lvlText w:val=""/>
      <w:lvlJc w:val="left"/>
      <w:pPr>
        <w:tabs>
          <w:tab w:val="num" w:pos="1654"/>
        </w:tabs>
        <w:ind w:left="1654" w:hanging="360"/>
      </w:pPr>
      <w:rPr>
        <w:rFonts w:ascii="Symbol" w:hAnsi="Symbol" w:hint="default"/>
        <w:b w:val="0"/>
        <w:i w:val="0"/>
        <w:color w:val="000000"/>
        <w:sz w:val="20"/>
        <w:szCs w:val="20"/>
        <w:u w:val="none"/>
      </w:rPr>
    </w:lvl>
    <w:lvl w:ilvl="1" w:tplc="04070003">
      <w:start w:val="1"/>
      <w:numFmt w:val="bullet"/>
      <w:lvlText w:val="o"/>
      <w:lvlJc w:val="left"/>
      <w:pPr>
        <w:tabs>
          <w:tab w:val="num" w:pos="1920"/>
        </w:tabs>
        <w:ind w:left="1920" w:hanging="360"/>
      </w:pPr>
      <w:rPr>
        <w:rFonts w:ascii="Courier New" w:hAnsi="Courier New" w:cs="Courier New" w:hint="default"/>
      </w:rPr>
    </w:lvl>
    <w:lvl w:ilvl="2" w:tplc="04070005" w:tentative="1">
      <w:start w:val="1"/>
      <w:numFmt w:val="bullet"/>
      <w:lvlText w:val=""/>
      <w:lvlJc w:val="left"/>
      <w:pPr>
        <w:tabs>
          <w:tab w:val="num" w:pos="2640"/>
        </w:tabs>
        <w:ind w:left="2640" w:hanging="360"/>
      </w:pPr>
      <w:rPr>
        <w:rFonts w:ascii="Wingdings" w:hAnsi="Wingdings" w:hint="default"/>
      </w:rPr>
    </w:lvl>
    <w:lvl w:ilvl="3" w:tplc="04070001" w:tentative="1">
      <w:start w:val="1"/>
      <w:numFmt w:val="bullet"/>
      <w:lvlText w:val=""/>
      <w:lvlJc w:val="left"/>
      <w:pPr>
        <w:tabs>
          <w:tab w:val="num" w:pos="3360"/>
        </w:tabs>
        <w:ind w:left="3360" w:hanging="360"/>
      </w:pPr>
      <w:rPr>
        <w:rFonts w:ascii="Symbol" w:hAnsi="Symbol" w:hint="default"/>
      </w:rPr>
    </w:lvl>
    <w:lvl w:ilvl="4" w:tplc="04070003" w:tentative="1">
      <w:start w:val="1"/>
      <w:numFmt w:val="bullet"/>
      <w:lvlText w:val="o"/>
      <w:lvlJc w:val="left"/>
      <w:pPr>
        <w:tabs>
          <w:tab w:val="num" w:pos="4080"/>
        </w:tabs>
        <w:ind w:left="4080" w:hanging="360"/>
      </w:pPr>
      <w:rPr>
        <w:rFonts w:ascii="Courier New" w:hAnsi="Courier New" w:cs="Courier New" w:hint="default"/>
      </w:rPr>
    </w:lvl>
    <w:lvl w:ilvl="5" w:tplc="04070005" w:tentative="1">
      <w:start w:val="1"/>
      <w:numFmt w:val="bullet"/>
      <w:lvlText w:val=""/>
      <w:lvlJc w:val="left"/>
      <w:pPr>
        <w:tabs>
          <w:tab w:val="num" w:pos="4800"/>
        </w:tabs>
        <w:ind w:left="4800" w:hanging="360"/>
      </w:pPr>
      <w:rPr>
        <w:rFonts w:ascii="Wingdings" w:hAnsi="Wingdings" w:hint="default"/>
      </w:rPr>
    </w:lvl>
    <w:lvl w:ilvl="6" w:tplc="04070001" w:tentative="1">
      <w:start w:val="1"/>
      <w:numFmt w:val="bullet"/>
      <w:lvlText w:val=""/>
      <w:lvlJc w:val="left"/>
      <w:pPr>
        <w:tabs>
          <w:tab w:val="num" w:pos="5520"/>
        </w:tabs>
        <w:ind w:left="5520" w:hanging="360"/>
      </w:pPr>
      <w:rPr>
        <w:rFonts w:ascii="Symbol" w:hAnsi="Symbol" w:hint="default"/>
      </w:rPr>
    </w:lvl>
    <w:lvl w:ilvl="7" w:tplc="04070003" w:tentative="1">
      <w:start w:val="1"/>
      <w:numFmt w:val="bullet"/>
      <w:lvlText w:val="o"/>
      <w:lvlJc w:val="left"/>
      <w:pPr>
        <w:tabs>
          <w:tab w:val="num" w:pos="6240"/>
        </w:tabs>
        <w:ind w:left="6240" w:hanging="360"/>
      </w:pPr>
      <w:rPr>
        <w:rFonts w:ascii="Courier New" w:hAnsi="Courier New" w:cs="Courier New" w:hint="default"/>
      </w:rPr>
    </w:lvl>
    <w:lvl w:ilvl="8" w:tplc="04070005" w:tentative="1">
      <w:start w:val="1"/>
      <w:numFmt w:val="bullet"/>
      <w:lvlText w:val=""/>
      <w:lvlJc w:val="left"/>
      <w:pPr>
        <w:tabs>
          <w:tab w:val="num" w:pos="6960"/>
        </w:tabs>
        <w:ind w:left="6960" w:hanging="360"/>
      </w:pPr>
      <w:rPr>
        <w:rFonts w:ascii="Wingdings" w:hAnsi="Wingdings" w:hint="default"/>
      </w:rPr>
    </w:lvl>
  </w:abstractNum>
  <w:abstractNum w:abstractNumId="11" w15:restartNumberingAfterBreak="0">
    <w:nsid w:val="3C6B0D7C"/>
    <w:multiLevelType w:val="singleLevel"/>
    <w:tmpl w:val="1F2055B0"/>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4B6072BF"/>
    <w:multiLevelType w:val="multilevel"/>
    <w:tmpl w:val="340C077E"/>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3" w15:restartNumberingAfterBreak="0">
    <w:nsid w:val="4C577241"/>
    <w:multiLevelType w:val="multilevel"/>
    <w:tmpl w:val="07848DB4"/>
    <w:lvl w:ilvl="0">
      <w:numFmt w:val="none"/>
      <w:lvlText w:val="3.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4D8C457A"/>
    <w:multiLevelType w:val="multilevel"/>
    <w:tmpl w:val="53E01C6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4F3B4021"/>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6" w15:restartNumberingAfterBreak="0">
    <w:nsid w:val="56D85C50"/>
    <w:multiLevelType w:val="multilevel"/>
    <w:tmpl w:val="DFD21A14"/>
    <w:lvl w:ilvl="0">
      <w:start w:val="1"/>
      <w:numFmt w:val="decimal"/>
      <w:lvlText w:val="%1"/>
      <w:lvlJc w:val="left"/>
      <w:pPr>
        <w:tabs>
          <w:tab w:val="num" w:pos="792"/>
        </w:tabs>
        <w:ind w:left="792" w:hanging="432"/>
      </w:pPr>
      <w:rPr>
        <w:rFonts w:hint="default"/>
      </w:rPr>
    </w:lvl>
    <w:lvl w:ilvl="1">
      <w:start w:val="1"/>
      <w:numFmt w:val="decimal"/>
      <w:lvlText w:val="%1.%2"/>
      <w:lvlJc w:val="left"/>
      <w:pPr>
        <w:tabs>
          <w:tab w:val="num" w:pos="936"/>
        </w:tabs>
        <w:ind w:left="936" w:hanging="576"/>
      </w:pPr>
    </w:lvl>
    <w:lvl w:ilvl="2">
      <w:start w:val="1"/>
      <w:numFmt w:val="decimal"/>
      <w:lvlText w:val="%1.%2.%3"/>
      <w:lvlJc w:val="left"/>
      <w:pPr>
        <w:tabs>
          <w:tab w:val="num" w:pos="1080"/>
        </w:tabs>
        <w:ind w:left="1080" w:hanging="720"/>
      </w:pPr>
    </w:lvl>
    <w:lvl w:ilvl="3">
      <w:start w:val="1"/>
      <w:numFmt w:val="decimal"/>
      <w:lvlText w:val="%1.%2.%3.%4"/>
      <w:lvlJc w:val="left"/>
      <w:pPr>
        <w:tabs>
          <w:tab w:val="num" w:pos="1224"/>
        </w:tabs>
        <w:ind w:left="1224" w:hanging="864"/>
      </w:pPr>
    </w:lvl>
    <w:lvl w:ilvl="4">
      <w:start w:val="1"/>
      <w:numFmt w:val="decimal"/>
      <w:lvlText w:val="%1.%2.%3.%4.%5"/>
      <w:lvlJc w:val="left"/>
      <w:pPr>
        <w:tabs>
          <w:tab w:val="num" w:pos="1368"/>
        </w:tabs>
        <w:ind w:left="1368" w:hanging="1008"/>
      </w:pPr>
    </w:lvl>
    <w:lvl w:ilvl="5">
      <w:start w:val="1"/>
      <w:numFmt w:val="decimal"/>
      <w:lvlText w:val="%1.%2.%3.%4.%5.%6"/>
      <w:lvlJc w:val="left"/>
      <w:pPr>
        <w:tabs>
          <w:tab w:val="num" w:pos="1512"/>
        </w:tabs>
        <w:ind w:left="1512" w:hanging="1152"/>
      </w:pPr>
    </w:lvl>
    <w:lvl w:ilvl="6">
      <w:start w:val="1"/>
      <w:numFmt w:val="decimal"/>
      <w:lvlText w:val="%1.%2.%3.%4.%5.%6.%7"/>
      <w:lvlJc w:val="left"/>
      <w:pPr>
        <w:tabs>
          <w:tab w:val="num" w:pos="1656"/>
        </w:tabs>
        <w:ind w:left="1656" w:hanging="1296"/>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1944"/>
        </w:tabs>
        <w:ind w:left="1944" w:hanging="1584"/>
      </w:pPr>
    </w:lvl>
  </w:abstractNum>
  <w:abstractNum w:abstractNumId="17" w15:restartNumberingAfterBreak="0">
    <w:nsid w:val="58A62609"/>
    <w:multiLevelType w:val="multilevel"/>
    <w:tmpl w:val="6DC0C41C"/>
    <w:lvl w:ilvl="0">
      <w:start w:val="1"/>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640279AF"/>
    <w:multiLevelType w:val="multilevel"/>
    <w:tmpl w:val="AAC0185C"/>
    <w:lvl w:ilvl="0">
      <w:start w:val="1"/>
      <w:numFmt w:val="decimal"/>
      <w:pStyle w:val="SWCHeading1"/>
      <w:lvlText w:val="%1."/>
      <w:lvlJc w:val="left"/>
      <w:pPr>
        <w:tabs>
          <w:tab w:val="num" w:pos="720"/>
        </w:tabs>
        <w:ind w:left="720" w:hanging="360"/>
      </w:pPr>
      <w:rPr>
        <w:rFonts w:hint="default"/>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656E6FAC"/>
    <w:multiLevelType w:val="multilevel"/>
    <w:tmpl w:val="78E4669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lang w:val="de-DE"/>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65750BD4"/>
    <w:multiLevelType w:val="multilevel"/>
    <w:tmpl w:val="DB2472D8"/>
    <w:lvl w:ilvl="0">
      <w:start w:val="1"/>
      <w:numFmt w:val="lowerLetter"/>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1" w15:restartNumberingAfterBreak="0">
    <w:nsid w:val="65A532E3"/>
    <w:multiLevelType w:val="multilevel"/>
    <w:tmpl w:val="5EDC8EA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2" w15:restartNumberingAfterBreak="0">
    <w:nsid w:val="66FF0B8E"/>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3" w15:restartNumberingAfterBreak="0">
    <w:nsid w:val="7B7E6D4B"/>
    <w:multiLevelType w:val="hybridMultilevel"/>
    <w:tmpl w:val="4D182A7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abstractNumId w:val="5"/>
  </w:num>
  <w:num w:numId="2">
    <w:abstractNumId w:val="11"/>
  </w:num>
  <w:num w:numId="3">
    <w:abstractNumId w:val="10"/>
  </w:num>
  <w:num w:numId="4">
    <w:abstractNumId w:val="23"/>
  </w:num>
  <w:num w:numId="5">
    <w:abstractNumId w:val="4"/>
  </w:num>
  <w:num w:numId="6">
    <w:abstractNumId w:val="3"/>
  </w:num>
  <w:num w:numId="7">
    <w:abstractNumId w:val="0"/>
  </w:num>
  <w:num w:numId="8">
    <w:abstractNumId w:val="2"/>
  </w:num>
  <w:num w:numId="9">
    <w:abstractNumId w:val="1"/>
  </w:num>
  <w:num w:numId="10">
    <w:abstractNumId w:val="6"/>
  </w:num>
  <w:num w:numId="11">
    <w:abstractNumId w:val="18"/>
  </w:num>
  <w:num w:numId="12">
    <w:abstractNumId w:val="14"/>
  </w:num>
  <w:num w:numId="13">
    <w:abstractNumId w:val="6"/>
    <w:lvlOverride w:ilvl="0">
      <w:startOverride w:val="1"/>
    </w:lvlOverride>
  </w:num>
  <w:num w:numId="14">
    <w:abstractNumId w:val="17"/>
  </w:num>
  <w:num w:numId="15">
    <w:abstractNumId w:val="7"/>
  </w:num>
  <w:num w:numId="16">
    <w:abstractNumId w:val="13"/>
  </w:num>
  <w:num w:numId="17">
    <w:abstractNumId w:val="16"/>
  </w:num>
  <w:num w:numId="18">
    <w:abstractNumId w:val="21"/>
  </w:num>
  <w:num w:numId="19">
    <w:abstractNumId w:val="9"/>
  </w:num>
  <w:num w:numId="20">
    <w:abstractNumId w:val="8"/>
  </w:num>
  <w:num w:numId="21">
    <w:abstractNumId w:val="12"/>
  </w:num>
  <w:num w:numId="22">
    <w:abstractNumId w:val="20"/>
  </w:num>
  <w:num w:numId="23">
    <w:abstractNumId w:val="15"/>
  </w:num>
  <w:num w:numId="24">
    <w:abstractNumId w:val="22"/>
  </w:num>
  <w:num w:numId="2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425"/>
  <w:drawingGridHorizontalSpacing w:val="120"/>
  <w:displayHorizontalDrawingGridEvery w:val="2"/>
  <w:noPunctuationKerning/>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716E"/>
    <w:rsid w:val="000001AF"/>
    <w:rsid w:val="00005037"/>
    <w:rsid w:val="000067DB"/>
    <w:rsid w:val="00010262"/>
    <w:rsid w:val="00017A08"/>
    <w:rsid w:val="00020BF1"/>
    <w:rsid w:val="00034B9D"/>
    <w:rsid w:val="00034C02"/>
    <w:rsid w:val="0004235D"/>
    <w:rsid w:val="0004481A"/>
    <w:rsid w:val="00047C1B"/>
    <w:rsid w:val="00052351"/>
    <w:rsid w:val="000533E4"/>
    <w:rsid w:val="000534F5"/>
    <w:rsid w:val="00053E02"/>
    <w:rsid w:val="00055DB9"/>
    <w:rsid w:val="0005691E"/>
    <w:rsid w:val="00057B5E"/>
    <w:rsid w:val="00060241"/>
    <w:rsid w:val="00066B26"/>
    <w:rsid w:val="000678AC"/>
    <w:rsid w:val="000712A1"/>
    <w:rsid w:val="00073D27"/>
    <w:rsid w:val="00074B5A"/>
    <w:rsid w:val="00074DBF"/>
    <w:rsid w:val="0007514B"/>
    <w:rsid w:val="0008036B"/>
    <w:rsid w:val="00083439"/>
    <w:rsid w:val="00091654"/>
    <w:rsid w:val="00091931"/>
    <w:rsid w:val="00092ED5"/>
    <w:rsid w:val="000A0ADB"/>
    <w:rsid w:val="000A1A24"/>
    <w:rsid w:val="000A2D64"/>
    <w:rsid w:val="000A30A5"/>
    <w:rsid w:val="000A36B5"/>
    <w:rsid w:val="000A52A1"/>
    <w:rsid w:val="000A533A"/>
    <w:rsid w:val="000A5CA4"/>
    <w:rsid w:val="000A7B6D"/>
    <w:rsid w:val="000A7D86"/>
    <w:rsid w:val="000B04BE"/>
    <w:rsid w:val="000B1F4D"/>
    <w:rsid w:val="000B3621"/>
    <w:rsid w:val="000C2344"/>
    <w:rsid w:val="000C28B6"/>
    <w:rsid w:val="000C2C7B"/>
    <w:rsid w:val="000D69A9"/>
    <w:rsid w:val="000D6E1A"/>
    <w:rsid w:val="000E1855"/>
    <w:rsid w:val="000F21B9"/>
    <w:rsid w:val="000F739B"/>
    <w:rsid w:val="0010501A"/>
    <w:rsid w:val="0010654A"/>
    <w:rsid w:val="0011210D"/>
    <w:rsid w:val="00114935"/>
    <w:rsid w:val="0012367C"/>
    <w:rsid w:val="00126B52"/>
    <w:rsid w:val="0014114C"/>
    <w:rsid w:val="0014302D"/>
    <w:rsid w:val="00146AAF"/>
    <w:rsid w:val="0015090D"/>
    <w:rsid w:val="001522DE"/>
    <w:rsid w:val="00155050"/>
    <w:rsid w:val="00155FB8"/>
    <w:rsid w:val="00157CE5"/>
    <w:rsid w:val="001647D2"/>
    <w:rsid w:val="001659D7"/>
    <w:rsid w:val="00166C42"/>
    <w:rsid w:val="00171662"/>
    <w:rsid w:val="001723CE"/>
    <w:rsid w:val="00173582"/>
    <w:rsid w:val="00176EF6"/>
    <w:rsid w:val="00185F9D"/>
    <w:rsid w:val="00187B0A"/>
    <w:rsid w:val="001904A7"/>
    <w:rsid w:val="0019232E"/>
    <w:rsid w:val="00194001"/>
    <w:rsid w:val="00194E9A"/>
    <w:rsid w:val="001968B5"/>
    <w:rsid w:val="001969B9"/>
    <w:rsid w:val="001A117A"/>
    <w:rsid w:val="001A775B"/>
    <w:rsid w:val="001A7F40"/>
    <w:rsid w:val="001B13D6"/>
    <w:rsid w:val="001B6BCF"/>
    <w:rsid w:val="001B7B01"/>
    <w:rsid w:val="001C3A3D"/>
    <w:rsid w:val="001C63A2"/>
    <w:rsid w:val="001C7046"/>
    <w:rsid w:val="001D0384"/>
    <w:rsid w:val="001D4912"/>
    <w:rsid w:val="001D6581"/>
    <w:rsid w:val="001E2B93"/>
    <w:rsid w:val="001F2881"/>
    <w:rsid w:val="001F47C7"/>
    <w:rsid w:val="001F4A89"/>
    <w:rsid w:val="001F53CE"/>
    <w:rsid w:val="00205626"/>
    <w:rsid w:val="00206116"/>
    <w:rsid w:val="00212628"/>
    <w:rsid w:val="00214939"/>
    <w:rsid w:val="0022299B"/>
    <w:rsid w:val="00222F69"/>
    <w:rsid w:val="00225724"/>
    <w:rsid w:val="00226660"/>
    <w:rsid w:val="00230334"/>
    <w:rsid w:val="00231D9C"/>
    <w:rsid w:val="002337D2"/>
    <w:rsid w:val="00243214"/>
    <w:rsid w:val="002444CE"/>
    <w:rsid w:val="002525D8"/>
    <w:rsid w:val="00253A8F"/>
    <w:rsid w:val="0025409A"/>
    <w:rsid w:val="00257B5A"/>
    <w:rsid w:val="002647A0"/>
    <w:rsid w:val="00266E47"/>
    <w:rsid w:val="00270E75"/>
    <w:rsid w:val="0027288C"/>
    <w:rsid w:val="00273341"/>
    <w:rsid w:val="0029124A"/>
    <w:rsid w:val="002937D0"/>
    <w:rsid w:val="00293AB1"/>
    <w:rsid w:val="00293B03"/>
    <w:rsid w:val="00294EB5"/>
    <w:rsid w:val="002972D1"/>
    <w:rsid w:val="002A04A9"/>
    <w:rsid w:val="002A39BB"/>
    <w:rsid w:val="002A5480"/>
    <w:rsid w:val="002B16B6"/>
    <w:rsid w:val="002B417A"/>
    <w:rsid w:val="002C089D"/>
    <w:rsid w:val="002C68AD"/>
    <w:rsid w:val="002D322C"/>
    <w:rsid w:val="002D4864"/>
    <w:rsid w:val="002E5D62"/>
    <w:rsid w:val="002E78EF"/>
    <w:rsid w:val="002F1386"/>
    <w:rsid w:val="002F25C2"/>
    <w:rsid w:val="002F441B"/>
    <w:rsid w:val="002F6B87"/>
    <w:rsid w:val="00303345"/>
    <w:rsid w:val="00304BF2"/>
    <w:rsid w:val="00316766"/>
    <w:rsid w:val="00320175"/>
    <w:rsid w:val="00321EF7"/>
    <w:rsid w:val="00333DBD"/>
    <w:rsid w:val="003357AC"/>
    <w:rsid w:val="00337C68"/>
    <w:rsid w:val="00345596"/>
    <w:rsid w:val="0035638A"/>
    <w:rsid w:val="003605B9"/>
    <w:rsid w:val="003608F2"/>
    <w:rsid w:val="00361C61"/>
    <w:rsid w:val="00362122"/>
    <w:rsid w:val="00362B8A"/>
    <w:rsid w:val="00364A52"/>
    <w:rsid w:val="00367FF4"/>
    <w:rsid w:val="0037216F"/>
    <w:rsid w:val="00373F97"/>
    <w:rsid w:val="00374216"/>
    <w:rsid w:val="003744F1"/>
    <w:rsid w:val="003746CA"/>
    <w:rsid w:val="0038545D"/>
    <w:rsid w:val="003869E8"/>
    <w:rsid w:val="00387424"/>
    <w:rsid w:val="00391288"/>
    <w:rsid w:val="003912A8"/>
    <w:rsid w:val="00395E5A"/>
    <w:rsid w:val="0039649C"/>
    <w:rsid w:val="0039742D"/>
    <w:rsid w:val="003A097D"/>
    <w:rsid w:val="003A3A38"/>
    <w:rsid w:val="003A7DB9"/>
    <w:rsid w:val="003B2055"/>
    <w:rsid w:val="003B2180"/>
    <w:rsid w:val="003B400E"/>
    <w:rsid w:val="003C0806"/>
    <w:rsid w:val="003C18DE"/>
    <w:rsid w:val="003C1B31"/>
    <w:rsid w:val="003C2B1A"/>
    <w:rsid w:val="003C39C6"/>
    <w:rsid w:val="003D0BD6"/>
    <w:rsid w:val="003D0C22"/>
    <w:rsid w:val="003D6D40"/>
    <w:rsid w:val="003D7F0D"/>
    <w:rsid w:val="003E1E1C"/>
    <w:rsid w:val="003E3D98"/>
    <w:rsid w:val="003E7912"/>
    <w:rsid w:val="003F0403"/>
    <w:rsid w:val="003F2956"/>
    <w:rsid w:val="003F5B99"/>
    <w:rsid w:val="004019FD"/>
    <w:rsid w:val="00401BC9"/>
    <w:rsid w:val="00403E6A"/>
    <w:rsid w:val="00404B4D"/>
    <w:rsid w:val="004053B5"/>
    <w:rsid w:val="0040615A"/>
    <w:rsid w:val="00411E29"/>
    <w:rsid w:val="004138FE"/>
    <w:rsid w:val="0042033E"/>
    <w:rsid w:val="004357AD"/>
    <w:rsid w:val="00443511"/>
    <w:rsid w:val="00444345"/>
    <w:rsid w:val="00453296"/>
    <w:rsid w:val="00454301"/>
    <w:rsid w:val="00462B3D"/>
    <w:rsid w:val="00466901"/>
    <w:rsid w:val="00467DFD"/>
    <w:rsid w:val="00476879"/>
    <w:rsid w:val="00480C03"/>
    <w:rsid w:val="00481EBF"/>
    <w:rsid w:val="00490F10"/>
    <w:rsid w:val="00493A1E"/>
    <w:rsid w:val="00493C81"/>
    <w:rsid w:val="00494006"/>
    <w:rsid w:val="004A3506"/>
    <w:rsid w:val="004B6875"/>
    <w:rsid w:val="004C2FE0"/>
    <w:rsid w:val="004C39AD"/>
    <w:rsid w:val="004C4EE9"/>
    <w:rsid w:val="004C67E2"/>
    <w:rsid w:val="004E039B"/>
    <w:rsid w:val="004E4013"/>
    <w:rsid w:val="004E5D79"/>
    <w:rsid w:val="004E62A2"/>
    <w:rsid w:val="004F2938"/>
    <w:rsid w:val="004F4904"/>
    <w:rsid w:val="004F5FF9"/>
    <w:rsid w:val="00500640"/>
    <w:rsid w:val="00500D7D"/>
    <w:rsid w:val="005067AC"/>
    <w:rsid w:val="00514890"/>
    <w:rsid w:val="0051584D"/>
    <w:rsid w:val="00530EC4"/>
    <w:rsid w:val="00532138"/>
    <w:rsid w:val="0053532A"/>
    <w:rsid w:val="005404F1"/>
    <w:rsid w:val="00550776"/>
    <w:rsid w:val="00554EF8"/>
    <w:rsid w:val="00556004"/>
    <w:rsid w:val="00562082"/>
    <w:rsid w:val="00562F6F"/>
    <w:rsid w:val="00563FF5"/>
    <w:rsid w:val="00566460"/>
    <w:rsid w:val="0057075C"/>
    <w:rsid w:val="00570862"/>
    <w:rsid w:val="00570C7B"/>
    <w:rsid w:val="00570CA3"/>
    <w:rsid w:val="005721F8"/>
    <w:rsid w:val="00576B67"/>
    <w:rsid w:val="00580BEB"/>
    <w:rsid w:val="00581CD9"/>
    <w:rsid w:val="005824A4"/>
    <w:rsid w:val="00582F4C"/>
    <w:rsid w:val="005836C7"/>
    <w:rsid w:val="00591FB7"/>
    <w:rsid w:val="00593A60"/>
    <w:rsid w:val="005A0BE2"/>
    <w:rsid w:val="005A458C"/>
    <w:rsid w:val="005B3E86"/>
    <w:rsid w:val="005B60D4"/>
    <w:rsid w:val="005B6F55"/>
    <w:rsid w:val="005C0D68"/>
    <w:rsid w:val="005C6AB6"/>
    <w:rsid w:val="005D1CD4"/>
    <w:rsid w:val="005D5CF6"/>
    <w:rsid w:val="005D7104"/>
    <w:rsid w:val="005E04EA"/>
    <w:rsid w:val="005E0D7D"/>
    <w:rsid w:val="005E47C6"/>
    <w:rsid w:val="005E7208"/>
    <w:rsid w:val="005F7977"/>
    <w:rsid w:val="006047C5"/>
    <w:rsid w:val="00605E48"/>
    <w:rsid w:val="00607C4E"/>
    <w:rsid w:val="00613AF9"/>
    <w:rsid w:val="0061480B"/>
    <w:rsid w:val="0061732F"/>
    <w:rsid w:val="0061794F"/>
    <w:rsid w:val="0062257E"/>
    <w:rsid w:val="00622684"/>
    <w:rsid w:val="00625BC2"/>
    <w:rsid w:val="00626FC8"/>
    <w:rsid w:val="00627373"/>
    <w:rsid w:val="00627E34"/>
    <w:rsid w:val="006309AA"/>
    <w:rsid w:val="00630B6C"/>
    <w:rsid w:val="00631053"/>
    <w:rsid w:val="00633473"/>
    <w:rsid w:val="006379BD"/>
    <w:rsid w:val="0064403B"/>
    <w:rsid w:val="00644879"/>
    <w:rsid w:val="006500EC"/>
    <w:rsid w:val="00652071"/>
    <w:rsid w:val="00653551"/>
    <w:rsid w:val="0065563B"/>
    <w:rsid w:val="006622DF"/>
    <w:rsid w:val="00664954"/>
    <w:rsid w:val="00665471"/>
    <w:rsid w:val="00670688"/>
    <w:rsid w:val="006722C6"/>
    <w:rsid w:val="00676471"/>
    <w:rsid w:val="006876DB"/>
    <w:rsid w:val="0069119E"/>
    <w:rsid w:val="00692D7F"/>
    <w:rsid w:val="00696E8A"/>
    <w:rsid w:val="006A0AE2"/>
    <w:rsid w:val="006A2F10"/>
    <w:rsid w:val="006A60EF"/>
    <w:rsid w:val="006A77D0"/>
    <w:rsid w:val="006B1358"/>
    <w:rsid w:val="006B4C9F"/>
    <w:rsid w:val="006B7F33"/>
    <w:rsid w:val="006C756C"/>
    <w:rsid w:val="006D4A96"/>
    <w:rsid w:val="006F0B35"/>
    <w:rsid w:val="006F0CD1"/>
    <w:rsid w:val="006F5B85"/>
    <w:rsid w:val="00701C48"/>
    <w:rsid w:val="00702AE0"/>
    <w:rsid w:val="007063F5"/>
    <w:rsid w:val="00710E52"/>
    <w:rsid w:val="00713CE3"/>
    <w:rsid w:val="007174DA"/>
    <w:rsid w:val="00720491"/>
    <w:rsid w:val="007227C2"/>
    <w:rsid w:val="00725ED2"/>
    <w:rsid w:val="00741A87"/>
    <w:rsid w:val="00744A89"/>
    <w:rsid w:val="007535ED"/>
    <w:rsid w:val="0075406E"/>
    <w:rsid w:val="00756702"/>
    <w:rsid w:val="00760603"/>
    <w:rsid w:val="00762EA3"/>
    <w:rsid w:val="007647B8"/>
    <w:rsid w:val="0076532E"/>
    <w:rsid w:val="00767215"/>
    <w:rsid w:val="007763CB"/>
    <w:rsid w:val="00777149"/>
    <w:rsid w:val="007804A7"/>
    <w:rsid w:val="0078156C"/>
    <w:rsid w:val="007908F6"/>
    <w:rsid w:val="00791058"/>
    <w:rsid w:val="007954D9"/>
    <w:rsid w:val="00796046"/>
    <w:rsid w:val="00796B75"/>
    <w:rsid w:val="007A0310"/>
    <w:rsid w:val="007A269B"/>
    <w:rsid w:val="007A611F"/>
    <w:rsid w:val="007A7352"/>
    <w:rsid w:val="007A7952"/>
    <w:rsid w:val="007B0BDB"/>
    <w:rsid w:val="007B2450"/>
    <w:rsid w:val="007B33DF"/>
    <w:rsid w:val="007C1632"/>
    <w:rsid w:val="007C2325"/>
    <w:rsid w:val="007C36EF"/>
    <w:rsid w:val="007C4A4B"/>
    <w:rsid w:val="007C5E05"/>
    <w:rsid w:val="007C6BDE"/>
    <w:rsid w:val="007D0678"/>
    <w:rsid w:val="007D1C2C"/>
    <w:rsid w:val="007E7634"/>
    <w:rsid w:val="007F0AF9"/>
    <w:rsid w:val="00800E25"/>
    <w:rsid w:val="00801634"/>
    <w:rsid w:val="0080537B"/>
    <w:rsid w:val="008063D4"/>
    <w:rsid w:val="00810673"/>
    <w:rsid w:val="00821191"/>
    <w:rsid w:val="008219CF"/>
    <w:rsid w:val="0082657F"/>
    <w:rsid w:val="00834062"/>
    <w:rsid w:val="008341B0"/>
    <w:rsid w:val="00837104"/>
    <w:rsid w:val="00837937"/>
    <w:rsid w:val="00840E8F"/>
    <w:rsid w:val="0084100F"/>
    <w:rsid w:val="00845AE3"/>
    <w:rsid w:val="00850277"/>
    <w:rsid w:val="00856566"/>
    <w:rsid w:val="00861175"/>
    <w:rsid w:val="00866284"/>
    <w:rsid w:val="00866E0B"/>
    <w:rsid w:val="008823A9"/>
    <w:rsid w:val="00882C40"/>
    <w:rsid w:val="00893500"/>
    <w:rsid w:val="008A43DD"/>
    <w:rsid w:val="008B618F"/>
    <w:rsid w:val="008C3A75"/>
    <w:rsid w:val="008C4884"/>
    <w:rsid w:val="008D44C5"/>
    <w:rsid w:val="008D7E85"/>
    <w:rsid w:val="008E10D5"/>
    <w:rsid w:val="008E19FF"/>
    <w:rsid w:val="008E1A70"/>
    <w:rsid w:val="008E2B87"/>
    <w:rsid w:val="008E53FF"/>
    <w:rsid w:val="008E5979"/>
    <w:rsid w:val="008F1753"/>
    <w:rsid w:val="008F249D"/>
    <w:rsid w:val="008F3FE0"/>
    <w:rsid w:val="008F54F8"/>
    <w:rsid w:val="009011AA"/>
    <w:rsid w:val="00906CC3"/>
    <w:rsid w:val="00912638"/>
    <w:rsid w:val="00915F83"/>
    <w:rsid w:val="00917C75"/>
    <w:rsid w:val="00917D56"/>
    <w:rsid w:val="00925FA1"/>
    <w:rsid w:val="00931606"/>
    <w:rsid w:val="00931C9D"/>
    <w:rsid w:val="00931EDB"/>
    <w:rsid w:val="00933A00"/>
    <w:rsid w:val="00933BFD"/>
    <w:rsid w:val="00941691"/>
    <w:rsid w:val="00941DE0"/>
    <w:rsid w:val="00942AED"/>
    <w:rsid w:val="00944E25"/>
    <w:rsid w:val="00950945"/>
    <w:rsid w:val="00953F15"/>
    <w:rsid w:val="00955853"/>
    <w:rsid w:val="00957F3F"/>
    <w:rsid w:val="009642AB"/>
    <w:rsid w:val="00966286"/>
    <w:rsid w:val="0097181C"/>
    <w:rsid w:val="009747B4"/>
    <w:rsid w:val="00982BCB"/>
    <w:rsid w:val="0098316E"/>
    <w:rsid w:val="009851BB"/>
    <w:rsid w:val="00993F03"/>
    <w:rsid w:val="0099435F"/>
    <w:rsid w:val="00996BC5"/>
    <w:rsid w:val="009A5752"/>
    <w:rsid w:val="009A6D34"/>
    <w:rsid w:val="009B0990"/>
    <w:rsid w:val="009B4816"/>
    <w:rsid w:val="009B4F78"/>
    <w:rsid w:val="009C1BA8"/>
    <w:rsid w:val="009C2D0D"/>
    <w:rsid w:val="009C3492"/>
    <w:rsid w:val="009C49C6"/>
    <w:rsid w:val="009C5AA4"/>
    <w:rsid w:val="009D02D4"/>
    <w:rsid w:val="009D275E"/>
    <w:rsid w:val="009D5A05"/>
    <w:rsid w:val="009D60E3"/>
    <w:rsid w:val="009E0D67"/>
    <w:rsid w:val="009E148D"/>
    <w:rsid w:val="009E4985"/>
    <w:rsid w:val="009E71D0"/>
    <w:rsid w:val="009E7E3C"/>
    <w:rsid w:val="009F16C5"/>
    <w:rsid w:val="009F3E11"/>
    <w:rsid w:val="009F615D"/>
    <w:rsid w:val="009F6AF8"/>
    <w:rsid w:val="009F6E78"/>
    <w:rsid w:val="009F75F7"/>
    <w:rsid w:val="009F7C7E"/>
    <w:rsid w:val="00A00C44"/>
    <w:rsid w:val="00A01148"/>
    <w:rsid w:val="00A02EA5"/>
    <w:rsid w:val="00A0446F"/>
    <w:rsid w:val="00A04C97"/>
    <w:rsid w:val="00A118BF"/>
    <w:rsid w:val="00A13D5F"/>
    <w:rsid w:val="00A228F1"/>
    <w:rsid w:val="00A24564"/>
    <w:rsid w:val="00A31DC5"/>
    <w:rsid w:val="00A327B8"/>
    <w:rsid w:val="00A359DA"/>
    <w:rsid w:val="00A40C81"/>
    <w:rsid w:val="00A42A45"/>
    <w:rsid w:val="00A436CD"/>
    <w:rsid w:val="00A44B6C"/>
    <w:rsid w:val="00A5180B"/>
    <w:rsid w:val="00A55AA0"/>
    <w:rsid w:val="00A55E36"/>
    <w:rsid w:val="00A57EFF"/>
    <w:rsid w:val="00A61C2F"/>
    <w:rsid w:val="00A6457C"/>
    <w:rsid w:val="00A65C15"/>
    <w:rsid w:val="00A73D60"/>
    <w:rsid w:val="00A75101"/>
    <w:rsid w:val="00A83633"/>
    <w:rsid w:val="00A846B6"/>
    <w:rsid w:val="00A85354"/>
    <w:rsid w:val="00A8757B"/>
    <w:rsid w:val="00A92044"/>
    <w:rsid w:val="00A9727D"/>
    <w:rsid w:val="00AA16B9"/>
    <w:rsid w:val="00AA47DC"/>
    <w:rsid w:val="00AA7A56"/>
    <w:rsid w:val="00AB624E"/>
    <w:rsid w:val="00AC2C09"/>
    <w:rsid w:val="00AC6B6F"/>
    <w:rsid w:val="00AD50C6"/>
    <w:rsid w:val="00AE11FC"/>
    <w:rsid w:val="00AE6354"/>
    <w:rsid w:val="00AF15AF"/>
    <w:rsid w:val="00AF676E"/>
    <w:rsid w:val="00AF6EB4"/>
    <w:rsid w:val="00B01141"/>
    <w:rsid w:val="00B01CE8"/>
    <w:rsid w:val="00B02E33"/>
    <w:rsid w:val="00B04CF2"/>
    <w:rsid w:val="00B068FE"/>
    <w:rsid w:val="00B104F9"/>
    <w:rsid w:val="00B214A1"/>
    <w:rsid w:val="00B22D5C"/>
    <w:rsid w:val="00B263F0"/>
    <w:rsid w:val="00B2716E"/>
    <w:rsid w:val="00B32703"/>
    <w:rsid w:val="00B3712A"/>
    <w:rsid w:val="00B45170"/>
    <w:rsid w:val="00B50346"/>
    <w:rsid w:val="00B54313"/>
    <w:rsid w:val="00B56AB6"/>
    <w:rsid w:val="00B60183"/>
    <w:rsid w:val="00B60B5F"/>
    <w:rsid w:val="00B61AA9"/>
    <w:rsid w:val="00B6337C"/>
    <w:rsid w:val="00B641E7"/>
    <w:rsid w:val="00B6496F"/>
    <w:rsid w:val="00B67136"/>
    <w:rsid w:val="00B671EC"/>
    <w:rsid w:val="00B742DB"/>
    <w:rsid w:val="00B8063C"/>
    <w:rsid w:val="00B8064D"/>
    <w:rsid w:val="00B80F06"/>
    <w:rsid w:val="00B827C6"/>
    <w:rsid w:val="00B84CEB"/>
    <w:rsid w:val="00B93BEE"/>
    <w:rsid w:val="00B93F09"/>
    <w:rsid w:val="00BA24B1"/>
    <w:rsid w:val="00BA5FCF"/>
    <w:rsid w:val="00BA7901"/>
    <w:rsid w:val="00BB0894"/>
    <w:rsid w:val="00BB1390"/>
    <w:rsid w:val="00BB4D6B"/>
    <w:rsid w:val="00BC045D"/>
    <w:rsid w:val="00BC738E"/>
    <w:rsid w:val="00BD0576"/>
    <w:rsid w:val="00BD7DDA"/>
    <w:rsid w:val="00BE50D0"/>
    <w:rsid w:val="00BE7F7B"/>
    <w:rsid w:val="00BF059E"/>
    <w:rsid w:val="00BF16FE"/>
    <w:rsid w:val="00BF62FC"/>
    <w:rsid w:val="00C012F5"/>
    <w:rsid w:val="00C068BC"/>
    <w:rsid w:val="00C0793A"/>
    <w:rsid w:val="00C12C3E"/>
    <w:rsid w:val="00C15EB7"/>
    <w:rsid w:val="00C17081"/>
    <w:rsid w:val="00C20A85"/>
    <w:rsid w:val="00C2371D"/>
    <w:rsid w:val="00C25E9F"/>
    <w:rsid w:val="00C27FD4"/>
    <w:rsid w:val="00C365E2"/>
    <w:rsid w:val="00C44EFB"/>
    <w:rsid w:val="00C55264"/>
    <w:rsid w:val="00C56ED0"/>
    <w:rsid w:val="00C6695C"/>
    <w:rsid w:val="00C77422"/>
    <w:rsid w:val="00C86AE3"/>
    <w:rsid w:val="00C9323C"/>
    <w:rsid w:val="00C976D2"/>
    <w:rsid w:val="00C97946"/>
    <w:rsid w:val="00C97BCD"/>
    <w:rsid w:val="00CA4F91"/>
    <w:rsid w:val="00CA728D"/>
    <w:rsid w:val="00CA7ABB"/>
    <w:rsid w:val="00CB1A00"/>
    <w:rsid w:val="00CB57E5"/>
    <w:rsid w:val="00CB7EE8"/>
    <w:rsid w:val="00CC0340"/>
    <w:rsid w:val="00CC0BDA"/>
    <w:rsid w:val="00CC2B80"/>
    <w:rsid w:val="00CC3B0C"/>
    <w:rsid w:val="00CC60F0"/>
    <w:rsid w:val="00CD4EFC"/>
    <w:rsid w:val="00CD76B6"/>
    <w:rsid w:val="00CE2506"/>
    <w:rsid w:val="00CE42BF"/>
    <w:rsid w:val="00CE432C"/>
    <w:rsid w:val="00CE6DBB"/>
    <w:rsid w:val="00CF170E"/>
    <w:rsid w:val="00CF3208"/>
    <w:rsid w:val="00D0393A"/>
    <w:rsid w:val="00D0520C"/>
    <w:rsid w:val="00D14555"/>
    <w:rsid w:val="00D17DCC"/>
    <w:rsid w:val="00D209EC"/>
    <w:rsid w:val="00D20BFA"/>
    <w:rsid w:val="00D31359"/>
    <w:rsid w:val="00D32EF0"/>
    <w:rsid w:val="00D34665"/>
    <w:rsid w:val="00D34917"/>
    <w:rsid w:val="00D35E52"/>
    <w:rsid w:val="00D36FA6"/>
    <w:rsid w:val="00D37447"/>
    <w:rsid w:val="00D41E9A"/>
    <w:rsid w:val="00D43827"/>
    <w:rsid w:val="00D4460B"/>
    <w:rsid w:val="00D45BD0"/>
    <w:rsid w:val="00D5176F"/>
    <w:rsid w:val="00D53F31"/>
    <w:rsid w:val="00D54248"/>
    <w:rsid w:val="00D5584D"/>
    <w:rsid w:val="00D55E64"/>
    <w:rsid w:val="00D62269"/>
    <w:rsid w:val="00D62EDC"/>
    <w:rsid w:val="00D63301"/>
    <w:rsid w:val="00D63D44"/>
    <w:rsid w:val="00D705DA"/>
    <w:rsid w:val="00D707E7"/>
    <w:rsid w:val="00D736CD"/>
    <w:rsid w:val="00D76BA2"/>
    <w:rsid w:val="00D85AB5"/>
    <w:rsid w:val="00D869BE"/>
    <w:rsid w:val="00D9009E"/>
    <w:rsid w:val="00D96896"/>
    <w:rsid w:val="00D976DC"/>
    <w:rsid w:val="00DA1219"/>
    <w:rsid w:val="00DA244B"/>
    <w:rsid w:val="00DA2F8E"/>
    <w:rsid w:val="00DA3503"/>
    <w:rsid w:val="00DA5652"/>
    <w:rsid w:val="00DA7F88"/>
    <w:rsid w:val="00DB08D9"/>
    <w:rsid w:val="00DB2A3A"/>
    <w:rsid w:val="00DB2E19"/>
    <w:rsid w:val="00DB52E7"/>
    <w:rsid w:val="00DB5902"/>
    <w:rsid w:val="00DC0318"/>
    <w:rsid w:val="00DD1D5F"/>
    <w:rsid w:val="00DE01F8"/>
    <w:rsid w:val="00DE0269"/>
    <w:rsid w:val="00DF719E"/>
    <w:rsid w:val="00E012C5"/>
    <w:rsid w:val="00E023A9"/>
    <w:rsid w:val="00E07D1B"/>
    <w:rsid w:val="00E218E2"/>
    <w:rsid w:val="00E23FEE"/>
    <w:rsid w:val="00E2677B"/>
    <w:rsid w:val="00E31230"/>
    <w:rsid w:val="00E420F3"/>
    <w:rsid w:val="00E432AD"/>
    <w:rsid w:val="00E548A7"/>
    <w:rsid w:val="00E564F4"/>
    <w:rsid w:val="00E57E49"/>
    <w:rsid w:val="00E61C50"/>
    <w:rsid w:val="00E635BB"/>
    <w:rsid w:val="00E65D4A"/>
    <w:rsid w:val="00E7237D"/>
    <w:rsid w:val="00E80826"/>
    <w:rsid w:val="00E8478E"/>
    <w:rsid w:val="00E9249A"/>
    <w:rsid w:val="00E96729"/>
    <w:rsid w:val="00E97342"/>
    <w:rsid w:val="00EA0AB3"/>
    <w:rsid w:val="00EA31A6"/>
    <w:rsid w:val="00EA50D7"/>
    <w:rsid w:val="00EA56BF"/>
    <w:rsid w:val="00EB5359"/>
    <w:rsid w:val="00EC0521"/>
    <w:rsid w:val="00EC182D"/>
    <w:rsid w:val="00EC3533"/>
    <w:rsid w:val="00EC4428"/>
    <w:rsid w:val="00EE3700"/>
    <w:rsid w:val="00EE77CF"/>
    <w:rsid w:val="00EF0C09"/>
    <w:rsid w:val="00EF2F33"/>
    <w:rsid w:val="00EF596C"/>
    <w:rsid w:val="00F04CB4"/>
    <w:rsid w:val="00F06DD3"/>
    <w:rsid w:val="00F07750"/>
    <w:rsid w:val="00F07C5A"/>
    <w:rsid w:val="00F14722"/>
    <w:rsid w:val="00F1538E"/>
    <w:rsid w:val="00F277D2"/>
    <w:rsid w:val="00F30A77"/>
    <w:rsid w:val="00F318AC"/>
    <w:rsid w:val="00F4393F"/>
    <w:rsid w:val="00F46870"/>
    <w:rsid w:val="00F46A3A"/>
    <w:rsid w:val="00F5363D"/>
    <w:rsid w:val="00F5375D"/>
    <w:rsid w:val="00F5454E"/>
    <w:rsid w:val="00F56A93"/>
    <w:rsid w:val="00F61368"/>
    <w:rsid w:val="00F62C3B"/>
    <w:rsid w:val="00F65044"/>
    <w:rsid w:val="00F666FE"/>
    <w:rsid w:val="00F67528"/>
    <w:rsid w:val="00F715C3"/>
    <w:rsid w:val="00F718BD"/>
    <w:rsid w:val="00F77796"/>
    <w:rsid w:val="00F80507"/>
    <w:rsid w:val="00F83CD3"/>
    <w:rsid w:val="00F84F74"/>
    <w:rsid w:val="00F85F61"/>
    <w:rsid w:val="00F875D4"/>
    <w:rsid w:val="00F942FD"/>
    <w:rsid w:val="00F95487"/>
    <w:rsid w:val="00F95DEF"/>
    <w:rsid w:val="00FA0BD6"/>
    <w:rsid w:val="00FA1553"/>
    <w:rsid w:val="00FA2419"/>
    <w:rsid w:val="00FA2772"/>
    <w:rsid w:val="00FA4DF8"/>
    <w:rsid w:val="00FB45FB"/>
    <w:rsid w:val="00FC09A1"/>
    <w:rsid w:val="00FC1781"/>
    <w:rsid w:val="00FC244F"/>
    <w:rsid w:val="00FC3F48"/>
    <w:rsid w:val="00FD29FD"/>
    <w:rsid w:val="00FD5F87"/>
    <w:rsid w:val="00FD6DD4"/>
    <w:rsid w:val="00FD79DA"/>
    <w:rsid w:val="00FE27DD"/>
    <w:rsid w:val="00FE2ADC"/>
    <w:rsid w:val="00FE5997"/>
    <w:rsid w:val="00FF0950"/>
    <w:rsid w:val="00FF5484"/>
    <w:rsid w:val="00FF6BDD"/>
    <w:rsid w:val="0C79E7B2"/>
    <w:rsid w:val="138FE9CB"/>
    <w:rsid w:val="2C8553D4"/>
    <w:rsid w:val="338F7389"/>
    <w:rsid w:val="7D522D5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1A8223"/>
  <w15:docId w15:val="{182EC8EE-1EE2-40B6-904D-E8FAC5346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1">
    <w:lsdException w:name="Normal" w:uiPriority="0"/>
    <w:lsdException w:name="heading 1" w:uiPriority="0"/>
    <w:lsdException w:name="heading 2" w:uiPriority="0"/>
    <w:lsdException w:name="heading 3" w:uiPriority="0"/>
    <w:lsdException w:name="heading 4" w:uiPriority="0"/>
    <w:lsdException w:name="heading 5" w:uiPriority="0"/>
    <w:lsdException w:name="heading 6" w:uiPriority="0"/>
    <w:lsdException w:name="heading 7" w:uiPriority="0"/>
    <w:lsdException w:name="heading 8" w:uiPriority="0"/>
    <w:lsdException w:name="heading 9"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4C4EE9"/>
    <w:rPr>
      <w:sz w:val="24"/>
      <w:szCs w:val="24"/>
      <w:lang w:val="de-DE" w:eastAsia="de-DE"/>
    </w:rPr>
  </w:style>
  <w:style w:type="paragraph" w:styleId="Ttulo1">
    <w:name w:val="heading 1"/>
    <w:basedOn w:val="Normal"/>
    <w:next w:val="Normal"/>
    <w:rsid w:val="004C4EE9"/>
    <w:pPr>
      <w:keepNext/>
      <w:outlineLvl w:val="0"/>
    </w:pPr>
    <w:rPr>
      <w:b/>
      <w:sz w:val="28"/>
      <w:szCs w:val="20"/>
      <w:lang w:val="en-GB"/>
    </w:rPr>
  </w:style>
  <w:style w:type="paragraph" w:styleId="Ttulo2">
    <w:name w:val="heading 2"/>
    <w:basedOn w:val="Normal"/>
    <w:next w:val="Normal"/>
    <w:autoRedefine/>
    <w:rsid w:val="004C4EE9"/>
    <w:pPr>
      <w:keepNext/>
      <w:spacing w:before="240" w:after="60"/>
      <w:outlineLvl w:val="1"/>
    </w:pPr>
    <w:rPr>
      <w:rFonts w:cs="Arial"/>
      <w:bCs/>
      <w:iCs/>
      <w:sz w:val="22"/>
      <w:szCs w:val="22"/>
    </w:rPr>
  </w:style>
  <w:style w:type="paragraph" w:styleId="Ttulo3">
    <w:name w:val="heading 3"/>
    <w:basedOn w:val="Normal"/>
    <w:next w:val="Normal"/>
    <w:autoRedefine/>
    <w:rsid w:val="004C4EE9"/>
    <w:pPr>
      <w:keepNext/>
      <w:outlineLvl w:val="2"/>
    </w:pPr>
    <w:rPr>
      <w:b/>
      <w:lang w:val="en-GB"/>
    </w:rPr>
  </w:style>
  <w:style w:type="paragraph" w:styleId="Ttulo4">
    <w:name w:val="heading 4"/>
    <w:basedOn w:val="Normal"/>
    <w:next w:val="Normal"/>
    <w:rsid w:val="004C4EE9"/>
    <w:pPr>
      <w:keepNext/>
      <w:spacing w:before="240" w:after="60"/>
      <w:outlineLvl w:val="3"/>
    </w:pPr>
    <w:rPr>
      <w:b/>
      <w:bCs/>
      <w:sz w:val="28"/>
      <w:szCs w:val="28"/>
    </w:rPr>
  </w:style>
  <w:style w:type="paragraph" w:styleId="Ttulo5">
    <w:name w:val="heading 5"/>
    <w:basedOn w:val="Normal"/>
    <w:next w:val="Normal"/>
    <w:autoRedefine/>
    <w:rsid w:val="004C4EE9"/>
    <w:pPr>
      <w:keepNext/>
      <w:outlineLvl w:val="4"/>
    </w:pPr>
    <w:rPr>
      <w:b/>
      <w:sz w:val="20"/>
      <w:szCs w:val="20"/>
      <w:lang w:val="en-GB"/>
    </w:rPr>
  </w:style>
  <w:style w:type="paragraph" w:styleId="Ttulo6">
    <w:name w:val="heading 6"/>
    <w:basedOn w:val="Normal"/>
    <w:next w:val="Normal"/>
    <w:autoRedefine/>
    <w:rsid w:val="004C4EE9"/>
    <w:pPr>
      <w:keepNext/>
      <w:jc w:val="center"/>
      <w:outlineLvl w:val="5"/>
    </w:pPr>
    <w:rPr>
      <w:rFonts w:cs="Arial"/>
      <w:color w:val="000000"/>
      <w:sz w:val="22"/>
      <w:szCs w:val="22"/>
    </w:rPr>
  </w:style>
  <w:style w:type="paragraph" w:styleId="Ttulo7">
    <w:name w:val="heading 7"/>
    <w:basedOn w:val="Normal"/>
    <w:next w:val="Normal"/>
    <w:rsid w:val="004C4EE9"/>
    <w:pPr>
      <w:spacing w:before="240" w:after="60"/>
      <w:outlineLvl w:val="6"/>
    </w:pPr>
  </w:style>
  <w:style w:type="paragraph" w:styleId="Ttulo8">
    <w:name w:val="heading 8"/>
    <w:basedOn w:val="Normal"/>
    <w:next w:val="Normal"/>
    <w:rsid w:val="004C4EE9"/>
    <w:pPr>
      <w:spacing w:before="240" w:after="60"/>
      <w:outlineLvl w:val="7"/>
    </w:pPr>
    <w:rPr>
      <w:i/>
      <w:iCs/>
    </w:rPr>
  </w:style>
  <w:style w:type="paragraph" w:styleId="Ttulo9">
    <w:name w:val="heading 9"/>
    <w:basedOn w:val="Normal"/>
    <w:next w:val="Normal"/>
    <w:rsid w:val="004C4EE9"/>
    <w:pPr>
      <w:spacing w:before="240" w:after="60"/>
      <w:outlineLvl w:val="8"/>
    </w:pPr>
    <w:rPr>
      <w:rFonts w:ascii="Arial" w:hAnsi="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Listaconvietas">
    <w:name w:val="List Bullet"/>
    <w:basedOn w:val="Normal"/>
    <w:autoRedefine/>
    <w:rsid w:val="00A55E36"/>
    <w:pPr>
      <w:numPr>
        <w:numId w:val="1"/>
      </w:numPr>
    </w:pPr>
  </w:style>
  <w:style w:type="character" w:customStyle="1" w:styleId="texto">
    <w:name w:val="texto"/>
    <w:basedOn w:val="Fuentedeprrafopredeter"/>
    <w:rsid w:val="00A6457C"/>
  </w:style>
  <w:style w:type="character" w:styleId="Refdecomentario">
    <w:name w:val="annotation reference"/>
    <w:basedOn w:val="Fuentedeprrafopredeter"/>
    <w:semiHidden/>
    <w:rsid w:val="009E4985"/>
    <w:rPr>
      <w:sz w:val="16"/>
      <w:szCs w:val="16"/>
    </w:rPr>
  </w:style>
  <w:style w:type="paragraph" w:styleId="Textocomentario">
    <w:name w:val="annotation text"/>
    <w:basedOn w:val="Normal"/>
    <w:semiHidden/>
    <w:rsid w:val="009E4985"/>
    <w:rPr>
      <w:sz w:val="20"/>
      <w:szCs w:val="20"/>
    </w:rPr>
  </w:style>
  <w:style w:type="character" w:customStyle="1" w:styleId="SWCBulletedListCar">
    <w:name w:val="SWC_BulletedList Car"/>
    <w:basedOn w:val="Fuentedeprrafopredeter"/>
    <w:link w:val="SWCBulletedList"/>
    <w:rsid w:val="009F6AF8"/>
    <w:rPr>
      <w:rFonts w:cs="Minion Pro"/>
      <w:color w:val="000000"/>
      <w:szCs w:val="22"/>
      <w:lang w:val="en-US" w:eastAsia="de-DE" w:bidi="ar-SA"/>
    </w:rPr>
  </w:style>
  <w:style w:type="paragraph" w:customStyle="1" w:styleId="SWCBulletedList">
    <w:name w:val="SWC_BulletedList"/>
    <w:link w:val="SWCBulletedListCar"/>
    <w:qFormat/>
    <w:rsid w:val="009F6AF8"/>
    <w:pPr>
      <w:numPr>
        <w:numId w:val="3"/>
      </w:numPr>
      <w:tabs>
        <w:tab w:val="left" w:pos="600"/>
      </w:tabs>
      <w:spacing w:after="100" w:line="240" w:lineRule="exact"/>
      <w:ind w:left="240" w:firstLine="0"/>
    </w:pPr>
    <w:rPr>
      <w:rFonts w:cs="Minion Pro"/>
      <w:color w:val="000000"/>
      <w:szCs w:val="22"/>
      <w:lang w:val="en-US" w:eastAsia="de-DE"/>
    </w:rPr>
  </w:style>
  <w:style w:type="paragraph" w:customStyle="1" w:styleId="SWCAuthorOrganisation">
    <w:name w:val="SWC_AuthorOrganisation"/>
    <w:basedOn w:val="CPV-07Author"/>
    <w:qFormat/>
    <w:rsid w:val="002D322C"/>
    <w:pPr>
      <w:spacing w:before="60"/>
    </w:pPr>
    <w:rPr>
      <w:b w:val="0"/>
      <w:sz w:val="16"/>
      <w:szCs w:val="20"/>
    </w:rPr>
  </w:style>
  <w:style w:type="paragraph" w:customStyle="1" w:styleId="CPV-07Author">
    <w:name w:val="CPV-07_Author"/>
    <w:autoRedefine/>
    <w:rsid w:val="002D322C"/>
    <w:pPr>
      <w:tabs>
        <w:tab w:val="left" w:pos="136"/>
      </w:tabs>
      <w:spacing w:after="60" w:line="280" w:lineRule="exact"/>
      <w:jc w:val="center"/>
    </w:pPr>
    <w:rPr>
      <w:rFonts w:ascii="Helvetica" w:hAnsi="Helvetica"/>
      <w:b/>
      <w:color w:val="000000"/>
      <w:sz w:val="18"/>
      <w:szCs w:val="22"/>
      <w:lang w:val="de-DE" w:eastAsia="de-DE"/>
    </w:rPr>
  </w:style>
  <w:style w:type="paragraph" w:customStyle="1" w:styleId="CPV-7Title">
    <w:name w:val="CPV-7_Title"/>
    <w:autoRedefine/>
    <w:rsid w:val="00F715C3"/>
    <w:pPr>
      <w:spacing w:after="380" w:line="340" w:lineRule="exact"/>
      <w:jc w:val="center"/>
    </w:pPr>
    <w:rPr>
      <w:rFonts w:ascii="Arial" w:hAnsi="Arial"/>
      <w:b/>
      <w:color w:val="000000"/>
      <w:sz w:val="28"/>
      <w:szCs w:val="28"/>
      <w:lang w:val="en-US" w:eastAsia="de-DE"/>
    </w:rPr>
  </w:style>
  <w:style w:type="paragraph" w:customStyle="1" w:styleId="SWCText">
    <w:name w:val="SWC_Text"/>
    <w:qFormat/>
    <w:rsid w:val="009F6AF8"/>
    <w:pPr>
      <w:widowControl w:val="0"/>
      <w:spacing w:after="120" w:line="276" w:lineRule="auto"/>
      <w:jc w:val="both"/>
    </w:pPr>
    <w:rPr>
      <w:color w:val="000000"/>
      <w:szCs w:val="22"/>
      <w:lang w:val="en-US" w:eastAsia="de-DE"/>
    </w:rPr>
  </w:style>
  <w:style w:type="paragraph" w:customStyle="1" w:styleId="SP09Abstract">
    <w:name w:val="SP09_Abstract"/>
    <w:autoRedefine/>
    <w:rsid w:val="00A6457C"/>
    <w:pPr>
      <w:spacing w:after="60" w:line="276" w:lineRule="auto"/>
      <w:ind w:left="284" w:right="284"/>
      <w:jc w:val="both"/>
    </w:pPr>
    <w:rPr>
      <w:color w:val="000000"/>
      <w:sz w:val="22"/>
      <w:szCs w:val="22"/>
      <w:lang w:val="en-GB" w:eastAsia="de-DE"/>
    </w:rPr>
  </w:style>
  <w:style w:type="paragraph" w:customStyle="1" w:styleId="SP09AbstractTitle">
    <w:name w:val="SP09_AbstractTitle"/>
    <w:autoRedefine/>
    <w:rsid w:val="00514890"/>
    <w:pPr>
      <w:spacing w:after="160" w:line="280" w:lineRule="exact"/>
      <w:jc w:val="center"/>
    </w:pPr>
    <w:rPr>
      <w:b/>
      <w:color w:val="000000"/>
      <w:sz w:val="22"/>
      <w:szCs w:val="22"/>
      <w:lang w:val="en-GB" w:eastAsia="de-DE"/>
    </w:rPr>
  </w:style>
  <w:style w:type="paragraph" w:customStyle="1" w:styleId="CPV-7Equation">
    <w:name w:val="CPV-7_Equation"/>
    <w:autoRedefine/>
    <w:rsid w:val="00AC2C09"/>
    <w:pPr>
      <w:spacing w:before="180" w:after="240" w:line="280" w:lineRule="atLeast"/>
      <w:jc w:val="center"/>
    </w:pPr>
    <w:rPr>
      <w:color w:val="000000"/>
      <w:sz w:val="22"/>
      <w:szCs w:val="22"/>
      <w:lang w:val="en-GB" w:eastAsia="de-DE"/>
    </w:rPr>
  </w:style>
  <w:style w:type="paragraph" w:customStyle="1" w:styleId="SP09FigureCaption">
    <w:name w:val="SP09_FigureCaption"/>
    <w:autoRedefine/>
    <w:rsid w:val="007954D9"/>
    <w:pPr>
      <w:spacing w:before="160" w:after="240" w:line="240" w:lineRule="atLeast"/>
      <w:jc w:val="center"/>
    </w:pPr>
    <w:rPr>
      <w:color w:val="000000"/>
      <w:szCs w:val="22"/>
      <w:lang w:val="en-GB" w:eastAsia="de-DE"/>
    </w:rPr>
  </w:style>
  <w:style w:type="paragraph" w:customStyle="1" w:styleId="CPV-7Heading1Character">
    <w:name w:val="CPV-7_Heading1Character"/>
    <w:link w:val="CPV-7Heading1CharacterZchnZchn"/>
    <w:autoRedefine/>
    <w:rsid w:val="00FE2ADC"/>
    <w:pPr>
      <w:spacing w:before="240" w:after="180" w:line="280" w:lineRule="exact"/>
    </w:pPr>
    <w:rPr>
      <w:b/>
      <w:color w:val="000000"/>
      <w:sz w:val="22"/>
      <w:szCs w:val="24"/>
      <w:lang w:val="en-US" w:eastAsia="de-DE"/>
    </w:rPr>
  </w:style>
  <w:style w:type="character" w:customStyle="1" w:styleId="CPV-7Heading1CharacterZchnZchn">
    <w:name w:val="CPV-7_Heading1Character Zchn Zchn"/>
    <w:basedOn w:val="Fuentedeprrafopredeter"/>
    <w:link w:val="CPV-7Heading1Character"/>
    <w:rsid w:val="00FE2ADC"/>
    <w:rPr>
      <w:b/>
      <w:color w:val="000000"/>
      <w:sz w:val="22"/>
      <w:szCs w:val="24"/>
      <w:lang w:val="en-US" w:eastAsia="de-DE" w:bidi="ar-SA"/>
    </w:rPr>
  </w:style>
  <w:style w:type="paragraph" w:customStyle="1" w:styleId="SWCHeading11">
    <w:name w:val="SWC_Heading1.1"/>
    <w:basedOn w:val="SWCHeading1"/>
    <w:next w:val="Normal"/>
    <w:qFormat/>
    <w:rsid w:val="009F7C7E"/>
    <w:pPr>
      <w:numPr>
        <w:numId w:val="0"/>
      </w:numPr>
      <w:spacing w:before="160" w:after="80" w:line="240" w:lineRule="exact"/>
      <w:jc w:val="left"/>
    </w:pPr>
    <w:rPr>
      <w:b w:val="0"/>
      <w:i/>
      <w:szCs w:val="22"/>
      <w:lang w:val="en-GB"/>
    </w:rPr>
  </w:style>
  <w:style w:type="paragraph" w:customStyle="1" w:styleId="SWCReferences">
    <w:name w:val="SWC_References"/>
    <w:rsid w:val="00225724"/>
    <w:pPr>
      <w:tabs>
        <w:tab w:val="left" w:pos="480"/>
      </w:tabs>
      <w:spacing w:after="120" w:line="240" w:lineRule="exact"/>
      <w:ind w:left="480" w:hanging="480"/>
    </w:pPr>
    <w:rPr>
      <w:color w:val="000000"/>
      <w:lang w:val="en-GB" w:eastAsia="de-DE"/>
    </w:rPr>
  </w:style>
  <w:style w:type="paragraph" w:styleId="Asuntodelcomentario">
    <w:name w:val="annotation subject"/>
    <w:basedOn w:val="Textocomentario"/>
    <w:next w:val="Textocomentario"/>
    <w:semiHidden/>
    <w:rsid w:val="009E4985"/>
    <w:rPr>
      <w:b/>
      <w:bCs/>
    </w:rPr>
  </w:style>
  <w:style w:type="paragraph" w:customStyle="1" w:styleId="SWCTableFigureCaption">
    <w:name w:val="SWC_TableFigureCaption"/>
    <w:qFormat/>
    <w:rsid w:val="000067DB"/>
    <w:pPr>
      <w:tabs>
        <w:tab w:val="left" w:pos="136"/>
        <w:tab w:val="left" w:pos="278"/>
      </w:tabs>
      <w:spacing w:before="80" w:after="160" w:line="276" w:lineRule="auto"/>
      <w:ind w:left="57" w:right="57"/>
      <w:jc w:val="center"/>
    </w:pPr>
    <w:rPr>
      <w:b/>
      <w:color w:val="000000"/>
      <w:sz w:val="16"/>
      <w:lang w:val="en-US" w:eastAsia="de-DE"/>
    </w:rPr>
  </w:style>
  <w:style w:type="character" w:styleId="Hipervnculo">
    <w:name w:val="Hyperlink"/>
    <w:basedOn w:val="Fuentedeprrafopredeter"/>
    <w:rsid w:val="005D5CF6"/>
    <w:rPr>
      <w:color w:val="0000FF"/>
      <w:u w:val="single"/>
    </w:rPr>
  </w:style>
  <w:style w:type="paragraph" w:styleId="Textodeglobo">
    <w:name w:val="Balloon Text"/>
    <w:basedOn w:val="Normal"/>
    <w:semiHidden/>
    <w:rsid w:val="009E4985"/>
    <w:rPr>
      <w:rFonts w:ascii="Tahoma" w:hAnsi="Tahoma" w:cs="Tahoma"/>
      <w:sz w:val="16"/>
      <w:szCs w:val="16"/>
    </w:rPr>
  </w:style>
  <w:style w:type="paragraph" w:customStyle="1" w:styleId="SP09Heading111">
    <w:name w:val="SP09_Heading1.1.1"/>
    <w:basedOn w:val="Normal"/>
    <w:rsid w:val="00DC0318"/>
    <w:pPr>
      <w:spacing w:before="160" w:after="80" w:line="240" w:lineRule="exact"/>
    </w:pPr>
    <w:rPr>
      <w:b/>
      <w:color w:val="000000"/>
      <w:sz w:val="20"/>
      <w:szCs w:val="22"/>
      <w:lang w:val="en-US"/>
    </w:rPr>
  </w:style>
  <w:style w:type="table" w:styleId="Tablaconcuadrcula">
    <w:name w:val="Table Grid"/>
    <w:basedOn w:val="Tablanormal"/>
    <w:rsid w:val="006309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iliations">
    <w:name w:val="Affiliations"/>
    <w:basedOn w:val="Normal"/>
    <w:next w:val="AuthorAdress"/>
    <w:rsid w:val="00155FB8"/>
    <w:pPr>
      <w:spacing w:after="240"/>
      <w:jc w:val="center"/>
    </w:pPr>
    <w:rPr>
      <w:szCs w:val="20"/>
      <w:lang w:val="en-GB" w:eastAsia="es-ES"/>
    </w:rPr>
  </w:style>
  <w:style w:type="paragraph" w:customStyle="1" w:styleId="AuthorAdress">
    <w:name w:val="AuthorAdress"/>
    <w:basedOn w:val="Normal"/>
    <w:next w:val="Affiliations"/>
    <w:rsid w:val="00155FB8"/>
    <w:pPr>
      <w:spacing w:after="120" w:line="320" w:lineRule="atLeast"/>
      <w:jc w:val="center"/>
    </w:pPr>
    <w:rPr>
      <w:i/>
      <w:lang w:val="en-GB" w:eastAsia="es-ES"/>
    </w:rPr>
  </w:style>
  <w:style w:type="paragraph" w:customStyle="1" w:styleId="TableText">
    <w:name w:val="TableText"/>
    <w:basedOn w:val="Normal"/>
    <w:next w:val="Normal"/>
    <w:rsid w:val="00155FB8"/>
    <w:pPr>
      <w:jc w:val="center"/>
    </w:pPr>
    <w:rPr>
      <w:sz w:val="20"/>
      <w:szCs w:val="20"/>
      <w:lang w:val="es-ES" w:eastAsia="es-ES"/>
    </w:rPr>
  </w:style>
  <w:style w:type="paragraph" w:customStyle="1" w:styleId="Text">
    <w:name w:val="Text"/>
    <w:basedOn w:val="Normal"/>
    <w:rsid w:val="009B4816"/>
    <w:pPr>
      <w:spacing w:after="240" w:line="320" w:lineRule="atLeast"/>
      <w:jc w:val="both"/>
    </w:pPr>
    <w:rPr>
      <w:szCs w:val="20"/>
      <w:lang w:val="en-GB" w:eastAsia="es-ES"/>
    </w:rPr>
  </w:style>
  <w:style w:type="paragraph" w:customStyle="1" w:styleId="FigureCaption">
    <w:name w:val="FigureCaption"/>
    <w:basedOn w:val="Normal"/>
    <w:next w:val="Normal"/>
    <w:rsid w:val="00AC2C09"/>
    <w:pPr>
      <w:jc w:val="center"/>
    </w:pPr>
    <w:rPr>
      <w:szCs w:val="20"/>
      <w:lang w:val="es-ES" w:eastAsia="es-ES"/>
    </w:rPr>
  </w:style>
  <w:style w:type="paragraph" w:customStyle="1" w:styleId="Title2">
    <w:name w:val="Title2"/>
    <w:basedOn w:val="Normal"/>
    <w:link w:val="Title2CarCar"/>
    <w:rsid w:val="00AC2C09"/>
    <w:pPr>
      <w:keepNext/>
      <w:spacing w:before="240" w:after="120" w:line="320" w:lineRule="atLeast"/>
    </w:pPr>
    <w:rPr>
      <w:b/>
      <w:szCs w:val="20"/>
      <w:lang w:val="en-GB" w:eastAsia="es-ES"/>
    </w:rPr>
  </w:style>
  <w:style w:type="character" w:customStyle="1" w:styleId="Title2CarCar">
    <w:name w:val="Title2 Car Car"/>
    <w:basedOn w:val="Fuentedeprrafopredeter"/>
    <w:link w:val="Title2"/>
    <w:rsid w:val="00AC2C09"/>
    <w:rPr>
      <w:b/>
      <w:sz w:val="24"/>
      <w:lang w:val="en-GB" w:eastAsia="es-ES" w:bidi="ar-SA"/>
    </w:rPr>
  </w:style>
  <w:style w:type="paragraph" w:customStyle="1" w:styleId="Default">
    <w:name w:val="Default"/>
    <w:rsid w:val="00FC09A1"/>
    <w:pPr>
      <w:autoSpaceDE w:val="0"/>
      <w:autoSpaceDN w:val="0"/>
      <w:adjustRightInd w:val="0"/>
    </w:pPr>
    <w:rPr>
      <w:color w:val="000000"/>
      <w:sz w:val="24"/>
      <w:szCs w:val="24"/>
      <w:lang w:val="de-DE" w:eastAsia="de-DE"/>
    </w:rPr>
  </w:style>
  <w:style w:type="paragraph" w:customStyle="1" w:styleId="SWCTableHeader">
    <w:name w:val="SWC_TableHeader"/>
    <w:qFormat/>
    <w:rsid w:val="00F715C3"/>
    <w:pPr>
      <w:spacing w:after="80"/>
      <w:jc w:val="center"/>
    </w:pPr>
    <w:rPr>
      <w:b/>
      <w:bCs/>
      <w:color w:val="000000"/>
      <w:lang w:val="en-GB" w:eastAsia="de-DE"/>
    </w:rPr>
  </w:style>
  <w:style w:type="paragraph" w:customStyle="1" w:styleId="SWCTableText">
    <w:name w:val="SWC_TableText"/>
    <w:qFormat/>
    <w:rsid w:val="00F715C3"/>
    <w:pPr>
      <w:spacing w:after="80"/>
      <w:jc w:val="center"/>
    </w:pPr>
    <w:rPr>
      <w:color w:val="000000"/>
      <w:lang w:val="en-GB" w:eastAsia="de-DE"/>
    </w:rPr>
  </w:style>
  <w:style w:type="paragraph" w:customStyle="1" w:styleId="SWCAuthor">
    <w:name w:val="SWC_Author"/>
    <w:qFormat/>
    <w:rsid w:val="00A436CD"/>
    <w:pPr>
      <w:tabs>
        <w:tab w:val="left" w:pos="136"/>
      </w:tabs>
      <w:spacing w:after="60" w:line="280" w:lineRule="exact"/>
      <w:jc w:val="center"/>
    </w:pPr>
    <w:rPr>
      <w:rFonts w:ascii="Arial" w:hAnsi="Arial"/>
      <w:b/>
      <w:color w:val="000000"/>
      <w:sz w:val="18"/>
      <w:szCs w:val="22"/>
      <w:lang w:val="de-DE" w:eastAsia="de-DE"/>
    </w:rPr>
  </w:style>
  <w:style w:type="paragraph" w:customStyle="1" w:styleId="SWCHeading1">
    <w:name w:val="SWC_Heading1"/>
    <w:next w:val="Normal"/>
    <w:link w:val="SWCHeading1Car"/>
    <w:qFormat/>
    <w:rsid w:val="002972D1"/>
    <w:pPr>
      <w:numPr>
        <w:numId w:val="11"/>
      </w:numPr>
      <w:spacing w:before="360" w:after="120" w:line="280" w:lineRule="exact"/>
      <w:ind w:left="714" w:hanging="357"/>
      <w:jc w:val="center"/>
    </w:pPr>
    <w:rPr>
      <w:rFonts w:ascii="Arial" w:hAnsi="Arial"/>
      <w:b/>
      <w:color w:val="000000"/>
      <w:szCs w:val="24"/>
      <w:lang w:val="en-US" w:eastAsia="de-DE"/>
    </w:rPr>
  </w:style>
  <w:style w:type="paragraph" w:customStyle="1" w:styleId="SP09Heading11">
    <w:name w:val="SP09_Heading1.1"/>
    <w:next w:val="Normal"/>
    <w:rsid w:val="00DC0318"/>
    <w:pPr>
      <w:spacing w:before="160" w:after="80" w:line="240" w:lineRule="exact"/>
    </w:pPr>
    <w:rPr>
      <w:rFonts w:ascii="Arial" w:hAnsi="Arial"/>
      <w:i/>
      <w:color w:val="000000"/>
      <w:szCs w:val="22"/>
      <w:lang w:val="en-GB" w:eastAsia="de-DE"/>
    </w:rPr>
  </w:style>
  <w:style w:type="paragraph" w:customStyle="1" w:styleId="SWCTitle">
    <w:name w:val="SWC_Title"/>
    <w:basedOn w:val="SWCHeading1"/>
    <w:qFormat/>
    <w:rsid w:val="00395E5A"/>
    <w:pPr>
      <w:numPr>
        <w:numId w:val="0"/>
      </w:numPr>
    </w:pPr>
    <w:rPr>
      <w:sz w:val="24"/>
    </w:rPr>
  </w:style>
  <w:style w:type="paragraph" w:styleId="Textonotapie">
    <w:name w:val="footnote text"/>
    <w:basedOn w:val="Normal"/>
    <w:semiHidden/>
    <w:rsid w:val="003869E8"/>
    <w:rPr>
      <w:sz w:val="20"/>
      <w:szCs w:val="20"/>
    </w:rPr>
  </w:style>
  <w:style w:type="character" w:styleId="Refdenotaalpie">
    <w:name w:val="footnote reference"/>
    <w:basedOn w:val="Fuentedeprrafopredeter"/>
    <w:semiHidden/>
    <w:rsid w:val="003869E8"/>
    <w:rPr>
      <w:vertAlign w:val="superscript"/>
    </w:rPr>
  </w:style>
  <w:style w:type="paragraph" w:customStyle="1" w:styleId="SWCSummary">
    <w:name w:val="SWC_Summary"/>
    <w:basedOn w:val="SWCHeading1"/>
    <w:link w:val="SWCSummaryCar"/>
    <w:qFormat/>
    <w:rsid w:val="001A775B"/>
    <w:pPr>
      <w:numPr>
        <w:numId w:val="0"/>
      </w:numPr>
    </w:pPr>
  </w:style>
  <w:style w:type="character" w:customStyle="1" w:styleId="SWCHeading1Car">
    <w:name w:val="SWC_Heading1 Car"/>
    <w:basedOn w:val="Fuentedeprrafopredeter"/>
    <w:link w:val="SWCHeading1"/>
    <w:rsid w:val="001A775B"/>
    <w:rPr>
      <w:rFonts w:ascii="Arial" w:hAnsi="Arial"/>
      <w:b/>
      <w:color w:val="000000"/>
      <w:szCs w:val="24"/>
      <w:lang w:val="en-US" w:eastAsia="de-DE"/>
    </w:rPr>
  </w:style>
  <w:style w:type="character" w:customStyle="1" w:styleId="SWCSummaryCar">
    <w:name w:val="SWC_Summary Car"/>
    <w:basedOn w:val="SWCHeading1Car"/>
    <w:link w:val="SWCSummary"/>
    <w:rsid w:val="001A775B"/>
    <w:rPr>
      <w:rFonts w:ascii="Arial" w:hAnsi="Arial"/>
      <w:b/>
      <w:color w:val="000000"/>
      <w:szCs w:val="24"/>
      <w:lang w:val="en-US" w:eastAsia="de-DE"/>
    </w:rPr>
  </w:style>
  <w:style w:type="character" w:styleId="Textodelmarcadordeposicin">
    <w:name w:val="Placeholder Text"/>
    <w:basedOn w:val="Fuentedeprrafopredeter"/>
    <w:uiPriority w:val="99"/>
    <w:semiHidden/>
    <w:rsid w:val="00653551"/>
    <w:rPr>
      <w:color w:val="808080"/>
    </w:rPr>
  </w:style>
  <w:style w:type="character" w:customStyle="1" w:styleId="NichtaufgelsteErwhnung1">
    <w:name w:val="Nicht aufgelöste Erwähnung1"/>
    <w:basedOn w:val="Fuentedeprrafopredeter"/>
    <w:uiPriority w:val="99"/>
    <w:semiHidden/>
    <w:unhideWhenUsed/>
    <w:rsid w:val="00E218E2"/>
    <w:rPr>
      <w:color w:val="605E5C"/>
      <w:shd w:val="clear" w:color="auto" w:fill="E1DFDD"/>
    </w:rPr>
  </w:style>
  <w:style w:type="paragraph" w:styleId="Revisin">
    <w:name w:val="Revision"/>
    <w:hidden/>
    <w:uiPriority w:val="99"/>
    <w:semiHidden/>
    <w:rsid w:val="00FA4DF8"/>
    <w:rPr>
      <w:sz w:val="24"/>
      <w:szCs w:val="24"/>
      <w:lang w:val="de-DE" w:eastAsia="de-DE"/>
    </w:rPr>
  </w:style>
  <w:style w:type="paragraph" w:styleId="Descripcin">
    <w:name w:val="caption"/>
    <w:basedOn w:val="Normal"/>
    <w:next w:val="Normal"/>
    <w:uiPriority w:val="35"/>
    <w:unhideWhenUsed/>
    <w:qFormat/>
    <w:rsid w:val="008C4884"/>
    <w:pPr>
      <w:spacing w:after="200"/>
    </w:pPr>
    <w:rPr>
      <w:i/>
      <w:iCs/>
      <w:color w:val="1F497D" w:themeColor="text2"/>
      <w:sz w:val="18"/>
      <w:szCs w:val="18"/>
    </w:rPr>
  </w:style>
  <w:style w:type="character" w:customStyle="1" w:styleId="whitespace-normal">
    <w:name w:val="whitespace-normal"/>
    <w:basedOn w:val="Fuentedeprrafopredeter"/>
    <w:rsid w:val="00CC60F0"/>
  </w:style>
  <w:style w:type="paragraph" w:styleId="Prrafodelista">
    <w:name w:val="List Paragraph"/>
    <w:basedOn w:val="Normal"/>
    <w:uiPriority w:val="34"/>
    <w:rsid w:val="00EA0AB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69778">
      <w:bodyDiv w:val="1"/>
      <w:marLeft w:val="0"/>
      <w:marRight w:val="0"/>
      <w:marTop w:val="0"/>
      <w:marBottom w:val="0"/>
      <w:divBdr>
        <w:top w:val="none" w:sz="0" w:space="0" w:color="auto"/>
        <w:left w:val="none" w:sz="0" w:space="0" w:color="auto"/>
        <w:bottom w:val="none" w:sz="0" w:space="0" w:color="auto"/>
        <w:right w:val="none" w:sz="0" w:space="0" w:color="auto"/>
      </w:divBdr>
      <w:divsChild>
        <w:div w:id="1570799047">
          <w:marLeft w:val="480"/>
          <w:marRight w:val="0"/>
          <w:marTop w:val="0"/>
          <w:marBottom w:val="0"/>
          <w:divBdr>
            <w:top w:val="none" w:sz="0" w:space="0" w:color="auto"/>
            <w:left w:val="none" w:sz="0" w:space="0" w:color="auto"/>
            <w:bottom w:val="none" w:sz="0" w:space="0" w:color="auto"/>
            <w:right w:val="none" w:sz="0" w:space="0" w:color="auto"/>
          </w:divBdr>
        </w:div>
        <w:div w:id="1647467169">
          <w:marLeft w:val="480"/>
          <w:marRight w:val="0"/>
          <w:marTop w:val="0"/>
          <w:marBottom w:val="0"/>
          <w:divBdr>
            <w:top w:val="none" w:sz="0" w:space="0" w:color="auto"/>
            <w:left w:val="none" w:sz="0" w:space="0" w:color="auto"/>
            <w:bottom w:val="none" w:sz="0" w:space="0" w:color="auto"/>
            <w:right w:val="none" w:sz="0" w:space="0" w:color="auto"/>
          </w:divBdr>
        </w:div>
        <w:div w:id="1866554199">
          <w:marLeft w:val="480"/>
          <w:marRight w:val="0"/>
          <w:marTop w:val="0"/>
          <w:marBottom w:val="0"/>
          <w:divBdr>
            <w:top w:val="none" w:sz="0" w:space="0" w:color="auto"/>
            <w:left w:val="none" w:sz="0" w:space="0" w:color="auto"/>
            <w:bottom w:val="none" w:sz="0" w:space="0" w:color="auto"/>
            <w:right w:val="none" w:sz="0" w:space="0" w:color="auto"/>
          </w:divBdr>
        </w:div>
        <w:div w:id="1111779723">
          <w:marLeft w:val="480"/>
          <w:marRight w:val="0"/>
          <w:marTop w:val="0"/>
          <w:marBottom w:val="0"/>
          <w:divBdr>
            <w:top w:val="none" w:sz="0" w:space="0" w:color="auto"/>
            <w:left w:val="none" w:sz="0" w:space="0" w:color="auto"/>
            <w:bottom w:val="none" w:sz="0" w:space="0" w:color="auto"/>
            <w:right w:val="none" w:sz="0" w:space="0" w:color="auto"/>
          </w:divBdr>
        </w:div>
        <w:div w:id="364140208">
          <w:marLeft w:val="480"/>
          <w:marRight w:val="0"/>
          <w:marTop w:val="0"/>
          <w:marBottom w:val="0"/>
          <w:divBdr>
            <w:top w:val="none" w:sz="0" w:space="0" w:color="auto"/>
            <w:left w:val="none" w:sz="0" w:space="0" w:color="auto"/>
            <w:bottom w:val="none" w:sz="0" w:space="0" w:color="auto"/>
            <w:right w:val="none" w:sz="0" w:space="0" w:color="auto"/>
          </w:divBdr>
        </w:div>
        <w:div w:id="1099254065">
          <w:marLeft w:val="480"/>
          <w:marRight w:val="0"/>
          <w:marTop w:val="0"/>
          <w:marBottom w:val="0"/>
          <w:divBdr>
            <w:top w:val="none" w:sz="0" w:space="0" w:color="auto"/>
            <w:left w:val="none" w:sz="0" w:space="0" w:color="auto"/>
            <w:bottom w:val="none" w:sz="0" w:space="0" w:color="auto"/>
            <w:right w:val="none" w:sz="0" w:space="0" w:color="auto"/>
          </w:divBdr>
        </w:div>
      </w:divsChild>
    </w:div>
    <w:div w:id="8917001">
      <w:bodyDiv w:val="1"/>
      <w:marLeft w:val="0"/>
      <w:marRight w:val="0"/>
      <w:marTop w:val="0"/>
      <w:marBottom w:val="0"/>
      <w:divBdr>
        <w:top w:val="none" w:sz="0" w:space="0" w:color="auto"/>
        <w:left w:val="none" w:sz="0" w:space="0" w:color="auto"/>
        <w:bottom w:val="none" w:sz="0" w:space="0" w:color="auto"/>
        <w:right w:val="none" w:sz="0" w:space="0" w:color="auto"/>
      </w:divBdr>
      <w:divsChild>
        <w:div w:id="1397047941">
          <w:marLeft w:val="480"/>
          <w:marRight w:val="0"/>
          <w:marTop w:val="0"/>
          <w:marBottom w:val="0"/>
          <w:divBdr>
            <w:top w:val="none" w:sz="0" w:space="0" w:color="auto"/>
            <w:left w:val="none" w:sz="0" w:space="0" w:color="auto"/>
            <w:bottom w:val="none" w:sz="0" w:space="0" w:color="auto"/>
            <w:right w:val="none" w:sz="0" w:space="0" w:color="auto"/>
          </w:divBdr>
        </w:div>
        <w:div w:id="246816066">
          <w:marLeft w:val="480"/>
          <w:marRight w:val="0"/>
          <w:marTop w:val="0"/>
          <w:marBottom w:val="0"/>
          <w:divBdr>
            <w:top w:val="none" w:sz="0" w:space="0" w:color="auto"/>
            <w:left w:val="none" w:sz="0" w:space="0" w:color="auto"/>
            <w:bottom w:val="none" w:sz="0" w:space="0" w:color="auto"/>
            <w:right w:val="none" w:sz="0" w:space="0" w:color="auto"/>
          </w:divBdr>
        </w:div>
        <w:div w:id="124205649">
          <w:marLeft w:val="480"/>
          <w:marRight w:val="0"/>
          <w:marTop w:val="0"/>
          <w:marBottom w:val="0"/>
          <w:divBdr>
            <w:top w:val="none" w:sz="0" w:space="0" w:color="auto"/>
            <w:left w:val="none" w:sz="0" w:space="0" w:color="auto"/>
            <w:bottom w:val="none" w:sz="0" w:space="0" w:color="auto"/>
            <w:right w:val="none" w:sz="0" w:space="0" w:color="auto"/>
          </w:divBdr>
        </w:div>
        <w:div w:id="1504125517">
          <w:marLeft w:val="480"/>
          <w:marRight w:val="0"/>
          <w:marTop w:val="0"/>
          <w:marBottom w:val="0"/>
          <w:divBdr>
            <w:top w:val="none" w:sz="0" w:space="0" w:color="auto"/>
            <w:left w:val="none" w:sz="0" w:space="0" w:color="auto"/>
            <w:bottom w:val="none" w:sz="0" w:space="0" w:color="auto"/>
            <w:right w:val="none" w:sz="0" w:space="0" w:color="auto"/>
          </w:divBdr>
        </w:div>
        <w:div w:id="89202386">
          <w:marLeft w:val="480"/>
          <w:marRight w:val="0"/>
          <w:marTop w:val="0"/>
          <w:marBottom w:val="0"/>
          <w:divBdr>
            <w:top w:val="none" w:sz="0" w:space="0" w:color="auto"/>
            <w:left w:val="none" w:sz="0" w:space="0" w:color="auto"/>
            <w:bottom w:val="none" w:sz="0" w:space="0" w:color="auto"/>
            <w:right w:val="none" w:sz="0" w:space="0" w:color="auto"/>
          </w:divBdr>
        </w:div>
        <w:div w:id="2015766100">
          <w:marLeft w:val="480"/>
          <w:marRight w:val="0"/>
          <w:marTop w:val="0"/>
          <w:marBottom w:val="0"/>
          <w:divBdr>
            <w:top w:val="none" w:sz="0" w:space="0" w:color="auto"/>
            <w:left w:val="none" w:sz="0" w:space="0" w:color="auto"/>
            <w:bottom w:val="none" w:sz="0" w:space="0" w:color="auto"/>
            <w:right w:val="none" w:sz="0" w:space="0" w:color="auto"/>
          </w:divBdr>
        </w:div>
        <w:div w:id="1799570048">
          <w:marLeft w:val="480"/>
          <w:marRight w:val="0"/>
          <w:marTop w:val="0"/>
          <w:marBottom w:val="0"/>
          <w:divBdr>
            <w:top w:val="none" w:sz="0" w:space="0" w:color="auto"/>
            <w:left w:val="none" w:sz="0" w:space="0" w:color="auto"/>
            <w:bottom w:val="none" w:sz="0" w:space="0" w:color="auto"/>
            <w:right w:val="none" w:sz="0" w:space="0" w:color="auto"/>
          </w:divBdr>
        </w:div>
        <w:div w:id="838692078">
          <w:marLeft w:val="480"/>
          <w:marRight w:val="0"/>
          <w:marTop w:val="0"/>
          <w:marBottom w:val="0"/>
          <w:divBdr>
            <w:top w:val="none" w:sz="0" w:space="0" w:color="auto"/>
            <w:left w:val="none" w:sz="0" w:space="0" w:color="auto"/>
            <w:bottom w:val="none" w:sz="0" w:space="0" w:color="auto"/>
            <w:right w:val="none" w:sz="0" w:space="0" w:color="auto"/>
          </w:divBdr>
        </w:div>
      </w:divsChild>
    </w:div>
    <w:div w:id="68426382">
      <w:bodyDiv w:val="1"/>
      <w:marLeft w:val="0"/>
      <w:marRight w:val="0"/>
      <w:marTop w:val="0"/>
      <w:marBottom w:val="0"/>
      <w:divBdr>
        <w:top w:val="none" w:sz="0" w:space="0" w:color="auto"/>
        <w:left w:val="none" w:sz="0" w:space="0" w:color="auto"/>
        <w:bottom w:val="none" w:sz="0" w:space="0" w:color="auto"/>
        <w:right w:val="none" w:sz="0" w:space="0" w:color="auto"/>
      </w:divBdr>
      <w:divsChild>
        <w:div w:id="548496209">
          <w:marLeft w:val="480"/>
          <w:marRight w:val="0"/>
          <w:marTop w:val="0"/>
          <w:marBottom w:val="0"/>
          <w:divBdr>
            <w:top w:val="none" w:sz="0" w:space="0" w:color="auto"/>
            <w:left w:val="none" w:sz="0" w:space="0" w:color="auto"/>
            <w:bottom w:val="none" w:sz="0" w:space="0" w:color="auto"/>
            <w:right w:val="none" w:sz="0" w:space="0" w:color="auto"/>
          </w:divBdr>
        </w:div>
        <w:div w:id="1015958524">
          <w:marLeft w:val="480"/>
          <w:marRight w:val="0"/>
          <w:marTop w:val="0"/>
          <w:marBottom w:val="0"/>
          <w:divBdr>
            <w:top w:val="none" w:sz="0" w:space="0" w:color="auto"/>
            <w:left w:val="none" w:sz="0" w:space="0" w:color="auto"/>
            <w:bottom w:val="none" w:sz="0" w:space="0" w:color="auto"/>
            <w:right w:val="none" w:sz="0" w:space="0" w:color="auto"/>
          </w:divBdr>
        </w:div>
        <w:div w:id="762922443">
          <w:marLeft w:val="480"/>
          <w:marRight w:val="0"/>
          <w:marTop w:val="0"/>
          <w:marBottom w:val="0"/>
          <w:divBdr>
            <w:top w:val="none" w:sz="0" w:space="0" w:color="auto"/>
            <w:left w:val="none" w:sz="0" w:space="0" w:color="auto"/>
            <w:bottom w:val="none" w:sz="0" w:space="0" w:color="auto"/>
            <w:right w:val="none" w:sz="0" w:space="0" w:color="auto"/>
          </w:divBdr>
        </w:div>
        <w:div w:id="652173535">
          <w:marLeft w:val="480"/>
          <w:marRight w:val="0"/>
          <w:marTop w:val="0"/>
          <w:marBottom w:val="0"/>
          <w:divBdr>
            <w:top w:val="none" w:sz="0" w:space="0" w:color="auto"/>
            <w:left w:val="none" w:sz="0" w:space="0" w:color="auto"/>
            <w:bottom w:val="none" w:sz="0" w:space="0" w:color="auto"/>
            <w:right w:val="none" w:sz="0" w:space="0" w:color="auto"/>
          </w:divBdr>
        </w:div>
        <w:div w:id="2063404032">
          <w:marLeft w:val="480"/>
          <w:marRight w:val="0"/>
          <w:marTop w:val="0"/>
          <w:marBottom w:val="0"/>
          <w:divBdr>
            <w:top w:val="none" w:sz="0" w:space="0" w:color="auto"/>
            <w:left w:val="none" w:sz="0" w:space="0" w:color="auto"/>
            <w:bottom w:val="none" w:sz="0" w:space="0" w:color="auto"/>
            <w:right w:val="none" w:sz="0" w:space="0" w:color="auto"/>
          </w:divBdr>
        </w:div>
        <w:div w:id="1961717515">
          <w:marLeft w:val="480"/>
          <w:marRight w:val="0"/>
          <w:marTop w:val="0"/>
          <w:marBottom w:val="0"/>
          <w:divBdr>
            <w:top w:val="none" w:sz="0" w:space="0" w:color="auto"/>
            <w:left w:val="none" w:sz="0" w:space="0" w:color="auto"/>
            <w:bottom w:val="none" w:sz="0" w:space="0" w:color="auto"/>
            <w:right w:val="none" w:sz="0" w:space="0" w:color="auto"/>
          </w:divBdr>
        </w:div>
        <w:div w:id="387458427">
          <w:marLeft w:val="480"/>
          <w:marRight w:val="0"/>
          <w:marTop w:val="0"/>
          <w:marBottom w:val="0"/>
          <w:divBdr>
            <w:top w:val="none" w:sz="0" w:space="0" w:color="auto"/>
            <w:left w:val="none" w:sz="0" w:space="0" w:color="auto"/>
            <w:bottom w:val="none" w:sz="0" w:space="0" w:color="auto"/>
            <w:right w:val="none" w:sz="0" w:space="0" w:color="auto"/>
          </w:divBdr>
        </w:div>
        <w:div w:id="1618294696">
          <w:marLeft w:val="480"/>
          <w:marRight w:val="0"/>
          <w:marTop w:val="0"/>
          <w:marBottom w:val="0"/>
          <w:divBdr>
            <w:top w:val="none" w:sz="0" w:space="0" w:color="auto"/>
            <w:left w:val="none" w:sz="0" w:space="0" w:color="auto"/>
            <w:bottom w:val="none" w:sz="0" w:space="0" w:color="auto"/>
            <w:right w:val="none" w:sz="0" w:space="0" w:color="auto"/>
          </w:divBdr>
        </w:div>
        <w:div w:id="1231116644">
          <w:marLeft w:val="480"/>
          <w:marRight w:val="0"/>
          <w:marTop w:val="0"/>
          <w:marBottom w:val="0"/>
          <w:divBdr>
            <w:top w:val="none" w:sz="0" w:space="0" w:color="auto"/>
            <w:left w:val="none" w:sz="0" w:space="0" w:color="auto"/>
            <w:bottom w:val="none" w:sz="0" w:space="0" w:color="auto"/>
            <w:right w:val="none" w:sz="0" w:space="0" w:color="auto"/>
          </w:divBdr>
        </w:div>
        <w:div w:id="1830636743">
          <w:marLeft w:val="480"/>
          <w:marRight w:val="0"/>
          <w:marTop w:val="0"/>
          <w:marBottom w:val="0"/>
          <w:divBdr>
            <w:top w:val="none" w:sz="0" w:space="0" w:color="auto"/>
            <w:left w:val="none" w:sz="0" w:space="0" w:color="auto"/>
            <w:bottom w:val="none" w:sz="0" w:space="0" w:color="auto"/>
            <w:right w:val="none" w:sz="0" w:space="0" w:color="auto"/>
          </w:divBdr>
        </w:div>
      </w:divsChild>
    </w:div>
    <w:div w:id="92288447">
      <w:bodyDiv w:val="1"/>
      <w:marLeft w:val="0"/>
      <w:marRight w:val="0"/>
      <w:marTop w:val="0"/>
      <w:marBottom w:val="0"/>
      <w:divBdr>
        <w:top w:val="none" w:sz="0" w:space="0" w:color="auto"/>
        <w:left w:val="none" w:sz="0" w:space="0" w:color="auto"/>
        <w:bottom w:val="none" w:sz="0" w:space="0" w:color="auto"/>
        <w:right w:val="none" w:sz="0" w:space="0" w:color="auto"/>
      </w:divBdr>
    </w:div>
    <w:div w:id="175845902">
      <w:bodyDiv w:val="1"/>
      <w:marLeft w:val="0"/>
      <w:marRight w:val="0"/>
      <w:marTop w:val="0"/>
      <w:marBottom w:val="0"/>
      <w:divBdr>
        <w:top w:val="none" w:sz="0" w:space="0" w:color="auto"/>
        <w:left w:val="none" w:sz="0" w:space="0" w:color="auto"/>
        <w:bottom w:val="none" w:sz="0" w:space="0" w:color="auto"/>
        <w:right w:val="none" w:sz="0" w:space="0" w:color="auto"/>
      </w:divBdr>
      <w:divsChild>
        <w:div w:id="1703357221">
          <w:marLeft w:val="480"/>
          <w:marRight w:val="0"/>
          <w:marTop w:val="0"/>
          <w:marBottom w:val="0"/>
          <w:divBdr>
            <w:top w:val="none" w:sz="0" w:space="0" w:color="auto"/>
            <w:left w:val="none" w:sz="0" w:space="0" w:color="auto"/>
            <w:bottom w:val="none" w:sz="0" w:space="0" w:color="auto"/>
            <w:right w:val="none" w:sz="0" w:space="0" w:color="auto"/>
          </w:divBdr>
        </w:div>
        <w:div w:id="763108249">
          <w:marLeft w:val="480"/>
          <w:marRight w:val="0"/>
          <w:marTop w:val="0"/>
          <w:marBottom w:val="0"/>
          <w:divBdr>
            <w:top w:val="none" w:sz="0" w:space="0" w:color="auto"/>
            <w:left w:val="none" w:sz="0" w:space="0" w:color="auto"/>
            <w:bottom w:val="none" w:sz="0" w:space="0" w:color="auto"/>
            <w:right w:val="none" w:sz="0" w:space="0" w:color="auto"/>
          </w:divBdr>
        </w:div>
        <w:div w:id="1066535552">
          <w:marLeft w:val="480"/>
          <w:marRight w:val="0"/>
          <w:marTop w:val="0"/>
          <w:marBottom w:val="0"/>
          <w:divBdr>
            <w:top w:val="none" w:sz="0" w:space="0" w:color="auto"/>
            <w:left w:val="none" w:sz="0" w:space="0" w:color="auto"/>
            <w:bottom w:val="none" w:sz="0" w:space="0" w:color="auto"/>
            <w:right w:val="none" w:sz="0" w:space="0" w:color="auto"/>
          </w:divBdr>
        </w:div>
        <w:div w:id="1267621304">
          <w:marLeft w:val="480"/>
          <w:marRight w:val="0"/>
          <w:marTop w:val="0"/>
          <w:marBottom w:val="0"/>
          <w:divBdr>
            <w:top w:val="none" w:sz="0" w:space="0" w:color="auto"/>
            <w:left w:val="none" w:sz="0" w:space="0" w:color="auto"/>
            <w:bottom w:val="none" w:sz="0" w:space="0" w:color="auto"/>
            <w:right w:val="none" w:sz="0" w:space="0" w:color="auto"/>
          </w:divBdr>
        </w:div>
        <w:div w:id="273513511">
          <w:marLeft w:val="480"/>
          <w:marRight w:val="0"/>
          <w:marTop w:val="0"/>
          <w:marBottom w:val="0"/>
          <w:divBdr>
            <w:top w:val="none" w:sz="0" w:space="0" w:color="auto"/>
            <w:left w:val="none" w:sz="0" w:space="0" w:color="auto"/>
            <w:bottom w:val="none" w:sz="0" w:space="0" w:color="auto"/>
            <w:right w:val="none" w:sz="0" w:space="0" w:color="auto"/>
          </w:divBdr>
        </w:div>
      </w:divsChild>
    </w:div>
    <w:div w:id="215094968">
      <w:bodyDiv w:val="1"/>
      <w:marLeft w:val="0"/>
      <w:marRight w:val="0"/>
      <w:marTop w:val="0"/>
      <w:marBottom w:val="0"/>
      <w:divBdr>
        <w:top w:val="none" w:sz="0" w:space="0" w:color="auto"/>
        <w:left w:val="none" w:sz="0" w:space="0" w:color="auto"/>
        <w:bottom w:val="none" w:sz="0" w:space="0" w:color="auto"/>
        <w:right w:val="none" w:sz="0" w:space="0" w:color="auto"/>
      </w:divBdr>
    </w:div>
    <w:div w:id="294022216">
      <w:bodyDiv w:val="1"/>
      <w:marLeft w:val="0"/>
      <w:marRight w:val="0"/>
      <w:marTop w:val="0"/>
      <w:marBottom w:val="0"/>
      <w:divBdr>
        <w:top w:val="none" w:sz="0" w:space="0" w:color="auto"/>
        <w:left w:val="none" w:sz="0" w:space="0" w:color="auto"/>
        <w:bottom w:val="none" w:sz="0" w:space="0" w:color="auto"/>
        <w:right w:val="none" w:sz="0" w:space="0" w:color="auto"/>
      </w:divBdr>
      <w:divsChild>
        <w:div w:id="1416199215">
          <w:marLeft w:val="480"/>
          <w:marRight w:val="0"/>
          <w:marTop w:val="0"/>
          <w:marBottom w:val="0"/>
          <w:divBdr>
            <w:top w:val="none" w:sz="0" w:space="0" w:color="auto"/>
            <w:left w:val="none" w:sz="0" w:space="0" w:color="auto"/>
            <w:bottom w:val="none" w:sz="0" w:space="0" w:color="auto"/>
            <w:right w:val="none" w:sz="0" w:space="0" w:color="auto"/>
          </w:divBdr>
        </w:div>
        <w:div w:id="1161627826">
          <w:marLeft w:val="480"/>
          <w:marRight w:val="0"/>
          <w:marTop w:val="0"/>
          <w:marBottom w:val="0"/>
          <w:divBdr>
            <w:top w:val="none" w:sz="0" w:space="0" w:color="auto"/>
            <w:left w:val="none" w:sz="0" w:space="0" w:color="auto"/>
            <w:bottom w:val="none" w:sz="0" w:space="0" w:color="auto"/>
            <w:right w:val="none" w:sz="0" w:space="0" w:color="auto"/>
          </w:divBdr>
        </w:div>
        <w:div w:id="254482930">
          <w:marLeft w:val="480"/>
          <w:marRight w:val="0"/>
          <w:marTop w:val="0"/>
          <w:marBottom w:val="0"/>
          <w:divBdr>
            <w:top w:val="none" w:sz="0" w:space="0" w:color="auto"/>
            <w:left w:val="none" w:sz="0" w:space="0" w:color="auto"/>
            <w:bottom w:val="none" w:sz="0" w:space="0" w:color="auto"/>
            <w:right w:val="none" w:sz="0" w:space="0" w:color="auto"/>
          </w:divBdr>
        </w:div>
        <w:div w:id="1655142652">
          <w:marLeft w:val="480"/>
          <w:marRight w:val="0"/>
          <w:marTop w:val="0"/>
          <w:marBottom w:val="0"/>
          <w:divBdr>
            <w:top w:val="none" w:sz="0" w:space="0" w:color="auto"/>
            <w:left w:val="none" w:sz="0" w:space="0" w:color="auto"/>
            <w:bottom w:val="none" w:sz="0" w:space="0" w:color="auto"/>
            <w:right w:val="none" w:sz="0" w:space="0" w:color="auto"/>
          </w:divBdr>
        </w:div>
        <w:div w:id="62799532">
          <w:marLeft w:val="480"/>
          <w:marRight w:val="0"/>
          <w:marTop w:val="0"/>
          <w:marBottom w:val="0"/>
          <w:divBdr>
            <w:top w:val="none" w:sz="0" w:space="0" w:color="auto"/>
            <w:left w:val="none" w:sz="0" w:space="0" w:color="auto"/>
            <w:bottom w:val="none" w:sz="0" w:space="0" w:color="auto"/>
            <w:right w:val="none" w:sz="0" w:space="0" w:color="auto"/>
          </w:divBdr>
        </w:div>
        <w:div w:id="1983147892">
          <w:marLeft w:val="480"/>
          <w:marRight w:val="0"/>
          <w:marTop w:val="0"/>
          <w:marBottom w:val="0"/>
          <w:divBdr>
            <w:top w:val="none" w:sz="0" w:space="0" w:color="auto"/>
            <w:left w:val="none" w:sz="0" w:space="0" w:color="auto"/>
            <w:bottom w:val="none" w:sz="0" w:space="0" w:color="auto"/>
            <w:right w:val="none" w:sz="0" w:space="0" w:color="auto"/>
          </w:divBdr>
        </w:div>
        <w:div w:id="1775124340">
          <w:marLeft w:val="480"/>
          <w:marRight w:val="0"/>
          <w:marTop w:val="0"/>
          <w:marBottom w:val="0"/>
          <w:divBdr>
            <w:top w:val="none" w:sz="0" w:space="0" w:color="auto"/>
            <w:left w:val="none" w:sz="0" w:space="0" w:color="auto"/>
            <w:bottom w:val="none" w:sz="0" w:space="0" w:color="auto"/>
            <w:right w:val="none" w:sz="0" w:space="0" w:color="auto"/>
          </w:divBdr>
        </w:div>
        <w:div w:id="1322078397">
          <w:marLeft w:val="480"/>
          <w:marRight w:val="0"/>
          <w:marTop w:val="0"/>
          <w:marBottom w:val="0"/>
          <w:divBdr>
            <w:top w:val="none" w:sz="0" w:space="0" w:color="auto"/>
            <w:left w:val="none" w:sz="0" w:space="0" w:color="auto"/>
            <w:bottom w:val="none" w:sz="0" w:space="0" w:color="auto"/>
            <w:right w:val="none" w:sz="0" w:space="0" w:color="auto"/>
          </w:divBdr>
        </w:div>
        <w:div w:id="2015496360">
          <w:marLeft w:val="480"/>
          <w:marRight w:val="0"/>
          <w:marTop w:val="0"/>
          <w:marBottom w:val="0"/>
          <w:divBdr>
            <w:top w:val="none" w:sz="0" w:space="0" w:color="auto"/>
            <w:left w:val="none" w:sz="0" w:space="0" w:color="auto"/>
            <w:bottom w:val="none" w:sz="0" w:space="0" w:color="auto"/>
            <w:right w:val="none" w:sz="0" w:space="0" w:color="auto"/>
          </w:divBdr>
        </w:div>
      </w:divsChild>
    </w:div>
    <w:div w:id="351420126">
      <w:bodyDiv w:val="1"/>
      <w:marLeft w:val="0"/>
      <w:marRight w:val="0"/>
      <w:marTop w:val="0"/>
      <w:marBottom w:val="0"/>
      <w:divBdr>
        <w:top w:val="none" w:sz="0" w:space="0" w:color="auto"/>
        <w:left w:val="none" w:sz="0" w:space="0" w:color="auto"/>
        <w:bottom w:val="none" w:sz="0" w:space="0" w:color="auto"/>
        <w:right w:val="none" w:sz="0" w:space="0" w:color="auto"/>
      </w:divBdr>
    </w:div>
    <w:div w:id="373500888">
      <w:bodyDiv w:val="1"/>
      <w:marLeft w:val="0"/>
      <w:marRight w:val="0"/>
      <w:marTop w:val="0"/>
      <w:marBottom w:val="0"/>
      <w:divBdr>
        <w:top w:val="none" w:sz="0" w:space="0" w:color="auto"/>
        <w:left w:val="none" w:sz="0" w:space="0" w:color="auto"/>
        <w:bottom w:val="none" w:sz="0" w:space="0" w:color="auto"/>
        <w:right w:val="none" w:sz="0" w:space="0" w:color="auto"/>
      </w:divBdr>
      <w:divsChild>
        <w:div w:id="813399">
          <w:marLeft w:val="480"/>
          <w:marRight w:val="0"/>
          <w:marTop w:val="0"/>
          <w:marBottom w:val="0"/>
          <w:divBdr>
            <w:top w:val="none" w:sz="0" w:space="0" w:color="auto"/>
            <w:left w:val="none" w:sz="0" w:space="0" w:color="auto"/>
            <w:bottom w:val="none" w:sz="0" w:space="0" w:color="auto"/>
            <w:right w:val="none" w:sz="0" w:space="0" w:color="auto"/>
          </w:divBdr>
        </w:div>
        <w:div w:id="1469123676">
          <w:marLeft w:val="480"/>
          <w:marRight w:val="0"/>
          <w:marTop w:val="0"/>
          <w:marBottom w:val="0"/>
          <w:divBdr>
            <w:top w:val="none" w:sz="0" w:space="0" w:color="auto"/>
            <w:left w:val="none" w:sz="0" w:space="0" w:color="auto"/>
            <w:bottom w:val="none" w:sz="0" w:space="0" w:color="auto"/>
            <w:right w:val="none" w:sz="0" w:space="0" w:color="auto"/>
          </w:divBdr>
        </w:div>
        <w:div w:id="858738547">
          <w:marLeft w:val="480"/>
          <w:marRight w:val="0"/>
          <w:marTop w:val="0"/>
          <w:marBottom w:val="0"/>
          <w:divBdr>
            <w:top w:val="none" w:sz="0" w:space="0" w:color="auto"/>
            <w:left w:val="none" w:sz="0" w:space="0" w:color="auto"/>
            <w:bottom w:val="none" w:sz="0" w:space="0" w:color="auto"/>
            <w:right w:val="none" w:sz="0" w:space="0" w:color="auto"/>
          </w:divBdr>
        </w:div>
        <w:div w:id="425271796">
          <w:marLeft w:val="480"/>
          <w:marRight w:val="0"/>
          <w:marTop w:val="0"/>
          <w:marBottom w:val="0"/>
          <w:divBdr>
            <w:top w:val="none" w:sz="0" w:space="0" w:color="auto"/>
            <w:left w:val="none" w:sz="0" w:space="0" w:color="auto"/>
            <w:bottom w:val="none" w:sz="0" w:space="0" w:color="auto"/>
            <w:right w:val="none" w:sz="0" w:space="0" w:color="auto"/>
          </w:divBdr>
        </w:div>
        <w:div w:id="839081536">
          <w:marLeft w:val="480"/>
          <w:marRight w:val="0"/>
          <w:marTop w:val="0"/>
          <w:marBottom w:val="0"/>
          <w:divBdr>
            <w:top w:val="none" w:sz="0" w:space="0" w:color="auto"/>
            <w:left w:val="none" w:sz="0" w:space="0" w:color="auto"/>
            <w:bottom w:val="none" w:sz="0" w:space="0" w:color="auto"/>
            <w:right w:val="none" w:sz="0" w:space="0" w:color="auto"/>
          </w:divBdr>
        </w:div>
        <w:div w:id="1914775445">
          <w:marLeft w:val="480"/>
          <w:marRight w:val="0"/>
          <w:marTop w:val="0"/>
          <w:marBottom w:val="0"/>
          <w:divBdr>
            <w:top w:val="none" w:sz="0" w:space="0" w:color="auto"/>
            <w:left w:val="none" w:sz="0" w:space="0" w:color="auto"/>
            <w:bottom w:val="none" w:sz="0" w:space="0" w:color="auto"/>
            <w:right w:val="none" w:sz="0" w:space="0" w:color="auto"/>
          </w:divBdr>
        </w:div>
      </w:divsChild>
    </w:div>
    <w:div w:id="421878792">
      <w:bodyDiv w:val="1"/>
      <w:marLeft w:val="0"/>
      <w:marRight w:val="0"/>
      <w:marTop w:val="0"/>
      <w:marBottom w:val="0"/>
      <w:divBdr>
        <w:top w:val="none" w:sz="0" w:space="0" w:color="auto"/>
        <w:left w:val="none" w:sz="0" w:space="0" w:color="auto"/>
        <w:bottom w:val="none" w:sz="0" w:space="0" w:color="auto"/>
        <w:right w:val="none" w:sz="0" w:space="0" w:color="auto"/>
      </w:divBdr>
      <w:divsChild>
        <w:div w:id="1269580205">
          <w:marLeft w:val="480"/>
          <w:marRight w:val="0"/>
          <w:marTop w:val="0"/>
          <w:marBottom w:val="0"/>
          <w:divBdr>
            <w:top w:val="none" w:sz="0" w:space="0" w:color="auto"/>
            <w:left w:val="none" w:sz="0" w:space="0" w:color="auto"/>
            <w:bottom w:val="none" w:sz="0" w:space="0" w:color="auto"/>
            <w:right w:val="none" w:sz="0" w:space="0" w:color="auto"/>
          </w:divBdr>
        </w:div>
        <w:div w:id="762803943">
          <w:marLeft w:val="480"/>
          <w:marRight w:val="0"/>
          <w:marTop w:val="0"/>
          <w:marBottom w:val="0"/>
          <w:divBdr>
            <w:top w:val="none" w:sz="0" w:space="0" w:color="auto"/>
            <w:left w:val="none" w:sz="0" w:space="0" w:color="auto"/>
            <w:bottom w:val="none" w:sz="0" w:space="0" w:color="auto"/>
            <w:right w:val="none" w:sz="0" w:space="0" w:color="auto"/>
          </w:divBdr>
        </w:div>
        <w:div w:id="596139905">
          <w:marLeft w:val="480"/>
          <w:marRight w:val="0"/>
          <w:marTop w:val="0"/>
          <w:marBottom w:val="0"/>
          <w:divBdr>
            <w:top w:val="none" w:sz="0" w:space="0" w:color="auto"/>
            <w:left w:val="none" w:sz="0" w:space="0" w:color="auto"/>
            <w:bottom w:val="none" w:sz="0" w:space="0" w:color="auto"/>
            <w:right w:val="none" w:sz="0" w:space="0" w:color="auto"/>
          </w:divBdr>
        </w:div>
        <w:div w:id="73750585">
          <w:marLeft w:val="480"/>
          <w:marRight w:val="0"/>
          <w:marTop w:val="0"/>
          <w:marBottom w:val="0"/>
          <w:divBdr>
            <w:top w:val="none" w:sz="0" w:space="0" w:color="auto"/>
            <w:left w:val="none" w:sz="0" w:space="0" w:color="auto"/>
            <w:bottom w:val="none" w:sz="0" w:space="0" w:color="auto"/>
            <w:right w:val="none" w:sz="0" w:space="0" w:color="auto"/>
          </w:divBdr>
        </w:div>
        <w:div w:id="613484421">
          <w:marLeft w:val="480"/>
          <w:marRight w:val="0"/>
          <w:marTop w:val="0"/>
          <w:marBottom w:val="0"/>
          <w:divBdr>
            <w:top w:val="none" w:sz="0" w:space="0" w:color="auto"/>
            <w:left w:val="none" w:sz="0" w:space="0" w:color="auto"/>
            <w:bottom w:val="none" w:sz="0" w:space="0" w:color="auto"/>
            <w:right w:val="none" w:sz="0" w:space="0" w:color="auto"/>
          </w:divBdr>
        </w:div>
        <w:div w:id="172845446">
          <w:marLeft w:val="480"/>
          <w:marRight w:val="0"/>
          <w:marTop w:val="0"/>
          <w:marBottom w:val="0"/>
          <w:divBdr>
            <w:top w:val="none" w:sz="0" w:space="0" w:color="auto"/>
            <w:left w:val="none" w:sz="0" w:space="0" w:color="auto"/>
            <w:bottom w:val="none" w:sz="0" w:space="0" w:color="auto"/>
            <w:right w:val="none" w:sz="0" w:space="0" w:color="auto"/>
          </w:divBdr>
        </w:div>
        <w:div w:id="1791897801">
          <w:marLeft w:val="480"/>
          <w:marRight w:val="0"/>
          <w:marTop w:val="0"/>
          <w:marBottom w:val="0"/>
          <w:divBdr>
            <w:top w:val="none" w:sz="0" w:space="0" w:color="auto"/>
            <w:left w:val="none" w:sz="0" w:space="0" w:color="auto"/>
            <w:bottom w:val="none" w:sz="0" w:space="0" w:color="auto"/>
            <w:right w:val="none" w:sz="0" w:space="0" w:color="auto"/>
          </w:divBdr>
        </w:div>
        <w:div w:id="711226134">
          <w:marLeft w:val="480"/>
          <w:marRight w:val="0"/>
          <w:marTop w:val="0"/>
          <w:marBottom w:val="0"/>
          <w:divBdr>
            <w:top w:val="none" w:sz="0" w:space="0" w:color="auto"/>
            <w:left w:val="none" w:sz="0" w:space="0" w:color="auto"/>
            <w:bottom w:val="none" w:sz="0" w:space="0" w:color="auto"/>
            <w:right w:val="none" w:sz="0" w:space="0" w:color="auto"/>
          </w:divBdr>
        </w:div>
        <w:div w:id="723986677">
          <w:marLeft w:val="480"/>
          <w:marRight w:val="0"/>
          <w:marTop w:val="0"/>
          <w:marBottom w:val="0"/>
          <w:divBdr>
            <w:top w:val="none" w:sz="0" w:space="0" w:color="auto"/>
            <w:left w:val="none" w:sz="0" w:space="0" w:color="auto"/>
            <w:bottom w:val="none" w:sz="0" w:space="0" w:color="auto"/>
            <w:right w:val="none" w:sz="0" w:space="0" w:color="auto"/>
          </w:divBdr>
        </w:div>
        <w:div w:id="1238370310">
          <w:marLeft w:val="480"/>
          <w:marRight w:val="0"/>
          <w:marTop w:val="0"/>
          <w:marBottom w:val="0"/>
          <w:divBdr>
            <w:top w:val="none" w:sz="0" w:space="0" w:color="auto"/>
            <w:left w:val="none" w:sz="0" w:space="0" w:color="auto"/>
            <w:bottom w:val="none" w:sz="0" w:space="0" w:color="auto"/>
            <w:right w:val="none" w:sz="0" w:space="0" w:color="auto"/>
          </w:divBdr>
        </w:div>
        <w:div w:id="1416974095">
          <w:marLeft w:val="480"/>
          <w:marRight w:val="0"/>
          <w:marTop w:val="0"/>
          <w:marBottom w:val="0"/>
          <w:divBdr>
            <w:top w:val="none" w:sz="0" w:space="0" w:color="auto"/>
            <w:left w:val="none" w:sz="0" w:space="0" w:color="auto"/>
            <w:bottom w:val="none" w:sz="0" w:space="0" w:color="auto"/>
            <w:right w:val="none" w:sz="0" w:space="0" w:color="auto"/>
          </w:divBdr>
        </w:div>
      </w:divsChild>
    </w:div>
    <w:div w:id="483664297">
      <w:bodyDiv w:val="1"/>
      <w:marLeft w:val="0"/>
      <w:marRight w:val="0"/>
      <w:marTop w:val="0"/>
      <w:marBottom w:val="0"/>
      <w:divBdr>
        <w:top w:val="none" w:sz="0" w:space="0" w:color="auto"/>
        <w:left w:val="none" w:sz="0" w:space="0" w:color="auto"/>
        <w:bottom w:val="none" w:sz="0" w:space="0" w:color="auto"/>
        <w:right w:val="none" w:sz="0" w:space="0" w:color="auto"/>
      </w:divBdr>
      <w:divsChild>
        <w:div w:id="486938407">
          <w:marLeft w:val="480"/>
          <w:marRight w:val="0"/>
          <w:marTop w:val="0"/>
          <w:marBottom w:val="0"/>
          <w:divBdr>
            <w:top w:val="none" w:sz="0" w:space="0" w:color="auto"/>
            <w:left w:val="none" w:sz="0" w:space="0" w:color="auto"/>
            <w:bottom w:val="none" w:sz="0" w:space="0" w:color="auto"/>
            <w:right w:val="none" w:sz="0" w:space="0" w:color="auto"/>
          </w:divBdr>
        </w:div>
        <w:div w:id="1114784860">
          <w:marLeft w:val="480"/>
          <w:marRight w:val="0"/>
          <w:marTop w:val="0"/>
          <w:marBottom w:val="0"/>
          <w:divBdr>
            <w:top w:val="none" w:sz="0" w:space="0" w:color="auto"/>
            <w:left w:val="none" w:sz="0" w:space="0" w:color="auto"/>
            <w:bottom w:val="none" w:sz="0" w:space="0" w:color="auto"/>
            <w:right w:val="none" w:sz="0" w:space="0" w:color="auto"/>
          </w:divBdr>
        </w:div>
        <w:div w:id="312570060">
          <w:marLeft w:val="480"/>
          <w:marRight w:val="0"/>
          <w:marTop w:val="0"/>
          <w:marBottom w:val="0"/>
          <w:divBdr>
            <w:top w:val="none" w:sz="0" w:space="0" w:color="auto"/>
            <w:left w:val="none" w:sz="0" w:space="0" w:color="auto"/>
            <w:bottom w:val="none" w:sz="0" w:space="0" w:color="auto"/>
            <w:right w:val="none" w:sz="0" w:space="0" w:color="auto"/>
          </w:divBdr>
        </w:div>
        <w:div w:id="2049180297">
          <w:marLeft w:val="480"/>
          <w:marRight w:val="0"/>
          <w:marTop w:val="0"/>
          <w:marBottom w:val="0"/>
          <w:divBdr>
            <w:top w:val="none" w:sz="0" w:space="0" w:color="auto"/>
            <w:left w:val="none" w:sz="0" w:space="0" w:color="auto"/>
            <w:bottom w:val="none" w:sz="0" w:space="0" w:color="auto"/>
            <w:right w:val="none" w:sz="0" w:space="0" w:color="auto"/>
          </w:divBdr>
        </w:div>
        <w:div w:id="930507689">
          <w:marLeft w:val="480"/>
          <w:marRight w:val="0"/>
          <w:marTop w:val="0"/>
          <w:marBottom w:val="0"/>
          <w:divBdr>
            <w:top w:val="none" w:sz="0" w:space="0" w:color="auto"/>
            <w:left w:val="none" w:sz="0" w:space="0" w:color="auto"/>
            <w:bottom w:val="none" w:sz="0" w:space="0" w:color="auto"/>
            <w:right w:val="none" w:sz="0" w:space="0" w:color="auto"/>
          </w:divBdr>
        </w:div>
        <w:div w:id="1324361009">
          <w:marLeft w:val="480"/>
          <w:marRight w:val="0"/>
          <w:marTop w:val="0"/>
          <w:marBottom w:val="0"/>
          <w:divBdr>
            <w:top w:val="none" w:sz="0" w:space="0" w:color="auto"/>
            <w:left w:val="none" w:sz="0" w:space="0" w:color="auto"/>
            <w:bottom w:val="none" w:sz="0" w:space="0" w:color="auto"/>
            <w:right w:val="none" w:sz="0" w:space="0" w:color="auto"/>
          </w:divBdr>
        </w:div>
        <w:div w:id="1460218987">
          <w:marLeft w:val="480"/>
          <w:marRight w:val="0"/>
          <w:marTop w:val="0"/>
          <w:marBottom w:val="0"/>
          <w:divBdr>
            <w:top w:val="none" w:sz="0" w:space="0" w:color="auto"/>
            <w:left w:val="none" w:sz="0" w:space="0" w:color="auto"/>
            <w:bottom w:val="none" w:sz="0" w:space="0" w:color="auto"/>
            <w:right w:val="none" w:sz="0" w:space="0" w:color="auto"/>
          </w:divBdr>
        </w:div>
      </w:divsChild>
    </w:div>
    <w:div w:id="524177491">
      <w:bodyDiv w:val="1"/>
      <w:marLeft w:val="0"/>
      <w:marRight w:val="0"/>
      <w:marTop w:val="0"/>
      <w:marBottom w:val="0"/>
      <w:divBdr>
        <w:top w:val="none" w:sz="0" w:space="0" w:color="auto"/>
        <w:left w:val="none" w:sz="0" w:space="0" w:color="auto"/>
        <w:bottom w:val="none" w:sz="0" w:space="0" w:color="auto"/>
        <w:right w:val="none" w:sz="0" w:space="0" w:color="auto"/>
      </w:divBdr>
      <w:divsChild>
        <w:div w:id="1609006517">
          <w:marLeft w:val="480"/>
          <w:marRight w:val="0"/>
          <w:marTop w:val="0"/>
          <w:marBottom w:val="0"/>
          <w:divBdr>
            <w:top w:val="none" w:sz="0" w:space="0" w:color="auto"/>
            <w:left w:val="none" w:sz="0" w:space="0" w:color="auto"/>
            <w:bottom w:val="none" w:sz="0" w:space="0" w:color="auto"/>
            <w:right w:val="none" w:sz="0" w:space="0" w:color="auto"/>
          </w:divBdr>
        </w:div>
        <w:div w:id="1224098702">
          <w:marLeft w:val="480"/>
          <w:marRight w:val="0"/>
          <w:marTop w:val="0"/>
          <w:marBottom w:val="0"/>
          <w:divBdr>
            <w:top w:val="none" w:sz="0" w:space="0" w:color="auto"/>
            <w:left w:val="none" w:sz="0" w:space="0" w:color="auto"/>
            <w:bottom w:val="none" w:sz="0" w:space="0" w:color="auto"/>
            <w:right w:val="none" w:sz="0" w:space="0" w:color="auto"/>
          </w:divBdr>
        </w:div>
        <w:div w:id="799348569">
          <w:marLeft w:val="480"/>
          <w:marRight w:val="0"/>
          <w:marTop w:val="0"/>
          <w:marBottom w:val="0"/>
          <w:divBdr>
            <w:top w:val="none" w:sz="0" w:space="0" w:color="auto"/>
            <w:left w:val="none" w:sz="0" w:space="0" w:color="auto"/>
            <w:bottom w:val="none" w:sz="0" w:space="0" w:color="auto"/>
            <w:right w:val="none" w:sz="0" w:space="0" w:color="auto"/>
          </w:divBdr>
        </w:div>
        <w:div w:id="1090544522">
          <w:marLeft w:val="480"/>
          <w:marRight w:val="0"/>
          <w:marTop w:val="0"/>
          <w:marBottom w:val="0"/>
          <w:divBdr>
            <w:top w:val="none" w:sz="0" w:space="0" w:color="auto"/>
            <w:left w:val="none" w:sz="0" w:space="0" w:color="auto"/>
            <w:bottom w:val="none" w:sz="0" w:space="0" w:color="auto"/>
            <w:right w:val="none" w:sz="0" w:space="0" w:color="auto"/>
          </w:divBdr>
        </w:div>
        <w:div w:id="1129321517">
          <w:marLeft w:val="480"/>
          <w:marRight w:val="0"/>
          <w:marTop w:val="0"/>
          <w:marBottom w:val="0"/>
          <w:divBdr>
            <w:top w:val="none" w:sz="0" w:space="0" w:color="auto"/>
            <w:left w:val="none" w:sz="0" w:space="0" w:color="auto"/>
            <w:bottom w:val="none" w:sz="0" w:space="0" w:color="auto"/>
            <w:right w:val="none" w:sz="0" w:space="0" w:color="auto"/>
          </w:divBdr>
        </w:div>
      </w:divsChild>
    </w:div>
    <w:div w:id="589236584">
      <w:bodyDiv w:val="1"/>
      <w:marLeft w:val="0"/>
      <w:marRight w:val="0"/>
      <w:marTop w:val="0"/>
      <w:marBottom w:val="0"/>
      <w:divBdr>
        <w:top w:val="none" w:sz="0" w:space="0" w:color="auto"/>
        <w:left w:val="none" w:sz="0" w:space="0" w:color="auto"/>
        <w:bottom w:val="none" w:sz="0" w:space="0" w:color="auto"/>
        <w:right w:val="none" w:sz="0" w:space="0" w:color="auto"/>
      </w:divBdr>
      <w:divsChild>
        <w:div w:id="369187299">
          <w:marLeft w:val="480"/>
          <w:marRight w:val="0"/>
          <w:marTop w:val="0"/>
          <w:marBottom w:val="0"/>
          <w:divBdr>
            <w:top w:val="none" w:sz="0" w:space="0" w:color="auto"/>
            <w:left w:val="none" w:sz="0" w:space="0" w:color="auto"/>
            <w:bottom w:val="none" w:sz="0" w:space="0" w:color="auto"/>
            <w:right w:val="none" w:sz="0" w:space="0" w:color="auto"/>
          </w:divBdr>
        </w:div>
        <w:div w:id="2066833378">
          <w:marLeft w:val="480"/>
          <w:marRight w:val="0"/>
          <w:marTop w:val="0"/>
          <w:marBottom w:val="0"/>
          <w:divBdr>
            <w:top w:val="none" w:sz="0" w:space="0" w:color="auto"/>
            <w:left w:val="none" w:sz="0" w:space="0" w:color="auto"/>
            <w:bottom w:val="none" w:sz="0" w:space="0" w:color="auto"/>
            <w:right w:val="none" w:sz="0" w:space="0" w:color="auto"/>
          </w:divBdr>
        </w:div>
        <w:div w:id="318969813">
          <w:marLeft w:val="480"/>
          <w:marRight w:val="0"/>
          <w:marTop w:val="0"/>
          <w:marBottom w:val="0"/>
          <w:divBdr>
            <w:top w:val="none" w:sz="0" w:space="0" w:color="auto"/>
            <w:left w:val="none" w:sz="0" w:space="0" w:color="auto"/>
            <w:bottom w:val="none" w:sz="0" w:space="0" w:color="auto"/>
            <w:right w:val="none" w:sz="0" w:space="0" w:color="auto"/>
          </w:divBdr>
        </w:div>
        <w:div w:id="1330450725">
          <w:marLeft w:val="480"/>
          <w:marRight w:val="0"/>
          <w:marTop w:val="0"/>
          <w:marBottom w:val="0"/>
          <w:divBdr>
            <w:top w:val="none" w:sz="0" w:space="0" w:color="auto"/>
            <w:left w:val="none" w:sz="0" w:space="0" w:color="auto"/>
            <w:bottom w:val="none" w:sz="0" w:space="0" w:color="auto"/>
            <w:right w:val="none" w:sz="0" w:space="0" w:color="auto"/>
          </w:divBdr>
        </w:div>
        <w:div w:id="845485976">
          <w:marLeft w:val="480"/>
          <w:marRight w:val="0"/>
          <w:marTop w:val="0"/>
          <w:marBottom w:val="0"/>
          <w:divBdr>
            <w:top w:val="none" w:sz="0" w:space="0" w:color="auto"/>
            <w:left w:val="none" w:sz="0" w:space="0" w:color="auto"/>
            <w:bottom w:val="none" w:sz="0" w:space="0" w:color="auto"/>
            <w:right w:val="none" w:sz="0" w:space="0" w:color="auto"/>
          </w:divBdr>
        </w:div>
      </w:divsChild>
    </w:div>
    <w:div w:id="590550825">
      <w:bodyDiv w:val="1"/>
      <w:marLeft w:val="0"/>
      <w:marRight w:val="0"/>
      <w:marTop w:val="0"/>
      <w:marBottom w:val="0"/>
      <w:divBdr>
        <w:top w:val="none" w:sz="0" w:space="0" w:color="auto"/>
        <w:left w:val="none" w:sz="0" w:space="0" w:color="auto"/>
        <w:bottom w:val="none" w:sz="0" w:space="0" w:color="auto"/>
        <w:right w:val="none" w:sz="0" w:space="0" w:color="auto"/>
      </w:divBdr>
    </w:div>
    <w:div w:id="591931353">
      <w:bodyDiv w:val="1"/>
      <w:marLeft w:val="0"/>
      <w:marRight w:val="0"/>
      <w:marTop w:val="0"/>
      <w:marBottom w:val="0"/>
      <w:divBdr>
        <w:top w:val="none" w:sz="0" w:space="0" w:color="auto"/>
        <w:left w:val="none" w:sz="0" w:space="0" w:color="auto"/>
        <w:bottom w:val="none" w:sz="0" w:space="0" w:color="auto"/>
        <w:right w:val="none" w:sz="0" w:space="0" w:color="auto"/>
      </w:divBdr>
      <w:divsChild>
        <w:div w:id="21978099">
          <w:marLeft w:val="480"/>
          <w:marRight w:val="0"/>
          <w:marTop w:val="0"/>
          <w:marBottom w:val="0"/>
          <w:divBdr>
            <w:top w:val="none" w:sz="0" w:space="0" w:color="auto"/>
            <w:left w:val="none" w:sz="0" w:space="0" w:color="auto"/>
            <w:bottom w:val="none" w:sz="0" w:space="0" w:color="auto"/>
            <w:right w:val="none" w:sz="0" w:space="0" w:color="auto"/>
          </w:divBdr>
        </w:div>
        <w:div w:id="580067643">
          <w:marLeft w:val="480"/>
          <w:marRight w:val="0"/>
          <w:marTop w:val="0"/>
          <w:marBottom w:val="0"/>
          <w:divBdr>
            <w:top w:val="none" w:sz="0" w:space="0" w:color="auto"/>
            <w:left w:val="none" w:sz="0" w:space="0" w:color="auto"/>
            <w:bottom w:val="none" w:sz="0" w:space="0" w:color="auto"/>
            <w:right w:val="none" w:sz="0" w:space="0" w:color="auto"/>
          </w:divBdr>
        </w:div>
        <w:div w:id="1579554115">
          <w:marLeft w:val="480"/>
          <w:marRight w:val="0"/>
          <w:marTop w:val="0"/>
          <w:marBottom w:val="0"/>
          <w:divBdr>
            <w:top w:val="none" w:sz="0" w:space="0" w:color="auto"/>
            <w:left w:val="none" w:sz="0" w:space="0" w:color="auto"/>
            <w:bottom w:val="none" w:sz="0" w:space="0" w:color="auto"/>
            <w:right w:val="none" w:sz="0" w:space="0" w:color="auto"/>
          </w:divBdr>
        </w:div>
        <w:div w:id="799417394">
          <w:marLeft w:val="480"/>
          <w:marRight w:val="0"/>
          <w:marTop w:val="0"/>
          <w:marBottom w:val="0"/>
          <w:divBdr>
            <w:top w:val="none" w:sz="0" w:space="0" w:color="auto"/>
            <w:left w:val="none" w:sz="0" w:space="0" w:color="auto"/>
            <w:bottom w:val="none" w:sz="0" w:space="0" w:color="auto"/>
            <w:right w:val="none" w:sz="0" w:space="0" w:color="auto"/>
          </w:divBdr>
        </w:div>
        <w:div w:id="436797602">
          <w:marLeft w:val="480"/>
          <w:marRight w:val="0"/>
          <w:marTop w:val="0"/>
          <w:marBottom w:val="0"/>
          <w:divBdr>
            <w:top w:val="none" w:sz="0" w:space="0" w:color="auto"/>
            <w:left w:val="none" w:sz="0" w:space="0" w:color="auto"/>
            <w:bottom w:val="none" w:sz="0" w:space="0" w:color="auto"/>
            <w:right w:val="none" w:sz="0" w:space="0" w:color="auto"/>
          </w:divBdr>
        </w:div>
        <w:div w:id="1604534621">
          <w:marLeft w:val="480"/>
          <w:marRight w:val="0"/>
          <w:marTop w:val="0"/>
          <w:marBottom w:val="0"/>
          <w:divBdr>
            <w:top w:val="none" w:sz="0" w:space="0" w:color="auto"/>
            <w:left w:val="none" w:sz="0" w:space="0" w:color="auto"/>
            <w:bottom w:val="none" w:sz="0" w:space="0" w:color="auto"/>
            <w:right w:val="none" w:sz="0" w:space="0" w:color="auto"/>
          </w:divBdr>
        </w:div>
      </w:divsChild>
    </w:div>
    <w:div w:id="593591357">
      <w:bodyDiv w:val="1"/>
      <w:marLeft w:val="0"/>
      <w:marRight w:val="0"/>
      <w:marTop w:val="0"/>
      <w:marBottom w:val="0"/>
      <w:divBdr>
        <w:top w:val="none" w:sz="0" w:space="0" w:color="auto"/>
        <w:left w:val="none" w:sz="0" w:space="0" w:color="auto"/>
        <w:bottom w:val="none" w:sz="0" w:space="0" w:color="auto"/>
        <w:right w:val="none" w:sz="0" w:space="0" w:color="auto"/>
      </w:divBdr>
    </w:div>
    <w:div w:id="712117231">
      <w:bodyDiv w:val="1"/>
      <w:marLeft w:val="0"/>
      <w:marRight w:val="0"/>
      <w:marTop w:val="0"/>
      <w:marBottom w:val="0"/>
      <w:divBdr>
        <w:top w:val="none" w:sz="0" w:space="0" w:color="auto"/>
        <w:left w:val="none" w:sz="0" w:space="0" w:color="auto"/>
        <w:bottom w:val="none" w:sz="0" w:space="0" w:color="auto"/>
        <w:right w:val="none" w:sz="0" w:space="0" w:color="auto"/>
      </w:divBdr>
      <w:divsChild>
        <w:div w:id="773942253">
          <w:marLeft w:val="480"/>
          <w:marRight w:val="0"/>
          <w:marTop w:val="0"/>
          <w:marBottom w:val="0"/>
          <w:divBdr>
            <w:top w:val="none" w:sz="0" w:space="0" w:color="auto"/>
            <w:left w:val="none" w:sz="0" w:space="0" w:color="auto"/>
            <w:bottom w:val="none" w:sz="0" w:space="0" w:color="auto"/>
            <w:right w:val="none" w:sz="0" w:space="0" w:color="auto"/>
          </w:divBdr>
        </w:div>
        <w:div w:id="105851250">
          <w:marLeft w:val="480"/>
          <w:marRight w:val="0"/>
          <w:marTop w:val="0"/>
          <w:marBottom w:val="0"/>
          <w:divBdr>
            <w:top w:val="none" w:sz="0" w:space="0" w:color="auto"/>
            <w:left w:val="none" w:sz="0" w:space="0" w:color="auto"/>
            <w:bottom w:val="none" w:sz="0" w:space="0" w:color="auto"/>
            <w:right w:val="none" w:sz="0" w:space="0" w:color="auto"/>
          </w:divBdr>
        </w:div>
        <w:div w:id="487523363">
          <w:marLeft w:val="480"/>
          <w:marRight w:val="0"/>
          <w:marTop w:val="0"/>
          <w:marBottom w:val="0"/>
          <w:divBdr>
            <w:top w:val="none" w:sz="0" w:space="0" w:color="auto"/>
            <w:left w:val="none" w:sz="0" w:space="0" w:color="auto"/>
            <w:bottom w:val="none" w:sz="0" w:space="0" w:color="auto"/>
            <w:right w:val="none" w:sz="0" w:space="0" w:color="auto"/>
          </w:divBdr>
        </w:div>
        <w:div w:id="1262569716">
          <w:marLeft w:val="480"/>
          <w:marRight w:val="0"/>
          <w:marTop w:val="0"/>
          <w:marBottom w:val="0"/>
          <w:divBdr>
            <w:top w:val="none" w:sz="0" w:space="0" w:color="auto"/>
            <w:left w:val="none" w:sz="0" w:space="0" w:color="auto"/>
            <w:bottom w:val="none" w:sz="0" w:space="0" w:color="auto"/>
            <w:right w:val="none" w:sz="0" w:space="0" w:color="auto"/>
          </w:divBdr>
        </w:div>
        <w:div w:id="1458984777">
          <w:marLeft w:val="480"/>
          <w:marRight w:val="0"/>
          <w:marTop w:val="0"/>
          <w:marBottom w:val="0"/>
          <w:divBdr>
            <w:top w:val="none" w:sz="0" w:space="0" w:color="auto"/>
            <w:left w:val="none" w:sz="0" w:space="0" w:color="auto"/>
            <w:bottom w:val="none" w:sz="0" w:space="0" w:color="auto"/>
            <w:right w:val="none" w:sz="0" w:space="0" w:color="auto"/>
          </w:divBdr>
        </w:div>
      </w:divsChild>
    </w:div>
    <w:div w:id="719521145">
      <w:bodyDiv w:val="1"/>
      <w:marLeft w:val="0"/>
      <w:marRight w:val="0"/>
      <w:marTop w:val="0"/>
      <w:marBottom w:val="0"/>
      <w:divBdr>
        <w:top w:val="none" w:sz="0" w:space="0" w:color="auto"/>
        <w:left w:val="none" w:sz="0" w:space="0" w:color="auto"/>
        <w:bottom w:val="none" w:sz="0" w:space="0" w:color="auto"/>
        <w:right w:val="none" w:sz="0" w:space="0" w:color="auto"/>
      </w:divBdr>
    </w:div>
    <w:div w:id="740173604">
      <w:bodyDiv w:val="1"/>
      <w:marLeft w:val="0"/>
      <w:marRight w:val="0"/>
      <w:marTop w:val="0"/>
      <w:marBottom w:val="0"/>
      <w:divBdr>
        <w:top w:val="none" w:sz="0" w:space="0" w:color="auto"/>
        <w:left w:val="none" w:sz="0" w:space="0" w:color="auto"/>
        <w:bottom w:val="none" w:sz="0" w:space="0" w:color="auto"/>
        <w:right w:val="none" w:sz="0" w:space="0" w:color="auto"/>
      </w:divBdr>
      <w:divsChild>
        <w:div w:id="1229464939">
          <w:marLeft w:val="480"/>
          <w:marRight w:val="0"/>
          <w:marTop w:val="0"/>
          <w:marBottom w:val="0"/>
          <w:divBdr>
            <w:top w:val="none" w:sz="0" w:space="0" w:color="auto"/>
            <w:left w:val="none" w:sz="0" w:space="0" w:color="auto"/>
            <w:bottom w:val="none" w:sz="0" w:space="0" w:color="auto"/>
            <w:right w:val="none" w:sz="0" w:space="0" w:color="auto"/>
          </w:divBdr>
        </w:div>
        <w:div w:id="292713911">
          <w:marLeft w:val="480"/>
          <w:marRight w:val="0"/>
          <w:marTop w:val="0"/>
          <w:marBottom w:val="0"/>
          <w:divBdr>
            <w:top w:val="none" w:sz="0" w:space="0" w:color="auto"/>
            <w:left w:val="none" w:sz="0" w:space="0" w:color="auto"/>
            <w:bottom w:val="none" w:sz="0" w:space="0" w:color="auto"/>
            <w:right w:val="none" w:sz="0" w:space="0" w:color="auto"/>
          </w:divBdr>
        </w:div>
        <w:div w:id="646782652">
          <w:marLeft w:val="480"/>
          <w:marRight w:val="0"/>
          <w:marTop w:val="0"/>
          <w:marBottom w:val="0"/>
          <w:divBdr>
            <w:top w:val="none" w:sz="0" w:space="0" w:color="auto"/>
            <w:left w:val="none" w:sz="0" w:space="0" w:color="auto"/>
            <w:bottom w:val="none" w:sz="0" w:space="0" w:color="auto"/>
            <w:right w:val="none" w:sz="0" w:space="0" w:color="auto"/>
          </w:divBdr>
        </w:div>
        <w:div w:id="306016823">
          <w:marLeft w:val="480"/>
          <w:marRight w:val="0"/>
          <w:marTop w:val="0"/>
          <w:marBottom w:val="0"/>
          <w:divBdr>
            <w:top w:val="none" w:sz="0" w:space="0" w:color="auto"/>
            <w:left w:val="none" w:sz="0" w:space="0" w:color="auto"/>
            <w:bottom w:val="none" w:sz="0" w:space="0" w:color="auto"/>
            <w:right w:val="none" w:sz="0" w:space="0" w:color="auto"/>
          </w:divBdr>
        </w:div>
        <w:div w:id="1639723702">
          <w:marLeft w:val="480"/>
          <w:marRight w:val="0"/>
          <w:marTop w:val="0"/>
          <w:marBottom w:val="0"/>
          <w:divBdr>
            <w:top w:val="none" w:sz="0" w:space="0" w:color="auto"/>
            <w:left w:val="none" w:sz="0" w:space="0" w:color="auto"/>
            <w:bottom w:val="none" w:sz="0" w:space="0" w:color="auto"/>
            <w:right w:val="none" w:sz="0" w:space="0" w:color="auto"/>
          </w:divBdr>
        </w:div>
        <w:div w:id="2063744305">
          <w:marLeft w:val="480"/>
          <w:marRight w:val="0"/>
          <w:marTop w:val="0"/>
          <w:marBottom w:val="0"/>
          <w:divBdr>
            <w:top w:val="none" w:sz="0" w:space="0" w:color="auto"/>
            <w:left w:val="none" w:sz="0" w:space="0" w:color="auto"/>
            <w:bottom w:val="none" w:sz="0" w:space="0" w:color="auto"/>
            <w:right w:val="none" w:sz="0" w:space="0" w:color="auto"/>
          </w:divBdr>
        </w:div>
        <w:div w:id="758254324">
          <w:marLeft w:val="480"/>
          <w:marRight w:val="0"/>
          <w:marTop w:val="0"/>
          <w:marBottom w:val="0"/>
          <w:divBdr>
            <w:top w:val="none" w:sz="0" w:space="0" w:color="auto"/>
            <w:left w:val="none" w:sz="0" w:space="0" w:color="auto"/>
            <w:bottom w:val="none" w:sz="0" w:space="0" w:color="auto"/>
            <w:right w:val="none" w:sz="0" w:space="0" w:color="auto"/>
          </w:divBdr>
        </w:div>
        <w:div w:id="1194424673">
          <w:marLeft w:val="480"/>
          <w:marRight w:val="0"/>
          <w:marTop w:val="0"/>
          <w:marBottom w:val="0"/>
          <w:divBdr>
            <w:top w:val="none" w:sz="0" w:space="0" w:color="auto"/>
            <w:left w:val="none" w:sz="0" w:space="0" w:color="auto"/>
            <w:bottom w:val="none" w:sz="0" w:space="0" w:color="auto"/>
            <w:right w:val="none" w:sz="0" w:space="0" w:color="auto"/>
          </w:divBdr>
        </w:div>
      </w:divsChild>
    </w:div>
    <w:div w:id="801112816">
      <w:bodyDiv w:val="1"/>
      <w:marLeft w:val="0"/>
      <w:marRight w:val="0"/>
      <w:marTop w:val="0"/>
      <w:marBottom w:val="0"/>
      <w:divBdr>
        <w:top w:val="none" w:sz="0" w:space="0" w:color="auto"/>
        <w:left w:val="none" w:sz="0" w:space="0" w:color="auto"/>
        <w:bottom w:val="none" w:sz="0" w:space="0" w:color="auto"/>
        <w:right w:val="none" w:sz="0" w:space="0" w:color="auto"/>
      </w:divBdr>
      <w:divsChild>
        <w:div w:id="1494836671">
          <w:marLeft w:val="480"/>
          <w:marRight w:val="0"/>
          <w:marTop w:val="0"/>
          <w:marBottom w:val="0"/>
          <w:divBdr>
            <w:top w:val="none" w:sz="0" w:space="0" w:color="auto"/>
            <w:left w:val="none" w:sz="0" w:space="0" w:color="auto"/>
            <w:bottom w:val="none" w:sz="0" w:space="0" w:color="auto"/>
            <w:right w:val="none" w:sz="0" w:space="0" w:color="auto"/>
          </w:divBdr>
        </w:div>
        <w:div w:id="1905555995">
          <w:marLeft w:val="480"/>
          <w:marRight w:val="0"/>
          <w:marTop w:val="0"/>
          <w:marBottom w:val="0"/>
          <w:divBdr>
            <w:top w:val="none" w:sz="0" w:space="0" w:color="auto"/>
            <w:left w:val="none" w:sz="0" w:space="0" w:color="auto"/>
            <w:bottom w:val="none" w:sz="0" w:space="0" w:color="auto"/>
            <w:right w:val="none" w:sz="0" w:space="0" w:color="auto"/>
          </w:divBdr>
        </w:div>
        <w:div w:id="2085909911">
          <w:marLeft w:val="480"/>
          <w:marRight w:val="0"/>
          <w:marTop w:val="0"/>
          <w:marBottom w:val="0"/>
          <w:divBdr>
            <w:top w:val="none" w:sz="0" w:space="0" w:color="auto"/>
            <w:left w:val="none" w:sz="0" w:space="0" w:color="auto"/>
            <w:bottom w:val="none" w:sz="0" w:space="0" w:color="auto"/>
            <w:right w:val="none" w:sz="0" w:space="0" w:color="auto"/>
          </w:divBdr>
        </w:div>
        <w:div w:id="1284847759">
          <w:marLeft w:val="480"/>
          <w:marRight w:val="0"/>
          <w:marTop w:val="0"/>
          <w:marBottom w:val="0"/>
          <w:divBdr>
            <w:top w:val="none" w:sz="0" w:space="0" w:color="auto"/>
            <w:left w:val="none" w:sz="0" w:space="0" w:color="auto"/>
            <w:bottom w:val="none" w:sz="0" w:space="0" w:color="auto"/>
            <w:right w:val="none" w:sz="0" w:space="0" w:color="auto"/>
          </w:divBdr>
        </w:div>
        <w:div w:id="1725367828">
          <w:marLeft w:val="480"/>
          <w:marRight w:val="0"/>
          <w:marTop w:val="0"/>
          <w:marBottom w:val="0"/>
          <w:divBdr>
            <w:top w:val="none" w:sz="0" w:space="0" w:color="auto"/>
            <w:left w:val="none" w:sz="0" w:space="0" w:color="auto"/>
            <w:bottom w:val="none" w:sz="0" w:space="0" w:color="auto"/>
            <w:right w:val="none" w:sz="0" w:space="0" w:color="auto"/>
          </w:divBdr>
        </w:div>
        <w:div w:id="1028993242">
          <w:marLeft w:val="480"/>
          <w:marRight w:val="0"/>
          <w:marTop w:val="0"/>
          <w:marBottom w:val="0"/>
          <w:divBdr>
            <w:top w:val="none" w:sz="0" w:space="0" w:color="auto"/>
            <w:left w:val="none" w:sz="0" w:space="0" w:color="auto"/>
            <w:bottom w:val="none" w:sz="0" w:space="0" w:color="auto"/>
            <w:right w:val="none" w:sz="0" w:space="0" w:color="auto"/>
          </w:divBdr>
        </w:div>
      </w:divsChild>
    </w:div>
    <w:div w:id="815027587">
      <w:bodyDiv w:val="1"/>
      <w:marLeft w:val="0"/>
      <w:marRight w:val="0"/>
      <w:marTop w:val="0"/>
      <w:marBottom w:val="0"/>
      <w:divBdr>
        <w:top w:val="none" w:sz="0" w:space="0" w:color="auto"/>
        <w:left w:val="none" w:sz="0" w:space="0" w:color="auto"/>
        <w:bottom w:val="none" w:sz="0" w:space="0" w:color="auto"/>
        <w:right w:val="none" w:sz="0" w:space="0" w:color="auto"/>
      </w:divBdr>
    </w:div>
    <w:div w:id="856507562">
      <w:bodyDiv w:val="1"/>
      <w:marLeft w:val="0"/>
      <w:marRight w:val="0"/>
      <w:marTop w:val="0"/>
      <w:marBottom w:val="0"/>
      <w:divBdr>
        <w:top w:val="none" w:sz="0" w:space="0" w:color="auto"/>
        <w:left w:val="none" w:sz="0" w:space="0" w:color="auto"/>
        <w:bottom w:val="none" w:sz="0" w:space="0" w:color="auto"/>
        <w:right w:val="none" w:sz="0" w:space="0" w:color="auto"/>
      </w:divBdr>
      <w:divsChild>
        <w:div w:id="1960379467">
          <w:marLeft w:val="480"/>
          <w:marRight w:val="0"/>
          <w:marTop w:val="0"/>
          <w:marBottom w:val="0"/>
          <w:divBdr>
            <w:top w:val="none" w:sz="0" w:space="0" w:color="auto"/>
            <w:left w:val="none" w:sz="0" w:space="0" w:color="auto"/>
            <w:bottom w:val="none" w:sz="0" w:space="0" w:color="auto"/>
            <w:right w:val="none" w:sz="0" w:space="0" w:color="auto"/>
          </w:divBdr>
        </w:div>
        <w:div w:id="720599365">
          <w:marLeft w:val="480"/>
          <w:marRight w:val="0"/>
          <w:marTop w:val="0"/>
          <w:marBottom w:val="0"/>
          <w:divBdr>
            <w:top w:val="none" w:sz="0" w:space="0" w:color="auto"/>
            <w:left w:val="none" w:sz="0" w:space="0" w:color="auto"/>
            <w:bottom w:val="none" w:sz="0" w:space="0" w:color="auto"/>
            <w:right w:val="none" w:sz="0" w:space="0" w:color="auto"/>
          </w:divBdr>
        </w:div>
        <w:div w:id="1850943999">
          <w:marLeft w:val="480"/>
          <w:marRight w:val="0"/>
          <w:marTop w:val="0"/>
          <w:marBottom w:val="0"/>
          <w:divBdr>
            <w:top w:val="none" w:sz="0" w:space="0" w:color="auto"/>
            <w:left w:val="none" w:sz="0" w:space="0" w:color="auto"/>
            <w:bottom w:val="none" w:sz="0" w:space="0" w:color="auto"/>
            <w:right w:val="none" w:sz="0" w:space="0" w:color="auto"/>
          </w:divBdr>
        </w:div>
        <w:div w:id="960264983">
          <w:marLeft w:val="480"/>
          <w:marRight w:val="0"/>
          <w:marTop w:val="0"/>
          <w:marBottom w:val="0"/>
          <w:divBdr>
            <w:top w:val="none" w:sz="0" w:space="0" w:color="auto"/>
            <w:left w:val="none" w:sz="0" w:space="0" w:color="auto"/>
            <w:bottom w:val="none" w:sz="0" w:space="0" w:color="auto"/>
            <w:right w:val="none" w:sz="0" w:space="0" w:color="auto"/>
          </w:divBdr>
        </w:div>
        <w:div w:id="999574736">
          <w:marLeft w:val="480"/>
          <w:marRight w:val="0"/>
          <w:marTop w:val="0"/>
          <w:marBottom w:val="0"/>
          <w:divBdr>
            <w:top w:val="none" w:sz="0" w:space="0" w:color="auto"/>
            <w:left w:val="none" w:sz="0" w:space="0" w:color="auto"/>
            <w:bottom w:val="none" w:sz="0" w:space="0" w:color="auto"/>
            <w:right w:val="none" w:sz="0" w:space="0" w:color="auto"/>
          </w:divBdr>
        </w:div>
        <w:div w:id="1705594734">
          <w:marLeft w:val="480"/>
          <w:marRight w:val="0"/>
          <w:marTop w:val="0"/>
          <w:marBottom w:val="0"/>
          <w:divBdr>
            <w:top w:val="none" w:sz="0" w:space="0" w:color="auto"/>
            <w:left w:val="none" w:sz="0" w:space="0" w:color="auto"/>
            <w:bottom w:val="none" w:sz="0" w:space="0" w:color="auto"/>
            <w:right w:val="none" w:sz="0" w:space="0" w:color="auto"/>
          </w:divBdr>
        </w:div>
        <w:div w:id="1114708540">
          <w:marLeft w:val="480"/>
          <w:marRight w:val="0"/>
          <w:marTop w:val="0"/>
          <w:marBottom w:val="0"/>
          <w:divBdr>
            <w:top w:val="none" w:sz="0" w:space="0" w:color="auto"/>
            <w:left w:val="none" w:sz="0" w:space="0" w:color="auto"/>
            <w:bottom w:val="none" w:sz="0" w:space="0" w:color="auto"/>
            <w:right w:val="none" w:sz="0" w:space="0" w:color="auto"/>
          </w:divBdr>
        </w:div>
        <w:div w:id="163325487">
          <w:marLeft w:val="480"/>
          <w:marRight w:val="0"/>
          <w:marTop w:val="0"/>
          <w:marBottom w:val="0"/>
          <w:divBdr>
            <w:top w:val="none" w:sz="0" w:space="0" w:color="auto"/>
            <w:left w:val="none" w:sz="0" w:space="0" w:color="auto"/>
            <w:bottom w:val="none" w:sz="0" w:space="0" w:color="auto"/>
            <w:right w:val="none" w:sz="0" w:space="0" w:color="auto"/>
          </w:divBdr>
        </w:div>
        <w:div w:id="1616250221">
          <w:marLeft w:val="480"/>
          <w:marRight w:val="0"/>
          <w:marTop w:val="0"/>
          <w:marBottom w:val="0"/>
          <w:divBdr>
            <w:top w:val="none" w:sz="0" w:space="0" w:color="auto"/>
            <w:left w:val="none" w:sz="0" w:space="0" w:color="auto"/>
            <w:bottom w:val="none" w:sz="0" w:space="0" w:color="auto"/>
            <w:right w:val="none" w:sz="0" w:space="0" w:color="auto"/>
          </w:divBdr>
        </w:div>
      </w:divsChild>
    </w:div>
    <w:div w:id="859321237">
      <w:bodyDiv w:val="1"/>
      <w:marLeft w:val="0"/>
      <w:marRight w:val="0"/>
      <w:marTop w:val="0"/>
      <w:marBottom w:val="0"/>
      <w:divBdr>
        <w:top w:val="none" w:sz="0" w:space="0" w:color="auto"/>
        <w:left w:val="none" w:sz="0" w:space="0" w:color="auto"/>
        <w:bottom w:val="none" w:sz="0" w:space="0" w:color="auto"/>
        <w:right w:val="none" w:sz="0" w:space="0" w:color="auto"/>
      </w:divBdr>
    </w:div>
    <w:div w:id="972053984">
      <w:bodyDiv w:val="1"/>
      <w:marLeft w:val="0"/>
      <w:marRight w:val="0"/>
      <w:marTop w:val="0"/>
      <w:marBottom w:val="0"/>
      <w:divBdr>
        <w:top w:val="none" w:sz="0" w:space="0" w:color="auto"/>
        <w:left w:val="none" w:sz="0" w:space="0" w:color="auto"/>
        <w:bottom w:val="none" w:sz="0" w:space="0" w:color="auto"/>
        <w:right w:val="none" w:sz="0" w:space="0" w:color="auto"/>
      </w:divBdr>
      <w:divsChild>
        <w:div w:id="359942285">
          <w:marLeft w:val="480"/>
          <w:marRight w:val="0"/>
          <w:marTop w:val="0"/>
          <w:marBottom w:val="0"/>
          <w:divBdr>
            <w:top w:val="none" w:sz="0" w:space="0" w:color="auto"/>
            <w:left w:val="none" w:sz="0" w:space="0" w:color="auto"/>
            <w:bottom w:val="none" w:sz="0" w:space="0" w:color="auto"/>
            <w:right w:val="none" w:sz="0" w:space="0" w:color="auto"/>
          </w:divBdr>
        </w:div>
        <w:div w:id="1443107230">
          <w:marLeft w:val="480"/>
          <w:marRight w:val="0"/>
          <w:marTop w:val="0"/>
          <w:marBottom w:val="0"/>
          <w:divBdr>
            <w:top w:val="none" w:sz="0" w:space="0" w:color="auto"/>
            <w:left w:val="none" w:sz="0" w:space="0" w:color="auto"/>
            <w:bottom w:val="none" w:sz="0" w:space="0" w:color="auto"/>
            <w:right w:val="none" w:sz="0" w:space="0" w:color="auto"/>
          </w:divBdr>
        </w:div>
        <w:div w:id="1951737478">
          <w:marLeft w:val="480"/>
          <w:marRight w:val="0"/>
          <w:marTop w:val="0"/>
          <w:marBottom w:val="0"/>
          <w:divBdr>
            <w:top w:val="none" w:sz="0" w:space="0" w:color="auto"/>
            <w:left w:val="none" w:sz="0" w:space="0" w:color="auto"/>
            <w:bottom w:val="none" w:sz="0" w:space="0" w:color="auto"/>
            <w:right w:val="none" w:sz="0" w:space="0" w:color="auto"/>
          </w:divBdr>
        </w:div>
        <w:div w:id="2081169639">
          <w:marLeft w:val="480"/>
          <w:marRight w:val="0"/>
          <w:marTop w:val="0"/>
          <w:marBottom w:val="0"/>
          <w:divBdr>
            <w:top w:val="none" w:sz="0" w:space="0" w:color="auto"/>
            <w:left w:val="none" w:sz="0" w:space="0" w:color="auto"/>
            <w:bottom w:val="none" w:sz="0" w:space="0" w:color="auto"/>
            <w:right w:val="none" w:sz="0" w:space="0" w:color="auto"/>
          </w:divBdr>
        </w:div>
        <w:div w:id="1312518137">
          <w:marLeft w:val="480"/>
          <w:marRight w:val="0"/>
          <w:marTop w:val="0"/>
          <w:marBottom w:val="0"/>
          <w:divBdr>
            <w:top w:val="none" w:sz="0" w:space="0" w:color="auto"/>
            <w:left w:val="none" w:sz="0" w:space="0" w:color="auto"/>
            <w:bottom w:val="none" w:sz="0" w:space="0" w:color="auto"/>
            <w:right w:val="none" w:sz="0" w:space="0" w:color="auto"/>
          </w:divBdr>
        </w:div>
        <w:div w:id="1433087975">
          <w:marLeft w:val="480"/>
          <w:marRight w:val="0"/>
          <w:marTop w:val="0"/>
          <w:marBottom w:val="0"/>
          <w:divBdr>
            <w:top w:val="none" w:sz="0" w:space="0" w:color="auto"/>
            <w:left w:val="none" w:sz="0" w:space="0" w:color="auto"/>
            <w:bottom w:val="none" w:sz="0" w:space="0" w:color="auto"/>
            <w:right w:val="none" w:sz="0" w:space="0" w:color="auto"/>
          </w:divBdr>
        </w:div>
        <w:div w:id="931470732">
          <w:marLeft w:val="480"/>
          <w:marRight w:val="0"/>
          <w:marTop w:val="0"/>
          <w:marBottom w:val="0"/>
          <w:divBdr>
            <w:top w:val="none" w:sz="0" w:space="0" w:color="auto"/>
            <w:left w:val="none" w:sz="0" w:space="0" w:color="auto"/>
            <w:bottom w:val="none" w:sz="0" w:space="0" w:color="auto"/>
            <w:right w:val="none" w:sz="0" w:space="0" w:color="auto"/>
          </w:divBdr>
        </w:div>
        <w:div w:id="480273820">
          <w:marLeft w:val="480"/>
          <w:marRight w:val="0"/>
          <w:marTop w:val="0"/>
          <w:marBottom w:val="0"/>
          <w:divBdr>
            <w:top w:val="none" w:sz="0" w:space="0" w:color="auto"/>
            <w:left w:val="none" w:sz="0" w:space="0" w:color="auto"/>
            <w:bottom w:val="none" w:sz="0" w:space="0" w:color="auto"/>
            <w:right w:val="none" w:sz="0" w:space="0" w:color="auto"/>
          </w:divBdr>
        </w:div>
        <w:div w:id="947195351">
          <w:marLeft w:val="480"/>
          <w:marRight w:val="0"/>
          <w:marTop w:val="0"/>
          <w:marBottom w:val="0"/>
          <w:divBdr>
            <w:top w:val="none" w:sz="0" w:space="0" w:color="auto"/>
            <w:left w:val="none" w:sz="0" w:space="0" w:color="auto"/>
            <w:bottom w:val="none" w:sz="0" w:space="0" w:color="auto"/>
            <w:right w:val="none" w:sz="0" w:space="0" w:color="auto"/>
          </w:divBdr>
        </w:div>
        <w:div w:id="1885017007">
          <w:marLeft w:val="480"/>
          <w:marRight w:val="0"/>
          <w:marTop w:val="0"/>
          <w:marBottom w:val="0"/>
          <w:divBdr>
            <w:top w:val="none" w:sz="0" w:space="0" w:color="auto"/>
            <w:left w:val="none" w:sz="0" w:space="0" w:color="auto"/>
            <w:bottom w:val="none" w:sz="0" w:space="0" w:color="auto"/>
            <w:right w:val="none" w:sz="0" w:space="0" w:color="auto"/>
          </w:divBdr>
        </w:div>
      </w:divsChild>
    </w:div>
    <w:div w:id="993412390">
      <w:bodyDiv w:val="1"/>
      <w:marLeft w:val="0"/>
      <w:marRight w:val="0"/>
      <w:marTop w:val="0"/>
      <w:marBottom w:val="0"/>
      <w:divBdr>
        <w:top w:val="none" w:sz="0" w:space="0" w:color="auto"/>
        <w:left w:val="none" w:sz="0" w:space="0" w:color="auto"/>
        <w:bottom w:val="none" w:sz="0" w:space="0" w:color="auto"/>
        <w:right w:val="none" w:sz="0" w:space="0" w:color="auto"/>
      </w:divBdr>
      <w:divsChild>
        <w:div w:id="898050779">
          <w:marLeft w:val="480"/>
          <w:marRight w:val="0"/>
          <w:marTop w:val="0"/>
          <w:marBottom w:val="0"/>
          <w:divBdr>
            <w:top w:val="none" w:sz="0" w:space="0" w:color="auto"/>
            <w:left w:val="none" w:sz="0" w:space="0" w:color="auto"/>
            <w:bottom w:val="none" w:sz="0" w:space="0" w:color="auto"/>
            <w:right w:val="none" w:sz="0" w:space="0" w:color="auto"/>
          </w:divBdr>
        </w:div>
        <w:div w:id="932934348">
          <w:marLeft w:val="480"/>
          <w:marRight w:val="0"/>
          <w:marTop w:val="0"/>
          <w:marBottom w:val="0"/>
          <w:divBdr>
            <w:top w:val="none" w:sz="0" w:space="0" w:color="auto"/>
            <w:left w:val="none" w:sz="0" w:space="0" w:color="auto"/>
            <w:bottom w:val="none" w:sz="0" w:space="0" w:color="auto"/>
            <w:right w:val="none" w:sz="0" w:space="0" w:color="auto"/>
          </w:divBdr>
        </w:div>
        <w:div w:id="530924143">
          <w:marLeft w:val="480"/>
          <w:marRight w:val="0"/>
          <w:marTop w:val="0"/>
          <w:marBottom w:val="0"/>
          <w:divBdr>
            <w:top w:val="none" w:sz="0" w:space="0" w:color="auto"/>
            <w:left w:val="none" w:sz="0" w:space="0" w:color="auto"/>
            <w:bottom w:val="none" w:sz="0" w:space="0" w:color="auto"/>
            <w:right w:val="none" w:sz="0" w:space="0" w:color="auto"/>
          </w:divBdr>
        </w:div>
        <w:div w:id="746615337">
          <w:marLeft w:val="480"/>
          <w:marRight w:val="0"/>
          <w:marTop w:val="0"/>
          <w:marBottom w:val="0"/>
          <w:divBdr>
            <w:top w:val="none" w:sz="0" w:space="0" w:color="auto"/>
            <w:left w:val="none" w:sz="0" w:space="0" w:color="auto"/>
            <w:bottom w:val="none" w:sz="0" w:space="0" w:color="auto"/>
            <w:right w:val="none" w:sz="0" w:space="0" w:color="auto"/>
          </w:divBdr>
        </w:div>
        <w:div w:id="962269674">
          <w:marLeft w:val="480"/>
          <w:marRight w:val="0"/>
          <w:marTop w:val="0"/>
          <w:marBottom w:val="0"/>
          <w:divBdr>
            <w:top w:val="none" w:sz="0" w:space="0" w:color="auto"/>
            <w:left w:val="none" w:sz="0" w:space="0" w:color="auto"/>
            <w:bottom w:val="none" w:sz="0" w:space="0" w:color="auto"/>
            <w:right w:val="none" w:sz="0" w:space="0" w:color="auto"/>
          </w:divBdr>
        </w:div>
        <w:div w:id="1204825106">
          <w:marLeft w:val="480"/>
          <w:marRight w:val="0"/>
          <w:marTop w:val="0"/>
          <w:marBottom w:val="0"/>
          <w:divBdr>
            <w:top w:val="none" w:sz="0" w:space="0" w:color="auto"/>
            <w:left w:val="none" w:sz="0" w:space="0" w:color="auto"/>
            <w:bottom w:val="none" w:sz="0" w:space="0" w:color="auto"/>
            <w:right w:val="none" w:sz="0" w:space="0" w:color="auto"/>
          </w:divBdr>
        </w:div>
        <w:div w:id="1116753974">
          <w:marLeft w:val="480"/>
          <w:marRight w:val="0"/>
          <w:marTop w:val="0"/>
          <w:marBottom w:val="0"/>
          <w:divBdr>
            <w:top w:val="none" w:sz="0" w:space="0" w:color="auto"/>
            <w:left w:val="none" w:sz="0" w:space="0" w:color="auto"/>
            <w:bottom w:val="none" w:sz="0" w:space="0" w:color="auto"/>
            <w:right w:val="none" w:sz="0" w:space="0" w:color="auto"/>
          </w:divBdr>
        </w:div>
      </w:divsChild>
    </w:div>
    <w:div w:id="1043334422">
      <w:bodyDiv w:val="1"/>
      <w:marLeft w:val="0"/>
      <w:marRight w:val="0"/>
      <w:marTop w:val="0"/>
      <w:marBottom w:val="0"/>
      <w:divBdr>
        <w:top w:val="none" w:sz="0" w:space="0" w:color="auto"/>
        <w:left w:val="none" w:sz="0" w:space="0" w:color="auto"/>
        <w:bottom w:val="none" w:sz="0" w:space="0" w:color="auto"/>
        <w:right w:val="none" w:sz="0" w:space="0" w:color="auto"/>
      </w:divBdr>
    </w:div>
    <w:div w:id="1051878197">
      <w:bodyDiv w:val="1"/>
      <w:marLeft w:val="0"/>
      <w:marRight w:val="0"/>
      <w:marTop w:val="0"/>
      <w:marBottom w:val="0"/>
      <w:divBdr>
        <w:top w:val="none" w:sz="0" w:space="0" w:color="auto"/>
        <w:left w:val="none" w:sz="0" w:space="0" w:color="auto"/>
        <w:bottom w:val="none" w:sz="0" w:space="0" w:color="auto"/>
        <w:right w:val="none" w:sz="0" w:space="0" w:color="auto"/>
      </w:divBdr>
      <w:divsChild>
        <w:div w:id="1166825808">
          <w:marLeft w:val="480"/>
          <w:marRight w:val="0"/>
          <w:marTop w:val="0"/>
          <w:marBottom w:val="0"/>
          <w:divBdr>
            <w:top w:val="none" w:sz="0" w:space="0" w:color="auto"/>
            <w:left w:val="none" w:sz="0" w:space="0" w:color="auto"/>
            <w:bottom w:val="none" w:sz="0" w:space="0" w:color="auto"/>
            <w:right w:val="none" w:sz="0" w:space="0" w:color="auto"/>
          </w:divBdr>
        </w:div>
        <w:div w:id="2105295776">
          <w:marLeft w:val="480"/>
          <w:marRight w:val="0"/>
          <w:marTop w:val="0"/>
          <w:marBottom w:val="0"/>
          <w:divBdr>
            <w:top w:val="none" w:sz="0" w:space="0" w:color="auto"/>
            <w:left w:val="none" w:sz="0" w:space="0" w:color="auto"/>
            <w:bottom w:val="none" w:sz="0" w:space="0" w:color="auto"/>
            <w:right w:val="none" w:sz="0" w:space="0" w:color="auto"/>
          </w:divBdr>
        </w:div>
        <w:div w:id="2090346088">
          <w:marLeft w:val="480"/>
          <w:marRight w:val="0"/>
          <w:marTop w:val="0"/>
          <w:marBottom w:val="0"/>
          <w:divBdr>
            <w:top w:val="none" w:sz="0" w:space="0" w:color="auto"/>
            <w:left w:val="none" w:sz="0" w:space="0" w:color="auto"/>
            <w:bottom w:val="none" w:sz="0" w:space="0" w:color="auto"/>
            <w:right w:val="none" w:sz="0" w:space="0" w:color="auto"/>
          </w:divBdr>
        </w:div>
        <w:div w:id="1953395143">
          <w:marLeft w:val="480"/>
          <w:marRight w:val="0"/>
          <w:marTop w:val="0"/>
          <w:marBottom w:val="0"/>
          <w:divBdr>
            <w:top w:val="none" w:sz="0" w:space="0" w:color="auto"/>
            <w:left w:val="none" w:sz="0" w:space="0" w:color="auto"/>
            <w:bottom w:val="none" w:sz="0" w:space="0" w:color="auto"/>
            <w:right w:val="none" w:sz="0" w:space="0" w:color="auto"/>
          </w:divBdr>
        </w:div>
        <w:div w:id="2036075630">
          <w:marLeft w:val="480"/>
          <w:marRight w:val="0"/>
          <w:marTop w:val="0"/>
          <w:marBottom w:val="0"/>
          <w:divBdr>
            <w:top w:val="none" w:sz="0" w:space="0" w:color="auto"/>
            <w:left w:val="none" w:sz="0" w:space="0" w:color="auto"/>
            <w:bottom w:val="none" w:sz="0" w:space="0" w:color="auto"/>
            <w:right w:val="none" w:sz="0" w:space="0" w:color="auto"/>
          </w:divBdr>
        </w:div>
        <w:div w:id="1460680981">
          <w:marLeft w:val="480"/>
          <w:marRight w:val="0"/>
          <w:marTop w:val="0"/>
          <w:marBottom w:val="0"/>
          <w:divBdr>
            <w:top w:val="none" w:sz="0" w:space="0" w:color="auto"/>
            <w:left w:val="none" w:sz="0" w:space="0" w:color="auto"/>
            <w:bottom w:val="none" w:sz="0" w:space="0" w:color="auto"/>
            <w:right w:val="none" w:sz="0" w:space="0" w:color="auto"/>
          </w:divBdr>
        </w:div>
        <w:div w:id="1842233060">
          <w:marLeft w:val="480"/>
          <w:marRight w:val="0"/>
          <w:marTop w:val="0"/>
          <w:marBottom w:val="0"/>
          <w:divBdr>
            <w:top w:val="none" w:sz="0" w:space="0" w:color="auto"/>
            <w:left w:val="none" w:sz="0" w:space="0" w:color="auto"/>
            <w:bottom w:val="none" w:sz="0" w:space="0" w:color="auto"/>
            <w:right w:val="none" w:sz="0" w:space="0" w:color="auto"/>
          </w:divBdr>
        </w:div>
        <w:div w:id="1266377313">
          <w:marLeft w:val="480"/>
          <w:marRight w:val="0"/>
          <w:marTop w:val="0"/>
          <w:marBottom w:val="0"/>
          <w:divBdr>
            <w:top w:val="none" w:sz="0" w:space="0" w:color="auto"/>
            <w:left w:val="none" w:sz="0" w:space="0" w:color="auto"/>
            <w:bottom w:val="none" w:sz="0" w:space="0" w:color="auto"/>
            <w:right w:val="none" w:sz="0" w:space="0" w:color="auto"/>
          </w:divBdr>
        </w:div>
      </w:divsChild>
    </w:div>
    <w:div w:id="1091315814">
      <w:bodyDiv w:val="1"/>
      <w:marLeft w:val="0"/>
      <w:marRight w:val="0"/>
      <w:marTop w:val="0"/>
      <w:marBottom w:val="0"/>
      <w:divBdr>
        <w:top w:val="none" w:sz="0" w:space="0" w:color="auto"/>
        <w:left w:val="none" w:sz="0" w:space="0" w:color="auto"/>
        <w:bottom w:val="none" w:sz="0" w:space="0" w:color="auto"/>
        <w:right w:val="none" w:sz="0" w:space="0" w:color="auto"/>
      </w:divBdr>
      <w:divsChild>
        <w:div w:id="1210073430">
          <w:marLeft w:val="480"/>
          <w:marRight w:val="0"/>
          <w:marTop w:val="0"/>
          <w:marBottom w:val="0"/>
          <w:divBdr>
            <w:top w:val="none" w:sz="0" w:space="0" w:color="auto"/>
            <w:left w:val="none" w:sz="0" w:space="0" w:color="auto"/>
            <w:bottom w:val="none" w:sz="0" w:space="0" w:color="auto"/>
            <w:right w:val="none" w:sz="0" w:space="0" w:color="auto"/>
          </w:divBdr>
        </w:div>
        <w:div w:id="402483138">
          <w:marLeft w:val="480"/>
          <w:marRight w:val="0"/>
          <w:marTop w:val="0"/>
          <w:marBottom w:val="0"/>
          <w:divBdr>
            <w:top w:val="none" w:sz="0" w:space="0" w:color="auto"/>
            <w:left w:val="none" w:sz="0" w:space="0" w:color="auto"/>
            <w:bottom w:val="none" w:sz="0" w:space="0" w:color="auto"/>
            <w:right w:val="none" w:sz="0" w:space="0" w:color="auto"/>
          </w:divBdr>
        </w:div>
        <w:div w:id="703746576">
          <w:marLeft w:val="480"/>
          <w:marRight w:val="0"/>
          <w:marTop w:val="0"/>
          <w:marBottom w:val="0"/>
          <w:divBdr>
            <w:top w:val="none" w:sz="0" w:space="0" w:color="auto"/>
            <w:left w:val="none" w:sz="0" w:space="0" w:color="auto"/>
            <w:bottom w:val="none" w:sz="0" w:space="0" w:color="auto"/>
            <w:right w:val="none" w:sz="0" w:space="0" w:color="auto"/>
          </w:divBdr>
        </w:div>
        <w:div w:id="1587686795">
          <w:marLeft w:val="480"/>
          <w:marRight w:val="0"/>
          <w:marTop w:val="0"/>
          <w:marBottom w:val="0"/>
          <w:divBdr>
            <w:top w:val="none" w:sz="0" w:space="0" w:color="auto"/>
            <w:left w:val="none" w:sz="0" w:space="0" w:color="auto"/>
            <w:bottom w:val="none" w:sz="0" w:space="0" w:color="auto"/>
            <w:right w:val="none" w:sz="0" w:space="0" w:color="auto"/>
          </w:divBdr>
        </w:div>
        <w:div w:id="1318219739">
          <w:marLeft w:val="480"/>
          <w:marRight w:val="0"/>
          <w:marTop w:val="0"/>
          <w:marBottom w:val="0"/>
          <w:divBdr>
            <w:top w:val="none" w:sz="0" w:space="0" w:color="auto"/>
            <w:left w:val="none" w:sz="0" w:space="0" w:color="auto"/>
            <w:bottom w:val="none" w:sz="0" w:space="0" w:color="auto"/>
            <w:right w:val="none" w:sz="0" w:space="0" w:color="auto"/>
          </w:divBdr>
        </w:div>
        <w:div w:id="1092168295">
          <w:marLeft w:val="480"/>
          <w:marRight w:val="0"/>
          <w:marTop w:val="0"/>
          <w:marBottom w:val="0"/>
          <w:divBdr>
            <w:top w:val="none" w:sz="0" w:space="0" w:color="auto"/>
            <w:left w:val="none" w:sz="0" w:space="0" w:color="auto"/>
            <w:bottom w:val="none" w:sz="0" w:space="0" w:color="auto"/>
            <w:right w:val="none" w:sz="0" w:space="0" w:color="auto"/>
          </w:divBdr>
        </w:div>
      </w:divsChild>
    </w:div>
    <w:div w:id="1097360089">
      <w:bodyDiv w:val="1"/>
      <w:marLeft w:val="0"/>
      <w:marRight w:val="0"/>
      <w:marTop w:val="0"/>
      <w:marBottom w:val="0"/>
      <w:divBdr>
        <w:top w:val="none" w:sz="0" w:space="0" w:color="auto"/>
        <w:left w:val="none" w:sz="0" w:space="0" w:color="auto"/>
        <w:bottom w:val="none" w:sz="0" w:space="0" w:color="auto"/>
        <w:right w:val="none" w:sz="0" w:space="0" w:color="auto"/>
      </w:divBdr>
    </w:div>
    <w:div w:id="1120609509">
      <w:bodyDiv w:val="1"/>
      <w:marLeft w:val="0"/>
      <w:marRight w:val="0"/>
      <w:marTop w:val="0"/>
      <w:marBottom w:val="0"/>
      <w:divBdr>
        <w:top w:val="none" w:sz="0" w:space="0" w:color="auto"/>
        <w:left w:val="none" w:sz="0" w:space="0" w:color="auto"/>
        <w:bottom w:val="none" w:sz="0" w:space="0" w:color="auto"/>
        <w:right w:val="none" w:sz="0" w:space="0" w:color="auto"/>
      </w:divBdr>
      <w:divsChild>
        <w:div w:id="464274791">
          <w:marLeft w:val="480"/>
          <w:marRight w:val="0"/>
          <w:marTop w:val="0"/>
          <w:marBottom w:val="0"/>
          <w:divBdr>
            <w:top w:val="none" w:sz="0" w:space="0" w:color="auto"/>
            <w:left w:val="none" w:sz="0" w:space="0" w:color="auto"/>
            <w:bottom w:val="none" w:sz="0" w:space="0" w:color="auto"/>
            <w:right w:val="none" w:sz="0" w:space="0" w:color="auto"/>
          </w:divBdr>
        </w:div>
        <w:div w:id="641230049">
          <w:marLeft w:val="480"/>
          <w:marRight w:val="0"/>
          <w:marTop w:val="0"/>
          <w:marBottom w:val="0"/>
          <w:divBdr>
            <w:top w:val="none" w:sz="0" w:space="0" w:color="auto"/>
            <w:left w:val="none" w:sz="0" w:space="0" w:color="auto"/>
            <w:bottom w:val="none" w:sz="0" w:space="0" w:color="auto"/>
            <w:right w:val="none" w:sz="0" w:space="0" w:color="auto"/>
          </w:divBdr>
        </w:div>
        <w:div w:id="645739888">
          <w:marLeft w:val="480"/>
          <w:marRight w:val="0"/>
          <w:marTop w:val="0"/>
          <w:marBottom w:val="0"/>
          <w:divBdr>
            <w:top w:val="none" w:sz="0" w:space="0" w:color="auto"/>
            <w:left w:val="none" w:sz="0" w:space="0" w:color="auto"/>
            <w:bottom w:val="none" w:sz="0" w:space="0" w:color="auto"/>
            <w:right w:val="none" w:sz="0" w:space="0" w:color="auto"/>
          </w:divBdr>
        </w:div>
        <w:div w:id="536357565">
          <w:marLeft w:val="480"/>
          <w:marRight w:val="0"/>
          <w:marTop w:val="0"/>
          <w:marBottom w:val="0"/>
          <w:divBdr>
            <w:top w:val="none" w:sz="0" w:space="0" w:color="auto"/>
            <w:left w:val="none" w:sz="0" w:space="0" w:color="auto"/>
            <w:bottom w:val="none" w:sz="0" w:space="0" w:color="auto"/>
            <w:right w:val="none" w:sz="0" w:space="0" w:color="auto"/>
          </w:divBdr>
        </w:div>
        <w:div w:id="396167149">
          <w:marLeft w:val="480"/>
          <w:marRight w:val="0"/>
          <w:marTop w:val="0"/>
          <w:marBottom w:val="0"/>
          <w:divBdr>
            <w:top w:val="none" w:sz="0" w:space="0" w:color="auto"/>
            <w:left w:val="none" w:sz="0" w:space="0" w:color="auto"/>
            <w:bottom w:val="none" w:sz="0" w:space="0" w:color="auto"/>
            <w:right w:val="none" w:sz="0" w:space="0" w:color="auto"/>
          </w:divBdr>
        </w:div>
        <w:div w:id="330838295">
          <w:marLeft w:val="480"/>
          <w:marRight w:val="0"/>
          <w:marTop w:val="0"/>
          <w:marBottom w:val="0"/>
          <w:divBdr>
            <w:top w:val="none" w:sz="0" w:space="0" w:color="auto"/>
            <w:left w:val="none" w:sz="0" w:space="0" w:color="auto"/>
            <w:bottom w:val="none" w:sz="0" w:space="0" w:color="auto"/>
            <w:right w:val="none" w:sz="0" w:space="0" w:color="auto"/>
          </w:divBdr>
        </w:div>
      </w:divsChild>
    </w:div>
    <w:div w:id="1131435388">
      <w:bodyDiv w:val="1"/>
      <w:marLeft w:val="0"/>
      <w:marRight w:val="0"/>
      <w:marTop w:val="0"/>
      <w:marBottom w:val="0"/>
      <w:divBdr>
        <w:top w:val="none" w:sz="0" w:space="0" w:color="auto"/>
        <w:left w:val="none" w:sz="0" w:space="0" w:color="auto"/>
        <w:bottom w:val="none" w:sz="0" w:space="0" w:color="auto"/>
        <w:right w:val="none" w:sz="0" w:space="0" w:color="auto"/>
      </w:divBdr>
      <w:divsChild>
        <w:div w:id="981615509">
          <w:marLeft w:val="480"/>
          <w:marRight w:val="0"/>
          <w:marTop w:val="0"/>
          <w:marBottom w:val="0"/>
          <w:divBdr>
            <w:top w:val="none" w:sz="0" w:space="0" w:color="auto"/>
            <w:left w:val="none" w:sz="0" w:space="0" w:color="auto"/>
            <w:bottom w:val="none" w:sz="0" w:space="0" w:color="auto"/>
            <w:right w:val="none" w:sz="0" w:space="0" w:color="auto"/>
          </w:divBdr>
        </w:div>
        <w:div w:id="1002972214">
          <w:marLeft w:val="480"/>
          <w:marRight w:val="0"/>
          <w:marTop w:val="0"/>
          <w:marBottom w:val="0"/>
          <w:divBdr>
            <w:top w:val="none" w:sz="0" w:space="0" w:color="auto"/>
            <w:left w:val="none" w:sz="0" w:space="0" w:color="auto"/>
            <w:bottom w:val="none" w:sz="0" w:space="0" w:color="auto"/>
            <w:right w:val="none" w:sz="0" w:space="0" w:color="auto"/>
          </w:divBdr>
        </w:div>
        <w:div w:id="1076172838">
          <w:marLeft w:val="480"/>
          <w:marRight w:val="0"/>
          <w:marTop w:val="0"/>
          <w:marBottom w:val="0"/>
          <w:divBdr>
            <w:top w:val="none" w:sz="0" w:space="0" w:color="auto"/>
            <w:left w:val="none" w:sz="0" w:space="0" w:color="auto"/>
            <w:bottom w:val="none" w:sz="0" w:space="0" w:color="auto"/>
            <w:right w:val="none" w:sz="0" w:space="0" w:color="auto"/>
          </w:divBdr>
        </w:div>
        <w:div w:id="2013947384">
          <w:marLeft w:val="480"/>
          <w:marRight w:val="0"/>
          <w:marTop w:val="0"/>
          <w:marBottom w:val="0"/>
          <w:divBdr>
            <w:top w:val="none" w:sz="0" w:space="0" w:color="auto"/>
            <w:left w:val="none" w:sz="0" w:space="0" w:color="auto"/>
            <w:bottom w:val="none" w:sz="0" w:space="0" w:color="auto"/>
            <w:right w:val="none" w:sz="0" w:space="0" w:color="auto"/>
          </w:divBdr>
        </w:div>
        <w:div w:id="1931346876">
          <w:marLeft w:val="480"/>
          <w:marRight w:val="0"/>
          <w:marTop w:val="0"/>
          <w:marBottom w:val="0"/>
          <w:divBdr>
            <w:top w:val="none" w:sz="0" w:space="0" w:color="auto"/>
            <w:left w:val="none" w:sz="0" w:space="0" w:color="auto"/>
            <w:bottom w:val="none" w:sz="0" w:space="0" w:color="auto"/>
            <w:right w:val="none" w:sz="0" w:space="0" w:color="auto"/>
          </w:divBdr>
        </w:div>
        <w:div w:id="1546915626">
          <w:marLeft w:val="480"/>
          <w:marRight w:val="0"/>
          <w:marTop w:val="0"/>
          <w:marBottom w:val="0"/>
          <w:divBdr>
            <w:top w:val="none" w:sz="0" w:space="0" w:color="auto"/>
            <w:left w:val="none" w:sz="0" w:space="0" w:color="auto"/>
            <w:bottom w:val="none" w:sz="0" w:space="0" w:color="auto"/>
            <w:right w:val="none" w:sz="0" w:space="0" w:color="auto"/>
          </w:divBdr>
        </w:div>
      </w:divsChild>
    </w:div>
    <w:div w:id="1143934671">
      <w:bodyDiv w:val="1"/>
      <w:marLeft w:val="0"/>
      <w:marRight w:val="0"/>
      <w:marTop w:val="0"/>
      <w:marBottom w:val="0"/>
      <w:divBdr>
        <w:top w:val="none" w:sz="0" w:space="0" w:color="auto"/>
        <w:left w:val="none" w:sz="0" w:space="0" w:color="auto"/>
        <w:bottom w:val="none" w:sz="0" w:space="0" w:color="auto"/>
        <w:right w:val="none" w:sz="0" w:space="0" w:color="auto"/>
      </w:divBdr>
    </w:div>
    <w:div w:id="1149636004">
      <w:bodyDiv w:val="1"/>
      <w:marLeft w:val="0"/>
      <w:marRight w:val="0"/>
      <w:marTop w:val="0"/>
      <w:marBottom w:val="0"/>
      <w:divBdr>
        <w:top w:val="none" w:sz="0" w:space="0" w:color="auto"/>
        <w:left w:val="none" w:sz="0" w:space="0" w:color="auto"/>
        <w:bottom w:val="none" w:sz="0" w:space="0" w:color="auto"/>
        <w:right w:val="none" w:sz="0" w:space="0" w:color="auto"/>
      </w:divBdr>
      <w:divsChild>
        <w:div w:id="1746221841">
          <w:marLeft w:val="480"/>
          <w:marRight w:val="0"/>
          <w:marTop w:val="0"/>
          <w:marBottom w:val="0"/>
          <w:divBdr>
            <w:top w:val="none" w:sz="0" w:space="0" w:color="auto"/>
            <w:left w:val="none" w:sz="0" w:space="0" w:color="auto"/>
            <w:bottom w:val="none" w:sz="0" w:space="0" w:color="auto"/>
            <w:right w:val="none" w:sz="0" w:space="0" w:color="auto"/>
          </w:divBdr>
        </w:div>
        <w:div w:id="508258786">
          <w:marLeft w:val="480"/>
          <w:marRight w:val="0"/>
          <w:marTop w:val="0"/>
          <w:marBottom w:val="0"/>
          <w:divBdr>
            <w:top w:val="none" w:sz="0" w:space="0" w:color="auto"/>
            <w:left w:val="none" w:sz="0" w:space="0" w:color="auto"/>
            <w:bottom w:val="none" w:sz="0" w:space="0" w:color="auto"/>
            <w:right w:val="none" w:sz="0" w:space="0" w:color="auto"/>
          </w:divBdr>
        </w:div>
        <w:div w:id="889732130">
          <w:marLeft w:val="480"/>
          <w:marRight w:val="0"/>
          <w:marTop w:val="0"/>
          <w:marBottom w:val="0"/>
          <w:divBdr>
            <w:top w:val="none" w:sz="0" w:space="0" w:color="auto"/>
            <w:left w:val="none" w:sz="0" w:space="0" w:color="auto"/>
            <w:bottom w:val="none" w:sz="0" w:space="0" w:color="auto"/>
            <w:right w:val="none" w:sz="0" w:space="0" w:color="auto"/>
          </w:divBdr>
        </w:div>
        <w:div w:id="183523581">
          <w:marLeft w:val="480"/>
          <w:marRight w:val="0"/>
          <w:marTop w:val="0"/>
          <w:marBottom w:val="0"/>
          <w:divBdr>
            <w:top w:val="none" w:sz="0" w:space="0" w:color="auto"/>
            <w:left w:val="none" w:sz="0" w:space="0" w:color="auto"/>
            <w:bottom w:val="none" w:sz="0" w:space="0" w:color="auto"/>
            <w:right w:val="none" w:sz="0" w:space="0" w:color="auto"/>
          </w:divBdr>
        </w:div>
        <w:div w:id="1916434082">
          <w:marLeft w:val="480"/>
          <w:marRight w:val="0"/>
          <w:marTop w:val="0"/>
          <w:marBottom w:val="0"/>
          <w:divBdr>
            <w:top w:val="none" w:sz="0" w:space="0" w:color="auto"/>
            <w:left w:val="none" w:sz="0" w:space="0" w:color="auto"/>
            <w:bottom w:val="none" w:sz="0" w:space="0" w:color="auto"/>
            <w:right w:val="none" w:sz="0" w:space="0" w:color="auto"/>
          </w:divBdr>
        </w:div>
      </w:divsChild>
    </w:div>
    <w:div w:id="1158763309">
      <w:bodyDiv w:val="1"/>
      <w:marLeft w:val="0"/>
      <w:marRight w:val="0"/>
      <w:marTop w:val="0"/>
      <w:marBottom w:val="0"/>
      <w:divBdr>
        <w:top w:val="none" w:sz="0" w:space="0" w:color="auto"/>
        <w:left w:val="none" w:sz="0" w:space="0" w:color="auto"/>
        <w:bottom w:val="none" w:sz="0" w:space="0" w:color="auto"/>
        <w:right w:val="none" w:sz="0" w:space="0" w:color="auto"/>
      </w:divBdr>
      <w:divsChild>
        <w:div w:id="1204908272">
          <w:marLeft w:val="480"/>
          <w:marRight w:val="0"/>
          <w:marTop w:val="0"/>
          <w:marBottom w:val="0"/>
          <w:divBdr>
            <w:top w:val="none" w:sz="0" w:space="0" w:color="auto"/>
            <w:left w:val="none" w:sz="0" w:space="0" w:color="auto"/>
            <w:bottom w:val="none" w:sz="0" w:space="0" w:color="auto"/>
            <w:right w:val="none" w:sz="0" w:space="0" w:color="auto"/>
          </w:divBdr>
        </w:div>
        <w:div w:id="1508405530">
          <w:marLeft w:val="480"/>
          <w:marRight w:val="0"/>
          <w:marTop w:val="0"/>
          <w:marBottom w:val="0"/>
          <w:divBdr>
            <w:top w:val="none" w:sz="0" w:space="0" w:color="auto"/>
            <w:left w:val="none" w:sz="0" w:space="0" w:color="auto"/>
            <w:bottom w:val="none" w:sz="0" w:space="0" w:color="auto"/>
            <w:right w:val="none" w:sz="0" w:space="0" w:color="auto"/>
          </w:divBdr>
        </w:div>
        <w:div w:id="354312142">
          <w:marLeft w:val="480"/>
          <w:marRight w:val="0"/>
          <w:marTop w:val="0"/>
          <w:marBottom w:val="0"/>
          <w:divBdr>
            <w:top w:val="none" w:sz="0" w:space="0" w:color="auto"/>
            <w:left w:val="none" w:sz="0" w:space="0" w:color="auto"/>
            <w:bottom w:val="none" w:sz="0" w:space="0" w:color="auto"/>
            <w:right w:val="none" w:sz="0" w:space="0" w:color="auto"/>
          </w:divBdr>
        </w:div>
        <w:div w:id="52966164">
          <w:marLeft w:val="480"/>
          <w:marRight w:val="0"/>
          <w:marTop w:val="0"/>
          <w:marBottom w:val="0"/>
          <w:divBdr>
            <w:top w:val="none" w:sz="0" w:space="0" w:color="auto"/>
            <w:left w:val="none" w:sz="0" w:space="0" w:color="auto"/>
            <w:bottom w:val="none" w:sz="0" w:space="0" w:color="auto"/>
            <w:right w:val="none" w:sz="0" w:space="0" w:color="auto"/>
          </w:divBdr>
        </w:div>
        <w:div w:id="174812055">
          <w:marLeft w:val="480"/>
          <w:marRight w:val="0"/>
          <w:marTop w:val="0"/>
          <w:marBottom w:val="0"/>
          <w:divBdr>
            <w:top w:val="none" w:sz="0" w:space="0" w:color="auto"/>
            <w:left w:val="none" w:sz="0" w:space="0" w:color="auto"/>
            <w:bottom w:val="none" w:sz="0" w:space="0" w:color="auto"/>
            <w:right w:val="none" w:sz="0" w:space="0" w:color="auto"/>
          </w:divBdr>
        </w:div>
        <w:div w:id="880946342">
          <w:marLeft w:val="480"/>
          <w:marRight w:val="0"/>
          <w:marTop w:val="0"/>
          <w:marBottom w:val="0"/>
          <w:divBdr>
            <w:top w:val="none" w:sz="0" w:space="0" w:color="auto"/>
            <w:left w:val="none" w:sz="0" w:space="0" w:color="auto"/>
            <w:bottom w:val="none" w:sz="0" w:space="0" w:color="auto"/>
            <w:right w:val="none" w:sz="0" w:space="0" w:color="auto"/>
          </w:divBdr>
        </w:div>
        <w:div w:id="1953243030">
          <w:marLeft w:val="480"/>
          <w:marRight w:val="0"/>
          <w:marTop w:val="0"/>
          <w:marBottom w:val="0"/>
          <w:divBdr>
            <w:top w:val="none" w:sz="0" w:space="0" w:color="auto"/>
            <w:left w:val="none" w:sz="0" w:space="0" w:color="auto"/>
            <w:bottom w:val="none" w:sz="0" w:space="0" w:color="auto"/>
            <w:right w:val="none" w:sz="0" w:space="0" w:color="auto"/>
          </w:divBdr>
        </w:div>
      </w:divsChild>
    </w:div>
    <w:div w:id="1160654764">
      <w:bodyDiv w:val="1"/>
      <w:marLeft w:val="0"/>
      <w:marRight w:val="0"/>
      <w:marTop w:val="0"/>
      <w:marBottom w:val="0"/>
      <w:divBdr>
        <w:top w:val="none" w:sz="0" w:space="0" w:color="auto"/>
        <w:left w:val="none" w:sz="0" w:space="0" w:color="auto"/>
        <w:bottom w:val="none" w:sz="0" w:space="0" w:color="auto"/>
        <w:right w:val="none" w:sz="0" w:space="0" w:color="auto"/>
      </w:divBdr>
      <w:divsChild>
        <w:div w:id="1037004061">
          <w:marLeft w:val="480"/>
          <w:marRight w:val="0"/>
          <w:marTop w:val="0"/>
          <w:marBottom w:val="0"/>
          <w:divBdr>
            <w:top w:val="none" w:sz="0" w:space="0" w:color="auto"/>
            <w:left w:val="none" w:sz="0" w:space="0" w:color="auto"/>
            <w:bottom w:val="none" w:sz="0" w:space="0" w:color="auto"/>
            <w:right w:val="none" w:sz="0" w:space="0" w:color="auto"/>
          </w:divBdr>
        </w:div>
        <w:div w:id="577133461">
          <w:marLeft w:val="480"/>
          <w:marRight w:val="0"/>
          <w:marTop w:val="0"/>
          <w:marBottom w:val="0"/>
          <w:divBdr>
            <w:top w:val="none" w:sz="0" w:space="0" w:color="auto"/>
            <w:left w:val="none" w:sz="0" w:space="0" w:color="auto"/>
            <w:bottom w:val="none" w:sz="0" w:space="0" w:color="auto"/>
            <w:right w:val="none" w:sz="0" w:space="0" w:color="auto"/>
          </w:divBdr>
        </w:div>
        <w:div w:id="261882030">
          <w:marLeft w:val="480"/>
          <w:marRight w:val="0"/>
          <w:marTop w:val="0"/>
          <w:marBottom w:val="0"/>
          <w:divBdr>
            <w:top w:val="none" w:sz="0" w:space="0" w:color="auto"/>
            <w:left w:val="none" w:sz="0" w:space="0" w:color="auto"/>
            <w:bottom w:val="none" w:sz="0" w:space="0" w:color="auto"/>
            <w:right w:val="none" w:sz="0" w:space="0" w:color="auto"/>
          </w:divBdr>
        </w:div>
        <w:div w:id="157620881">
          <w:marLeft w:val="480"/>
          <w:marRight w:val="0"/>
          <w:marTop w:val="0"/>
          <w:marBottom w:val="0"/>
          <w:divBdr>
            <w:top w:val="none" w:sz="0" w:space="0" w:color="auto"/>
            <w:left w:val="none" w:sz="0" w:space="0" w:color="auto"/>
            <w:bottom w:val="none" w:sz="0" w:space="0" w:color="auto"/>
            <w:right w:val="none" w:sz="0" w:space="0" w:color="auto"/>
          </w:divBdr>
        </w:div>
        <w:div w:id="1113129126">
          <w:marLeft w:val="480"/>
          <w:marRight w:val="0"/>
          <w:marTop w:val="0"/>
          <w:marBottom w:val="0"/>
          <w:divBdr>
            <w:top w:val="none" w:sz="0" w:space="0" w:color="auto"/>
            <w:left w:val="none" w:sz="0" w:space="0" w:color="auto"/>
            <w:bottom w:val="none" w:sz="0" w:space="0" w:color="auto"/>
            <w:right w:val="none" w:sz="0" w:space="0" w:color="auto"/>
          </w:divBdr>
        </w:div>
        <w:div w:id="1933850624">
          <w:marLeft w:val="480"/>
          <w:marRight w:val="0"/>
          <w:marTop w:val="0"/>
          <w:marBottom w:val="0"/>
          <w:divBdr>
            <w:top w:val="none" w:sz="0" w:space="0" w:color="auto"/>
            <w:left w:val="none" w:sz="0" w:space="0" w:color="auto"/>
            <w:bottom w:val="none" w:sz="0" w:space="0" w:color="auto"/>
            <w:right w:val="none" w:sz="0" w:space="0" w:color="auto"/>
          </w:divBdr>
        </w:div>
        <w:div w:id="1671789415">
          <w:marLeft w:val="480"/>
          <w:marRight w:val="0"/>
          <w:marTop w:val="0"/>
          <w:marBottom w:val="0"/>
          <w:divBdr>
            <w:top w:val="none" w:sz="0" w:space="0" w:color="auto"/>
            <w:left w:val="none" w:sz="0" w:space="0" w:color="auto"/>
            <w:bottom w:val="none" w:sz="0" w:space="0" w:color="auto"/>
            <w:right w:val="none" w:sz="0" w:space="0" w:color="auto"/>
          </w:divBdr>
        </w:div>
      </w:divsChild>
    </w:div>
    <w:div w:id="1172794566">
      <w:bodyDiv w:val="1"/>
      <w:marLeft w:val="0"/>
      <w:marRight w:val="0"/>
      <w:marTop w:val="0"/>
      <w:marBottom w:val="0"/>
      <w:divBdr>
        <w:top w:val="none" w:sz="0" w:space="0" w:color="auto"/>
        <w:left w:val="none" w:sz="0" w:space="0" w:color="auto"/>
        <w:bottom w:val="none" w:sz="0" w:space="0" w:color="auto"/>
        <w:right w:val="none" w:sz="0" w:space="0" w:color="auto"/>
      </w:divBdr>
    </w:div>
    <w:div w:id="1215854824">
      <w:bodyDiv w:val="1"/>
      <w:marLeft w:val="0"/>
      <w:marRight w:val="0"/>
      <w:marTop w:val="0"/>
      <w:marBottom w:val="0"/>
      <w:divBdr>
        <w:top w:val="none" w:sz="0" w:space="0" w:color="auto"/>
        <w:left w:val="none" w:sz="0" w:space="0" w:color="auto"/>
        <w:bottom w:val="none" w:sz="0" w:space="0" w:color="auto"/>
        <w:right w:val="none" w:sz="0" w:space="0" w:color="auto"/>
      </w:divBdr>
    </w:div>
    <w:div w:id="1217157708">
      <w:bodyDiv w:val="1"/>
      <w:marLeft w:val="0"/>
      <w:marRight w:val="0"/>
      <w:marTop w:val="0"/>
      <w:marBottom w:val="0"/>
      <w:divBdr>
        <w:top w:val="none" w:sz="0" w:space="0" w:color="auto"/>
        <w:left w:val="none" w:sz="0" w:space="0" w:color="auto"/>
        <w:bottom w:val="none" w:sz="0" w:space="0" w:color="auto"/>
        <w:right w:val="none" w:sz="0" w:space="0" w:color="auto"/>
      </w:divBdr>
    </w:div>
    <w:div w:id="1232693932">
      <w:bodyDiv w:val="1"/>
      <w:marLeft w:val="0"/>
      <w:marRight w:val="0"/>
      <w:marTop w:val="0"/>
      <w:marBottom w:val="0"/>
      <w:divBdr>
        <w:top w:val="none" w:sz="0" w:space="0" w:color="auto"/>
        <w:left w:val="none" w:sz="0" w:space="0" w:color="auto"/>
        <w:bottom w:val="none" w:sz="0" w:space="0" w:color="auto"/>
        <w:right w:val="none" w:sz="0" w:space="0" w:color="auto"/>
      </w:divBdr>
      <w:divsChild>
        <w:div w:id="384566091">
          <w:marLeft w:val="480"/>
          <w:marRight w:val="0"/>
          <w:marTop w:val="0"/>
          <w:marBottom w:val="0"/>
          <w:divBdr>
            <w:top w:val="none" w:sz="0" w:space="0" w:color="auto"/>
            <w:left w:val="none" w:sz="0" w:space="0" w:color="auto"/>
            <w:bottom w:val="none" w:sz="0" w:space="0" w:color="auto"/>
            <w:right w:val="none" w:sz="0" w:space="0" w:color="auto"/>
          </w:divBdr>
        </w:div>
        <w:div w:id="1523981810">
          <w:marLeft w:val="480"/>
          <w:marRight w:val="0"/>
          <w:marTop w:val="0"/>
          <w:marBottom w:val="0"/>
          <w:divBdr>
            <w:top w:val="none" w:sz="0" w:space="0" w:color="auto"/>
            <w:left w:val="none" w:sz="0" w:space="0" w:color="auto"/>
            <w:bottom w:val="none" w:sz="0" w:space="0" w:color="auto"/>
            <w:right w:val="none" w:sz="0" w:space="0" w:color="auto"/>
          </w:divBdr>
        </w:div>
        <w:div w:id="1686322779">
          <w:marLeft w:val="480"/>
          <w:marRight w:val="0"/>
          <w:marTop w:val="0"/>
          <w:marBottom w:val="0"/>
          <w:divBdr>
            <w:top w:val="none" w:sz="0" w:space="0" w:color="auto"/>
            <w:left w:val="none" w:sz="0" w:space="0" w:color="auto"/>
            <w:bottom w:val="none" w:sz="0" w:space="0" w:color="auto"/>
            <w:right w:val="none" w:sz="0" w:space="0" w:color="auto"/>
          </w:divBdr>
        </w:div>
        <w:div w:id="1197936548">
          <w:marLeft w:val="480"/>
          <w:marRight w:val="0"/>
          <w:marTop w:val="0"/>
          <w:marBottom w:val="0"/>
          <w:divBdr>
            <w:top w:val="none" w:sz="0" w:space="0" w:color="auto"/>
            <w:left w:val="none" w:sz="0" w:space="0" w:color="auto"/>
            <w:bottom w:val="none" w:sz="0" w:space="0" w:color="auto"/>
            <w:right w:val="none" w:sz="0" w:space="0" w:color="auto"/>
          </w:divBdr>
        </w:div>
        <w:div w:id="230651818">
          <w:marLeft w:val="480"/>
          <w:marRight w:val="0"/>
          <w:marTop w:val="0"/>
          <w:marBottom w:val="0"/>
          <w:divBdr>
            <w:top w:val="none" w:sz="0" w:space="0" w:color="auto"/>
            <w:left w:val="none" w:sz="0" w:space="0" w:color="auto"/>
            <w:bottom w:val="none" w:sz="0" w:space="0" w:color="auto"/>
            <w:right w:val="none" w:sz="0" w:space="0" w:color="auto"/>
          </w:divBdr>
        </w:div>
        <w:div w:id="1331789027">
          <w:marLeft w:val="480"/>
          <w:marRight w:val="0"/>
          <w:marTop w:val="0"/>
          <w:marBottom w:val="0"/>
          <w:divBdr>
            <w:top w:val="none" w:sz="0" w:space="0" w:color="auto"/>
            <w:left w:val="none" w:sz="0" w:space="0" w:color="auto"/>
            <w:bottom w:val="none" w:sz="0" w:space="0" w:color="auto"/>
            <w:right w:val="none" w:sz="0" w:space="0" w:color="auto"/>
          </w:divBdr>
        </w:div>
      </w:divsChild>
    </w:div>
    <w:div w:id="1308196031">
      <w:bodyDiv w:val="1"/>
      <w:marLeft w:val="0"/>
      <w:marRight w:val="0"/>
      <w:marTop w:val="0"/>
      <w:marBottom w:val="0"/>
      <w:divBdr>
        <w:top w:val="none" w:sz="0" w:space="0" w:color="auto"/>
        <w:left w:val="none" w:sz="0" w:space="0" w:color="auto"/>
        <w:bottom w:val="none" w:sz="0" w:space="0" w:color="auto"/>
        <w:right w:val="none" w:sz="0" w:space="0" w:color="auto"/>
      </w:divBdr>
      <w:divsChild>
        <w:div w:id="1559627448">
          <w:marLeft w:val="480"/>
          <w:marRight w:val="0"/>
          <w:marTop w:val="0"/>
          <w:marBottom w:val="0"/>
          <w:divBdr>
            <w:top w:val="none" w:sz="0" w:space="0" w:color="auto"/>
            <w:left w:val="none" w:sz="0" w:space="0" w:color="auto"/>
            <w:bottom w:val="none" w:sz="0" w:space="0" w:color="auto"/>
            <w:right w:val="none" w:sz="0" w:space="0" w:color="auto"/>
          </w:divBdr>
        </w:div>
        <w:div w:id="937560072">
          <w:marLeft w:val="480"/>
          <w:marRight w:val="0"/>
          <w:marTop w:val="0"/>
          <w:marBottom w:val="0"/>
          <w:divBdr>
            <w:top w:val="none" w:sz="0" w:space="0" w:color="auto"/>
            <w:left w:val="none" w:sz="0" w:space="0" w:color="auto"/>
            <w:bottom w:val="none" w:sz="0" w:space="0" w:color="auto"/>
            <w:right w:val="none" w:sz="0" w:space="0" w:color="auto"/>
          </w:divBdr>
        </w:div>
        <w:div w:id="611980905">
          <w:marLeft w:val="480"/>
          <w:marRight w:val="0"/>
          <w:marTop w:val="0"/>
          <w:marBottom w:val="0"/>
          <w:divBdr>
            <w:top w:val="none" w:sz="0" w:space="0" w:color="auto"/>
            <w:left w:val="none" w:sz="0" w:space="0" w:color="auto"/>
            <w:bottom w:val="none" w:sz="0" w:space="0" w:color="auto"/>
            <w:right w:val="none" w:sz="0" w:space="0" w:color="auto"/>
          </w:divBdr>
        </w:div>
        <w:div w:id="1217204548">
          <w:marLeft w:val="480"/>
          <w:marRight w:val="0"/>
          <w:marTop w:val="0"/>
          <w:marBottom w:val="0"/>
          <w:divBdr>
            <w:top w:val="none" w:sz="0" w:space="0" w:color="auto"/>
            <w:left w:val="none" w:sz="0" w:space="0" w:color="auto"/>
            <w:bottom w:val="none" w:sz="0" w:space="0" w:color="auto"/>
            <w:right w:val="none" w:sz="0" w:space="0" w:color="auto"/>
          </w:divBdr>
        </w:div>
        <w:div w:id="2032603566">
          <w:marLeft w:val="480"/>
          <w:marRight w:val="0"/>
          <w:marTop w:val="0"/>
          <w:marBottom w:val="0"/>
          <w:divBdr>
            <w:top w:val="none" w:sz="0" w:space="0" w:color="auto"/>
            <w:left w:val="none" w:sz="0" w:space="0" w:color="auto"/>
            <w:bottom w:val="none" w:sz="0" w:space="0" w:color="auto"/>
            <w:right w:val="none" w:sz="0" w:space="0" w:color="auto"/>
          </w:divBdr>
        </w:div>
        <w:div w:id="1415861070">
          <w:marLeft w:val="480"/>
          <w:marRight w:val="0"/>
          <w:marTop w:val="0"/>
          <w:marBottom w:val="0"/>
          <w:divBdr>
            <w:top w:val="none" w:sz="0" w:space="0" w:color="auto"/>
            <w:left w:val="none" w:sz="0" w:space="0" w:color="auto"/>
            <w:bottom w:val="none" w:sz="0" w:space="0" w:color="auto"/>
            <w:right w:val="none" w:sz="0" w:space="0" w:color="auto"/>
          </w:divBdr>
        </w:div>
        <w:div w:id="1836990794">
          <w:marLeft w:val="480"/>
          <w:marRight w:val="0"/>
          <w:marTop w:val="0"/>
          <w:marBottom w:val="0"/>
          <w:divBdr>
            <w:top w:val="none" w:sz="0" w:space="0" w:color="auto"/>
            <w:left w:val="none" w:sz="0" w:space="0" w:color="auto"/>
            <w:bottom w:val="none" w:sz="0" w:space="0" w:color="auto"/>
            <w:right w:val="none" w:sz="0" w:space="0" w:color="auto"/>
          </w:divBdr>
        </w:div>
        <w:div w:id="1214538047">
          <w:marLeft w:val="480"/>
          <w:marRight w:val="0"/>
          <w:marTop w:val="0"/>
          <w:marBottom w:val="0"/>
          <w:divBdr>
            <w:top w:val="none" w:sz="0" w:space="0" w:color="auto"/>
            <w:left w:val="none" w:sz="0" w:space="0" w:color="auto"/>
            <w:bottom w:val="none" w:sz="0" w:space="0" w:color="auto"/>
            <w:right w:val="none" w:sz="0" w:space="0" w:color="auto"/>
          </w:divBdr>
        </w:div>
      </w:divsChild>
    </w:div>
    <w:div w:id="1320696242">
      <w:bodyDiv w:val="1"/>
      <w:marLeft w:val="0"/>
      <w:marRight w:val="0"/>
      <w:marTop w:val="0"/>
      <w:marBottom w:val="0"/>
      <w:divBdr>
        <w:top w:val="none" w:sz="0" w:space="0" w:color="auto"/>
        <w:left w:val="none" w:sz="0" w:space="0" w:color="auto"/>
        <w:bottom w:val="none" w:sz="0" w:space="0" w:color="auto"/>
        <w:right w:val="none" w:sz="0" w:space="0" w:color="auto"/>
      </w:divBdr>
      <w:divsChild>
        <w:div w:id="1065835277">
          <w:marLeft w:val="480"/>
          <w:marRight w:val="0"/>
          <w:marTop w:val="0"/>
          <w:marBottom w:val="0"/>
          <w:divBdr>
            <w:top w:val="none" w:sz="0" w:space="0" w:color="auto"/>
            <w:left w:val="none" w:sz="0" w:space="0" w:color="auto"/>
            <w:bottom w:val="none" w:sz="0" w:space="0" w:color="auto"/>
            <w:right w:val="none" w:sz="0" w:space="0" w:color="auto"/>
          </w:divBdr>
        </w:div>
        <w:div w:id="673847897">
          <w:marLeft w:val="480"/>
          <w:marRight w:val="0"/>
          <w:marTop w:val="0"/>
          <w:marBottom w:val="0"/>
          <w:divBdr>
            <w:top w:val="none" w:sz="0" w:space="0" w:color="auto"/>
            <w:left w:val="none" w:sz="0" w:space="0" w:color="auto"/>
            <w:bottom w:val="none" w:sz="0" w:space="0" w:color="auto"/>
            <w:right w:val="none" w:sz="0" w:space="0" w:color="auto"/>
          </w:divBdr>
        </w:div>
        <w:div w:id="1589575704">
          <w:marLeft w:val="480"/>
          <w:marRight w:val="0"/>
          <w:marTop w:val="0"/>
          <w:marBottom w:val="0"/>
          <w:divBdr>
            <w:top w:val="none" w:sz="0" w:space="0" w:color="auto"/>
            <w:left w:val="none" w:sz="0" w:space="0" w:color="auto"/>
            <w:bottom w:val="none" w:sz="0" w:space="0" w:color="auto"/>
            <w:right w:val="none" w:sz="0" w:space="0" w:color="auto"/>
          </w:divBdr>
        </w:div>
        <w:div w:id="833182897">
          <w:marLeft w:val="480"/>
          <w:marRight w:val="0"/>
          <w:marTop w:val="0"/>
          <w:marBottom w:val="0"/>
          <w:divBdr>
            <w:top w:val="none" w:sz="0" w:space="0" w:color="auto"/>
            <w:left w:val="none" w:sz="0" w:space="0" w:color="auto"/>
            <w:bottom w:val="none" w:sz="0" w:space="0" w:color="auto"/>
            <w:right w:val="none" w:sz="0" w:space="0" w:color="auto"/>
          </w:divBdr>
        </w:div>
        <w:div w:id="162623568">
          <w:marLeft w:val="480"/>
          <w:marRight w:val="0"/>
          <w:marTop w:val="0"/>
          <w:marBottom w:val="0"/>
          <w:divBdr>
            <w:top w:val="none" w:sz="0" w:space="0" w:color="auto"/>
            <w:left w:val="none" w:sz="0" w:space="0" w:color="auto"/>
            <w:bottom w:val="none" w:sz="0" w:space="0" w:color="auto"/>
            <w:right w:val="none" w:sz="0" w:space="0" w:color="auto"/>
          </w:divBdr>
        </w:div>
      </w:divsChild>
    </w:div>
    <w:div w:id="1387534463">
      <w:bodyDiv w:val="1"/>
      <w:marLeft w:val="0"/>
      <w:marRight w:val="0"/>
      <w:marTop w:val="0"/>
      <w:marBottom w:val="0"/>
      <w:divBdr>
        <w:top w:val="none" w:sz="0" w:space="0" w:color="auto"/>
        <w:left w:val="none" w:sz="0" w:space="0" w:color="auto"/>
        <w:bottom w:val="none" w:sz="0" w:space="0" w:color="auto"/>
        <w:right w:val="none" w:sz="0" w:space="0" w:color="auto"/>
      </w:divBdr>
      <w:divsChild>
        <w:div w:id="1239749432">
          <w:marLeft w:val="480"/>
          <w:marRight w:val="0"/>
          <w:marTop w:val="0"/>
          <w:marBottom w:val="0"/>
          <w:divBdr>
            <w:top w:val="none" w:sz="0" w:space="0" w:color="auto"/>
            <w:left w:val="none" w:sz="0" w:space="0" w:color="auto"/>
            <w:bottom w:val="none" w:sz="0" w:space="0" w:color="auto"/>
            <w:right w:val="none" w:sz="0" w:space="0" w:color="auto"/>
          </w:divBdr>
        </w:div>
        <w:div w:id="1526403657">
          <w:marLeft w:val="480"/>
          <w:marRight w:val="0"/>
          <w:marTop w:val="0"/>
          <w:marBottom w:val="0"/>
          <w:divBdr>
            <w:top w:val="none" w:sz="0" w:space="0" w:color="auto"/>
            <w:left w:val="none" w:sz="0" w:space="0" w:color="auto"/>
            <w:bottom w:val="none" w:sz="0" w:space="0" w:color="auto"/>
            <w:right w:val="none" w:sz="0" w:space="0" w:color="auto"/>
          </w:divBdr>
        </w:div>
        <w:div w:id="309942805">
          <w:marLeft w:val="480"/>
          <w:marRight w:val="0"/>
          <w:marTop w:val="0"/>
          <w:marBottom w:val="0"/>
          <w:divBdr>
            <w:top w:val="none" w:sz="0" w:space="0" w:color="auto"/>
            <w:left w:val="none" w:sz="0" w:space="0" w:color="auto"/>
            <w:bottom w:val="none" w:sz="0" w:space="0" w:color="auto"/>
            <w:right w:val="none" w:sz="0" w:space="0" w:color="auto"/>
          </w:divBdr>
        </w:div>
        <w:div w:id="1903951993">
          <w:marLeft w:val="480"/>
          <w:marRight w:val="0"/>
          <w:marTop w:val="0"/>
          <w:marBottom w:val="0"/>
          <w:divBdr>
            <w:top w:val="none" w:sz="0" w:space="0" w:color="auto"/>
            <w:left w:val="none" w:sz="0" w:space="0" w:color="auto"/>
            <w:bottom w:val="none" w:sz="0" w:space="0" w:color="auto"/>
            <w:right w:val="none" w:sz="0" w:space="0" w:color="auto"/>
          </w:divBdr>
        </w:div>
        <w:div w:id="1014645826">
          <w:marLeft w:val="480"/>
          <w:marRight w:val="0"/>
          <w:marTop w:val="0"/>
          <w:marBottom w:val="0"/>
          <w:divBdr>
            <w:top w:val="none" w:sz="0" w:space="0" w:color="auto"/>
            <w:left w:val="none" w:sz="0" w:space="0" w:color="auto"/>
            <w:bottom w:val="none" w:sz="0" w:space="0" w:color="auto"/>
            <w:right w:val="none" w:sz="0" w:space="0" w:color="auto"/>
          </w:divBdr>
        </w:div>
        <w:div w:id="1118985172">
          <w:marLeft w:val="480"/>
          <w:marRight w:val="0"/>
          <w:marTop w:val="0"/>
          <w:marBottom w:val="0"/>
          <w:divBdr>
            <w:top w:val="none" w:sz="0" w:space="0" w:color="auto"/>
            <w:left w:val="none" w:sz="0" w:space="0" w:color="auto"/>
            <w:bottom w:val="none" w:sz="0" w:space="0" w:color="auto"/>
            <w:right w:val="none" w:sz="0" w:space="0" w:color="auto"/>
          </w:divBdr>
        </w:div>
        <w:div w:id="1925020406">
          <w:marLeft w:val="480"/>
          <w:marRight w:val="0"/>
          <w:marTop w:val="0"/>
          <w:marBottom w:val="0"/>
          <w:divBdr>
            <w:top w:val="none" w:sz="0" w:space="0" w:color="auto"/>
            <w:left w:val="none" w:sz="0" w:space="0" w:color="auto"/>
            <w:bottom w:val="none" w:sz="0" w:space="0" w:color="auto"/>
            <w:right w:val="none" w:sz="0" w:space="0" w:color="auto"/>
          </w:divBdr>
        </w:div>
        <w:div w:id="1226836471">
          <w:marLeft w:val="480"/>
          <w:marRight w:val="0"/>
          <w:marTop w:val="0"/>
          <w:marBottom w:val="0"/>
          <w:divBdr>
            <w:top w:val="none" w:sz="0" w:space="0" w:color="auto"/>
            <w:left w:val="none" w:sz="0" w:space="0" w:color="auto"/>
            <w:bottom w:val="none" w:sz="0" w:space="0" w:color="auto"/>
            <w:right w:val="none" w:sz="0" w:space="0" w:color="auto"/>
          </w:divBdr>
        </w:div>
      </w:divsChild>
    </w:div>
    <w:div w:id="1412772389">
      <w:bodyDiv w:val="1"/>
      <w:marLeft w:val="0"/>
      <w:marRight w:val="0"/>
      <w:marTop w:val="0"/>
      <w:marBottom w:val="0"/>
      <w:divBdr>
        <w:top w:val="none" w:sz="0" w:space="0" w:color="auto"/>
        <w:left w:val="none" w:sz="0" w:space="0" w:color="auto"/>
        <w:bottom w:val="none" w:sz="0" w:space="0" w:color="auto"/>
        <w:right w:val="none" w:sz="0" w:space="0" w:color="auto"/>
      </w:divBdr>
    </w:div>
    <w:div w:id="1472938042">
      <w:bodyDiv w:val="1"/>
      <w:marLeft w:val="0"/>
      <w:marRight w:val="0"/>
      <w:marTop w:val="0"/>
      <w:marBottom w:val="0"/>
      <w:divBdr>
        <w:top w:val="none" w:sz="0" w:space="0" w:color="auto"/>
        <w:left w:val="none" w:sz="0" w:space="0" w:color="auto"/>
        <w:bottom w:val="none" w:sz="0" w:space="0" w:color="auto"/>
        <w:right w:val="none" w:sz="0" w:space="0" w:color="auto"/>
      </w:divBdr>
      <w:divsChild>
        <w:div w:id="1011222063">
          <w:marLeft w:val="480"/>
          <w:marRight w:val="0"/>
          <w:marTop w:val="0"/>
          <w:marBottom w:val="0"/>
          <w:divBdr>
            <w:top w:val="none" w:sz="0" w:space="0" w:color="auto"/>
            <w:left w:val="none" w:sz="0" w:space="0" w:color="auto"/>
            <w:bottom w:val="none" w:sz="0" w:space="0" w:color="auto"/>
            <w:right w:val="none" w:sz="0" w:space="0" w:color="auto"/>
          </w:divBdr>
        </w:div>
        <w:div w:id="1106853596">
          <w:marLeft w:val="480"/>
          <w:marRight w:val="0"/>
          <w:marTop w:val="0"/>
          <w:marBottom w:val="0"/>
          <w:divBdr>
            <w:top w:val="none" w:sz="0" w:space="0" w:color="auto"/>
            <w:left w:val="none" w:sz="0" w:space="0" w:color="auto"/>
            <w:bottom w:val="none" w:sz="0" w:space="0" w:color="auto"/>
            <w:right w:val="none" w:sz="0" w:space="0" w:color="auto"/>
          </w:divBdr>
        </w:div>
        <w:div w:id="333848246">
          <w:marLeft w:val="480"/>
          <w:marRight w:val="0"/>
          <w:marTop w:val="0"/>
          <w:marBottom w:val="0"/>
          <w:divBdr>
            <w:top w:val="none" w:sz="0" w:space="0" w:color="auto"/>
            <w:left w:val="none" w:sz="0" w:space="0" w:color="auto"/>
            <w:bottom w:val="none" w:sz="0" w:space="0" w:color="auto"/>
            <w:right w:val="none" w:sz="0" w:space="0" w:color="auto"/>
          </w:divBdr>
        </w:div>
        <w:div w:id="1040400648">
          <w:marLeft w:val="480"/>
          <w:marRight w:val="0"/>
          <w:marTop w:val="0"/>
          <w:marBottom w:val="0"/>
          <w:divBdr>
            <w:top w:val="none" w:sz="0" w:space="0" w:color="auto"/>
            <w:left w:val="none" w:sz="0" w:space="0" w:color="auto"/>
            <w:bottom w:val="none" w:sz="0" w:space="0" w:color="auto"/>
            <w:right w:val="none" w:sz="0" w:space="0" w:color="auto"/>
          </w:divBdr>
        </w:div>
        <w:div w:id="1682581618">
          <w:marLeft w:val="480"/>
          <w:marRight w:val="0"/>
          <w:marTop w:val="0"/>
          <w:marBottom w:val="0"/>
          <w:divBdr>
            <w:top w:val="none" w:sz="0" w:space="0" w:color="auto"/>
            <w:left w:val="none" w:sz="0" w:space="0" w:color="auto"/>
            <w:bottom w:val="none" w:sz="0" w:space="0" w:color="auto"/>
            <w:right w:val="none" w:sz="0" w:space="0" w:color="auto"/>
          </w:divBdr>
        </w:div>
        <w:div w:id="679701610">
          <w:marLeft w:val="480"/>
          <w:marRight w:val="0"/>
          <w:marTop w:val="0"/>
          <w:marBottom w:val="0"/>
          <w:divBdr>
            <w:top w:val="none" w:sz="0" w:space="0" w:color="auto"/>
            <w:left w:val="none" w:sz="0" w:space="0" w:color="auto"/>
            <w:bottom w:val="none" w:sz="0" w:space="0" w:color="auto"/>
            <w:right w:val="none" w:sz="0" w:space="0" w:color="auto"/>
          </w:divBdr>
        </w:div>
      </w:divsChild>
    </w:div>
    <w:div w:id="1494950737">
      <w:bodyDiv w:val="1"/>
      <w:marLeft w:val="0"/>
      <w:marRight w:val="0"/>
      <w:marTop w:val="0"/>
      <w:marBottom w:val="0"/>
      <w:divBdr>
        <w:top w:val="none" w:sz="0" w:space="0" w:color="auto"/>
        <w:left w:val="none" w:sz="0" w:space="0" w:color="auto"/>
        <w:bottom w:val="none" w:sz="0" w:space="0" w:color="auto"/>
        <w:right w:val="none" w:sz="0" w:space="0" w:color="auto"/>
      </w:divBdr>
    </w:div>
    <w:div w:id="1524127293">
      <w:bodyDiv w:val="1"/>
      <w:marLeft w:val="0"/>
      <w:marRight w:val="0"/>
      <w:marTop w:val="0"/>
      <w:marBottom w:val="0"/>
      <w:divBdr>
        <w:top w:val="none" w:sz="0" w:space="0" w:color="auto"/>
        <w:left w:val="none" w:sz="0" w:space="0" w:color="auto"/>
        <w:bottom w:val="none" w:sz="0" w:space="0" w:color="auto"/>
        <w:right w:val="none" w:sz="0" w:space="0" w:color="auto"/>
      </w:divBdr>
      <w:divsChild>
        <w:div w:id="1103771330">
          <w:marLeft w:val="480"/>
          <w:marRight w:val="0"/>
          <w:marTop w:val="0"/>
          <w:marBottom w:val="0"/>
          <w:divBdr>
            <w:top w:val="none" w:sz="0" w:space="0" w:color="auto"/>
            <w:left w:val="none" w:sz="0" w:space="0" w:color="auto"/>
            <w:bottom w:val="none" w:sz="0" w:space="0" w:color="auto"/>
            <w:right w:val="none" w:sz="0" w:space="0" w:color="auto"/>
          </w:divBdr>
        </w:div>
        <w:div w:id="1539393313">
          <w:marLeft w:val="480"/>
          <w:marRight w:val="0"/>
          <w:marTop w:val="0"/>
          <w:marBottom w:val="0"/>
          <w:divBdr>
            <w:top w:val="none" w:sz="0" w:space="0" w:color="auto"/>
            <w:left w:val="none" w:sz="0" w:space="0" w:color="auto"/>
            <w:bottom w:val="none" w:sz="0" w:space="0" w:color="auto"/>
            <w:right w:val="none" w:sz="0" w:space="0" w:color="auto"/>
          </w:divBdr>
        </w:div>
        <w:div w:id="1557664362">
          <w:marLeft w:val="480"/>
          <w:marRight w:val="0"/>
          <w:marTop w:val="0"/>
          <w:marBottom w:val="0"/>
          <w:divBdr>
            <w:top w:val="none" w:sz="0" w:space="0" w:color="auto"/>
            <w:left w:val="none" w:sz="0" w:space="0" w:color="auto"/>
            <w:bottom w:val="none" w:sz="0" w:space="0" w:color="auto"/>
            <w:right w:val="none" w:sz="0" w:space="0" w:color="auto"/>
          </w:divBdr>
        </w:div>
        <w:div w:id="42338904">
          <w:marLeft w:val="480"/>
          <w:marRight w:val="0"/>
          <w:marTop w:val="0"/>
          <w:marBottom w:val="0"/>
          <w:divBdr>
            <w:top w:val="none" w:sz="0" w:space="0" w:color="auto"/>
            <w:left w:val="none" w:sz="0" w:space="0" w:color="auto"/>
            <w:bottom w:val="none" w:sz="0" w:space="0" w:color="auto"/>
            <w:right w:val="none" w:sz="0" w:space="0" w:color="auto"/>
          </w:divBdr>
        </w:div>
        <w:div w:id="1799101841">
          <w:marLeft w:val="480"/>
          <w:marRight w:val="0"/>
          <w:marTop w:val="0"/>
          <w:marBottom w:val="0"/>
          <w:divBdr>
            <w:top w:val="none" w:sz="0" w:space="0" w:color="auto"/>
            <w:left w:val="none" w:sz="0" w:space="0" w:color="auto"/>
            <w:bottom w:val="none" w:sz="0" w:space="0" w:color="auto"/>
            <w:right w:val="none" w:sz="0" w:space="0" w:color="auto"/>
          </w:divBdr>
        </w:div>
        <w:div w:id="1290355222">
          <w:marLeft w:val="480"/>
          <w:marRight w:val="0"/>
          <w:marTop w:val="0"/>
          <w:marBottom w:val="0"/>
          <w:divBdr>
            <w:top w:val="none" w:sz="0" w:space="0" w:color="auto"/>
            <w:left w:val="none" w:sz="0" w:space="0" w:color="auto"/>
            <w:bottom w:val="none" w:sz="0" w:space="0" w:color="auto"/>
            <w:right w:val="none" w:sz="0" w:space="0" w:color="auto"/>
          </w:divBdr>
        </w:div>
        <w:div w:id="1898472041">
          <w:marLeft w:val="480"/>
          <w:marRight w:val="0"/>
          <w:marTop w:val="0"/>
          <w:marBottom w:val="0"/>
          <w:divBdr>
            <w:top w:val="none" w:sz="0" w:space="0" w:color="auto"/>
            <w:left w:val="none" w:sz="0" w:space="0" w:color="auto"/>
            <w:bottom w:val="none" w:sz="0" w:space="0" w:color="auto"/>
            <w:right w:val="none" w:sz="0" w:space="0" w:color="auto"/>
          </w:divBdr>
        </w:div>
        <w:div w:id="1860704340">
          <w:marLeft w:val="480"/>
          <w:marRight w:val="0"/>
          <w:marTop w:val="0"/>
          <w:marBottom w:val="0"/>
          <w:divBdr>
            <w:top w:val="none" w:sz="0" w:space="0" w:color="auto"/>
            <w:left w:val="none" w:sz="0" w:space="0" w:color="auto"/>
            <w:bottom w:val="none" w:sz="0" w:space="0" w:color="auto"/>
            <w:right w:val="none" w:sz="0" w:space="0" w:color="auto"/>
          </w:divBdr>
        </w:div>
        <w:div w:id="1469857051">
          <w:marLeft w:val="480"/>
          <w:marRight w:val="0"/>
          <w:marTop w:val="0"/>
          <w:marBottom w:val="0"/>
          <w:divBdr>
            <w:top w:val="none" w:sz="0" w:space="0" w:color="auto"/>
            <w:left w:val="none" w:sz="0" w:space="0" w:color="auto"/>
            <w:bottom w:val="none" w:sz="0" w:space="0" w:color="auto"/>
            <w:right w:val="none" w:sz="0" w:space="0" w:color="auto"/>
          </w:divBdr>
        </w:div>
      </w:divsChild>
    </w:div>
    <w:div w:id="1576475214">
      <w:bodyDiv w:val="1"/>
      <w:marLeft w:val="0"/>
      <w:marRight w:val="0"/>
      <w:marTop w:val="0"/>
      <w:marBottom w:val="0"/>
      <w:divBdr>
        <w:top w:val="none" w:sz="0" w:space="0" w:color="auto"/>
        <w:left w:val="none" w:sz="0" w:space="0" w:color="auto"/>
        <w:bottom w:val="none" w:sz="0" w:space="0" w:color="auto"/>
        <w:right w:val="none" w:sz="0" w:space="0" w:color="auto"/>
      </w:divBdr>
      <w:divsChild>
        <w:div w:id="1167751943">
          <w:marLeft w:val="480"/>
          <w:marRight w:val="0"/>
          <w:marTop w:val="0"/>
          <w:marBottom w:val="0"/>
          <w:divBdr>
            <w:top w:val="none" w:sz="0" w:space="0" w:color="auto"/>
            <w:left w:val="none" w:sz="0" w:space="0" w:color="auto"/>
            <w:bottom w:val="none" w:sz="0" w:space="0" w:color="auto"/>
            <w:right w:val="none" w:sz="0" w:space="0" w:color="auto"/>
          </w:divBdr>
        </w:div>
        <w:div w:id="1709866603">
          <w:marLeft w:val="480"/>
          <w:marRight w:val="0"/>
          <w:marTop w:val="0"/>
          <w:marBottom w:val="0"/>
          <w:divBdr>
            <w:top w:val="none" w:sz="0" w:space="0" w:color="auto"/>
            <w:left w:val="none" w:sz="0" w:space="0" w:color="auto"/>
            <w:bottom w:val="none" w:sz="0" w:space="0" w:color="auto"/>
            <w:right w:val="none" w:sz="0" w:space="0" w:color="auto"/>
          </w:divBdr>
        </w:div>
        <w:div w:id="2024088737">
          <w:marLeft w:val="480"/>
          <w:marRight w:val="0"/>
          <w:marTop w:val="0"/>
          <w:marBottom w:val="0"/>
          <w:divBdr>
            <w:top w:val="none" w:sz="0" w:space="0" w:color="auto"/>
            <w:left w:val="none" w:sz="0" w:space="0" w:color="auto"/>
            <w:bottom w:val="none" w:sz="0" w:space="0" w:color="auto"/>
            <w:right w:val="none" w:sz="0" w:space="0" w:color="auto"/>
          </w:divBdr>
        </w:div>
        <w:div w:id="1307976843">
          <w:marLeft w:val="480"/>
          <w:marRight w:val="0"/>
          <w:marTop w:val="0"/>
          <w:marBottom w:val="0"/>
          <w:divBdr>
            <w:top w:val="none" w:sz="0" w:space="0" w:color="auto"/>
            <w:left w:val="none" w:sz="0" w:space="0" w:color="auto"/>
            <w:bottom w:val="none" w:sz="0" w:space="0" w:color="auto"/>
            <w:right w:val="none" w:sz="0" w:space="0" w:color="auto"/>
          </w:divBdr>
        </w:div>
        <w:div w:id="133376943">
          <w:marLeft w:val="480"/>
          <w:marRight w:val="0"/>
          <w:marTop w:val="0"/>
          <w:marBottom w:val="0"/>
          <w:divBdr>
            <w:top w:val="none" w:sz="0" w:space="0" w:color="auto"/>
            <w:left w:val="none" w:sz="0" w:space="0" w:color="auto"/>
            <w:bottom w:val="none" w:sz="0" w:space="0" w:color="auto"/>
            <w:right w:val="none" w:sz="0" w:space="0" w:color="auto"/>
          </w:divBdr>
        </w:div>
      </w:divsChild>
    </w:div>
    <w:div w:id="1581526634">
      <w:bodyDiv w:val="1"/>
      <w:marLeft w:val="0"/>
      <w:marRight w:val="0"/>
      <w:marTop w:val="0"/>
      <w:marBottom w:val="0"/>
      <w:divBdr>
        <w:top w:val="none" w:sz="0" w:space="0" w:color="auto"/>
        <w:left w:val="none" w:sz="0" w:space="0" w:color="auto"/>
        <w:bottom w:val="none" w:sz="0" w:space="0" w:color="auto"/>
        <w:right w:val="none" w:sz="0" w:space="0" w:color="auto"/>
      </w:divBdr>
      <w:divsChild>
        <w:div w:id="1306547830">
          <w:marLeft w:val="480"/>
          <w:marRight w:val="0"/>
          <w:marTop w:val="0"/>
          <w:marBottom w:val="0"/>
          <w:divBdr>
            <w:top w:val="none" w:sz="0" w:space="0" w:color="auto"/>
            <w:left w:val="none" w:sz="0" w:space="0" w:color="auto"/>
            <w:bottom w:val="none" w:sz="0" w:space="0" w:color="auto"/>
            <w:right w:val="none" w:sz="0" w:space="0" w:color="auto"/>
          </w:divBdr>
        </w:div>
        <w:div w:id="2105881113">
          <w:marLeft w:val="480"/>
          <w:marRight w:val="0"/>
          <w:marTop w:val="0"/>
          <w:marBottom w:val="0"/>
          <w:divBdr>
            <w:top w:val="none" w:sz="0" w:space="0" w:color="auto"/>
            <w:left w:val="none" w:sz="0" w:space="0" w:color="auto"/>
            <w:bottom w:val="none" w:sz="0" w:space="0" w:color="auto"/>
            <w:right w:val="none" w:sz="0" w:space="0" w:color="auto"/>
          </w:divBdr>
        </w:div>
        <w:div w:id="50083669">
          <w:marLeft w:val="480"/>
          <w:marRight w:val="0"/>
          <w:marTop w:val="0"/>
          <w:marBottom w:val="0"/>
          <w:divBdr>
            <w:top w:val="none" w:sz="0" w:space="0" w:color="auto"/>
            <w:left w:val="none" w:sz="0" w:space="0" w:color="auto"/>
            <w:bottom w:val="none" w:sz="0" w:space="0" w:color="auto"/>
            <w:right w:val="none" w:sz="0" w:space="0" w:color="auto"/>
          </w:divBdr>
        </w:div>
        <w:div w:id="1341547669">
          <w:marLeft w:val="480"/>
          <w:marRight w:val="0"/>
          <w:marTop w:val="0"/>
          <w:marBottom w:val="0"/>
          <w:divBdr>
            <w:top w:val="none" w:sz="0" w:space="0" w:color="auto"/>
            <w:left w:val="none" w:sz="0" w:space="0" w:color="auto"/>
            <w:bottom w:val="none" w:sz="0" w:space="0" w:color="auto"/>
            <w:right w:val="none" w:sz="0" w:space="0" w:color="auto"/>
          </w:divBdr>
        </w:div>
        <w:div w:id="1054544616">
          <w:marLeft w:val="480"/>
          <w:marRight w:val="0"/>
          <w:marTop w:val="0"/>
          <w:marBottom w:val="0"/>
          <w:divBdr>
            <w:top w:val="none" w:sz="0" w:space="0" w:color="auto"/>
            <w:left w:val="none" w:sz="0" w:space="0" w:color="auto"/>
            <w:bottom w:val="none" w:sz="0" w:space="0" w:color="auto"/>
            <w:right w:val="none" w:sz="0" w:space="0" w:color="auto"/>
          </w:divBdr>
        </w:div>
      </w:divsChild>
    </w:div>
    <w:div w:id="1598368824">
      <w:bodyDiv w:val="1"/>
      <w:marLeft w:val="0"/>
      <w:marRight w:val="0"/>
      <w:marTop w:val="0"/>
      <w:marBottom w:val="0"/>
      <w:divBdr>
        <w:top w:val="none" w:sz="0" w:space="0" w:color="auto"/>
        <w:left w:val="none" w:sz="0" w:space="0" w:color="auto"/>
        <w:bottom w:val="none" w:sz="0" w:space="0" w:color="auto"/>
        <w:right w:val="none" w:sz="0" w:space="0" w:color="auto"/>
      </w:divBdr>
      <w:divsChild>
        <w:div w:id="1373578726">
          <w:marLeft w:val="480"/>
          <w:marRight w:val="0"/>
          <w:marTop w:val="0"/>
          <w:marBottom w:val="0"/>
          <w:divBdr>
            <w:top w:val="none" w:sz="0" w:space="0" w:color="auto"/>
            <w:left w:val="none" w:sz="0" w:space="0" w:color="auto"/>
            <w:bottom w:val="none" w:sz="0" w:space="0" w:color="auto"/>
            <w:right w:val="none" w:sz="0" w:space="0" w:color="auto"/>
          </w:divBdr>
        </w:div>
        <w:div w:id="1776091533">
          <w:marLeft w:val="480"/>
          <w:marRight w:val="0"/>
          <w:marTop w:val="0"/>
          <w:marBottom w:val="0"/>
          <w:divBdr>
            <w:top w:val="none" w:sz="0" w:space="0" w:color="auto"/>
            <w:left w:val="none" w:sz="0" w:space="0" w:color="auto"/>
            <w:bottom w:val="none" w:sz="0" w:space="0" w:color="auto"/>
            <w:right w:val="none" w:sz="0" w:space="0" w:color="auto"/>
          </w:divBdr>
        </w:div>
        <w:div w:id="2064787380">
          <w:marLeft w:val="480"/>
          <w:marRight w:val="0"/>
          <w:marTop w:val="0"/>
          <w:marBottom w:val="0"/>
          <w:divBdr>
            <w:top w:val="none" w:sz="0" w:space="0" w:color="auto"/>
            <w:left w:val="none" w:sz="0" w:space="0" w:color="auto"/>
            <w:bottom w:val="none" w:sz="0" w:space="0" w:color="auto"/>
            <w:right w:val="none" w:sz="0" w:space="0" w:color="auto"/>
          </w:divBdr>
        </w:div>
        <w:div w:id="867377223">
          <w:marLeft w:val="480"/>
          <w:marRight w:val="0"/>
          <w:marTop w:val="0"/>
          <w:marBottom w:val="0"/>
          <w:divBdr>
            <w:top w:val="none" w:sz="0" w:space="0" w:color="auto"/>
            <w:left w:val="none" w:sz="0" w:space="0" w:color="auto"/>
            <w:bottom w:val="none" w:sz="0" w:space="0" w:color="auto"/>
            <w:right w:val="none" w:sz="0" w:space="0" w:color="auto"/>
          </w:divBdr>
        </w:div>
      </w:divsChild>
    </w:div>
    <w:div w:id="1620255915">
      <w:bodyDiv w:val="1"/>
      <w:marLeft w:val="0"/>
      <w:marRight w:val="0"/>
      <w:marTop w:val="0"/>
      <w:marBottom w:val="0"/>
      <w:divBdr>
        <w:top w:val="none" w:sz="0" w:space="0" w:color="auto"/>
        <w:left w:val="none" w:sz="0" w:space="0" w:color="auto"/>
        <w:bottom w:val="none" w:sz="0" w:space="0" w:color="auto"/>
        <w:right w:val="none" w:sz="0" w:space="0" w:color="auto"/>
      </w:divBdr>
      <w:divsChild>
        <w:div w:id="1830124894">
          <w:marLeft w:val="480"/>
          <w:marRight w:val="0"/>
          <w:marTop w:val="0"/>
          <w:marBottom w:val="0"/>
          <w:divBdr>
            <w:top w:val="none" w:sz="0" w:space="0" w:color="auto"/>
            <w:left w:val="none" w:sz="0" w:space="0" w:color="auto"/>
            <w:bottom w:val="none" w:sz="0" w:space="0" w:color="auto"/>
            <w:right w:val="none" w:sz="0" w:space="0" w:color="auto"/>
          </w:divBdr>
        </w:div>
        <w:div w:id="569115176">
          <w:marLeft w:val="480"/>
          <w:marRight w:val="0"/>
          <w:marTop w:val="0"/>
          <w:marBottom w:val="0"/>
          <w:divBdr>
            <w:top w:val="none" w:sz="0" w:space="0" w:color="auto"/>
            <w:left w:val="none" w:sz="0" w:space="0" w:color="auto"/>
            <w:bottom w:val="none" w:sz="0" w:space="0" w:color="auto"/>
            <w:right w:val="none" w:sz="0" w:space="0" w:color="auto"/>
          </w:divBdr>
        </w:div>
        <w:div w:id="1411152864">
          <w:marLeft w:val="480"/>
          <w:marRight w:val="0"/>
          <w:marTop w:val="0"/>
          <w:marBottom w:val="0"/>
          <w:divBdr>
            <w:top w:val="none" w:sz="0" w:space="0" w:color="auto"/>
            <w:left w:val="none" w:sz="0" w:space="0" w:color="auto"/>
            <w:bottom w:val="none" w:sz="0" w:space="0" w:color="auto"/>
            <w:right w:val="none" w:sz="0" w:space="0" w:color="auto"/>
          </w:divBdr>
        </w:div>
        <w:div w:id="1572153478">
          <w:marLeft w:val="480"/>
          <w:marRight w:val="0"/>
          <w:marTop w:val="0"/>
          <w:marBottom w:val="0"/>
          <w:divBdr>
            <w:top w:val="none" w:sz="0" w:space="0" w:color="auto"/>
            <w:left w:val="none" w:sz="0" w:space="0" w:color="auto"/>
            <w:bottom w:val="none" w:sz="0" w:space="0" w:color="auto"/>
            <w:right w:val="none" w:sz="0" w:space="0" w:color="auto"/>
          </w:divBdr>
        </w:div>
        <w:div w:id="761147271">
          <w:marLeft w:val="480"/>
          <w:marRight w:val="0"/>
          <w:marTop w:val="0"/>
          <w:marBottom w:val="0"/>
          <w:divBdr>
            <w:top w:val="none" w:sz="0" w:space="0" w:color="auto"/>
            <w:left w:val="none" w:sz="0" w:space="0" w:color="auto"/>
            <w:bottom w:val="none" w:sz="0" w:space="0" w:color="auto"/>
            <w:right w:val="none" w:sz="0" w:space="0" w:color="auto"/>
          </w:divBdr>
        </w:div>
        <w:div w:id="1682047435">
          <w:marLeft w:val="480"/>
          <w:marRight w:val="0"/>
          <w:marTop w:val="0"/>
          <w:marBottom w:val="0"/>
          <w:divBdr>
            <w:top w:val="none" w:sz="0" w:space="0" w:color="auto"/>
            <w:left w:val="none" w:sz="0" w:space="0" w:color="auto"/>
            <w:bottom w:val="none" w:sz="0" w:space="0" w:color="auto"/>
            <w:right w:val="none" w:sz="0" w:space="0" w:color="auto"/>
          </w:divBdr>
        </w:div>
      </w:divsChild>
    </w:div>
    <w:div w:id="1655134682">
      <w:bodyDiv w:val="1"/>
      <w:marLeft w:val="0"/>
      <w:marRight w:val="0"/>
      <w:marTop w:val="0"/>
      <w:marBottom w:val="0"/>
      <w:divBdr>
        <w:top w:val="none" w:sz="0" w:space="0" w:color="auto"/>
        <w:left w:val="none" w:sz="0" w:space="0" w:color="auto"/>
        <w:bottom w:val="none" w:sz="0" w:space="0" w:color="auto"/>
        <w:right w:val="none" w:sz="0" w:space="0" w:color="auto"/>
      </w:divBdr>
    </w:div>
    <w:div w:id="1659191985">
      <w:bodyDiv w:val="1"/>
      <w:marLeft w:val="0"/>
      <w:marRight w:val="0"/>
      <w:marTop w:val="0"/>
      <w:marBottom w:val="0"/>
      <w:divBdr>
        <w:top w:val="none" w:sz="0" w:space="0" w:color="auto"/>
        <w:left w:val="none" w:sz="0" w:space="0" w:color="auto"/>
        <w:bottom w:val="none" w:sz="0" w:space="0" w:color="auto"/>
        <w:right w:val="none" w:sz="0" w:space="0" w:color="auto"/>
      </w:divBdr>
    </w:div>
    <w:div w:id="1662201586">
      <w:bodyDiv w:val="1"/>
      <w:marLeft w:val="0"/>
      <w:marRight w:val="0"/>
      <w:marTop w:val="0"/>
      <w:marBottom w:val="0"/>
      <w:divBdr>
        <w:top w:val="none" w:sz="0" w:space="0" w:color="auto"/>
        <w:left w:val="none" w:sz="0" w:space="0" w:color="auto"/>
        <w:bottom w:val="none" w:sz="0" w:space="0" w:color="auto"/>
        <w:right w:val="none" w:sz="0" w:space="0" w:color="auto"/>
      </w:divBdr>
      <w:divsChild>
        <w:div w:id="2115898132">
          <w:marLeft w:val="480"/>
          <w:marRight w:val="0"/>
          <w:marTop w:val="0"/>
          <w:marBottom w:val="0"/>
          <w:divBdr>
            <w:top w:val="none" w:sz="0" w:space="0" w:color="auto"/>
            <w:left w:val="none" w:sz="0" w:space="0" w:color="auto"/>
            <w:bottom w:val="none" w:sz="0" w:space="0" w:color="auto"/>
            <w:right w:val="none" w:sz="0" w:space="0" w:color="auto"/>
          </w:divBdr>
        </w:div>
        <w:div w:id="2095777471">
          <w:marLeft w:val="480"/>
          <w:marRight w:val="0"/>
          <w:marTop w:val="0"/>
          <w:marBottom w:val="0"/>
          <w:divBdr>
            <w:top w:val="none" w:sz="0" w:space="0" w:color="auto"/>
            <w:left w:val="none" w:sz="0" w:space="0" w:color="auto"/>
            <w:bottom w:val="none" w:sz="0" w:space="0" w:color="auto"/>
            <w:right w:val="none" w:sz="0" w:space="0" w:color="auto"/>
          </w:divBdr>
        </w:div>
        <w:div w:id="1613512590">
          <w:marLeft w:val="480"/>
          <w:marRight w:val="0"/>
          <w:marTop w:val="0"/>
          <w:marBottom w:val="0"/>
          <w:divBdr>
            <w:top w:val="none" w:sz="0" w:space="0" w:color="auto"/>
            <w:left w:val="none" w:sz="0" w:space="0" w:color="auto"/>
            <w:bottom w:val="none" w:sz="0" w:space="0" w:color="auto"/>
            <w:right w:val="none" w:sz="0" w:space="0" w:color="auto"/>
          </w:divBdr>
        </w:div>
        <w:div w:id="1371609970">
          <w:marLeft w:val="480"/>
          <w:marRight w:val="0"/>
          <w:marTop w:val="0"/>
          <w:marBottom w:val="0"/>
          <w:divBdr>
            <w:top w:val="none" w:sz="0" w:space="0" w:color="auto"/>
            <w:left w:val="none" w:sz="0" w:space="0" w:color="auto"/>
            <w:bottom w:val="none" w:sz="0" w:space="0" w:color="auto"/>
            <w:right w:val="none" w:sz="0" w:space="0" w:color="auto"/>
          </w:divBdr>
        </w:div>
        <w:div w:id="28384314">
          <w:marLeft w:val="480"/>
          <w:marRight w:val="0"/>
          <w:marTop w:val="0"/>
          <w:marBottom w:val="0"/>
          <w:divBdr>
            <w:top w:val="none" w:sz="0" w:space="0" w:color="auto"/>
            <w:left w:val="none" w:sz="0" w:space="0" w:color="auto"/>
            <w:bottom w:val="none" w:sz="0" w:space="0" w:color="auto"/>
            <w:right w:val="none" w:sz="0" w:space="0" w:color="auto"/>
          </w:divBdr>
        </w:div>
      </w:divsChild>
    </w:div>
    <w:div w:id="1671786215">
      <w:bodyDiv w:val="1"/>
      <w:marLeft w:val="0"/>
      <w:marRight w:val="0"/>
      <w:marTop w:val="0"/>
      <w:marBottom w:val="0"/>
      <w:divBdr>
        <w:top w:val="none" w:sz="0" w:space="0" w:color="auto"/>
        <w:left w:val="none" w:sz="0" w:space="0" w:color="auto"/>
        <w:bottom w:val="none" w:sz="0" w:space="0" w:color="auto"/>
        <w:right w:val="none" w:sz="0" w:space="0" w:color="auto"/>
      </w:divBdr>
      <w:divsChild>
        <w:div w:id="1105228764">
          <w:marLeft w:val="480"/>
          <w:marRight w:val="0"/>
          <w:marTop w:val="0"/>
          <w:marBottom w:val="0"/>
          <w:divBdr>
            <w:top w:val="none" w:sz="0" w:space="0" w:color="auto"/>
            <w:left w:val="none" w:sz="0" w:space="0" w:color="auto"/>
            <w:bottom w:val="none" w:sz="0" w:space="0" w:color="auto"/>
            <w:right w:val="none" w:sz="0" w:space="0" w:color="auto"/>
          </w:divBdr>
        </w:div>
        <w:div w:id="1737168043">
          <w:marLeft w:val="480"/>
          <w:marRight w:val="0"/>
          <w:marTop w:val="0"/>
          <w:marBottom w:val="0"/>
          <w:divBdr>
            <w:top w:val="none" w:sz="0" w:space="0" w:color="auto"/>
            <w:left w:val="none" w:sz="0" w:space="0" w:color="auto"/>
            <w:bottom w:val="none" w:sz="0" w:space="0" w:color="auto"/>
            <w:right w:val="none" w:sz="0" w:space="0" w:color="auto"/>
          </w:divBdr>
        </w:div>
        <w:div w:id="1821992392">
          <w:marLeft w:val="480"/>
          <w:marRight w:val="0"/>
          <w:marTop w:val="0"/>
          <w:marBottom w:val="0"/>
          <w:divBdr>
            <w:top w:val="none" w:sz="0" w:space="0" w:color="auto"/>
            <w:left w:val="none" w:sz="0" w:space="0" w:color="auto"/>
            <w:bottom w:val="none" w:sz="0" w:space="0" w:color="auto"/>
            <w:right w:val="none" w:sz="0" w:space="0" w:color="auto"/>
          </w:divBdr>
        </w:div>
        <w:div w:id="1380594631">
          <w:marLeft w:val="480"/>
          <w:marRight w:val="0"/>
          <w:marTop w:val="0"/>
          <w:marBottom w:val="0"/>
          <w:divBdr>
            <w:top w:val="none" w:sz="0" w:space="0" w:color="auto"/>
            <w:left w:val="none" w:sz="0" w:space="0" w:color="auto"/>
            <w:bottom w:val="none" w:sz="0" w:space="0" w:color="auto"/>
            <w:right w:val="none" w:sz="0" w:space="0" w:color="auto"/>
          </w:divBdr>
        </w:div>
      </w:divsChild>
    </w:div>
    <w:div w:id="1779982653">
      <w:bodyDiv w:val="1"/>
      <w:marLeft w:val="0"/>
      <w:marRight w:val="0"/>
      <w:marTop w:val="0"/>
      <w:marBottom w:val="0"/>
      <w:divBdr>
        <w:top w:val="none" w:sz="0" w:space="0" w:color="auto"/>
        <w:left w:val="none" w:sz="0" w:space="0" w:color="auto"/>
        <w:bottom w:val="none" w:sz="0" w:space="0" w:color="auto"/>
        <w:right w:val="none" w:sz="0" w:space="0" w:color="auto"/>
      </w:divBdr>
    </w:div>
    <w:div w:id="1826968692">
      <w:bodyDiv w:val="1"/>
      <w:marLeft w:val="0"/>
      <w:marRight w:val="0"/>
      <w:marTop w:val="0"/>
      <w:marBottom w:val="0"/>
      <w:divBdr>
        <w:top w:val="none" w:sz="0" w:space="0" w:color="auto"/>
        <w:left w:val="none" w:sz="0" w:space="0" w:color="auto"/>
        <w:bottom w:val="none" w:sz="0" w:space="0" w:color="auto"/>
        <w:right w:val="none" w:sz="0" w:space="0" w:color="auto"/>
      </w:divBdr>
      <w:divsChild>
        <w:div w:id="207307639">
          <w:marLeft w:val="480"/>
          <w:marRight w:val="0"/>
          <w:marTop w:val="0"/>
          <w:marBottom w:val="0"/>
          <w:divBdr>
            <w:top w:val="none" w:sz="0" w:space="0" w:color="auto"/>
            <w:left w:val="none" w:sz="0" w:space="0" w:color="auto"/>
            <w:bottom w:val="none" w:sz="0" w:space="0" w:color="auto"/>
            <w:right w:val="none" w:sz="0" w:space="0" w:color="auto"/>
          </w:divBdr>
        </w:div>
        <w:div w:id="939606574">
          <w:marLeft w:val="480"/>
          <w:marRight w:val="0"/>
          <w:marTop w:val="0"/>
          <w:marBottom w:val="0"/>
          <w:divBdr>
            <w:top w:val="none" w:sz="0" w:space="0" w:color="auto"/>
            <w:left w:val="none" w:sz="0" w:space="0" w:color="auto"/>
            <w:bottom w:val="none" w:sz="0" w:space="0" w:color="auto"/>
            <w:right w:val="none" w:sz="0" w:space="0" w:color="auto"/>
          </w:divBdr>
        </w:div>
        <w:div w:id="2137021028">
          <w:marLeft w:val="480"/>
          <w:marRight w:val="0"/>
          <w:marTop w:val="0"/>
          <w:marBottom w:val="0"/>
          <w:divBdr>
            <w:top w:val="none" w:sz="0" w:space="0" w:color="auto"/>
            <w:left w:val="none" w:sz="0" w:space="0" w:color="auto"/>
            <w:bottom w:val="none" w:sz="0" w:space="0" w:color="auto"/>
            <w:right w:val="none" w:sz="0" w:space="0" w:color="auto"/>
          </w:divBdr>
        </w:div>
        <w:div w:id="1567104776">
          <w:marLeft w:val="480"/>
          <w:marRight w:val="0"/>
          <w:marTop w:val="0"/>
          <w:marBottom w:val="0"/>
          <w:divBdr>
            <w:top w:val="none" w:sz="0" w:space="0" w:color="auto"/>
            <w:left w:val="none" w:sz="0" w:space="0" w:color="auto"/>
            <w:bottom w:val="none" w:sz="0" w:space="0" w:color="auto"/>
            <w:right w:val="none" w:sz="0" w:space="0" w:color="auto"/>
          </w:divBdr>
        </w:div>
        <w:div w:id="1956520089">
          <w:marLeft w:val="480"/>
          <w:marRight w:val="0"/>
          <w:marTop w:val="0"/>
          <w:marBottom w:val="0"/>
          <w:divBdr>
            <w:top w:val="none" w:sz="0" w:space="0" w:color="auto"/>
            <w:left w:val="none" w:sz="0" w:space="0" w:color="auto"/>
            <w:bottom w:val="none" w:sz="0" w:space="0" w:color="auto"/>
            <w:right w:val="none" w:sz="0" w:space="0" w:color="auto"/>
          </w:divBdr>
        </w:div>
        <w:div w:id="432408295">
          <w:marLeft w:val="480"/>
          <w:marRight w:val="0"/>
          <w:marTop w:val="0"/>
          <w:marBottom w:val="0"/>
          <w:divBdr>
            <w:top w:val="none" w:sz="0" w:space="0" w:color="auto"/>
            <w:left w:val="none" w:sz="0" w:space="0" w:color="auto"/>
            <w:bottom w:val="none" w:sz="0" w:space="0" w:color="auto"/>
            <w:right w:val="none" w:sz="0" w:space="0" w:color="auto"/>
          </w:divBdr>
        </w:div>
        <w:div w:id="1320768551">
          <w:marLeft w:val="480"/>
          <w:marRight w:val="0"/>
          <w:marTop w:val="0"/>
          <w:marBottom w:val="0"/>
          <w:divBdr>
            <w:top w:val="none" w:sz="0" w:space="0" w:color="auto"/>
            <w:left w:val="none" w:sz="0" w:space="0" w:color="auto"/>
            <w:bottom w:val="none" w:sz="0" w:space="0" w:color="auto"/>
            <w:right w:val="none" w:sz="0" w:space="0" w:color="auto"/>
          </w:divBdr>
        </w:div>
      </w:divsChild>
    </w:div>
    <w:div w:id="1840926879">
      <w:bodyDiv w:val="1"/>
      <w:marLeft w:val="0"/>
      <w:marRight w:val="0"/>
      <w:marTop w:val="0"/>
      <w:marBottom w:val="0"/>
      <w:divBdr>
        <w:top w:val="none" w:sz="0" w:space="0" w:color="auto"/>
        <w:left w:val="none" w:sz="0" w:space="0" w:color="auto"/>
        <w:bottom w:val="none" w:sz="0" w:space="0" w:color="auto"/>
        <w:right w:val="none" w:sz="0" w:space="0" w:color="auto"/>
      </w:divBdr>
    </w:div>
    <w:div w:id="1850824585">
      <w:bodyDiv w:val="1"/>
      <w:marLeft w:val="0"/>
      <w:marRight w:val="0"/>
      <w:marTop w:val="0"/>
      <w:marBottom w:val="0"/>
      <w:divBdr>
        <w:top w:val="none" w:sz="0" w:space="0" w:color="auto"/>
        <w:left w:val="none" w:sz="0" w:space="0" w:color="auto"/>
        <w:bottom w:val="none" w:sz="0" w:space="0" w:color="auto"/>
        <w:right w:val="none" w:sz="0" w:space="0" w:color="auto"/>
      </w:divBdr>
      <w:divsChild>
        <w:div w:id="1343321281">
          <w:marLeft w:val="480"/>
          <w:marRight w:val="0"/>
          <w:marTop w:val="0"/>
          <w:marBottom w:val="0"/>
          <w:divBdr>
            <w:top w:val="none" w:sz="0" w:space="0" w:color="auto"/>
            <w:left w:val="none" w:sz="0" w:space="0" w:color="auto"/>
            <w:bottom w:val="none" w:sz="0" w:space="0" w:color="auto"/>
            <w:right w:val="none" w:sz="0" w:space="0" w:color="auto"/>
          </w:divBdr>
        </w:div>
        <w:div w:id="974410802">
          <w:marLeft w:val="480"/>
          <w:marRight w:val="0"/>
          <w:marTop w:val="0"/>
          <w:marBottom w:val="0"/>
          <w:divBdr>
            <w:top w:val="none" w:sz="0" w:space="0" w:color="auto"/>
            <w:left w:val="none" w:sz="0" w:space="0" w:color="auto"/>
            <w:bottom w:val="none" w:sz="0" w:space="0" w:color="auto"/>
            <w:right w:val="none" w:sz="0" w:space="0" w:color="auto"/>
          </w:divBdr>
        </w:div>
        <w:div w:id="389495699">
          <w:marLeft w:val="480"/>
          <w:marRight w:val="0"/>
          <w:marTop w:val="0"/>
          <w:marBottom w:val="0"/>
          <w:divBdr>
            <w:top w:val="none" w:sz="0" w:space="0" w:color="auto"/>
            <w:left w:val="none" w:sz="0" w:space="0" w:color="auto"/>
            <w:bottom w:val="none" w:sz="0" w:space="0" w:color="auto"/>
            <w:right w:val="none" w:sz="0" w:space="0" w:color="auto"/>
          </w:divBdr>
        </w:div>
        <w:div w:id="310403997">
          <w:marLeft w:val="480"/>
          <w:marRight w:val="0"/>
          <w:marTop w:val="0"/>
          <w:marBottom w:val="0"/>
          <w:divBdr>
            <w:top w:val="none" w:sz="0" w:space="0" w:color="auto"/>
            <w:left w:val="none" w:sz="0" w:space="0" w:color="auto"/>
            <w:bottom w:val="none" w:sz="0" w:space="0" w:color="auto"/>
            <w:right w:val="none" w:sz="0" w:space="0" w:color="auto"/>
          </w:divBdr>
        </w:div>
        <w:div w:id="870337283">
          <w:marLeft w:val="480"/>
          <w:marRight w:val="0"/>
          <w:marTop w:val="0"/>
          <w:marBottom w:val="0"/>
          <w:divBdr>
            <w:top w:val="none" w:sz="0" w:space="0" w:color="auto"/>
            <w:left w:val="none" w:sz="0" w:space="0" w:color="auto"/>
            <w:bottom w:val="none" w:sz="0" w:space="0" w:color="auto"/>
            <w:right w:val="none" w:sz="0" w:space="0" w:color="auto"/>
          </w:divBdr>
        </w:div>
        <w:div w:id="1166046045">
          <w:marLeft w:val="480"/>
          <w:marRight w:val="0"/>
          <w:marTop w:val="0"/>
          <w:marBottom w:val="0"/>
          <w:divBdr>
            <w:top w:val="none" w:sz="0" w:space="0" w:color="auto"/>
            <w:left w:val="none" w:sz="0" w:space="0" w:color="auto"/>
            <w:bottom w:val="none" w:sz="0" w:space="0" w:color="auto"/>
            <w:right w:val="none" w:sz="0" w:space="0" w:color="auto"/>
          </w:divBdr>
        </w:div>
        <w:div w:id="1642153035">
          <w:marLeft w:val="480"/>
          <w:marRight w:val="0"/>
          <w:marTop w:val="0"/>
          <w:marBottom w:val="0"/>
          <w:divBdr>
            <w:top w:val="none" w:sz="0" w:space="0" w:color="auto"/>
            <w:left w:val="none" w:sz="0" w:space="0" w:color="auto"/>
            <w:bottom w:val="none" w:sz="0" w:space="0" w:color="auto"/>
            <w:right w:val="none" w:sz="0" w:space="0" w:color="auto"/>
          </w:divBdr>
        </w:div>
        <w:div w:id="343674036">
          <w:marLeft w:val="480"/>
          <w:marRight w:val="0"/>
          <w:marTop w:val="0"/>
          <w:marBottom w:val="0"/>
          <w:divBdr>
            <w:top w:val="none" w:sz="0" w:space="0" w:color="auto"/>
            <w:left w:val="none" w:sz="0" w:space="0" w:color="auto"/>
            <w:bottom w:val="none" w:sz="0" w:space="0" w:color="auto"/>
            <w:right w:val="none" w:sz="0" w:space="0" w:color="auto"/>
          </w:divBdr>
        </w:div>
      </w:divsChild>
    </w:div>
    <w:div w:id="1872959075">
      <w:bodyDiv w:val="1"/>
      <w:marLeft w:val="0"/>
      <w:marRight w:val="0"/>
      <w:marTop w:val="0"/>
      <w:marBottom w:val="0"/>
      <w:divBdr>
        <w:top w:val="none" w:sz="0" w:space="0" w:color="auto"/>
        <w:left w:val="none" w:sz="0" w:space="0" w:color="auto"/>
        <w:bottom w:val="none" w:sz="0" w:space="0" w:color="auto"/>
        <w:right w:val="none" w:sz="0" w:space="0" w:color="auto"/>
      </w:divBdr>
      <w:divsChild>
        <w:div w:id="1662853472">
          <w:marLeft w:val="480"/>
          <w:marRight w:val="0"/>
          <w:marTop w:val="0"/>
          <w:marBottom w:val="0"/>
          <w:divBdr>
            <w:top w:val="none" w:sz="0" w:space="0" w:color="auto"/>
            <w:left w:val="none" w:sz="0" w:space="0" w:color="auto"/>
            <w:bottom w:val="none" w:sz="0" w:space="0" w:color="auto"/>
            <w:right w:val="none" w:sz="0" w:space="0" w:color="auto"/>
          </w:divBdr>
        </w:div>
        <w:div w:id="1908832159">
          <w:marLeft w:val="480"/>
          <w:marRight w:val="0"/>
          <w:marTop w:val="0"/>
          <w:marBottom w:val="0"/>
          <w:divBdr>
            <w:top w:val="none" w:sz="0" w:space="0" w:color="auto"/>
            <w:left w:val="none" w:sz="0" w:space="0" w:color="auto"/>
            <w:bottom w:val="none" w:sz="0" w:space="0" w:color="auto"/>
            <w:right w:val="none" w:sz="0" w:space="0" w:color="auto"/>
          </w:divBdr>
        </w:div>
        <w:div w:id="953361207">
          <w:marLeft w:val="480"/>
          <w:marRight w:val="0"/>
          <w:marTop w:val="0"/>
          <w:marBottom w:val="0"/>
          <w:divBdr>
            <w:top w:val="none" w:sz="0" w:space="0" w:color="auto"/>
            <w:left w:val="none" w:sz="0" w:space="0" w:color="auto"/>
            <w:bottom w:val="none" w:sz="0" w:space="0" w:color="auto"/>
            <w:right w:val="none" w:sz="0" w:space="0" w:color="auto"/>
          </w:divBdr>
        </w:div>
        <w:div w:id="156505188">
          <w:marLeft w:val="480"/>
          <w:marRight w:val="0"/>
          <w:marTop w:val="0"/>
          <w:marBottom w:val="0"/>
          <w:divBdr>
            <w:top w:val="none" w:sz="0" w:space="0" w:color="auto"/>
            <w:left w:val="none" w:sz="0" w:space="0" w:color="auto"/>
            <w:bottom w:val="none" w:sz="0" w:space="0" w:color="auto"/>
            <w:right w:val="none" w:sz="0" w:space="0" w:color="auto"/>
          </w:divBdr>
        </w:div>
        <w:div w:id="1020818929">
          <w:marLeft w:val="480"/>
          <w:marRight w:val="0"/>
          <w:marTop w:val="0"/>
          <w:marBottom w:val="0"/>
          <w:divBdr>
            <w:top w:val="none" w:sz="0" w:space="0" w:color="auto"/>
            <w:left w:val="none" w:sz="0" w:space="0" w:color="auto"/>
            <w:bottom w:val="none" w:sz="0" w:space="0" w:color="auto"/>
            <w:right w:val="none" w:sz="0" w:space="0" w:color="auto"/>
          </w:divBdr>
        </w:div>
        <w:div w:id="1233202405">
          <w:marLeft w:val="480"/>
          <w:marRight w:val="0"/>
          <w:marTop w:val="0"/>
          <w:marBottom w:val="0"/>
          <w:divBdr>
            <w:top w:val="none" w:sz="0" w:space="0" w:color="auto"/>
            <w:left w:val="none" w:sz="0" w:space="0" w:color="auto"/>
            <w:bottom w:val="none" w:sz="0" w:space="0" w:color="auto"/>
            <w:right w:val="none" w:sz="0" w:space="0" w:color="auto"/>
          </w:divBdr>
        </w:div>
      </w:divsChild>
    </w:div>
    <w:div w:id="1878543406">
      <w:bodyDiv w:val="1"/>
      <w:marLeft w:val="0"/>
      <w:marRight w:val="0"/>
      <w:marTop w:val="0"/>
      <w:marBottom w:val="0"/>
      <w:divBdr>
        <w:top w:val="none" w:sz="0" w:space="0" w:color="auto"/>
        <w:left w:val="none" w:sz="0" w:space="0" w:color="auto"/>
        <w:bottom w:val="none" w:sz="0" w:space="0" w:color="auto"/>
        <w:right w:val="none" w:sz="0" w:space="0" w:color="auto"/>
      </w:divBdr>
      <w:divsChild>
        <w:div w:id="566377105">
          <w:marLeft w:val="480"/>
          <w:marRight w:val="0"/>
          <w:marTop w:val="0"/>
          <w:marBottom w:val="0"/>
          <w:divBdr>
            <w:top w:val="none" w:sz="0" w:space="0" w:color="auto"/>
            <w:left w:val="none" w:sz="0" w:space="0" w:color="auto"/>
            <w:bottom w:val="none" w:sz="0" w:space="0" w:color="auto"/>
            <w:right w:val="none" w:sz="0" w:space="0" w:color="auto"/>
          </w:divBdr>
        </w:div>
        <w:div w:id="2014918588">
          <w:marLeft w:val="480"/>
          <w:marRight w:val="0"/>
          <w:marTop w:val="0"/>
          <w:marBottom w:val="0"/>
          <w:divBdr>
            <w:top w:val="none" w:sz="0" w:space="0" w:color="auto"/>
            <w:left w:val="none" w:sz="0" w:space="0" w:color="auto"/>
            <w:bottom w:val="none" w:sz="0" w:space="0" w:color="auto"/>
            <w:right w:val="none" w:sz="0" w:space="0" w:color="auto"/>
          </w:divBdr>
        </w:div>
        <w:div w:id="1006977843">
          <w:marLeft w:val="480"/>
          <w:marRight w:val="0"/>
          <w:marTop w:val="0"/>
          <w:marBottom w:val="0"/>
          <w:divBdr>
            <w:top w:val="none" w:sz="0" w:space="0" w:color="auto"/>
            <w:left w:val="none" w:sz="0" w:space="0" w:color="auto"/>
            <w:bottom w:val="none" w:sz="0" w:space="0" w:color="auto"/>
            <w:right w:val="none" w:sz="0" w:space="0" w:color="auto"/>
          </w:divBdr>
        </w:div>
        <w:div w:id="347021183">
          <w:marLeft w:val="480"/>
          <w:marRight w:val="0"/>
          <w:marTop w:val="0"/>
          <w:marBottom w:val="0"/>
          <w:divBdr>
            <w:top w:val="none" w:sz="0" w:space="0" w:color="auto"/>
            <w:left w:val="none" w:sz="0" w:space="0" w:color="auto"/>
            <w:bottom w:val="none" w:sz="0" w:space="0" w:color="auto"/>
            <w:right w:val="none" w:sz="0" w:space="0" w:color="auto"/>
          </w:divBdr>
        </w:div>
        <w:div w:id="1496530104">
          <w:marLeft w:val="480"/>
          <w:marRight w:val="0"/>
          <w:marTop w:val="0"/>
          <w:marBottom w:val="0"/>
          <w:divBdr>
            <w:top w:val="none" w:sz="0" w:space="0" w:color="auto"/>
            <w:left w:val="none" w:sz="0" w:space="0" w:color="auto"/>
            <w:bottom w:val="none" w:sz="0" w:space="0" w:color="auto"/>
            <w:right w:val="none" w:sz="0" w:space="0" w:color="auto"/>
          </w:divBdr>
        </w:div>
      </w:divsChild>
    </w:div>
    <w:div w:id="1913157619">
      <w:bodyDiv w:val="1"/>
      <w:marLeft w:val="0"/>
      <w:marRight w:val="0"/>
      <w:marTop w:val="0"/>
      <w:marBottom w:val="0"/>
      <w:divBdr>
        <w:top w:val="none" w:sz="0" w:space="0" w:color="auto"/>
        <w:left w:val="none" w:sz="0" w:space="0" w:color="auto"/>
        <w:bottom w:val="none" w:sz="0" w:space="0" w:color="auto"/>
        <w:right w:val="none" w:sz="0" w:space="0" w:color="auto"/>
      </w:divBdr>
      <w:divsChild>
        <w:div w:id="1712806290">
          <w:marLeft w:val="480"/>
          <w:marRight w:val="0"/>
          <w:marTop w:val="0"/>
          <w:marBottom w:val="0"/>
          <w:divBdr>
            <w:top w:val="none" w:sz="0" w:space="0" w:color="auto"/>
            <w:left w:val="none" w:sz="0" w:space="0" w:color="auto"/>
            <w:bottom w:val="none" w:sz="0" w:space="0" w:color="auto"/>
            <w:right w:val="none" w:sz="0" w:space="0" w:color="auto"/>
          </w:divBdr>
        </w:div>
        <w:div w:id="1669480177">
          <w:marLeft w:val="480"/>
          <w:marRight w:val="0"/>
          <w:marTop w:val="0"/>
          <w:marBottom w:val="0"/>
          <w:divBdr>
            <w:top w:val="none" w:sz="0" w:space="0" w:color="auto"/>
            <w:left w:val="none" w:sz="0" w:space="0" w:color="auto"/>
            <w:bottom w:val="none" w:sz="0" w:space="0" w:color="auto"/>
            <w:right w:val="none" w:sz="0" w:space="0" w:color="auto"/>
          </w:divBdr>
        </w:div>
        <w:div w:id="1008754572">
          <w:marLeft w:val="480"/>
          <w:marRight w:val="0"/>
          <w:marTop w:val="0"/>
          <w:marBottom w:val="0"/>
          <w:divBdr>
            <w:top w:val="none" w:sz="0" w:space="0" w:color="auto"/>
            <w:left w:val="none" w:sz="0" w:space="0" w:color="auto"/>
            <w:bottom w:val="none" w:sz="0" w:space="0" w:color="auto"/>
            <w:right w:val="none" w:sz="0" w:space="0" w:color="auto"/>
          </w:divBdr>
        </w:div>
        <w:div w:id="578834573">
          <w:marLeft w:val="480"/>
          <w:marRight w:val="0"/>
          <w:marTop w:val="0"/>
          <w:marBottom w:val="0"/>
          <w:divBdr>
            <w:top w:val="none" w:sz="0" w:space="0" w:color="auto"/>
            <w:left w:val="none" w:sz="0" w:space="0" w:color="auto"/>
            <w:bottom w:val="none" w:sz="0" w:space="0" w:color="auto"/>
            <w:right w:val="none" w:sz="0" w:space="0" w:color="auto"/>
          </w:divBdr>
        </w:div>
        <w:div w:id="1533683714">
          <w:marLeft w:val="480"/>
          <w:marRight w:val="0"/>
          <w:marTop w:val="0"/>
          <w:marBottom w:val="0"/>
          <w:divBdr>
            <w:top w:val="none" w:sz="0" w:space="0" w:color="auto"/>
            <w:left w:val="none" w:sz="0" w:space="0" w:color="auto"/>
            <w:bottom w:val="none" w:sz="0" w:space="0" w:color="auto"/>
            <w:right w:val="none" w:sz="0" w:space="0" w:color="auto"/>
          </w:divBdr>
        </w:div>
        <w:div w:id="2065135431">
          <w:marLeft w:val="480"/>
          <w:marRight w:val="0"/>
          <w:marTop w:val="0"/>
          <w:marBottom w:val="0"/>
          <w:divBdr>
            <w:top w:val="none" w:sz="0" w:space="0" w:color="auto"/>
            <w:left w:val="none" w:sz="0" w:space="0" w:color="auto"/>
            <w:bottom w:val="none" w:sz="0" w:space="0" w:color="auto"/>
            <w:right w:val="none" w:sz="0" w:space="0" w:color="auto"/>
          </w:divBdr>
        </w:div>
        <w:div w:id="2112820794">
          <w:marLeft w:val="480"/>
          <w:marRight w:val="0"/>
          <w:marTop w:val="0"/>
          <w:marBottom w:val="0"/>
          <w:divBdr>
            <w:top w:val="none" w:sz="0" w:space="0" w:color="auto"/>
            <w:left w:val="none" w:sz="0" w:space="0" w:color="auto"/>
            <w:bottom w:val="none" w:sz="0" w:space="0" w:color="auto"/>
            <w:right w:val="none" w:sz="0" w:space="0" w:color="auto"/>
          </w:divBdr>
        </w:div>
        <w:div w:id="1118599704">
          <w:marLeft w:val="480"/>
          <w:marRight w:val="0"/>
          <w:marTop w:val="0"/>
          <w:marBottom w:val="0"/>
          <w:divBdr>
            <w:top w:val="none" w:sz="0" w:space="0" w:color="auto"/>
            <w:left w:val="none" w:sz="0" w:space="0" w:color="auto"/>
            <w:bottom w:val="none" w:sz="0" w:space="0" w:color="auto"/>
            <w:right w:val="none" w:sz="0" w:space="0" w:color="auto"/>
          </w:divBdr>
        </w:div>
        <w:div w:id="71775856">
          <w:marLeft w:val="480"/>
          <w:marRight w:val="0"/>
          <w:marTop w:val="0"/>
          <w:marBottom w:val="0"/>
          <w:divBdr>
            <w:top w:val="none" w:sz="0" w:space="0" w:color="auto"/>
            <w:left w:val="none" w:sz="0" w:space="0" w:color="auto"/>
            <w:bottom w:val="none" w:sz="0" w:space="0" w:color="auto"/>
            <w:right w:val="none" w:sz="0" w:space="0" w:color="auto"/>
          </w:divBdr>
        </w:div>
        <w:div w:id="2036078043">
          <w:marLeft w:val="480"/>
          <w:marRight w:val="0"/>
          <w:marTop w:val="0"/>
          <w:marBottom w:val="0"/>
          <w:divBdr>
            <w:top w:val="none" w:sz="0" w:space="0" w:color="auto"/>
            <w:left w:val="none" w:sz="0" w:space="0" w:color="auto"/>
            <w:bottom w:val="none" w:sz="0" w:space="0" w:color="auto"/>
            <w:right w:val="none" w:sz="0" w:space="0" w:color="auto"/>
          </w:divBdr>
        </w:div>
      </w:divsChild>
    </w:div>
    <w:div w:id="1989048459">
      <w:bodyDiv w:val="1"/>
      <w:marLeft w:val="0"/>
      <w:marRight w:val="0"/>
      <w:marTop w:val="0"/>
      <w:marBottom w:val="0"/>
      <w:divBdr>
        <w:top w:val="none" w:sz="0" w:space="0" w:color="auto"/>
        <w:left w:val="none" w:sz="0" w:space="0" w:color="auto"/>
        <w:bottom w:val="none" w:sz="0" w:space="0" w:color="auto"/>
        <w:right w:val="none" w:sz="0" w:space="0" w:color="auto"/>
      </w:divBdr>
    </w:div>
    <w:div w:id="1998220194">
      <w:bodyDiv w:val="1"/>
      <w:marLeft w:val="0"/>
      <w:marRight w:val="0"/>
      <w:marTop w:val="0"/>
      <w:marBottom w:val="0"/>
      <w:divBdr>
        <w:top w:val="none" w:sz="0" w:space="0" w:color="auto"/>
        <w:left w:val="none" w:sz="0" w:space="0" w:color="auto"/>
        <w:bottom w:val="none" w:sz="0" w:space="0" w:color="auto"/>
        <w:right w:val="none" w:sz="0" w:space="0" w:color="auto"/>
      </w:divBdr>
      <w:divsChild>
        <w:div w:id="890115428">
          <w:marLeft w:val="480"/>
          <w:marRight w:val="0"/>
          <w:marTop w:val="0"/>
          <w:marBottom w:val="0"/>
          <w:divBdr>
            <w:top w:val="none" w:sz="0" w:space="0" w:color="auto"/>
            <w:left w:val="none" w:sz="0" w:space="0" w:color="auto"/>
            <w:bottom w:val="none" w:sz="0" w:space="0" w:color="auto"/>
            <w:right w:val="none" w:sz="0" w:space="0" w:color="auto"/>
          </w:divBdr>
        </w:div>
        <w:div w:id="544365279">
          <w:marLeft w:val="480"/>
          <w:marRight w:val="0"/>
          <w:marTop w:val="0"/>
          <w:marBottom w:val="0"/>
          <w:divBdr>
            <w:top w:val="none" w:sz="0" w:space="0" w:color="auto"/>
            <w:left w:val="none" w:sz="0" w:space="0" w:color="auto"/>
            <w:bottom w:val="none" w:sz="0" w:space="0" w:color="auto"/>
            <w:right w:val="none" w:sz="0" w:space="0" w:color="auto"/>
          </w:divBdr>
        </w:div>
        <w:div w:id="1306012258">
          <w:marLeft w:val="480"/>
          <w:marRight w:val="0"/>
          <w:marTop w:val="0"/>
          <w:marBottom w:val="0"/>
          <w:divBdr>
            <w:top w:val="none" w:sz="0" w:space="0" w:color="auto"/>
            <w:left w:val="none" w:sz="0" w:space="0" w:color="auto"/>
            <w:bottom w:val="none" w:sz="0" w:space="0" w:color="auto"/>
            <w:right w:val="none" w:sz="0" w:space="0" w:color="auto"/>
          </w:divBdr>
        </w:div>
        <w:div w:id="179859739">
          <w:marLeft w:val="480"/>
          <w:marRight w:val="0"/>
          <w:marTop w:val="0"/>
          <w:marBottom w:val="0"/>
          <w:divBdr>
            <w:top w:val="none" w:sz="0" w:space="0" w:color="auto"/>
            <w:left w:val="none" w:sz="0" w:space="0" w:color="auto"/>
            <w:bottom w:val="none" w:sz="0" w:space="0" w:color="auto"/>
            <w:right w:val="none" w:sz="0" w:space="0" w:color="auto"/>
          </w:divBdr>
        </w:div>
        <w:div w:id="1022128533">
          <w:marLeft w:val="480"/>
          <w:marRight w:val="0"/>
          <w:marTop w:val="0"/>
          <w:marBottom w:val="0"/>
          <w:divBdr>
            <w:top w:val="none" w:sz="0" w:space="0" w:color="auto"/>
            <w:left w:val="none" w:sz="0" w:space="0" w:color="auto"/>
            <w:bottom w:val="none" w:sz="0" w:space="0" w:color="auto"/>
            <w:right w:val="none" w:sz="0" w:space="0" w:color="auto"/>
          </w:divBdr>
        </w:div>
        <w:div w:id="443381574">
          <w:marLeft w:val="480"/>
          <w:marRight w:val="0"/>
          <w:marTop w:val="0"/>
          <w:marBottom w:val="0"/>
          <w:divBdr>
            <w:top w:val="none" w:sz="0" w:space="0" w:color="auto"/>
            <w:left w:val="none" w:sz="0" w:space="0" w:color="auto"/>
            <w:bottom w:val="none" w:sz="0" w:space="0" w:color="auto"/>
            <w:right w:val="none" w:sz="0" w:space="0" w:color="auto"/>
          </w:divBdr>
        </w:div>
      </w:divsChild>
    </w:div>
    <w:div w:id="2024167238">
      <w:bodyDiv w:val="1"/>
      <w:marLeft w:val="0"/>
      <w:marRight w:val="0"/>
      <w:marTop w:val="0"/>
      <w:marBottom w:val="0"/>
      <w:divBdr>
        <w:top w:val="none" w:sz="0" w:space="0" w:color="auto"/>
        <w:left w:val="none" w:sz="0" w:space="0" w:color="auto"/>
        <w:bottom w:val="none" w:sz="0" w:space="0" w:color="auto"/>
        <w:right w:val="none" w:sz="0" w:space="0" w:color="auto"/>
      </w:divBdr>
    </w:div>
    <w:div w:id="2038237922">
      <w:bodyDiv w:val="1"/>
      <w:marLeft w:val="0"/>
      <w:marRight w:val="0"/>
      <w:marTop w:val="0"/>
      <w:marBottom w:val="0"/>
      <w:divBdr>
        <w:top w:val="none" w:sz="0" w:space="0" w:color="auto"/>
        <w:left w:val="none" w:sz="0" w:space="0" w:color="auto"/>
        <w:bottom w:val="none" w:sz="0" w:space="0" w:color="auto"/>
        <w:right w:val="none" w:sz="0" w:space="0" w:color="auto"/>
      </w:divBdr>
      <w:divsChild>
        <w:div w:id="1658877381">
          <w:marLeft w:val="480"/>
          <w:marRight w:val="0"/>
          <w:marTop w:val="0"/>
          <w:marBottom w:val="0"/>
          <w:divBdr>
            <w:top w:val="none" w:sz="0" w:space="0" w:color="auto"/>
            <w:left w:val="none" w:sz="0" w:space="0" w:color="auto"/>
            <w:bottom w:val="none" w:sz="0" w:space="0" w:color="auto"/>
            <w:right w:val="none" w:sz="0" w:space="0" w:color="auto"/>
          </w:divBdr>
        </w:div>
        <w:div w:id="562178189">
          <w:marLeft w:val="480"/>
          <w:marRight w:val="0"/>
          <w:marTop w:val="0"/>
          <w:marBottom w:val="0"/>
          <w:divBdr>
            <w:top w:val="none" w:sz="0" w:space="0" w:color="auto"/>
            <w:left w:val="none" w:sz="0" w:space="0" w:color="auto"/>
            <w:bottom w:val="none" w:sz="0" w:space="0" w:color="auto"/>
            <w:right w:val="none" w:sz="0" w:space="0" w:color="auto"/>
          </w:divBdr>
        </w:div>
        <w:div w:id="893930806">
          <w:marLeft w:val="480"/>
          <w:marRight w:val="0"/>
          <w:marTop w:val="0"/>
          <w:marBottom w:val="0"/>
          <w:divBdr>
            <w:top w:val="none" w:sz="0" w:space="0" w:color="auto"/>
            <w:left w:val="none" w:sz="0" w:space="0" w:color="auto"/>
            <w:bottom w:val="none" w:sz="0" w:space="0" w:color="auto"/>
            <w:right w:val="none" w:sz="0" w:space="0" w:color="auto"/>
          </w:divBdr>
        </w:div>
        <w:div w:id="959803128">
          <w:marLeft w:val="480"/>
          <w:marRight w:val="0"/>
          <w:marTop w:val="0"/>
          <w:marBottom w:val="0"/>
          <w:divBdr>
            <w:top w:val="none" w:sz="0" w:space="0" w:color="auto"/>
            <w:left w:val="none" w:sz="0" w:space="0" w:color="auto"/>
            <w:bottom w:val="none" w:sz="0" w:space="0" w:color="auto"/>
            <w:right w:val="none" w:sz="0" w:space="0" w:color="auto"/>
          </w:divBdr>
        </w:div>
        <w:div w:id="1078215983">
          <w:marLeft w:val="480"/>
          <w:marRight w:val="0"/>
          <w:marTop w:val="0"/>
          <w:marBottom w:val="0"/>
          <w:divBdr>
            <w:top w:val="none" w:sz="0" w:space="0" w:color="auto"/>
            <w:left w:val="none" w:sz="0" w:space="0" w:color="auto"/>
            <w:bottom w:val="none" w:sz="0" w:space="0" w:color="auto"/>
            <w:right w:val="none" w:sz="0" w:space="0" w:color="auto"/>
          </w:divBdr>
        </w:div>
        <w:div w:id="844245876">
          <w:marLeft w:val="480"/>
          <w:marRight w:val="0"/>
          <w:marTop w:val="0"/>
          <w:marBottom w:val="0"/>
          <w:divBdr>
            <w:top w:val="none" w:sz="0" w:space="0" w:color="auto"/>
            <w:left w:val="none" w:sz="0" w:space="0" w:color="auto"/>
            <w:bottom w:val="none" w:sz="0" w:space="0" w:color="auto"/>
            <w:right w:val="none" w:sz="0" w:space="0" w:color="auto"/>
          </w:divBdr>
        </w:div>
        <w:div w:id="102774971">
          <w:marLeft w:val="480"/>
          <w:marRight w:val="0"/>
          <w:marTop w:val="0"/>
          <w:marBottom w:val="0"/>
          <w:divBdr>
            <w:top w:val="none" w:sz="0" w:space="0" w:color="auto"/>
            <w:left w:val="none" w:sz="0" w:space="0" w:color="auto"/>
            <w:bottom w:val="none" w:sz="0" w:space="0" w:color="auto"/>
            <w:right w:val="none" w:sz="0" w:space="0" w:color="auto"/>
          </w:divBdr>
        </w:div>
      </w:divsChild>
    </w:div>
    <w:div w:id="2050690575">
      <w:bodyDiv w:val="1"/>
      <w:marLeft w:val="0"/>
      <w:marRight w:val="0"/>
      <w:marTop w:val="0"/>
      <w:marBottom w:val="0"/>
      <w:divBdr>
        <w:top w:val="none" w:sz="0" w:space="0" w:color="auto"/>
        <w:left w:val="none" w:sz="0" w:space="0" w:color="auto"/>
        <w:bottom w:val="none" w:sz="0" w:space="0" w:color="auto"/>
        <w:right w:val="none" w:sz="0" w:space="0" w:color="auto"/>
      </w:divBdr>
    </w:div>
    <w:div w:id="2072776705">
      <w:bodyDiv w:val="1"/>
      <w:marLeft w:val="0"/>
      <w:marRight w:val="0"/>
      <w:marTop w:val="0"/>
      <w:marBottom w:val="0"/>
      <w:divBdr>
        <w:top w:val="none" w:sz="0" w:space="0" w:color="auto"/>
        <w:left w:val="none" w:sz="0" w:space="0" w:color="auto"/>
        <w:bottom w:val="none" w:sz="0" w:space="0" w:color="auto"/>
        <w:right w:val="none" w:sz="0" w:space="0" w:color="auto"/>
      </w:divBdr>
      <w:divsChild>
        <w:div w:id="1906333663">
          <w:marLeft w:val="480"/>
          <w:marRight w:val="0"/>
          <w:marTop w:val="0"/>
          <w:marBottom w:val="0"/>
          <w:divBdr>
            <w:top w:val="none" w:sz="0" w:space="0" w:color="auto"/>
            <w:left w:val="none" w:sz="0" w:space="0" w:color="auto"/>
            <w:bottom w:val="none" w:sz="0" w:space="0" w:color="auto"/>
            <w:right w:val="none" w:sz="0" w:space="0" w:color="auto"/>
          </w:divBdr>
        </w:div>
        <w:div w:id="470712085">
          <w:marLeft w:val="480"/>
          <w:marRight w:val="0"/>
          <w:marTop w:val="0"/>
          <w:marBottom w:val="0"/>
          <w:divBdr>
            <w:top w:val="none" w:sz="0" w:space="0" w:color="auto"/>
            <w:left w:val="none" w:sz="0" w:space="0" w:color="auto"/>
            <w:bottom w:val="none" w:sz="0" w:space="0" w:color="auto"/>
            <w:right w:val="none" w:sz="0" w:space="0" w:color="auto"/>
          </w:divBdr>
        </w:div>
        <w:div w:id="134027852">
          <w:marLeft w:val="480"/>
          <w:marRight w:val="0"/>
          <w:marTop w:val="0"/>
          <w:marBottom w:val="0"/>
          <w:divBdr>
            <w:top w:val="none" w:sz="0" w:space="0" w:color="auto"/>
            <w:left w:val="none" w:sz="0" w:space="0" w:color="auto"/>
            <w:bottom w:val="none" w:sz="0" w:space="0" w:color="auto"/>
            <w:right w:val="none" w:sz="0" w:space="0" w:color="auto"/>
          </w:divBdr>
        </w:div>
        <w:div w:id="1743138420">
          <w:marLeft w:val="480"/>
          <w:marRight w:val="0"/>
          <w:marTop w:val="0"/>
          <w:marBottom w:val="0"/>
          <w:divBdr>
            <w:top w:val="none" w:sz="0" w:space="0" w:color="auto"/>
            <w:left w:val="none" w:sz="0" w:space="0" w:color="auto"/>
            <w:bottom w:val="none" w:sz="0" w:space="0" w:color="auto"/>
            <w:right w:val="none" w:sz="0" w:space="0" w:color="auto"/>
          </w:divBdr>
        </w:div>
        <w:div w:id="664281824">
          <w:marLeft w:val="480"/>
          <w:marRight w:val="0"/>
          <w:marTop w:val="0"/>
          <w:marBottom w:val="0"/>
          <w:divBdr>
            <w:top w:val="none" w:sz="0" w:space="0" w:color="auto"/>
            <w:left w:val="none" w:sz="0" w:space="0" w:color="auto"/>
            <w:bottom w:val="none" w:sz="0" w:space="0" w:color="auto"/>
            <w:right w:val="none" w:sz="0" w:space="0" w:color="auto"/>
          </w:divBdr>
        </w:div>
        <w:div w:id="2091730582">
          <w:marLeft w:val="480"/>
          <w:marRight w:val="0"/>
          <w:marTop w:val="0"/>
          <w:marBottom w:val="0"/>
          <w:divBdr>
            <w:top w:val="none" w:sz="0" w:space="0" w:color="auto"/>
            <w:left w:val="none" w:sz="0" w:space="0" w:color="auto"/>
            <w:bottom w:val="none" w:sz="0" w:space="0" w:color="auto"/>
            <w:right w:val="none" w:sz="0" w:space="0" w:color="auto"/>
          </w:divBdr>
        </w:div>
      </w:divsChild>
    </w:div>
    <w:div w:id="2107312617">
      <w:bodyDiv w:val="1"/>
      <w:marLeft w:val="0"/>
      <w:marRight w:val="0"/>
      <w:marTop w:val="0"/>
      <w:marBottom w:val="0"/>
      <w:divBdr>
        <w:top w:val="none" w:sz="0" w:space="0" w:color="auto"/>
        <w:left w:val="none" w:sz="0" w:space="0" w:color="auto"/>
        <w:bottom w:val="none" w:sz="0" w:space="0" w:color="auto"/>
        <w:right w:val="none" w:sz="0" w:space="0" w:color="auto"/>
      </w:divBdr>
      <w:divsChild>
        <w:div w:id="1309745002">
          <w:marLeft w:val="480"/>
          <w:marRight w:val="0"/>
          <w:marTop w:val="0"/>
          <w:marBottom w:val="0"/>
          <w:divBdr>
            <w:top w:val="none" w:sz="0" w:space="0" w:color="auto"/>
            <w:left w:val="none" w:sz="0" w:space="0" w:color="auto"/>
            <w:bottom w:val="none" w:sz="0" w:space="0" w:color="auto"/>
            <w:right w:val="none" w:sz="0" w:space="0" w:color="auto"/>
          </w:divBdr>
        </w:div>
        <w:div w:id="1090470868">
          <w:marLeft w:val="480"/>
          <w:marRight w:val="0"/>
          <w:marTop w:val="0"/>
          <w:marBottom w:val="0"/>
          <w:divBdr>
            <w:top w:val="none" w:sz="0" w:space="0" w:color="auto"/>
            <w:left w:val="none" w:sz="0" w:space="0" w:color="auto"/>
            <w:bottom w:val="none" w:sz="0" w:space="0" w:color="auto"/>
            <w:right w:val="none" w:sz="0" w:space="0" w:color="auto"/>
          </w:divBdr>
        </w:div>
        <w:div w:id="792283799">
          <w:marLeft w:val="480"/>
          <w:marRight w:val="0"/>
          <w:marTop w:val="0"/>
          <w:marBottom w:val="0"/>
          <w:divBdr>
            <w:top w:val="none" w:sz="0" w:space="0" w:color="auto"/>
            <w:left w:val="none" w:sz="0" w:space="0" w:color="auto"/>
            <w:bottom w:val="none" w:sz="0" w:space="0" w:color="auto"/>
            <w:right w:val="none" w:sz="0" w:space="0" w:color="auto"/>
          </w:divBdr>
        </w:div>
        <w:div w:id="572005473">
          <w:marLeft w:val="480"/>
          <w:marRight w:val="0"/>
          <w:marTop w:val="0"/>
          <w:marBottom w:val="0"/>
          <w:divBdr>
            <w:top w:val="none" w:sz="0" w:space="0" w:color="auto"/>
            <w:left w:val="none" w:sz="0" w:space="0" w:color="auto"/>
            <w:bottom w:val="none" w:sz="0" w:space="0" w:color="auto"/>
            <w:right w:val="none" w:sz="0" w:space="0" w:color="auto"/>
          </w:divBdr>
        </w:div>
        <w:div w:id="1307472670">
          <w:marLeft w:val="480"/>
          <w:marRight w:val="0"/>
          <w:marTop w:val="0"/>
          <w:marBottom w:val="0"/>
          <w:divBdr>
            <w:top w:val="none" w:sz="0" w:space="0" w:color="auto"/>
            <w:left w:val="none" w:sz="0" w:space="0" w:color="auto"/>
            <w:bottom w:val="none" w:sz="0" w:space="0" w:color="auto"/>
            <w:right w:val="none" w:sz="0" w:space="0" w:color="auto"/>
          </w:divBdr>
        </w:div>
      </w:divsChild>
    </w:div>
    <w:div w:id="2123916972">
      <w:bodyDiv w:val="1"/>
      <w:marLeft w:val="0"/>
      <w:marRight w:val="0"/>
      <w:marTop w:val="0"/>
      <w:marBottom w:val="0"/>
      <w:divBdr>
        <w:top w:val="none" w:sz="0" w:space="0" w:color="auto"/>
        <w:left w:val="none" w:sz="0" w:space="0" w:color="auto"/>
        <w:bottom w:val="none" w:sz="0" w:space="0" w:color="auto"/>
        <w:right w:val="none" w:sz="0" w:space="0" w:color="auto"/>
      </w:divBdr>
      <w:divsChild>
        <w:div w:id="314528425">
          <w:marLeft w:val="480"/>
          <w:marRight w:val="0"/>
          <w:marTop w:val="0"/>
          <w:marBottom w:val="0"/>
          <w:divBdr>
            <w:top w:val="none" w:sz="0" w:space="0" w:color="auto"/>
            <w:left w:val="none" w:sz="0" w:space="0" w:color="auto"/>
            <w:bottom w:val="none" w:sz="0" w:space="0" w:color="auto"/>
            <w:right w:val="none" w:sz="0" w:space="0" w:color="auto"/>
          </w:divBdr>
        </w:div>
        <w:div w:id="762334073">
          <w:marLeft w:val="480"/>
          <w:marRight w:val="0"/>
          <w:marTop w:val="0"/>
          <w:marBottom w:val="0"/>
          <w:divBdr>
            <w:top w:val="none" w:sz="0" w:space="0" w:color="auto"/>
            <w:left w:val="none" w:sz="0" w:space="0" w:color="auto"/>
            <w:bottom w:val="none" w:sz="0" w:space="0" w:color="auto"/>
            <w:right w:val="none" w:sz="0" w:space="0" w:color="auto"/>
          </w:divBdr>
        </w:div>
        <w:div w:id="290016941">
          <w:marLeft w:val="480"/>
          <w:marRight w:val="0"/>
          <w:marTop w:val="0"/>
          <w:marBottom w:val="0"/>
          <w:divBdr>
            <w:top w:val="none" w:sz="0" w:space="0" w:color="auto"/>
            <w:left w:val="none" w:sz="0" w:space="0" w:color="auto"/>
            <w:bottom w:val="none" w:sz="0" w:space="0" w:color="auto"/>
            <w:right w:val="none" w:sz="0" w:space="0" w:color="auto"/>
          </w:divBdr>
        </w:div>
        <w:div w:id="1331982358">
          <w:marLeft w:val="480"/>
          <w:marRight w:val="0"/>
          <w:marTop w:val="0"/>
          <w:marBottom w:val="0"/>
          <w:divBdr>
            <w:top w:val="none" w:sz="0" w:space="0" w:color="auto"/>
            <w:left w:val="none" w:sz="0" w:space="0" w:color="auto"/>
            <w:bottom w:val="none" w:sz="0" w:space="0" w:color="auto"/>
            <w:right w:val="none" w:sz="0" w:space="0" w:color="auto"/>
          </w:divBdr>
        </w:div>
        <w:div w:id="716703169">
          <w:marLeft w:val="480"/>
          <w:marRight w:val="0"/>
          <w:marTop w:val="0"/>
          <w:marBottom w:val="0"/>
          <w:divBdr>
            <w:top w:val="none" w:sz="0" w:space="0" w:color="auto"/>
            <w:left w:val="none" w:sz="0" w:space="0" w:color="auto"/>
            <w:bottom w:val="none" w:sz="0" w:space="0" w:color="auto"/>
            <w:right w:val="none" w:sz="0" w:space="0" w:color="auto"/>
          </w:divBdr>
        </w:div>
        <w:div w:id="1344817254">
          <w:marLeft w:val="480"/>
          <w:marRight w:val="0"/>
          <w:marTop w:val="0"/>
          <w:marBottom w:val="0"/>
          <w:divBdr>
            <w:top w:val="none" w:sz="0" w:space="0" w:color="auto"/>
            <w:left w:val="none" w:sz="0" w:space="0" w:color="auto"/>
            <w:bottom w:val="none" w:sz="0" w:space="0" w:color="auto"/>
            <w:right w:val="none" w:sz="0" w:space="0" w:color="auto"/>
          </w:divBdr>
        </w:div>
        <w:div w:id="2120055599">
          <w:marLeft w:val="480"/>
          <w:marRight w:val="0"/>
          <w:marTop w:val="0"/>
          <w:marBottom w:val="0"/>
          <w:divBdr>
            <w:top w:val="none" w:sz="0" w:space="0" w:color="auto"/>
            <w:left w:val="none" w:sz="0" w:space="0" w:color="auto"/>
            <w:bottom w:val="none" w:sz="0" w:space="0" w:color="auto"/>
            <w:right w:val="none" w:sz="0" w:space="0" w:color="auto"/>
          </w:divBdr>
        </w:div>
        <w:div w:id="1836216311">
          <w:marLeft w:val="48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23" Type="http://schemas.microsoft.com/office/2016/09/relationships/commentsIds" Target="commentsId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microsoft.com/office/2018/08/relationships/commentsExtensible" Target="commentsExtensi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40"/>
        <w:category>
          <w:name w:val="General"/>
          <w:gallery w:val="placeholder"/>
        </w:category>
        <w:types>
          <w:type w:val="bbPlcHdr"/>
        </w:types>
        <w:behaviors>
          <w:behavior w:val="content"/>
        </w:behaviors>
        <w:guid w:val="{DF9A68B3-EF7A-4F89-954C-49DF009714C8}"/>
      </w:docPartPr>
      <w:docPartBody>
        <w:p w:rsidR="008317F4" w:rsidRDefault="008317F4">
          <w:r w:rsidRPr="00C93FD7">
            <w:rPr>
              <w:rStyle w:val="Textodelmarcadordeposicin"/>
            </w:rPr>
            <w:t>Haga clic o pulse aquí para escribir texto.</w:t>
          </w:r>
        </w:p>
      </w:docPartBody>
    </w:docPart>
    <w:docPart>
      <w:docPartPr>
        <w:name w:val="50DDA19012C64C47AE72EA7ABDC521CC"/>
        <w:category>
          <w:name w:val="General"/>
          <w:gallery w:val="placeholder"/>
        </w:category>
        <w:types>
          <w:type w:val="bbPlcHdr"/>
        </w:types>
        <w:behaviors>
          <w:behavior w:val="content"/>
        </w:behaviors>
        <w:guid w:val="{9FAD4423-B6C5-4EA5-822A-BC9D5A6607BF}"/>
      </w:docPartPr>
      <w:docPartBody>
        <w:p w:rsidR="00A37FC4" w:rsidRDefault="008317F4" w:rsidP="008317F4">
          <w:pPr>
            <w:pStyle w:val="50DDA19012C64C47AE72EA7ABDC521CC"/>
          </w:pPr>
          <w:r w:rsidRPr="001E7FF1">
            <w:rPr>
              <w:rStyle w:val="Textodelmarcadordeposicin"/>
            </w:rPr>
            <w:t>Haga clic o pulse aquí para escribir texto.</w:t>
          </w:r>
        </w:p>
      </w:docPartBody>
    </w:docPart>
    <w:docPart>
      <w:docPartPr>
        <w:name w:val="241A9B67E54D43D6B9845E3364C3F57F"/>
        <w:category>
          <w:name w:val="General"/>
          <w:gallery w:val="placeholder"/>
        </w:category>
        <w:types>
          <w:type w:val="bbPlcHdr"/>
        </w:types>
        <w:behaviors>
          <w:behavior w:val="content"/>
        </w:behaviors>
        <w:guid w:val="{CA763E9E-2C7F-45A0-BFC8-47BAF3F0B72F}"/>
      </w:docPartPr>
      <w:docPartBody>
        <w:p w:rsidR="0075279B" w:rsidRDefault="0075279B" w:rsidP="0075279B">
          <w:pPr>
            <w:pStyle w:val="241A9B67E54D43D6B9845E3364C3F57F"/>
          </w:pPr>
          <w:r w:rsidRPr="00C93FD7">
            <w:rPr>
              <w:rStyle w:val="Textodelmarcadordeposicin"/>
            </w:rPr>
            <w:t>Haga clic o pulse aquí para escribir texto.</w:t>
          </w:r>
        </w:p>
      </w:docPartBody>
    </w:docPart>
    <w:docPart>
      <w:docPartPr>
        <w:name w:val="B271420BD225433F9CB054E8287AD76F"/>
        <w:category>
          <w:name w:val="General"/>
          <w:gallery w:val="placeholder"/>
        </w:category>
        <w:types>
          <w:type w:val="bbPlcHdr"/>
        </w:types>
        <w:behaviors>
          <w:behavior w:val="content"/>
        </w:behaviors>
        <w:guid w:val="{EA96E5CB-48F7-47C6-8105-D9097C3D8AAB}"/>
      </w:docPartPr>
      <w:docPartBody>
        <w:p w:rsidR="0075279B" w:rsidRDefault="0075279B" w:rsidP="0075279B">
          <w:pPr>
            <w:pStyle w:val="B271420BD225433F9CB054E8287AD76F"/>
          </w:pPr>
          <w:r w:rsidRPr="00C93FD7">
            <w:rPr>
              <w:rStyle w:val="Textodelmarcadordeposicin"/>
            </w:rPr>
            <w:t>Haga clic o pulse aquí para escribir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inion Pro">
    <w:altName w:val="Cambria Math"/>
    <w:panose1 w:val="00000000000000000000"/>
    <w:charset w:val="00"/>
    <w:family w:val="roman"/>
    <w:notTrueType/>
    <w:pitch w:val="variable"/>
    <w:sig w:usb0="60000287" w:usb1="00000001" w:usb2="00000000" w:usb3="00000000" w:csb0="000001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17F4"/>
    <w:rsid w:val="0014381B"/>
    <w:rsid w:val="0014799B"/>
    <w:rsid w:val="00165AE5"/>
    <w:rsid w:val="00192790"/>
    <w:rsid w:val="001A5679"/>
    <w:rsid w:val="001D6581"/>
    <w:rsid w:val="002222B6"/>
    <w:rsid w:val="0052559D"/>
    <w:rsid w:val="00631420"/>
    <w:rsid w:val="00641006"/>
    <w:rsid w:val="0075279B"/>
    <w:rsid w:val="008317F4"/>
    <w:rsid w:val="00886E0B"/>
    <w:rsid w:val="009243F8"/>
    <w:rsid w:val="009F7DBE"/>
    <w:rsid w:val="00A37FC4"/>
    <w:rsid w:val="00A75101"/>
    <w:rsid w:val="00AD0B43"/>
    <w:rsid w:val="00B637CF"/>
    <w:rsid w:val="00C8037A"/>
    <w:rsid w:val="00FE0D7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s-ES" w:eastAsia="es-E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75279B"/>
    <w:rPr>
      <w:color w:val="808080"/>
    </w:rPr>
  </w:style>
  <w:style w:type="paragraph" w:customStyle="1" w:styleId="50DDA19012C64C47AE72EA7ABDC521CC">
    <w:name w:val="50DDA19012C64C47AE72EA7ABDC521CC"/>
    <w:rsid w:val="008317F4"/>
  </w:style>
  <w:style w:type="paragraph" w:customStyle="1" w:styleId="241A9B67E54D43D6B9845E3364C3F57F">
    <w:name w:val="241A9B67E54D43D6B9845E3364C3F57F"/>
    <w:rsid w:val="0075279B"/>
  </w:style>
  <w:style w:type="paragraph" w:customStyle="1" w:styleId="B271420BD225433F9CB054E8287AD76F">
    <w:name w:val="B271420BD225433F9CB054E8287AD76F"/>
    <w:rsid w:val="0075279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25"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19060EF-479B-4302-8A8C-5A73E5CEF107}">
  <we:reference id="wa104382081" version="1.55.1.0" store="es-ES" storeType="OMEX"/>
  <we:alternateReferences>
    <we:reference id="wa104382081" version="1.55.1.0" store="wa104382081" storeType="OMEX"/>
  </we:alternateReferences>
  <we:properties>
    <we:property name="MENDELEY_BIBLIOGRAPHY_LAST_MODIFIED" value="1781174011846"/>
    <we:property name="MENDELEY_BIBLIOGRAPHY_IS_DIRTY" value="false"/>
    <we:property name="MENDELEY_CITATIONS_STYLE" value="{&quot;id&quot;:&quot;https://raw.githubusercontent.com/citation-style-language/styles/master/dependent/solar-energy.csl&quot;,&quot;title&quot;:&quot;Solar Energy&quot;,&quot;format&quot;:&quot;author-date&quot;,&quot;defaultLocale&quot;:&quot;en-US&quot;,&quot;isLocaleCodeValid&quot;:true}"/>
    <we:property name="MENDELEY_CITATIONS_LOCALE_CODE" value="&quot;en-US&quot;"/>
    <we:property name="MENDELEY_CITATIONS" value="[{&quot;citationID&quot;:&quot;MENDELEY_CITATION_d947380d-e272-41fd-a750-8a3b698a257e&quot;,&quot;properties&quot;:{&quot;noteIndex&quot;:0},&quot;isEdited&quot;:false,&quot;manualOverride&quot;:{&quot;isManuallyOverridden&quot;:false,&quot;citeprocText&quot;:&quot;(“In focus: Energy efficiency in buildings | Comisión Europea,” n.d.)&quot;,&quot;manualOverrideText&quot;:&quot;&quot;},&quot;citationTag&quot;:&quot;MENDELEY_CITATION_v3_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&quot;,&quot;citationItems&quot;:[{&quot;id&quot;:&quot;ebb9ddd9-3cfb-37a7-b70b-ae2c25e8b302&quot;,&quot;itemData&quot;:{&quot;type&quot;:&quot;article&quot;,&quot;id&quot;:&quot;ebb9ddd9-3cfb-37a7-b70b-ae2c25e8b302&quot;,&quot;title&quot;:&quot;In focus: Energy efficiency in buildings | Comisión Europea&quot;,&quot;URL&quot;:&quot;https://ec.europa.eu/info/news/focus-energy-efficiency-buildings-2020-lut-17_es&quot;,&quot;container-title-short&quot;:&quot;&quot;},&quot;isTemporary&quot;:false}]},{&quot;citationID&quot;:&quot;MENDELEY_CITATION_5a4785e5-24d2-4501-ab88-7134e0e7ee7a&quot;,&quot;properties&quot;:{&quot;noteIndex&quot;:0},&quot;isEdited&quot;:false,&quot;manualOverride&quot;:{&quot;isManuallyOverridden&quot;:false,&quot;citeprocText&quot;:&quot;(Li et al., 2022)&quot;,&quot;manualOverrideText&quot;:&quot;&quot;},&quot;citationTag&quot;:&quot;MENDELEY_CITATION_v3_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&quot;,&quot;citationItems&quot;:[{&quot;id&quot;:&quot;3f5a3a38-029d-3c5e-ad6c-7921b5727f92&quot;,&quot;itemData&quot;:{&quot;type&quot;:&quot;article-journal&quot;,&quot;id&quot;:&quot;3f5a3a38-029d-3c5e-ad6c-7921b5727f92&quot;,&quot;title&quot;:&quot;Electrification of residential heating, cooling and hot water: Load smoothing using onsite photovoltaics, heat pump and thermal batteries&quot;,&quot;author&quot;:[{&quot;family&quot;:&quot;Li&quot;,&quot;given&quot;:&quot;Yuanyuan&quot;,&quot;parse-names&quot;:false,&quot;dropping-particle&quot;:&quot;&quot;,&quot;non-dropping-particle&quot;:&quot;&quot;},{&quot;family&quot;:&quot;Rosengarten&quot;,&quot;given&quot;:&quot;Gary&quot;,&quot;parse-names&quot;:false,&quot;dropping-particle&quot;:&quot;&quot;,&quot;non-dropping-particle&quot;:&quot;&quot;},{&quot;family&quot;:&quot;Stanley&quot;,&quot;given&quot;:&quot;Cameron&quot;,&quot;parse-names&quot;:false,&quot;dropping-particle&quot;:&quot;&quot;,&quot;non-dropping-particle&quot;:&quot;&quot;},{&quot;family&quot;:&quot;Mojiri&quot;,&quot;given&quot;:&quot;Ahmad&quot;,&quot;parse-names&quot;:false,&quot;dropping-particle&quot;:&quot;&quot;,&quot;non-dropping-particle&quot;:&quot;&quot;}],&quot;container-title&quot;:&quot;Journal of Energy Storage&quot;,&quot;container-title-short&quot;:&quot;J. Energy Storage&quot;,&quot;accessed&quot;:{&quot;date-parts&quot;:[[2023,4,10]]},&quot;DOI&quot;:&quot;10.1016/J.EST.2022.105873&quot;,&quot;ISSN&quot;:&quot;2352-152X&quot;,&quot;issued&quot;:{&quot;date-parts&quot;:[[2022,12,10]]},&quot;page&quot;:&quot;105873&quot;,&quot;abstract&quot;:&quot;Due to the pressing timeframe to meet emissions reduction targets, electrification of heat is the fastest approach for decarbonising buildings. However, the high power demand of electric heating and cooling devices poses a significant challenge to the electricity supply chain when they are deployed on mass. Adding rooftop solar photovoltaic systems does not necessarily eliminate this problem. Cheap and safe thermal storage offers a potentially viable solution allowing electric HVAC &amp; hot water systems to be deployed with minimal impact on the grid. We propose such a multi-function thermal system combining solar photovoltaics, heat pump, and thermal storage for supplying residential heating, cooling and hot water demand. We investigate the effectiveness of this system in terms of electricity demand management and solar utilisation in different geographical locations. The results illustrate that with effective control, such a system can reduce a building's annual grid-electricity demand by about 50% to 80%, and increase its solar self-consumption to around 60%. The temporal load profile is also significantly reduced and flattened, allowing high level of distributed PV penetration without negative impacts on the grid. We show that these benefits can be earned at a reasonable cost to consumers helping them to reap a positive rate of return compared to alternative options for different climatic and regional conditions. The proposed thermal storage system is demonstrated as a cost-effective and safe distributed energy solution to ease the stress exerted on the grid from excess PV power as well as heating and cooling related peak demand.&quot;,&quot;publisher&quot;:&quot;Elsevier&quot;,&quot;volume&quot;:&quot;56&quot;},&quot;isTemporary&quot;:false}]},{&quot;citationID&quot;:&quot;MENDELEY_CITATION_570379b7-2164-4fd4-9c69-bdaec1774e30&quot;,&quot;properties&quot;:{&quot;noteIndex&quot;:0},&quot;isEdited&quot;:false,&quot;manualOverride&quot;:{&quot;isManuallyOverridden&quot;:false,&quot;citeprocText&quot;:&quot;(Latchiba et al., 2026)&quot;,&quot;manualOverrideText&quot;:&quot;&quot;},&quot;citationTag&quot;:&quot;MENDELEY_CITATION_v3_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&quot;,&quot;citationItems&quot;:[{&quot;id&quot;:&quot;a9655e66-5d5e-3bbc-90ab-6d42703d831c&quot;,&quot;itemData&quot;:{&quot;type&quot;:&quot;article-journal&quot;,&quot;id&quot;:&quot;a9655e66-5d5e-3bbc-90ab-6d42703d831c&quot;,&quot;title&quot;:&quot;Assessment of the life cycle of photovoltaic solar technologies for sustainable energy transitions: Implications for climate policy and low-carbon system integration&quot;,&quot;author&quot;:[{&quot;family&quot;:&quot;Latchiba&quot;,&quot;given&quot;:&quot;Wakiang Emile&quot;,&quot;parse-names&quot;:false,&quot;dropping-particle&quot;:&quot;&quot;,&quot;non-dropping-particle&quot;:&quot;&quot;},{&quot;family&quot;:&quot;Waita&quot;,&quot;given&quot;:&quot;Sebastian&quot;,&quot;parse-names&quot;:false,&quot;dropping-particle&quot;:&quot;&quot;,&quot;non-dropping-particle&quot;:&quot;&quot;},{&quot;family&quot;:&quot;Krueger&quot;,&quot;given&quot;:&quot;Robert&quot;,&quot;parse-names&quot;:false,&quot;dropping-particle&quot;:&quot;&quot;,&quot;non-dropping-particle&quot;:&quot;&quot;},{&quot;family&quot;:&quot;Mwabora&quot;,&quot;given&quot;:&quot;Julius M.&quot;,&quot;parse-names&quot;:false,&quot;dropping-particle&quot;:&quot;&quot;,&quot;non-dropping-particle&quot;:&quot;&quot;}],&quot;container-title&quot;:&quot;Resources, Environment and Sustainability&quot;,&quot;accessed&quot;:{&quot;date-parts&quot;:[[2026,6,11]]},&quot;DOI&quot;:&quot;10.1016/J.RESENV.2026.100328&quot;,&quot;ISSN&quot;:&quot;2666-9161&quot;,&quot;issued&quot;:{&quot;date-parts&quot;:[[2026,5,1]]},&quot;page&quot;:&quot;100328&quot;,&quot;abstract&quot;:&quot;The rapid expansion of photovoltaic (PV) deployment demands integrated environmental and economic evaluation of emerging technologies. This study compares crystalline silicon (c-Si), perovskite, and hybrid perovskite-silicon tandem PV systems using a cradle-to-grave Life Cycle Assessment (LCA) combined with Techno-economic Analysis (TEA) to measure environmental impacts, resource efficiency, and cost performance. Environmental indicators include life cycle greenhouse gas emissions, total energy demand, water use, and overall impact, while economic performance is assessed through levelized cost of electricity (LCOE). Sensitivity analysis explores the effects of energy payback time (EPBT), material efficiency, and perovskite stability. Results show manufacturing as the main hotspot, contributing most to life cycle emissions and energy consumption across all configurations. The hybrid tandem system shows the lowest total environmental impact (∼973 impact units) compared to C-Si (∼1378), achieving about a 29.4% reduction thanks to low-temperature perovskite processing, improved tandem efficiency, and lower energy (397 kWh) and water (607 L) use. Economically, circular economy practices like recycling and material recovery lower LCOE to $0.08/kWh, outperforming standalone technologies. Sensitivity analysis indicates that a 15% reduction in EPBT greatly boosts overall sustainability, while long-term perovskite stability remains a key uncertainty. These findings suggest that circular hybrid perovskite-silicon PV systems offer better combined environmental and economic benefits and serve as a promising path for fast, resource-efficient decarbonization of the electricity sector.&quot;,&quot;publisher&quot;:&quot;Elsevier&quot;,&quot;volume&quot;:&quot;25&quot;,&quot;container-title-short&quot;:&quot;&quot;},&quot;isTemporary&quot;:false}]},{&quot;citationID&quot;:&quot;MENDELEY_CITATION_66db676e-f9f4-4d5e-be84-2c6d44616ef2&quot;,&quot;properties&quot;:{&quot;noteIndex&quot;:0},&quot;isEdited&quot;:false,&quot;manualOverride&quot;:{&quot;isManuallyOverridden&quot;:false,&quot;citeprocText&quot;:&quot;(Schito et al., 2026)&quot;,&quot;manualOverrideText&quot;:&quot;&quot;},&quot;citationTag&quot;:&quot;MENDELEY_CITATION_v3_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&quot;,&quot;citationItems&quot;:[{&quot;id&quot;:&quot;b0e0c145-1714-3231-bd9a-b006a68d5d75&quot;,&quot;itemData&quot;:{&quot;type&quot;:&quot;article-journal&quot;,&quot;id&quot;:&quot;b0e0c145-1714-3231-bd9a-b006a68d5d75&quot;,&quot;title&quot;:&quot;Economic and environmental assessment of hybrid heat pumps: a cross-country analysis&quot;,&quot;author&quot;:[{&quot;family&quot;:&quot;Schito&quot;,&quot;given&quot;:&quot;Eva&quot;,&quot;parse-names&quot;:false,&quot;dropping-particle&quot;:&quot;&quot;,&quot;non-dropping-particle&quot;:&quot;&quot;},{&quot;family&quot;:&quot;Conti&quot;,&quot;given&quot;:&quot;Paolo&quot;,&quot;parse-names&quot;:false,&quot;dropping-particle&quot;:&quot;&quot;,&quot;non-dropping-particle&quot;:&quot;&quot;},{&quot;family&quot;:&quot;Testi&quot;,&quot;given&quot;:&quot;Daniele&quot;,&quot;parse-names&quot;:false,&quot;dropping-particle&quot;:&quot;&quot;,&quot;non-dropping-particle&quot;:&quot;&quot;},{&quot;family&quot;:&quot;Montagud-Montalvá&quot;,&quot;given&quot;:&quot;Carla&quot;,&quot;parse-names&quot;:false,&quot;dropping-particle&quot;:&quot;&quot;,&quot;non-dropping-particle&quot;:&quot;&quot;},{&quot;family&quot;:&quot;Vivancos&quot;,&quot;given&quot;:&quot;José-Luis&quot;,&quot;parse-names&quot;:false,&quot;dropping-particle&quot;:&quot;&quot;,&quot;non-dropping-particle&quot;:&quot;&quot;}],&quot;container-title&quot;:&quot;Energy and Buildings&quot;,&quot;container-title-short&quot;:&quot;Energy Build.&quot;,&quot;accessed&quot;:{&quot;date-parts&quot;:[[2026,6,11]]},&quot;DOI&quot;:&quot;10.1016/J.ENBUILD.2025.116857&quot;,&quot;ISSN&quot;:&quot;0378-7788&quot;,&quot;issued&quot;:{&quot;date-parts&quot;:[[2026,2,15]]},&quot;page&quot;:&quot;116857&quot;,&quot;publisher&quot;:&quot;Elsevier&quot;,&quot;volume&quot;:&quot;353&quot;},&quot;isTemporary&quot;:false}]},{&quot;citationID&quot;:&quot;MENDELEY_CITATION_ed595c02-c131-460f-bbe1-4babdb52fd34&quot;,&quot;properties&quot;:{&quot;noteIndex&quot;:0},&quot;isEdited&quot;:false,&quot;manualOverride&quot;:{&quot;isManuallyOverridden&quot;:false,&quot;citeprocText&quot;:&quot;(Wang and Hui, 2026)&quot;,&quot;manualOverrideText&quot;:&quot;&quot;},&quot;citationTag&quot;:&quot;MENDELEY_CITATION_v3_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&quot;,&quot;citationItems&quot;:[{&quot;id&quot;:&quot;87c13a01-685e-3d27-b48b-c0639c4f38e8&quot;,&quot;itemData&quot;:{&quot;type&quot;:&quot;article-journal&quot;,&quot;id&quot;:&quot;87c13a01-685e-3d27-b48b-c0639c4f38e8&quot;,&quot;title&quot;:&quot;Enhancing cost efficiency and energy performance in residential buildings with thermal energy storage and predictive control&quot;,&quot;author&quot;:[{&quot;family&quot;:&quot;Wang&quot;,&quot;given&quot;:&quot;Ling&quot;,&quot;parse-names&quot;:false,&quot;dropping-particle&quot;:&quot;&quot;,&quot;non-dropping-particle&quot;:&quot;&quot;},{&quot;family&quot;:&quot;Hui&quot;,&quot;given&quot;:&quot;Chen&quot;,&quot;parse-names&quot;:false,&quot;dropping-particle&quot;:&quot;&quot;,&quot;non-dropping-particle&quot;:&quot;&quot;}],&quot;container-title&quot;:&quot;Applied Thermal Engineering&quot;,&quot;container-title-short&quot;:&quot;Appl. Therm. Eng.&quot;,&quot;accessed&quot;:{&quot;date-parts&quot;:[[2026,6,11]]},&quot;DOI&quot;:&quot;10.1016/J.APPLTHERMALENG.2026.131373&quot;,&quot;ISSN&quot;:&quot;1359-4311&quot;,&quot;issued&quot;:{&quot;date-parts&quot;:[[2026,7,1]]},&quot;page&quot;:&quot;131373&quot;,&quot;abstract&quot;:&quot;This study presents the design, implementation, and validation of an Economics-based Model Predictive Control (EMPC)-driven Energy Management System (EMS) for residential buildings, with the objective of reducing electricity costs, enhancing renewable self-consumption, and improving occupant comfort. The proposed EMS integrates photovoltaic (PV) generation, battery energy storage systems (BESS), and building-integrated Thermal Energy Storage (TES) into a two-layer framework: a planning layer with a seven-day forecasting horizon for strategic scheduling, and a real-time control layer using MPC to dynamically optimize HVAC operations. The methodology involved developing predictive models for occupancy, appliance loads, weather conditions, and electricity prices, coupled with MPC-based thermal modelling of buildings to forecast and control energy demand. Laboratory-scale prototyping and a field implementation in a Madrid household were conducted to validate performance under winter and summer conditions. The findings demonstrate that the integrated EMS can reduce electricity demand by over 57%, achieve annual cost savings exceeding €400, and significantly shift loads away from peak tariff periods while maintaining thermal comfort. TES was shown to smooth indoor temperature fluctuations, minimize HVAC cycling, and enhance renewable utilization. Increased building thermal inertia further stabilized energy consumption patterns, whereas reduced inertia raised operating costs. To conclude, the simulation results and the one-month deployment in a single dwelling in Madrid show that the proposed EMPC-based EMS can enable valuable electricity demand and cost savings under the studied conditions. The saving of €400/year is the annualisation of one month's spring operation; thus, it must be seen as an indicative figure, not a validated value. Verification across multiple locations and seasons is necessary to apply these findings beyond the examined house typology, climate zone, and regulatory environment. With these conditions, the proposed framework is promising and technically sound as a basis for occupant-cost-effective residential energy management and for potential decarbonisation through increased renewable self-consumption and reduced grid peak demand.&quot;,&quot;publisher&quot;:&quot;Pergamon&quot;,&quot;volume&quot;:&quot;300&quot;},&quot;isTemporary&quot;:false}]},{&quot;citationID&quot;:&quot;MENDELEY_CITATION_6de1bbbb-2161-4f56-b505-311de16f1c38&quot;,&quot;properties&quot;:{&quot;noteIndex&quot;:0},&quot;isEdited&quot;:false,&quot;manualOverride&quot;:{&quot;isManuallyOverridden&quot;:false,&quot;citeprocText&quot;:&quot;(Osterman and Stritih, 2021)&quot;,&quot;manualOverrideText&quot;:&quot;&quot;},&quot;citationTag&quot;:&quot;MENDELEY_CITATION_v3_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&quot;,&quot;citationItems&quot;:[{&quot;id&quot;:&quot;d0457968-d035-3275-afe5-8ce42e8ad75f&quot;,&quot;itemData&quot;:{&quot;type&quot;:&quot;article-journal&quot;,&quot;id&quot;:&quot;d0457968-d035-3275-afe5-8ce42e8ad75f&quot;,&quot;title&quot;:&quot;Review on compression heat pump systems with thermal energy storage for heating and cooling of buildings&quot;,&quot;author&quot;:[{&quot;family&quot;:&quot;Osterman&quot;,&quot;given&quot;:&quot;Eneja&quot;,&quot;parse-names&quot;:false,&quot;dropping-particle&quot;:&quot;&quot;,&quot;non-dropping-particle&quot;:&quot;&quot;},{&quot;family&quot;:&quot;Stritih&quot;,&quot;given&quot;:&quot;Uroš&quot;,&quot;parse-names&quot;:false,&quot;dropping-particle&quot;:&quot;&quot;,&quot;non-dropping-particle&quot;:&quot;&quot;}],&quot;container-title&quot;:&quot;Journal of Energy Storage&quot;,&quot;container-title-short&quot;:&quot;J. Energy Storage&quot;,&quot;DOI&quot;:&quot;10.1016/J.EST.2021.102569&quot;,&quot;ISSN&quot;:&quot;2352-152X&quot;,&quot;issued&quot;:{&quot;date-parts&quot;:[[2021,10]]},&quot;page&quot;:&quot;102569&quot;,&quot;abstract&quot;:&quot;Heat pumps are considered as easy to use while utilizing the possibility of bringing low-temperature heat sources to a higher temperature. Thus, low-grade renewable energy sources (such as air, water, ground, solar), as well as waste heat sources, can be used to reduce the demand for fossil fuels and greenhouse gas emissions. Their big advantage is in the supply of both heating and cooling, they can be operated even in simultaneous mode. This means that virtually no heat is dissipated, making such systems truly efficient. However, to fully exploit their potential, it is necessary to install thermal energy storage units so that their operation is more continuous and economical. In this article are therefore presented different kinds of heat pump systems for heating and cooling of buildings (with a focus on air and ground heat pumps) that have integrated thermal energy storage either in the form of water (ice) storage tanks, ground or phase change material. The emphasis of the research is on the impact of thermal energy storage implementation on system operation, energy efficiency and cost-effectiveness. Results from different studies are compared in terms of COPs, TES sizes, storage media, performance indicators.&quot;,&quot;publisher&quot;:&quot;Elsevier&quot;,&quot;volume&quot;:&quot;39&quot;},&quot;isTemporary&quot;:false}]},{&quot;citationID&quot;:&quot;MENDELEY_CITATION_b8c9dd21-6b27-4217-8a9f-d688736b2e76&quot;,&quot;properties&quot;:{&quot;noteIndex&quot;:0},&quot;isEdited&quot;:false,&quot;manualOverride&quot;:{&quot;isManuallyOverridden&quot;:false,&quot;citeprocText&quot;:&quot;(Agyenim and Hewitt, 2010)&quot;,&quot;manualOverrideText&quot;:&quot;&quot;},&quot;citationTag&quot;:&quot;MENDELEY_CITATION_v3_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&quot;,&quot;citationItems&quot;:[{&quot;id&quot;:&quot;81d91509-dced-3e79-bc16-67d07507ec2d&quot;,&quot;itemData&quot;:{&quot;type&quot;:&quot;article-journal&quot;,&quot;id&quot;:&quot;81d91509-dced-3e79-bc16-67d07507ec2d&quot;,&quot;title&quot;:&quot;The development of a finned phase change material (PCM) storage system to take advantage of off-peak electricity tariff for improvement in cost of heat pump operation&quot;,&quot;author&quot;:[{&quot;family&quot;:&quot;Agyenim&quot;,&quot;given&quot;:&quot;Francis&quot;,&quot;parse-names&quot;:false,&quot;dropping-particle&quot;:&quot;&quot;,&quot;non-dropping-particle&quot;:&quot;&quot;},{&quot;family&quot;:&quot;Hewitt&quot;,&quot;given&quot;:&quot;Neil&quot;,&quot;parse-names&quot;:false,&quot;dropping-particle&quot;:&quot;&quot;,&quot;non-dropping-particle&quot;:&quot;&quot;}],&quot;container-title&quot;:&quot;Energy and Buildings&quot;,&quot;container-title-short&quot;:&quot;Energy Build.&quot;,&quot;DOI&quot;:&quot;10.1016/j.enbuild.2010.03.027&quot;,&quot;issued&quot;:{&quot;date-parts&quot;:[[2010,10]]},&quot;page&quot;:&quot;1552-1560&quot;,&quot;volume&quot;:&quot;42&quot;},&quot;isTemporary&quot;:false}]},{&quot;citationID&quot;:&quot;MENDELEY_CITATION_6926f08d-29f5-4527-811a-d1f5dfdd2d71&quot;,&quot;properties&quot;:{&quot;noteIndex&quot;:0},&quot;isEdited&quot;:false,&quot;manualOverride&quot;:{&quot;isManuallyOverridden&quot;:false,&quot;citeprocText&quot;:&quot;(Wang and Hui, 2026)&quot;,&quot;manualOverrideText&quot;:&quot;&quot;},&quot;citationTag&quot;:&quot;MENDELEY_CITATION_v3_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&quot;,&quot;citationItems&quot;:[{&quot;id&quot;:&quot;87c13a01-685e-3d27-b48b-c0639c4f38e8&quot;,&quot;itemData&quot;:{&quot;type&quot;:&quot;article-journal&quot;,&quot;id&quot;:&quot;87c13a01-685e-3d27-b48b-c0639c4f38e8&quot;,&quot;title&quot;:&quot;Enhancing cost efficiency and energy performance in residential buildings with thermal energy storage and predictive control&quot;,&quot;author&quot;:[{&quot;family&quot;:&quot;Wang&quot;,&quot;given&quot;:&quot;Ling&quot;,&quot;parse-names&quot;:false,&quot;dropping-particle&quot;:&quot;&quot;,&quot;non-dropping-particle&quot;:&quot;&quot;},{&quot;family&quot;:&quot;Hui&quot;,&quot;given&quot;:&quot;Chen&quot;,&quot;parse-names&quot;:false,&quot;dropping-particle&quot;:&quot;&quot;,&quot;non-dropping-particle&quot;:&quot;&quot;}],&quot;container-title&quot;:&quot;Applied Thermal Engineering&quot;,&quot;container-title-short&quot;:&quot;Appl. Therm. Eng.&quot;,&quot;accessed&quot;:{&quot;date-parts&quot;:[[2026,6,11]]},&quot;DOI&quot;:&quot;10.1016/J.APPLTHERMALENG.2026.131373&quot;,&quot;ISSN&quot;:&quot;1359-4311&quot;,&quot;issued&quot;:{&quot;date-parts&quot;:[[2026,7,1]]},&quot;page&quot;:&quot;131373&quot;,&quot;abstract&quot;:&quot;This study presents the design, implementation, and validation of an Economics-based Model Predictive Control (EMPC)-driven Energy Management System (EMS) for residential buildings, with the objective of reducing electricity costs, enhancing renewable self-consumption, and improving occupant comfort. The proposed EMS integrates photovoltaic (PV) generation, battery energy storage systems (BESS), and building-integrated Thermal Energy Storage (TES) into a two-layer framework: a planning layer with a seven-day forecasting horizon for strategic scheduling, and a real-time control layer using MPC to dynamically optimize HVAC operations. The methodology involved developing predictive models for occupancy, appliance loads, weather conditions, and electricity prices, coupled with MPC-based thermal modelling of buildings to forecast and control energy demand. Laboratory-scale prototyping and a field implementation in a Madrid household were conducted to validate performance under winter and summer conditions. The findings demonstrate that the integrated EMS can reduce electricity demand by over 57%, achieve annual cost savings exceeding €400, and significantly shift loads away from peak tariff periods while maintaining thermal comfort. TES was shown to smooth indoor temperature fluctuations, minimize HVAC cycling, and enhance renewable utilization. Increased building thermal inertia further stabilized energy consumption patterns, whereas reduced inertia raised operating costs. To conclude, the simulation results and the one-month deployment in a single dwelling in Madrid show that the proposed EMPC-based EMS can enable valuable electricity demand and cost savings under the studied conditions. The saving of €400/year is the annualisation of one month's spring operation; thus, it must be seen as an indicative figure, not a validated value. Verification across multiple locations and seasons is necessary to apply these findings beyond the examined house typology, climate zone, and regulatory environment. With these conditions, the proposed framework is promising and technically sound as a basis for occupant-cost-effective residential energy management and for potential decarbonisation through increased renewable self-consumption and reduced grid peak demand.&quot;,&quot;publisher&quot;:&quot;Pergamon&quot;,&quot;volume&quot;:&quot;300&quot;},&quot;isTemporary&quot;:false}]},{&quot;citationID&quot;:&quot;MENDELEY_CITATION_8387a747-0b8b-4c7f-a1f2-e69822cac00b&quot;,&quot;properties&quot;:{&quot;noteIndex&quot;:0},&quot;isEdited&quot;:false,&quot;manualOverride&quot;:{&quot;isManuallyOverridden&quot;:false,&quot;citeprocText&quot;:&quot;(Fischer et al., 2014; Osterman and Stritih, 2021)&quot;,&quot;manualOverrideText&quot;:&quot;&quot;},&quot;citationTag&quot;:&quot;MENDELEY_CITATION_v3_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&quot;,&quot;citationItems&quot;:[{&quot;id&quot;:&quot;d0457968-d035-3275-afe5-8ce42e8ad75f&quot;,&quot;itemData&quot;:{&quot;type&quot;:&quot;article-journal&quot;,&quot;id&quot;:&quot;d0457968-d035-3275-afe5-8ce42e8ad75f&quot;,&quot;title&quot;:&quot;Review on compression heat pump systems with thermal energy storage for heating and cooling of buildings&quot;,&quot;author&quot;:[{&quot;family&quot;:&quot;Osterman&quot;,&quot;given&quot;:&quot;Eneja&quot;,&quot;parse-names&quot;:false,&quot;dropping-particle&quot;:&quot;&quot;,&quot;non-dropping-particle&quot;:&quot;&quot;},{&quot;family&quot;:&quot;Stritih&quot;,&quot;given&quot;:&quot;Uroš&quot;,&quot;parse-names&quot;:false,&quot;dropping-particle&quot;:&quot;&quot;,&quot;non-dropping-particle&quot;:&quot;&quot;}],&quot;container-title&quot;:&quot;Journal of Energy Storage&quot;,&quot;container-title-short&quot;:&quot;J. Energy Storage&quot;,&quot;DOI&quot;:&quot;10.1016/J.EST.2021.102569&quot;,&quot;ISSN&quot;:&quot;2352-152X&quot;,&quot;issued&quot;:{&quot;date-parts&quot;:[[2021,10]]},&quot;page&quot;:&quot;102569&quot;,&quot;abstract&quot;:&quot;Heat pumps are considered as easy to use while utilizing the possibility of bringing low-temperature heat sources to a higher temperature. Thus, low-grade renewable energy sources (such as air, water, ground, solar), as well as waste heat sources, can be used to reduce the demand for fossil fuels and greenhouse gas emissions. Their big advantage is in the supply of both heating and cooling, they can be operated even in simultaneous mode. This means that virtually no heat is dissipated, making such systems truly efficient. However, to fully exploit their potential, it is necessary to install thermal energy storage units so that their operation is more continuous and economical. In this article are therefore presented different kinds of heat pump systems for heating and cooling of buildings (with a focus on air and ground heat pumps) that have integrated thermal energy storage either in the form of water (ice) storage tanks, ground or phase change material. The emphasis of the research is on the impact of thermal energy storage implementation on system operation, energy efficiency and cost-effectiveness. Results from different studies are compared in terms of COPs, TES sizes, storage media, performance indicators.&quot;,&quot;publisher&quot;:&quot;Elsevier&quot;,&quot;volume&quot;:&quot;39&quot;},&quot;isTemporary&quot;:false},{&quot;id&quot;:&quot;1e07ecf0-01c2-3551-85ad-da5b2c5cb9d4&quot;,&quot;itemData&quot;:{&quot;type&quot;:&quot;article-journal&quot;,&quot;id&quot;:&quot;1e07ecf0-01c2-3551-85ad-da5b2c5cb9d4&quot;,&quot;title&quot;:&quot;Investigation of Thermal Storage Operation Strategies with Heat Pumps in German Multi Family Houses&quot;,&quot;author&quot;:[{&quot;family&quot;:&quot;Fischer&quot;,&quot;given&quot;:&quot;D.&quot;,&quot;parse-names&quot;:false,&quot;dropping-particle&quot;:&quot;&quot;,&quot;non-dropping-particle&quot;:&quot;&quot;},{&quot;family&quot;:&quot;Toral&quot;,&quot;given&quot;:&quot;T. Rivera&quot;,&quot;parse-names&quot;:false,&quot;dropping-particle&quot;:&quot;&quot;,&quot;non-dropping-particle&quot;:&quot;&quot;},{&quot;family&quot;:&quot;Lindberg&quot;,&quot;given&quot;:&quot;K. B.&quot;,&quot;parse-names&quot;:false,&quot;dropping-particle&quot;:&quot;&quot;,&quot;non-dropping-particle&quot;:&quot;&quot;},{&quot;family&quot;:&quot;Wille-Haussmann&quot;,&quot;given&quot;:&quot;B.&quot;,&quot;parse-names&quot;:false,&quot;dropping-particle&quot;:&quot;&quot;,&quot;non-dropping-particle&quot;:&quot;&quot;},{&quot;family&quot;:&quot;Madani&quot;,&quot;given&quot;:&quot;H.&quot;,&quot;parse-names&quot;:false,&quot;dropping-particle&quot;:&quot;&quot;,&quot;non-dropping-particle&quot;:&quot;&quot;}],&quot;container-title&quot;:&quot;Energy Procedia&quot;,&quot;container-title-short&quot;:&quot;Energy Procedia&quot;,&quot;accessed&quot;:{&quot;date-parts&quot;:[[2026,6,11]]},&quot;DOI&quot;:&quot;10.1016/J.EGYPRO.2014.10.420&quot;,&quot;ISSN&quot;:&quot;1876-6102&quot;,&quot;issued&quot;:{&quot;date-parts&quot;:[[2014,1,1]]},&quot;page&quot;:&quot;137-144&quot;,&quot;abstract&quot;:&quot;The use of air source heat pumps is an efficient method to provide heat for space heating and domestic hot water in residential buildings, which cover roughly one third of the German domestic energy use. Capacity controlled heat pumps are gaining increased market share and provide high flexibility in operation. The possibility to use thermal storage to decouple thermal production and electric load from the heat pump can be used for operation strategies, hereby increasing the possibility to integrate electricity production from renewable energy sources. In the work presented, a range of operational strategies for capacity controlled heat pumps connected to a thermal storage in German multifamily houses are introduced and evaluated. The use cases include maximization of energy performance, cost minimization and utilization of on-site photovoltaic production. For optimal storage operation a model predictive control (MPC) approach using quadratic programming is presented together with simplified models of the multi-family house, a thermal storage and a capacity controlled air-to-water heat pump, the MPC creates a control signal to the heat pump. The resulting control signal is then applied to a detailed heat pump model to investigate the impact on the efficiency of the heat pump unit and thereby its electric energy consumption with different storage options.Results show that the MPC strategy is able to adapt to different objectives. One of the most important findings is that changing the objective towards a variable day-ahead-price-based operation leads to decreased heat pump efficiency but increases revenue. The sensitivity analysis towards storage size shows little influence in the range of sizes investigated.&quot;,&quot;publisher&quot;:&quot;Elsevier&quot;,&quot;volume&quot;:&quot;58&quot;},&quot;isTemporary&quot;:false}]},{&quot;citationID&quot;:&quot;MENDELEY_CITATION_39b4b8ba-7303-4188-bc32-5c5622583b87&quot;,&quot;properties&quot;:{&quot;noteIndex&quot;:0},&quot;isEdited&quot;:false,&quot;manualOverride&quot;:{&quot;isManuallyOverridden&quot;:false,&quot;citeprocText&quot;:&quot;(Sborz et al., 2022)&quot;,&quot;manualOverrideText&quot;:&quot;&quot;},&quot;citationTag&quot;:&quot;MENDELEY_CITATION_v3_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&quot;,&quot;citationItems&quot;:[{&quot;id&quot;:&quot;00a83c29-1c3e-3df5-9598-e77f57abef39&quot;,&quot;itemData&quot;:{&quot;type&quot;:&quot;article-journal&quot;,&quot;id&quot;:&quot;00a83c29-1c3e-3df5-9598-e77f57abef39&quot;,&quot;title&quot;:&quot;Hourly and daily domestic hot water consumption in social housing dwellings: An analysis in apartment buildings in Southern Brazil&quot;,&quot;author&quot;:[{&quot;family&quot;:&quot;Sborz&quot;,&quot;given&quot;:&quot;J.&quot;,&quot;parse-names&quot;:false,&quot;dropping-particle&quot;:&quot;&quot;,&quot;non-dropping-particle&quot;:&quot;&quot;},{&quot;family&quot;:&quot;Cominato&quot;,&quot;given&quot;:&quot;C.&quot;,&quot;parse-names&quot;:false,&quot;dropping-particle&quot;:&quot;&quot;,&quot;non-dropping-particle&quot;:&quot;&quot;},{&quot;family&quot;:&quot;Kalbusch&quot;,&quot;given&quot;:&quot;A.&quot;,&quot;parse-names&quot;:false,&quot;dropping-particle&quot;:&quot;&quot;,&quot;non-dropping-particle&quot;:&quot;&quot;},{&quot;family&quot;:&quot;Henning&quot;,&quot;given&quot;:&quot;E.&quot;,&quot;parse-names&quot;:false,&quot;dropping-particle&quot;:&quot;&quot;,&quot;non-dropping-particle&quot;:&quot;&quot;}],&quot;container-title&quot;:&quot;Solar Energy&quot;,&quot;accessed&quot;:{&quot;date-parts&quot;:[[2026,2,24]]},&quot;DOI&quot;:&quot;10.1016/J.SOLENER.2021.12.067&quot;,&quot;ISSN&quot;:&quot;0038-092X&quot;,&quot;issued&quot;:{&quot;date-parts&quot;:[[2022,1,15]]},&quot;page&quot;:&quot;459-470&quot;,&quot;abstract&quot;:&quot;Solar water-heating systems have been widely implemented in Brazilian social housing buildings. Although these systems have been extensively explored regarding energy consumption, little is known about the water consumption. This article analyzes hot water consumption data from 154 social housing apartments in Southern Brazil. Hourly and daily consumption were analyzed regarding volume, profile and seasonal variations. The current system design was analyzed and compared to optimum configurations. The water-heating system only provides hot water for the shower, and the measurements presented refer to untempered hot water – before mixing with cold water to reach end-use temperature. Three peaks were found to occur during the day: in the morning, during lunch time and in the evening, which was the highest. In addition, seasonal ambient temperature and solar radiation showed significantly correlated to daily hot water consumption. Summer average per capita hot water consumption was lower than other seasons’, while the average consumption during fall was the highest. If the collectors were installed facing North and with a 26° inclination, the solar hot water system would provide more adequate temperatures.&quot;,&quot;publisher&quot;:&quot;Pergamon&quot;,&quot;volume&quot;:&quot;232&quot;,&quot;container-title-short&quot;:&quot;&quot;},&quot;isTemporary&quot;:false}]},{&quot;citationID&quot;:&quot;MENDELEY_CITATION_553d294a-a78f-4701-b142-50793363e064&quot;,&quot;properties&quot;:{&quot;noteIndex&quot;:0},&quot;isEdited&quot;:false,&quot;manualOverride&quot;:{&quot;isManuallyOverridden&quot;:false,&quot;citeprocText&quot;:&quot;(“Análisis | ESIOS electricidad · datos · transparencia,” n.d.)&quot;,&quot;manualOverrideText&quot;:&quot;&quot;},&quot;citationTag&quot;:&quot;MENDELEY_CITATION_v3_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&quot;,&quot;citationItems&quot;:[{&quot;id&quot;:&quot;547a6994-480c-30fe-b3e4-c49c3fc0ade6&quot;,&quot;itemData&quot;:{&quot;type&quot;:&quot;webpage&quot;,&quot;id&quot;:&quot;547a6994-480c-30fe-b3e4-c49c3fc0ade6&quot;,&quot;title&quot;:&quot;Análisis | ESIOS electricidad · datos · transparencia&quot;,&quot;accessed&quot;:{&quot;date-parts&quot;:[[2025,1,24]]},&quot;URL&quot;:&quot;https://www.esios.ree.es/es/analisis/1001?vis=1&amp;start_date=24-01-2025T00%3A00&amp;end_date=24-01-2025T23%3A55&amp;compare_start_date=23-01-2025T00%3A00&amp;groupby=hour#&quot;,&quot;container-title-short&quot;:&quot;&quot;},&quot;isTemporary&quot;:false}]},{&quot;citationID&quot;:&quot;MENDELEY_CITATION_cebcc4a6-2a1e-4488-9af8-c631118a31e8&quot;,&quot;properties&quot;:{&quot;noteIndex&quot;:0},&quot;isEdited&quot;:false,&quot;manualOverride&quot;:{&quot;isManuallyOverridden&quot;:true,&quot;citeprocText&quot;:&quot;(“Generador de Precios CYPE,” n.d.)&quot;,&quot;manualOverrideText&quot;:&quot;(“Generador de precios de la construcción. CYPE Ingenieros” n.d.)&quot;},&quot;citationTag&quot;:&quot;MENDELEY_CITATION_v3_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&quot;,&quot;citationItems&quot;:[{&quot;id&quot;:&quot;b4568506-6e6e-3991-8ecb-3a573b9efe30&quot;,&quot;itemData&quot;:{&quot;type&quot;:&quot;webpage&quot;,&quot;id&quot;:&quot;b4568506-6e6e-3991-8ecb-3a573b9efe30&quot;,&quot;title&quot;:&quot;Generador de Precios CYPE&quot;,&quot;accessed&quot;:{&quot;date-parts&quot;:[[2025,1,23]]},&quot;URL&quot;:&quot;http://generadordeprecios.info/obra_nueva/Instalaciones/IC_Calefaccion__climatizacion_y_A/Sistemas_de_conduccion_de_agua/Acumulador_para_A.C.S_0_0_33_0_0_0_0_0_0_0_0.html#gsc.tab=0&quot;,&quot;container-title-short&quot;:&quot;&quot;},&quot;isTemporary&quot;:fals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B54027-41CE-4F2C-97CA-775C88106F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464</TotalTime>
  <Pages>1</Pages>
  <Words>3818</Words>
  <Characters>20999</Characters>
  <Application>Microsoft Office Word</Application>
  <DocSecurity>0</DocSecurity>
  <Lines>174</Lines>
  <Paragraphs>49</Paragraphs>
  <ScaleCrop>false</ScaleCrop>
  <HeadingPairs>
    <vt:vector size="2" baseType="variant">
      <vt:variant>
        <vt:lpstr>Título</vt:lpstr>
      </vt:variant>
      <vt:variant>
        <vt:i4>1</vt:i4>
      </vt:variant>
    </vt:vector>
  </HeadingPairs>
  <TitlesOfParts>
    <vt:vector size="1" baseType="lpstr">
      <vt:lpstr>ISES SWC2015 – Paper Formatting Guidelines</vt:lpstr>
    </vt:vector>
  </TitlesOfParts>
  <Company>Oxford Brookes University</Company>
  <LinksUpToDate>false</LinksUpToDate>
  <CharactersWithSpaces>24768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ISES SWC2015 – Paper Formatting Guidelines</dc:title>
  <dc:creator>ISES</dc:creator>
  <cp:lastModifiedBy>PABLO MORENO</cp:lastModifiedBy>
  <cp:revision>61</cp:revision>
  <cp:lastPrinted>2026-06-12T09:20:00Z</cp:lastPrinted>
  <dcterms:created xsi:type="dcterms:W3CDTF">2026-08-05T08:42:00Z</dcterms:created>
  <dcterms:modified xsi:type="dcterms:W3CDTF">2026-08-06T14:07:00Z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