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348A" w14:textId="77777777" w:rsidR="00CC417D" w:rsidRDefault="00CC417D" w:rsidP="00CC417D">
      <w:pPr>
        <w:pStyle w:val="SWCTitle"/>
        <w:rPr>
          <w:sz w:val="28"/>
          <w:szCs w:val="28"/>
        </w:rPr>
      </w:pPr>
      <w:r w:rsidRPr="0C79E7B2">
        <w:rPr>
          <w:sz w:val="28"/>
          <w:szCs w:val="28"/>
        </w:rPr>
        <w:t>EuroSun2026</w:t>
      </w:r>
    </w:p>
    <w:p w14:paraId="7811FC35" w14:textId="06EA43FF" w:rsidR="00667612" w:rsidRPr="00F81E50" w:rsidRDefault="00667612" w:rsidP="00667612">
      <w:pPr>
        <w:pStyle w:val="SWCTitle"/>
        <w:rPr>
          <w:sz w:val="28"/>
          <w:szCs w:val="28"/>
        </w:rPr>
      </w:pPr>
      <w:r w:rsidRPr="00F81E50">
        <w:rPr>
          <w:sz w:val="28"/>
          <w:szCs w:val="28"/>
        </w:rPr>
        <w:t xml:space="preserve">HEAT PUMP SYSTEM INTEGRATED WITH </w:t>
      </w:r>
    </w:p>
    <w:p w14:paraId="07C34D68" w14:textId="46F11B5E" w:rsidR="00CC417D" w:rsidRDefault="00667612" w:rsidP="00667612">
      <w:pPr>
        <w:pStyle w:val="SWCTitle"/>
        <w:rPr>
          <w:sz w:val="28"/>
          <w:szCs w:val="28"/>
        </w:rPr>
      </w:pPr>
      <w:r w:rsidRPr="00F81E50">
        <w:rPr>
          <w:sz w:val="28"/>
          <w:szCs w:val="28"/>
        </w:rPr>
        <w:t>PVT COLLECTORS AND ICE STORAGE</w:t>
      </w:r>
    </w:p>
    <w:p w14:paraId="6A7D35E4" w14:textId="77777777" w:rsidR="00CC417D" w:rsidRDefault="00CC417D" w:rsidP="00CC417D">
      <w:pPr>
        <w:pStyle w:val="SWCTitle"/>
        <w:spacing w:before="0" w:after="0"/>
        <w:jc w:val="left"/>
        <w:rPr>
          <w:rFonts w:ascii="Times New Roman" w:hAnsi="Times New Roman"/>
          <w:b w:val="0"/>
          <w:sz w:val="20"/>
          <w:szCs w:val="20"/>
        </w:rPr>
      </w:pPr>
    </w:p>
    <w:p w14:paraId="608964FC" w14:textId="0B96CDAD" w:rsidR="00CC417D" w:rsidRPr="00006AA1" w:rsidRDefault="00006AA1" w:rsidP="00CC417D">
      <w:pPr>
        <w:pStyle w:val="SWCTitle"/>
        <w:spacing w:before="0" w:after="0"/>
        <w:jc w:val="left"/>
        <w:rPr>
          <w:rFonts w:ascii="Times New Roman" w:hAnsi="Times New Roman"/>
          <w:b w:val="0"/>
          <w:sz w:val="20"/>
          <w:szCs w:val="20"/>
        </w:rPr>
      </w:pPr>
      <w:r>
        <w:rPr>
          <w:rFonts w:ascii="Times New Roman" w:hAnsi="Times New Roman"/>
          <w:b w:val="0"/>
          <w:sz w:val="20"/>
          <w:szCs w:val="20"/>
        </w:rPr>
        <w:t>Bruno Bavia Bampi</w:t>
      </w:r>
      <w:r w:rsidRPr="00006AA1">
        <w:rPr>
          <w:rFonts w:ascii="Times New Roman" w:hAnsi="Times New Roman"/>
          <w:b w:val="0"/>
          <w:sz w:val="20"/>
          <w:szCs w:val="20"/>
          <w:vertAlign w:val="superscript"/>
        </w:rPr>
        <w:t>1</w:t>
      </w:r>
      <w:r>
        <w:rPr>
          <w:rFonts w:ascii="Times New Roman" w:hAnsi="Times New Roman"/>
          <w:b w:val="0"/>
          <w:sz w:val="20"/>
          <w:szCs w:val="20"/>
        </w:rPr>
        <w:t>, Björn Nienborg</w:t>
      </w:r>
      <w:r w:rsidRPr="00006AA1">
        <w:rPr>
          <w:rFonts w:ascii="Times New Roman" w:hAnsi="Times New Roman"/>
          <w:b w:val="0"/>
          <w:sz w:val="20"/>
          <w:szCs w:val="20"/>
          <w:vertAlign w:val="superscript"/>
        </w:rPr>
        <w:t>1</w:t>
      </w:r>
    </w:p>
    <w:p w14:paraId="11F40CBD" w14:textId="573CF780" w:rsidR="00CC417D" w:rsidRPr="006B3D49" w:rsidRDefault="00006AA1" w:rsidP="00CC417D">
      <w:pPr>
        <w:pStyle w:val="SWCTitle"/>
        <w:spacing w:before="0" w:after="0"/>
        <w:jc w:val="left"/>
        <w:rPr>
          <w:rFonts w:ascii="Times New Roman" w:hAnsi="Times New Roman"/>
          <w:b w:val="0"/>
          <w:sz w:val="20"/>
          <w:szCs w:val="22"/>
        </w:rPr>
      </w:pPr>
      <w:r w:rsidRPr="00006AA1">
        <w:rPr>
          <w:rFonts w:ascii="Times New Roman" w:hAnsi="Times New Roman"/>
          <w:b w:val="0"/>
          <w:sz w:val="20"/>
          <w:szCs w:val="20"/>
          <w:vertAlign w:val="superscript"/>
        </w:rPr>
        <w:t>1</w:t>
      </w:r>
      <w:r>
        <w:rPr>
          <w:rFonts w:ascii="Times New Roman" w:hAnsi="Times New Roman"/>
          <w:b w:val="0"/>
          <w:sz w:val="20"/>
          <w:szCs w:val="20"/>
          <w:vertAlign w:val="superscript"/>
        </w:rPr>
        <w:t xml:space="preserve"> </w:t>
      </w:r>
      <w:r w:rsidRPr="00006AA1">
        <w:rPr>
          <w:rFonts w:ascii="Times New Roman" w:hAnsi="Times New Roman"/>
          <w:b w:val="0"/>
          <w:sz w:val="20"/>
          <w:szCs w:val="22"/>
        </w:rPr>
        <w:t>Fraunhofer Institute for Solar Energy Systems (ISE)</w:t>
      </w:r>
      <w:r w:rsidR="00C509A2">
        <w:rPr>
          <w:rFonts w:ascii="Times New Roman" w:hAnsi="Times New Roman"/>
          <w:b w:val="0"/>
          <w:sz w:val="20"/>
          <w:szCs w:val="22"/>
        </w:rPr>
        <w:t>, Germany</w:t>
      </w:r>
    </w:p>
    <w:p w14:paraId="5A99656E" w14:textId="0F6CB110" w:rsidR="00CC417D" w:rsidRDefault="00006AA1" w:rsidP="00CC417D">
      <w:pPr>
        <w:pStyle w:val="SWCTitle"/>
        <w:spacing w:before="0" w:after="0"/>
        <w:jc w:val="left"/>
        <w:rPr>
          <w:rFonts w:ascii="Times New Roman" w:hAnsi="Times New Roman"/>
          <w:b w:val="0"/>
          <w:sz w:val="20"/>
          <w:szCs w:val="22"/>
        </w:rPr>
      </w:pPr>
      <w:r>
        <w:rPr>
          <w:rFonts w:ascii="Times New Roman" w:hAnsi="Times New Roman"/>
          <w:b w:val="0"/>
          <w:sz w:val="20"/>
          <w:szCs w:val="22"/>
        </w:rPr>
        <w:t>bruno.bavia.bampi@ise.fraunhofer.de</w:t>
      </w:r>
    </w:p>
    <w:p w14:paraId="10EDA48C" w14:textId="77777777" w:rsidR="00CC417D" w:rsidRDefault="00CC417D" w:rsidP="00CC417D">
      <w:pPr>
        <w:pStyle w:val="SWCSummary"/>
        <w:pBdr>
          <w:bottom w:val="single" w:sz="6" w:space="1" w:color="auto"/>
        </w:pBdr>
      </w:pPr>
      <w:r>
        <w:t>Summary</w:t>
      </w:r>
    </w:p>
    <w:p w14:paraId="07CE4736" w14:textId="4AFEEC35" w:rsidR="00CC417D" w:rsidRDefault="002501A8" w:rsidP="00CC417D">
      <w:pPr>
        <w:pStyle w:val="SWCText"/>
        <w:pBdr>
          <w:bottom w:val="single" w:sz="6" w:space="1" w:color="auto"/>
        </w:pBdr>
      </w:pPr>
      <w:r w:rsidRPr="002501A8">
        <w:t xml:space="preserve">This paper presents the field evaluation of a residential heat pump system using a hybrid renewable heat source combining 40.4 m² of photovoltaic-thermal (PVT) collectors and a 5.2 m³ ice storage. The heat sources supply a directly condensing 12 kW propane (R290) heat pump installed in a </w:t>
      </w:r>
      <w:r w:rsidR="00683344">
        <w:t xml:space="preserve">172 m² </w:t>
      </w:r>
      <w:r w:rsidRPr="002501A8">
        <w:t>two-family house in Germany. The system was monitored continuously over a complete 12-month period, from July 2025 to June 2026</w:t>
      </w:r>
      <w:r w:rsidR="00F43F1C">
        <w:t xml:space="preserve">, </w:t>
      </w:r>
      <w:r w:rsidR="00226D70">
        <w:t xml:space="preserve">as </w:t>
      </w:r>
      <w:r w:rsidR="00F43F1C">
        <w:t>part of project HPPVT40</w:t>
      </w:r>
      <w:r w:rsidRPr="002501A8">
        <w:t xml:space="preserve">. The PVT collectors were the main heat source for the heat pump, </w:t>
      </w:r>
      <w:r w:rsidR="00EA6FDD">
        <w:t xml:space="preserve">directly </w:t>
      </w:r>
      <w:r w:rsidRPr="002501A8">
        <w:t xml:space="preserve">supplying 73% of the heat delivered to the evaporator, while the ice storage provided complementary heat, particularly during winter. The field evaluation also identified limitations affecting winter operation, mainly related to the available ice storage capacity and the operating temperature range of the PVT collectors. </w:t>
      </w:r>
      <w:r w:rsidR="008E2786">
        <w:t>T</w:t>
      </w:r>
      <w:r w:rsidRPr="002501A8">
        <w:t>he results demonstrate the technical potential of combining PVT collectors and ice storage as a renewable heat source for residential heat pumps and provide important insights for the design and control of such systems for year-round operation.</w:t>
      </w:r>
    </w:p>
    <w:p w14:paraId="0F8E8683" w14:textId="1FABDF79" w:rsidR="00CC417D" w:rsidRDefault="00667612" w:rsidP="00CC417D">
      <w:pPr>
        <w:pStyle w:val="SWCText"/>
        <w:pBdr>
          <w:bottom w:val="single" w:sz="6" w:space="1" w:color="auto"/>
        </w:pBdr>
        <w:rPr>
          <w:i/>
          <w:iCs/>
        </w:rPr>
      </w:pPr>
      <w:r w:rsidRPr="0004545F">
        <w:rPr>
          <w:i/>
          <w:iCs/>
        </w:rPr>
        <w:t xml:space="preserve">Keywords: </w:t>
      </w:r>
      <w:r w:rsidRPr="00812640">
        <w:rPr>
          <w:i/>
          <w:iCs/>
        </w:rPr>
        <w:t>PVT, heat pump, ice storage</w:t>
      </w:r>
    </w:p>
    <w:p w14:paraId="69CB034A" w14:textId="063D362B" w:rsidR="00CC417D" w:rsidRDefault="00CC417D" w:rsidP="00CC417D">
      <w:pPr>
        <w:pStyle w:val="SWCText"/>
        <w:pBdr>
          <w:bottom w:val="single" w:sz="6" w:space="1" w:color="auto"/>
        </w:pBdr>
        <w:rPr>
          <w:i/>
          <w:iCs/>
        </w:rPr>
      </w:pPr>
      <w:r>
        <w:rPr>
          <w:i/>
          <w:iCs/>
        </w:rPr>
        <w:t>Field of application for the findings:</w:t>
      </w:r>
      <w:r w:rsidR="00667612">
        <w:rPr>
          <w:i/>
          <w:iCs/>
        </w:rPr>
        <w:t xml:space="preserve"> residential heating system</w:t>
      </w:r>
    </w:p>
    <w:p w14:paraId="5E71838A" w14:textId="30C797BA" w:rsidR="00CC417D" w:rsidRPr="00E83CFB" w:rsidRDefault="00CC417D" w:rsidP="00E83CFB">
      <w:pPr>
        <w:pStyle w:val="SWCText"/>
        <w:pBdr>
          <w:bottom w:val="single" w:sz="6" w:space="1" w:color="auto"/>
        </w:pBdr>
        <w:rPr>
          <w:i/>
          <w:iCs/>
        </w:rPr>
      </w:pPr>
      <w:r>
        <w:rPr>
          <w:i/>
          <w:iCs/>
        </w:rPr>
        <w:t>Addressed audience:</w:t>
      </w:r>
      <w:r w:rsidR="00667612">
        <w:rPr>
          <w:i/>
          <w:iCs/>
        </w:rPr>
        <w:t xml:space="preserve"> building </w:t>
      </w:r>
      <w:r w:rsidR="00667612" w:rsidRPr="00A46B3F">
        <w:rPr>
          <w:i/>
          <w:iCs/>
        </w:rPr>
        <w:t xml:space="preserve">energy </w:t>
      </w:r>
      <w:r w:rsidR="00667612">
        <w:rPr>
          <w:i/>
          <w:iCs/>
        </w:rPr>
        <w:t>r</w:t>
      </w:r>
      <w:r w:rsidR="00667612" w:rsidRPr="00A46B3F">
        <w:rPr>
          <w:i/>
          <w:iCs/>
        </w:rPr>
        <w:t>esearchers, engineers, system designers, and planners</w:t>
      </w:r>
    </w:p>
    <w:p w14:paraId="43D02CAF" w14:textId="23E8DD1F" w:rsidR="00CC417D" w:rsidRPr="006309AA" w:rsidRDefault="00365597" w:rsidP="00CC417D">
      <w:pPr>
        <w:pStyle w:val="SWCHeading1"/>
      </w:pPr>
      <w:r>
        <w:t>Introduction</w:t>
      </w:r>
    </w:p>
    <w:p w14:paraId="513EF3AC" w14:textId="0B299E44" w:rsidR="004C5491" w:rsidRDefault="00365597" w:rsidP="007C1632">
      <w:pPr>
        <w:pStyle w:val="SWCText"/>
      </w:pPr>
      <w:r>
        <w:t>The necessity of transitioning to climate-neutral energy systems highlights heat pumps</w:t>
      </w:r>
      <w:r w:rsidR="00AB1D94">
        <w:t xml:space="preserve"> (HP)</w:t>
      </w:r>
      <w:r>
        <w:t xml:space="preserve"> as a critical technology for decarbonizing the residential heating sector. </w:t>
      </w:r>
      <w:r w:rsidR="00110D84" w:rsidRPr="00110D84">
        <w:t>Photovoltaic-thermal (PVT) collectors have emerged as</w:t>
      </w:r>
      <w:r w:rsidR="00110D84">
        <w:t xml:space="preserve"> </w:t>
      </w:r>
      <w:r w:rsidR="00110D84" w:rsidRPr="00110D84">
        <w:t xml:space="preserve">a promising technology for heat pump applications, as they simultaneously provide electricity and </w:t>
      </w:r>
      <w:r w:rsidR="00110D84">
        <w:t>heat</w:t>
      </w:r>
      <w:r w:rsidR="00110D84" w:rsidRPr="00110D84">
        <w:t xml:space="preserve"> from the same collector area</w:t>
      </w:r>
      <w:r w:rsidR="000E2F14">
        <w:t xml:space="preserve">, </w:t>
      </w:r>
      <w:r w:rsidR="00110D84">
        <w:t xml:space="preserve">and </w:t>
      </w:r>
      <w:r w:rsidR="00110D84" w:rsidRPr="00110D84">
        <w:t xml:space="preserve">offer space-saving </w:t>
      </w:r>
      <w:r w:rsidR="00A737F4">
        <w:t xml:space="preserve">heat pump </w:t>
      </w:r>
      <w:r w:rsidR="00110D84" w:rsidRPr="00110D84">
        <w:t>integration in urban environments</w:t>
      </w:r>
      <w:r w:rsidR="000E2F14">
        <w:t xml:space="preserve">, </w:t>
      </w:r>
      <w:r w:rsidR="000E2F14" w:rsidRPr="000E2F14">
        <w:t>particularly where space for conventional heat sources is limited</w:t>
      </w:r>
      <w:r w:rsidR="00110D84" w:rsidRPr="00110D84">
        <w:t xml:space="preserve"> </w:t>
      </w:r>
      <w:r w:rsidR="000E2F14" w:rsidRPr="000E2F14">
        <w:t>(Lämmle et al., 2020; Chhugani et al., 2022, 2023; Kramer et al., 2023; Kramer and Helmling, 2024)</w:t>
      </w:r>
      <w:r w:rsidR="00110D84" w:rsidRPr="00110D84">
        <w:t>.</w:t>
      </w:r>
      <w:r w:rsidR="00110D84">
        <w:t xml:space="preserve"> </w:t>
      </w:r>
      <w:r w:rsidR="00110D84" w:rsidRPr="00110D84">
        <w:t xml:space="preserve">Within </w:t>
      </w:r>
      <w:r w:rsidR="007B64DB">
        <w:t xml:space="preserve">the </w:t>
      </w:r>
      <w:r w:rsidR="00110D84" w:rsidRPr="00110D84">
        <w:t xml:space="preserve">project HPPVT40, a hybrid heat source concept was developed that combines PVT collectors with </w:t>
      </w:r>
      <w:r w:rsidR="007B64DB">
        <w:t xml:space="preserve">an </w:t>
      </w:r>
      <w:r w:rsidR="00110D84" w:rsidRPr="00110D84">
        <w:t xml:space="preserve">ice storage. The PVT collectors serve as the primary energy source by </w:t>
      </w:r>
      <w:r w:rsidR="00110D84">
        <w:t>“</w:t>
      </w:r>
      <w:r w:rsidR="00110D84" w:rsidRPr="00110D84">
        <w:t>harvesting</w:t>
      </w:r>
      <w:r w:rsidR="00110D84">
        <w:t>”</w:t>
      </w:r>
      <w:r w:rsidR="00110D84" w:rsidRPr="00110D84">
        <w:t xml:space="preserve"> solar radiation and ambient heat while simultaneously generating electricity for on-site consumption.</w:t>
      </w:r>
      <w:r w:rsidR="00110D84">
        <w:t xml:space="preserve"> </w:t>
      </w:r>
      <w:r>
        <w:t>The ice storage enhances source stability, while the PVT</w:t>
      </w:r>
      <w:r w:rsidR="007B64DB">
        <w:t xml:space="preserve"> field</w:t>
      </w:r>
      <w:r>
        <w:t xml:space="preserve"> (and partly the surrounding ground) is used for regenerating the ice storage</w:t>
      </w:r>
      <w:r w:rsidR="00A737F4">
        <w:t xml:space="preserve"> </w:t>
      </w:r>
      <w:r w:rsidR="00A737F4" w:rsidRPr="00110D84">
        <w:t>(Bavia Bampi et al., 2023</w:t>
      </w:r>
      <w:r w:rsidR="00A737F4">
        <w:t xml:space="preserve">; </w:t>
      </w:r>
      <w:r w:rsidR="00A737F4" w:rsidRPr="00110D84">
        <w:t>Khamidov et al., 2024)</w:t>
      </w:r>
      <w:r>
        <w:t xml:space="preserve">. </w:t>
      </w:r>
    </w:p>
    <w:p w14:paraId="3EAD4F73" w14:textId="242372FF" w:rsidR="00453296" w:rsidRDefault="00365597" w:rsidP="007C1632">
      <w:pPr>
        <w:pStyle w:val="SWCText"/>
      </w:pPr>
      <w:r>
        <w:t xml:space="preserve">In addition, environmentally sustainable heat pump operation requires the use of low-global-warming-potential (GWP) refrigerants. </w:t>
      </w:r>
      <w:r w:rsidR="00110D84" w:rsidRPr="00110D84">
        <w:t xml:space="preserve">Within </w:t>
      </w:r>
      <w:r w:rsidR="00A737F4">
        <w:t xml:space="preserve">the </w:t>
      </w:r>
      <w:r w:rsidR="00110D84" w:rsidRPr="00110D84">
        <w:t>project</w:t>
      </w:r>
      <w:r>
        <w:t>, a propane (R290) heat pump with direct condensation in a buffer storage tank was developed, enabling a compact and hydraulically simplified system design while complying with future refrigerant regulations</w:t>
      </w:r>
      <w:r w:rsidR="00A737F4">
        <w:t xml:space="preserve"> </w:t>
      </w:r>
      <w:r w:rsidR="00A737F4" w:rsidRPr="00110D84">
        <w:t>(Diewald et al., 2023, 2024).</w:t>
      </w:r>
    </w:p>
    <w:p w14:paraId="54017827" w14:textId="2288D816" w:rsidR="00E83CFB" w:rsidRPr="006309AA" w:rsidRDefault="00365597" w:rsidP="007C1632">
      <w:pPr>
        <w:pStyle w:val="SWCText"/>
      </w:pPr>
      <w:r w:rsidRPr="00365597">
        <w:t xml:space="preserve">This paper presents the comprehensive field evaluation of this system installed in a residential building in Germany. While previous publications reported </w:t>
      </w:r>
      <w:r>
        <w:t>the conceptual design of the system</w:t>
      </w:r>
      <w:r w:rsidR="00F94CC1">
        <w:t xml:space="preserve"> </w:t>
      </w:r>
      <w:r w:rsidR="00F94CC1" w:rsidRPr="00110D84">
        <w:t>(Bavia Bampi et al., 2023</w:t>
      </w:r>
      <w:r w:rsidR="00F94CC1">
        <w:t xml:space="preserve">; </w:t>
      </w:r>
      <w:r w:rsidR="00F94CC1" w:rsidRPr="00110D84">
        <w:t>Khamidov et al., 2024)</w:t>
      </w:r>
      <w:r w:rsidRPr="00365597">
        <w:t xml:space="preserve">, this work evaluates the performance over a complete, continuous 12-month operational cycle, analyzing seasonal fluctuations, system control stability, and </w:t>
      </w:r>
      <w:r w:rsidR="00F2054E">
        <w:t>system</w:t>
      </w:r>
      <w:r w:rsidRPr="00365597">
        <w:t xml:space="preserve"> efficiency.</w:t>
      </w:r>
    </w:p>
    <w:p w14:paraId="532F83AA" w14:textId="7A3B5768" w:rsidR="00FE7DB8" w:rsidRPr="00E03C62" w:rsidRDefault="00365597" w:rsidP="00FE7DB8">
      <w:pPr>
        <w:pStyle w:val="SWCHeading1"/>
      </w:pPr>
      <w:bookmarkStart w:id="0" w:name="_Ref238900615"/>
      <w:r>
        <w:lastRenderedPageBreak/>
        <w:t>Methodology</w:t>
      </w:r>
      <w:bookmarkEnd w:id="0"/>
    </w:p>
    <w:p w14:paraId="1ED3266B" w14:textId="3153667C" w:rsidR="00E03C62" w:rsidRDefault="00C41E77" w:rsidP="00E03C62">
      <w:pPr>
        <w:pStyle w:val="SWCHeading11"/>
      </w:pPr>
      <w:r>
        <w:t>2</w:t>
      </w:r>
      <w:r w:rsidR="0084100F">
        <w:t xml:space="preserve">.1. </w:t>
      </w:r>
      <w:r w:rsidR="00365597">
        <w:t>Demonstration Building</w:t>
      </w:r>
    </w:p>
    <w:p w14:paraId="19BF1DE7" w14:textId="29253CED" w:rsidR="00C16984" w:rsidRDefault="009969E5" w:rsidP="00B214A1">
      <w:pPr>
        <w:pStyle w:val="SWCText"/>
      </w:pPr>
      <w:commentRangeStart w:id="1"/>
      <w:commentRangeStart w:id="2"/>
      <w:r>
        <w:t xml:space="preserve">The system is installed in a residential two-family house located </w:t>
      </w:r>
      <w:r w:rsidR="00D91A54">
        <w:t>near Ulm</w:t>
      </w:r>
      <w:r>
        <w:t xml:space="preserve">, </w:t>
      </w:r>
      <w:commentRangeEnd w:id="1"/>
      <w:r w:rsidR="007B64DB">
        <w:rPr>
          <w:rStyle w:val="Kommentarzeichen"/>
          <w:sz w:val="20"/>
          <w:szCs w:val="22"/>
        </w:rPr>
        <w:commentReference w:id="1"/>
      </w:r>
      <w:commentRangeEnd w:id="2"/>
      <w:r w:rsidR="00B21860">
        <w:rPr>
          <w:rStyle w:val="Kommentarzeichen"/>
          <w:sz w:val="20"/>
          <w:szCs w:val="22"/>
        </w:rPr>
        <w:commentReference w:id="2"/>
      </w:r>
      <w:r>
        <w:t>Germany</w:t>
      </w:r>
      <w:r w:rsidR="009D1DCF">
        <w:t xml:space="preserve"> (</w:t>
      </w:r>
      <w:r w:rsidR="009D1DCF">
        <w:fldChar w:fldCharType="begin"/>
      </w:r>
      <w:r w:rsidR="009D1DCF">
        <w:instrText xml:space="preserve"> REF _Ref239343265 \h </w:instrText>
      </w:r>
      <w:r w:rsidR="009D1DCF">
        <w:fldChar w:fldCharType="separate"/>
      </w:r>
      <w:r w:rsidR="009D1DCF">
        <w:t xml:space="preserve">Figure </w:t>
      </w:r>
      <w:r w:rsidR="009D1DCF">
        <w:rPr>
          <w:noProof/>
        </w:rPr>
        <w:t>1</w:t>
      </w:r>
      <w:r w:rsidR="009D1DCF">
        <w:fldChar w:fldCharType="end"/>
      </w:r>
      <w:r w:rsidR="009D1DCF">
        <w:t>)</w:t>
      </w:r>
      <w:r>
        <w:t>. The building has a total heated living area of approximately 172 m². Each apartment is equipped with an independent space-heating circuit (HC1 and HC2). The heat distribution system consists of wall-mounted radiators designed for a nominal supply and return temperature of approximately 55/45 °C.</w:t>
      </w:r>
      <w:r w:rsidR="00B30755">
        <w:t xml:space="preserve"> </w:t>
      </w:r>
      <w:r>
        <w:t>Based on the gas consumption recorded in previous years, the building had an average annual gas consumption of approximately 29,000 kWh for a four-person household. Assuming a gas boiler efficiency of 90%, this corresponds to an estimated annual useful heat demand of approximately 26,100 kWh.</w:t>
      </w:r>
      <w:r w:rsidR="00B30755">
        <w:t xml:space="preserve"> </w:t>
      </w:r>
      <w:r>
        <w:t xml:space="preserve">The building's heating load was estimated at approximately 12 kW based on the consumption-based calculation. In comparison, the </w:t>
      </w:r>
      <w:r w:rsidR="007B64DB">
        <w:t>detailled</w:t>
      </w:r>
      <w:r>
        <w:t xml:space="preserve"> heat</w:t>
      </w:r>
      <w:r w:rsidR="00076E47">
        <w:t xml:space="preserve"> </w:t>
      </w:r>
      <w:r>
        <w:t>load calculation</w:t>
      </w:r>
      <w:r w:rsidR="007B64DB">
        <w:t xml:space="preserve"> according to DIN EN 12831</w:t>
      </w:r>
      <w:r>
        <w:t xml:space="preserve"> resulted in a design </w:t>
      </w:r>
      <w:r w:rsidR="00076E47">
        <w:t>heat</w:t>
      </w:r>
      <w:r>
        <w:t xml:space="preserve"> load of 19.6 kW.</w:t>
      </w:r>
    </w:p>
    <w:p w14:paraId="00C42C38" w14:textId="77777777" w:rsidR="009D1DCF" w:rsidRDefault="009D1DCF" w:rsidP="009D1DCF">
      <w:pPr>
        <w:pStyle w:val="SWCText"/>
        <w:keepNext/>
        <w:jc w:val="center"/>
      </w:pPr>
      <w:r w:rsidRPr="009D1DCF">
        <w:rPr>
          <w:noProof/>
        </w:rPr>
        <w:drawing>
          <wp:inline distT="0" distB="0" distL="0" distR="0" wp14:anchorId="20404427" wp14:editId="2D8CC5E6">
            <wp:extent cx="1708485" cy="1449332"/>
            <wp:effectExtent l="0" t="0" r="6350" b="0"/>
            <wp:docPr id="18035564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56450" name=""/>
                    <pic:cNvPicPr/>
                  </pic:nvPicPr>
                  <pic:blipFill rotWithShape="1">
                    <a:blip r:embed="rId12"/>
                    <a:srcRect l="34105" t="15278" r="4985" b="11869"/>
                    <a:stretch>
                      <a:fillRect/>
                    </a:stretch>
                  </pic:blipFill>
                  <pic:spPr bwMode="auto">
                    <a:xfrm>
                      <a:off x="0" y="0"/>
                      <a:ext cx="1764215" cy="1496608"/>
                    </a:xfrm>
                    <a:prstGeom prst="rect">
                      <a:avLst/>
                    </a:prstGeom>
                    <a:ln>
                      <a:noFill/>
                    </a:ln>
                    <a:extLst>
                      <a:ext uri="{53640926-AAD7-44D8-BBD7-CCE9431645EC}">
                        <a14:shadowObscured xmlns:a14="http://schemas.microsoft.com/office/drawing/2010/main"/>
                      </a:ext>
                    </a:extLst>
                  </pic:spPr>
                </pic:pic>
              </a:graphicData>
            </a:graphic>
          </wp:inline>
        </w:drawing>
      </w:r>
    </w:p>
    <w:p w14:paraId="0CFF05CA" w14:textId="0631B7F8" w:rsidR="009D1DCF" w:rsidRPr="00E03C62" w:rsidRDefault="009D1DCF" w:rsidP="009D1DCF">
      <w:pPr>
        <w:pStyle w:val="SWCTableFigureCaption"/>
      </w:pPr>
      <w:bookmarkStart w:id="3" w:name="_Ref239343265"/>
      <w:r>
        <w:t xml:space="preserve">Figure </w:t>
      </w:r>
      <w:r>
        <w:fldChar w:fldCharType="begin"/>
      </w:r>
      <w:r>
        <w:instrText xml:space="preserve"> SEQ Figure \* ARABIC </w:instrText>
      </w:r>
      <w:r>
        <w:fldChar w:fldCharType="separate"/>
      </w:r>
      <w:r w:rsidR="001F342F">
        <w:rPr>
          <w:noProof/>
        </w:rPr>
        <w:t>1</w:t>
      </w:r>
      <w:r>
        <w:fldChar w:fldCharType="end"/>
      </w:r>
      <w:bookmarkEnd w:id="3"/>
      <w:r>
        <w:t xml:space="preserve">. </w:t>
      </w:r>
      <w:r w:rsidR="00D91A54">
        <w:t>Photo of the r</w:t>
      </w:r>
      <w:r>
        <w:t xml:space="preserve">esidential two-family house </w:t>
      </w:r>
      <w:r w:rsidR="00D91A54">
        <w:t>where the demonstration system was implemented; the south-facing roof is covered with PVT collectors.</w:t>
      </w:r>
    </w:p>
    <w:p w14:paraId="22AF12C5" w14:textId="2A1F5A15" w:rsidR="00C16984" w:rsidRPr="00C16984" w:rsidRDefault="00C41E77" w:rsidP="00C16984">
      <w:pPr>
        <w:pStyle w:val="SWCHeading11"/>
      </w:pPr>
      <w:r>
        <w:t>2</w:t>
      </w:r>
      <w:r w:rsidR="0084100F">
        <w:t xml:space="preserve">.2. </w:t>
      </w:r>
      <w:r w:rsidR="00FE7DB8" w:rsidRPr="00FE7DB8">
        <w:t xml:space="preserve">System </w:t>
      </w:r>
      <w:r w:rsidR="00FE7DB8">
        <w:t>Description</w:t>
      </w:r>
    </w:p>
    <w:p w14:paraId="299738F9" w14:textId="07C55591" w:rsidR="00D31CD6" w:rsidRDefault="00FE7DB8" w:rsidP="00D31CD6">
      <w:pPr>
        <w:pStyle w:val="SWCText"/>
      </w:pPr>
      <w:r>
        <w:t xml:space="preserve">The heating system is based on a </w:t>
      </w:r>
      <w:r w:rsidR="00B30755">
        <w:t xml:space="preserve">12 kW </w:t>
      </w:r>
      <w:r>
        <w:t>propane (R290) heat pump with direct condensation integrated into a 780 L buffer storage tank. The system diagram is presented in</w:t>
      </w:r>
      <w:r w:rsidR="00E03C62">
        <w:t xml:space="preserve"> </w:t>
      </w:r>
      <w:r w:rsidR="00E03C62">
        <w:fldChar w:fldCharType="begin"/>
      </w:r>
      <w:r w:rsidR="00E03C62">
        <w:instrText xml:space="preserve"> REF _Ref238914290 \h </w:instrText>
      </w:r>
      <w:r w:rsidR="00E03C62">
        <w:fldChar w:fldCharType="separate"/>
      </w:r>
      <w:r w:rsidR="001F342F">
        <w:t xml:space="preserve">Figure </w:t>
      </w:r>
      <w:r w:rsidR="001F342F">
        <w:rPr>
          <w:noProof/>
        </w:rPr>
        <w:t>2</w:t>
      </w:r>
      <w:r w:rsidR="00E03C62">
        <w:fldChar w:fldCharType="end"/>
      </w:r>
      <w:r>
        <w:t xml:space="preserve">. The buffer storage is designed as a combi storage unit, providing </w:t>
      </w:r>
      <w:r w:rsidR="007B64DB">
        <w:t xml:space="preserve">energy </w:t>
      </w:r>
      <w:r>
        <w:t xml:space="preserve">both space heating and domestic hot water (DHW). </w:t>
      </w:r>
      <w:r w:rsidR="00B30755">
        <w:t>DHW</w:t>
      </w:r>
      <w:r>
        <w:t xml:space="preserve"> is prepared via an external freshwater station </w:t>
      </w:r>
      <w:r w:rsidR="00D31CD6">
        <w:t xml:space="preserve">(FWS) </w:t>
      </w:r>
      <w:r>
        <w:t xml:space="preserve">connected to the combi storage. The building does not include a </w:t>
      </w:r>
      <w:r w:rsidR="00B30755">
        <w:t>DHW</w:t>
      </w:r>
      <w:r>
        <w:t xml:space="preserve"> circulation system. An electrical heating rod with a maximum capacity of 5.2 kW is connected to the buffer storage. It serves two purposes: (i) to utilize surplus electricity generated by the PVT collectors by converting it into </w:t>
      </w:r>
      <w:r w:rsidR="00AB1D94">
        <w:t>heat</w:t>
      </w:r>
      <w:r>
        <w:t xml:space="preserve"> stored in the buffer tank, and (ii) to provide backup heating capacity in case of heat pump limitations or peak demand.</w:t>
      </w:r>
      <w:r w:rsidR="00172BCB">
        <w:t xml:space="preserve"> </w:t>
      </w:r>
      <w:r w:rsidR="00404388" w:rsidRPr="00404388">
        <w:t>The existing gas boiler was also retained as an additional backup heat</w:t>
      </w:r>
      <w:r w:rsidR="00404388">
        <w:t>er</w:t>
      </w:r>
      <w:r w:rsidR="00404388" w:rsidRPr="00404388">
        <w:t>.</w:t>
      </w:r>
      <w:r w:rsidR="001F342F">
        <w:t xml:space="preserve"> </w:t>
      </w:r>
      <w:r w:rsidR="00404388" w:rsidRPr="00404388">
        <w:t>The renewable heat source for the heat pump consists of two main components</w:t>
      </w:r>
      <w:r w:rsidR="00D31CD6">
        <w:t>:</w:t>
      </w:r>
    </w:p>
    <w:p w14:paraId="29716E8E" w14:textId="70A5C99E" w:rsidR="00D31CD6" w:rsidRDefault="00D31CD6" w:rsidP="00A65490">
      <w:pPr>
        <w:pStyle w:val="SWCBulletedList"/>
      </w:pPr>
      <w:r>
        <w:t xml:space="preserve">PVT </w:t>
      </w:r>
      <w:r w:rsidR="00404388">
        <w:t>c</w:t>
      </w:r>
      <w:r>
        <w:t xml:space="preserve">ollectors: 40.4 m² </w:t>
      </w:r>
      <w:r w:rsidR="001F342F">
        <w:t xml:space="preserve">(8.45 kWp) </w:t>
      </w:r>
      <w:r>
        <w:t xml:space="preserve">of uncovered </w:t>
      </w:r>
      <w:r w:rsidR="00E03C62">
        <w:t>modules</w:t>
      </w:r>
      <w:r>
        <w:t xml:space="preserve"> with thermal insulation on the rear side, installed on the building roof</w:t>
      </w:r>
      <w:r w:rsidR="00322134">
        <w:t xml:space="preserve">, </w:t>
      </w:r>
      <w:r w:rsidR="00E03C62" w:rsidRPr="00E03C62">
        <w:t>30° tilt angle and south-facing orientation.</w:t>
      </w:r>
      <w:r>
        <w:t xml:space="preserve"> </w:t>
      </w:r>
      <w:r w:rsidR="00404388" w:rsidRPr="00404388">
        <w:t>For defrosting</w:t>
      </w:r>
      <w:r w:rsidR="00404388">
        <w:t xml:space="preserve"> the collectors</w:t>
      </w:r>
      <w:r w:rsidR="00404388" w:rsidRPr="00404388">
        <w:t xml:space="preserve">, a heat exchanger transfers </w:t>
      </w:r>
      <w:r w:rsidR="00404388">
        <w:t>heat</w:t>
      </w:r>
      <w:r w:rsidR="00404388" w:rsidRPr="00404388">
        <w:t xml:space="preserve"> from the buffer storage to the collector brine circuit when required</w:t>
      </w:r>
      <w:r>
        <w:t>.</w:t>
      </w:r>
    </w:p>
    <w:p w14:paraId="7FAB015B" w14:textId="784AD890" w:rsidR="00D31CD6" w:rsidRDefault="00D31CD6" w:rsidP="00A65490">
      <w:pPr>
        <w:pStyle w:val="SWCBulletedList"/>
      </w:pPr>
      <w:r>
        <w:t xml:space="preserve">Ice </w:t>
      </w:r>
      <w:r w:rsidR="00404388">
        <w:t>s</w:t>
      </w:r>
      <w:r>
        <w:t xml:space="preserve">torage: </w:t>
      </w:r>
      <w:r w:rsidR="00153386" w:rsidRPr="00153386">
        <w:t>Two identical storage units with a total water volume of 5.2 m³. Each unit consists of an uninsulated plastic tank containing 2.6 m³ of water and is buried in the ground. The ice storage is regenerated by the PVT collectors and additionally gains heat from the surrounding soil when its temperature is below the soil temperature</w:t>
      </w:r>
      <w:r>
        <w:t>.</w:t>
      </w:r>
    </w:p>
    <w:p w14:paraId="1CB6D3F1" w14:textId="77777777" w:rsidR="009D1DCF" w:rsidRDefault="009D1DCF" w:rsidP="009D1DCF">
      <w:pPr>
        <w:pStyle w:val="SWCHeading11"/>
      </w:pPr>
      <w:r>
        <w:t>2.3 Heat Source Circuit Operation</w:t>
      </w:r>
    </w:p>
    <w:p w14:paraId="2CED763B" w14:textId="77777777" w:rsidR="009D1DCF" w:rsidRDefault="009D1DCF" w:rsidP="009D1DCF">
      <w:pPr>
        <w:pStyle w:val="SWCText"/>
      </w:pPr>
      <w:r>
        <w:t xml:space="preserve">The heat source circuit is designed for flexible hydraulic operation, allowing the PVT collectors and the ice storage to be operated either in parallel or in series, depending on operating conditions and control strategy. The heat source circuit is filled with water-glycol mixture (brine) with a freezing point of roughly −20 °C. </w:t>
      </w:r>
    </w:p>
    <w:p w14:paraId="2CDD7952" w14:textId="77777777" w:rsidR="009D1DCF" w:rsidRDefault="009D1DCF" w:rsidP="009D1DCF">
      <w:pPr>
        <w:pStyle w:val="SWCText"/>
      </w:pPr>
      <w:r>
        <w:t>When the heat pump is operating, the heat source circuit can operate in four different modes, which are presented in Figure 2:</w:t>
      </w:r>
    </w:p>
    <w:p w14:paraId="478407FE" w14:textId="77777777" w:rsidR="009D1DCF" w:rsidRDefault="009D1DCF" w:rsidP="009D1DCF">
      <w:pPr>
        <w:pStyle w:val="SWCBulletedList"/>
      </w:pPr>
      <w:r w:rsidRPr="001C6589">
        <w:rPr>
          <w:i/>
          <w:iCs/>
        </w:rPr>
        <w:t>PVT only</w:t>
      </w:r>
      <w:r>
        <w:t>: PVT collectors are the sole heat source for the HP evaporator.</w:t>
      </w:r>
    </w:p>
    <w:p w14:paraId="2F3386DF" w14:textId="77777777" w:rsidR="009D1DCF" w:rsidRDefault="009D1DCF" w:rsidP="009D1DCF">
      <w:pPr>
        <w:pStyle w:val="SWCBulletedList"/>
      </w:pPr>
      <w:r w:rsidRPr="001C6589">
        <w:rPr>
          <w:i/>
          <w:iCs/>
        </w:rPr>
        <w:t>ICE only</w:t>
      </w:r>
      <w:r>
        <w:t>: Ice storage is the sole heat source for the HP evaporator</w:t>
      </w:r>
    </w:p>
    <w:p w14:paraId="66C9EC8E" w14:textId="77777777" w:rsidR="009D1DCF" w:rsidRDefault="009D1DCF" w:rsidP="009D1DCF">
      <w:pPr>
        <w:pStyle w:val="SWCBulletedList"/>
      </w:pPr>
      <w:r w:rsidRPr="001C6589">
        <w:rPr>
          <w:i/>
          <w:iCs/>
        </w:rPr>
        <w:t>PVT+ICE in parallel</w:t>
      </w:r>
      <w:r>
        <w:t>: PVT collectors and ice storage supply heat simultaneously and in parallel to the HP evaporator.</w:t>
      </w:r>
    </w:p>
    <w:p w14:paraId="655D89D8" w14:textId="62FA4B57" w:rsidR="009D1DCF" w:rsidRDefault="009D1DCF" w:rsidP="009D1DCF">
      <w:pPr>
        <w:pStyle w:val="SWCBulletedList"/>
      </w:pPr>
      <w:r w:rsidRPr="001C6589">
        <w:rPr>
          <w:i/>
          <w:iCs/>
        </w:rPr>
        <w:lastRenderedPageBreak/>
        <w:t>PVT to HP to ICE in series</w:t>
      </w:r>
      <w:r>
        <w:t>: PVT collectors supply heat to the HP evaporator, and HP evaporator outlet flow is supplied to the ice storage to regenerate it. This mode happens when HP evaporator outflow temperature is higher than the ice storage temperature.</w:t>
      </w:r>
    </w:p>
    <w:p w14:paraId="787D622A" w14:textId="77777777" w:rsidR="006D0683" w:rsidRDefault="00D31CD6" w:rsidP="006D0683">
      <w:pPr>
        <w:pStyle w:val="SWCText"/>
        <w:keepNext/>
        <w:jc w:val="center"/>
      </w:pPr>
      <w:r w:rsidRPr="00D31CD6">
        <w:rPr>
          <w:noProof/>
        </w:rPr>
        <w:drawing>
          <wp:inline distT="0" distB="0" distL="0" distR="0" wp14:anchorId="3C017666" wp14:editId="3B4BEBA0">
            <wp:extent cx="5164625" cy="3305175"/>
            <wp:effectExtent l="0" t="0" r="0" b="0"/>
            <wp:docPr id="7048759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75921" name=""/>
                    <pic:cNvPicPr/>
                  </pic:nvPicPr>
                  <pic:blipFill>
                    <a:blip r:embed="rId13"/>
                    <a:stretch>
                      <a:fillRect/>
                    </a:stretch>
                  </pic:blipFill>
                  <pic:spPr>
                    <a:xfrm>
                      <a:off x="0" y="0"/>
                      <a:ext cx="5361574" cy="3431216"/>
                    </a:xfrm>
                    <a:prstGeom prst="rect">
                      <a:avLst/>
                    </a:prstGeom>
                  </pic:spPr>
                </pic:pic>
              </a:graphicData>
            </a:graphic>
          </wp:inline>
        </w:drawing>
      </w:r>
    </w:p>
    <w:p w14:paraId="6290E1AF" w14:textId="651F0FE8" w:rsidR="00BE0BDF" w:rsidRDefault="006D0683" w:rsidP="009D1DCF">
      <w:pPr>
        <w:pStyle w:val="SWCTableFigureCaption"/>
      </w:pPr>
      <w:bookmarkStart w:id="4" w:name="_Ref238914290"/>
      <w:r>
        <w:t xml:space="preserve">Figure </w:t>
      </w:r>
      <w:r>
        <w:fldChar w:fldCharType="begin"/>
      </w:r>
      <w:r>
        <w:instrText xml:space="preserve"> SEQ Figure \* ARABIC </w:instrText>
      </w:r>
      <w:r>
        <w:fldChar w:fldCharType="separate"/>
      </w:r>
      <w:r w:rsidR="001F342F">
        <w:rPr>
          <w:noProof/>
        </w:rPr>
        <w:t>2</w:t>
      </w:r>
      <w:r>
        <w:fldChar w:fldCharType="end"/>
      </w:r>
      <w:bookmarkEnd w:id="4"/>
      <w:r>
        <w:t xml:space="preserve">. </w:t>
      </w:r>
      <w:r w:rsidR="00E03C62">
        <w:t>Heating system</w:t>
      </w:r>
      <w:r w:rsidR="00E03C62" w:rsidRPr="00E03C62">
        <w:t xml:space="preserve"> </w:t>
      </w:r>
      <w:r w:rsidR="00E03C62">
        <w:t xml:space="preserve">hydraulic diagram. </w:t>
      </w:r>
    </w:p>
    <w:p w14:paraId="731CAB9F" w14:textId="77777777" w:rsidR="006D0683" w:rsidRDefault="005A174F" w:rsidP="006D0683">
      <w:pPr>
        <w:pStyle w:val="SWCText"/>
        <w:keepNext/>
        <w:jc w:val="center"/>
      </w:pPr>
      <w:r w:rsidRPr="005A174F">
        <w:rPr>
          <w:noProof/>
        </w:rPr>
        <w:drawing>
          <wp:inline distT="0" distB="0" distL="0" distR="0" wp14:anchorId="1DB69132" wp14:editId="5CB0DB9E">
            <wp:extent cx="4591050" cy="3192314"/>
            <wp:effectExtent l="0" t="0" r="0" b="8255"/>
            <wp:docPr id="9915246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24635" name=""/>
                    <pic:cNvPicPr/>
                  </pic:nvPicPr>
                  <pic:blipFill>
                    <a:blip r:embed="rId14"/>
                    <a:stretch>
                      <a:fillRect/>
                    </a:stretch>
                  </pic:blipFill>
                  <pic:spPr>
                    <a:xfrm>
                      <a:off x="0" y="0"/>
                      <a:ext cx="4637736" cy="3224777"/>
                    </a:xfrm>
                    <a:prstGeom prst="rect">
                      <a:avLst/>
                    </a:prstGeom>
                  </pic:spPr>
                </pic:pic>
              </a:graphicData>
            </a:graphic>
          </wp:inline>
        </w:drawing>
      </w:r>
    </w:p>
    <w:p w14:paraId="3A4D0517" w14:textId="7CFCFCF7" w:rsidR="00C16984" w:rsidRDefault="006D0683" w:rsidP="00DC1AF1">
      <w:pPr>
        <w:pStyle w:val="SWCTableFigureCaption"/>
      </w:pPr>
      <w:bookmarkStart w:id="5" w:name="_Ref238997550"/>
      <w:bookmarkStart w:id="6" w:name="_Ref238997596"/>
      <w:r w:rsidRPr="006D0683">
        <w:t xml:space="preserve">Figure </w:t>
      </w:r>
      <w:r>
        <w:fldChar w:fldCharType="begin"/>
      </w:r>
      <w:r w:rsidRPr="006D0683">
        <w:instrText xml:space="preserve"> SEQ Figure \* ARABIC </w:instrText>
      </w:r>
      <w:r>
        <w:fldChar w:fldCharType="separate"/>
      </w:r>
      <w:r w:rsidR="001F342F">
        <w:rPr>
          <w:noProof/>
        </w:rPr>
        <w:t>3</w:t>
      </w:r>
      <w:r>
        <w:fldChar w:fldCharType="end"/>
      </w:r>
      <w:bookmarkEnd w:id="5"/>
      <w:r w:rsidRPr="006D0683">
        <w:t>. Heat source circuit operation modes when heat pump i</w:t>
      </w:r>
      <w:r w:rsidR="001C6589">
        <w:t>s</w:t>
      </w:r>
      <w:r w:rsidRPr="006D0683">
        <w:t xml:space="preserve"> on.</w:t>
      </w:r>
      <w:bookmarkEnd w:id="6"/>
    </w:p>
    <w:p w14:paraId="4ED1E6F9" w14:textId="2AA2AE5B" w:rsidR="00076E47" w:rsidRPr="004F340A" w:rsidRDefault="00076E47" w:rsidP="00076E47">
      <w:pPr>
        <w:pStyle w:val="SWCText"/>
      </w:pPr>
      <w:r w:rsidRPr="00687C06">
        <w:t xml:space="preserve">When the HP is switched off, a regeneration mode is available, in which the PVT collectors </w:t>
      </w:r>
      <w:r>
        <w:t xml:space="preserve">supply heat </w:t>
      </w:r>
      <w:r w:rsidRPr="00687C06">
        <w:t>directly to the ice storage</w:t>
      </w:r>
      <w:r>
        <w:t xml:space="preserve">, called </w:t>
      </w:r>
      <w:r w:rsidRPr="001C6589">
        <w:rPr>
          <w:i/>
          <w:iCs/>
        </w:rPr>
        <w:t>PVT to ICE</w:t>
      </w:r>
      <w:r w:rsidRPr="00687C06">
        <w:t>.</w:t>
      </w:r>
    </w:p>
    <w:p w14:paraId="0C677FD1" w14:textId="188AD00D" w:rsidR="00D32EF0" w:rsidRDefault="00C41E77" w:rsidP="0084100F">
      <w:pPr>
        <w:pStyle w:val="SWCHeading11"/>
      </w:pPr>
      <w:r>
        <w:t>2</w:t>
      </w:r>
      <w:r w:rsidR="0084100F">
        <w:t xml:space="preserve">.4 </w:t>
      </w:r>
      <w:r w:rsidR="004F340A">
        <w:t>Data acquisition and monitoring</w:t>
      </w:r>
    </w:p>
    <w:p w14:paraId="3A8AFB23" w14:textId="588F7D49" w:rsidR="004F340A" w:rsidRDefault="004F340A" w:rsidP="004F340A">
      <w:pPr>
        <w:pStyle w:val="SWCText"/>
      </w:pPr>
      <w:r>
        <w:t xml:space="preserve">System performance </w:t>
      </w:r>
      <w:r w:rsidR="00AD5991">
        <w:t>was</w:t>
      </w:r>
      <w:r>
        <w:t xml:space="preserve"> monitored continuously through three distinct data acquisition channels, each </w:t>
      </w:r>
      <w:r w:rsidR="00AD5991">
        <w:t>employing a</w:t>
      </w:r>
      <w:r w:rsidR="00654F8E">
        <w:t xml:space="preserve"> </w:t>
      </w:r>
      <w:r w:rsidR="00BD26EB" w:rsidRPr="00BD26EB">
        <w:t xml:space="preserve">different sampling </w:t>
      </w:r>
      <w:r w:rsidR="00DC1AF1" w:rsidRPr="00BD26EB">
        <w:t>strategy</w:t>
      </w:r>
      <w:r>
        <w:t>:</w:t>
      </w:r>
    </w:p>
    <w:p w14:paraId="00D14DDA" w14:textId="7E4C69B1" w:rsidR="004F340A" w:rsidRDefault="004F340A" w:rsidP="00BD26EB">
      <w:pPr>
        <w:pStyle w:val="SWCBulletedList"/>
      </w:pPr>
      <w:r>
        <w:t xml:space="preserve">Heat Pump Controller: Utilizes event-based sampling </w:t>
      </w:r>
      <w:r w:rsidR="00DC1AF1">
        <w:t>recording</w:t>
      </w:r>
      <w:r>
        <w:t xml:space="preserve"> exact start/stop events, compressor frequency, temperatures, and electrical power consumption of the heat pump.</w:t>
      </w:r>
    </w:p>
    <w:p w14:paraId="78A45964" w14:textId="1FC25270" w:rsidR="004F340A" w:rsidRDefault="004F340A" w:rsidP="00BD26EB">
      <w:pPr>
        <w:pStyle w:val="SWCBulletedList"/>
      </w:pPr>
      <w:r>
        <w:lastRenderedPageBreak/>
        <w:t xml:space="preserve">Heating System Controller: Logs </w:t>
      </w:r>
      <w:r w:rsidR="00654F8E">
        <w:t xml:space="preserve">sensors and </w:t>
      </w:r>
      <w:r>
        <w:t xml:space="preserve">operational parameters at a strict 1-minute sampling interval, monitoring </w:t>
      </w:r>
      <w:r w:rsidR="00BD26EB">
        <w:t xml:space="preserve">and controlling </w:t>
      </w:r>
      <w:r>
        <w:t>the heat source brine loop, the</w:t>
      </w:r>
      <w:r w:rsidR="00664634">
        <w:t xml:space="preserve"> space</w:t>
      </w:r>
      <w:r>
        <w:t xml:space="preserve"> heating circuits (HC1, HC2),</w:t>
      </w:r>
      <w:r w:rsidR="00664634">
        <w:t xml:space="preserve"> the </w:t>
      </w:r>
      <w:r>
        <w:t xml:space="preserve">fresh water station, and </w:t>
      </w:r>
      <w:r w:rsidR="00664634">
        <w:t xml:space="preserve">the </w:t>
      </w:r>
      <w:r>
        <w:t>electrical heating rod status.</w:t>
      </w:r>
    </w:p>
    <w:p w14:paraId="5406502F" w14:textId="123057B4" w:rsidR="004F340A" w:rsidRDefault="004F340A" w:rsidP="00BD26EB">
      <w:pPr>
        <w:pStyle w:val="SWCBulletedList"/>
      </w:pPr>
      <w:r>
        <w:t>Solar Energy Management System: Records photovoltaic electricity generation, and overall household electrical power consumption at a 15-minute sampling frequency.</w:t>
      </w:r>
    </w:p>
    <w:p w14:paraId="1149020C" w14:textId="547F98EC" w:rsidR="00AD5991" w:rsidRPr="00664634" w:rsidRDefault="00AD5991" w:rsidP="00AD5991">
      <w:pPr>
        <w:pStyle w:val="SWCText"/>
      </w:pPr>
      <w:r>
        <w:t>Thermal energy flows were measured using heat meters installed at all major hydraulic interfaces, including the HP evaporator, PVT collectors, ice storage, PVT defrost heat exchanger, space heating circuits HC1 and HC2, and fresh water station. The thermal output of the electrical heating rod was estimated indirectly from its measured electrical power consumption</w:t>
      </w:r>
      <w:r w:rsidR="000C3A88">
        <w:t>, assuming 98% conversion efficiency</w:t>
      </w:r>
      <w:r>
        <w:t>.</w:t>
      </w:r>
      <w:r w:rsidR="00C1526A">
        <w:t xml:space="preserve"> </w:t>
      </w:r>
      <w:r>
        <w:t xml:space="preserve">Since the refrigerant mass flow rate of the heat pump was not measured directly, the condenser heat output was determined </w:t>
      </w:r>
      <w:r w:rsidR="000C3A88">
        <w:t>as the sum of</w:t>
      </w:r>
      <w:r>
        <w:t xml:space="preserve"> the measured evaporator heat</w:t>
      </w:r>
      <w:r w:rsidR="000C3A88">
        <w:t xml:space="preserve"> input</w:t>
      </w:r>
      <w:r>
        <w:t xml:space="preserve"> and the electrical power input to the heat pump compressor</w:t>
      </w:r>
      <w:r w:rsidR="000C3A88">
        <w:t>.</w:t>
      </w:r>
      <w:r w:rsidR="000C3A88" w:rsidRPr="000C3A88">
        <w:t xml:space="preserve"> </w:t>
      </w:r>
      <w:r w:rsidR="000C3A88">
        <w:t>Data processing and evaluation were carried out using Python-based post-processing routines.</w:t>
      </w:r>
    </w:p>
    <w:p w14:paraId="5C8CC22A" w14:textId="40286719" w:rsidR="00C41E77" w:rsidRDefault="006C10F6" w:rsidP="00C41E77">
      <w:pPr>
        <w:pStyle w:val="SWCHeading1"/>
        <w:rPr>
          <w:lang w:val="en-GB"/>
        </w:rPr>
      </w:pPr>
      <w:r>
        <w:rPr>
          <w:lang w:val="en-GB"/>
        </w:rPr>
        <w:t>Result</w:t>
      </w:r>
      <w:r w:rsidR="004D09F7">
        <w:rPr>
          <w:lang w:val="en-GB"/>
        </w:rPr>
        <w:t>s and Discussion</w:t>
      </w:r>
    </w:p>
    <w:p w14:paraId="55A59B2E" w14:textId="4B81900C" w:rsidR="00C16984" w:rsidRPr="004C57ED" w:rsidRDefault="00F2054E" w:rsidP="004C57ED">
      <w:pPr>
        <w:pStyle w:val="SWCText"/>
      </w:pPr>
      <w:r w:rsidRPr="00F2054E">
        <w:t>This section presents the results of the continuous system monitoring over a full 12-month period, from July 1, 2025, to June 30, 2026. The analysis covers the system’s seasonal behavior and the performance of the integrated heat pump, PVT collectors, and ice storage throughout the complete annual cycle.</w:t>
      </w:r>
    </w:p>
    <w:p w14:paraId="0EF3B90B" w14:textId="599FE603" w:rsidR="00C41E77" w:rsidRDefault="00C41E77" w:rsidP="00C41E77">
      <w:pPr>
        <w:pStyle w:val="SWCHeading11"/>
      </w:pPr>
      <w:r>
        <w:t xml:space="preserve">3.1 </w:t>
      </w:r>
      <w:r w:rsidRPr="00C41E77">
        <w:t>Weather Conditions</w:t>
      </w:r>
    </w:p>
    <w:p w14:paraId="5F808E50" w14:textId="3C6B66BB" w:rsidR="006D0683" w:rsidRDefault="005D2919" w:rsidP="008E1F90">
      <w:pPr>
        <w:pStyle w:val="SWCText"/>
      </w:pPr>
      <w:r>
        <w:t>The system's performance is heavily influenced by local weather conditions.</w:t>
      </w:r>
      <w:r w:rsidR="00ED0684">
        <w:t xml:space="preserve"> </w:t>
      </w:r>
      <w:r w:rsidR="00ED0684" w:rsidRPr="00ED0684">
        <w:t xml:space="preserve">Therefore, the ambient air temperature and solar irradiance at the demonstration site were monitored. </w:t>
      </w:r>
      <w:r w:rsidR="00A32934">
        <w:fldChar w:fldCharType="begin"/>
      </w:r>
      <w:r w:rsidR="00A32934">
        <w:instrText xml:space="preserve"> REF _Ref238889079 \h </w:instrText>
      </w:r>
      <w:r w:rsidR="00A32934">
        <w:fldChar w:fldCharType="separate"/>
      </w:r>
      <w:r w:rsidR="001F342F">
        <w:t xml:space="preserve">Figure </w:t>
      </w:r>
      <w:r w:rsidR="001F342F">
        <w:rPr>
          <w:noProof/>
        </w:rPr>
        <w:t>4</w:t>
      </w:r>
      <w:r w:rsidR="00A32934">
        <w:fldChar w:fldCharType="end"/>
      </w:r>
      <w:r w:rsidR="00A32934">
        <w:t xml:space="preserve"> </w:t>
      </w:r>
      <w:r>
        <w:t>presents the highly resolved time-series of the ambient air temperature and the solar irradiance on the tilted PVT collector surface.</w:t>
      </w:r>
      <w:r w:rsidR="004761B3">
        <w:t xml:space="preserve"> </w:t>
      </w:r>
      <w:r w:rsidR="00ED0684" w:rsidRPr="00ED0684">
        <w:t xml:space="preserve">A measurement issue </w:t>
      </w:r>
      <w:r w:rsidR="000125A5">
        <w:t>occurred</w:t>
      </w:r>
      <w:r w:rsidR="00ED0684" w:rsidRPr="00ED0684">
        <w:t xml:space="preserve"> between April 22, 2026, at 08:00 and May 1, 2026, at 01:00, during which no data </w:t>
      </w:r>
      <w:r w:rsidR="00DC1AF1" w:rsidRPr="00ED0684">
        <w:t>was</w:t>
      </w:r>
      <w:r w:rsidR="00ED0684" w:rsidRPr="00ED0684">
        <w:t xml:space="preserve"> recorded.</w:t>
      </w:r>
      <w:r w:rsidR="00ED0684">
        <w:t xml:space="preserve"> </w:t>
      </w:r>
      <w:r w:rsidR="00A32934">
        <w:fldChar w:fldCharType="begin"/>
      </w:r>
      <w:r w:rsidR="00A32934">
        <w:instrText xml:space="preserve"> REF _Ref238889259 \h </w:instrText>
      </w:r>
      <w:r w:rsidR="00A32934">
        <w:fldChar w:fldCharType="separate"/>
      </w:r>
      <w:r w:rsidR="001F342F" w:rsidRPr="00A32934">
        <w:t xml:space="preserve">Figure </w:t>
      </w:r>
      <w:r w:rsidR="001F342F">
        <w:rPr>
          <w:noProof/>
        </w:rPr>
        <w:t>5</w:t>
      </w:r>
      <w:r w:rsidR="00A32934">
        <w:fldChar w:fldCharType="end"/>
      </w:r>
      <w:r w:rsidR="004133D0" w:rsidRPr="004133D0">
        <w:t xml:space="preserve"> shows the monthly solar irradiation on the PVT collector surface together with the monthly mean ambient air temperatures. Over the 12-month period, the cumulative solar irradiation on the PVT collector surface reached 1299 kWh/m², corresponding to a total solar energy input of approximately 52,479 kWh over the 40.4 m² collector area.</w:t>
      </w:r>
    </w:p>
    <w:p w14:paraId="03844681" w14:textId="1444F4A7" w:rsidR="00A32934" w:rsidRDefault="00A32934" w:rsidP="006D0683">
      <w:pPr>
        <w:pStyle w:val="SWCText"/>
        <w:keepNext/>
        <w:jc w:val="center"/>
      </w:pPr>
      <w:r w:rsidRPr="00A32934">
        <w:rPr>
          <w:noProof/>
        </w:rPr>
        <w:drawing>
          <wp:inline distT="0" distB="0" distL="0" distR="0" wp14:anchorId="346A5A19" wp14:editId="549B9E0D">
            <wp:extent cx="5073650" cy="2159741"/>
            <wp:effectExtent l="0" t="0" r="0" b="0"/>
            <wp:docPr id="1832355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5567" name=""/>
                    <pic:cNvPicPr/>
                  </pic:nvPicPr>
                  <pic:blipFill>
                    <a:blip r:embed="rId15"/>
                    <a:stretch>
                      <a:fillRect/>
                    </a:stretch>
                  </pic:blipFill>
                  <pic:spPr>
                    <a:xfrm>
                      <a:off x="0" y="0"/>
                      <a:ext cx="5120359" cy="2179624"/>
                    </a:xfrm>
                    <a:prstGeom prst="rect">
                      <a:avLst/>
                    </a:prstGeom>
                  </pic:spPr>
                </pic:pic>
              </a:graphicData>
            </a:graphic>
          </wp:inline>
        </w:drawing>
      </w:r>
    </w:p>
    <w:p w14:paraId="35E823AE" w14:textId="1D186D90" w:rsidR="00ED0684" w:rsidRDefault="006D0683" w:rsidP="00EA3D13">
      <w:pPr>
        <w:pStyle w:val="SWCTableFigureCaption"/>
      </w:pPr>
      <w:bookmarkStart w:id="7" w:name="_Ref238889079"/>
      <w:r>
        <w:t xml:space="preserve">Figure </w:t>
      </w:r>
      <w:r>
        <w:fldChar w:fldCharType="begin"/>
      </w:r>
      <w:r>
        <w:instrText xml:space="preserve"> SEQ Figure \* ARABIC </w:instrText>
      </w:r>
      <w:r>
        <w:fldChar w:fldCharType="separate"/>
      </w:r>
      <w:r w:rsidR="001F342F">
        <w:rPr>
          <w:noProof/>
        </w:rPr>
        <w:t>4</w:t>
      </w:r>
      <w:r>
        <w:fldChar w:fldCharType="end"/>
      </w:r>
      <w:bookmarkEnd w:id="7"/>
      <w:r>
        <w:t xml:space="preserve">. </w:t>
      </w:r>
      <w:r w:rsidRPr="00A859EF">
        <w:t xml:space="preserve">High-resolution time series of </w:t>
      </w:r>
      <w:r w:rsidR="00EA3D13">
        <w:t>outdoor</w:t>
      </w:r>
      <w:r w:rsidRPr="00A859EF">
        <w:t xml:space="preserve"> air temperature and solar irradiance on the tilted PVT collector surface.</w:t>
      </w:r>
    </w:p>
    <w:p w14:paraId="74432D17" w14:textId="77777777" w:rsidR="00A32934" w:rsidRDefault="00ED0684" w:rsidP="00A32934">
      <w:pPr>
        <w:pStyle w:val="SWCText"/>
        <w:keepNext/>
        <w:jc w:val="center"/>
      </w:pPr>
      <w:r>
        <w:rPr>
          <w:noProof/>
        </w:rPr>
        <w:drawing>
          <wp:inline distT="0" distB="0" distL="0" distR="0" wp14:anchorId="647268B8" wp14:editId="7E669B61">
            <wp:extent cx="5645150" cy="1568450"/>
            <wp:effectExtent l="0" t="0" r="12700" b="12700"/>
            <wp:docPr id="259163211" name="Diagramm 1">
              <a:extLst xmlns:a="http://schemas.openxmlformats.org/drawingml/2006/main">
                <a:ext uri="{FF2B5EF4-FFF2-40B4-BE49-F238E27FC236}">
                  <a16:creationId xmlns:a16="http://schemas.microsoft.com/office/drawing/2014/main" id="{7577D4DE-1322-422C-ABBC-EEFACF82E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B1D9F7" w14:textId="63C51CEB" w:rsidR="008D15ED" w:rsidRDefault="00A32934" w:rsidP="001F342F">
      <w:pPr>
        <w:pStyle w:val="SWCTableFigureCaption"/>
      </w:pPr>
      <w:bookmarkStart w:id="8" w:name="_Ref238889259"/>
      <w:r w:rsidRPr="00A32934">
        <w:t xml:space="preserve">Figure </w:t>
      </w:r>
      <w:r>
        <w:fldChar w:fldCharType="begin"/>
      </w:r>
      <w:r w:rsidRPr="00A32934">
        <w:instrText xml:space="preserve"> SEQ Figure \* ARABIC </w:instrText>
      </w:r>
      <w:r>
        <w:fldChar w:fldCharType="separate"/>
      </w:r>
      <w:r w:rsidR="001F342F">
        <w:rPr>
          <w:noProof/>
        </w:rPr>
        <w:t>5</w:t>
      </w:r>
      <w:r>
        <w:fldChar w:fldCharType="end"/>
      </w:r>
      <w:bookmarkEnd w:id="8"/>
      <w:r w:rsidRPr="00A32934">
        <w:t xml:space="preserve">. Monthly solar irradiation on the tilted PVT collector surface and monthly mean </w:t>
      </w:r>
      <w:r w:rsidR="00EA3D13">
        <w:t>outdoor</w:t>
      </w:r>
      <w:r w:rsidRPr="00A32934">
        <w:t xml:space="preserve"> air temperature.</w:t>
      </w:r>
    </w:p>
    <w:p w14:paraId="0D493736" w14:textId="21B0AE30" w:rsidR="003A2377" w:rsidRDefault="003A2377" w:rsidP="003A2377">
      <w:pPr>
        <w:pStyle w:val="SWCHeading11"/>
      </w:pPr>
      <w:r>
        <w:lastRenderedPageBreak/>
        <w:t xml:space="preserve">3.2 </w:t>
      </w:r>
      <w:r w:rsidR="004844D1">
        <w:t xml:space="preserve">Heat Demand and </w:t>
      </w:r>
      <w:r w:rsidR="00603DE2">
        <w:t xml:space="preserve">Heat </w:t>
      </w:r>
      <w:r w:rsidR="004844D1">
        <w:t>Generation</w:t>
      </w:r>
    </w:p>
    <w:p w14:paraId="329F8386" w14:textId="73A87058" w:rsidR="004D09F7" w:rsidRDefault="004C57ED" w:rsidP="00143BB4">
      <w:pPr>
        <w:pStyle w:val="SWCText"/>
      </w:pPr>
      <w:r w:rsidRPr="004C57ED">
        <w:t xml:space="preserve">During the </w:t>
      </w:r>
      <w:r>
        <w:t>12</w:t>
      </w:r>
      <w:r w:rsidRPr="004C57ED">
        <w:t xml:space="preserve">-month measurement period, the </w:t>
      </w:r>
      <w:r w:rsidR="00D52573">
        <w:t xml:space="preserve">total heat </w:t>
      </w:r>
      <w:r w:rsidRPr="004C57ED">
        <w:t xml:space="preserve">demand of the building was </w:t>
      </w:r>
      <w:r w:rsidR="00FC4601">
        <w:t>24’04</w:t>
      </w:r>
      <w:r w:rsidR="008E1F90">
        <w:t>2</w:t>
      </w:r>
      <w:r w:rsidRPr="004C57ED">
        <w:t xml:space="preserve"> kWh</w:t>
      </w:r>
      <w:r w:rsidR="008635B6" w:rsidRPr="008635B6">
        <w:t>, which is close to the annual heat demand of 26,100 kWh estimated from historical gas consumption.</w:t>
      </w:r>
      <w:r w:rsidR="008635B6">
        <w:t xml:space="preserve"> </w:t>
      </w:r>
      <w:r w:rsidR="008E1F90">
        <w:fldChar w:fldCharType="begin"/>
      </w:r>
      <w:r w:rsidR="008E1F90">
        <w:instrText xml:space="preserve"> REF _Ref238894489 \h </w:instrText>
      </w:r>
      <w:r w:rsidR="008E1F90">
        <w:fldChar w:fldCharType="separate"/>
      </w:r>
      <w:r w:rsidR="001F342F">
        <w:t xml:space="preserve">Figure </w:t>
      </w:r>
      <w:r w:rsidR="001F342F">
        <w:rPr>
          <w:noProof/>
        </w:rPr>
        <w:t>6</w:t>
      </w:r>
      <w:r w:rsidR="008E1F90">
        <w:fldChar w:fldCharType="end"/>
      </w:r>
      <w:r w:rsidR="008635B6">
        <w:t xml:space="preserve"> presents the</w:t>
      </w:r>
      <w:r w:rsidRPr="004C57ED">
        <w:t xml:space="preserve"> </w:t>
      </w:r>
      <w:r w:rsidR="00D52573">
        <w:t>heat demand</w:t>
      </w:r>
      <w:r w:rsidRPr="004C57ED">
        <w:t xml:space="preserve"> </w:t>
      </w:r>
      <w:r w:rsidR="008635B6">
        <w:t xml:space="preserve">of the </w:t>
      </w:r>
      <w:r w:rsidRPr="004C57ED">
        <w:t xml:space="preserve">three main </w:t>
      </w:r>
      <w:r w:rsidR="008635B6">
        <w:t xml:space="preserve">heat </w:t>
      </w:r>
      <w:r w:rsidRPr="004C57ED">
        <w:t>sinks: space heating</w:t>
      </w:r>
      <w:r w:rsidR="008635B6">
        <w:t xml:space="preserve"> via HC1 and HC2</w:t>
      </w:r>
      <w:r w:rsidRPr="004C57ED">
        <w:t xml:space="preserve">, DHW preparation, and active PVT collector defrosting. </w:t>
      </w:r>
      <w:r w:rsidR="005D4032">
        <w:t>S</w:t>
      </w:r>
      <w:r w:rsidRPr="004C57ED">
        <w:t>pace heating accounted for approximately 9</w:t>
      </w:r>
      <w:r w:rsidR="00E33A5D">
        <w:t>2</w:t>
      </w:r>
      <w:r w:rsidRPr="004C57ED">
        <w:t>% (</w:t>
      </w:r>
      <w:r w:rsidR="00E33A5D">
        <w:t>22</w:t>
      </w:r>
      <w:r w:rsidRPr="004C57ED">
        <w:t>,</w:t>
      </w:r>
      <w:r w:rsidR="00E33A5D">
        <w:t>031</w:t>
      </w:r>
      <w:r w:rsidRPr="004C57ED">
        <w:t xml:space="preserve"> kWh) of the total building </w:t>
      </w:r>
      <w:r w:rsidR="005D4032">
        <w:t xml:space="preserve">heat </w:t>
      </w:r>
      <w:r w:rsidR="008635B6">
        <w:t>demand</w:t>
      </w:r>
      <w:r w:rsidRPr="004C57ED">
        <w:t xml:space="preserve">. DHW preparation accounted for approximately </w:t>
      </w:r>
      <w:r w:rsidR="00E33A5D">
        <w:t>4</w:t>
      </w:r>
      <w:r w:rsidRPr="004C57ED">
        <w:t>% (</w:t>
      </w:r>
      <w:r w:rsidR="008635B6">
        <w:t>979</w:t>
      </w:r>
      <w:r w:rsidRPr="004C57ED">
        <w:t xml:space="preserve"> kWh)</w:t>
      </w:r>
      <w:r w:rsidR="005D4032">
        <w:t>.</w:t>
      </w:r>
      <w:r w:rsidRPr="004C57ED">
        <w:t xml:space="preserve"> </w:t>
      </w:r>
      <w:r w:rsidR="005D4032">
        <w:t>A</w:t>
      </w:r>
      <w:r w:rsidRPr="004C57ED">
        <w:t xml:space="preserve">ctive PVT </w:t>
      </w:r>
      <w:r w:rsidR="006343F6" w:rsidRPr="004C57ED">
        <w:t>collectors</w:t>
      </w:r>
      <w:r w:rsidRPr="004C57ED">
        <w:t xml:space="preserve"> defrosting </w:t>
      </w:r>
      <w:r w:rsidR="005D4032">
        <w:t>accounted for an additional</w:t>
      </w:r>
      <w:r w:rsidRPr="004C57ED">
        <w:t xml:space="preserve"> </w:t>
      </w:r>
      <w:r w:rsidR="00E33A5D">
        <w:t>4</w:t>
      </w:r>
      <w:r w:rsidRPr="004C57ED">
        <w:t>% (</w:t>
      </w:r>
      <w:r w:rsidR="00E33A5D">
        <w:t>1033</w:t>
      </w:r>
      <w:r w:rsidRPr="004C57ED">
        <w:t xml:space="preserve"> kWh).</w:t>
      </w:r>
      <w:r>
        <w:t xml:space="preserve"> </w:t>
      </w:r>
      <w:r w:rsidRPr="004C57ED">
        <w:t>The total heat generation by the heat pump</w:t>
      </w:r>
      <w:r w:rsidR="00E33A5D">
        <w:t xml:space="preserve">, </w:t>
      </w:r>
      <w:r w:rsidRPr="004C57ED">
        <w:t>electrical heating rod</w:t>
      </w:r>
      <w:r w:rsidR="00E33A5D">
        <w:t xml:space="preserve"> and gas boiler</w:t>
      </w:r>
      <w:r w:rsidRPr="004C57ED">
        <w:t xml:space="preserve"> </w:t>
      </w:r>
      <w:r w:rsidR="005D4032">
        <w:t>amounted to</w:t>
      </w:r>
      <w:r w:rsidRPr="004C57ED">
        <w:t xml:space="preserve"> </w:t>
      </w:r>
      <w:r w:rsidR="00E33A5D">
        <w:t>2</w:t>
      </w:r>
      <w:r w:rsidR="00385530">
        <w:t>4</w:t>
      </w:r>
      <w:r w:rsidRPr="004C57ED">
        <w:t>,</w:t>
      </w:r>
      <w:r w:rsidR="00385530">
        <w:t>572</w:t>
      </w:r>
      <w:r w:rsidRPr="004C57ED">
        <w:t xml:space="preserve"> kWh</w:t>
      </w:r>
      <w:r w:rsidR="005D4032">
        <w:t>.</w:t>
      </w:r>
      <w:r w:rsidRPr="004C57ED">
        <w:t xml:space="preserve"> </w:t>
      </w:r>
      <w:r w:rsidR="005D4032" w:rsidRPr="005D4032">
        <w:t>The heat pump provided 7</w:t>
      </w:r>
      <w:r w:rsidR="00385530">
        <w:t>4</w:t>
      </w:r>
      <w:r w:rsidR="005D4032" w:rsidRPr="005D4032">
        <w:t>% of this heat, while the electrical heating rod and gas boiler supplied 1</w:t>
      </w:r>
      <w:r w:rsidR="00385530">
        <w:t>4</w:t>
      </w:r>
      <w:r w:rsidR="005D4032" w:rsidRPr="005D4032">
        <w:t xml:space="preserve">% and </w:t>
      </w:r>
      <w:r w:rsidR="00385530">
        <w:t>12</w:t>
      </w:r>
      <w:r w:rsidR="005D4032" w:rsidRPr="005D4032">
        <w:t>%, respectively. The combined electricity consumption of the heat pump and electrical heating rod was 9,923 kWh.</w:t>
      </w:r>
      <w:r w:rsidR="00C55AFA">
        <w:t xml:space="preserve"> </w:t>
      </w:r>
      <w:r w:rsidR="005D4032" w:rsidRPr="005D4032">
        <w:t xml:space="preserve">The heat pump’s heat source was primarily provided </w:t>
      </w:r>
      <w:r w:rsidR="00EA6FDD">
        <w:t xml:space="preserve">directly </w:t>
      </w:r>
      <w:r w:rsidR="005D4032" w:rsidRPr="005D4032">
        <w:t>by the PVT collectors, which supplied approximately 73% of the total heat input to the heat pump evaporator. The remaining heat was mainly supplied by the ice storage, while</w:t>
      </w:r>
      <w:r w:rsidR="005D4032">
        <w:t xml:space="preserve"> a very small portion of</w:t>
      </w:r>
      <w:r w:rsidR="005D4032" w:rsidRPr="005D4032">
        <w:t xml:space="preserve"> approximately 0.5% originated from the defrost heat exchanger. This residual contribution occurred only during the initial defrosting events due to an incorrect control setting, which allowed the defrost heat exchanger to transfer heat to the heat source brine circuit while the heat pump was operating. The control strategy was subsequently corrected so that PVT collector defrosting occurs only when the heat pump is switched off.</w:t>
      </w:r>
    </w:p>
    <w:p w14:paraId="31126404" w14:textId="77777777" w:rsidR="008E1F90" w:rsidRDefault="007A4552" w:rsidP="008E1F90">
      <w:pPr>
        <w:pStyle w:val="SWCText"/>
        <w:keepNext/>
        <w:jc w:val="center"/>
      </w:pPr>
      <w:r w:rsidRPr="007A4552">
        <w:rPr>
          <w:noProof/>
        </w:rPr>
        <w:t xml:space="preserve"> </w:t>
      </w:r>
      <w:r>
        <w:rPr>
          <w:noProof/>
        </w:rPr>
        <w:drawing>
          <wp:inline distT="0" distB="0" distL="0" distR="0" wp14:anchorId="4DCB9D1D" wp14:editId="074BDF62">
            <wp:extent cx="1388745" cy="3554233"/>
            <wp:effectExtent l="0" t="0" r="1905" b="8255"/>
            <wp:docPr id="1047994051" name="Diagramm 1">
              <a:extLst xmlns:a="http://schemas.openxmlformats.org/drawingml/2006/main">
                <a:ext uri="{FF2B5EF4-FFF2-40B4-BE49-F238E27FC236}">
                  <a16:creationId xmlns:a16="http://schemas.microsoft.com/office/drawing/2014/main" id="{75852AFD-D6D3-4FB2-89D0-8C02EF583F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C1327C">
        <w:rPr>
          <w:noProof/>
        </w:rPr>
        <w:drawing>
          <wp:inline distT="0" distB="0" distL="0" distR="0" wp14:anchorId="00F2F0F4" wp14:editId="154D3A14">
            <wp:extent cx="1304014" cy="3554095"/>
            <wp:effectExtent l="0" t="0" r="10795" b="8255"/>
            <wp:docPr id="652501921" name="Diagramm 1">
              <a:extLst xmlns:a="http://schemas.openxmlformats.org/drawingml/2006/main">
                <a:ext uri="{FF2B5EF4-FFF2-40B4-BE49-F238E27FC236}">
                  <a16:creationId xmlns:a16="http://schemas.microsoft.com/office/drawing/2014/main" id="{EE9B983F-5803-44BE-83A5-18C053EC8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B676F7">
        <w:rPr>
          <w:noProof/>
        </w:rPr>
        <w:drawing>
          <wp:inline distT="0" distB="0" distL="0" distR="0" wp14:anchorId="6E975A6E" wp14:editId="27E1C884">
            <wp:extent cx="1216549" cy="3554730"/>
            <wp:effectExtent l="0" t="0" r="3175" b="7620"/>
            <wp:docPr id="1092635996" name="Diagramm 1">
              <a:extLst xmlns:a="http://schemas.openxmlformats.org/drawingml/2006/main">
                <a:ext uri="{FF2B5EF4-FFF2-40B4-BE49-F238E27FC236}">
                  <a16:creationId xmlns:a16="http://schemas.microsoft.com/office/drawing/2014/main" id="{CFC380E6-481D-4D85-B94A-E8021FEF6A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3048BE">
        <w:rPr>
          <w:noProof/>
        </w:rPr>
        <w:drawing>
          <wp:inline distT="0" distB="0" distL="0" distR="0" wp14:anchorId="31AF3A21" wp14:editId="59A81D78">
            <wp:extent cx="1137036" cy="3555365"/>
            <wp:effectExtent l="0" t="0" r="6350" b="6985"/>
            <wp:docPr id="1089782097" name="Diagramm 1">
              <a:extLst xmlns:a="http://schemas.openxmlformats.org/drawingml/2006/main">
                <a:ext uri="{FF2B5EF4-FFF2-40B4-BE49-F238E27FC236}">
                  <a16:creationId xmlns:a16="http://schemas.microsoft.com/office/drawing/2014/main" id="{7EF38185-0440-43C2-B021-C51F291807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0CBF63E" w14:textId="5E3E892C" w:rsidR="00143BB4" w:rsidRPr="008E1F90" w:rsidRDefault="008E1F90" w:rsidP="008E1F90">
      <w:pPr>
        <w:pStyle w:val="SWCTableFigureCaption"/>
      </w:pPr>
      <w:bookmarkStart w:id="9" w:name="_Ref238894489"/>
      <w:r>
        <w:t xml:space="preserve">Figure </w:t>
      </w:r>
      <w:r>
        <w:fldChar w:fldCharType="begin"/>
      </w:r>
      <w:r>
        <w:instrText xml:space="preserve"> SEQ Figure \* ARABIC </w:instrText>
      </w:r>
      <w:r>
        <w:fldChar w:fldCharType="separate"/>
      </w:r>
      <w:r w:rsidR="001F342F">
        <w:rPr>
          <w:noProof/>
        </w:rPr>
        <w:t>6</w:t>
      </w:r>
      <w:r>
        <w:fldChar w:fldCharType="end"/>
      </w:r>
      <w:bookmarkEnd w:id="9"/>
      <w:r>
        <w:t xml:space="preserve">. </w:t>
      </w:r>
      <w:r w:rsidRPr="00013E69">
        <w:t>Annual heat demand, heat generation, electricity consumption of the heat pump and electrical heating rod, and heat sources of the heat pump during the 12-month monitoring period.</w:t>
      </w:r>
    </w:p>
    <w:p w14:paraId="673C3D10" w14:textId="70EA3BEB" w:rsidR="007C032B" w:rsidRDefault="00D24B0B" w:rsidP="007C032B">
      <w:pPr>
        <w:pStyle w:val="SWCText"/>
      </w:pPr>
      <w:r>
        <w:fldChar w:fldCharType="begin"/>
      </w:r>
      <w:r>
        <w:instrText xml:space="preserve"> REF _Ref238898153 \h </w:instrText>
      </w:r>
      <w:r>
        <w:fldChar w:fldCharType="separate"/>
      </w:r>
      <w:r w:rsidR="001F342F" w:rsidRPr="00DF000E">
        <w:t xml:space="preserve">Figure </w:t>
      </w:r>
      <w:r w:rsidR="001F342F">
        <w:rPr>
          <w:noProof/>
        </w:rPr>
        <w:t>7</w:t>
      </w:r>
      <w:r>
        <w:fldChar w:fldCharType="end"/>
      </w:r>
      <w:r w:rsidR="007C032B">
        <w:t xml:space="preserve"> presents the monthly heat generation and the contribution of the three heat generators: heat pump, electrical heating rod, and gas boiler. During the summer months, heat generation by electrical heating rod dominates. This results from the high availability of surplus PV electricity and the system control strategy, which prioritizes the use of PV surplus for thermal storage via the heating rod. An exception can be observed in months 8 and 9, corresponding to the beginning of the measurement campaign. During parts of these months, the heat pump operation was being tested, and the electrical heating rod was therefore disabled.</w:t>
      </w:r>
    </w:p>
    <w:p w14:paraId="2AFFF18A" w14:textId="69A14266" w:rsidR="004D09F7" w:rsidRDefault="007C032B" w:rsidP="004D09F7">
      <w:pPr>
        <w:pStyle w:val="SWCText"/>
      </w:pPr>
      <w:r>
        <w:t xml:space="preserve">The gas boiler was used primarily during the winter months from December to February. This was mainly caused by two limitations. First, the thermal capacity of 5.2 m³ ice storage </w:t>
      </w:r>
      <w:r w:rsidR="00EA6FDD">
        <w:t>is</w:t>
      </w:r>
      <w:r>
        <w:t xml:space="preserve"> </w:t>
      </w:r>
      <w:r w:rsidR="00EA6FDD">
        <w:t>not designed as a seasonal storage covering 100% of the winter demand</w:t>
      </w:r>
      <w:r w:rsidR="00FB7F34">
        <w:t>;</w:t>
      </w:r>
      <w:r w:rsidR="00FB7F34" w:rsidRPr="00745729">
        <w:t xml:space="preserve"> a larger storage could not be implemented at the demonstration site due to space constraints</w:t>
      </w:r>
      <w:r w:rsidR="00FB7F34">
        <w:t xml:space="preserve">. </w:t>
      </w:r>
      <w:r>
        <w:t xml:space="preserve">By December, the storage increasingly reached its maximum allowable ice fraction. According to the manufacturer’s specifications, the ice fraction must not exceed 80%, and the storage should not be operated beyond this limit. Consequently, the ice storage could not be used as a heat source during many periods of the coldest winter months. Second, the operating temperature of the PVT collectors was limited. </w:t>
      </w:r>
      <w:r>
        <w:lastRenderedPageBreak/>
        <w:t xml:space="preserve">PVT systems used as heat sources for heat pumps can generally operate with very low brine temperatures, such as −15 °C. </w:t>
      </w:r>
      <w:r w:rsidR="00200B29" w:rsidRPr="00200B29">
        <w:t>Such low temperatures are relevant during periods without solar radiation, when the PVT collectors operate primarily as air-source collectors by extracting heat from the ambient air. In this operating condition, the brine temperature must be below the outdoor air temperature to enable heat extraction from the ambient air.</w:t>
      </w:r>
      <w:r w:rsidR="0020540A">
        <w:t xml:space="preserve"> </w:t>
      </w:r>
      <w:r w:rsidR="0020540A" w:rsidRPr="0020540A">
        <w:t xml:space="preserve">During the measurement period, the PVT collector outlet temperature was typically around 3–4 K below the outdoor air temperature during periods without solar irradiance, with differences reaching up to </w:t>
      </w:r>
      <w:r w:rsidR="0020540A">
        <w:t>7</w:t>
      </w:r>
      <w:r w:rsidR="0020540A" w:rsidRPr="0020540A">
        <w:t xml:space="preserve"> K in some cases.</w:t>
      </w:r>
      <w:r w:rsidR="0020540A">
        <w:t xml:space="preserve"> </w:t>
      </w:r>
      <w:r w:rsidR="00200B29" w:rsidRPr="00200B29">
        <w:t xml:space="preserve">Since this difference refers to the collector outlet temperature, the brine temperature within the collector can be even lower, highlighting the importance of allowing sufficiently low brine temperatures when using PVT collectors as a heat source for heat pumps. In the present system, however, the </w:t>
      </w:r>
      <w:r w:rsidR="00EA6FDD">
        <w:t xml:space="preserve">certified </w:t>
      </w:r>
      <w:r w:rsidR="00200B29" w:rsidRPr="00200B29">
        <w:t xml:space="preserve">minimum brine temperature </w:t>
      </w:r>
      <w:r w:rsidR="00EA6FDD" w:rsidRPr="00200B29">
        <w:t xml:space="preserve">of the PVT collectors </w:t>
      </w:r>
      <w:r w:rsidR="00200B29" w:rsidRPr="00200B29">
        <w:t xml:space="preserve">−5 °C </w:t>
      </w:r>
      <w:r w:rsidR="00EA6FDD">
        <w:t>which were not undercut to not undermine product warranty</w:t>
      </w:r>
      <w:r w:rsidR="00200B29" w:rsidRPr="00200B29">
        <w:t xml:space="preserve">. This limitation constrained heat pump operation during several winter periods, requiring the </w:t>
      </w:r>
      <w:r w:rsidR="000125A5">
        <w:t xml:space="preserve">heating rod and </w:t>
      </w:r>
      <w:r w:rsidR="00200B29" w:rsidRPr="00200B29">
        <w:t>gas boiler to provide additional backup heating.</w:t>
      </w:r>
    </w:p>
    <w:p w14:paraId="04B93D70" w14:textId="77777777" w:rsidR="00DF000E" w:rsidRDefault="001B13F5" w:rsidP="00DF000E">
      <w:pPr>
        <w:pStyle w:val="SWCText"/>
        <w:keepNext/>
        <w:jc w:val="center"/>
      </w:pPr>
      <w:r>
        <w:rPr>
          <w:noProof/>
        </w:rPr>
        <w:drawing>
          <wp:inline distT="0" distB="0" distL="0" distR="0" wp14:anchorId="71007DB6" wp14:editId="566AA616">
            <wp:extent cx="5530215" cy="1901952"/>
            <wp:effectExtent l="0" t="0" r="13335" b="3175"/>
            <wp:docPr id="1813299489" name="Diagramm 1">
              <a:extLst xmlns:a="http://schemas.openxmlformats.org/drawingml/2006/main">
                <a:ext uri="{FF2B5EF4-FFF2-40B4-BE49-F238E27FC236}">
                  <a16:creationId xmlns:a16="http://schemas.microsoft.com/office/drawing/2014/main" id="{90785D11-1E68-4664-B220-D605AD27F3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7F992FA" w14:textId="10B5CC26" w:rsidR="00C55AFA" w:rsidRPr="00D21052" w:rsidRDefault="00DF000E" w:rsidP="00D21052">
      <w:pPr>
        <w:pStyle w:val="SWCTableFigureCaption"/>
      </w:pPr>
      <w:bookmarkStart w:id="10" w:name="_Ref238898153"/>
      <w:r w:rsidRPr="00DF000E">
        <w:t xml:space="preserve">Figure </w:t>
      </w:r>
      <w:r>
        <w:fldChar w:fldCharType="begin"/>
      </w:r>
      <w:r w:rsidRPr="00DF000E">
        <w:instrText xml:space="preserve"> SEQ Figure \* ARABIC </w:instrText>
      </w:r>
      <w:r>
        <w:fldChar w:fldCharType="separate"/>
      </w:r>
      <w:r w:rsidR="001F342F">
        <w:rPr>
          <w:noProof/>
        </w:rPr>
        <w:t>7</w:t>
      </w:r>
      <w:r>
        <w:fldChar w:fldCharType="end"/>
      </w:r>
      <w:bookmarkEnd w:id="10"/>
      <w:r w:rsidRPr="00DF000E">
        <w:t xml:space="preserve">. </w:t>
      </w:r>
      <w:r w:rsidR="00C55AFA">
        <w:t>M</w:t>
      </w:r>
      <w:r w:rsidRPr="00DF000E">
        <w:t>onthly heat generation and the contribution of the three heat generators:</w:t>
      </w:r>
      <w:r w:rsidR="00C55AFA">
        <w:t xml:space="preserve"> HP</w:t>
      </w:r>
      <w:r w:rsidRPr="00DF000E">
        <w:t>, electrical heating rod, and gas boiler.</w:t>
      </w:r>
    </w:p>
    <w:p w14:paraId="23AD816A" w14:textId="585B98C8" w:rsidR="00FF3200" w:rsidRDefault="00FF3200" w:rsidP="00FF3200">
      <w:pPr>
        <w:pStyle w:val="SWCHeading11"/>
      </w:pPr>
      <w:r>
        <w:t xml:space="preserve">3.3 </w:t>
      </w:r>
      <w:r w:rsidR="006860D0">
        <w:t xml:space="preserve">Electricity Consumption, </w:t>
      </w:r>
      <w:r>
        <w:t xml:space="preserve">PV Generation, and </w:t>
      </w:r>
      <w:r w:rsidR="006860D0">
        <w:t xml:space="preserve">PV </w:t>
      </w:r>
      <w:r>
        <w:t>Self-</w:t>
      </w:r>
      <w:r w:rsidR="006860D0">
        <w:t>Consumption</w:t>
      </w:r>
    </w:p>
    <w:p w14:paraId="526FB792" w14:textId="7F6C76FA" w:rsidR="006860D0" w:rsidRDefault="00F91862" w:rsidP="00D24B0B">
      <w:pPr>
        <w:pStyle w:val="SWCText"/>
      </w:pPr>
      <w:r>
        <w:t xml:space="preserve">The </w:t>
      </w:r>
      <w:r w:rsidR="00FF3200" w:rsidRPr="00FF3200">
        <w:t xml:space="preserve">PV </w:t>
      </w:r>
      <w:r>
        <w:t xml:space="preserve">system </w:t>
      </w:r>
      <w:r w:rsidR="00FF3200" w:rsidRPr="00FF3200">
        <w:t xml:space="preserve">generated </w:t>
      </w:r>
      <w:r w:rsidR="00503BAA">
        <w:t>9</w:t>
      </w:r>
      <w:r w:rsidR="00FF3200" w:rsidRPr="00FF3200">
        <w:t>,</w:t>
      </w:r>
      <w:r w:rsidR="00503BAA">
        <w:t>42</w:t>
      </w:r>
      <w:r>
        <w:t>3</w:t>
      </w:r>
      <w:r w:rsidR="00FF3200" w:rsidRPr="00FF3200">
        <w:t xml:space="preserve"> kWh of electricity from a cumulative solar irradiation of </w:t>
      </w:r>
      <w:r>
        <w:t>1299</w:t>
      </w:r>
      <w:r w:rsidR="00FF3200" w:rsidRPr="00FF3200">
        <w:t xml:space="preserve"> kWh/m² on the 40.4 m² collector area, yielding a PV conversion efficiency of</w:t>
      </w:r>
      <w:r>
        <w:t xml:space="preserve"> roughly</w:t>
      </w:r>
      <w:r w:rsidR="00FF3200" w:rsidRPr="00FF3200">
        <w:t xml:space="preserve"> 1</w:t>
      </w:r>
      <w:r>
        <w:t>8</w:t>
      </w:r>
      <w:r w:rsidR="00FF3200" w:rsidRPr="00FF3200">
        <w:t>.</w:t>
      </w:r>
      <w:r>
        <w:t>0</w:t>
      </w:r>
      <w:r w:rsidR="00FF3200" w:rsidRPr="00FF3200">
        <w:t xml:space="preserve">%. </w:t>
      </w:r>
      <w:r w:rsidR="00503BAA">
        <w:t xml:space="preserve">From the total PV generation, </w:t>
      </w:r>
      <w:r w:rsidR="00162EA2">
        <w:t>roughly</w:t>
      </w:r>
      <w:r w:rsidR="00503BAA">
        <w:t xml:space="preserve"> 55% was directly self-consumed in the building. </w:t>
      </w:r>
      <w:r w:rsidR="00FF3200" w:rsidRPr="00FF3200">
        <w:t xml:space="preserve">The </w:t>
      </w:r>
      <w:r w:rsidR="00791CF7">
        <w:t xml:space="preserve">total </w:t>
      </w:r>
      <w:r>
        <w:t xml:space="preserve">electricity </w:t>
      </w:r>
      <w:r w:rsidR="00FF3200" w:rsidRPr="00FF3200">
        <w:t xml:space="preserve">consumption </w:t>
      </w:r>
      <w:r w:rsidR="00791CF7">
        <w:t xml:space="preserve">in the building </w:t>
      </w:r>
      <w:r w:rsidR="00FF3200" w:rsidRPr="00FF3200">
        <w:t xml:space="preserve">was </w:t>
      </w:r>
      <w:r>
        <w:t>12</w:t>
      </w:r>
      <w:r w:rsidR="00FF3200" w:rsidRPr="00FF3200">
        <w:t>,</w:t>
      </w:r>
      <w:r>
        <w:t>753</w:t>
      </w:r>
      <w:r w:rsidR="00FF3200" w:rsidRPr="00FF3200">
        <w:t xml:space="preserve"> kWh, of which </w:t>
      </w:r>
      <w:r w:rsidR="00503BAA">
        <w:t>roughly 40</w:t>
      </w:r>
      <w:r w:rsidR="00FF3200" w:rsidRPr="00FF3200">
        <w:t>% was directly supplied by on-site PV generation. The electrical heating rod mainly utilized surplus PV electricity, with 7</w:t>
      </w:r>
      <w:r w:rsidR="003E2D3D">
        <w:t>3</w:t>
      </w:r>
      <w:r w:rsidR="00FF3200" w:rsidRPr="00FF3200">
        <w:t xml:space="preserve">% of its heat output derived from direct solar power. </w:t>
      </w:r>
      <w:r w:rsidR="003E2D3D">
        <w:t>The heat pump PV electricity share was 27%, while for the household it was 39%</w:t>
      </w:r>
      <w:r w:rsidR="00311089">
        <w:t>.</w:t>
      </w:r>
      <w:r w:rsidR="00D24B0B">
        <w:t xml:space="preserve"> </w:t>
      </w:r>
      <w:r w:rsidR="00DD3FB6">
        <w:fldChar w:fldCharType="begin"/>
      </w:r>
      <w:r w:rsidR="00DD3FB6">
        <w:instrText xml:space="preserve"> REF _Ref238898772 \h </w:instrText>
      </w:r>
      <w:r w:rsidR="00DD3FB6">
        <w:fldChar w:fldCharType="separate"/>
      </w:r>
      <w:r w:rsidR="001F342F">
        <w:t xml:space="preserve">Figure </w:t>
      </w:r>
      <w:r w:rsidR="001F342F">
        <w:rPr>
          <w:noProof/>
        </w:rPr>
        <w:t>8</w:t>
      </w:r>
      <w:r w:rsidR="00DD3FB6">
        <w:fldChar w:fldCharType="end"/>
      </w:r>
      <w:r w:rsidR="00D24B0B">
        <w:t xml:space="preserve"> presents the monthly electricity consumption, PV generation and PV self-consumption, highlighting the seasonal mismatch between generation and consumption</w:t>
      </w:r>
      <w:r w:rsidR="00006839">
        <w:t xml:space="preserve"> as well</w:t>
      </w:r>
      <w:r w:rsidR="00D24B0B">
        <w:t xml:space="preserve"> </w:t>
      </w:r>
      <w:r w:rsidR="00006839">
        <w:t>as the</w:t>
      </w:r>
      <w:r w:rsidR="00D24B0B">
        <w:t xml:space="preserve"> PV self-consumption variation.</w:t>
      </w:r>
    </w:p>
    <w:p w14:paraId="10F87DC7" w14:textId="77777777" w:rsidR="00DD3FB6" w:rsidRDefault="00B05901" w:rsidP="00DD3FB6">
      <w:pPr>
        <w:pStyle w:val="SWCText"/>
        <w:keepNext/>
        <w:jc w:val="center"/>
      </w:pPr>
      <w:r>
        <w:rPr>
          <w:noProof/>
        </w:rPr>
        <w:drawing>
          <wp:inline distT="0" distB="0" distL="0" distR="0" wp14:anchorId="37790DB6" wp14:editId="043F5051">
            <wp:extent cx="5610225" cy="2676525"/>
            <wp:effectExtent l="0" t="0" r="9525" b="9525"/>
            <wp:docPr id="1351784966" name="Diagramm 1">
              <a:extLst xmlns:a="http://schemas.openxmlformats.org/drawingml/2006/main">
                <a:ext uri="{FF2B5EF4-FFF2-40B4-BE49-F238E27FC236}">
                  <a16:creationId xmlns:a16="http://schemas.microsoft.com/office/drawing/2014/main" id="{E95B48F4-8247-47A1-8DD0-713A6D5742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BED5F03" w14:textId="7B71D33F" w:rsidR="00B05901" w:rsidRDefault="00DD3FB6" w:rsidP="00DD3FB6">
      <w:pPr>
        <w:pStyle w:val="SWCTableFigureCaption"/>
      </w:pPr>
      <w:bookmarkStart w:id="11" w:name="_Ref238898772"/>
      <w:r>
        <w:t xml:space="preserve">Figure </w:t>
      </w:r>
      <w:r>
        <w:fldChar w:fldCharType="begin"/>
      </w:r>
      <w:r>
        <w:instrText xml:space="preserve"> SEQ Figure \* ARABIC </w:instrText>
      </w:r>
      <w:r>
        <w:fldChar w:fldCharType="separate"/>
      </w:r>
      <w:r w:rsidR="001F342F">
        <w:rPr>
          <w:noProof/>
        </w:rPr>
        <w:t>8</w:t>
      </w:r>
      <w:r>
        <w:fldChar w:fldCharType="end"/>
      </w:r>
      <w:bookmarkEnd w:id="11"/>
      <w:r>
        <w:t xml:space="preserve">. </w:t>
      </w:r>
      <w:r w:rsidRPr="00D16F90">
        <w:t>Monthly electricity consumption, PV generation, and PV self-consumption during the 12-month monitoring period.</w:t>
      </w:r>
    </w:p>
    <w:p w14:paraId="10DE363E" w14:textId="525AFFC1" w:rsidR="00461815" w:rsidRDefault="00461815" w:rsidP="00461815">
      <w:pPr>
        <w:pStyle w:val="SWCHeading11"/>
      </w:pPr>
      <w:r>
        <w:lastRenderedPageBreak/>
        <w:t>3.3 Heat Pump</w:t>
      </w:r>
    </w:p>
    <w:p w14:paraId="1077D140" w14:textId="498B0773" w:rsidR="00007AD6" w:rsidRDefault="00791CF7" w:rsidP="001E5351">
      <w:pPr>
        <w:pStyle w:val="SWCText"/>
      </w:pPr>
      <w:r>
        <w:rPr>
          <w:lang w:val="en-GB"/>
        </w:rPr>
        <w:t>The</w:t>
      </w:r>
      <w:r w:rsidR="00A60B53" w:rsidRPr="00A60B53">
        <w:t xml:space="preserve"> </w:t>
      </w:r>
      <w:r w:rsidR="00A60B53">
        <w:t xml:space="preserve">12 kW </w:t>
      </w:r>
      <w:r w:rsidR="00A60B53" w:rsidRPr="00A60B53">
        <w:t>direct-condensing propane (R290) heat pump</w:t>
      </w:r>
      <w:r w:rsidR="00EC09ED">
        <w:t xml:space="preserve"> </w:t>
      </w:r>
      <w:r w:rsidR="00A60B53" w:rsidRPr="00A60B53">
        <w:t>developed</w:t>
      </w:r>
      <w:r>
        <w:t xml:space="preserve"> within </w:t>
      </w:r>
      <w:r w:rsidRPr="00A60B53">
        <w:t>the project</w:t>
      </w:r>
      <w:r w:rsidR="00A60B53" w:rsidRPr="00A60B53">
        <w:t xml:space="preserve"> </w:t>
      </w:r>
      <w:r>
        <w:t>was used</w:t>
      </w:r>
      <w:r w:rsidR="00A60B53" w:rsidRPr="00A60B53">
        <w:t xml:space="preserve"> in the building. A distinctive feature </w:t>
      </w:r>
      <w:r w:rsidR="00377A19">
        <w:t xml:space="preserve">of this HP </w:t>
      </w:r>
      <w:r w:rsidR="00A60B53" w:rsidRPr="00A60B53">
        <w:t xml:space="preserve">is the integration of the condenser heat exchanger directly into the buffer tank. </w:t>
      </w:r>
      <w:r w:rsidR="00A60B53">
        <w:t xml:space="preserve">This configuration allows the </w:t>
      </w:r>
      <w:r w:rsidR="00377A19">
        <w:t>HP</w:t>
      </w:r>
      <w:r w:rsidR="00A60B53">
        <w:t xml:space="preserve"> to achieve high water temperatures </w:t>
      </w:r>
      <w:r w:rsidR="00EA6FDD">
        <w:t>for DHW preparation by de-superheating the refrigerant while actually condensing at a lower temperature required for space heating</w:t>
      </w:r>
      <w:r w:rsidR="00A60B53">
        <w:t>.</w:t>
      </w:r>
      <w:r w:rsidR="00377A19">
        <w:t xml:space="preserve"> </w:t>
      </w:r>
      <w:r w:rsidR="00A60B53">
        <w:t xml:space="preserve">To characterize the operating conditions of the </w:t>
      </w:r>
      <w:r w:rsidR="00377A19">
        <w:t>HP</w:t>
      </w:r>
      <w:r w:rsidR="00A60B53">
        <w:t xml:space="preserve">, </w:t>
      </w:r>
      <w:r w:rsidR="000555B9">
        <w:fldChar w:fldCharType="begin"/>
      </w:r>
      <w:r w:rsidR="000555B9">
        <w:instrText xml:space="preserve"> REF _Ref238920411 \h </w:instrText>
      </w:r>
      <w:r w:rsidR="000555B9">
        <w:fldChar w:fldCharType="separate"/>
      </w:r>
      <w:r w:rsidR="001F342F">
        <w:t xml:space="preserve">Figure </w:t>
      </w:r>
      <w:r w:rsidR="001F342F">
        <w:rPr>
          <w:noProof/>
        </w:rPr>
        <w:t>9</w:t>
      </w:r>
      <w:r w:rsidR="000555B9">
        <w:fldChar w:fldCharType="end"/>
      </w:r>
      <w:r w:rsidR="000555B9">
        <w:t xml:space="preserve"> </w:t>
      </w:r>
      <w:r w:rsidR="00A60B53">
        <w:t xml:space="preserve">presents the average temperatures measured in the buffer tank during periods when the </w:t>
      </w:r>
      <w:r w:rsidR="00377A19">
        <w:t>HP</w:t>
      </w:r>
      <w:r w:rsidR="00A60B53">
        <w:t xml:space="preserve"> was operating. The tank temperature was measured at four different heights (bottom, 40%, 60%, and top), together with the inlet temperature of the </w:t>
      </w:r>
      <w:r w:rsidR="00377A19">
        <w:t>HP</w:t>
      </w:r>
      <w:r w:rsidR="00A60B53">
        <w:t xml:space="preserve"> evaporator. These measurements illustrate the temperature level at which the </w:t>
      </w:r>
      <w:r w:rsidR="00BE707E" w:rsidRPr="00A60B53">
        <w:t xml:space="preserve">direct-condensing </w:t>
      </w:r>
      <w:r w:rsidR="00377A19">
        <w:t>HP</w:t>
      </w:r>
      <w:r w:rsidR="00A60B53">
        <w:t xml:space="preserve"> operated on the condenser and evaporator side.</w:t>
      </w:r>
      <w:r w:rsidR="00377A19">
        <w:t xml:space="preserve"> </w:t>
      </w:r>
      <w:r w:rsidR="00F96580">
        <w:fldChar w:fldCharType="begin"/>
      </w:r>
      <w:r w:rsidR="00F96580">
        <w:instrText xml:space="preserve"> REF _Ref238920886 \h </w:instrText>
      </w:r>
      <w:r w:rsidR="00F96580">
        <w:fldChar w:fldCharType="separate"/>
      </w:r>
      <w:r w:rsidR="001F342F">
        <w:t xml:space="preserve">Figure </w:t>
      </w:r>
      <w:r w:rsidR="001F342F">
        <w:rPr>
          <w:noProof/>
        </w:rPr>
        <w:t>10</w:t>
      </w:r>
      <w:r w:rsidR="00F96580">
        <w:fldChar w:fldCharType="end"/>
      </w:r>
      <w:r w:rsidR="0053173D">
        <w:t xml:space="preserve"> presents the monthly heat production of the heat pump together with the corresponding monthly seasonal performance factor (SPF). </w:t>
      </w:r>
      <w:r w:rsidR="00377A19">
        <w:t>The SPF was calculated as the ratio of the heat generated by the heat pump to the electricity consumed by the compressor. Over the complete 12-month period, the heat pump achieved an annual SPF of 2.</w:t>
      </w:r>
      <w:r w:rsidR="00EA6FDD">
        <w:t>9</w:t>
      </w:r>
      <w:r w:rsidR="00377A19">
        <w:t>.</w:t>
      </w:r>
    </w:p>
    <w:p w14:paraId="65991327" w14:textId="0C6F3D11" w:rsidR="001E5351" w:rsidRDefault="001E5351" w:rsidP="00007AD6">
      <w:pPr>
        <w:pStyle w:val="SWCText"/>
        <w:keepNext/>
      </w:pPr>
      <w:r>
        <w:rPr>
          <w:noProof/>
        </w:rPr>
        <w:drawing>
          <wp:inline distT="0" distB="0" distL="0" distR="0" wp14:anchorId="22867B03" wp14:editId="598EBF24">
            <wp:extent cx="5581015" cy="2179929"/>
            <wp:effectExtent l="0" t="0" r="635" b="11430"/>
            <wp:docPr id="420593931" name="Diagramm 1">
              <a:extLst xmlns:a="http://schemas.openxmlformats.org/drawingml/2006/main">
                <a:ext uri="{FF2B5EF4-FFF2-40B4-BE49-F238E27FC236}">
                  <a16:creationId xmlns:a16="http://schemas.microsoft.com/office/drawing/2014/main" id="{861CE6EF-133B-455F-AF69-2FB4CE45CF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A1F6042" w14:textId="03B09F21" w:rsidR="00007AD6" w:rsidRDefault="00007AD6" w:rsidP="00007AD6">
      <w:pPr>
        <w:pStyle w:val="SWCTableFigureCaption"/>
      </w:pPr>
      <w:bookmarkStart w:id="12" w:name="_Ref238920411"/>
      <w:r>
        <w:t xml:space="preserve">Figure </w:t>
      </w:r>
      <w:r>
        <w:fldChar w:fldCharType="begin"/>
      </w:r>
      <w:r>
        <w:instrText xml:space="preserve"> SEQ Figure \* ARABIC </w:instrText>
      </w:r>
      <w:r>
        <w:fldChar w:fldCharType="separate"/>
      </w:r>
      <w:r w:rsidR="001F342F">
        <w:rPr>
          <w:noProof/>
        </w:rPr>
        <w:t>9</w:t>
      </w:r>
      <w:r>
        <w:fldChar w:fldCharType="end"/>
      </w:r>
      <w:bookmarkEnd w:id="12"/>
      <w:r>
        <w:t>. Buffer tank temperature</w:t>
      </w:r>
      <w:r w:rsidR="0053173D">
        <w:t xml:space="preserve"> at four different heights</w:t>
      </w:r>
      <w:r>
        <w:t xml:space="preserve"> and </w:t>
      </w:r>
      <w:r w:rsidR="0053173D">
        <w:t xml:space="preserve">HP </w:t>
      </w:r>
      <w:r>
        <w:t>evaporator inflow temperature.</w:t>
      </w:r>
      <w:r w:rsidR="0053173D">
        <w:t xml:space="preserve"> Considering only the periods during which the heat pump was in operation</w:t>
      </w:r>
    </w:p>
    <w:p w14:paraId="1BC43F30" w14:textId="77777777" w:rsidR="0098205F" w:rsidRDefault="001F4832" w:rsidP="0098205F">
      <w:pPr>
        <w:pStyle w:val="SWCText"/>
        <w:keepNext/>
      </w:pPr>
      <w:r>
        <w:rPr>
          <w:noProof/>
        </w:rPr>
        <w:drawing>
          <wp:inline distT="0" distB="0" distL="0" distR="0" wp14:anchorId="748664BF" wp14:editId="4FE513CA">
            <wp:extent cx="5588635" cy="1935678"/>
            <wp:effectExtent l="0" t="0" r="12065" b="7620"/>
            <wp:docPr id="485389633" name="Diagramm 1">
              <a:extLst xmlns:a="http://schemas.openxmlformats.org/drawingml/2006/main">
                <a:ext uri="{FF2B5EF4-FFF2-40B4-BE49-F238E27FC236}">
                  <a16:creationId xmlns:a16="http://schemas.microsoft.com/office/drawing/2014/main" id="{34765F54-1BE5-4DA4-8F71-08F186C53F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615CC7F" w14:textId="3A6E4801" w:rsidR="00377A19" w:rsidRPr="001E5351" w:rsidRDefault="0098205F" w:rsidP="001E5351">
      <w:pPr>
        <w:pStyle w:val="SWCTableFigureCaption"/>
      </w:pPr>
      <w:bookmarkStart w:id="13" w:name="_Ref238920886"/>
      <w:r>
        <w:t xml:space="preserve">Figure </w:t>
      </w:r>
      <w:r>
        <w:fldChar w:fldCharType="begin"/>
      </w:r>
      <w:r>
        <w:instrText xml:space="preserve"> SEQ Figure \* ARABIC </w:instrText>
      </w:r>
      <w:r>
        <w:fldChar w:fldCharType="separate"/>
      </w:r>
      <w:r w:rsidR="001F342F">
        <w:rPr>
          <w:noProof/>
        </w:rPr>
        <w:t>10</w:t>
      </w:r>
      <w:r>
        <w:fldChar w:fldCharType="end"/>
      </w:r>
      <w:bookmarkEnd w:id="13"/>
      <w:r>
        <w:t>. M</w:t>
      </w:r>
      <w:r w:rsidRPr="00626F03">
        <w:t xml:space="preserve">onthly </w:t>
      </w:r>
      <w:r>
        <w:t xml:space="preserve">heat pump </w:t>
      </w:r>
      <w:r w:rsidRPr="00626F03">
        <w:t xml:space="preserve">heat </w:t>
      </w:r>
      <w:r>
        <w:t>generation and</w:t>
      </w:r>
      <w:r w:rsidRPr="00626F03">
        <w:t xml:space="preserve"> seasonal performance factor (SPF)</w:t>
      </w:r>
      <w:r>
        <w:t>.</w:t>
      </w:r>
    </w:p>
    <w:p w14:paraId="47B465F5" w14:textId="53BC31F7" w:rsidR="00FF3200" w:rsidRDefault="00FF3200" w:rsidP="00FF3200">
      <w:pPr>
        <w:pStyle w:val="SWCHeading11"/>
      </w:pPr>
      <w:r>
        <w:t>3.3 Heat Pump Heat Source</w:t>
      </w:r>
    </w:p>
    <w:p w14:paraId="7092E9BC" w14:textId="6A939C18" w:rsidR="003B29EA" w:rsidRDefault="003B29EA" w:rsidP="00DD3FB6">
      <w:pPr>
        <w:pStyle w:val="SWCText"/>
      </w:pPr>
      <w:r>
        <w:t>The heat source management represents a core innovative aspect of the system, comprising both the management of heat supplied to the HP evaporator by the PVT collectors and ice storage</w:t>
      </w:r>
      <w:r w:rsidR="009A57B1">
        <w:t>,</w:t>
      </w:r>
      <w:r>
        <w:t xml:space="preserve"> and the regeneration of the ice storage using the PVT collectors. </w:t>
      </w:r>
      <w:r w:rsidR="006F35DC">
        <w:fldChar w:fldCharType="begin"/>
      </w:r>
      <w:r w:rsidR="006F35DC">
        <w:instrText xml:space="preserve"> REF _Ref238900064 \h </w:instrText>
      </w:r>
      <w:r w:rsidR="006F35DC">
        <w:fldChar w:fldCharType="separate"/>
      </w:r>
      <w:r w:rsidR="001F342F" w:rsidRPr="00522C5B">
        <w:t xml:space="preserve">Figure </w:t>
      </w:r>
      <w:r w:rsidR="001F342F">
        <w:rPr>
          <w:noProof/>
        </w:rPr>
        <w:t>11</w:t>
      </w:r>
      <w:r w:rsidR="006F35DC">
        <w:fldChar w:fldCharType="end"/>
      </w:r>
      <w:r>
        <w:t xml:space="preserve"> presents the monthly heat supplied to the HP evaporator together with the average brine temperature entering the </w:t>
      </w:r>
      <w:r w:rsidR="005602F4">
        <w:t xml:space="preserve">HP </w:t>
      </w:r>
      <w:r>
        <w:t xml:space="preserve">evaporator. The PVT collectors remained the dominant heat source throughout all months, partly due to a control strategy implemented to reduce the use of the ice storage. Given the </w:t>
      </w:r>
      <w:r w:rsidR="00190BDA">
        <w:t>storage</w:t>
      </w:r>
      <w:r w:rsidR="006110CC">
        <w:t>’s</w:t>
      </w:r>
      <w:r w:rsidR="00190BDA">
        <w:t xml:space="preserve"> </w:t>
      </w:r>
      <w:r>
        <w:t xml:space="preserve">limited thermal capacity, its </w:t>
      </w:r>
      <w:r w:rsidR="004C27E7">
        <w:t>discharge</w:t>
      </w:r>
      <w:r>
        <w:t xml:space="preserve"> was prioritized for periods when the PVT collectors could not provide sufficient heat. Consequently, in several operating conditions, the PVT collectors were maintained as the heat source even when the ice storage could provide heat to the evaporator at a higher temperature. This strategy was first implemented in October, resulting in a clear reduction in the heat supplied by the ice storage in this month, as shown in </w:t>
      </w:r>
      <w:r w:rsidR="006F35DC">
        <w:fldChar w:fldCharType="begin"/>
      </w:r>
      <w:r w:rsidR="006F35DC">
        <w:instrText xml:space="preserve"> REF _Ref238900064 \h </w:instrText>
      </w:r>
      <w:r w:rsidR="006F35DC">
        <w:fldChar w:fldCharType="separate"/>
      </w:r>
      <w:r w:rsidR="001F342F" w:rsidRPr="00522C5B">
        <w:t xml:space="preserve">Figure </w:t>
      </w:r>
      <w:r w:rsidR="001F342F">
        <w:rPr>
          <w:noProof/>
        </w:rPr>
        <w:t>11</w:t>
      </w:r>
      <w:r w:rsidR="006F35DC">
        <w:fldChar w:fldCharType="end"/>
      </w:r>
      <w:r>
        <w:t>.</w:t>
      </w:r>
    </w:p>
    <w:p w14:paraId="727721E2" w14:textId="77777777" w:rsidR="00522C5B" w:rsidRDefault="005D630E" w:rsidP="00522C5B">
      <w:pPr>
        <w:pStyle w:val="SWCText"/>
        <w:keepNext/>
        <w:jc w:val="center"/>
      </w:pPr>
      <w:r>
        <w:rPr>
          <w:noProof/>
        </w:rPr>
        <w:lastRenderedPageBreak/>
        <w:drawing>
          <wp:inline distT="0" distB="0" distL="0" distR="0" wp14:anchorId="7ABF60D4" wp14:editId="7E85AF9E">
            <wp:extent cx="5581650" cy="2435961"/>
            <wp:effectExtent l="0" t="0" r="0" b="2540"/>
            <wp:docPr id="1635941761" name="Diagramm 1">
              <a:extLst xmlns:a="http://schemas.openxmlformats.org/drawingml/2006/main">
                <a:ext uri="{FF2B5EF4-FFF2-40B4-BE49-F238E27FC236}">
                  <a16:creationId xmlns:a16="http://schemas.microsoft.com/office/drawing/2014/main" id="{41FBF5F1-9900-4E79-B913-428A889DC3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DC6F3FE" w14:textId="2C744658" w:rsidR="005D630E" w:rsidRDefault="00522C5B" w:rsidP="00522C5B">
      <w:pPr>
        <w:pStyle w:val="SWCTableFigureCaption"/>
      </w:pPr>
      <w:bookmarkStart w:id="14" w:name="_Ref238900064"/>
      <w:r w:rsidRPr="00522C5B">
        <w:t xml:space="preserve">Figure </w:t>
      </w:r>
      <w:r>
        <w:fldChar w:fldCharType="begin"/>
      </w:r>
      <w:r w:rsidRPr="00522C5B">
        <w:instrText xml:space="preserve"> SEQ Figure \* ARABIC </w:instrText>
      </w:r>
      <w:r>
        <w:fldChar w:fldCharType="separate"/>
      </w:r>
      <w:r w:rsidR="001F342F">
        <w:rPr>
          <w:noProof/>
        </w:rPr>
        <w:t>11</w:t>
      </w:r>
      <w:r>
        <w:fldChar w:fldCharType="end"/>
      </w:r>
      <w:bookmarkEnd w:id="14"/>
      <w:r w:rsidRPr="00522C5B">
        <w:t xml:space="preserve">. Monthly heat supplied to the heat pump evaporator </w:t>
      </w:r>
      <w:r>
        <w:t xml:space="preserve">by ice storage, PVT collectors and </w:t>
      </w:r>
      <w:r w:rsidR="004C27E7">
        <w:t>PVT d</w:t>
      </w:r>
      <w:r>
        <w:t>efrost HX</w:t>
      </w:r>
      <w:r w:rsidR="004C27E7">
        <w:t>.</w:t>
      </w:r>
      <w:r>
        <w:t xml:space="preserve"> </w:t>
      </w:r>
      <w:r w:rsidR="004C27E7">
        <w:t>A</w:t>
      </w:r>
      <w:r w:rsidRPr="00522C5B">
        <w:t>nd average brine inlet temperature during the 12-month monitoring period.</w:t>
      </w:r>
    </w:p>
    <w:p w14:paraId="2CEBC50F" w14:textId="3A13473D" w:rsidR="00FD3CDF" w:rsidRDefault="004C27E7" w:rsidP="009265A3">
      <w:pPr>
        <w:pStyle w:val="SWCText"/>
      </w:pPr>
      <w:r>
        <w:t xml:space="preserve">As presented in </w:t>
      </w:r>
      <w:r>
        <w:fldChar w:fldCharType="begin"/>
      </w:r>
      <w:r>
        <w:instrText xml:space="preserve"> REF _Ref238997596 \h </w:instrText>
      </w:r>
      <w:r>
        <w:fldChar w:fldCharType="separate"/>
      </w:r>
      <w:r w:rsidR="001F342F" w:rsidRPr="006D0683">
        <w:t xml:space="preserve">Figure </w:t>
      </w:r>
      <w:r w:rsidR="001F342F">
        <w:rPr>
          <w:noProof/>
        </w:rPr>
        <w:t>3</w:t>
      </w:r>
      <w:r w:rsidR="001F342F" w:rsidRPr="006D0683">
        <w:t>. Heat source circuit operation modes when heat pump i</w:t>
      </w:r>
      <w:r w:rsidR="001F342F">
        <w:t>s</w:t>
      </w:r>
      <w:r w:rsidR="001F342F" w:rsidRPr="006D0683">
        <w:t xml:space="preserve"> on.</w:t>
      </w:r>
      <w:r>
        <w:fldChar w:fldCharType="end"/>
      </w:r>
      <w:r>
        <w:t>,</w:t>
      </w:r>
      <w:r w:rsidR="00FD3CDF" w:rsidRPr="00FD3CDF">
        <w:t xml:space="preserve"> the heat source brine circuit can operate in different hydraulic modes</w:t>
      </w:r>
      <w:r>
        <w:t xml:space="preserve"> when heat pump is on</w:t>
      </w:r>
      <w:r w:rsidR="00FD3CDF" w:rsidRPr="00FD3CDF">
        <w:t xml:space="preserve">. </w:t>
      </w:r>
      <w:r w:rsidR="00733455">
        <w:fldChar w:fldCharType="begin"/>
      </w:r>
      <w:r w:rsidR="00733455">
        <w:instrText xml:space="preserve"> REF _Ref238900587 \h </w:instrText>
      </w:r>
      <w:r w:rsidR="00733455">
        <w:fldChar w:fldCharType="separate"/>
      </w:r>
      <w:r w:rsidR="001F342F" w:rsidRPr="006F35DC">
        <w:t xml:space="preserve">Figure </w:t>
      </w:r>
      <w:r w:rsidR="001F342F">
        <w:rPr>
          <w:noProof/>
        </w:rPr>
        <w:t>12</w:t>
      </w:r>
      <w:r w:rsidR="00733455">
        <w:fldChar w:fldCharType="end"/>
      </w:r>
      <w:r w:rsidR="00733455">
        <w:t xml:space="preserve"> </w:t>
      </w:r>
      <w:r w:rsidR="00FD3CDF" w:rsidRPr="00FD3CDF">
        <w:t xml:space="preserve">presents the monthly share of heat supplied to the evaporator by each </w:t>
      </w:r>
      <w:r>
        <w:t xml:space="preserve">of these </w:t>
      </w:r>
      <w:r w:rsidR="00FD3CDF" w:rsidRPr="00FD3CDF">
        <w:t>operating mode</w:t>
      </w:r>
      <w:r>
        <w:t>s</w:t>
      </w:r>
      <w:r w:rsidR="00FD3CDF" w:rsidRPr="00FD3CDF">
        <w:t xml:space="preserve">. The </w:t>
      </w:r>
      <w:r w:rsidR="00FD3CDF" w:rsidRPr="00FD3CDF">
        <w:rPr>
          <w:i/>
          <w:iCs/>
        </w:rPr>
        <w:t>PVT-only</w:t>
      </w:r>
      <w:r w:rsidR="00FD3CDF" w:rsidRPr="00FD3CDF">
        <w:t xml:space="preserve"> mode was clearly dominant throughout the monitoring period. In addition, the parallel operation of the PVT collectors and ice storage </w:t>
      </w:r>
      <w:r w:rsidR="00FD3CDF">
        <w:t>(</w:t>
      </w:r>
      <w:r w:rsidR="00FD3CDF" w:rsidRPr="00FD3CDF">
        <w:rPr>
          <w:i/>
          <w:iCs/>
        </w:rPr>
        <w:t>PVT+ICE parallel</w:t>
      </w:r>
      <w:r w:rsidR="00FD3CDF">
        <w:t xml:space="preserve"> mode) </w:t>
      </w:r>
      <w:r w:rsidR="00FD3CDF" w:rsidRPr="00FD3CDF">
        <w:t xml:space="preserve">was particularly relevant during winter. Since the PVT brine temperature was limited to −5 °C, the ice storage was operated in parallel with the PVT collectors when necessary to prevent the brine temperature from falling below this threshold. The </w:t>
      </w:r>
      <w:r w:rsidR="00FD3CDF" w:rsidRPr="00FD3CDF">
        <w:rPr>
          <w:i/>
          <w:iCs/>
        </w:rPr>
        <w:t>ICE-only</w:t>
      </w:r>
      <w:r w:rsidR="00FD3CDF" w:rsidRPr="00FD3CDF">
        <w:t xml:space="preserve"> mode became increasingly limited from October onward, following the implementation of the control strategy intended to preserve the available thermal capacity of the ice storage.</w:t>
      </w:r>
      <w:r w:rsidR="006110CC">
        <w:t xml:space="preserve"> The </w:t>
      </w:r>
      <w:r w:rsidR="006110CC" w:rsidRPr="006110CC">
        <w:rPr>
          <w:i/>
          <w:iCs/>
        </w:rPr>
        <w:t>PVT to HP to ICE</w:t>
      </w:r>
      <w:r w:rsidR="006110CC">
        <w:t xml:space="preserve"> shows a relatively constant share around 10% of source energy all around the year. Nevertheless it </w:t>
      </w:r>
      <w:r w:rsidR="00B21860">
        <w:t>contributes significantly to</w:t>
      </w:r>
      <w:r w:rsidR="006110CC">
        <w:t xml:space="preserve"> the regeneration of the ice storage during cold months </w:t>
      </w:r>
      <w:r w:rsidR="00B21860">
        <w:t>(around one third, see</w:t>
      </w:r>
      <w:r w:rsidR="00BA73A0">
        <w:t xml:space="preserve"> </w:t>
      </w:r>
      <w:r w:rsidR="00BA73A0">
        <w:fldChar w:fldCharType="begin"/>
      </w:r>
      <w:r w:rsidR="00BA73A0">
        <w:instrText xml:space="preserve"> REF _Ref238903654 \h </w:instrText>
      </w:r>
      <w:r w:rsidR="00BA73A0">
        <w:fldChar w:fldCharType="separate"/>
      </w:r>
      <w:r w:rsidR="001F342F">
        <w:t xml:space="preserve">Figure </w:t>
      </w:r>
      <w:r w:rsidR="001F342F">
        <w:rPr>
          <w:noProof/>
        </w:rPr>
        <w:t>14</w:t>
      </w:r>
      <w:r w:rsidR="00BA73A0">
        <w:fldChar w:fldCharType="end"/>
      </w:r>
      <w:r w:rsidR="00B21860">
        <w:t xml:space="preserve">) </w:t>
      </w:r>
      <w:r w:rsidR="006110CC">
        <w:t xml:space="preserve">and thus </w:t>
      </w:r>
      <w:r w:rsidR="00B21860">
        <w:t xml:space="preserve">allows </w:t>
      </w:r>
      <w:r w:rsidR="006110CC">
        <w:t>the</w:t>
      </w:r>
      <w:r w:rsidR="00B21860">
        <w:t xml:space="preserve"> extended</w:t>
      </w:r>
      <w:r w:rsidR="006110CC">
        <w:t xml:space="preserve"> </w:t>
      </w:r>
      <w:r w:rsidR="006110CC" w:rsidRPr="006110CC">
        <w:rPr>
          <w:i/>
          <w:iCs/>
        </w:rPr>
        <w:t>PVT+ICE parallel</w:t>
      </w:r>
      <w:r w:rsidR="006110CC">
        <w:t xml:space="preserve"> and </w:t>
      </w:r>
      <w:r w:rsidR="006110CC" w:rsidRPr="00776DA6">
        <w:rPr>
          <w:i/>
          <w:iCs/>
        </w:rPr>
        <w:t>ICE only</w:t>
      </w:r>
      <w:r w:rsidR="006110CC">
        <w:t xml:space="preserve"> operation at other moments</w:t>
      </w:r>
      <w:r w:rsidR="00BA73A0">
        <w:t>.</w:t>
      </w:r>
    </w:p>
    <w:p w14:paraId="45C50F69" w14:textId="77777777" w:rsidR="006F35DC" w:rsidRDefault="009265A3" w:rsidP="006F35DC">
      <w:pPr>
        <w:pStyle w:val="SWCText"/>
        <w:keepNext/>
        <w:jc w:val="center"/>
      </w:pPr>
      <w:r>
        <w:rPr>
          <w:noProof/>
        </w:rPr>
        <w:drawing>
          <wp:inline distT="0" distB="0" distL="0" distR="0" wp14:anchorId="73A7BF09" wp14:editId="0770018A">
            <wp:extent cx="5525770" cy="2172614"/>
            <wp:effectExtent l="0" t="0" r="17780" b="18415"/>
            <wp:docPr id="1211998339" name="Diagramm 1">
              <a:extLst xmlns:a="http://schemas.openxmlformats.org/drawingml/2006/main">
                <a:ext uri="{FF2B5EF4-FFF2-40B4-BE49-F238E27FC236}">
                  <a16:creationId xmlns:a16="http://schemas.microsoft.com/office/drawing/2014/main" id="{AB8E3D71-265E-CA58-1459-DE1C2CF79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1B5F6C1" w14:textId="7CB47BD9" w:rsidR="009265A3" w:rsidRPr="00184CF2" w:rsidRDefault="006F35DC" w:rsidP="006F35DC">
      <w:pPr>
        <w:pStyle w:val="SWCTableFigureCaption"/>
      </w:pPr>
      <w:bookmarkStart w:id="15" w:name="_Ref238900587"/>
      <w:r w:rsidRPr="006F35DC">
        <w:t xml:space="preserve">Figure </w:t>
      </w:r>
      <w:r>
        <w:fldChar w:fldCharType="begin"/>
      </w:r>
      <w:r w:rsidRPr="006F35DC">
        <w:instrText xml:space="preserve"> SEQ Figure \* ARABIC </w:instrText>
      </w:r>
      <w:r>
        <w:fldChar w:fldCharType="separate"/>
      </w:r>
      <w:r w:rsidR="001F342F">
        <w:rPr>
          <w:noProof/>
        </w:rPr>
        <w:t>12</w:t>
      </w:r>
      <w:r>
        <w:fldChar w:fldCharType="end"/>
      </w:r>
      <w:bookmarkEnd w:id="15"/>
      <w:r w:rsidRPr="006F35DC">
        <w:t>. Monthly contribution of the different heat source operating modes to the heat supplied to the heat pump evaporator.</w:t>
      </w:r>
    </w:p>
    <w:p w14:paraId="5B27AA78" w14:textId="0DADC876" w:rsidR="00184CF2" w:rsidRDefault="00184CF2" w:rsidP="00184CF2">
      <w:pPr>
        <w:pStyle w:val="SWCHeading11"/>
      </w:pPr>
      <w:r>
        <w:t>3.3.1 Ice Storage</w:t>
      </w:r>
    </w:p>
    <w:p w14:paraId="6DA2B46D" w14:textId="7D24DF56" w:rsidR="00DD622A" w:rsidRDefault="009049E8" w:rsidP="00FC105E">
      <w:pPr>
        <w:pStyle w:val="SWCText"/>
      </w:pPr>
      <w:r>
        <w:fldChar w:fldCharType="begin"/>
      </w:r>
      <w:r>
        <w:instrText xml:space="preserve"> REF _Ref238902997 \h </w:instrText>
      </w:r>
      <w:r>
        <w:fldChar w:fldCharType="separate"/>
      </w:r>
      <w:r w:rsidR="001F342F">
        <w:t xml:space="preserve">Figure </w:t>
      </w:r>
      <w:r w:rsidR="001F342F">
        <w:rPr>
          <w:noProof/>
        </w:rPr>
        <w:t>13</w:t>
      </w:r>
      <w:r>
        <w:fldChar w:fldCharType="end"/>
      </w:r>
      <w:r>
        <w:t xml:space="preserve"> </w:t>
      </w:r>
      <w:r w:rsidR="00FC105E" w:rsidRPr="00FC105E">
        <w:t xml:space="preserve">shows the monthly regeneration and discharge of the ice storage by the PVT collectors and heat pump, respectively, together with the monthly average storage temperature. </w:t>
      </w:r>
      <w:r w:rsidR="00206E8F" w:rsidRPr="00FC105E">
        <w:t xml:space="preserve">The total </w:t>
      </w:r>
      <w:r w:rsidR="00206E8F">
        <w:t xml:space="preserve">annual </w:t>
      </w:r>
      <w:r w:rsidR="00206E8F" w:rsidRPr="00FC105E">
        <w:t xml:space="preserve">regeneration heat supplied by the PVT collectors </w:t>
      </w:r>
      <w:r w:rsidR="00206E8F">
        <w:t xml:space="preserve">to the ice storage </w:t>
      </w:r>
      <w:r w:rsidR="00206E8F" w:rsidRPr="00FC105E">
        <w:t>was 6,855 kWh.</w:t>
      </w:r>
      <w:r w:rsidR="00206E8F">
        <w:t xml:space="preserve"> </w:t>
      </w:r>
      <w:r w:rsidR="00FC105E" w:rsidRPr="00FC105E">
        <w:t xml:space="preserve">Most of the regeneration heat was supplied during summer. However, a large portion of this heat </w:t>
      </w:r>
      <w:r w:rsidR="00206E8F">
        <w:t>is</w:t>
      </w:r>
      <w:r w:rsidR="00FC105E" w:rsidRPr="00FC105E">
        <w:t xml:space="preserve"> subsequently dissipated to the ground. From November to January, the heat </w:t>
      </w:r>
      <w:r w:rsidR="002C1BE0">
        <w:t>transferred</w:t>
      </w:r>
      <w:r w:rsidR="00FC105E" w:rsidRPr="00FC105E">
        <w:t xml:space="preserve"> from the storage</w:t>
      </w:r>
      <w:r w:rsidR="001C2B5E">
        <w:t xml:space="preserve"> to the HP</w:t>
      </w:r>
      <w:r w:rsidR="00FC105E" w:rsidRPr="00FC105E">
        <w:t xml:space="preserve"> was higher than the heat supplied for </w:t>
      </w:r>
      <w:r w:rsidR="00230C85">
        <w:t xml:space="preserve">ice storage </w:t>
      </w:r>
      <w:r w:rsidR="00FC105E" w:rsidRPr="00FC105E">
        <w:t xml:space="preserve">regeneration by the PVT collectors. </w:t>
      </w:r>
    </w:p>
    <w:p w14:paraId="1FA0F5E5" w14:textId="0CEB670C" w:rsidR="00AC52FE" w:rsidRDefault="00DD622A" w:rsidP="00FC105E">
      <w:pPr>
        <w:pStyle w:val="SWCText"/>
      </w:pPr>
      <w:r w:rsidRPr="00DD622A">
        <w:t xml:space="preserve">During the winter period, the ice storage gains heat not only from the PVT regeneration but also from the </w:t>
      </w:r>
      <w:r w:rsidRPr="00DD622A">
        <w:lastRenderedPageBreak/>
        <w:t xml:space="preserve">surrounding ground. To approximate the ground heat gains contribution, a balance period was defined from the initial ice formation to the complete disappearance of ice within the storage. Initial ice formation was assumed when tank sensor first reached 0°C, and the complete ice-free state was defined when temperature rose above 0°C. This duration — spanning from November 20, 2025, to February 27, 2026 — was assumed to maintain a continuous two-phase ice-water mixture, </w:t>
      </w:r>
      <w:r w:rsidR="00206E8F">
        <w:t>and</w:t>
      </w:r>
      <w:r w:rsidRPr="00DD622A">
        <w:t xml:space="preserve"> that the storage returned to a comparable energetic baseline state at both boundaries. Over this timeframe, a</w:t>
      </w:r>
      <w:r>
        <w:t>n</w:t>
      </w:r>
      <w:r w:rsidRPr="00DD622A">
        <w:t xml:space="preserve"> energy balance was formulated: total discharging to the heat pump accounted for 1840 kWh, while active regeneration via the PVT collectors supplied 1129 kWh. The resulting deficit of approximately 710 kWh represents the net heat transferred from the surrounding ground to the storage. </w:t>
      </w:r>
      <w:r w:rsidR="00AA12C0">
        <w:t>T</w:t>
      </w:r>
      <w:r w:rsidRPr="00DD622A">
        <w:t>his yields an average thermal ground heat gain of roughly 300 W.</w:t>
      </w:r>
      <w:r>
        <w:t xml:space="preserve"> The area facing ground of each storage unit was around 8.8 m².</w:t>
      </w:r>
      <w:r w:rsidRPr="00DD622A">
        <w:t xml:space="preserve"> While acknowledging that this is a rough estimation due to </w:t>
      </w:r>
      <w:r w:rsidR="00206E8F">
        <w:t>unknown</w:t>
      </w:r>
      <w:r w:rsidRPr="00DD622A">
        <w:t xml:space="preserve"> storage states, it provides a macro-level </w:t>
      </w:r>
      <w:r w:rsidR="00662B7F">
        <w:t>estimation</w:t>
      </w:r>
      <w:r w:rsidRPr="00DD622A">
        <w:t xml:space="preserve"> of ground</w:t>
      </w:r>
      <w:r>
        <w:t xml:space="preserve"> heat gains</w:t>
      </w:r>
      <w:r w:rsidRPr="00DD622A">
        <w:t>.</w:t>
      </w:r>
    </w:p>
    <w:p w14:paraId="564ECAF3" w14:textId="77777777" w:rsidR="00FC105E" w:rsidRDefault="00B93A6A" w:rsidP="00FC105E">
      <w:pPr>
        <w:pStyle w:val="SWCText"/>
        <w:keepNext/>
        <w:jc w:val="center"/>
      </w:pPr>
      <w:r>
        <w:rPr>
          <w:noProof/>
        </w:rPr>
        <w:drawing>
          <wp:inline distT="0" distB="0" distL="0" distR="0" wp14:anchorId="2BA195D2" wp14:editId="47B755B4">
            <wp:extent cx="5311140" cy="2750515"/>
            <wp:effectExtent l="0" t="0" r="3810" b="12065"/>
            <wp:docPr id="1796581129" name="Diagramm 1">
              <a:extLst xmlns:a="http://schemas.openxmlformats.org/drawingml/2006/main">
                <a:ext uri="{FF2B5EF4-FFF2-40B4-BE49-F238E27FC236}">
                  <a16:creationId xmlns:a16="http://schemas.microsoft.com/office/drawing/2014/main" id="{FC230C1F-F5D3-4802-8A66-F079D4825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A3EE317" w14:textId="13BFF31D" w:rsidR="00B93A6A" w:rsidRDefault="00FC105E" w:rsidP="00FC105E">
      <w:pPr>
        <w:pStyle w:val="SWCTableFigureCaption"/>
      </w:pPr>
      <w:bookmarkStart w:id="16" w:name="_Ref238902997"/>
      <w:r>
        <w:t xml:space="preserve">Figure </w:t>
      </w:r>
      <w:r>
        <w:fldChar w:fldCharType="begin"/>
      </w:r>
      <w:r>
        <w:instrText xml:space="preserve"> SEQ Figure \* ARABIC </w:instrText>
      </w:r>
      <w:r>
        <w:fldChar w:fldCharType="separate"/>
      </w:r>
      <w:r w:rsidR="001F342F">
        <w:rPr>
          <w:noProof/>
        </w:rPr>
        <w:t>13</w:t>
      </w:r>
      <w:r>
        <w:fldChar w:fldCharType="end"/>
      </w:r>
      <w:bookmarkEnd w:id="16"/>
      <w:r>
        <w:t xml:space="preserve">. </w:t>
      </w:r>
      <w:r w:rsidRPr="00531ABF">
        <w:t xml:space="preserve">Monthly heat supplied to </w:t>
      </w:r>
      <w:r>
        <w:t xml:space="preserve">ice storage by the PVT collectors (regeneration) </w:t>
      </w:r>
      <w:r w:rsidRPr="00531ABF">
        <w:t xml:space="preserve">and </w:t>
      </w:r>
      <w:r>
        <w:t xml:space="preserve">heat </w:t>
      </w:r>
      <w:r w:rsidRPr="00531ABF">
        <w:t>discharged from the ice storage</w:t>
      </w:r>
      <w:r>
        <w:t xml:space="preserve"> to the HP evaporator,</w:t>
      </w:r>
      <w:r w:rsidRPr="00531ABF">
        <w:t xml:space="preserve"> and monthly average storage temperature.</w:t>
      </w:r>
    </w:p>
    <w:p w14:paraId="5D2DA137" w14:textId="69F6BE38" w:rsidR="00A04B0F" w:rsidRDefault="009049E8" w:rsidP="009049E8">
      <w:pPr>
        <w:pStyle w:val="SWCText"/>
      </w:pPr>
      <w:r w:rsidRPr="009049E8">
        <w:t>The ice storage can be regenerated</w:t>
      </w:r>
      <w:r>
        <w:t xml:space="preserve"> by the PVT collectors</w:t>
      </w:r>
      <w:r w:rsidRPr="009049E8">
        <w:t xml:space="preserve"> in two different operating modes. In the first mode, the heat pump is switched off and the PVT collectors supply heat directly to the ice storage. In the second mode, the heat pump is operating, corresponding to the </w:t>
      </w:r>
      <w:r w:rsidRPr="009049E8">
        <w:rPr>
          <w:i/>
          <w:iCs/>
        </w:rPr>
        <w:t>PVT-to-HP-to-ICE serial</w:t>
      </w:r>
      <w:r w:rsidRPr="009049E8">
        <w:t xml:space="preserve"> mode described</w:t>
      </w:r>
      <w:r>
        <w:t xml:space="preserve"> </w:t>
      </w:r>
      <w:r w:rsidR="00D35CEE">
        <w:t>in section 2.3</w:t>
      </w:r>
      <w:r w:rsidRPr="009049E8">
        <w:t xml:space="preserve">. </w:t>
      </w:r>
      <w:r w:rsidR="00507B8D">
        <w:fldChar w:fldCharType="begin"/>
      </w:r>
      <w:r w:rsidR="00507B8D">
        <w:instrText xml:space="preserve"> REF _Ref238903654 \h </w:instrText>
      </w:r>
      <w:r w:rsidR="00507B8D">
        <w:fldChar w:fldCharType="separate"/>
      </w:r>
      <w:r w:rsidR="001F342F">
        <w:t xml:space="preserve">Figure </w:t>
      </w:r>
      <w:r w:rsidR="001F342F">
        <w:rPr>
          <w:noProof/>
        </w:rPr>
        <w:t>14</w:t>
      </w:r>
      <w:r w:rsidR="00507B8D">
        <w:fldChar w:fldCharType="end"/>
      </w:r>
      <w:r w:rsidR="00507B8D">
        <w:t xml:space="preserve"> </w:t>
      </w:r>
      <w:r w:rsidRPr="009049E8">
        <w:t xml:space="preserve">shows the regeneration heat supplied </w:t>
      </w:r>
      <w:r>
        <w:t xml:space="preserve">by the PVT collectors </w:t>
      </w:r>
      <w:r w:rsidRPr="009049E8">
        <w:t>in these two operating modes. The</w:t>
      </w:r>
      <w:r w:rsidRPr="009049E8">
        <w:rPr>
          <w:i/>
          <w:iCs/>
        </w:rPr>
        <w:t xml:space="preserve"> PVT-to-HP-to-ICE serial</w:t>
      </w:r>
      <w:r w:rsidRPr="009049E8">
        <w:t xml:space="preserve"> mode is particularly relevant during winter, accounting for </w:t>
      </w:r>
      <w:r w:rsidR="00AA12C0">
        <w:t xml:space="preserve">around 30 % </w:t>
      </w:r>
      <w:r w:rsidRPr="009049E8">
        <w:t xml:space="preserve">share of the ice storage regeneration during </w:t>
      </w:r>
      <w:r w:rsidR="00231D92">
        <w:t>December to February</w:t>
      </w:r>
      <w:r w:rsidRPr="009049E8">
        <w:t>.</w:t>
      </w:r>
    </w:p>
    <w:p w14:paraId="5967B1A6" w14:textId="77777777" w:rsidR="009049E8" w:rsidRDefault="00A04B0F" w:rsidP="009049E8">
      <w:pPr>
        <w:pStyle w:val="SWCText"/>
        <w:keepNext/>
        <w:jc w:val="center"/>
      </w:pPr>
      <w:r>
        <w:rPr>
          <w:noProof/>
        </w:rPr>
        <w:drawing>
          <wp:inline distT="0" distB="0" distL="0" distR="0" wp14:anchorId="54EB4C47" wp14:editId="7EB046E0">
            <wp:extent cx="5152390" cy="1521562"/>
            <wp:effectExtent l="0" t="0" r="10160" b="2540"/>
            <wp:docPr id="695591532" name="Diagramm 1">
              <a:extLst xmlns:a="http://schemas.openxmlformats.org/drawingml/2006/main">
                <a:ext uri="{FF2B5EF4-FFF2-40B4-BE49-F238E27FC236}">
                  <a16:creationId xmlns:a16="http://schemas.microsoft.com/office/drawing/2014/main" id="{B5BC49AE-B716-43A3-98E6-460005D81B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A8E9BCA" w14:textId="0294B689" w:rsidR="00A04B0F" w:rsidRDefault="009049E8" w:rsidP="009049E8">
      <w:pPr>
        <w:pStyle w:val="SWCTableFigureCaption"/>
      </w:pPr>
      <w:bookmarkStart w:id="17" w:name="_Ref238903654"/>
      <w:r>
        <w:t xml:space="preserve">Figure </w:t>
      </w:r>
      <w:r>
        <w:fldChar w:fldCharType="begin"/>
      </w:r>
      <w:r>
        <w:instrText xml:space="preserve"> SEQ Figure \* ARABIC </w:instrText>
      </w:r>
      <w:r>
        <w:fldChar w:fldCharType="separate"/>
      </w:r>
      <w:r w:rsidR="001F342F">
        <w:rPr>
          <w:noProof/>
        </w:rPr>
        <w:t>14</w:t>
      </w:r>
      <w:r>
        <w:fldChar w:fldCharType="end"/>
      </w:r>
      <w:bookmarkEnd w:id="17"/>
      <w:r>
        <w:t xml:space="preserve">. </w:t>
      </w:r>
      <w:r w:rsidR="00BC5783">
        <w:t>Monthly s</w:t>
      </w:r>
      <w:r w:rsidR="00D14AD0">
        <w:t>hare</w:t>
      </w:r>
      <w:r w:rsidR="00BC5783">
        <w:t xml:space="preserve"> of heat supplied by PVT collectors for</w:t>
      </w:r>
      <w:r w:rsidR="00D14AD0">
        <w:t xml:space="preserve"> </w:t>
      </w:r>
      <w:r w:rsidRPr="00D77C73">
        <w:t xml:space="preserve">ice storage regeneration </w:t>
      </w:r>
      <w:r w:rsidR="00D14AD0">
        <w:t xml:space="preserve">according to </w:t>
      </w:r>
      <w:r w:rsidR="00BC5783">
        <w:t xml:space="preserve">operation </w:t>
      </w:r>
      <w:r w:rsidR="00D14AD0">
        <w:t>mode</w:t>
      </w:r>
      <w:r w:rsidR="00D14AD0" w:rsidRPr="00BC5783">
        <w:rPr>
          <w:i/>
          <w:iCs/>
        </w:rPr>
        <w:t>:</w:t>
      </w:r>
      <w:r w:rsidRPr="00BC5783">
        <w:rPr>
          <w:i/>
          <w:iCs/>
        </w:rPr>
        <w:t xml:space="preserve"> PVT-to-ICE</w:t>
      </w:r>
      <w:r w:rsidR="00312304">
        <w:rPr>
          <w:i/>
          <w:iCs/>
        </w:rPr>
        <w:t xml:space="preserve"> (heat pump off)</w:t>
      </w:r>
      <w:r w:rsidRPr="00D77C73">
        <w:t xml:space="preserve"> and </w:t>
      </w:r>
      <w:r w:rsidRPr="00BC5783">
        <w:rPr>
          <w:i/>
          <w:iCs/>
        </w:rPr>
        <w:t>PVT-to-HP-to-ICE</w:t>
      </w:r>
      <w:r w:rsidR="00D14AD0" w:rsidRPr="00BC5783">
        <w:rPr>
          <w:i/>
          <w:iCs/>
        </w:rPr>
        <w:t xml:space="preserve"> serial</w:t>
      </w:r>
      <w:r w:rsidR="00312304">
        <w:rPr>
          <w:i/>
          <w:iCs/>
        </w:rPr>
        <w:t xml:space="preserve"> (heat pump on)</w:t>
      </w:r>
      <w:r w:rsidRPr="00D77C73">
        <w:t xml:space="preserve"> operating modes.</w:t>
      </w:r>
    </w:p>
    <w:p w14:paraId="33B5CD5F" w14:textId="10C40F24" w:rsidR="00184CF2" w:rsidRPr="00184CF2" w:rsidRDefault="00184CF2" w:rsidP="00184CF2">
      <w:pPr>
        <w:pStyle w:val="SWCHeading11"/>
      </w:pPr>
      <w:r>
        <w:t>3.3.1 PVT collectors</w:t>
      </w:r>
    </w:p>
    <w:p w14:paraId="2CE39F85" w14:textId="1A991411" w:rsidR="00096CB1" w:rsidRPr="00D27BF0" w:rsidRDefault="00507B8D" w:rsidP="00D27BF0">
      <w:pPr>
        <w:pStyle w:val="SWCText"/>
        <w:rPr>
          <w:lang w:val="en-GB"/>
        </w:rPr>
      </w:pPr>
      <w:r w:rsidRPr="00507B8D">
        <w:rPr>
          <w:lang w:val="en-GB"/>
        </w:rPr>
        <w:t xml:space="preserve">The PVT collectors generated a total of 15,444 kWh of </w:t>
      </w:r>
      <w:r w:rsidR="00D35CEE">
        <w:rPr>
          <w:lang w:val="en-GB"/>
        </w:rPr>
        <w:t>heat</w:t>
      </w:r>
      <w:r w:rsidRPr="00507B8D">
        <w:rPr>
          <w:lang w:val="en-GB"/>
        </w:rPr>
        <w:t xml:space="preserve">, of which 56% was supplied to the heat pump evaporator and 44% was </w:t>
      </w:r>
      <w:r w:rsidR="00EC09ED">
        <w:rPr>
          <w:lang w:val="en-GB"/>
        </w:rPr>
        <w:t>supplied to</w:t>
      </w:r>
      <w:r w:rsidRPr="00507B8D">
        <w:rPr>
          <w:lang w:val="en-GB"/>
        </w:rPr>
        <w:t xml:space="preserve"> the ice storage. In addition, 1,033 kWh of heat was extracted from the buffer storage for active PVT collector defrosting. </w:t>
      </w:r>
      <w:r w:rsidR="00110867">
        <w:rPr>
          <w:lang w:val="en-GB"/>
        </w:rPr>
        <w:fldChar w:fldCharType="begin"/>
      </w:r>
      <w:r w:rsidR="00110867">
        <w:rPr>
          <w:lang w:val="en-GB"/>
        </w:rPr>
        <w:instrText xml:space="preserve"> REF _Ref238904233 \h </w:instrText>
      </w:r>
      <w:r w:rsidR="00110867">
        <w:rPr>
          <w:lang w:val="en-GB"/>
        </w:rPr>
      </w:r>
      <w:r w:rsidR="00110867">
        <w:rPr>
          <w:lang w:val="en-GB"/>
        </w:rPr>
        <w:fldChar w:fldCharType="separate"/>
      </w:r>
      <w:r w:rsidR="001F342F" w:rsidRPr="00110867">
        <w:t xml:space="preserve">Figure </w:t>
      </w:r>
      <w:r w:rsidR="001F342F">
        <w:rPr>
          <w:noProof/>
        </w:rPr>
        <w:t>15</w:t>
      </w:r>
      <w:r w:rsidR="00110867">
        <w:rPr>
          <w:lang w:val="en-GB"/>
        </w:rPr>
        <w:fldChar w:fldCharType="end"/>
      </w:r>
      <w:r w:rsidRPr="00507B8D">
        <w:rPr>
          <w:lang w:val="en-GB"/>
        </w:rPr>
        <w:t xml:space="preserve"> presents the monthly PVT heat output and defrosting heat demand</w:t>
      </w:r>
      <w:r w:rsidR="00141863">
        <w:rPr>
          <w:lang w:val="en-GB"/>
        </w:rPr>
        <w:t xml:space="preserve">, </w:t>
      </w:r>
      <w:r w:rsidR="002A66A6">
        <w:rPr>
          <w:lang w:val="en-GB"/>
        </w:rPr>
        <w:t>together with</w:t>
      </w:r>
      <w:r w:rsidR="00141863">
        <w:rPr>
          <w:lang w:val="en-GB"/>
        </w:rPr>
        <w:t xml:space="preserve"> </w:t>
      </w:r>
      <w:r w:rsidR="00141863" w:rsidRPr="00507B8D">
        <w:rPr>
          <w:lang w:val="en-GB"/>
        </w:rPr>
        <w:t xml:space="preserve">the monthly average PVT supply temperatures when the collectors are </w:t>
      </w:r>
      <w:r w:rsidR="00141863" w:rsidRPr="00507B8D">
        <w:rPr>
          <w:lang w:val="en-GB"/>
        </w:rPr>
        <w:lastRenderedPageBreak/>
        <w:t>supplying heat to the heat pump evaporator and to the ice storage.</w:t>
      </w:r>
      <w:r w:rsidR="00141863">
        <w:rPr>
          <w:lang w:val="en-GB"/>
        </w:rPr>
        <w:t xml:space="preserve"> </w:t>
      </w:r>
      <w:r w:rsidRPr="00507B8D">
        <w:rPr>
          <w:lang w:val="en-GB"/>
        </w:rPr>
        <w:t>The defrost heat exchanger was installed in November, and the defrosting heat demand measured during this month may be overestimated due to commissioning and testing activities.</w:t>
      </w:r>
      <w:r>
        <w:rPr>
          <w:lang w:val="en-GB"/>
        </w:rPr>
        <w:t xml:space="preserve"> </w:t>
      </w:r>
      <w:r w:rsidRPr="00507B8D">
        <w:rPr>
          <w:lang w:val="en-GB"/>
        </w:rPr>
        <w:t>The PVT heat output was measured both during periods with and without solar irradiance, shown in</w:t>
      </w:r>
      <w:r w:rsidR="00110867">
        <w:rPr>
          <w:lang w:val="en-GB"/>
        </w:rPr>
        <w:t xml:space="preserve"> </w:t>
      </w:r>
      <w:r w:rsidR="00110867">
        <w:rPr>
          <w:lang w:val="en-GB"/>
        </w:rPr>
        <w:fldChar w:fldCharType="begin"/>
      </w:r>
      <w:r w:rsidR="00110867">
        <w:rPr>
          <w:lang w:val="en-GB"/>
        </w:rPr>
        <w:instrText xml:space="preserve"> REF _Ref238904233 \h </w:instrText>
      </w:r>
      <w:r w:rsidR="00110867">
        <w:rPr>
          <w:lang w:val="en-GB"/>
        </w:rPr>
      </w:r>
      <w:r w:rsidR="00110867">
        <w:rPr>
          <w:lang w:val="en-GB"/>
        </w:rPr>
        <w:fldChar w:fldCharType="separate"/>
      </w:r>
      <w:r w:rsidR="001F342F" w:rsidRPr="00110867">
        <w:t xml:space="preserve">Figure </w:t>
      </w:r>
      <w:r w:rsidR="001F342F">
        <w:rPr>
          <w:noProof/>
        </w:rPr>
        <w:t>15</w:t>
      </w:r>
      <w:r w:rsidR="00110867">
        <w:rPr>
          <w:lang w:val="en-GB"/>
        </w:rPr>
        <w:fldChar w:fldCharType="end"/>
      </w:r>
      <w:r w:rsidRPr="00507B8D">
        <w:rPr>
          <w:lang w:val="en-GB"/>
        </w:rPr>
        <w:t xml:space="preserve">. Heat extraction from the PVT collectors during periods without solar irradiance indicates operation </w:t>
      </w:r>
      <w:r w:rsidR="002A66A6">
        <w:rPr>
          <w:lang w:val="en-GB"/>
        </w:rPr>
        <w:t xml:space="preserve">solely </w:t>
      </w:r>
      <w:r w:rsidRPr="00507B8D">
        <w:rPr>
          <w:lang w:val="en-GB"/>
        </w:rPr>
        <w:t xml:space="preserve">as air-source collectors. This operating </w:t>
      </w:r>
      <w:r w:rsidR="002A66A6">
        <w:rPr>
          <w:lang w:val="en-GB"/>
        </w:rPr>
        <w:t>condition</w:t>
      </w:r>
      <w:r w:rsidRPr="00507B8D">
        <w:rPr>
          <w:lang w:val="en-GB"/>
        </w:rPr>
        <w:t xml:space="preserve"> is particularly relevant during winter when the PVT collectors are used as a heat source for the heat pump.</w:t>
      </w:r>
    </w:p>
    <w:p w14:paraId="2741048D" w14:textId="38BE1C72" w:rsidR="00B2220D" w:rsidRDefault="00B2220D" w:rsidP="00096CB1">
      <w:pPr>
        <w:pStyle w:val="SWCText"/>
        <w:keepNext/>
        <w:jc w:val="center"/>
      </w:pPr>
      <w:r>
        <w:rPr>
          <w:noProof/>
        </w:rPr>
        <w:drawing>
          <wp:inline distT="0" distB="0" distL="0" distR="0" wp14:anchorId="70560BAA" wp14:editId="35346976">
            <wp:extent cx="5567045" cy="3200400"/>
            <wp:effectExtent l="0" t="0" r="14605" b="0"/>
            <wp:docPr id="1882987988" name="Diagramm 1">
              <a:extLst xmlns:a="http://schemas.openxmlformats.org/drawingml/2006/main">
                <a:ext uri="{FF2B5EF4-FFF2-40B4-BE49-F238E27FC236}">
                  <a16:creationId xmlns:a16="http://schemas.microsoft.com/office/drawing/2014/main" id="{47ECFB1E-749B-4177-A9F2-C69CC025D9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6422EAF" w14:textId="18BA7692" w:rsidR="00110867" w:rsidRDefault="00096CB1" w:rsidP="00AB72D1">
      <w:pPr>
        <w:pStyle w:val="SWCTableFigureCaption"/>
      </w:pPr>
      <w:bookmarkStart w:id="18" w:name="_Ref238904233"/>
      <w:r w:rsidRPr="00110867">
        <w:t xml:space="preserve">Figure </w:t>
      </w:r>
      <w:r>
        <w:fldChar w:fldCharType="begin"/>
      </w:r>
      <w:r w:rsidRPr="00110867">
        <w:instrText xml:space="preserve"> SEQ Figure \* ARABIC </w:instrText>
      </w:r>
      <w:r>
        <w:fldChar w:fldCharType="separate"/>
      </w:r>
      <w:r w:rsidR="001F342F">
        <w:rPr>
          <w:noProof/>
        </w:rPr>
        <w:t>15</w:t>
      </w:r>
      <w:r>
        <w:fldChar w:fldCharType="end"/>
      </w:r>
      <w:bookmarkEnd w:id="18"/>
      <w:r w:rsidRPr="00110867">
        <w:t xml:space="preserve">.  Monthly PVT </w:t>
      </w:r>
      <w:r w:rsidR="00110867">
        <w:t>heat</w:t>
      </w:r>
      <w:r w:rsidRPr="00110867">
        <w:t xml:space="preserve"> output and heat demand for active collector defrosting, distinguishing operation with and without solar irradiance</w:t>
      </w:r>
      <w:r w:rsidR="00110867">
        <w:t xml:space="preserve"> </w:t>
      </w:r>
      <w:r w:rsidR="00110867" w:rsidRPr="00110867">
        <w:t xml:space="preserve">as </w:t>
      </w:r>
      <w:r w:rsidR="00110867">
        <w:t>Irr</w:t>
      </w:r>
      <w:r w:rsidR="00110867" w:rsidRPr="00110867">
        <w:t xml:space="preserve"> &gt; 0 and </w:t>
      </w:r>
      <w:r w:rsidR="00110867">
        <w:t xml:space="preserve">Irr </w:t>
      </w:r>
      <w:r w:rsidR="00110867" w:rsidRPr="00110867">
        <w:t>= 0, respectively</w:t>
      </w:r>
      <w:r w:rsidRPr="00110867">
        <w:t>.</w:t>
      </w:r>
      <w:r w:rsidR="00D15871">
        <w:t xml:space="preserve"> And m</w:t>
      </w:r>
      <w:r w:rsidR="00D15871" w:rsidRPr="00110867">
        <w:t>onthly average PVT supply temperatures when supplying</w:t>
      </w:r>
      <w:r w:rsidR="00D15871">
        <w:t xml:space="preserve"> </w:t>
      </w:r>
      <w:r w:rsidR="00D15871" w:rsidRPr="00110867">
        <w:t>to heat pump evaporator and ice storage.</w:t>
      </w:r>
    </w:p>
    <w:p w14:paraId="3AA58317" w14:textId="4E0C6EB4" w:rsidR="00507B8D" w:rsidRPr="004112CE" w:rsidRDefault="0061154C" w:rsidP="004112CE">
      <w:pPr>
        <w:pStyle w:val="SWCText"/>
        <w:rPr>
          <w:lang w:val="en-GB"/>
        </w:rPr>
      </w:pPr>
      <w:r>
        <w:rPr>
          <w:lang w:val="en-GB"/>
        </w:rPr>
        <w:fldChar w:fldCharType="begin"/>
      </w:r>
      <w:r>
        <w:rPr>
          <w:lang w:val="en-GB"/>
        </w:rPr>
        <w:instrText xml:space="preserve"> REF _Ref238904653 \h </w:instrText>
      </w:r>
      <w:r>
        <w:rPr>
          <w:lang w:val="en-GB"/>
        </w:rPr>
      </w:r>
      <w:r>
        <w:rPr>
          <w:lang w:val="en-GB"/>
        </w:rPr>
        <w:fldChar w:fldCharType="separate"/>
      </w:r>
      <w:r w:rsidR="001F342F" w:rsidRPr="00110867">
        <w:t xml:space="preserve">Figure </w:t>
      </w:r>
      <w:r w:rsidR="001F342F">
        <w:rPr>
          <w:noProof/>
        </w:rPr>
        <w:t>16</w:t>
      </w:r>
      <w:r>
        <w:rPr>
          <w:lang w:val="en-GB"/>
        </w:rPr>
        <w:fldChar w:fldCharType="end"/>
      </w:r>
      <w:r>
        <w:rPr>
          <w:lang w:val="en-GB"/>
        </w:rPr>
        <w:t xml:space="preserve"> </w:t>
      </w:r>
      <w:r w:rsidR="00507B8D" w:rsidRPr="00507B8D">
        <w:rPr>
          <w:lang w:val="en-GB"/>
        </w:rPr>
        <w:t xml:space="preserve">presents the monthly </w:t>
      </w:r>
      <w:r w:rsidR="00410758">
        <w:rPr>
          <w:lang w:val="en-GB"/>
        </w:rPr>
        <w:t>heat</w:t>
      </w:r>
      <w:r w:rsidR="00507B8D" w:rsidRPr="00507B8D">
        <w:rPr>
          <w:lang w:val="en-GB"/>
        </w:rPr>
        <w:t xml:space="preserve"> </w:t>
      </w:r>
      <w:r w:rsidR="00410758">
        <w:rPr>
          <w:lang w:val="en-GB"/>
        </w:rPr>
        <w:t>output</w:t>
      </w:r>
      <w:r w:rsidR="00507B8D" w:rsidRPr="00507B8D">
        <w:rPr>
          <w:lang w:val="en-GB"/>
        </w:rPr>
        <w:t xml:space="preserve"> and incident solar irradiation when the PVT collectors operate as solar thermal collectors, i.e., when brine is circulated through the collectors. The corresponding thermal conversion efficiency is also shown. Over the 12-month period, the total solar irradiation incident on the PVT collector surface during these operating periods was 35,416 kWh, resulting in a thermal conversion efficiency of approximately 44%. However, the PVT collectors also operate as air-source collectors. This is particularly evident in December, when the calculated monthly thermal conversion efficiency exceeded 100%, as the </w:t>
      </w:r>
      <w:r w:rsidR="002A66A6">
        <w:rPr>
          <w:lang w:val="en-GB"/>
        </w:rPr>
        <w:t>heat</w:t>
      </w:r>
      <w:r w:rsidR="00507B8D" w:rsidRPr="00507B8D">
        <w:rPr>
          <w:lang w:val="en-GB"/>
        </w:rPr>
        <w:t xml:space="preserve"> extracted from the ambient air is not included in the incident solar irradiation.</w:t>
      </w:r>
    </w:p>
    <w:p w14:paraId="440078E3" w14:textId="77777777" w:rsidR="00110867" w:rsidRDefault="004112CE" w:rsidP="00110867">
      <w:pPr>
        <w:pStyle w:val="SWCText"/>
        <w:keepNext/>
        <w:jc w:val="center"/>
      </w:pPr>
      <w:r>
        <w:rPr>
          <w:noProof/>
        </w:rPr>
        <w:drawing>
          <wp:inline distT="0" distB="0" distL="0" distR="0" wp14:anchorId="28F4CC23" wp14:editId="6E36708A">
            <wp:extent cx="5640779" cy="2719449"/>
            <wp:effectExtent l="0" t="0" r="17145" b="5080"/>
            <wp:docPr id="228118967" name="Diagramm 1">
              <a:extLst xmlns:a="http://schemas.openxmlformats.org/drawingml/2006/main">
                <a:ext uri="{FF2B5EF4-FFF2-40B4-BE49-F238E27FC236}">
                  <a16:creationId xmlns:a16="http://schemas.microsoft.com/office/drawing/2014/main" id="{F19ED304-AC19-407F-81FB-3B294B0D4F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F53F331" w14:textId="45067933" w:rsidR="004112CE" w:rsidRPr="00110867" w:rsidRDefault="00110867" w:rsidP="0061154C">
      <w:pPr>
        <w:pStyle w:val="SWCTableFigureCaption"/>
      </w:pPr>
      <w:bookmarkStart w:id="19" w:name="_Ref238904653"/>
      <w:r w:rsidRPr="00110867">
        <w:t xml:space="preserve">Figure </w:t>
      </w:r>
      <w:r>
        <w:fldChar w:fldCharType="begin"/>
      </w:r>
      <w:r w:rsidRPr="00110867">
        <w:instrText xml:space="preserve"> SEQ Figure \* ARABIC </w:instrText>
      </w:r>
      <w:r>
        <w:fldChar w:fldCharType="separate"/>
      </w:r>
      <w:r w:rsidR="001F342F">
        <w:rPr>
          <w:noProof/>
        </w:rPr>
        <w:t>16</w:t>
      </w:r>
      <w:r>
        <w:fldChar w:fldCharType="end"/>
      </w:r>
      <w:bookmarkEnd w:id="19"/>
      <w:r w:rsidRPr="00110867">
        <w:t>. Monthly PVT heat outpu</w:t>
      </w:r>
      <w:r>
        <w:t>t</w:t>
      </w:r>
      <w:r w:rsidRPr="00110867">
        <w:t>, incident solar irradiation, and thermal conversion efficiency during operation.</w:t>
      </w:r>
    </w:p>
    <w:p w14:paraId="1AF160B2" w14:textId="60B7749F" w:rsidR="00CF2580" w:rsidRDefault="00123629" w:rsidP="003A6664">
      <w:pPr>
        <w:pStyle w:val="SWCHeading11"/>
      </w:pPr>
      <w:r>
        <w:lastRenderedPageBreak/>
        <w:t>3.4 System Efficiency</w:t>
      </w:r>
    </w:p>
    <w:p w14:paraId="6A6935C6" w14:textId="47A8875D" w:rsidR="00CF2580" w:rsidRDefault="00CF2580" w:rsidP="00CF2580">
      <w:pPr>
        <w:pStyle w:val="SWCText"/>
      </w:pPr>
      <w:r>
        <w:t xml:space="preserve">The </w:t>
      </w:r>
      <w:r w:rsidR="001D0FEB">
        <w:t xml:space="preserve">HPPVT </w:t>
      </w:r>
      <w:r>
        <w:t>system efficiency is evaluated using the Seasonal Performance Factor (SPF), defined as the ratio of the useful heat generated to the corresponding final energy consumption.</w:t>
      </w:r>
      <w:r w:rsidR="00FF6828">
        <w:t xml:space="preserve"> </w:t>
      </w:r>
      <w:r w:rsidR="00FF6828" w:rsidRPr="00FF6828">
        <w:t>Two specific SPF definitions are assessed:</w:t>
      </w:r>
    </w:p>
    <w:p w14:paraId="66299FFD" w14:textId="06E6A1F1" w:rsidR="00FF6828" w:rsidRDefault="00CF2580" w:rsidP="00CF2580">
      <w:pPr>
        <w:pStyle w:val="SWCBulletedList"/>
      </w:pPr>
      <w:commentRangeStart w:id="20"/>
      <w:r>
        <w:t xml:space="preserve">Electrical </w:t>
      </w:r>
      <w:r w:rsidR="00016A0B">
        <w:t>H</w:t>
      </w:r>
      <w:r>
        <w:t xml:space="preserve">eat </w:t>
      </w:r>
      <w:r w:rsidR="00016A0B">
        <w:t>G</w:t>
      </w:r>
      <w:r>
        <w:t>enerator</w:t>
      </w:r>
      <w:r w:rsidR="00FF6828">
        <w:t>s</w:t>
      </w:r>
      <w:r>
        <w:t xml:space="preserve"> SPF: </w:t>
      </w:r>
      <w:r w:rsidR="00FF6828" w:rsidRPr="00FF6828">
        <w:t>This metric accounts for the combined heat output of the heat pump (18</w:t>
      </w:r>
      <w:r w:rsidR="00016A0B">
        <w:t>,</w:t>
      </w:r>
      <w:r w:rsidR="00FF6828" w:rsidRPr="00FF6828">
        <w:t>140 kWh) and the heating rod (3</w:t>
      </w:r>
      <w:r w:rsidR="00016A0B">
        <w:t>,</w:t>
      </w:r>
      <w:r w:rsidR="00FF6828" w:rsidRPr="00FF6828">
        <w:t>549 kWh), divided by their total electricity consumption (6</w:t>
      </w:r>
      <w:r w:rsidR="00016A0B">
        <w:t>,</w:t>
      </w:r>
      <w:r w:rsidR="00FF6828" w:rsidRPr="00FF6828">
        <w:t>301 kWh and 3</w:t>
      </w:r>
      <w:r w:rsidR="00016A0B">
        <w:t>,</w:t>
      </w:r>
      <w:r w:rsidR="00FF6828" w:rsidRPr="00FF6828">
        <w:t>622 kWh, respectively), yielding an overall SPF of 2.</w:t>
      </w:r>
      <w:r w:rsidR="00C26652">
        <w:t>2</w:t>
      </w:r>
      <w:r w:rsidR="00FF6828" w:rsidRPr="00FF6828">
        <w:t>.</w:t>
      </w:r>
      <w:r w:rsidR="00C26652">
        <w:t xml:space="preserve"> The high difference compared to the SPF of the heat pump only can mostly be attributed to the extended operation of the heating rod for self-consumption of PV electricity.</w:t>
      </w:r>
      <w:r w:rsidR="00EA5ACD">
        <w:t xml:space="preserve"> Excluding periods with this operation mode yields a</w:t>
      </w:r>
      <w:r w:rsidR="00F52140">
        <w:t>n electric</w:t>
      </w:r>
      <w:r w:rsidR="00EA5ACD">
        <w:t xml:space="preserve"> system SPF of 2.6.</w:t>
      </w:r>
    </w:p>
    <w:commentRangeEnd w:id="20"/>
    <w:p w14:paraId="4D9CA463" w14:textId="158E3733" w:rsidR="00CF2580" w:rsidRDefault="00B21860" w:rsidP="00CF2580">
      <w:pPr>
        <w:pStyle w:val="SWCBulletedList"/>
      </w:pPr>
      <w:r w:rsidRPr="00016A0B">
        <w:rPr>
          <w:rStyle w:val="Kommentarzeichen"/>
          <w:sz w:val="20"/>
          <w:szCs w:val="22"/>
        </w:rPr>
        <w:commentReference w:id="20"/>
      </w:r>
      <w:r w:rsidR="00016A0B" w:rsidRPr="00016A0B">
        <w:t>Grid-Specific Electrical</w:t>
      </w:r>
      <w:r w:rsidR="00016A0B">
        <w:t xml:space="preserve"> Heat Generators</w:t>
      </w:r>
      <w:r w:rsidR="00016A0B" w:rsidRPr="00016A0B">
        <w:t xml:space="preserve"> SPF: This metric isolates imported electricity from the grid (4574 kWh for the heat pump and 992 kWh for the heating rod), highlighting the influence of on-site photovoltaic self-consumption on system performance.</w:t>
      </w:r>
      <w:r w:rsidR="00016A0B">
        <w:t xml:space="preserve"> </w:t>
      </w:r>
      <w:r w:rsidR="00737B84">
        <w:t>The r</w:t>
      </w:r>
      <w:r w:rsidR="00016A0B">
        <w:t xml:space="preserve">esulting SPF </w:t>
      </w:r>
      <w:r w:rsidR="00737B84">
        <w:t>is</w:t>
      </w:r>
      <w:r w:rsidR="00016A0B">
        <w:t xml:space="preserve"> 3.9.</w:t>
      </w:r>
    </w:p>
    <w:p w14:paraId="3C80C453" w14:textId="56E1437B" w:rsidR="00072669" w:rsidRDefault="00E21088" w:rsidP="00F94A69">
      <w:pPr>
        <w:pStyle w:val="SWCHeading1"/>
      </w:pPr>
      <w:r>
        <w:t>Conclusions and Outlook</w:t>
      </w:r>
    </w:p>
    <w:p w14:paraId="5B0A63C4" w14:textId="0065C640" w:rsidR="00072669" w:rsidRDefault="00072669" w:rsidP="00072669">
      <w:pPr>
        <w:pStyle w:val="SWCText"/>
      </w:pPr>
      <w:r>
        <w:t xml:space="preserve">The 12-month field evaluation demonstrated the feasibility of the investigated heat pump system with a hybrid heat source combining PVT collectors and ice storage for residential heating. The PVT collectors were the dominant heat source throughout the year, while the ice storage provided complementary heat, particularly during periods of limited PVT availability. </w:t>
      </w:r>
    </w:p>
    <w:p w14:paraId="37239FFD" w14:textId="74FE6D9B" w:rsidR="00072669" w:rsidRDefault="00072669" w:rsidP="00072669">
      <w:pPr>
        <w:pStyle w:val="SWCText"/>
      </w:pPr>
      <w:r>
        <w:t xml:space="preserve">The field operation also revealed important limitations during winter. </w:t>
      </w:r>
      <w:r w:rsidR="00B969EA">
        <w:t xml:space="preserve">The rear insulation of the PVT collectors and the minimum brine temperature limit of −5 °C restricted their operation as ambient-air heat source at low outdoor temperatures. </w:t>
      </w:r>
      <w:r w:rsidR="00B21860">
        <w:t>Under these conditions</w:t>
      </w:r>
      <w:r w:rsidR="00EB40A2">
        <w:t>, t</w:t>
      </w:r>
      <w:r>
        <w:t>he 5.2 m³ ice storage was insufficient to provide the required heat storage capacity during the coldest periods</w:t>
      </w:r>
      <w:r w:rsidR="00FB7F34">
        <w:t xml:space="preserve">. </w:t>
      </w:r>
      <w:r w:rsidR="00B969EA">
        <w:t>To ease the</w:t>
      </w:r>
      <w:r w:rsidR="00B21860">
        <w:t>se limitatoins</w:t>
      </w:r>
      <w:r w:rsidR="00B969EA">
        <w:t xml:space="preserve">, the control strategy prioritized the PVT collectors and preserved the ice storage for periods when PVT operation was constrained by the minimum </w:t>
      </w:r>
      <w:r w:rsidR="00EB40A2">
        <w:t xml:space="preserve">brine </w:t>
      </w:r>
      <w:r w:rsidR="00B969EA">
        <w:t xml:space="preserve">temperature limit. </w:t>
      </w:r>
      <w:r w:rsidR="003A6664">
        <w:t>Moreover</w:t>
      </w:r>
      <w:r w:rsidR="00B969EA">
        <w:t xml:space="preserve">, the </w:t>
      </w:r>
      <w:r w:rsidR="00B969EA" w:rsidRPr="00B969EA">
        <w:rPr>
          <w:i/>
          <w:iCs/>
        </w:rPr>
        <w:t>PVT-to-HP-to-ICE serial</w:t>
      </w:r>
      <w:r w:rsidR="00B969EA">
        <w:t xml:space="preserve"> operating mode enabled </w:t>
      </w:r>
      <w:r w:rsidR="003A6664">
        <w:t>additional</w:t>
      </w:r>
      <w:r w:rsidR="00B969EA">
        <w:t xml:space="preserve"> ice storage regeneration during winter. Although these strategies </w:t>
      </w:r>
      <w:r w:rsidR="00EB40A2">
        <w:t>reduce</w:t>
      </w:r>
      <w:r w:rsidR="00B969EA">
        <w:t xml:space="preserve"> the heat source temperature of the heat pump and therefore </w:t>
      </w:r>
      <w:r w:rsidR="00EB40A2">
        <w:t>compromise</w:t>
      </w:r>
      <w:r w:rsidR="00B969EA">
        <w:t xml:space="preserve"> heat pump efficiency, it was beneficial for maintaining the availability of the ice storage during the coldest periods when PVT operation was limited.</w:t>
      </w:r>
      <w:r w:rsidR="00EB40A2">
        <w:t xml:space="preserve"> Nevertheless, due to </w:t>
      </w:r>
      <w:r w:rsidR="003A6664">
        <w:t>the exposed</w:t>
      </w:r>
      <w:r w:rsidR="00EB40A2">
        <w:t xml:space="preserve"> limitations</w:t>
      </w:r>
      <w:r w:rsidR="0065128A">
        <w:t>,</w:t>
      </w:r>
      <w:r w:rsidR="00EB40A2">
        <w:t xml:space="preserve"> </w:t>
      </w:r>
      <w:r w:rsidR="0065128A">
        <w:t xml:space="preserve">the heat source system could not provide enough heat to </w:t>
      </w:r>
      <w:r>
        <w:t xml:space="preserve">the heat pump during several winter periods, </w:t>
      </w:r>
      <w:r w:rsidR="0065128A">
        <w:t xml:space="preserve">and the </w:t>
      </w:r>
      <w:r>
        <w:t xml:space="preserve">gas boiler </w:t>
      </w:r>
      <w:r w:rsidR="0065128A">
        <w:t xml:space="preserve">was required </w:t>
      </w:r>
      <w:r>
        <w:t>as backup.</w:t>
      </w:r>
    </w:p>
    <w:p w14:paraId="4FB20088" w14:textId="68C0733B" w:rsidR="00072669" w:rsidRDefault="00072669" w:rsidP="00072669">
      <w:pPr>
        <w:pStyle w:val="SWCText"/>
      </w:pPr>
      <w:r>
        <w:t xml:space="preserve">Future work will focus on improving the PVT collector design and heat source control. PVT collectors used as heat sources for heat pumps should avoid rear insulation and allow substantially lower minimum brine temperatures. These modifications </w:t>
      </w:r>
      <w:r w:rsidR="003A6664">
        <w:t>must</w:t>
      </w:r>
      <w:r>
        <w:t xml:space="preserve"> be investigated with the aim of increasing winter heat pump availability and reducing the dependence on backup heating.</w:t>
      </w:r>
    </w:p>
    <w:p w14:paraId="0FA99256" w14:textId="1B83DDDE" w:rsidR="00B21860" w:rsidRDefault="00B21860" w:rsidP="00D712E8">
      <w:pPr>
        <w:pStyle w:val="SWCHeading1"/>
      </w:pPr>
      <w:r>
        <w:t>Acknowledgements</w:t>
      </w:r>
    </w:p>
    <w:p w14:paraId="14C01DF9" w14:textId="5DFAA692" w:rsidR="00B21860" w:rsidRPr="00B21860" w:rsidRDefault="00B21860" w:rsidP="00776DA6">
      <w:pPr>
        <w:pStyle w:val="SWCText"/>
      </w:pPr>
      <w:r w:rsidRPr="00B21860">
        <w:t xml:space="preserve">The </w:t>
      </w:r>
      <w:r>
        <w:t>work</w:t>
      </w:r>
      <w:r w:rsidRPr="00B21860">
        <w:t xml:space="preserve"> presented in this paper received funding from the German Federal Ministry of Economic Affairs and Climate Action (BMWK) under the grant agreement number FKZ 03EN4016A (HPPVT40).</w:t>
      </w:r>
      <w:r>
        <w:t xml:space="preserve"> The authors acknowledge the good cooperation with the project partners </w:t>
      </w:r>
      <w:r w:rsidRPr="00B21860">
        <w:t>ino Wärmepumpen GmbH</w:t>
      </w:r>
      <w:r>
        <w:t xml:space="preserve">, </w:t>
      </w:r>
      <w:r w:rsidRPr="00B21860">
        <w:t>res – regenerative energietechnik und -systeme GmbH</w:t>
      </w:r>
      <w:r>
        <w:t xml:space="preserve"> and goodmen energy GmbH.</w:t>
      </w:r>
    </w:p>
    <w:p w14:paraId="3E9F7CB3" w14:textId="616550BD" w:rsidR="00D712E8" w:rsidRDefault="00D712E8" w:rsidP="00D712E8">
      <w:pPr>
        <w:pStyle w:val="SWCHeading1"/>
      </w:pPr>
      <w:r>
        <w:t>References</w:t>
      </w:r>
    </w:p>
    <w:p w14:paraId="0FF9DF2D" w14:textId="77777777" w:rsidR="00314299" w:rsidRPr="00314299" w:rsidRDefault="00314299" w:rsidP="00314299">
      <w:pPr>
        <w:pStyle w:val="SWCText"/>
        <w:rPr>
          <w:lang w:val="de-DE"/>
        </w:rPr>
      </w:pPr>
      <w:r w:rsidRPr="00314299">
        <w:rPr>
          <w:lang w:val="de-DE"/>
        </w:rPr>
        <w:t>Bavia Bampi, B., Knapp, T., Pröll, M., Nienborg, B., 2023. Untersuchung von PVT-Wärmepumpen-Systemen mit Quellspeicher, in: 33. Symposium Solarthermie und Innovative Wärmesysteme 2023. DOI: 10.24406/publica-4025.</w:t>
      </w:r>
    </w:p>
    <w:p w14:paraId="04525A47" w14:textId="01BB25FB" w:rsidR="00314299" w:rsidRDefault="00314299" w:rsidP="00314299">
      <w:pPr>
        <w:pStyle w:val="SWCText"/>
      </w:pPr>
      <w:r w:rsidRPr="00314299">
        <w:rPr>
          <w:lang w:val="de-DE"/>
        </w:rPr>
        <w:t xml:space="preserve">Chhugani, B., Pärisch, P., Helmling, S., Giovannetti, F., 2022. </w:t>
      </w:r>
      <w:r>
        <w:t>Comparison of PVT - heat pump systems with reference systems for the energy supply of a single-family house. Solar Energy Advances. 3, 100031. DOI: 10.1016/j.seja.2022.100031.</w:t>
      </w:r>
    </w:p>
    <w:p w14:paraId="3DA82F7E" w14:textId="03ACB321" w:rsidR="00314299" w:rsidRPr="00314299" w:rsidRDefault="00314299" w:rsidP="00314299">
      <w:pPr>
        <w:pStyle w:val="SWCText"/>
        <w:rPr>
          <w:lang w:val="de-DE"/>
        </w:rPr>
      </w:pPr>
      <w:r w:rsidRPr="00006AA1">
        <w:t xml:space="preserve">Chhugani, B., Pärisch, P., Giovannetti, F., 2023. </w:t>
      </w:r>
      <w:r>
        <w:t xml:space="preserve">Photovoltaic-Thermal (PVT) collectors as monovalent or </w:t>
      </w:r>
      <w:r>
        <w:lastRenderedPageBreak/>
        <w:t xml:space="preserve">bivalent heat sources for heat pumps in new multi-family houses, in: Proceedings of the ISES Solar World Congress (SWC 2023). pp. 1–9. </w:t>
      </w:r>
      <w:r w:rsidRPr="00314299">
        <w:rPr>
          <w:lang w:val="de-DE"/>
        </w:rPr>
        <w:t>DOI: 10.18086/swc.2023.04.03.</w:t>
      </w:r>
    </w:p>
    <w:p w14:paraId="50528D06" w14:textId="34D44D04" w:rsidR="00314299" w:rsidRDefault="00314299" w:rsidP="00314299">
      <w:pPr>
        <w:pStyle w:val="SWCText"/>
      </w:pPr>
      <w:r w:rsidRPr="00314299">
        <w:rPr>
          <w:lang w:val="de-DE"/>
        </w:rPr>
        <w:t xml:space="preserve">Diewald, K., Beckschulte, M., Fugmann, H., Schnabel, L., Thomas, C., 2023. Kondensatordesign in einem thermischen Speicher für eine R290 Wärmepumpe, in: Deutsche Kälte- und Klimatagung 2023. </w:t>
      </w:r>
      <w:r>
        <w:t>Available from: https://publica.fraunhofer.de/entities/publication/5c4ee7c9-51df-41cc-a2f4-adc9a72e724c (Accessed August 2026).</w:t>
      </w:r>
    </w:p>
    <w:p w14:paraId="32DFDF2D" w14:textId="4F9B6A14" w:rsidR="00314299" w:rsidRDefault="00314299" w:rsidP="00314299">
      <w:pPr>
        <w:pStyle w:val="SWCText"/>
      </w:pPr>
      <w:r w:rsidRPr="00314299">
        <w:rPr>
          <w:lang w:val="de-DE"/>
        </w:rPr>
        <w:t xml:space="preserve">Diewald, K., Schnabel, L., Fugmann, H., Thomas, C., 2024. </w:t>
      </w:r>
      <w:r>
        <w:t xml:space="preserve">Innovative Condenser - Storage Tank - Concept for Residential Heat Pumps, in: 8th International High Performance Buildings Conference at Purdue 2024. DOI: 10.24406/H-522305. </w:t>
      </w:r>
    </w:p>
    <w:p w14:paraId="6F8F9E44" w14:textId="6E79B059" w:rsidR="00314299" w:rsidRPr="00006AA1" w:rsidRDefault="00314299" w:rsidP="00314299">
      <w:pPr>
        <w:pStyle w:val="SWCText"/>
        <w:rPr>
          <w:lang w:val="de-DE"/>
        </w:rPr>
      </w:pPr>
      <w:r>
        <w:t xml:space="preserve">Khamidov, D., Bavia Bampi, B., Frison, L., Nienborg, B., 2024. Model Predictive Control of a Heat Pump System Integrated with PVT Collectors and Ice Storage, in: Proceedings of EuroSun 2024. ISES and IEA SHC 15th International Conference on Solar Energy for Buildings and Industry. </w:t>
      </w:r>
      <w:r w:rsidRPr="00006AA1">
        <w:rPr>
          <w:lang w:val="de-DE"/>
        </w:rPr>
        <w:t>DOI: 10.18086/eurosun.2024.01.06.</w:t>
      </w:r>
    </w:p>
    <w:p w14:paraId="609BC846" w14:textId="36AB3365" w:rsidR="00314299" w:rsidRPr="00006AA1" w:rsidRDefault="00314299" w:rsidP="00314299">
      <w:pPr>
        <w:pStyle w:val="SWCText"/>
      </w:pPr>
      <w:r w:rsidRPr="00314299">
        <w:rPr>
          <w:lang w:val="de-DE"/>
        </w:rPr>
        <w:t xml:space="preserve">Kramer, K.S., Mehnert, S., Munz, G., Helmling, S., Lämmle, M., 2023. </w:t>
      </w:r>
      <w:r>
        <w:t xml:space="preserve">Photovoltaic Thermal Technology Collectors, Systems, and Applications. Energy Technology. 11 (12), 2300378. </w:t>
      </w:r>
      <w:r w:rsidRPr="00006AA1">
        <w:t xml:space="preserve">DOI: </w:t>
      </w:r>
      <w:r w:rsidR="00240067" w:rsidRPr="00006AA1">
        <w:t>https://doi.org/10.1002/ente.202300378</w:t>
      </w:r>
      <w:r w:rsidRPr="00006AA1">
        <w:t>.</w:t>
      </w:r>
    </w:p>
    <w:p w14:paraId="2621461C" w14:textId="049CF65E" w:rsidR="00240067" w:rsidRDefault="00240067" w:rsidP="00314299">
      <w:pPr>
        <w:pStyle w:val="SWCText"/>
      </w:pPr>
      <w:r w:rsidRPr="00314299">
        <w:rPr>
          <w:lang w:val="de-DE"/>
        </w:rPr>
        <w:t xml:space="preserve">Kramer, K., Helmling, S., </w:t>
      </w:r>
      <w:r>
        <w:rPr>
          <w:lang w:val="de-DE"/>
        </w:rPr>
        <w:t>2024</w:t>
      </w:r>
      <w:r w:rsidRPr="00314299">
        <w:rPr>
          <w:lang w:val="de-DE"/>
        </w:rPr>
        <w:t xml:space="preserve">. IntegraTE: Initiative zur Marktetablierung und Verbreitung von Anlagen zur thermisch-elektrischen Energieversorgung mittels PVT-Kollektoren und Wärmepumpen im Gebäudesektor. </w:t>
      </w:r>
      <w:r>
        <w:t>Available from: https://wp-monitoring.ise.fraunhofer.de/integrate/german/index/Medien.html (Accessed August 2026).</w:t>
      </w:r>
    </w:p>
    <w:p w14:paraId="7CF40AFD" w14:textId="535F1526" w:rsidR="00D712E8" w:rsidRPr="00D712E8" w:rsidRDefault="00314299" w:rsidP="00314299">
      <w:pPr>
        <w:pStyle w:val="SWCText"/>
      </w:pPr>
      <w:r>
        <w:t>Lämmle, M., Herrando, M., Ryan, G., 2020. Basic Concepts of PVT Collector Technologies, Applications and Markets (Report D5 of IEA SHC Task 60). International Energy Agency Solar Heating and Cooling Programme (IEA SHC). Available from: https://www.iea-shc.org/Data/Sites/1/publications/IEA-SHC-Task60-D5-Basic-Concepts-of-PVT-Technologies.pdf (Accessed August 30, 2026).</w:t>
      </w:r>
    </w:p>
    <w:sectPr w:rsidR="00D712E8" w:rsidRPr="00D712E8" w:rsidSect="00745729">
      <w:footnotePr>
        <w:numRestart w:val="eachPage"/>
      </w:footnotePr>
      <w:pgSz w:w="11908" w:h="16838"/>
      <w:pgMar w:top="1078" w:right="1440" w:bottom="1440" w:left="1701" w:header="284" w:footer="284"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Nienborg, Björn" w:date="2026-08-31T14:22:00Z" w:initials="BN">
    <w:p w14:paraId="56A93AAB" w14:textId="77777777" w:rsidR="007B64DB" w:rsidRDefault="007B64DB" w:rsidP="007B64DB">
      <w:pPr>
        <w:pStyle w:val="Kommentartext"/>
      </w:pPr>
      <w:r>
        <w:rPr>
          <w:rStyle w:val="Kommentarzeichen"/>
        </w:rPr>
        <w:annotationRef/>
      </w:r>
      <w:r>
        <w:t>Foto ergänzen?</w:t>
      </w:r>
    </w:p>
  </w:comment>
  <w:comment w:id="2" w:author="Nienborg, Björn" w:date="2026-09-01T10:46:00Z" w:initials="BN">
    <w:p w14:paraId="211741F3" w14:textId="77777777" w:rsidR="00B21860" w:rsidRDefault="00B21860" w:rsidP="00B21860">
      <w:pPr>
        <w:pStyle w:val="Kommentartext"/>
      </w:pPr>
      <w:r>
        <w:rPr>
          <w:rStyle w:val="Kommentarzeichen"/>
        </w:rPr>
        <w:annotationRef/>
      </w:r>
      <w:r>
        <w:t>"</w:t>
      </w:r>
      <w:hyperlink r:id="rId1" w:history="1">
        <w:r w:rsidRPr="008F5DA1">
          <w:rPr>
            <w:rStyle w:val="Hyperlink"/>
          </w:rPr>
          <w:t>R:\23502\6\1300\Aktuelle_Projekte\10-07559-HP-PVT4.0\7_Vorarbeiten_Interne_Ergebnisse\Arbeitsergebnisse_Messergebnisse\AP5\Fotos\PT7\20250401_153842-mod.png</w:t>
        </w:r>
      </w:hyperlink>
      <w:r>
        <w:t>"</w:t>
      </w:r>
    </w:p>
  </w:comment>
  <w:comment w:id="20" w:author="Nienborg, Björn" w:date="2026-09-01T10:50:00Z" w:initials="BN">
    <w:p w14:paraId="4F83AF5F" w14:textId="77777777" w:rsidR="00B21860" w:rsidRDefault="00B21860" w:rsidP="00B21860">
      <w:pPr>
        <w:pStyle w:val="Kommentartext"/>
      </w:pPr>
      <w:r>
        <w:rPr>
          <w:rStyle w:val="Kommentarzeichen"/>
        </w:rPr>
        <w:annotationRef/>
      </w:r>
      <w:r>
        <w:t>Bitte noch SPF bezogen auf Netzbezug ergänzen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A93AAB" w15:done="1"/>
  <w15:commentEx w15:paraId="211741F3" w15:paraIdParent="56A93AAB" w15:done="1"/>
  <w15:commentEx w15:paraId="4F83AF5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357B83" w16cex:dateUtc="2026-08-31T12:22:00Z"/>
  <w16cex:commentExtensible w16cex:durableId="080DEEA2" w16cex:dateUtc="2026-09-01T08:46:00Z"/>
  <w16cex:commentExtensible w16cex:durableId="5961AD19" w16cex:dateUtc="2026-09-01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A93AAB" w16cid:durableId="6C357B83"/>
  <w16cid:commentId w16cid:paraId="211741F3" w16cid:durableId="080DEEA2"/>
  <w16cid:commentId w16cid:paraId="4F83AF5F" w16cid:durableId="5961AD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B589" w14:textId="77777777" w:rsidR="00BD6ECD" w:rsidRDefault="00BD6ECD">
      <w:r>
        <w:separator/>
      </w:r>
    </w:p>
  </w:endnote>
  <w:endnote w:type="continuationSeparator" w:id="0">
    <w:p w14:paraId="7C7CFA4B" w14:textId="77777777" w:rsidR="00BD6ECD" w:rsidRDefault="00BD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D74E1" w14:textId="77777777" w:rsidR="00BD6ECD" w:rsidRDefault="00BD6ECD">
      <w:r>
        <w:separator/>
      </w:r>
    </w:p>
  </w:footnote>
  <w:footnote w:type="continuationSeparator" w:id="0">
    <w:p w14:paraId="4CA58435" w14:textId="77777777" w:rsidR="00BD6ECD" w:rsidRDefault="00BD6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C781B03"/>
    <w:multiLevelType w:val="hybridMultilevel"/>
    <w:tmpl w:val="E362B8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350540"/>
    <w:multiLevelType w:val="hybridMultilevel"/>
    <w:tmpl w:val="B202976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4"/>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0"/>
  </w:num>
  <w:num w:numId="12" w16cid:durableId="355472642">
    <w:abstractNumId w:val="16"/>
  </w:num>
  <w:num w:numId="13" w16cid:durableId="311523580">
    <w:abstractNumId w:val="6"/>
    <w:lvlOverride w:ilvl="0">
      <w:startOverride w:val="1"/>
    </w:lvlOverride>
  </w:num>
  <w:num w:numId="14" w16cid:durableId="1496726486">
    <w:abstractNumId w:val="19"/>
  </w:num>
  <w:num w:numId="15" w16cid:durableId="1806385346">
    <w:abstractNumId w:val="7"/>
  </w:num>
  <w:num w:numId="16" w16cid:durableId="1758162859">
    <w:abstractNumId w:val="15"/>
  </w:num>
  <w:num w:numId="17" w16cid:durableId="569772207">
    <w:abstractNumId w:val="18"/>
  </w:num>
  <w:num w:numId="18" w16cid:durableId="1080835087">
    <w:abstractNumId w:val="22"/>
  </w:num>
  <w:num w:numId="19" w16cid:durableId="1514802717">
    <w:abstractNumId w:val="9"/>
  </w:num>
  <w:num w:numId="20" w16cid:durableId="1328480391">
    <w:abstractNumId w:val="8"/>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135806865">
    <w:abstractNumId w:val="13"/>
  </w:num>
  <w:num w:numId="26" w16cid:durableId="189288291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enborg, Björn">
    <w15:presenceInfo w15:providerId="AD" w15:userId="S::bjoern.nienborg@ise.fraunhofer.de::1dd307b9-3c54-4db8-8765-386b5b5b87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4701"/>
    <w:rsid w:val="00005037"/>
    <w:rsid w:val="000067DB"/>
    <w:rsid w:val="00006839"/>
    <w:rsid w:val="00006AA1"/>
    <w:rsid w:val="00007AD6"/>
    <w:rsid w:val="00010262"/>
    <w:rsid w:val="000125A5"/>
    <w:rsid w:val="00016A0B"/>
    <w:rsid w:val="0004235D"/>
    <w:rsid w:val="0004467F"/>
    <w:rsid w:val="00047077"/>
    <w:rsid w:val="000533E4"/>
    <w:rsid w:val="000534F5"/>
    <w:rsid w:val="00053E02"/>
    <w:rsid w:val="000555B9"/>
    <w:rsid w:val="00055DB9"/>
    <w:rsid w:val="00057B5E"/>
    <w:rsid w:val="00065AD3"/>
    <w:rsid w:val="00066B26"/>
    <w:rsid w:val="000678AC"/>
    <w:rsid w:val="000712A1"/>
    <w:rsid w:val="00072669"/>
    <w:rsid w:val="00074DBF"/>
    <w:rsid w:val="00076E47"/>
    <w:rsid w:val="00092ED5"/>
    <w:rsid w:val="00096CB1"/>
    <w:rsid w:val="000A05E2"/>
    <w:rsid w:val="000A0ADB"/>
    <w:rsid w:val="000A30A5"/>
    <w:rsid w:val="000A36B5"/>
    <w:rsid w:val="000A52A1"/>
    <w:rsid w:val="000B04BE"/>
    <w:rsid w:val="000B1F4D"/>
    <w:rsid w:val="000C2344"/>
    <w:rsid w:val="000C3A88"/>
    <w:rsid w:val="000D0C07"/>
    <w:rsid w:val="000D6E1A"/>
    <w:rsid w:val="000E1855"/>
    <w:rsid w:val="000E2F14"/>
    <w:rsid w:val="000F739B"/>
    <w:rsid w:val="0010501A"/>
    <w:rsid w:val="00110867"/>
    <w:rsid w:val="00110D84"/>
    <w:rsid w:val="00123629"/>
    <w:rsid w:val="00141863"/>
    <w:rsid w:val="00143BB4"/>
    <w:rsid w:val="001506D4"/>
    <w:rsid w:val="0015090D"/>
    <w:rsid w:val="00153386"/>
    <w:rsid w:val="00155FB8"/>
    <w:rsid w:val="00157CE5"/>
    <w:rsid w:val="0016074E"/>
    <w:rsid w:val="00162EA2"/>
    <w:rsid w:val="001642F5"/>
    <w:rsid w:val="001647D2"/>
    <w:rsid w:val="00166C42"/>
    <w:rsid w:val="00172BCB"/>
    <w:rsid w:val="00176EF6"/>
    <w:rsid w:val="00184CF2"/>
    <w:rsid w:val="001904A7"/>
    <w:rsid w:val="00190BDA"/>
    <w:rsid w:val="0019232E"/>
    <w:rsid w:val="00194E9A"/>
    <w:rsid w:val="001968B5"/>
    <w:rsid w:val="001969B9"/>
    <w:rsid w:val="001A117A"/>
    <w:rsid w:val="001A775B"/>
    <w:rsid w:val="001A7F40"/>
    <w:rsid w:val="001B13D6"/>
    <w:rsid w:val="001B13F5"/>
    <w:rsid w:val="001B6BCF"/>
    <w:rsid w:val="001B7B01"/>
    <w:rsid w:val="001C2B5E"/>
    <w:rsid w:val="001C3A3D"/>
    <w:rsid w:val="001C63A2"/>
    <w:rsid w:val="001C6589"/>
    <w:rsid w:val="001D0384"/>
    <w:rsid w:val="001D0FEB"/>
    <w:rsid w:val="001D4912"/>
    <w:rsid w:val="001E2B93"/>
    <w:rsid w:val="001E5351"/>
    <w:rsid w:val="001F2881"/>
    <w:rsid w:val="001F342F"/>
    <w:rsid w:val="001F4832"/>
    <w:rsid w:val="00200B29"/>
    <w:rsid w:val="0020540A"/>
    <w:rsid w:val="00205626"/>
    <w:rsid w:val="00206116"/>
    <w:rsid w:val="00206E8F"/>
    <w:rsid w:val="00212628"/>
    <w:rsid w:val="0022299B"/>
    <w:rsid w:val="00225724"/>
    <w:rsid w:val="00226D70"/>
    <w:rsid w:val="00230C85"/>
    <w:rsid w:val="0023111E"/>
    <w:rsid w:val="00231D92"/>
    <w:rsid w:val="00240067"/>
    <w:rsid w:val="00243214"/>
    <w:rsid w:val="002501A8"/>
    <w:rsid w:val="0025556B"/>
    <w:rsid w:val="002647A0"/>
    <w:rsid w:val="00266E47"/>
    <w:rsid w:val="00270E75"/>
    <w:rsid w:val="0027288C"/>
    <w:rsid w:val="00273341"/>
    <w:rsid w:val="0028730E"/>
    <w:rsid w:val="002972D1"/>
    <w:rsid w:val="002A04A9"/>
    <w:rsid w:val="002A39BB"/>
    <w:rsid w:val="002A66A6"/>
    <w:rsid w:val="002B417A"/>
    <w:rsid w:val="002B7DF4"/>
    <w:rsid w:val="002C089D"/>
    <w:rsid w:val="002C1BE0"/>
    <w:rsid w:val="002C68AD"/>
    <w:rsid w:val="002D322C"/>
    <w:rsid w:val="002D4864"/>
    <w:rsid w:val="002E5D62"/>
    <w:rsid w:val="002F1386"/>
    <w:rsid w:val="002F6B87"/>
    <w:rsid w:val="00300BC8"/>
    <w:rsid w:val="003028C1"/>
    <w:rsid w:val="00303032"/>
    <w:rsid w:val="00303345"/>
    <w:rsid w:val="003048BE"/>
    <w:rsid w:val="00311089"/>
    <w:rsid w:val="00312304"/>
    <w:rsid w:val="00314299"/>
    <w:rsid w:val="00322134"/>
    <w:rsid w:val="003357AC"/>
    <w:rsid w:val="003379C4"/>
    <w:rsid w:val="0035638A"/>
    <w:rsid w:val="003605B9"/>
    <w:rsid w:val="00361568"/>
    <w:rsid w:val="00362122"/>
    <w:rsid w:val="00363528"/>
    <w:rsid w:val="00364A52"/>
    <w:rsid w:val="00365597"/>
    <w:rsid w:val="00373F97"/>
    <w:rsid w:val="00374216"/>
    <w:rsid w:val="0037630E"/>
    <w:rsid w:val="00377A19"/>
    <w:rsid w:val="003841F5"/>
    <w:rsid w:val="0038545D"/>
    <w:rsid w:val="00385530"/>
    <w:rsid w:val="003869E8"/>
    <w:rsid w:val="00390194"/>
    <w:rsid w:val="00391288"/>
    <w:rsid w:val="00395E5A"/>
    <w:rsid w:val="0039742D"/>
    <w:rsid w:val="003A2377"/>
    <w:rsid w:val="003A3A38"/>
    <w:rsid w:val="003A4B92"/>
    <w:rsid w:val="003A6664"/>
    <w:rsid w:val="003A7DB9"/>
    <w:rsid w:val="003B2055"/>
    <w:rsid w:val="003B29EA"/>
    <w:rsid w:val="003C0806"/>
    <w:rsid w:val="003C18DE"/>
    <w:rsid w:val="003C1B31"/>
    <w:rsid w:val="003C2B1A"/>
    <w:rsid w:val="003C39C6"/>
    <w:rsid w:val="003C51C8"/>
    <w:rsid w:val="003D0C22"/>
    <w:rsid w:val="003E1E1C"/>
    <w:rsid w:val="003E2D3D"/>
    <w:rsid w:val="003E7EF6"/>
    <w:rsid w:val="003F0403"/>
    <w:rsid w:val="003F5B99"/>
    <w:rsid w:val="004019FD"/>
    <w:rsid w:val="00403E6A"/>
    <w:rsid w:val="00404388"/>
    <w:rsid w:val="004053B5"/>
    <w:rsid w:val="0040615A"/>
    <w:rsid w:val="00410758"/>
    <w:rsid w:val="004112CE"/>
    <w:rsid w:val="00411E29"/>
    <w:rsid w:val="004133D0"/>
    <w:rsid w:val="0042033E"/>
    <w:rsid w:val="00426564"/>
    <w:rsid w:val="004357AD"/>
    <w:rsid w:val="00453296"/>
    <w:rsid w:val="00453509"/>
    <w:rsid w:val="00461815"/>
    <w:rsid w:val="00467DFD"/>
    <w:rsid w:val="004761B3"/>
    <w:rsid w:val="00476879"/>
    <w:rsid w:val="004844D1"/>
    <w:rsid w:val="00490F10"/>
    <w:rsid w:val="00493C81"/>
    <w:rsid w:val="00494006"/>
    <w:rsid w:val="004A3506"/>
    <w:rsid w:val="004A4970"/>
    <w:rsid w:val="004C27E7"/>
    <w:rsid w:val="004C39AD"/>
    <w:rsid w:val="004C4EE9"/>
    <w:rsid w:val="004C5491"/>
    <w:rsid w:val="004C57ED"/>
    <w:rsid w:val="004D09F7"/>
    <w:rsid w:val="004D7A05"/>
    <w:rsid w:val="004E1DF1"/>
    <w:rsid w:val="004E5D79"/>
    <w:rsid w:val="004F297D"/>
    <w:rsid w:val="004F340A"/>
    <w:rsid w:val="004F4904"/>
    <w:rsid w:val="004F5FF9"/>
    <w:rsid w:val="00500640"/>
    <w:rsid w:val="00500D7D"/>
    <w:rsid w:val="00503BAA"/>
    <w:rsid w:val="005067AC"/>
    <w:rsid w:val="00507B8D"/>
    <w:rsid w:val="00514890"/>
    <w:rsid w:val="0051584D"/>
    <w:rsid w:val="00516073"/>
    <w:rsid w:val="00522C5B"/>
    <w:rsid w:val="0053173D"/>
    <w:rsid w:val="00532138"/>
    <w:rsid w:val="0053532A"/>
    <w:rsid w:val="005404F1"/>
    <w:rsid w:val="00550776"/>
    <w:rsid w:val="00556004"/>
    <w:rsid w:val="00557DB5"/>
    <w:rsid w:val="005602F4"/>
    <w:rsid w:val="00566460"/>
    <w:rsid w:val="0057075C"/>
    <w:rsid w:val="005721F8"/>
    <w:rsid w:val="005813B6"/>
    <w:rsid w:val="005836C7"/>
    <w:rsid w:val="00585024"/>
    <w:rsid w:val="005A174F"/>
    <w:rsid w:val="005A6077"/>
    <w:rsid w:val="005A6E53"/>
    <w:rsid w:val="005B3E86"/>
    <w:rsid w:val="005B6F55"/>
    <w:rsid w:val="005C11E5"/>
    <w:rsid w:val="005C768D"/>
    <w:rsid w:val="005D23F4"/>
    <w:rsid w:val="005D2919"/>
    <w:rsid w:val="005D4032"/>
    <w:rsid w:val="005D5CF6"/>
    <w:rsid w:val="005D630E"/>
    <w:rsid w:val="005E04EA"/>
    <w:rsid w:val="005E0D7D"/>
    <w:rsid w:val="005E7208"/>
    <w:rsid w:val="005F17DD"/>
    <w:rsid w:val="00603DE2"/>
    <w:rsid w:val="00606EEF"/>
    <w:rsid w:val="00607C4E"/>
    <w:rsid w:val="006110CC"/>
    <w:rsid w:val="0061154C"/>
    <w:rsid w:val="00612463"/>
    <w:rsid w:val="00613AF9"/>
    <w:rsid w:val="0061732F"/>
    <w:rsid w:val="0062257E"/>
    <w:rsid w:val="00625BC2"/>
    <w:rsid w:val="00627E34"/>
    <w:rsid w:val="006309AA"/>
    <w:rsid w:val="00633473"/>
    <w:rsid w:val="006343F6"/>
    <w:rsid w:val="0063500C"/>
    <w:rsid w:val="006379BD"/>
    <w:rsid w:val="006416F6"/>
    <w:rsid w:val="0064403B"/>
    <w:rsid w:val="006500EC"/>
    <w:rsid w:val="0065128A"/>
    <w:rsid w:val="00652071"/>
    <w:rsid w:val="00653551"/>
    <w:rsid w:val="00654F8E"/>
    <w:rsid w:val="0065563B"/>
    <w:rsid w:val="00662B7F"/>
    <w:rsid w:val="00664634"/>
    <w:rsid w:val="00665471"/>
    <w:rsid w:val="00667612"/>
    <w:rsid w:val="006722C6"/>
    <w:rsid w:val="00680B7C"/>
    <w:rsid w:val="00683344"/>
    <w:rsid w:val="006860D0"/>
    <w:rsid w:val="00687C06"/>
    <w:rsid w:val="00692D7F"/>
    <w:rsid w:val="006A0AE2"/>
    <w:rsid w:val="006A2F10"/>
    <w:rsid w:val="006A77D0"/>
    <w:rsid w:val="006B4C9F"/>
    <w:rsid w:val="006C06EA"/>
    <w:rsid w:val="006C10F6"/>
    <w:rsid w:val="006C756C"/>
    <w:rsid w:val="006D0683"/>
    <w:rsid w:val="006D4A96"/>
    <w:rsid w:val="006F35DC"/>
    <w:rsid w:val="006F5B85"/>
    <w:rsid w:val="00702AE0"/>
    <w:rsid w:val="007174DA"/>
    <w:rsid w:val="00725ED2"/>
    <w:rsid w:val="00733455"/>
    <w:rsid w:val="00737B84"/>
    <w:rsid w:val="00741D95"/>
    <w:rsid w:val="00745729"/>
    <w:rsid w:val="007535ED"/>
    <w:rsid w:val="0075406E"/>
    <w:rsid w:val="00756702"/>
    <w:rsid w:val="0076221D"/>
    <w:rsid w:val="00762EA3"/>
    <w:rsid w:val="007763CB"/>
    <w:rsid w:val="00776DA6"/>
    <w:rsid w:val="007804A7"/>
    <w:rsid w:val="007862DD"/>
    <w:rsid w:val="007908F6"/>
    <w:rsid w:val="00791CF7"/>
    <w:rsid w:val="007954D9"/>
    <w:rsid w:val="007A4552"/>
    <w:rsid w:val="007A7952"/>
    <w:rsid w:val="007B0BDB"/>
    <w:rsid w:val="007B33DF"/>
    <w:rsid w:val="007B64DB"/>
    <w:rsid w:val="007B7765"/>
    <w:rsid w:val="007C032B"/>
    <w:rsid w:val="007C0ECD"/>
    <w:rsid w:val="007C1632"/>
    <w:rsid w:val="007C36EF"/>
    <w:rsid w:val="007C52BE"/>
    <w:rsid w:val="007C6BDE"/>
    <w:rsid w:val="007D0678"/>
    <w:rsid w:val="007D1C2C"/>
    <w:rsid w:val="007E7634"/>
    <w:rsid w:val="00800E25"/>
    <w:rsid w:val="00801634"/>
    <w:rsid w:val="0080537B"/>
    <w:rsid w:val="008219CF"/>
    <w:rsid w:val="00834062"/>
    <w:rsid w:val="00837104"/>
    <w:rsid w:val="00840E8F"/>
    <w:rsid w:val="0084100F"/>
    <w:rsid w:val="00845AE3"/>
    <w:rsid w:val="0084626C"/>
    <w:rsid w:val="0085317F"/>
    <w:rsid w:val="008579B2"/>
    <w:rsid w:val="008635B6"/>
    <w:rsid w:val="008934E5"/>
    <w:rsid w:val="00893500"/>
    <w:rsid w:val="008B4D51"/>
    <w:rsid w:val="008B618F"/>
    <w:rsid w:val="008D15ED"/>
    <w:rsid w:val="008D30B2"/>
    <w:rsid w:val="008D44C5"/>
    <w:rsid w:val="008D7E85"/>
    <w:rsid w:val="008E19FF"/>
    <w:rsid w:val="008E1F90"/>
    <w:rsid w:val="008E2786"/>
    <w:rsid w:val="008E53FF"/>
    <w:rsid w:val="008F249D"/>
    <w:rsid w:val="008F54F8"/>
    <w:rsid w:val="009011AA"/>
    <w:rsid w:val="009049E8"/>
    <w:rsid w:val="00906CC3"/>
    <w:rsid w:val="00917D56"/>
    <w:rsid w:val="009265A3"/>
    <w:rsid w:val="00926647"/>
    <w:rsid w:val="00931C9D"/>
    <w:rsid w:val="00933A00"/>
    <w:rsid w:val="00933BFD"/>
    <w:rsid w:val="00941691"/>
    <w:rsid w:val="00942AED"/>
    <w:rsid w:val="00944E25"/>
    <w:rsid w:val="00953F15"/>
    <w:rsid w:val="009642AB"/>
    <w:rsid w:val="0097096B"/>
    <w:rsid w:val="0098205F"/>
    <w:rsid w:val="00982BCB"/>
    <w:rsid w:val="00991978"/>
    <w:rsid w:val="00991E86"/>
    <w:rsid w:val="00993F03"/>
    <w:rsid w:val="0099435F"/>
    <w:rsid w:val="009969E5"/>
    <w:rsid w:val="00996BC5"/>
    <w:rsid w:val="009A57B1"/>
    <w:rsid w:val="009A6D34"/>
    <w:rsid w:val="009B4816"/>
    <w:rsid w:val="009C1BA8"/>
    <w:rsid w:val="009C2D0D"/>
    <w:rsid w:val="009C3492"/>
    <w:rsid w:val="009C49C6"/>
    <w:rsid w:val="009C5AA4"/>
    <w:rsid w:val="009D02D4"/>
    <w:rsid w:val="009D1DCF"/>
    <w:rsid w:val="009D60E3"/>
    <w:rsid w:val="009D6B24"/>
    <w:rsid w:val="009E0D67"/>
    <w:rsid w:val="009E3839"/>
    <w:rsid w:val="009E4985"/>
    <w:rsid w:val="009F16C5"/>
    <w:rsid w:val="009F3E11"/>
    <w:rsid w:val="009F6AF8"/>
    <w:rsid w:val="009F6E78"/>
    <w:rsid w:val="009F7C7E"/>
    <w:rsid w:val="00A01148"/>
    <w:rsid w:val="00A04B0F"/>
    <w:rsid w:val="00A26380"/>
    <w:rsid w:val="00A31DC5"/>
    <w:rsid w:val="00A32934"/>
    <w:rsid w:val="00A34427"/>
    <w:rsid w:val="00A40C81"/>
    <w:rsid w:val="00A436CD"/>
    <w:rsid w:val="00A5180B"/>
    <w:rsid w:val="00A53DEB"/>
    <w:rsid w:val="00A54A9F"/>
    <w:rsid w:val="00A55E36"/>
    <w:rsid w:val="00A60B53"/>
    <w:rsid w:val="00A6457C"/>
    <w:rsid w:val="00A65490"/>
    <w:rsid w:val="00A65C4C"/>
    <w:rsid w:val="00A7041B"/>
    <w:rsid w:val="00A737F4"/>
    <w:rsid w:val="00A8757B"/>
    <w:rsid w:val="00A92044"/>
    <w:rsid w:val="00A9727D"/>
    <w:rsid w:val="00AA12C0"/>
    <w:rsid w:val="00AA16B9"/>
    <w:rsid w:val="00AA47DC"/>
    <w:rsid w:val="00AB1D94"/>
    <w:rsid w:val="00AB624E"/>
    <w:rsid w:val="00AB72D1"/>
    <w:rsid w:val="00AC1EC9"/>
    <w:rsid w:val="00AC2C09"/>
    <w:rsid w:val="00AC52FE"/>
    <w:rsid w:val="00AC6B6F"/>
    <w:rsid w:val="00AD22A3"/>
    <w:rsid w:val="00AD5991"/>
    <w:rsid w:val="00AE11FC"/>
    <w:rsid w:val="00AE6354"/>
    <w:rsid w:val="00AF15AF"/>
    <w:rsid w:val="00AF6EB4"/>
    <w:rsid w:val="00B01141"/>
    <w:rsid w:val="00B02E33"/>
    <w:rsid w:val="00B04CF2"/>
    <w:rsid w:val="00B05901"/>
    <w:rsid w:val="00B06162"/>
    <w:rsid w:val="00B214A1"/>
    <w:rsid w:val="00B21860"/>
    <w:rsid w:val="00B2220D"/>
    <w:rsid w:val="00B22D5C"/>
    <w:rsid w:val="00B261D5"/>
    <w:rsid w:val="00B263F0"/>
    <w:rsid w:val="00B2716E"/>
    <w:rsid w:val="00B30755"/>
    <w:rsid w:val="00B32703"/>
    <w:rsid w:val="00B37020"/>
    <w:rsid w:val="00B443D7"/>
    <w:rsid w:val="00B54313"/>
    <w:rsid w:val="00B563B4"/>
    <w:rsid w:val="00B60B5F"/>
    <w:rsid w:val="00B6496F"/>
    <w:rsid w:val="00B676F7"/>
    <w:rsid w:val="00B8064D"/>
    <w:rsid w:val="00B80F06"/>
    <w:rsid w:val="00B827C6"/>
    <w:rsid w:val="00B84CEB"/>
    <w:rsid w:val="00B9324D"/>
    <w:rsid w:val="00B93A6A"/>
    <w:rsid w:val="00B93F09"/>
    <w:rsid w:val="00B969EA"/>
    <w:rsid w:val="00BA73A0"/>
    <w:rsid w:val="00BA7979"/>
    <w:rsid w:val="00BB1390"/>
    <w:rsid w:val="00BB6020"/>
    <w:rsid w:val="00BC5783"/>
    <w:rsid w:val="00BC738E"/>
    <w:rsid w:val="00BD0576"/>
    <w:rsid w:val="00BD26EB"/>
    <w:rsid w:val="00BD6ECD"/>
    <w:rsid w:val="00BE0A9F"/>
    <w:rsid w:val="00BE0BDF"/>
    <w:rsid w:val="00BE50D0"/>
    <w:rsid w:val="00BE707E"/>
    <w:rsid w:val="00BF16FE"/>
    <w:rsid w:val="00C012F5"/>
    <w:rsid w:val="00C068BC"/>
    <w:rsid w:val="00C1327C"/>
    <w:rsid w:val="00C1526A"/>
    <w:rsid w:val="00C16984"/>
    <w:rsid w:val="00C17081"/>
    <w:rsid w:val="00C20A85"/>
    <w:rsid w:val="00C26652"/>
    <w:rsid w:val="00C27FD4"/>
    <w:rsid w:val="00C33987"/>
    <w:rsid w:val="00C35BFD"/>
    <w:rsid w:val="00C365E2"/>
    <w:rsid w:val="00C369C0"/>
    <w:rsid w:val="00C41904"/>
    <w:rsid w:val="00C41E77"/>
    <w:rsid w:val="00C421E2"/>
    <w:rsid w:val="00C44EFB"/>
    <w:rsid w:val="00C509A2"/>
    <w:rsid w:val="00C55264"/>
    <w:rsid w:val="00C55AFA"/>
    <w:rsid w:val="00C6695C"/>
    <w:rsid w:val="00C763D6"/>
    <w:rsid w:val="00C8309E"/>
    <w:rsid w:val="00C84755"/>
    <w:rsid w:val="00C97946"/>
    <w:rsid w:val="00CA4F91"/>
    <w:rsid w:val="00CA7ABB"/>
    <w:rsid w:val="00CB56CA"/>
    <w:rsid w:val="00CB57E5"/>
    <w:rsid w:val="00CB7EE8"/>
    <w:rsid w:val="00CC0BDA"/>
    <w:rsid w:val="00CC3B0C"/>
    <w:rsid w:val="00CC417D"/>
    <w:rsid w:val="00CD4EFC"/>
    <w:rsid w:val="00CE432C"/>
    <w:rsid w:val="00CE6DBB"/>
    <w:rsid w:val="00CF2580"/>
    <w:rsid w:val="00D0520C"/>
    <w:rsid w:val="00D14555"/>
    <w:rsid w:val="00D14AD0"/>
    <w:rsid w:val="00D15871"/>
    <w:rsid w:val="00D17DCC"/>
    <w:rsid w:val="00D21052"/>
    <w:rsid w:val="00D24B0B"/>
    <w:rsid w:val="00D27BF0"/>
    <w:rsid w:val="00D31359"/>
    <w:rsid w:val="00D31CD6"/>
    <w:rsid w:val="00D32EF0"/>
    <w:rsid w:val="00D34665"/>
    <w:rsid w:val="00D35CEE"/>
    <w:rsid w:val="00D35E52"/>
    <w:rsid w:val="00D36FA6"/>
    <w:rsid w:val="00D41E9A"/>
    <w:rsid w:val="00D52573"/>
    <w:rsid w:val="00D53F31"/>
    <w:rsid w:val="00D5584D"/>
    <w:rsid w:val="00D62269"/>
    <w:rsid w:val="00D62883"/>
    <w:rsid w:val="00D62EDC"/>
    <w:rsid w:val="00D63D44"/>
    <w:rsid w:val="00D700C8"/>
    <w:rsid w:val="00D712E8"/>
    <w:rsid w:val="00D91A54"/>
    <w:rsid w:val="00D976DC"/>
    <w:rsid w:val="00DA244B"/>
    <w:rsid w:val="00DA40DD"/>
    <w:rsid w:val="00DA7555"/>
    <w:rsid w:val="00DA7F88"/>
    <w:rsid w:val="00DB307F"/>
    <w:rsid w:val="00DB52E7"/>
    <w:rsid w:val="00DC0318"/>
    <w:rsid w:val="00DC1AF1"/>
    <w:rsid w:val="00DC5006"/>
    <w:rsid w:val="00DD1D5F"/>
    <w:rsid w:val="00DD3FB6"/>
    <w:rsid w:val="00DD622A"/>
    <w:rsid w:val="00DE0269"/>
    <w:rsid w:val="00DE39D8"/>
    <w:rsid w:val="00DF000E"/>
    <w:rsid w:val="00DF026C"/>
    <w:rsid w:val="00DF0D30"/>
    <w:rsid w:val="00DF741A"/>
    <w:rsid w:val="00E012C5"/>
    <w:rsid w:val="00E023A9"/>
    <w:rsid w:val="00E03C62"/>
    <w:rsid w:val="00E07D1B"/>
    <w:rsid w:val="00E21088"/>
    <w:rsid w:val="00E218E2"/>
    <w:rsid w:val="00E23FEE"/>
    <w:rsid w:val="00E33A5D"/>
    <w:rsid w:val="00E548A7"/>
    <w:rsid w:val="00E57E49"/>
    <w:rsid w:val="00E61C50"/>
    <w:rsid w:val="00E65D4A"/>
    <w:rsid w:val="00E7237D"/>
    <w:rsid w:val="00E83CFB"/>
    <w:rsid w:val="00E9249A"/>
    <w:rsid w:val="00EA3D13"/>
    <w:rsid w:val="00EA50D7"/>
    <w:rsid w:val="00EA56BF"/>
    <w:rsid w:val="00EA5ACD"/>
    <w:rsid w:val="00EA6FDD"/>
    <w:rsid w:val="00EB03A8"/>
    <w:rsid w:val="00EB40A2"/>
    <w:rsid w:val="00EC09ED"/>
    <w:rsid w:val="00EC3533"/>
    <w:rsid w:val="00ED0684"/>
    <w:rsid w:val="00EF2F33"/>
    <w:rsid w:val="00EF596C"/>
    <w:rsid w:val="00F07750"/>
    <w:rsid w:val="00F170C5"/>
    <w:rsid w:val="00F2054E"/>
    <w:rsid w:val="00F30A77"/>
    <w:rsid w:val="00F4393F"/>
    <w:rsid w:val="00F43F1C"/>
    <w:rsid w:val="00F46126"/>
    <w:rsid w:val="00F46A3A"/>
    <w:rsid w:val="00F52140"/>
    <w:rsid w:val="00F5375D"/>
    <w:rsid w:val="00F5454E"/>
    <w:rsid w:val="00F715C3"/>
    <w:rsid w:val="00F718BD"/>
    <w:rsid w:val="00F80507"/>
    <w:rsid w:val="00F83CD3"/>
    <w:rsid w:val="00F85F61"/>
    <w:rsid w:val="00F91862"/>
    <w:rsid w:val="00F94A69"/>
    <w:rsid w:val="00F94CC1"/>
    <w:rsid w:val="00F95487"/>
    <w:rsid w:val="00F95DEF"/>
    <w:rsid w:val="00F96580"/>
    <w:rsid w:val="00FA1553"/>
    <w:rsid w:val="00FA4DF8"/>
    <w:rsid w:val="00FB45FB"/>
    <w:rsid w:val="00FB7F34"/>
    <w:rsid w:val="00FC09A1"/>
    <w:rsid w:val="00FC105E"/>
    <w:rsid w:val="00FC1781"/>
    <w:rsid w:val="00FC244F"/>
    <w:rsid w:val="00FC4601"/>
    <w:rsid w:val="00FC58CE"/>
    <w:rsid w:val="00FD34C7"/>
    <w:rsid w:val="00FD3CDF"/>
    <w:rsid w:val="00FD79DA"/>
    <w:rsid w:val="00FE00A5"/>
    <w:rsid w:val="00FE2ADC"/>
    <w:rsid w:val="00FE5997"/>
    <w:rsid w:val="00FE7DB8"/>
    <w:rsid w:val="00FF0950"/>
    <w:rsid w:val="00FF3200"/>
    <w:rsid w:val="00FF5484"/>
    <w:rsid w:val="00FF6828"/>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9B16E4E7-3C0D-4BA4-BA4E-13CD19830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Beschriftung">
    <w:name w:val="caption"/>
    <w:basedOn w:val="Standard"/>
    <w:next w:val="Standard"/>
    <w:uiPriority w:val="35"/>
    <w:unhideWhenUsed/>
    <w:qFormat/>
    <w:rsid w:val="006D0683"/>
    <w:pPr>
      <w:spacing w:after="200"/>
    </w:pPr>
    <w:rPr>
      <w:i/>
      <w:iCs/>
      <w:color w:val="1F497D" w:themeColor="text2"/>
      <w:sz w:val="18"/>
      <w:szCs w:val="18"/>
    </w:rPr>
  </w:style>
  <w:style w:type="character" w:styleId="NichtaufgelsteErwhnung">
    <w:name w:val="Unresolved Mention"/>
    <w:basedOn w:val="Absatz-Standardschriftart"/>
    <w:uiPriority w:val="99"/>
    <w:semiHidden/>
    <w:unhideWhenUsed/>
    <w:rsid w:val="00314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file:///R:\23502\6\1300\Aktuelle_Projekte\10-07559-HP-PVT4.0\7_Vorarbeiten_Interne_Ergebnisse\Arbeitsergebnisse_Messergebnisse\AP5\Fotos\PT7\20250401_153842-mod.png"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chart" Target="charts/chart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8.xml"/><Relationship Id="rId28" Type="http://schemas.openxmlformats.org/officeDocument/2006/relationships/chart" Target="charts/chart13.xml"/><Relationship Id="rId10" Type="http://schemas.microsoft.com/office/2016/09/relationships/commentsIds" Target="commentsIds.xml"/><Relationship Id="rId19" Type="http://schemas.openxmlformats.org/officeDocument/2006/relationships/chart" Target="charts/chart4.xml"/><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8" Type="http://schemas.openxmlformats.org/officeDocument/2006/relationships/comments" Target="comment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813_Mod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baviaba\Desktop\Documents\HPPVT40\HPPVT40\HPPVT4\EuroSun%202026\260702_output_EuroSun2026.xlsx"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89818175636805"/>
          <c:y val="3.6945812807881777E-2"/>
          <c:w val="0.76098868507247297"/>
          <c:h val="0.89676699895271716"/>
        </c:manualLayout>
      </c:layout>
      <c:barChart>
        <c:barDir val="col"/>
        <c:grouping val="clustered"/>
        <c:varyColors val="0"/>
        <c:ser>
          <c:idx val="1"/>
          <c:order val="1"/>
          <c:tx>
            <c:strRef>
              <c:f>stats!$A$64</c:f>
              <c:strCache>
                <c:ptCount val="1"/>
                <c:pt idx="0">
                  <c:v>Q</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stats!$B$64:$M$64</c:f>
              <c:numCache>
                <c:formatCode>0</c:formatCode>
                <c:ptCount val="12"/>
                <c:pt idx="0">
                  <c:v>158</c:v>
                </c:pt>
                <c:pt idx="1">
                  <c:v>183</c:v>
                </c:pt>
                <c:pt idx="2">
                  <c:v>109.2</c:v>
                </c:pt>
                <c:pt idx="3">
                  <c:v>83.3</c:v>
                </c:pt>
                <c:pt idx="4">
                  <c:v>56.1</c:v>
                </c:pt>
                <c:pt idx="5">
                  <c:v>23.9</c:v>
                </c:pt>
                <c:pt idx="6">
                  <c:v>47</c:v>
                </c:pt>
                <c:pt idx="7">
                  <c:v>51.1</c:v>
                </c:pt>
                <c:pt idx="8">
                  <c:v>120.1</c:v>
                </c:pt>
                <c:pt idx="9">
                  <c:v>97.5</c:v>
                </c:pt>
                <c:pt idx="10">
                  <c:v>189.8</c:v>
                </c:pt>
                <c:pt idx="11">
                  <c:v>180</c:v>
                </c:pt>
              </c:numCache>
            </c:numRef>
          </c:val>
          <c:extLst>
            <c:ext xmlns:c16="http://schemas.microsoft.com/office/drawing/2014/chart" uri="{C3380CC4-5D6E-409C-BE32-E72D297353CC}">
              <c16:uniqueId val="{00000000-3E0E-47C2-BED8-9D3595C56223}"/>
            </c:ext>
          </c:extLst>
        </c:ser>
        <c:dLbls>
          <c:showLegendKey val="0"/>
          <c:showVal val="0"/>
          <c:showCatName val="0"/>
          <c:showSerName val="0"/>
          <c:showPercent val="0"/>
          <c:showBubbleSize val="0"/>
        </c:dLbls>
        <c:gapWidth val="150"/>
        <c:axId val="694355007"/>
        <c:axId val="300371919"/>
      </c:barChart>
      <c:lineChart>
        <c:grouping val="standard"/>
        <c:varyColors val="0"/>
        <c:ser>
          <c:idx val="0"/>
          <c:order val="0"/>
          <c:tx>
            <c:strRef>
              <c:f>stats!$A$2</c:f>
              <c:strCache>
                <c:ptCount val="1"/>
                <c:pt idx="0">
                  <c:v>T_A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6"/>
              <c:layout>
                <c:manualLayout>
                  <c:x val="-3.5132581880867098E-2"/>
                  <c:y val="3.9614501312335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0E-47C2-BED8-9D3595C56223}"/>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stats!$B$1:$M$1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stats!$B$2:$M$2</c:f>
              <c:numCache>
                <c:formatCode>General</c:formatCode>
                <c:ptCount val="12"/>
                <c:pt idx="0">
                  <c:v>17.8</c:v>
                </c:pt>
                <c:pt idx="1">
                  <c:v>16.5</c:v>
                </c:pt>
                <c:pt idx="2">
                  <c:v>12.3</c:v>
                </c:pt>
                <c:pt idx="3">
                  <c:v>7.5</c:v>
                </c:pt>
                <c:pt idx="4">
                  <c:v>2.8</c:v>
                </c:pt>
                <c:pt idx="5">
                  <c:v>1.2</c:v>
                </c:pt>
                <c:pt idx="6">
                  <c:v>-1.5</c:v>
                </c:pt>
                <c:pt idx="7">
                  <c:v>2.8</c:v>
                </c:pt>
                <c:pt idx="8">
                  <c:v>4.0999999999999996</c:v>
                </c:pt>
                <c:pt idx="9">
                  <c:v>8.1</c:v>
                </c:pt>
                <c:pt idx="10">
                  <c:v>13.8</c:v>
                </c:pt>
                <c:pt idx="11">
                  <c:v>19.399999999999999</c:v>
                </c:pt>
              </c:numCache>
            </c:numRef>
          </c:val>
          <c:smooth val="0"/>
          <c:extLst>
            <c:ext xmlns:c16="http://schemas.microsoft.com/office/drawing/2014/chart" uri="{C3380CC4-5D6E-409C-BE32-E72D297353CC}">
              <c16:uniqueId val="{00000002-3E0E-47C2-BED8-9D3595C56223}"/>
            </c:ext>
          </c:extLst>
        </c:ser>
        <c:dLbls>
          <c:showLegendKey val="0"/>
          <c:showVal val="0"/>
          <c:showCatName val="0"/>
          <c:showSerName val="0"/>
          <c:showPercent val="0"/>
          <c:showBubbleSize val="0"/>
        </c:dLbls>
        <c:marker val="1"/>
        <c:smooth val="0"/>
        <c:axId val="1137192319"/>
        <c:axId val="1139311215"/>
      </c:lineChart>
      <c:catAx>
        <c:axId val="1137192319"/>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1139311215"/>
        <c:crosses val="autoZero"/>
        <c:auto val="1"/>
        <c:lblAlgn val="ctr"/>
        <c:lblOffset val="100"/>
        <c:noMultiLvlLbl val="0"/>
      </c:catAx>
      <c:valAx>
        <c:axId val="1139311215"/>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de-DE"/>
                  <a:t>Mean outdoor </a:t>
                </a:r>
              </a:p>
              <a:p>
                <a:pPr>
                  <a:defRPr/>
                </a:pPr>
                <a:r>
                  <a:rPr lang="de-DE"/>
                  <a:t>temperature [°C]</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1137192319"/>
        <c:crosses val="autoZero"/>
        <c:crossBetween val="between"/>
      </c:valAx>
      <c:valAx>
        <c:axId val="300371919"/>
        <c:scaling>
          <c:orientation val="minMax"/>
          <c:max val="200"/>
          <c:min val="-50"/>
        </c:scaling>
        <c:delete val="0"/>
        <c:axPos val="r"/>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de-DE"/>
                  <a:t>Cumulative solar irradiance on PVT surface [kWh/m²]</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694355007"/>
        <c:crosses val="max"/>
        <c:crossBetween val="between"/>
      </c:valAx>
      <c:catAx>
        <c:axId val="694355007"/>
        <c:scaling>
          <c:orientation val="minMax"/>
        </c:scaling>
        <c:delete val="1"/>
        <c:axPos val="b"/>
        <c:majorTickMark val="out"/>
        <c:minorTickMark val="none"/>
        <c:tickLblPos val="nextTo"/>
        <c:crossAx val="300371919"/>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de-DE"/>
              <a:t>Heat Demand</a:t>
            </a:r>
          </a:p>
        </c:rich>
      </c:tx>
      <c:layout>
        <c:manualLayout>
          <c:xMode val="edge"/>
          <c:yMode val="edge"/>
          <c:x val="0.2664837677183356"/>
          <c:y val="0"/>
        </c:manualLayout>
      </c:layout>
      <c:overlay val="0"/>
      <c:spPr>
        <a:noFill/>
        <a:ln>
          <a:noFill/>
        </a:ln>
        <a:effectLst/>
      </c:spPr>
      <c:txPr>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31184509266015625"/>
          <c:y val="0.23532493532310253"/>
          <c:w val="0.61711842041701515"/>
          <c:h val="0.74928146592016476"/>
        </c:manualLayout>
      </c:layout>
      <c:barChart>
        <c:barDir val="col"/>
        <c:grouping val="stacked"/>
        <c:varyColors val="0"/>
        <c:ser>
          <c:idx val="0"/>
          <c:order val="0"/>
          <c:tx>
            <c:v>HC1</c:v>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energy!$N$17</c:f>
              <c:numCache>
                <c:formatCode>0</c:formatCode>
                <c:ptCount val="1"/>
                <c:pt idx="0">
                  <c:v>9470.5</c:v>
                </c:pt>
              </c:numCache>
            </c:numRef>
          </c:val>
          <c:extLst>
            <c:ext xmlns:c16="http://schemas.microsoft.com/office/drawing/2014/chart" uri="{C3380CC4-5D6E-409C-BE32-E72D297353CC}">
              <c16:uniqueId val="{00000000-C8FB-4F9A-9417-AAB413392AE4}"/>
            </c:ext>
          </c:extLst>
        </c:ser>
        <c:ser>
          <c:idx val="1"/>
          <c:order val="1"/>
          <c:tx>
            <c:v>HC2</c:v>
          </c:tx>
          <c:spPr>
            <a:solidFill>
              <a:schemeClr val="accent6">
                <a:lumMod val="60000"/>
                <a:lumOff val="40000"/>
              </a:schemeClr>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0.24867416264324985"/>
                      <c:h val="7.2383354350567461E-2"/>
                    </c:manualLayout>
                  </c15:layout>
                </c:ext>
                <c:ext xmlns:c16="http://schemas.microsoft.com/office/drawing/2014/chart" uri="{C3380CC4-5D6E-409C-BE32-E72D297353CC}">
                  <c16:uniqueId val="{00000008-C8FB-4F9A-9417-AAB413392AE4}"/>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energy!$N$18</c:f>
              <c:numCache>
                <c:formatCode>0</c:formatCode>
                <c:ptCount val="1"/>
                <c:pt idx="0">
                  <c:v>12560.3</c:v>
                </c:pt>
              </c:numCache>
            </c:numRef>
          </c:val>
          <c:extLst>
            <c:ext xmlns:c16="http://schemas.microsoft.com/office/drawing/2014/chart" uri="{C3380CC4-5D6E-409C-BE32-E72D297353CC}">
              <c16:uniqueId val="{00000001-C8FB-4F9A-9417-AAB413392AE4}"/>
            </c:ext>
          </c:extLst>
        </c:ser>
        <c:ser>
          <c:idx val="2"/>
          <c:order val="2"/>
          <c:tx>
            <c:v>DHW</c:v>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energy!$N$16</c:f>
              <c:numCache>
                <c:formatCode>0</c:formatCode>
                <c:ptCount val="1"/>
                <c:pt idx="0">
                  <c:v>978.7</c:v>
                </c:pt>
              </c:numCache>
            </c:numRef>
          </c:val>
          <c:extLst>
            <c:ext xmlns:c16="http://schemas.microsoft.com/office/drawing/2014/chart" uri="{C3380CC4-5D6E-409C-BE32-E72D297353CC}">
              <c16:uniqueId val="{00000002-C8FB-4F9A-9417-AAB413392AE4}"/>
            </c:ext>
          </c:extLst>
        </c:ser>
        <c:ser>
          <c:idx val="6"/>
          <c:order val="3"/>
          <c:tx>
            <c:v>PVT Defrost</c:v>
          </c:tx>
          <c:spPr>
            <a:solidFill>
              <a:schemeClr val="bg1">
                <a:lumMod val="75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energy!$N$54</c:f>
              <c:numCache>
                <c:formatCode>0</c:formatCode>
                <c:ptCount val="1"/>
                <c:pt idx="0">
                  <c:v>1032.8</c:v>
                </c:pt>
              </c:numCache>
            </c:numRef>
          </c:val>
          <c:extLst>
            <c:ext xmlns:c16="http://schemas.microsoft.com/office/drawing/2014/chart" uri="{C3380CC4-5D6E-409C-BE32-E72D297353CC}">
              <c16:uniqueId val="{00000003-C8FB-4F9A-9417-AAB413392AE4}"/>
            </c:ext>
          </c:extLst>
        </c:ser>
        <c:dLbls>
          <c:showLegendKey val="0"/>
          <c:showVal val="0"/>
          <c:showCatName val="0"/>
          <c:showSerName val="0"/>
          <c:showPercent val="0"/>
          <c:showBubbleSize val="0"/>
        </c:dLbls>
        <c:gapWidth val="150"/>
        <c:overlap val="100"/>
        <c:axId val="1467043567"/>
        <c:axId val="1467041647"/>
        <c:extLst>
          <c:ext xmlns:c15="http://schemas.microsoft.com/office/drawing/2012/chart" uri="{02D57815-91ED-43cb-92C2-25804820EDAC}">
            <c15:filteredBarSeries>
              <c15:ser>
                <c:idx val="7"/>
                <c:order val="4"/>
                <c:tx>
                  <c:strRef>
                    <c:extLst>
                      <c:ext uri="{02D57815-91ED-43cb-92C2-25804820EDAC}">
                        <c15:formulaRef>
                          <c15:sqref>energy!$A$55</c15:sqref>
                        </c15:formulaRef>
                      </c:ext>
                    </c:extLst>
                    <c:strCache>
                      <c:ptCount val="1"/>
                      <c:pt idx="0">
                        <c:v>q_frost</c:v>
                      </c:pt>
                    </c:strCache>
                  </c:strRef>
                </c:tx>
                <c:spPr>
                  <a:solidFill>
                    <a:schemeClr val="accent2">
                      <a:lumMod val="60000"/>
                    </a:schemeClr>
                  </a:solidFill>
                  <a:ln>
                    <a:noFill/>
                  </a:ln>
                  <a:effectLst/>
                </c:spPr>
                <c:invertIfNegative val="0"/>
                <c:cat>
                  <c:strRef>
                    <c:extLst>
                      <c:ext uri="{02D57815-91ED-43cb-92C2-25804820EDAC}">
                        <c15:formulaRef>
                          <c15:sqref>energy!$N$1</c15:sqref>
                        </c15:formulaRef>
                      </c:ext>
                    </c:extLst>
                    <c:strCache>
                      <c:ptCount val="1"/>
                      <c:pt idx="0">
                        <c:v>Summe</c:v>
                      </c:pt>
                    </c:strCache>
                  </c:strRef>
                </c:cat>
                <c:val>
                  <c:numRef>
                    <c:extLst>
                      <c:ext uri="{02D57815-91ED-43cb-92C2-25804820EDAC}">
                        <c15:formulaRef>
                          <c15:sqref>energy!$N$55</c15:sqref>
                        </c15:formulaRef>
                      </c:ext>
                    </c:extLst>
                    <c:numCache>
                      <c:formatCode>0</c:formatCode>
                      <c:ptCount val="1"/>
                      <c:pt idx="0">
                        <c:v>3.9</c:v>
                      </c:pt>
                    </c:numCache>
                  </c:numRef>
                </c:val>
                <c:extLst>
                  <c:ext xmlns:c16="http://schemas.microsoft.com/office/drawing/2014/chart" uri="{C3380CC4-5D6E-409C-BE32-E72D297353CC}">
                    <c16:uniqueId val="{00000004-C8FB-4F9A-9417-AAB413392AE4}"/>
                  </c:ext>
                </c:extLst>
              </c15:ser>
            </c15:filteredBarSeries>
          </c:ext>
        </c:extLst>
      </c:barChart>
      <c:lineChart>
        <c:grouping val="standard"/>
        <c:varyColors val="0"/>
        <c:ser>
          <c:idx val="3"/>
          <c:order val="5"/>
          <c:tx>
            <c:v> </c:v>
          </c:tx>
          <c:spPr>
            <a:ln w="28575" cap="rnd">
              <a:noFill/>
              <a:round/>
            </a:ln>
            <a:effectLst/>
          </c:spPr>
          <c:marker>
            <c:symbol val="circle"/>
            <c:size val="5"/>
            <c:spPr>
              <a:noFill/>
              <a:ln w="9525">
                <a:noFill/>
              </a:ln>
              <a:effectLst/>
            </c:spPr>
          </c:marker>
          <c:dLbls>
            <c:dLbl>
              <c:idx val="0"/>
              <c:layout>
                <c:manualLayout>
                  <c:x val="-0.16301489921121823"/>
                  <c:y val="-2.7184007421518715E-2"/>
                </c:manualLayout>
              </c:layout>
              <c:dLblPos val="r"/>
              <c:showLegendKey val="0"/>
              <c:showVal val="1"/>
              <c:showCatName val="0"/>
              <c:showSerName val="0"/>
              <c:showPercent val="0"/>
              <c:showBubbleSize val="0"/>
              <c:extLst>
                <c:ext xmlns:c15="http://schemas.microsoft.com/office/drawing/2012/chart" uri="{CE6537A1-D6FC-4f65-9D91-7224C49458BB}">
                  <c15:layout>
                    <c:manualLayout>
                      <c:w val="0.22962313759859773"/>
                      <c:h val="7.2383354350567461E-2"/>
                    </c:manualLayout>
                  </c15:layout>
                </c:ext>
                <c:ext xmlns:c16="http://schemas.microsoft.com/office/drawing/2014/chart" uri="{C3380CC4-5D6E-409C-BE32-E72D297353CC}">
                  <c16:uniqueId val="{00000007-C8FB-4F9A-9417-AAB413392AE4}"/>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energy!$N$79</c:f>
              <c:numCache>
                <c:formatCode>0</c:formatCode>
                <c:ptCount val="1"/>
                <c:pt idx="0">
                  <c:v>24042.3</c:v>
                </c:pt>
              </c:numCache>
            </c:numRef>
          </c:val>
          <c:smooth val="0"/>
          <c:extLst>
            <c:ext xmlns:c16="http://schemas.microsoft.com/office/drawing/2014/chart" uri="{C3380CC4-5D6E-409C-BE32-E72D297353CC}">
              <c16:uniqueId val="{00000006-C8FB-4F9A-9417-AAB413392AE4}"/>
            </c:ext>
          </c:extLst>
        </c:ser>
        <c:dLbls>
          <c:showLegendKey val="0"/>
          <c:showVal val="0"/>
          <c:showCatName val="0"/>
          <c:showSerName val="0"/>
          <c:showPercent val="0"/>
          <c:showBubbleSize val="0"/>
        </c:dLbls>
        <c:marker val="1"/>
        <c:smooth val="0"/>
        <c:axId val="1467043567"/>
        <c:axId val="1467041647"/>
      </c:lineChart>
      <c:catAx>
        <c:axId val="1467043567"/>
        <c:scaling>
          <c:orientation val="minMax"/>
        </c:scaling>
        <c:delete val="1"/>
        <c:axPos val="b"/>
        <c:numFmt formatCode="General" sourceLinked="1"/>
        <c:majorTickMark val="none"/>
        <c:minorTickMark val="none"/>
        <c:tickLblPos val="nextTo"/>
        <c:crossAx val="1467041647"/>
        <c:crosses val="autoZero"/>
        <c:auto val="1"/>
        <c:lblAlgn val="ctr"/>
        <c:lblOffset val="100"/>
        <c:noMultiLvlLbl val="0"/>
      </c:catAx>
      <c:valAx>
        <c:axId val="1467041647"/>
        <c:scaling>
          <c:orientation val="minMax"/>
          <c:max val="2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de-DE"/>
                  <a:t>kWh</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valAx>
      <c:spPr>
        <a:noFill/>
        <a:ln>
          <a:noFill/>
        </a:ln>
        <a:effectLst/>
      </c:spPr>
    </c:plotArea>
    <c:legend>
      <c:legendPos val="t"/>
      <c:layout>
        <c:manualLayout>
          <c:xMode val="edge"/>
          <c:yMode val="edge"/>
          <c:x val="0.27424041130661136"/>
          <c:y val="6.5772074833647054E-2"/>
          <c:w val="0.58677294967758664"/>
          <c:h val="0.15088577357842881"/>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de-DE"/>
              <a:t>Heat Generation</a:t>
            </a:r>
          </a:p>
        </c:rich>
      </c:tx>
      <c:layout>
        <c:manualLayout>
          <c:xMode val="edge"/>
          <c:yMode val="edge"/>
          <c:x val="0.21987934239143803"/>
          <c:y val="1.6600569202567743E-5"/>
        </c:manualLayout>
      </c:layout>
      <c:overlay val="0"/>
      <c:spPr>
        <a:noFill/>
        <a:ln>
          <a:noFill/>
        </a:ln>
        <a:effectLst/>
      </c:spPr>
      <c:txPr>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8.573655494933749E-2"/>
          <c:y val="0.23239305646022404"/>
          <c:w val="0.82852689010132496"/>
          <c:h val="0.75323028787919288"/>
        </c:manualLayout>
      </c:layout>
      <c:barChart>
        <c:barDir val="col"/>
        <c:grouping val="stacked"/>
        <c:varyColors val="0"/>
        <c:ser>
          <c:idx val="0"/>
          <c:order val="0"/>
          <c:tx>
            <c:strRef>
              <c:f>energy!$A$43</c:f>
              <c:strCache>
                <c:ptCount val="1"/>
                <c:pt idx="0">
                  <c:v>HP</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0.25412474926265"/>
                      <c:h val="7.1788458102554936E-2"/>
                    </c:manualLayout>
                  </c15:layout>
                </c:ext>
                <c:ext xmlns:c16="http://schemas.microsoft.com/office/drawing/2014/chart" uri="{C3380CC4-5D6E-409C-BE32-E72D297353CC}">
                  <c16:uniqueId val="{00000005-405C-44F0-89B8-E900DC5B3D2A}"/>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energy!$N$43</c:f>
              <c:numCache>
                <c:formatCode>0</c:formatCode>
                <c:ptCount val="1"/>
                <c:pt idx="0">
                  <c:v>18139.7</c:v>
                </c:pt>
              </c:numCache>
            </c:numRef>
          </c:val>
          <c:extLst>
            <c:ext xmlns:c16="http://schemas.microsoft.com/office/drawing/2014/chart" uri="{C3380CC4-5D6E-409C-BE32-E72D297353CC}">
              <c16:uniqueId val="{00000000-405C-44F0-89B8-E900DC5B3D2A}"/>
            </c:ext>
          </c:extLst>
        </c:ser>
        <c:ser>
          <c:idx val="1"/>
          <c:order val="1"/>
          <c:tx>
            <c:strRef>
              <c:f>energy!$A$4</c:f>
              <c:strCache>
                <c:ptCount val="1"/>
                <c:pt idx="0">
                  <c:v>Heating Rod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energy!$N$4</c:f>
              <c:numCache>
                <c:formatCode>0</c:formatCode>
                <c:ptCount val="1"/>
                <c:pt idx="0">
                  <c:v>3549.4</c:v>
                </c:pt>
              </c:numCache>
            </c:numRef>
          </c:val>
          <c:extLst>
            <c:ext xmlns:c16="http://schemas.microsoft.com/office/drawing/2014/chart" uri="{C3380CC4-5D6E-409C-BE32-E72D297353CC}">
              <c16:uniqueId val="{00000001-405C-44F0-89B8-E900DC5B3D2A}"/>
            </c:ext>
          </c:extLst>
        </c:ser>
        <c:ser>
          <c:idx val="2"/>
          <c:order val="2"/>
          <c:tx>
            <c:strRef>
              <c:f>energy!$A$61</c:f>
              <c:strCache>
                <c:ptCount val="1"/>
                <c:pt idx="0">
                  <c:v>Gas Boiler</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energy!$N$61</c:f>
              <c:numCache>
                <c:formatCode>0</c:formatCode>
                <c:ptCount val="1"/>
                <c:pt idx="0">
                  <c:v>2883</c:v>
                </c:pt>
              </c:numCache>
            </c:numRef>
          </c:val>
          <c:extLst>
            <c:ext xmlns:c16="http://schemas.microsoft.com/office/drawing/2014/chart" uri="{C3380CC4-5D6E-409C-BE32-E72D297353CC}">
              <c16:uniqueId val="{00000002-405C-44F0-89B8-E900DC5B3D2A}"/>
            </c:ext>
          </c:extLst>
        </c:ser>
        <c:dLbls>
          <c:showLegendKey val="0"/>
          <c:showVal val="0"/>
          <c:showCatName val="0"/>
          <c:showSerName val="0"/>
          <c:showPercent val="0"/>
          <c:showBubbleSize val="0"/>
        </c:dLbls>
        <c:gapWidth val="219"/>
        <c:overlap val="100"/>
        <c:axId val="1467043567"/>
        <c:axId val="1467041647"/>
      </c:barChart>
      <c:lineChart>
        <c:grouping val="standard"/>
        <c:varyColors val="0"/>
        <c:ser>
          <c:idx val="3"/>
          <c:order val="3"/>
          <c:tx>
            <c:v> </c:v>
          </c:tx>
          <c:spPr>
            <a:ln w="28575" cap="rnd">
              <a:noFill/>
              <a:round/>
            </a:ln>
            <a:effectLst/>
          </c:spPr>
          <c:marker>
            <c:symbol val="circle"/>
            <c:size val="5"/>
            <c:spPr>
              <a:noFill/>
              <a:ln w="9525">
                <a:noFill/>
              </a:ln>
              <a:effectLst/>
            </c:spPr>
          </c:marker>
          <c:dLbls>
            <c:dLbl>
              <c:idx val="0"/>
              <c:layout>
                <c:manualLayout>
                  <c:x val="-0.18384649709950918"/>
                  <c:y val="-3.0534074075116203E-2"/>
                </c:manualLayout>
              </c:layout>
              <c:dLblPos val="r"/>
              <c:showLegendKey val="0"/>
              <c:showVal val="1"/>
              <c:showCatName val="0"/>
              <c:showSerName val="0"/>
              <c:showPercent val="0"/>
              <c:showBubbleSize val="0"/>
              <c:extLst>
                <c:ext xmlns:c15="http://schemas.microsoft.com/office/drawing/2012/chart" uri="{CE6537A1-D6FC-4f65-9D91-7224C49458BB}">
                  <c15:layout>
                    <c:manualLayout>
                      <c:w val="0.26952253458277553"/>
                      <c:h val="7.1788458102554936E-2"/>
                    </c:manualLayout>
                  </c15:layout>
                </c:ext>
                <c:ext xmlns:c16="http://schemas.microsoft.com/office/drawing/2014/chart" uri="{C3380CC4-5D6E-409C-BE32-E72D297353CC}">
                  <c16:uniqueId val="{00000004-405C-44F0-89B8-E900DC5B3D2A}"/>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energy!$N$80</c:f>
              <c:numCache>
                <c:formatCode>0</c:formatCode>
                <c:ptCount val="1"/>
                <c:pt idx="0">
                  <c:v>24572.1</c:v>
                </c:pt>
              </c:numCache>
            </c:numRef>
          </c:val>
          <c:smooth val="0"/>
          <c:extLst>
            <c:ext xmlns:c16="http://schemas.microsoft.com/office/drawing/2014/chart" uri="{C3380CC4-5D6E-409C-BE32-E72D297353CC}">
              <c16:uniqueId val="{00000003-405C-44F0-89B8-E900DC5B3D2A}"/>
            </c:ext>
          </c:extLst>
        </c:ser>
        <c:dLbls>
          <c:showLegendKey val="0"/>
          <c:showVal val="0"/>
          <c:showCatName val="0"/>
          <c:showSerName val="0"/>
          <c:showPercent val="0"/>
          <c:showBubbleSize val="0"/>
        </c:dLbls>
        <c:marker val="1"/>
        <c:smooth val="0"/>
        <c:axId val="1467043567"/>
        <c:axId val="1467041647"/>
      </c:lineChart>
      <c:catAx>
        <c:axId val="1467043567"/>
        <c:scaling>
          <c:orientation val="minMax"/>
        </c:scaling>
        <c:delete val="1"/>
        <c:axPos val="b"/>
        <c:numFmt formatCode="General" sourceLinked="1"/>
        <c:majorTickMark val="none"/>
        <c:minorTickMark val="none"/>
        <c:tickLblPos val="nextTo"/>
        <c:crossAx val="1467041647"/>
        <c:crosses val="autoZero"/>
        <c:auto val="1"/>
        <c:lblAlgn val="ctr"/>
        <c:lblOffset val="100"/>
        <c:noMultiLvlLbl val="0"/>
      </c:catAx>
      <c:valAx>
        <c:axId val="1467041647"/>
        <c:scaling>
          <c:orientation val="minMax"/>
          <c:max val="25000"/>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67043567"/>
        <c:crosses val="autoZero"/>
        <c:crossBetween val="between"/>
      </c:valAx>
      <c:spPr>
        <a:noFill/>
        <a:ln>
          <a:noFill/>
        </a:ln>
        <a:effectLst/>
      </c:spPr>
    </c:plotArea>
    <c:legend>
      <c:legendPos val="t"/>
      <c:layout>
        <c:manualLayout>
          <c:xMode val="edge"/>
          <c:yMode val="edge"/>
          <c:x val="0.27377190301011572"/>
          <c:y val="7.2715991276534706E-2"/>
          <c:w val="0.56407256321875432"/>
          <c:h val="9.4989943704532898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de-DE"/>
              <a:t>Electricity Consumption</a:t>
            </a:r>
          </a:p>
        </c:rich>
      </c:tx>
      <c:layout>
        <c:manualLayout>
          <c:xMode val="edge"/>
          <c:yMode val="edge"/>
          <c:x val="0.21760336973117456"/>
          <c:y val="0"/>
        </c:manualLayout>
      </c:layout>
      <c:overlay val="0"/>
      <c:spPr>
        <a:noFill/>
        <a:ln>
          <a:noFill/>
        </a:ln>
        <a:effectLst/>
      </c:spPr>
      <c:txPr>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1560693641618497"/>
          <c:y val="0.229569168558757"/>
          <c:w val="0.76878612716763006"/>
          <c:h val="0.75607590590741924"/>
        </c:manualLayout>
      </c:layout>
      <c:barChart>
        <c:barDir val="col"/>
        <c:grouping val="stacked"/>
        <c:varyColors val="0"/>
        <c:ser>
          <c:idx val="0"/>
          <c:order val="0"/>
          <c:tx>
            <c:v>HP</c:v>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0.2391304347826087"/>
                      <c:h val="7.2097613493630003E-2"/>
                    </c:manualLayout>
                  </c15:layout>
                </c:ext>
                <c:ext xmlns:c16="http://schemas.microsoft.com/office/drawing/2014/chart" uri="{C3380CC4-5D6E-409C-BE32-E72D297353CC}">
                  <c16:uniqueId val="{00000006-FF21-4466-B9EB-7150D79EF4C6}"/>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energy!$N$5</c:f>
              <c:numCache>
                <c:formatCode>0</c:formatCode>
                <c:ptCount val="1"/>
                <c:pt idx="0">
                  <c:v>6301.3</c:v>
                </c:pt>
              </c:numCache>
            </c:numRef>
          </c:val>
          <c:extLst>
            <c:ext xmlns:c16="http://schemas.microsoft.com/office/drawing/2014/chart" uri="{C3380CC4-5D6E-409C-BE32-E72D297353CC}">
              <c16:uniqueId val="{00000000-FF21-4466-B9EB-7150D79EF4C6}"/>
            </c:ext>
          </c:extLst>
        </c:ser>
        <c:ser>
          <c:idx val="1"/>
          <c:order val="1"/>
          <c:tx>
            <c:v>Heating Rod</c:v>
          </c:tx>
          <c:spPr>
            <a:solidFill>
              <a:schemeClr val="accent2"/>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0.22901921132457026"/>
                      <c:h val="7.2097613493630003E-2"/>
                    </c:manualLayout>
                  </c15:layout>
                </c:ext>
                <c:ext xmlns:c16="http://schemas.microsoft.com/office/drawing/2014/chart" uri="{C3380CC4-5D6E-409C-BE32-E72D297353CC}">
                  <c16:uniqueId val="{00000005-FF21-4466-B9EB-7150D79EF4C6}"/>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energy!$N$6</c:f>
              <c:numCache>
                <c:formatCode>0</c:formatCode>
                <c:ptCount val="1"/>
                <c:pt idx="0">
                  <c:v>3621.9</c:v>
                </c:pt>
              </c:numCache>
            </c:numRef>
          </c:val>
          <c:extLst>
            <c:ext xmlns:c16="http://schemas.microsoft.com/office/drawing/2014/chart" uri="{C3380CC4-5D6E-409C-BE32-E72D297353CC}">
              <c16:uniqueId val="{00000001-FF21-4466-B9EB-7150D79EF4C6}"/>
            </c:ext>
          </c:extLst>
        </c:ser>
        <c:dLbls>
          <c:showLegendKey val="0"/>
          <c:showVal val="0"/>
          <c:showCatName val="0"/>
          <c:showSerName val="0"/>
          <c:showPercent val="0"/>
          <c:showBubbleSize val="0"/>
        </c:dLbls>
        <c:gapWidth val="219"/>
        <c:overlap val="100"/>
        <c:axId val="1467043567"/>
        <c:axId val="1467041647"/>
      </c:barChart>
      <c:lineChart>
        <c:grouping val="standard"/>
        <c:varyColors val="0"/>
        <c:ser>
          <c:idx val="3"/>
          <c:order val="2"/>
          <c:tx>
            <c:v> </c:v>
          </c:tx>
          <c:spPr>
            <a:ln w="28575" cap="rnd">
              <a:noFill/>
              <a:round/>
            </a:ln>
            <a:effectLst/>
          </c:spPr>
          <c:marker>
            <c:symbol val="circle"/>
            <c:size val="5"/>
            <c:spPr>
              <a:noFill/>
              <a:ln w="9525">
                <a:noFill/>
              </a:ln>
              <a:effectLst/>
            </c:spPr>
          </c:marker>
          <c:dLbls>
            <c:dLbl>
              <c:idx val="0"/>
              <c:layout>
                <c:manualLayout>
                  <c:x val="-0.18023295621919858"/>
                  <c:y val="-3.0665568382994068E-2"/>
                </c:manualLayout>
              </c:layout>
              <c:dLblPos val="r"/>
              <c:showLegendKey val="0"/>
              <c:showVal val="1"/>
              <c:showCatName val="0"/>
              <c:showSerName val="0"/>
              <c:showPercent val="0"/>
              <c:showBubbleSize val="0"/>
              <c:extLst>
                <c:ext xmlns:c15="http://schemas.microsoft.com/office/drawing/2012/chart" uri="{CE6537A1-D6FC-4f65-9D91-7224C49458BB}">
                  <c15:layout>
                    <c:manualLayout>
                      <c:w val="0.24924165824064712"/>
                      <c:h val="7.2097613493630003E-2"/>
                    </c:manualLayout>
                  </c15:layout>
                </c:ext>
                <c:ext xmlns:c16="http://schemas.microsoft.com/office/drawing/2014/chart" uri="{C3380CC4-5D6E-409C-BE32-E72D297353CC}">
                  <c16:uniqueId val="{00000004-FF21-4466-B9EB-7150D79EF4C6}"/>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noFill/>
                      <a:round/>
                    </a:ln>
                    <a:effectLst/>
                  </c:spPr>
                </c15:leaderLines>
              </c:ext>
            </c:extLst>
          </c:dLbls>
          <c:val>
            <c:numRef>
              <c:f>energy!$N$81</c:f>
              <c:numCache>
                <c:formatCode>0</c:formatCode>
                <c:ptCount val="1"/>
                <c:pt idx="0">
                  <c:v>9923.2000000000007</c:v>
                </c:pt>
              </c:numCache>
            </c:numRef>
          </c:val>
          <c:smooth val="0"/>
          <c:extLst>
            <c:ext xmlns:c16="http://schemas.microsoft.com/office/drawing/2014/chart" uri="{C3380CC4-5D6E-409C-BE32-E72D297353CC}">
              <c16:uniqueId val="{00000003-FF21-4466-B9EB-7150D79EF4C6}"/>
            </c:ext>
          </c:extLst>
        </c:ser>
        <c:dLbls>
          <c:showLegendKey val="0"/>
          <c:showVal val="0"/>
          <c:showCatName val="0"/>
          <c:showSerName val="0"/>
          <c:showPercent val="0"/>
          <c:showBubbleSize val="0"/>
        </c:dLbls>
        <c:marker val="1"/>
        <c:smooth val="0"/>
        <c:axId val="1467043567"/>
        <c:axId val="1467041647"/>
      </c:lineChart>
      <c:catAx>
        <c:axId val="1467043567"/>
        <c:scaling>
          <c:orientation val="minMax"/>
        </c:scaling>
        <c:delete val="1"/>
        <c:axPos val="b"/>
        <c:numFmt formatCode="General" sourceLinked="1"/>
        <c:majorTickMark val="none"/>
        <c:minorTickMark val="none"/>
        <c:tickLblPos val="nextTo"/>
        <c:crossAx val="1467041647"/>
        <c:crosses val="autoZero"/>
        <c:auto val="1"/>
        <c:lblAlgn val="ctr"/>
        <c:lblOffset val="100"/>
        <c:noMultiLvlLbl val="0"/>
      </c:catAx>
      <c:valAx>
        <c:axId val="1467041647"/>
        <c:scaling>
          <c:orientation val="minMax"/>
          <c:max val="25000"/>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67043567"/>
        <c:crosses val="autoZero"/>
        <c:crossBetween val="between"/>
      </c:valAx>
      <c:spPr>
        <a:noFill/>
        <a:ln>
          <a:noFill/>
        </a:ln>
        <a:effectLst/>
      </c:spPr>
    </c:plotArea>
    <c:legend>
      <c:legendPos val="t"/>
      <c:layout>
        <c:manualLayout>
          <c:xMode val="edge"/>
          <c:yMode val="edge"/>
          <c:x val="0.26345720184871796"/>
          <c:y val="0.10231473174232909"/>
          <c:w val="0.49410421175019964"/>
          <c:h val="0.1164882426660600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de-DE"/>
              <a:t>Heat Pump Heat Source</a:t>
            </a:r>
          </a:p>
        </c:rich>
      </c:tx>
      <c:layout>
        <c:manualLayout>
          <c:xMode val="edge"/>
          <c:yMode val="edge"/>
          <c:x val="0.1118284981354694"/>
          <c:y val="1.0787486515641856E-2"/>
        </c:manualLayout>
      </c:layout>
      <c:overlay val="0"/>
      <c:spPr>
        <a:noFill/>
        <a:ln>
          <a:noFill/>
        </a:ln>
        <a:effectLst/>
      </c:spPr>
      <c:txPr>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1560693641618497"/>
          <c:y val="0.22992491628848233"/>
          <c:w val="0.76878612716763006"/>
          <c:h val="0.75552552269598194"/>
        </c:manualLayout>
      </c:layout>
      <c:barChart>
        <c:barDir val="col"/>
        <c:grouping val="stacked"/>
        <c:varyColors val="0"/>
        <c:ser>
          <c:idx val="1"/>
          <c:order val="0"/>
          <c:tx>
            <c:v>Ice Storage</c:v>
          </c:tx>
          <c:spPr>
            <a:solidFill>
              <a:schemeClr val="accent5"/>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0.25636471284783896"/>
                      <c:h val="7.176281478835507E-2"/>
                    </c:manualLayout>
                  </c15:layout>
                </c:ext>
                <c:ext xmlns:c16="http://schemas.microsoft.com/office/drawing/2014/chart" uri="{C3380CC4-5D6E-409C-BE32-E72D297353CC}">
                  <c16:uniqueId val="{00000007-CAD2-491A-9517-D6C73503CB94}"/>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energy!$N$23</c:f>
              <c:numCache>
                <c:formatCode>0</c:formatCode>
                <c:ptCount val="1"/>
                <c:pt idx="0">
                  <c:v>3235.5</c:v>
                </c:pt>
              </c:numCache>
            </c:numRef>
          </c:val>
          <c:extLst>
            <c:ext xmlns:c16="http://schemas.microsoft.com/office/drawing/2014/chart" uri="{C3380CC4-5D6E-409C-BE32-E72D297353CC}">
              <c16:uniqueId val="{00000000-CAD2-491A-9517-D6C73503CB94}"/>
            </c:ext>
          </c:extLst>
        </c:ser>
        <c:ser>
          <c:idx val="2"/>
          <c:order val="1"/>
          <c:tx>
            <c:v>PVT</c:v>
          </c:tx>
          <c:spPr>
            <a:solidFill>
              <a:srgbClr val="FFC000"/>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0.32741267021906451"/>
                      <c:h val="7.176281478835507E-2"/>
                    </c:manualLayout>
                  </c15:layout>
                </c:ext>
                <c:ext xmlns:c16="http://schemas.microsoft.com/office/drawing/2014/chart" uri="{C3380CC4-5D6E-409C-BE32-E72D297353CC}">
                  <c16:uniqueId val="{00000006-CAD2-491A-9517-D6C73503CB94}"/>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energy!$N$56</c:f>
              <c:numCache>
                <c:formatCode>0</c:formatCode>
                <c:ptCount val="1"/>
                <c:pt idx="0">
                  <c:v>8589.4</c:v>
                </c:pt>
              </c:numCache>
            </c:numRef>
          </c:val>
          <c:extLst>
            <c:ext xmlns:c16="http://schemas.microsoft.com/office/drawing/2014/chart" uri="{C3380CC4-5D6E-409C-BE32-E72D297353CC}">
              <c16:uniqueId val="{00000001-CAD2-491A-9517-D6C73503CB94}"/>
            </c:ext>
          </c:extLst>
        </c:ser>
        <c:ser>
          <c:idx val="4"/>
          <c:order val="2"/>
          <c:tx>
            <c:v>Defrost HX</c:v>
          </c:tx>
          <c:spPr>
            <a:solidFill>
              <a:schemeClr val="bg1">
                <a:lumMod val="65000"/>
              </a:schemeClr>
            </a:solidFill>
            <a:ln>
              <a:noFill/>
            </a:ln>
            <a:effectLst/>
          </c:spPr>
          <c:invertIfNegative val="0"/>
          <c:dLbls>
            <c:dLbl>
              <c:idx val="0"/>
              <c:layout>
                <c:manualLayout>
                  <c:x val="-9.287206872533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D2-491A-9517-D6C73503CB94}"/>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energy!$N$1</c:f>
              <c:strCache>
                <c:ptCount val="1"/>
                <c:pt idx="0">
                  <c:v>Summe</c:v>
                </c:pt>
              </c:strCache>
            </c:strRef>
          </c:cat>
          <c:val>
            <c:numRef>
              <c:f>energy!$N$57</c:f>
              <c:numCache>
                <c:formatCode>0</c:formatCode>
                <c:ptCount val="1"/>
                <c:pt idx="0">
                  <c:v>63.1</c:v>
                </c:pt>
              </c:numCache>
            </c:numRef>
          </c:val>
          <c:extLst>
            <c:ext xmlns:c16="http://schemas.microsoft.com/office/drawing/2014/chart" uri="{C3380CC4-5D6E-409C-BE32-E72D297353CC}">
              <c16:uniqueId val="{00000002-CAD2-491A-9517-D6C73503CB94}"/>
            </c:ext>
          </c:extLst>
        </c:ser>
        <c:dLbls>
          <c:showLegendKey val="0"/>
          <c:showVal val="0"/>
          <c:showCatName val="0"/>
          <c:showSerName val="0"/>
          <c:showPercent val="0"/>
          <c:showBubbleSize val="0"/>
        </c:dLbls>
        <c:gapWidth val="150"/>
        <c:overlap val="100"/>
        <c:axId val="1467043567"/>
        <c:axId val="1467041647"/>
      </c:barChart>
      <c:lineChart>
        <c:grouping val="standard"/>
        <c:varyColors val="0"/>
        <c:ser>
          <c:idx val="0"/>
          <c:order val="3"/>
          <c:tx>
            <c:v> </c:v>
          </c:tx>
          <c:spPr>
            <a:ln w="28575" cap="rnd">
              <a:noFill/>
              <a:round/>
            </a:ln>
            <a:effectLst/>
          </c:spPr>
          <c:marker>
            <c:symbol val="circle"/>
            <c:size val="5"/>
            <c:spPr>
              <a:noFill/>
              <a:ln w="9525">
                <a:noFill/>
              </a:ln>
              <a:effectLst/>
            </c:spPr>
          </c:marker>
          <c:dLbls>
            <c:dLbl>
              <c:idx val="0"/>
              <c:dLblPos val="t"/>
              <c:showLegendKey val="0"/>
              <c:showVal val="1"/>
              <c:showCatName val="0"/>
              <c:showSerName val="0"/>
              <c:showPercent val="0"/>
              <c:showBubbleSize val="0"/>
              <c:extLst>
                <c:ext xmlns:c15="http://schemas.microsoft.com/office/drawing/2012/chart" uri="{CE6537A1-D6FC-4f65-9D91-7224C49458BB}">
                  <c15:layout>
                    <c:manualLayout>
                      <c:w val="0.3254304135606495"/>
                      <c:h val="7.2240121619018008E-2"/>
                    </c:manualLayout>
                  </c15:layout>
                </c:ext>
                <c:ext xmlns:c16="http://schemas.microsoft.com/office/drawing/2014/chart" uri="{C3380CC4-5D6E-409C-BE32-E72D297353CC}">
                  <c16:uniqueId val="{00000005-CAD2-491A-9517-D6C73503CB94}"/>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noFill/>
                      <a:round/>
                    </a:ln>
                    <a:effectLst/>
                  </c:spPr>
                </c15:leaderLines>
              </c:ext>
            </c:extLst>
          </c:dLbls>
          <c:val>
            <c:numRef>
              <c:f>energy!$N$82</c:f>
              <c:numCache>
                <c:formatCode>0</c:formatCode>
                <c:ptCount val="1"/>
                <c:pt idx="0">
                  <c:v>11888</c:v>
                </c:pt>
              </c:numCache>
            </c:numRef>
          </c:val>
          <c:smooth val="0"/>
          <c:extLst>
            <c:ext xmlns:c16="http://schemas.microsoft.com/office/drawing/2014/chart" uri="{C3380CC4-5D6E-409C-BE32-E72D297353CC}">
              <c16:uniqueId val="{00000003-CAD2-491A-9517-D6C73503CB94}"/>
            </c:ext>
          </c:extLst>
        </c:ser>
        <c:dLbls>
          <c:showLegendKey val="0"/>
          <c:showVal val="0"/>
          <c:showCatName val="0"/>
          <c:showSerName val="0"/>
          <c:showPercent val="0"/>
          <c:showBubbleSize val="0"/>
        </c:dLbls>
        <c:marker val="1"/>
        <c:smooth val="0"/>
        <c:axId val="1467043567"/>
        <c:axId val="1467041647"/>
      </c:lineChart>
      <c:catAx>
        <c:axId val="1467043567"/>
        <c:scaling>
          <c:orientation val="minMax"/>
        </c:scaling>
        <c:delete val="1"/>
        <c:axPos val="b"/>
        <c:numFmt formatCode="General" sourceLinked="1"/>
        <c:majorTickMark val="none"/>
        <c:minorTickMark val="none"/>
        <c:tickLblPos val="nextTo"/>
        <c:crossAx val="1467041647"/>
        <c:crosses val="autoZero"/>
        <c:auto val="1"/>
        <c:lblAlgn val="ctr"/>
        <c:lblOffset val="100"/>
        <c:noMultiLvlLbl val="0"/>
      </c:catAx>
      <c:valAx>
        <c:axId val="1467041647"/>
        <c:scaling>
          <c:orientation val="minMax"/>
          <c:max val="25000"/>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67043567"/>
        <c:crosses val="autoZero"/>
        <c:crossBetween val="between"/>
      </c:valAx>
      <c:spPr>
        <a:noFill/>
        <a:ln>
          <a:noFill/>
        </a:ln>
        <a:effectLst/>
      </c:spPr>
    </c:plotArea>
    <c:legend>
      <c:legendPos val="t"/>
      <c:layout>
        <c:manualLayout>
          <c:xMode val="edge"/>
          <c:yMode val="edge"/>
          <c:x val="0.25919290304161269"/>
          <c:y val="9.8004456562670761E-2"/>
          <c:w val="0.4937556573737204"/>
          <c:h val="9.8593662847160285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de-DE"/>
              <a:t>Heat Generation</a:t>
            </a:r>
          </a:p>
        </c:rich>
      </c:tx>
      <c:layout>
        <c:manualLayout>
          <c:xMode val="edge"/>
          <c:yMode val="edge"/>
          <c:x val="0.41896516794748856"/>
          <c:y val="0"/>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1565700085087992"/>
          <c:y val="0.1711864106874281"/>
          <c:w val="0.77249379848102173"/>
          <c:h val="0.70042958113381892"/>
        </c:manualLayout>
      </c:layout>
      <c:barChart>
        <c:barDir val="col"/>
        <c:grouping val="percentStacked"/>
        <c:varyColors val="0"/>
        <c:ser>
          <c:idx val="0"/>
          <c:order val="0"/>
          <c:tx>
            <c:strRef>
              <c:f>energy!$A$43</c:f>
              <c:strCache>
                <c:ptCount val="1"/>
                <c:pt idx="0">
                  <c:v>HP</c:v>
                </c:pt>
              </c:strCache>
            </c:strRef>
          </c:tx>
          <c:spPr>
            <a:solidFill>
              <a:schemeClr val="accent1"/>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energy!$B$43:$M$43</c:f>
              <c:numCache>
                <c:formatCode>0</c:formatCode>
                <c:ptCount val="12"/>
                <c:pt idx="0">
                  <c:v>26.7</c:v>
                </c:pt>
                <c:pt idx="1">
                  <c:v>507.7</c:v>
                </c:pt>
                <c:pt idx="2">
                  <c:v>784.09999999999991</c:v>
                </c:pt>
                <c:pt idx="3">
                  <c:v>1761.6</c:v>
                </c:pt>
                <c:pt idx="4">
                  <c:v>3167</c:v>
                </c:pt>
                <c:pt idx="5">
                  <c:v>3094.3</c:v>
                </c:pt>
                <c:pt idx="6">
                  <c:v>2468.1999999999998</c:v>
                </c:pt>
                <c:pt idx="7">
                  <c:v>2226.5</c:v>
                </c:pt>
                <c:pt idx="8">
                  <c:v>2619.1999999999998</c:v>
                </c:pt>
                <c:pt idx="9">
                  <c:v>1077.3</c:v>
                </c:pt>
                <c:pt idx="10">
                  <c:v>361.9</c:v>
                </c:pt>
                <c:pt idx="11">
                  <c:v>45.2</c:v>
                </c:pt>
              </c:numCache>
            </c:numRef>
          </c:val>
          <c:extLst>
            <c:ext xmlns:c16="http://schemas.microsoft.com/office/drawing/2014/chart" uri="{C3380CC4-5D6E-409C-BE32-E72D297353CC}">
              <c16:uniqueId val="{00000000-2B83-49BD-BA38-D1C85169EB2D}"/>
            </c:ext>
          </c:extLst>
        </c:ser>
        <c:ser>
          <c:idx val="1"/>
          <c:order val="1"/>
          <c:tx>
            <c:strRef>
              <c:f>energy!$A$4</c:f>
              <c:strCache>
                <c:ptCount val="1"/>
                <c:pt idx="0">
                  <c:v>Heating Rod</c:v>
                </c:pt>
              </c:strCache>
            </c:strRef>
          </c:tx>
          <c:spPr>
            <a:solidFill>
              <a:schemeClr val="accent2"/>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energy!$B$4:$M$4</c:f>
              <c:numCache>
                <c:formatCode>0</c:formatCode>
                <c:ptCount val="12"/>
                <c:pt idx="0">
                  <c:v>328.5</c:v>
                </c:pt>
                <c:pt idx="1">
                  <c:v>66.400000000000006</c:v>
                </c:pt>
                <c:pt idx="2">
                  <c:v>12.4</c:v>
                </c:pt>
                <c:pt idx="3">
                  <c:v>195.2</c:v>
                </c:pt>
                <c:pt idx="4">
                  <c:v>125.7</c:v>
                </c:pt>
                <c:pt idx="5">
                  <c:v>389.5</c:v>
                </c:pt>
                <c:pt idx="6">
                  <c:v>625.70000000000005</c:v>
                </c:pt>
                <c:pt idx="7">
                  <c:v>233.3</c:v>
                </c:pt>
                <c:pt idx="8">
                  <c:v>359.6</c:v>
                </c:pt>
                <c:pt idx="9">
                  <c:v>475.5</c:v>
                </c:pt>
                <c:pt idx="10">
                  <c:v>428.6</c:v>
                </c:pt>
                <c:pt idx="11">
                  <c:v>309</c:v>
                </c:pt>
              </c:numCache>
            </c:numRef>
          </c:val>
          <c:extLst>
            <c:ext xmlns:c16="http://schemas.microsoft.com/office/drawing/2014/chart" uri="{C3380CC4-5D6E-409C-BE32-E72D297353CC}">
              <c16:uniqueId val="{00000001-2B83-49BD-BA38-D1C85169EB2D}"/>
            </c:ext>
          </c:extLst>
        </c:ser>
        <c:ser>
          <c:idx val="3"/>
          <c:order val="2"/>
          <c:tx>
            <c:strRef>
              <c:f>energy!$A$61</c:f>
              <c:strCache>
                <c:ptCount val="1"/>
                <c:pt idx="0">
                  <c:v>Gas Boiler</c:v>
                </c:pt>
              </c:strCache>
            </c:strRef>
          </c:tx>
          <c:spPr>
            <a:solidFill>
              <a:schemeClr val="bg1">
                <a:lumMod val="65000"/>
              </a:schemeClr>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energy!$B$61:$M$61</c:f>
              <c:numCache>
                <c:formatCode>0</c:formatCode>
                <c:ptCount val="12"/>
                <c:pt idx="0">
                  <c:v>0</c:v>
                </c:pt>
                <c:pt idx="1">
                  <c:v>0</c:v>
                </c:pt>
                <c:pt idx="2">
                  <c:v>0</c:v>
                </c:pt>
                <c:pt idx="3">
                  <c:v>0</c:v>
                </c:pt>
                <c:pt idx="4">
                  <c:v>0</c:v>
                </c:pt>
                <c:pt idx="5">
                  <c:v>406</c:v>
                </c:pt>
                <c:pt idx="6">
                  <c:v>1744.9</c:v>
                </c:pt>
                <c:pt idx="7">
                  <c:v>732</c:v>
                </c:pt>
                <c:pt idx="8">
                  <c:v>0</c:v>
                </c:pt>
                <c:pt idx="9">
                  <c:v>0</c:v>
                </c:pt>
                <c:pt idx="10">
                  <c:v>0</c:v>
                </c:pt>
                <c:pt idx="11">
                  <c:v>0</c:v>
                </c:pt>
              </c:numCache>
            </c:numRef>
          </c:val>
          <c:extLst>
            <c:ext xmlns:c16="http://schemas.microsoft.com/office/drawing/2014/chart" uri="{C3380CC4-5D6E-409C-BE32-E72D297353CC}">
              <c16:uniqueId val="{00000002-2B83-49BD-BA38-D1C85169EB2D}"/>
            </c:ext>
          </c:extLst>
        </c:ser>
        <c:dLbls>
          <c:showLegendKey val="0"/>
          <c:showVal val="0"/>
          <c:showCatName val="0"/>
          <c:showSerName val="0"/>
          <c:showPercent val="0"/>
          <c:showBubbleSize val="0"/>
        </c:dLbls>
        <c:gapWidth val="150"/>
        <c:overlap val="100"/>
        <c:axId val="1467043567"/>
        <c:axId val="1467041647"/>
      </c:barChart>
      <c:lineChart>
        <c:grouping val="standard"/>
        <c:varyColors val="0"/>
        <c:ser>
          <c:idx val="2"/>
          <c:order val="3"/>
          <c:tx>
            <c:strRef>
              <c:f>energy!$A$62</c:f>
              <c:strCache>
                <c:ptCount val="1"/>
                <c:pt idx="0">
                  <c:v>Total</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energy!$B$62:$M$62</c:f>
              <c:numCache>
                <c:formatCode>0</c:formatCode>
                <c:ptCount val="12"/>
                <c:pt idx="0">
                  <c:v>355.2</c:v>
                </c:pt>
                <c:pt idx="1">
                  <c:v>574.1</c:v>
                </c:pt>
                <c:pt idx="2">
                  <c:v>796.49999999999989</c:v>
                </c:pt>
                <c:pt idx="3">
                  <c:v>1956.8</c:v>
                </c:pt>
                <c:pt idx="4">
                  <c:v>3292.7</c:v>
                </c:pt>
                <c:pt idx="5">
                  <c:v>3889.8</c:v>
                </c:pt>
                <c:pt idx="6">
                  <c:v>4838.8</c:v>
                </c:pt>
                <c:pt idx="7">
                  <c:v>3191.8</c:v>
                </c:pt>
                <c:pt idx="8">
                  <c:v>2978.8</c:v>
                </c:pt>
                <c:pt idx="9">
                  <c:v>1552.8</c:v>
                </c:pt>
                <c:pt idx="10">
                  <c:v>790.5</c:v>
                </c:pt>
                <c:pt idx="11">
                  <c:v>354.2</c:v>
                </c:pt>
              </c:numCache>
            </c:numRef>
          </c:val>
          <c:smooth val="0"/>
          <c:extLst>
            <c:ext xmlns:c16="http://schemas.microsoft.com/office/drawing/2014/chart" uri="{C3380CC4-5D6E-409C-BE32-E72D297353CC}">
              <c16:uniqueId val="{00000003-2B83-49BD-BA38-D1C85169EB2D}"/>
            </c:ext>
          </c:extLst>
        </c:ser>
        <c:dLbls>
          <c:showLegendKey val="0"/>
          <c:showVal val="0"/>
          <c:showCatName val="0"/>
          <c:showSerName val="0"/>
          <c:showPercent val="0"/>
          <c:showBubbleSize val="0"/>
        </c:dLbls>
        <c:marker val="1"/>
        <c:smooth val="0"/>
        <c:axId val="500750511"/>
        <c:axId val="300406479"/>
      </c:lineChart>
      <c:catAx>
        <c:axId val="146704356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1647"/>
        <c:crosses val="autoZero"/>
        <c:auto val="1"/>
        <c:lblAlgn val="ctr"/>
        <c:lblOffset val="100"/>
        <c:noMultiLvlLbl val="0"/>
      </c:catAx>
      <c:valAx>
        <c:axId val="146704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Share of heat generation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valAx>
      <c:valAx>
        <c:axId val="300406479"/>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Total heat generation [kWh]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500750511"/>
        <c:crosses val="max"/>
        <c:crossBetween val="between"/>
      </c:valAx>
      <c:catAx>
        <c:axId val="500750511"/>
        <c:scaling>
          <c:orientation val="minMax"/>
        </c:scaling>
        <c:delete val="1"/>
        <c:axPos val="t"/>
        <c:majorTickMark val="out"/>
        <c:minorTickMark val="none"/>
        <c:tickLblPos val="nextTo"/>
        <c:crossAx val="300406479"/>
        <c:crosses val="max"/>
        <c:auto val="1"/>
        <c:lblAlgn val="ctr"/>
        <c:lblOffset val="100"/>
        <c:noMultiLvlLbl val="0"/>
      </c:catAx>
      <c:spPr>
        <a:noFill/>
        <a:ln>
          <a:noFill/>
        </a:ln>
        <a:effectLst/>
      </c:spPr>
    </c:plotArea>
    <c:legend>
      <c:legendPos val="t"/>
      <c:layout>
        <c:manualLayout>
          <c:xMode val="edge"/>
          <c:yMode val="edge"/>
          <c:x val="0.23341950180755708"/>
          <c:y val="8.3495630461922599E-2"/>
          <c:w val="0.53316081630447998"/>
          <c:h val="7.823881565366126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de-DE"/>
              <a:t>Electricity Consumption and PV Electricity</a:t>
            </a:r>
          </a:p>
        </c:rich>
      </c:tx>
      <c:layout>
        <c:manualLayout>
          <c:xMode val="edge"/>
          <c:yMode val="edge"/>
          <c:x val="0.30835028545767157"/>
          <c:y val="1.1518525628719524E-2"/>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9.3015164275942586E-2"/>
          <c:y val="9.1073142637742369E-2"/>
          <c:w val="0.60068749470832272"/>
          <c:h val="0.80109239033292878"/>
        </c:manualLayout>
      </c:layout>
      <c:barChart>
        <c:barDir val="col"/>
        <c:grouping val="stacked"/>
        <c:varyColors val="0"/>
        <c:ser>
          <c:idx val="2"/>
          <c:order val="0"/>
          <c:tx>
            <c:strRef>
              <c:f>energy!$A$7</c:f>
              <c:strCache>
                <c:ptCount val="1"/>
                <c:pt idx="0">
                  <c:v>Household Consumption</c:v>
                </c:pt>
              </c:strCache>
            </c:strRef>
          </c:tx>
          <c:spPr>
            <a:solidFill>
              <a:schemeClr val="accent4">
                <a:lumMod val="75000"/>
              </a:schemeClr>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energy!$B$7:$M$7</c:f>
              <c:numCache>
                <c:formatCode>0</c:formatCode>
                <c:ptCount val="12"/>
                <c:pt idx="0">
                  <c:v>147.19999999999999</c:v>
                </c:pt>
                <c:pt idx="1">
                  <c:v>166.3</c:v>
                </c:pt>
                <c:pt idx="2">
                  <c:v>181.8</c:v>
                </c:pt>
                <c:pt idx="3">
                  <c:v>241.3</c:v>
                </c:pt>
                <c:pt idx="4">
                  <c:v>291.5</c:v>
                </c:pt>
                <c:pt idx="5">
                  <c:v>328.7</c:v>
                </c:pt>
                <c:pt idx="6">
                  <c:v>317.39999999999998</c:v>
                </c:pt>
                <c:pt idx="7">
                  <c:v>303.2</c:v>
                </c:pt>
                <c:pt idx="8">
                  <c:v>297.60000000000002</c:v>
                </c:pt>
                <c:pt idx="9">
                  <c:v>211.1</c:v>
                </c:pt>
                <c:pt idx="10">
                  <c:v>157.19999999999999</c:v>
                </c:pt>
                <c:pt idx="11">
                  <c:v>157.5</c:v>
                </c:pt>
              </c:numCache>
            </c:numRef>
          </c:val>
          <c:extLst>
            <c:ext xmlns:c16="http://schemas.microsoft.com/office/drawing/2014/chart" uri="{C3380CC4-5D6E-409C-BE32-E72D297353CC}">
              <c16:uniqueId val="{00000000-1964-4CA3-A047-7871722723D1}"/>
            </c:ext>
          </c:extLst>
        </c:ser>
        <c:ser>
          <c:idx val="0"/>
          <c:order val="1"/>
          <c:tx>
            <c:strRef>
              <c:f>energy!$A$5</c:f>
              <c:strCache>
                <c:ptCount val="1"/>
                <c:pt idx="0">
                  <c:v>HP Consumption</c:v>
                </c:pt>
              </c:strCache>
            </c:strRef>
          </c:tx>
          <c:spPr>
            <a:solidFill>
              <a:schemeClr val="accent1"/>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energy!$B$5:$M$5</c:f>
              <c:numCache>
                <c:formatCode>0</c:formatCode>
                <c:ptCount val="12"/>
                <c:pt idx="0">
                  <c:v>6.4</c:v>
                </c:pt>
                <c:pt idx="1">
                  <c:v>106.4</c:v>
                </c:pt>
                <c:pt idx="2">
                  <c:v>184.7</c:v>
                </c:pt>
                <c:pt idx="3">
                  <c:v>533.9</c:v>
                </c:pt>
                <c:pt idx="4">
                  <c:v>1105.8</c:v>
                </c:pt>
                <c:pt idx="5">
                  <c:v>1101.5999999999999</c:v>
                </c:pt>
                <c:pt idx="6">
                  <c:v>1018.2</c:v>
                </c:pt>
                <c:pt idx="7">
                  <c:v>866.7</c:v>
                </c:pt>
                <c:pt idx="8">
                  <c:v>877.3</c:v>
                </c:pt>
                <c:pt idx="9">
                  <c:v>393.9</c:v>
                </c:pt>
                <c:pt idx="10">
                  <c:v>96.2</c:v>
                </c:pt>
                <c:pt idx="11">
                  <c:v>10.1</c:v>
                </c:pt>
              </c:numCache>
            </c:numRef>
          </c:val>
          <c:extLst>
            <c:ext xmlns:c16="http://schemas.microsoft.com/office/drawing/2014/chart" uri="{C3380CC4-5D6E-409C-BE32-E72D297353CC}">
              <c16:uniqueId val="{00000001-1964-4CA3-A047-7871722723D1}"/>
            </c:ext>
          </c:extLst>
        </c:ser>
        <c:ser>
          <c:idx val="1"/>
          <c:order val="2"/>
          <c:tx>
            <c:strRef>
              <c:f>energy!$A$6</c:f>
              <c:strCache>
                <c:ptCount val="1"/>
                <c:pt idx="0">
                  <c:v>Heating Rod Consumption</c:v>
                </c:pt>
              </c:strCache>
            </c:strRef>
          </c:tx>
          <c:spPr>
            <a:solidFill>
              <a:schemeClr val="accent2"/>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energy!$B$6:$M$6</c:f>
              <c:numCache>
                <c:formatCode>0</c:formatCode>
                <c:ptCount val="12"/>
                <c:pt idx="0">
                  <c:v>335.2</c:v>
                </c:pt>
                <c:pt idx="1">
                  <c:v>67.8</c:v>
                </c:pt>
                <c:pt idx="2">
                  <c:v>12.6</c:v>
                </c:pt>
                <c:pt idx="3">
                  <c:v>199.2</c:v>
                </c:pt>
                <c:pt idx="4">
                  <c:v>128.30000000000001</c:v>
                </c:pt>
                <c:pt idx="5">
                  <c:v>397.5</c:v>
                </c:pt>
                <c:pt idx="6">
                  <c:v>638.5</c:v>
                </c:pt>
                <c:pt idx="7">
                  <c:v>238.1</c:v>
                </c:pt>
                <c:pt idx="8">
                  <c:v>367</c:v>
                </c:pt>
                <c:pt idx="9">
                  <c:v>485.2</c:v>
                </c:pt>
                <c:pt idx="10">
                  <c:v>437.3</c:v>
                </c:pt>
                <c:pt idx="11">
                  <c:v>315.3</c:v>
                </c:pt>
              </c:numCache>
            </c:numRef>
          </c:val>
          <c:extLst>
            <c:ext xmlns:c16="http://schemas.microsoft.com/office/drawing/2014/chart" uri="{C3380CC4-5D6E-409C-BE32-E72D297353CC}">
              <c16:uniqueId val="{00000002-1964-4CA3-A047-7871722723D1}"/>
            </c:ext>
          </c:extLst>
        </c:ser>
        <c:dLbls>
          <c:showLegendKey val="0"/>
          <c:showVal val="0"/>
          <c:showCatName val="0"/>
          <c:showSerName val="0"/>
          <c:showPercent val="0"/>
          <c:showBubbleSize val="0"/>
        </c:dLbls>
        <c:gapWidth val="219"/>
        <c:overlap val="100"/>
        <c:axId val="1467043567"/>
        <c:axId val="1467041647"/>
      </c:barChart>
      <c:lineChart>
        <c:grouping val="standard"/>
        <c:varyColors val="0"/>
        <c:ser>
          <c:idx val="4"/>
          <c:order val="3"/>
          <c:tx>
            <c:strRef>
              <c:f>energy!$A$9</c:f>
              <c:strCache>
                <c:ptCount val="1"/>
                <c:pt idx="0">
                  <c:v>PV Generation</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energy!$B$9:$M$9</c:f>
              <c:numCache>
                <c:formatCode>0</c:formatCode>
                <c:ptCount val="12"/>
                <c:pt idx="0">
                  <c:v>1033.4000000000001</c:v>
                </c:pt>
                <c:pt idx="1">
                  <c:v>1176.8</c:v>
                </c:pt>
                <c:pt idx="2">
                  <c:v>733.5</c:v>
                </c:pt>
                <c:pt idx="3">
                  <c:v>607.9</c:v>
                </c:pt>
                <c:pt idx="4">
                  <c:v>429.4</c:v>
                </c:pt>
                <c:pt idx="5">
                  <c:v>185.4</c:v>
                </c:pt>
                <c:pt idx="6">
                  <c:v>356.2</c:v>
                </c:pt>
                <c:pt idx="7">
                  <c:v>378.2</c:v>
                </c:pt>
                <c:pt idx="8">
                  <c:v>870.3</c:v>
                </c:pt>
                <c:pt idx="9">
                  <c:v>1174.5</c:v>
                </c:pt>
                <c:pt idx="10">
                  <c:v>1281.5999999999999</c:v>
                </c:pt>
                <c:pt idx="11">
                  <c:v>1195.3</c:v>
                </c:pt>
              </c:numCache>
            </c:numRef>
          </c:val>
          <c:smooth val="0"/>
          <c:extLst>
            <c:ext xmlns:c16="http://schemas.microsoft.com/office/drawing/2014/chart" uri="{C3380CC4-5D6E-409C-BE32-E72D297353CC}">
              <c16:uniqueId val="{00000003-1964-4CA3-A047-7871722723D1}"/>
            </c:ext>
          </c:extLst>
        </c:ser>
        <c:ser>
          <c:idx val="3"/>
          <c:order val="5"/>
          <c:tx>
            <c:strRef>
              <c:f>energy!$A$8</c:f>
              <c:strCache>
                <c:ptCount val="1"/>
              </c:strCache>
            </c:strRef>
          </c:tx>
          <c:spPr>
            <a:ln w="28575" cap="rnd">
              <a:noFill/>
              <a:round/>
            </a:ln>
            <a:effectLst/>
          </c:spPr>
          <c:marker>
            <c:symbol val="circle"/>
            <c:size val="5"/>
            <c:spPr>
              <a:noFill/>
              <a:ln w="9525">
                <a:noFill/>
              </a:ln>
              <a:effectLst/>
            </c:spPr>
          </c:marker>
          <c:dLbls>
            <c:dLbl>
              <c:idx val="9"/>
              <c:layout>
                <c:manualLayout>
                  <c:x val="-2.4394165613873895E-2"/>
                  <c:y val="-1.170689168739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964-4CA3-A047-7871722723D1}"/>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energy!$B$8:$M$8</c:f>
              <c:numCache>
                <c:formatCode>0</c:formatCode>
                <c:ptCount val="12"/>
                <c:pt idx="0">
                  <c:v>488.1</c:v>
                </c:pt>
                <c:pt idx="1">
                  <c:v>342.8</c:v>
                </c:pt>
                <c:pt idx="2">
                  <c:v>380.7</c:v>
                </c:pt>
                <c:pt idx="3">
                  <c:v>974.3</c:v>
                </c:pt>
                <c:pt idx="4">
                  <c:v>1526.5</c:v>
                </c:pt>
                <c:pt idx="5">
                  <c:v>1825.1</c:v>
                </c:pt>
                <c:pt idx="6">
                  <c:v>1973.8</c:v>
                </c:pt>
                <c:pt idx="7">
                  <c:v>1397.5</c:v>
                </c:pt>
                <c:pt idx="8">
                  <c:v>1576.7</c:v>
                </c:pt>
                <c:pt idx="9">
                  <c:v>1090.8</c:v>
                </c:pt>
                <c:pt idx="10">
                  <c:v>691.4</c:v>
                </c:pt>
                <c:pt idx="11">
                  <c:v>485.1</c:v>
                </c:pt>
              </c:numCache>
            </c:numRef>
          </c:val>
          <c:smooth val="0"/>
          <c:extLst>
            <c:ext xmlns:c16="http://schemas.microsoft.com/office/drawing/2014/chart" uri="{C3380CC4-5D6E-409C-BE32-E72D297353CC}">
              <c16:uniqueId val="{00000004-1964-4CA3-A047-7871722723D1}"/>
            </c:ext>
          </c:extLst>
        </c:ser>
        <c:dLbls>
          <c:showLegendKey val="0"/>
          <c:showVal val="0"/>
          <c:showCatName val="0"/>
          <c:showSerName val="0"/>
          <c:showPercent val="0"/>
          <c:showBubbleSize val="0"/>
        </c:dLbls>
        <c:marker val="1"/>
        <c:smooth val="0"/>
        <c:axId val="1467043567"/>
        <c:axId val="1467041647"/>
      </c:lineChart>
      <c:lineChart>
        <c:grouping val="standard"/>
        <c:varyColors val="0"/>
        <c:ser>
          <c:idx val="5"/>
          <c:order val="4"/>
          <c:tx>
            <c:strRef>
              <c:f>energy!$A$27</c:f>
              <c:strCache>
                <c:ptCount val="1"/>
                <c:pt idx="0">
                  <c:v>PV Self-consumption</c:v>
                </c:pt>
              </c:strCache>
            </c:strRef>
          </c:tx>
          <c:spPr>
            <a:ln w="28575" cap="rnd">
              <a:solidFill>
                <a:schemeClr val="bg1">
                  <a:lumMod val="75000"/>
                </a:schemeClr>
              </a:solidFill>
              <a:round/>
            </a:ln>
            <a:effectLst/>
          </c:spPr>
          <c:marker>
            <c:symbol val="circle"/>
            <c:size val="5"/>
            <c:spPr>
              <a:solidFill>
                <a:schemeClr val="bg1">
                  <a:lumMod val="75000"/>
                </a:schemeClr>
              </a:solidFill>
              <a:ln w="9525">
                <a:solidFill>
                  <a:schemeClr val="bg1">
                    <a:lumMod val="75000"/>
                  </a:schemeClr>
                </a:solidFill>
              </a:ln>
              <a:effectLst/>
            </c:spPr>
          </c:marker>
          <c:dLbls>
            <c:dLbl>
              <c:idx val="0"/>
              <c:layout>
                <c:manualLayout>
                  <c:x val="-4.0002387435577672E-2"/>
                  <c:y val="1.5941316781656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964-4CA3-A047-7871722723D1}"/>
                </c:ext>
              </c:extLst>
            </c:dLbl>
            <c:dLbl>
              <c:idx val="2"/>
              <c:layout>
                <c:manualLayout>
                  <c:x val="-3.540838261187261E-2"/>
                  <c:y val="1.59413167816562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964-4CA3-A047-7871722723D1}"/>
                </c:ext>
              </c:extLst>
            </c:dLbl>
            <c:dLbl>
              <c:idx val="10"/>
              <c:layout>
                <c:manualLayout>
                  <c:x val="-3.7705385023725307E-2"/>
                  <c:y val="1.33354535894739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964-4CA3-A047-7871722723D1}"/>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energy!$B$27:$M$27</c:f>
              <c:numCache>
                <c:formatCode>0%</c:formatCode>
                <c:ptCount val="12"/>
                <c:pt idx="0">
                  <c:v>0.41299999999999998</c:v>
                </c:pt>
                <c:pt idx="1">
                  <c:v>0.22</c:v>
                </c:pt>
                <c:pt idx="2">
                  <c:v>0.28699999999999998</c:v>
                </c:pt>
                <c:pt idx="3">
                  <c:v>0.79400000000000004</c:v>
                </c:pt>
                <c:pt idx="4">
                  <c:v>0.84699999999999998</c:v>
                </c:pt>
                <c:pt idx="5">
                  <c:v>0.92700000000000005</c:v>
                </c:pt>
                <c:pt idx="6">
                  <c:v>0.90300000000000002</c:v>
                </c:pt>
                <c:pt idx="7">
                  <c:v>0.88800000000000001</c:v>
                </c:pt>
                <c:pt idx="8">
                  <c:v>0.76700000000000002</c:v>
                </c:pt>
                <c:pt idx="9">
                  <c:v>0.62</c:v>
                </c:pt>
                <c:pt idx="10">
                  <c:v>0.47699999999999998</c:v>
                </c:pt>
                <c:pt idx="11">
                  <c:v>0.35099999999999998</c:v>
                </c:pt>
              </c:numCache>
            </c:numRef>
          </c:val>
          <c:smooth val="0"/>
          <c:extLst>
            <c:ext xmlns:c16="http://schemas.microsoft.com/office/drawing/2014/chart" uri="{C3380CC4-5D6E-409C-BE32-E72D297353CC}">
              <c16:uniqueId val="{00000005-1964-4CA3-A047-7871722723D1}"/>
            </c:ext>
          </c:extLst>
        </c:ser>
        <c:dLbls>
          <c:showLegendKey val="0"/>
          <c:showVal val="0"/>
          <c:showCatName val="0"/>
          <c:showSerName val="0"/>
          <c:showPercent val="0"/>
          <c:showBubbleSize val="0"/>
        </c:dLbls>
        <c:marker val="1"/>
        <c:smooth val="0"/>
        <c:axId val="357935071"/>
        <c:axId val="300331119"/>
      </c:lineChart>
      <c:catAx>
        <c:axId val="146704356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1647"/>
        <c:crosses val="autoZero"/>
        <c:auto val="1"/>
        <c:lblAlgn val="ctr"/>
        <c:lblOffset val="100"/>
        <c:noMultiLvlLbl val="0"/>
      </c:catAx>
      <c:valAx>
        <c:axId val="146704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Electricity Consumption and PV Generation [kWh]</a:t>
                </a:r>
              </a:p>
            </c:rich>
          </c:tx>
          <c:layout>
            <c:manualLayout>
              <c:xMode val="edge"/>
              <c:yMode val="edge"/>
              <c:x val="7.753718285214348E-4"/>
              <c:y val="0.10830995587917101"/>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valAx>
      <c:valAx>
        <c:axId val="300331119"/>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PV Self-consumption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357935071"/>
        <c:crosses val="max"/>
        <c:crossBetween val="between"/>
      </c:valAx>
      <c:catAx>
        <c:axId val="357935071"/>
        <c:scaling>
          <c:orientation val="minMax"/>
        </c:scaling>
        <c:delete val="1"/>
        <c:axPos val="b"/>
        <c:majorTickMark val="out"/>
        <c:minorTickMark val="none"/>
        <c:tickLblPos val="nextTo"/>
        <c:crossAx val="300331119"/>
        <c:crosses val="autoZero"/>
        <c:auto val="1"/>
        <c:lblAlgn val="ctr"/>
        <c:lblOffset val="100"/>
        <c:noMultiLvlLbl val="0"/>
      </c:catAx>
      <c:spPr>
        <a:noFill/>
        <a:ln>
          <a:noFill/>
        </a:ln>
        <a:effectLst/>
      </c:spPr>
    </c:plotArea>
    <c:legend>
      <c:legendPos val="r"/>
      <c:layout>
        <c:manualLayout>
          <c:xMode val="edge"/>
          <c:yMode val="edge"/>
          <c:x val="0.79043291878903688"/>
          <c:y val="0.15965825350733059"/>
          <c:w val="0.19593381604395566"/>
          <c:h val="0.6680896026410981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07847138916487E-2"/>
          <c:y val="5.8231868713605084E-2"/>
          <c:w val="0.6902350199739653"/>
          <c:h val="0.85917308245415858"/>
        </c:manualLayout>
      </c:layout>
      <c:lineChart>
        <c:grouping val="standard"/>
        <c:varyColors val="0"/>
        <c:ser>
          <c:idx val="0"/>
          <c:order val="0"/>
          <c:tx>
            <c:strRef>
              <c:f>stats!$A$3</c:f>
              <c:strCache>
                <c:ptCount val="1"/>
                <c:pt idx="0">
                  <c:v>Tank Top</c:v>
                </c:pt>
              </c:strCache>
            </c:strRef>
          </c:tx>
          <c:spPr>
            <a:ln w="28575" cap="rnd">
              <a:solidFill>
                <a:schemeClr val="accent2">
                  <a:lumMod val="50000"/>
                </a:schemeClr>
              </a:solidFill>
              <a:round/>
            </a:ln>
            <a:effectLst/>
          </c:spPr>
          <c:marker>
            <c:symbol val="circle"/>
            <c:size val="5"/>
            <c:spPr>
              <a:solidFill>
                <a:schemeClr val="accent2">
                  <a:lumMod val="50000"/>
                </a:schemeClr>
              </a:solidFill>
              <a:ln w="9525">
                <a:solidFill>
                  <a:schemeClr val="accent2">
                    <a:lumMod val="50000"/>
                  </a:schemeClr>
                </a:solidFill>
              </a:ln>
              <a:effectLst/>
            </c:spPr>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stats!$B$1:$M$1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stats!$B$3:$M$3</c:f>
              <c:numCache>
                <c:formatCode>General</c:formatCode>
                <c:ptCount val="12"/>
                <c:pt idx="0">
                  <c:v>61.3</c:v>
                </c:pt>
                <c:pt idx="1">
                  <c:v>60.8</c:v>
                </c:pt>
                <c:pt idx="2">
                  <c:v>58.2</c:v>
                </c:pt>
                <c:pt idx="3">
                  <c:v>58.6</c:v>
                </c:pt>
                <c:pt idx="4">
                  <c:v>59.2</c:v>
                </c:pt>
                <c:pt idx="5">
                  <c:v>58.1</c:v>
                </c:pt>
                <c:pt idx="6">
                  <c:v>59.3</c:v>
                </c:pt>
                <c:pt idx="7">
                  <c:v>57.9</c:v>
                </c:pt>
                <c:pt idx="8">
                  <c:v>58.2</c:v>
                </c:pt>
                <c:pt idx="9">
                  <c:v>58.2</c:v>
                </c:pt>
                <c:pt idx="10">
                  <c:v>56.9</c:v>
                </c:pt>
                <c:pt idx="11">
                  <c:v>57.8</c:v>
                </c:pt>
              </c:numCache>
            </c:numRef>
          </c:val>
          <c:smooth val="0"/>
          <c:extLst>
            <c:ext xmlns:c16="http://schemas.microsoft.com/office/drawing/2014/chart" uri="{C3380CC4-5D6E-409C-BE32-E72D297353CC}">
              <c16:uniqueId val="{00000000-8B9A-4CEF-8699-6F293763FE37}"/>
            </c:ext>
          </c:extLst>
        </c:ser>
        <c:ser>
          <c:idx val="1"/>
          <c:order val="1"/>
          <c:tx>
            <c:strRef>
              <c:f>stats!$A$4</c:f>
              <c:strCache>
                <c:ptCount val="1"/>
                <c:pt idx="0">
                  <c:v>Tank 60% Height</c:v>
                </c:pt>
              </c:strCache>
            </c:strRef>
          </c:tx>
          <c:spPr>
            <a:ln w="28575" cap="rnd">
              <a:solidFill>
                <a:schemeClr val="accent2">
                  <a:lumMod val="75000"/>
                </a:schemeClr>
              </a:solidFill>
              <a:round/>
            </a:ln>
            <a:effectLst/>
          </c:spPr>
          <c:marker>
            <c:symbol val="circle"/>
            <c:size val="5"/>
            <c:spPr>
              <a:solidFill>
                <a:schemeClr val="accent2">
                  <a:lumMod val="75000"/>
                </a:schemeClr>
              </a:solidFill>
              <a:ln w="9525">
                <a:solidFill>
                  <a:schemeClr val="accent2">
                    <a:lumMod val="75000"/>
                  </a:schemeClr>
                </a:solidFill>
              </a:ln>
              <a:effectLst/>
            </c:spPr>
          </c:marker>
          <c:cat>
            <c:numRef>
              <c:f>stats!$B$1:$M$1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stats!$B$4:$M$4</c:f>
              <c:numCache>
                <c:formatCode>General</c:formatCode>
                <c:ptCount val="12"/>
                <c:pt idx="0">
                  <c:v>56.8</c:v>
                </c:pt>
                <c:pt idx="1">
                  <c:v>50.6</c:v>
                </c:pt>
                <c:pt idx="2">
                  <c:v>47.8</c:v>
                </c:pt>
                <c:pt idx="3">
                  <c:v>46.7</c:v>
                </c:pt>
                <c:pt idx="4">
                  <c:v>48</c:v>
                </c:pt>
                <c:pt idx="5">
                  <c:v>46.8</c:v>
                </c:pt>
                <c:pt idx="6">
                  <c:v>50.9</c:v>
                </c:pt>
                <c:pt idx="7">
                  <c:v>50.2</c:v>
                </c:pt>
                <c:pt idx="8">
                  <c:v>50.3</c:v>
                </c:pt>
                <c:pt idx="9">
                  <c:v>48.9</c:v>
                </c:pt>
                <c:pt idx="10">
                  <c:v>46.5</c:v>
                </c:pt>
                <c:pt idx="11">
                  <c:v>46.8</c:v>
                </c:pt>
              </c:numCache>
            </c:numRef>
          </c:val>
          <c:smooth val="0"/>
          <c:extLst>
            <c:ext xmlns:c16="http://schemas.microsoft.com/office/drawing/2014/chart" uri="{C3380CC4-5D6E-409C-BE32-E72D297353CC}">
              <c16:uniqueId val="{00000001-8B9A-4CEF-8699-6F293763FE37}"/>
            </c:ext>
          </c:extLst>
        </c:ser>
        <c:ser>
          <c:idx val="2"/>
          <c:order val="2"/>
          <c:tx>
            <c:strRef>
              <c:f>stats!$A$5</c:f>
              <c:strCache>
                <c:ptCount val="1"/>
                <c:pt idx="0">
                  <c:v>Tank 30% Height</c:v>
                </c:pt>
              </c:strCache>
            </c:strRef>
          </c:tx>
          <c:spPr>
            <a:ln w="28575" cap="rnd">
              <a:solidFill>
                <a:schemeClr val="accent2">
                  <a:lumMod val="60000"/>
                  <a:lumOff val="40000"/>
                </a:schemeClr>
              </a:solidFill>
              <a:round/>
            </a:ln>
            <a:effectLst/>
          </c:spPr>
          <c:marker>
            <c:symbol val="circle"/>
            <c:size val="5"/>
            <c:spPr>
              <a:solidFill>
                <a:schemeClr val="accent2">
                  <a:lumMod val="60000"/>
                  <a:lumOff val="40000"/>
                </a:schemeClr>
              </a:solidFill>
              <a:ln w="9525">
                <a:solidFill>
                  <a:schemeClr val="accent2">
                    <a:lumMod val="60000"/>
                    <a:lumOff val="40000"/>
                  </a:schemeClr>
                </a:solidFill>
              </a:ln>
              <a:effectLst/>
            </c:spPr>
          </c:marker>
          <c:dLbls>
            <c:dLbl>
              <c:idx val="0"/>
              <c:layout>
                <c:manualLayout>
                  <c:x val="-4.458418405970957E-2"/>
                  <c:y val="-3.6434725701637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9A-4CEF-8699-6F293763FE37}"/>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stats!$B$1:$M$1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stats!$B$5:$M$5</c:f>
              <c:numCache>
                <c:formatCode>General</c:formatCode>
                <c:ptCount val="12"/>
                <c:pt idx="0">
                  <c:v>55.9</c:v>
                </c:pt>
                <c:pt idx="1">
                  <c:v>49.8</c:v>
                </c:pt>
                <c:pt idx="2">
                  <c:v>47</c:v>
                </c:pt>
                <c:pt idx="3">
                  <c:v>45.8</c:v>
                </c:pt>
                <c:pt idx="4">
                  <c:v>47.1</c:v>
                </c:pt>
                <c:pt idx="5">
                  <c:v>45.9</c:v>
                </c:pt>
                <c:pt idx="6">
                  <c:v>50</c:v>
                </c:pt>
                <c:pt idx="7">
                  <c:v>49.3</c:v>
                </c:pt>
                <c:pt idx="8">
                  <c:v>49.4</c:v>
                </c:pt>
                <c:pt idx="9">
                  <c:v>48</c:v>
                </c:pt>
                <c:pt idx="10">
                  <c:v>45.8</c:v>
                </c:pt>
                <c:pt idx="11">
                  <c:v>46.3</c:v>
                </c:pt>
              </c:numCache>
            </c:numRef>
          </c:val>
          <c:smooth val="0"/>
          <c:extLst>
            <c:ext xmlns:c16="http://schemas.microsoft.com/office/drawing/2014/chart" uri="{C3380CC4-5D6E-409C-BE32-E72D297353CC}">
              <c16:uniqueId val="{00000002-8B9A-4CEF-8699-6F293763FE37}"/>
            </c:ext>
          </c:extLst>
        </c:ser>
        <c:ser>
          <c:idx val="3"/>
          <c:order val="3"/>
          <c:tx>
            <c:strRef>
              <c:f>stats!$A$6</c:f>
              <c:strCache>
                <c:ptCount val="1"/>
                <c:pt idx="0">
                  <c:v>Tank Bottom</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stats!$B$1:$M$1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stats!$B$6:$M$6</c:f>
              <c:numCache>
                <c:formatCode>General</c:formatCode>
                <c:ptCount val="12"/>
                <c:pt idx="0">
                  <c:v>43.1</c:v>
                </c:pt>
                <c:pt idx="1">
                  <c:v>41.7</c:v>
                </c:pt>
                <c:pt idx="2">
                  <c:v>39.799999999999997</c:v>
                </c:pt>
                <c:pt idx="3">
                  <c:v>38.700000000000003</c:v>
                </c:pt>
                <c:pt idx="4">
                  <c:v>39.5</c:v>
                </c:pt>
                <c:pt idx="5">
                  <c:v>38.799999999999997</c:v>
                </c:pt>
                <c:pt idx="6">
                  <c:v>42.1</c:v>
                </c:pt>
                <c:pt idx="7">
                  <c:v>41.1</c:v>
                </c:pt>
                <c:pt idx="8">
                  <c:v>41.3</c:v>
                </c:pt>
                <c:pt idx="9">
                  <c:v>40.6</c:v>
                </c:pt>
                <c:pt idx="10">
                  <c:v>39.700000000000003</c:v>
                </c:pt>
                <c:pt idx="11">
                  <c:v>40.9</c:v>
                </c:pt>
              </c:numCache>
            </c:numRef>
          </c:val>
          <c:smooth val="0"/>
          <c:extLst>
            <c:ext xmlns:c16="http://schemas.microsoft.com/office/drawing/2014/chart" uri="{C3380CC4-5D6E-409C-BE32-E72D297353CC}">
              <c16:uniqueId val="{00000003-8B9A-4CEF-8699-6F293763FE37}"/>
            </c:ext>
          </c:extLst>
        </c:ser>
        <c:ser>
          <c:idx val="4"/>
          <c:order val="4"/>
          <c:tx>
            <c:strRef>
              <c:f>stats!$A$23</c:f>
              <c:strCache>
                <c:ptCount val="1"/>
                <c:pt idx="0">
                  <c:v>Evaporator Inflow</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stats!$B$1:$M$1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stats!$B$45:$M$45</c:f>
              <c:numCache>
                <c:formatCode>General</c:formatCode>
                <c:ptCount val="12"/>
                <c:pt idx="0">
                  <c:v>29.1</c:v>
                </c:pt>
                <c:pt idx="1">
                  <c:v>28.8</c:v>
                </c:pt>
                <c:pt idx="2">
                  <c:v>19</c:v>
                </c:pt>
                <c:pt idx="3">
                  <c:v>8</c:v>
                </c:pt>
                <c:pt idx="4">
                  <c:v>1.4</c:v>
                </c:pt>
                <c:pt idx="5">
                  <c:v>-1.1000000000000001</c:v>
                </c:pt>
                <c:pt idx="6">
                  <c:v>-1.3</c:v>
                </c:pt>
                <c:pt idx="7">
                  <c:v>1.2</c:v>
                </c:pt>
                <c:pt idx="8">
                  <c:v>5.0999999999999996</c:v>
                </c:pt>
                <c:pt idx="9">
                  <c:v>7.4</c:v>
                </c:pt>
                <c:pt idx="10">
                  <c:v>18.8</c:v>
                </c:pt>
                <c:pt idx="11">
                  <c:v>25.1</c:v>
                </c:pt>
              </c:numCache>
            </c:numRef>
          </c:val>
          <c:smooth val="0"/>
          <c:extLst>
            <c:ext xmlns:c16="http://schemas.microsoft.com/office/drawing/2014/chart" uri="{C3380CC4-5D6E-409C-BE32-E72D297353CC}">
              <c16:uniqueId val="{00000004-8B9A-4CEF-8699-6F293763FE37}"/>
            </c:ext>
          </c:extLst>
        </c:ser>
        <c:dLbls>
          <c:showLegendKey val="0"/>
          <c:showVal val="0"/>
          <c:showCatName val="0"/>
          <c:showSerName val="0"/>
          <c:showPercent val="0"/>
          <c:showBubbleSize val="0"/>
        </c:dLbls>
        <c:marker val="1"/>
        <c:smooth val="0"/>
        <c:axId val="1137192319"/>
        <c:axId val="1139311215"/>
      </c:lineChart>
      <c:catAx>
        <c:axId val="1137192319"/>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Monat</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139311215"/>
        <c:crosses val="autoZero"/>
        <c:auto val="1"/>
        <c:lblAlgn val="ctr"/>
        <c:lblOffset val="100"/>
        <c:noMultiLvlLbl val="0"/>
      </c:catAx>
      <c:valAx>
        <c:axId val="1139311215"/>
        <c:scaling>
          <c:orientation val="minMax"/>
          <c:max val="6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°C</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137192319"/>
        <c:crosses val="autoZero"/>
        <c:crossBetween val="between"/>
        <c:majorUnit val="5"/>
      </c:valAx>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1375139009794"/>
          <c:y val="6.1298411813875735E-2"/>
          <c:w val="0.7915644875716521"/>
          <c:h val="0.78764685620761599"/>
        </c:manualLayout>
      </c:layout>
      <c:barChart>
        <c:barDir val="col"/>
        <c:grouping val="stacked"/>
        <c:varyColors val="0"/>
        <c:ser>
          <c:idx val="0"/>
          <c:order val="0"/>
          <c:tx>
            <c:strRef>
              <c:f>energy!$A$43</c:f>
              <c:strCache>
                <c:ptCount val="1"/>
                <c:pt idx="0">
                  <c:v>HP</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energy!$B$43:$M$43</c:f>
              <c:numCache>
                <c:formatCode>0</c:formatCode>
                <c:ptCount val="12"/>
                <c:pt idx="0">
                  <c:v>26.7</c:v>
                </c:pt>
                <c:pt idx="1">
                  <c:v>507.7</c:v>
                </c:pt>
                <c:pt idx="2">
                  <c:v>784.09999999999991</c:v>
                </c:pt>
                <c:pt idx="3">
                  <c:v>1761.6</c:v>
                </c:pt>
                <c:pt idx="4">
                  <c:v>3167</c:v>
                </c:pt>
                <c:pt idx="5">
                  <c:v>3094.3</c:v>
                </c:pt>
                <c:pt idx="6">
                  <c:v>2468.1999999999998</c:v>
                </c:pt>
                <c:pt idx="7">
                  <c:v>2226.5</c:v>
                </c:pt>
                <c:pt idx="8">
                  <c:v>2619.1999999999998</c:v>
                </c:pt>
                <c:pt idx="9">
                  <c:v>1077.3</c:v>
                </c:pt>
                <c:pt idx="10">
                  <c:v>361.9</c:v>
                </c:pt>
                <c:pt idx="11">
                  <c:v>45.2</c:v>
                </c:pt>
              </c:numCache>
            </c:numRef>
          </c:val>
          <c:extLst>
            <c:ext xmlns:c16="http://schemas.microsoft.com/office/drawing/2014/chart" uri="{C3380CC4-5D6E-409C-BE32-E72D297353CC}">
              <c16:uniqueId val="{00000000-CA08-4FF9-929B-D35FBB5FE095}"/>
            </c:ext>
          </c:extLst>
        </c:ser>
        <c:dLbls>
          <c:showLegendKey val="0"/>
          <c:showVal val="0"/>
          <c:showCatName val="0"/>
          <c:showSerName val="0"/>
          <c:showPercent val="0"/>
          <c:showBubbleSize val="0"/>
        </c:dLbls>
        <c:gapWidth val="150"/>
        <c:overlap val="100"/>
        <c:axId val="1467043567"/>
        <c:axId val="1467041647"/>
      </c:barChart>
      <c:lineChart>
        <c:grouping val="standard"/>
        <c:varyColors val="0"/>
        <c:ser>
          <c:idx val="1"/>
          <c:order val="1"/>
          <c:tx>
            <c:strRef>
              <c:f>energy!$A$44</c:f>
              <c:strCache>
                <c:ptCount val="1"/>
                <c:pt idx="0">
                  <c:v>SPF_wp</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energy!$B$44:$M$44</c:f>
              <c:numCache>
                <c:formatCode>0.0</c:formatCode>
                <c:ptCount val="12"/>
                <c:pt idx="0">
                  <c:v>4.1719999999999997</c:v>
                </c:pt>
                <c:pt idx="1">
                  <c:v>4.7720000000000002</c:v>
                </c:pt>
                <c:pt idx="2">
                  <c:v>4.2450000000000001</c:v>
                </c:pt>
                <c:pt idx="3">
                  <c:v>3.2989999999999999</c:v>
                </c:pt>
                <c:pt idx="4">
                  <c:v>2.8639999999999999</c:v>
                </c:pt>
                <c:pt idx="5">
                  <c:v>2.8090000000000002</c:v>
                </c:pt>
                <c:pt idx="6">
                  <c:v>2.4239999999999999</c:v>
                </c:pt>
                <c:pt idx="7">
                  <c:v>2.569</c:v>
                </c:pt>
                <c:pt idx="8">
                  <c:v>2.9860000000000002</c:v>
                </c:pt>
                <c:pt idx="9">
                  <c:v>2.7349999999999999</c:v>
                </c:pt>
                <c:pt idx="10">
                  <c:v>3.762</c:v>
                </c:pt>
                <c:pt idx="11">
                  <c:v>4.4749999999999996</c:v>
                </c:pt>
              </c:numCache>
            </c:numRef>
          </c:val>
          <c:smooth val="0"/>
          <c:extLst>
            <c:ext xmlns:c16="http://schemas.microsoft.com/office/drawing/2014/chart" uri="{C3380CC4-5D6E-409C-BE32-E72D297353CC}">
              <c16:uniqueId val="{00000001-CA08-4FF9-929B-D35FBB5FE095}"/>
            </c:ext>
          </c:extLst>
        </c:ser>
        <c:dLbls>
          <c:showLegendKey val="0"/>
          <c:showVal val="0"/>
          <c:showCatName val="0"/>
          <c:showSerName val="0"/>
          <c:showPercent val="0"/>
          <c:showBubbleSize val="0"/>
        </c:dLbls>
        <c:marker val="1"/>
        <c:smooth val="0"/>
        <c:axId val="777798063"/>
        <c:axId val="300307119"/>
      </c:lineChart>
      <c:catAx>
        <c:axId val="146704356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1647"/>
        <c:crosses val="autoZero"/>
        <c:auto val="1"/>
        <c:lblAlgn val="ctr"/>
        <c:lblOffset val="100"/>
        <c:noMultiLvlLbl val="0"/>
      </c:catAx>
      <c:valAx>
        <c:axId val="146704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 Heat Generation [kWh]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valAx>
      <c:valAx>
        <c:axId val="300307119"/>
        <c:scaling>
          <c:orientation val="minMax"/>
          <c:min val="1"/>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SPF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777798063"/>
        <c:crosses val="max"/>
        <c:crossBetween val="between"/>
      </c:valAx>
      <c:catAx>
        <c:axId val="777798063"/>
        <c:scaling>
          <c:orientation val="minMax"/>
        </c:scaling>
        <c:delete val="1"/>
        <c:axPos val="b"/>
        <c:majorTickMark val="out"/>
        <c:minorTickMark val="none"/>
        <c:tickLblPos val="nextTo"/>
        <c:crossAx val="300307119"/>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de-DE"/>
              <a:t>Heat Pump Heat Source</a:t>
            </a:r>
          </a:p>
        </c:rich>
      </c:tx>
      <c:layout>
        <c:manualLayout>
          <c:xMode val="edge"/>
          <c:yMode val="edge"/>
          <c:x val="0.38190487543211349"/>
          <c:y val="7.9872204472843447E-3"/>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1659569195881746"/>
          <c:y val="0.18125927649618878"/>
          <c:w val="0.78614364705186679"/>
          <c:h val="0.69850601242736032"/>
        </c:manualLayout>
      </c:layout>
      <c:barChart>
        <c:barDir val="col"/>
        <c:grouping val="stacked"/>
        <c:varyColors val="0"/>
        <c:ser>
          <c:idx val="1"/>
          <c:order val="1"/>
          <c:tx>
            <c:v>Ice Storage</c:v>
          </c:tx>
          <c:spPr>
            <a:solidFill>
              <a:schemeClr val="accent5"/>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energy!$B$23:$M$23</c:f>
              <c:numCache>
                <c:formatCode>0</c:formatCode>
                <c:ptCount val="12"/>
                <c:pt idx="0">
                  <c:v>5.6</c:v>
                </c:pt>
                <c:pt idx="1">
                  <c:v>130.6</c:v>
                </c:pt>
                <c:pt idx="2">
                  <c:v>249.5</c:v>
                </c:pt>
                <c:pt idx="3">
                  <c:v>69.900000000000006</c:v>
                </c:pt>
                <c:pt idx="4">
                  <c:v>591.1</c:v>
                </c:pt>
                <c:pt idx="5">
                  <c:v>492.1</c:v>
                </c:pt>
                <c:pt idx="6">
                  <c:v>623.9</c:v>
                </c:pt>
                <c:pt idx="7">
                  <c:v>298.3</c:v>
                </c:pt>
                <c:pt idx="8">
                  <c:v>627.70000000000005</c:v>
                </c:pt>
                <c:pt idx="9">
                  <c:v>138.30000000000001</c:v>
                </c:pt>
                <c:pt idx="10">
                  <c:v>8.4</c:v>
                </c:pt>
                <c:pt idx="11">
                  <c:v>0</c:v>
                </c:pt>
              </c:numCache>
            </c:numRef>
          </c:val>
          <c:extLst>
            <c:ext xmlns:c16="http://schemas.microsoft.com/office/drawing/2014/chart" uri="{C3380CC4-5D6E-409C-BE32-E72D297353CC}">
              <c16:uniqueId val="{00000000-8045-4BC3-9E3B-B15832876E1F}"/>
            </c:ext>
          </c:extLst>
        </c:ser>
        <c:ser>
          <c:idx val="2"/>
          <c:order val="2"/>
          <c:tx>
            <c:v>PVT </c:v>
          </c:tx>
          <c:spPr>
            <a:solidFill>
              <a:srgbClr val="FFC000"/>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energy!$B$56:$M$56</c:f>
              <c:numCache>
                <c:formatCode>0</c:formatCode>
                <c:ptCount val="12"/>
                <c:pt idx="0">
                  <c:v>14.8</c:v>
                </c:pt>
                <c:pt idx="1">
                  <c:v>270.7</c:v>
                </c:pt>
                <c:pt idx="2">
                  <c:v>349.9</c:v>
                </c:pt>
                <c:pt idx="3">
                  <c:v>1157.9000000000001</c:v>
                </c:pt>
                <c:pt idx="4">
                  <c:v>1470</c:v>
                </c:pt>
                <c:pt idx="5">
                  <c:v>1450.1</c:v>
                </c:pt>
                <c:pt idx="6">
                  <c:v>865.1</c:v>
                </c:pt>
                <c:pt idx="7">
                  <c:v>1060.3</c:v>
                </c:pt>
                <c:pt idx="8">
                  <c:v>1113.4000000000001</c:v>
                </c:pt>
                <c:pt idx="9">
                  <c:v>544.9</c:v>
                </c:pt>
                <c:pt idx="10">
                  <c:v>257.2</c:v>
                </c:pt>
                <c:pt idx="11">
                  <c:v>35.1</c:v>
                </c:pt>
              </c:numCache>
            </c:numRef>
          </c:val>
          <c:extLst>
            <c:ext xmlns:c16="http://schemas.microsoft.com/office/drawing/2014/chart" uri="{C3380CC4-5D6E-409C-BE32-E72D297353CC}">
              <c16:uniqueId val="{00000001-8045-4BC3-9E3B-B15832876E1F}"/>
            </c:ext>
          </c:extLst>
        </c:ser>
        <c:ser>
          <c:idx val="4"/>
          <c:order val="3"/>
          <c:tx>
            <c:v>Defrost</c:v>
          </c:tx>
          <c:spPr>
            <a:solidFill>
              <a:schemeClr val="bg1">
                <a:lumMod val="65000"/>
              </a:schemeClr>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energy!$B$57:$I$57</c:f>
              <c:numCache>
                <c:formatCode>0</c:formatCode>
                <c:ptCount val="8"/>
                <c:pt idx="0">
                  <c:v>0</c:v>
                </c:pt>
                <c:pt idx="1">
                  <c:v>0</c:v>
                </c:pt>
                <c:pt idx="2">
                  <c:v>0</c:v>
                </c:pt>
                <c:pt idx="3">
                  <c:v>0</c:v>
                </c:pt>
                <c:pt idx="4">
                  <c:v>0</c:v>
                </c:pt>
                <c:pt idx="5">
                  <c:v>52</c:v>
                </c:pt>
                <c:pt idx="6">
                  <c:v>9</c:v>
                </c:pt>
                <c:pt idx="7">
                  <c:v>1.2</c:v>
                </c:pt>
              </c:numCache>
            </c:numRef>
          </c:val>
          <c:extLst>
            <c:ext xmlns:c16="http://schemas.microsoft.com/office/drawing/2014/chart" uri="{C3380CC4-5D6E-409C-BE32-E72D297353CC}">
              <c16:uniqueId val="{00000003-8045-4BC3-9E3B-B15832876E1F}"/>
            </c:ext>
          </c:extLst>
        </c:ser>
        <c:dLbls>
          <c:showLegendKey val="0"/>
          <c:showVal val="0"/>
          <c:showCatName val="0"/>
          <c:showSerName val="0"/>
          <c:showPercent val="0"/>
          <c:showBubbleSize val="0"/>
        </c:dLbls>
        <c:gapWidth val="150"/>
        <c:overlap val="100"/>
        <c:axId val="1467043567"/>
        <c:axId val="1467041647"/>
      </c:barChart>
      <c:lineChart>
        <c:grouping val="standard"/>
        <c:varyColors val="0"/>
        <c:ser>
          <c:idx val="0"/>
          <c:order val="0"/>
          <c:tx>
            <c:v> </c:v>
          </c:tx>
          <c:spPr>
            <a:ln w="28575" cap="rnd">
              <a:noFill/>
              <a:round/>
            </a:ln>
            <a:effectLst/>
          </c:spPr>
          <c:marker>
            <c:symbol val="circle"/>
            <c:size val="5"/>
            <c:spPr>
              <a:noFill/>
              <a:ln w="9525">
                <a:noFill/>
              </a:ln>
              <a:effectLst/>
            </c:spPr>
          </c:marker>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energy!$B$19:$M$19</c:f>
              <c:numCache>
                <c:formatCode>0</c:formatCode>
                <c:ptCount val="12"/>
                <c:pt idx="0">
                  <c:v>20.3</c:v>
                </c:pt>
                <c:pt idx="1">
                  <c:v>401.3</c:v>
                </c:pt>
                <c:pt idx="2">
                  <c:v>599.4</c:v>
                </c:pt>
                <c:pt idx="3">
                  <c:v>1227.7</c:v>
                </c:pt>
                <c:pt idx="4">
                  <c:v>2061.1999999999998</c:v>
                </c:pt>
                <c:pt idx="5">
                  <c:v>1992.7</c:v>
                </c:pt>
                <c:pt idx="6">
                  <c:v>1450</c:v>
                </c:pt>
                <c:pt idx="7">
                  <c:v>1359.8</c:v>
                </c:pt>
                <c:pt idx="8">
                  <c:v>1741.9</c:v>
                </c:pt>
                <c:pt idx="9">
                  <c:v>683.4</c:v>
                </c:pt>
                <c:pt idx="10">
                  <c:v>265.7</c:v>
                </c:pt>
                <c:pt idx="11">
                  <c:v>35.1</c:v>
                </c:pt>
              </c:numCache>
            </c:numRef>
          </c:val>
          <c:smooth val="0"/>
          <c:extLst>
            <c:ext xmlns:c16="http://schemas.microsoft.com/office/drawing/2014/chart" uri="{C3380CC4-5D6E-409C-BE32-E72D297353CC}">
              <c16:uniqueId val="{00000004-8045-4BC3-9E3B-B15832876E1F}"/>
            </c:ext>
          </c:extLst>
        </c:ser>
        <c:dLbls>
          <c:showLegendKey val="0"/>
          <c:showVal val="0"/>
          <c:showCatName val="0"/>
          <c:showSerName val="0"/>
          <c:showPercent val="0"/>
          <c:showBubbleSize val="0"/>
        </c:dLbls>
        <c:marker val="1"/>
        <c:smooth val="0"/>
        <c:axId val="1467043567"/>
        <c:axId val="1467041647"/>
      </c:lineChart>
      <c:lineChart>
        <c:grouping val="standard"/>
        <c:varyColors val="0"/>
        <c:ser>
          <c:idx val="5"/>
          <c:order val="4"/>
          <c:tx>
            <c:v>Brine Evaporator Inflow Temperature</c:v>
          </c:tx>
          <c:spPr>
            <a:ln w="28575" cap="rnd">
              <a:solidFill>
                <a:schemeClr val="accent6"/>
              </a:solid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stats!$B$45:$M$45</c:f>
              <c:numCache>
                <c:formatCode>General</c:formatCode>
                <c:ptCount val="12"/>
                <c:pt idx="0">
                  <c:v>29.1</c:v>
                </c:pt>
                <c:pt idx="1">
                  <c:v>28.8</c:v>
                </c:pt>
                <c:pt idx="2">
                  <c:v>19</c:v>
                </c:pt>
                <c:pt idx="3">
                  <c:v>8</c:v>
                </c:pt>
                <c:pt idx="4">
                  <c:v>1.4</c:v>
                </c:pt>
                <c:pt idx="5">
                  <c:v>-1.1000000000000001</c:v>
                </c:pt>
                <c:pt idx="6">
                  <c:v>-1.3</c:v>
                </c:pt>
                <c:pt idx="7">
                  <c:v>1.2</c:v>
                </c:pt>
                <c:pt idx="8">
                  <c:v>5.0999999999999996</c:v>
                </c:pt>
                <c:pt idx="9">
                  <c:v>7.4</c:v>
                </c:pt>
                <c:pt idx="10">
                  <c:v>18.8</c:v>
                </c:pt>
                <c:pt idx="11">
                  <c:v>25.1</c:v>
                </c:pt>
              </c:numCache>
            </c:numRef>
          </c:val>
          <c:smooth val="0"/>
          <c:extLst>
            <c:ext xmlns:c16="http://schemas.microsoft.com/office/drawing/2014/chart" uri="{C3380CC4-5D6E-409C-BE32-E72D297353CC}">
              <c16:uniqueId val="{00000005-8045-4BC3-9E3B-B15832876E1F}"/>
            </c:ext>
          </c:extLst>
        </c:ser>
        <c:dLbls>
          <c:showLegendKey val="0"/>
          <c:showVal val="0"/>
          <c:showCatName val="0"/>
          <c:showSerName val="0"/>
          <c:showPercent val="0"/>
          <c:showBubbleSize val="0"/>
        </c:dLbls>
        <c:marker val="1"/>
        <c:smooth val="0"/>
        <c:axId val="509251744"/>
        <c:axId val="509332384"/>
      </c:lineChart>
      <c:catAx>
        <c:axId val="146704356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1647"/>
        <c:crosses val="autoZero"/>
        <c:auto val="1"/>
        <c:lblAlgn val="ctr"/>
        <c:lblOffset val="100"/>
        <c:noMultiLvlLbl val="0"/>
      </c:catAx>
      <c:valAx>
        <c:axId val="146704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Heat Source [kWh]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valAx>
      <c:valAx>
        <c:axId val="509332384"/>
        <c:scaling>
          <c:orientation val="minMax"/>
          <c:max val="30"/>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Heat Source Temperature [°C]</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509251744"/>
        <c:crosses val="max"/>
        <c:crossBetween val="between"/>
      </c:valAx>
      <c:catAx>
        <c:axId val="509251744"/>
        <c:scaling>
          <c:orientation val="minMax"/>
        </c:scaling>
        <c:delete val="1"/>
        <c:axPos val="b"/>
        <c:majorTickMark val="out"/>
        <c:minorTickMark val="none"/>
        <c:tickLblPos val="nextTo"/>
        <c:crossAx val="509332384"/>
        <c:crosses val="autoZero"/>
        <c:auto val="1"/>
        <c:lblAlgn val="ctr"/>
        <c:lblOffset val="100"/>
        <c:noMultiLvlLbl val="0"/>
      </c:catAx>
      <c:spPr>
        <a:noFill/>
        <a:ln>
          <a:noFill/>
        </a:ln>
        <a:effectLst/>
      </c:spPr>
    </c:plotArea>
    <c:legend>
      <c:legendPos val="t"/>
      <c:layout>
        <c:manualLayout>
          <c:xMode val="edge"/>
          <c:yMode val="edge"/>
          <c:x val="5.0000046930598084E-2"/>
          <c:y val="6.6773162939297123E-2"/>
          <c:w val="0.89999990613880376"/>
          <c:h val="6.256918064954340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de-DE"/>
              <a:t>Heat Source Mode Shares</a:t>
            </a:r>
          </a:p>
        </c:rich>
      </c:tx>
      <c:layout>
        <c:manualLayout>
          <c:xMode val="edge"/>
          <c:yMode val="edge"/>
          <c:x val="0.37726380214884075"/>
          <c:y val="6.1728395061728392E-3"/>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9.7841929722011597E-2"/>
          <c:y val="0.1093827160493827"/>
          <c:w val="0.59022688240733867"/>
          <c:h val="0.74798289102751059"/>
        </c:manualLayout>
      </c:layout>
      <c:barChart>
        <c:barDir val="col"/>
        <c:grouping val="percentStacked"/>
        <c:varyColors val="0"/>
        <c:ser>
          <c:idx val="2"/>
          <c:order val="1"/>
          <c:tx>
            <c:v>PVT only</c:v>
          </c:tx>
          <c:spPr>
            <a:solidFill>
              <a:srgbClr val="FFC000"/>
            </a:solidFill>
            <a:ln>
              <a:noFill/>
            </a:ln>
            <a:effectLst/>
          </c:spPr>
          <c:invertIfNegative val="0"/>
          <c:cat>
            <c:numRef>
              <c:f>Sheet1!$B$1:$M$1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Sheet1!$B$30:$M$30</c:f>
              <c:numCache>
                <c:formatCode>General</c:formatCode>
                <c:ptCount val="12"/>
                <c:pt idx="0">
                  <c:v>13</c:v>
                </c:pt>
                <c:pt idx="1">
                  <c:v>206.1</c:v>
                </c:pt>
                <c:pt idx="2">
                  <c:v>263</c:v>
                </c:pt>
                <c:pt idx="3">
                  <c:v>1061.2</c:v>
                </c:pt>
                <c:pt idx="4">
                  <c:v>953.8</c:v>
                </c:pt>
                <c:pt idx="5">
                  <c:v>999.8</c:v>
                </c:pt>
                <c:pt idx="6">
                  <c:v>376.7</c:v>
                </c:pt>
                <c:pt idx="7">
                  <c:v>811.2</c:v>
                </c:pt>
                <c:pt idx="8">
                  <c:v>855.1</c:v>
                </c:pt>
                <c:pt idx="9">
                  <c:v>454.1</c:v>
                </c:pt>
                <c:pt idx="10">
                  <c:v>217.9</c:v>
                </c:pt>
                <c:pt idx="11">
                  <c:v>25.8</c:v>
                </c:pt>
              </c:numCache>
            </c:numRef>
          </c:val>
          <c:extLst>
            <c:ext xmlns:c16="http://schemas.microsoft.com/office/drawing/2014/chart" uri="{C3380CC4-5D6E-409C-BE32-E72D297353CC}">
              <c16:uniqueId val="{00000000-9024-4D7A-A4A5-BA4CF70B6822}"/>
            </c:ext>
          </c:extLst>
        </c:ser>
        <c:ser>
          <c:idx val="3"/>
          <c:order val="2"/>
          <c:tx>
            <c:v>ICE only</c:v>
          </c:tx>
          <c:spPr>
            <a:solidFill>
              <a:schemeClr val="accent5"/>
            </a:solidFill>
            <a:ln>
              <a:noFill/>
            </a:ln>
            <a:effectLst/>
          </c:spPr>
          <c:invertIfNegative val="0"/>
          <c:cat>
            <c:numRef>
              <c:f>Sheet1!$B$1:$M$1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Sheet1!$B$31:$M$31</c:f>
              <c:numCache>
                <c:formatCode>General</c:formatCode>
                <c:ptCount val="12"/>
                <c:pt idx="0">
                  <c:v>5.9</c:v>
                </c:pt>
                <c:pt idx="1">
                  <c:v>132.1</c:v>
                </c:pt>
                <c:pt idx="2">
                  <c:v>247.3</c:v>
                </c:pt>
                <c:pt idx="3">
                  <c:v>29.1</c:v>
                </c:pt>
                <c:pt idx="4">
                  <c:v>291.3</c:v>
                </c:pt>
                <c:pt idx="5">
                  <c:v>96.8</c:v>
                </c:pt>
                <c:pt idx="6">
                  <c:v>225.5</c:v>
                </c:pt>
                <c:pt idx="7">
                  <c:v>229.1</c:v>
                </c:pt>
                <c:pt idx="8">
                  <c:v>591.70000000000005</c:v>
                </c:pt>
                <c:pt idx="9">
                  <c:v>126.9</c:v>
                </c:pt>
                <c:pt idx="10">
                  <c:v>6.7</c:v>
                </c:pt>
                <c:pt idx="11">
                  <c:v>0</c:v>
                </c:pt>
              </c:numCache>
            </c:numRef>
          </c:val>
          <c:extLst>
            <c:ext xmlns:c16="http://schemas.microsoft.com/office/drawing/2014/chart" uri="{C3380CC4-5D6E-409C-BE32-E72D297353CC}">
              <c16:uniqueId val="{00000001-9024-4D7A-A4A5-BA4CF70B6822}"/>
            </c:ext>
          </c:extLst>
        </c:ser>
        <c:ser>
          <c:idx val="4"/>
          <c:order val="3"/>
          <c:tx>
            <c:v>PVT+ICE parallel</c:v>
          </c:tx>
          <c:spPr>
            <a:solidFill>
              <a:schemeClr val="accent3"/>
            </a:solidFill>
            <a:ln>
              <a:noFill/>
            </a:ln>
            <a:effectLst/>
          </c:spPr>
          <c:invertIfNegative val="0"/>
          <c:cat>
            <c:numRef>
              <c:f>Sheet1!$B$1:$M$1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Sheet1!$B$32:$M$32</c:f>
              <c:numCache>
                <c:formatCode>General</c:formatCode>
                <c:ptCount val="12"/>
                <c:pt idx="0">
                  <c:v>0</c:v>
                </c:pt>
                <c:pt idx="1">
                  <c:v>6</c:v>
                </c:pt>
                <c:pt idx="2">
                  <c:v>23.7</c:v>
                </c:pt>
                <c:pt idx="3">
                  <c:v>37.6</c:v>
                </c:pt>
                <c:pt idx="4">
                  <c:v>649.70000000000005</c:v>
                </c:pt>
                <c:pt idx="5">
                  <c:v>751.5</c:v>
                </c:pt>
                <c:pt idx="6">
                  <c:v>661</c:v>
                </c:pt>
                <c:pt idx="7">
                  <c:v>157.9</c:v>
                </c:pt>
                <c:pt idx="8">
                  <c:v>93.6</c:v>
                </c:pt>
                <c:pt idx="9">
                  <c:v>14.2</c:v>
                </c:pt>
                <c:pt idx="10">
                  <c:v>1</c:v>
                </c:pt>
                <c:pt idx="11">
                  <c:v>0</c:v>
                </c:pt>
              </c:numCache>
            </c:numRef>
          </c:val>
          <c:extLst>
            <c:ext xmlns:c16="http://schemas.microsoft.com/office/drawing/2014/chart" uri="{C3380CC4-5D6E-409C-BE32-E72D297353CC}">
              <c16:uniqueId val="{00000002-9024-4D7A-A4A5-BA4CF70B6822}"/>
            </c:ext>
          </c:extLst>
        </c:ser>
        <c:ser>
          <c:idx val="0"/>
          <c:order val="4"/>
          <c:tx>
            <c:v>PVT to HP to ICE</c:v>
          </c:tx>
          <c:spPr>
            <a:solidFill>
              <a:schemeClr val="accent1"/>
            </a:solidFill>
            <a:ln>
              <a:noFill/>
            </a:ln>
            <a:effectLst/>
          </c:spPr>
          <c:invertIfNegative val="0"/>
          <c:cat>
            <c:numRef>
              <c:f>Sheet1!$B$1:$M$1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Sheet1!$B$33:$M$33</c:f>
              <c:numCache>
                <c:formatCode>General</c:formatCode>
                <c:ptCount val="12"/>
                <c:pt idx="0">
                  <c:v>0.8</c:v>
                </c:pt>
                <c:pt idx="1">
                  <c:v>42.4</c:v>
                </c:pt>
                <c:pt idx="2">
                  <c:v>59.7</c:v>
                </c:pt>
                <c:pt idx="3">
                  <c:v>99.1</c:v>
                </c:pt>
                <c:pt idx="4">
                  <c:v>161.19999999999999</c:v>
                </c:pt>
                <c:pt idx="5">
                  <c:v>89.8</c:v>
                </c:pt>
                <c:pt idx="6">
                  <c:v>212.7</c:v>
                </c:pt>
                <c:pt idx="7">
                  <c:v>160.1</c:v>
                </c:pt>
                <c:pt idx="8">
                  <c:v>198.8</c:v>
                </c:pt>
                <c:pt idx="9">
                  <c:v>86.1</c:v>
                </c:pt>
                <c:pt idx="10">
                  <c:v>39.1</c:v>
                </c:pt>
                <c:pt idx="11">
                  <c:v>7.7</c:v>
                </c:pt>
              </c:numCache>
            </c:numRef>
          </c:val>
          <c:extLst>
            <c:ext xmlns:c16="http://schemas.microsoft.com/office/drawing/2014/chart" uri="{C3380CC4-5D6E-409C-BE32-E72D297353CC}">
              <c16:uniqueId val="{00000003-9024-4D7A-A4A5-BA4CF70B6822}"/>
            </c:ext>
          </c:extLst>
        </c:ser>
        <c:dLbls>
          <c:showLegendKey val="0"/>
          <c:showVal val="0"/>
          <c:showCatName val="0"/>
          <c:showSerName val="0"/>
          <c:showPercent val="0"/>
          <c:showBubbleSize val="0"/>
        </c:dLbls>
        <c:gapWidth val="219"/>
        <c:overlap val="100"/>
        <c:axId val="513872015"/>
        <c:axId val="42275855"/>
      </c:barChart>
      <c:lineChart>
        <c:grouping val="standard"/>
        <c:varyColors val="0"/>
        <c:ser>
          <c:idx val="1"/>
          <c:order val="0"/>
          <c:tx>
            <c:v>Total Heat Source</c:v>
          </c:tx>
          <c:spPr>
            <a:ln w="28575" cap="rnd">
              <a:solidFill>
                <a:schemeClr val="bg1">
                  <a:lumMod val="75000"/>
                </a:schemeClr>
              </a:solidFill>
              <a:round/>
            </a:ln>
            <a:effectLst/>
          </c:spPr>
          <c:marker>
            <c:symbol val="circle"/>
            <c:size val="5"/>
            <c:spPr>
              <a:solidFill>
                <a:schemeClr val="bg1">
                  <a:lumMod val="75000"/>
                </a:schemeClr>
              </a:solidFill>
              <a:ln w="9525">
                <a:solidFill>
                  <a:schemeClr val="bg1">
                    <a:lumMod val="75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Sheet1!$B$29:$M$29</c:f>
              <c:numCache>
                <c:formatCode>0</c:formatCode>
                <c:ptCount val="12"/>
                <c:pt idx="0">
                  <c:v>20.3</c:v>
                </c:pt>
                <c:pt idx="1">
                  <c:v>401.3</c:v>
                </c:pt>
                <c:pt idx="2">
                  <c:v>599.4</c:v>
                </c:pt>
                <c:pt idx="3">
                  <c:v>1227.7</c:v>
                </c:pt>
                <c:pt idx="4">
                  <c:v>2061.1999999999998</c:v>
                </c:pt>
                <c:pt idx="5">
                  <c:v>1992.7</c:v>
                </c:pt>
                <c:pt idx="6">
                  <c:v>1450</c:v>
                </c:pt>
                <c:pt idx="7">
                  <c:v>1359.8</c:v>
                </c:pt>
                <c:pt idx="8">
                  <c:v>1741.9</c:v>
                </c:pt>
                <c:pt idx="9">
                  <c:v>683.4</c:v>
                </c:pt>
                <c:pt idx="10">
                  <c:v>265.7</c:v>
                </c:pt>
                <c:pt idx="11">
                  <c:v>35.1</c:v>
                </c:pt>
              </c:numCache>
            </c:numRef>
          </c:val>
          <c:smooth val="0"/>
          <c:extLst>
            <c:ext xmlns:c16="http://schemas.microsoft.com/office/drawing/2014/chart" uri="{C3380CC4-5D6E-409C-BE32-E72D297353CC}">
              <c16:uniqueId val="{00000004-9024-4D7A-A4A5-BA4CF70B6822}"/>
            </c:ext>
          </c:extLst>
        </c:ser>
        <c:dLbls>
          <c:showLegendKey val="0"/>
          <c:showVal val="0"/>
          <c:showCatName val="0"/>
          <c:showSerName val="0"/>
          <c:showPercent val="0"/>
          <c:showBubbleSize val="0"/>
        </c:dLbls>
        <c:marker val="1"/>
        <c:smooth val="0"/>
        <c:axId val="514071999"/>
        <c:axId val="42327215"/>
      </c:lineChart>
      <c:catAx>
        <c:axId val="513872015"/>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42275855"/>
        <c:crosses val="autoZero"/>
        <c:auto val="1"/>
        <c:lblAlgn val="ctr"/>
        <c:lblOffset val="100"/>
        <c:noMultiLvlLbl val="0"/>
      </c:catAx>
      <c:valAx>
        <c:axId val="422758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Mode Heat Source Share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513872015"/>
        <c:crosses val="autoZero"/>
        <c:crossBetween val="between"/>
      </c:valAx>
      <c:valAx>
        <c:axId val="42327215"/>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 Total Heat Source [kWh]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514071999"/>
        <c:crosses val="max"/>
        <c:crossBetween val="between"/>
      </c:valAx>
      <c:catAx>
        <c:axId val="514071999"/>
        <c:scaling>
          <c:orientation val="minMax"/>
        </c:scaling>
        <c:delete val="1"/>
        <c:axPos val="b"/>
        <c:numFmt formatCode="General" sourceLinked="1"/>
        <c:majorTickMark val="out"/>
        <c:minorTickMark val="none"/>
        <c:tickLblPos val="nextTo"/>
        <c:crossAx val="42327215"/>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259699424229071"/>
          <c:y val="0.17855373873157201"/>
          <c:w val="0.80684579958351677"/>
          <c:h val="0.71429120349662734"/>
        </c:manualLayout>
      </c:layout>
      <c:barChart>
        <c:barDir val="col"/>
        <c:grouping val="clustered"/>
        <c:varyColors val="0"/>
        <c:ser>
          <c:idx val="0"/>
          <c:order val="0"/>
          <c:tx>
            <c:v>Regeneration from PVT Heat</c:v>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energy!$B$22:$M$22</c:f>
              <c:numCache>
                <c:formatCode>0</c:formatCode>
                <c:ptCount val="12"/>
                <c:pt idx="0">
                  <c:v>566.20000000000005</c:v>
                </c:pt>
                <c:pt idx="1">
                  <c:v>776.7</c:v>
                </c:pt>
                <c:pt idx="2">
                  <c:v>555.29999999999995</c:v>
                </c:pt>
                <c:pt idx="3">
                  <c:v>222.9</c:v>
                </c:pt>
                <c:pt idx="4">
                  <c:v>187.1</c:v>
                </c:pt>
                <c:pt idx="5">
                  <c:v>226.9</c:v>
                </c:pt>
                <c:pt idx="6">
                  <c:v>374</c:v>
                </c:pt>
                <c:pt idx="7">
                  <c:v>592</c:v>
                </c:pt>
                <c:pt idx="8">
                  <c:v>897.3</c:v>
                </c:pt>
                <c:pt idx="9">
                  <c:v>719.7</c:v>
                </c:pt>
                <c:pt idx="10">
                  <c:v>786</c:v>
                </c:pt>
                <c:pt idx="11">
                  <c:v>950.8</c:v>
                </c:pt>
              </c:numCache>
            </c:numRef>
          </c:val>
          <c:extLst>
            <c:ext xmlns:c16="http://schemas.microsoft.com/office/drawing/2014/chart" uri="{C3380CC4-5D6E-409C-BE32-E72D297353CC}">
              <c16:uniqueId val="{00000000-98AB-4C7D-9BC2-4EA1A5445E9C}"/>
            </c:ext>
          </c:extLst>
        </c:ser>
        <c:ser>
          <c:idx val="1"/>
          <c:order val="1"/>
          <c:tx>
            <c:v>Ice Storage Discharging to HP Evaporator</c:v>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energy!$B$23:$M$23</c:f>
              <c:numCache>
                <c:formatCode>0</c:formatCode>
                <c:ptCount val="12"/>
                <c:pt idx="0">
                  <c:v>5.6</c:v>
                </c:pt>
                <c:pt idx="1">
                  <c:v>130.6</c:v>
                </c:pt>
                <c:pt idx="2">
                  <c:v>249.5</c:v>
                </c:pt>
                <c:pt idx="3">
                  <c:v>69.900000000000006</c:v>
                </c:pt>
                <c:pt idx="4">
                  <c:v>591.1</c:v>
                </c:pt>
                <c:pt idx="5">
                  <c:v>492.1</c:v>
                </c:pt>
                <c:pt idx="6">
                  <c:v>623.9</c:v>
                </c:pt>
                <c:pt idx="7">
                  <c:v>298.3</c:v>
                </c:pt>
                <c:pt idx="8">
                  <c:v>627.70000000000005</c:v>
                </c:pt>
                <c:pt idx="9">
                  <c:v>138.30000000000001</c:v>
                </c:pt>
                <c:pt idx="10">
                  <c:v>8.4</c:v>
                </c:pt>
                <c:pt idx="11">
                  <c:v>0</c:v>
                </c:pt>
              </c:numCache>
            </c:numRef>
          </c:val>
          <c:extLst>
            <c:ext xmlns:c16="http://schemas.microsoft.com/office/drawing/2014/chart" uri="{C3380CC4-5D6E-409C-BE32-E72D297353CC}">
              <c16:uniqueId val="{00000001-98AB-4C7D-9BC2-4EA1A5445E9C}"/>
            </c:ext>
          </c:extLst>
        </c:ser>
        <c:dLbls>
          <c:showLegendKey val="0"/>
          <c:showVal val="0"/>
          <c:showCatName val="0"/>
          <c:showSerName val="0"/>
          <c:showPercent val="0"/>
          <c:showBubbleSize val="0"/>
        </c:dLbls>
        <c:gapWidth val="150"/>
        <c:axId val="1467043567"/>
        <c:axId val="1467041647"/>
      </c:barChart>
      <c:lineChart>
        <c:grouping val="standard"/>
        <c:varyColors val="0"/>
        <c:ser>
          <c:idx val="2"/>
          <c:order val="2"/>
          <c:tx>
            <c:v>Average Temperature Ice Storage</c:v>
          </c:tx>
          <c:spPr>
            <a:ln w="28575" cap="rnd">
              <a:solidFill>
                <a:schemeClr val="tx1">
                  <a:lumMod val="50000"/>
                  <a:lumOff val="50000"/>
                </a:schemeClr>
              </a:solidFill>
              <a:round/>
            </a:ln>
            <a:effectLst/>
          </c:spPr>
          <c:marker>
            <c:symbol val="circle"/>
            <c:size val="5"/>
            <c:spPr>
              <a:solidFill>
                <a:schemeClr val="tx1">
                  <a:lumMod val="50000"/>
                  <a:lumOff val="50000"/>
                </a:schemeClr>
              </a:solidFill>
              <a:ln w="9525">
                <a:solidFill>
                  <a:schemeClr val="tx1">
                    <a:lumMod val="50000"/>
                    <a:lumOff val="50000"/>
                  </a:schemeClr>
                </a:solidFill>
              </a:ln>
              <a:effectLst/>
            </c:spPr>
          </c:marker>
          <c:dLbls>
            <c:dLbl>
              <c:idx val="0"/>
              <c:layout>
                <c:manualLayout>
                  <c:x val="-1.4347202295552411E-2"/>
                  <c:y val="-1.906214258482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8AB-4C7D-9BC2-4EA1A5445E9C}"/>
                </c:ext>
              </c:extLst>
            </c:dLbl>
            <c:dLbl>
              <c:idx val="6"/>
              <c:layout>
                <c:manualLayout>
                  <c:x val="-1.4347202295552456E-2"/>
                  <c:y val="-3.8124285169653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8AB-4C7D-9BC2-4EA1A5445E9C}"/>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energy!$B$1:$I$1</c:f>
              <c:numCache>
                <c:formatCode>General</c:formatCode>
                <c:ptCount val="8"/>
                <c:pt idx="0">
                  <c:v>7</c:v>
                </c:pt>
                <c:pt idx="1">
                  <c:v>8</c:v>
                </c:pt>
                <c:pt idx="2">
                  <c:v>9</c:v>
                </c:pt>
                <c:pt idx="3">
                  <c:v>10</c:v>
                </c:pt>
                <c:pt idx="4">
                  <c:v>11</c:v>
                </c:pt>
                <c:pt idx="5">
                  <c:v>12</c:v>
                </c:pt>
                <c:pt idx="6">
                  <c:v>1</c:v>
                </c:pt>
                <c:pt idx="7">
                  <c:v>2</c:v>
                </c:pt>
              </c:numCache>
            </c:numRef>
          </c:cat>
          <c:val>
            <c:numRef>
              <c:f>energy!$B$72:$M$72</c:f>
              <c:numCache>
                <c:formatCode>0.0</c:formatCode>
                <c:ptCount val="12"/>
                <c:pt idx="0">
                  <c:v>32.974999999999994</c:v>
                </c:pt>
                <c:pt idx="1">
                  <c:v>29.25</c:v>
                </c:pt>
                <c:pt idx="2">
                  <c:v>24.475000000000001</c:v>
                </c:pt>
                <c:pt idx="3">
                  <c:v>18.350000000000001</c:v>
                </c:pt>
                <c:pt idx="4">
                  <c:v>10.625000000000002</c:v>
                </c:pt>
                <c:pt idx="5">
                  <c:v>2.4250000000000003</c:v>
                </c:pt>
                <c:pt idx="6">
                  <c:v>-2.4999999999999994E-2</c:v>
                </c:pt>
                <c:pt idx="7">
                  <c:v>1.0999999999999999</c:v>
                </c:pt>
                <c:pt idx="8">
                  <c:v>12.899999999999999</c:v>
                </c:pt>
                <c:pt idx="9">
                  <c:v>21.475000000000001</c:v>
                </c:pt>
                <c:pt idx="10">
                  <c:v>29.425000000000004</c:v>
                </c:pt>
                <c:pt idx="11">
                  <c:v>36.266666666666673</c:v>
                </c:pt>
              </c:numCache>
            </c:numRef>
          </c:val>
          <c:smooth val="0"/>
          <c:extLst>
            <c:ext xmlns:c16="http://schemas.microsoft.com/office/drawing/2014/chart" uri="{C3380CC4-5D6E-409C-BE32-E72D297353CC}">
              <c16:uniqueId val="{00000002-98AB-4C7D-9BC2-4EA1A5445E9C}"/>
            </c:ext>
          </c:extLst>
        </c:ser>
        <c:dLbls>
          <c:showLegendKey val="0"/>
          <c:showVal val="0"/>
          <c:showCatName val="0"/>
          <c:showSerName val="0"/>
          <c:showPercent val="0"/>
          <c:showBubbleSize val="0"/>
        </c:dLbls>
        <c:marker val="1"/>
        <c:smooth val="0"/>
        <c:axId val="672400991"/>
        <c:axId val="672406271"/>
      </c:lineChart>
      <c:catAx>
        <c:axId val="146704356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1647"/>
        <c:crosses val="autoZero"/>
        <c:auto val="1"/>
        <c:lblAlgn val="ctr"/>
        <c:lblOffset val="100"/>
        <c:noMultiLvlLbl val="0"/>
      </c:catAx>
      <c:valAx>
        <c:axId val="146704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Ice Storage</a:t>
                </a:r>
                <a:r>
                  <a:rPr lang="de-DE" baseline="0"/>
                  <a:t> Heat [</a:t>
                </a:r>
                <a:r>
                  <a:rPr lang="de-DE"/>
                  <a:t>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valAx>
      <c:valAx>
        <c:axId val="672406271"/>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Temperature Ice</a:t>
                </a:r>
                <a:r>
                  <a:rPr lang="de-DE" baseline="0"/>
                  <a:t> Storage [°C]</a:t>
                </a:r>
                <a:endParaRPr lang="de-DE"/>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672400991"/>
        <c:crosses val="max"/>
        <c:crossBetween val="between"/>
      </c:valAx>
      <c:catAx>
        <c:axId val="672400991"/>
        <c:scaling>
          <c:orientation val="minMax"/>
        </c:scaling>
        <c:delete val="1"/>
        <c:axPos val="b"/>
        <c:numFmt formatCode="General" sourceLinked="1"/>
        <c:majorTickMark val="out"/>
        <c:minorTickMark val="none"/>
        <c:tickLblPos val="nextTo"/>
        <c:crossAx val="672406271"/>
        <c:crosses val="autoZero"/>
        <c:auto val="1"/>
        <c:lblAlgn val="ctr"/>
        <c:lblOffset val="100"/>
        <c:noMultiLvlLbl val="0"/>
      </c:catAx>
      <c:spPr>
        <a:noFill/>
        <a:ln>
          <a:noFill/>
        </a:ln>
        <a:effectLst/>
      </c:spPr>
    </c:plotArea>
    <c:legend>
      <c:legendPos val="t"/>
      <c:layout>
        <c:manualLayout>
          <c:xMode val="edge"/>
          <c:yMode val="edge"/>
          <c:x val="4.0553252220803818E-2"/>
          <c:y val="2.2874571101791842E-2"/>
          <c:w val="0.88541669020210345"/>
          <c:h val="0.1137424539431617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397149672288"/>
          <c:y val="5.8929425136695066E-2"/>
          <c:w val="0.63868631838816547"/>
          <c:h val="0.78017186207888389"/>
        </c:manualLayout>
      </c:layout>
      <c:barChart>
        <c:barDir val="col"/>
        <c:grouping val="percentStacked"/>
        <c:varyColors val="0"/>
        <c:ser>
          <c:idx val="0"/>
          <c:order val="0"/>
          <c:tx>
            <c:strRef>
              <c:f>energy!$A$84</c:f>
              <c:strCache>
                <c:ptCount val="1"/>
                <c:pt idx="0">
                  <c:v>PVT to ICE (hp off)</c:v>
                </c:pt>
              </c:strCache>
            </c:strRef>
          </c:tx>
          <c:spPr>
            <a:solidFill>
              <a:schemeClr val="accent1"/>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energy!$B$84:$M$84</c:f>
              <c:numCache>
                <c:formatCode>0</c:formatCode>
                <c:ptCount val="12"/>
                <c:pt idx="0">
                  <c:v>565.6</c:v>
                </c:pt>
                <c:pt idx="1">
                  <c:v>768</c:v>
                </c:pt>
                <c:pt idx="2">
                  <c:v>540.59999999999991</c:v>
                </c:pt>
                <c:pt idx="3">
                  <c:v>190.8</c:v>
                </c:pt>
                <c:pt idx="4">
                  <c:v>87.1</c:v>
                </c:pt>
                <c:pt idx="5">
                  <c:v>149.30000000000001</c:v>
                </c:pt>
                <c:pt idx="6">
                  <c:v>237.7</c:v>
                </c:pt>
                <c:pt idx="7">
                  <c:v>426.4</c:v>
                </c:pt>
                <c:pt idx="8">
                  <c:v>715</c:v>
                </c:pt>
                <c:pt idx="9">
                  <c:v>645.80000000000007</c:v>
                </c:pt>
                <c:pt idx="10">
                  <c:v>776.5</c:v>
                </c:pt>
                <c:pt idx="11">
                  <c:v>948.8</c:v>
                </c:pt>
              </c:numCache>
            </c:numRef>
          </c:val>
          <c:extLst>
            <c:ext xmlns:c16="http://schemas.microsoft.com/office/drawing/2014/chart" uri="{C3380CC4-5D6E-409C-BE32-E72D297353CC}">
              <c16:uniqueId val="{00000000-E5C5-4360-A495-108C7BF6B482}"/>
            </c:ext>
          </c:extLst>
        </c:ser>
        <c:ser>
          <c:idx val="1"/>
          <c:order val="1"/>
          <c:tx>
            <c:strRef>
              <c:f>energy!$A$85</c:f>
              <c:strCache>
                <c:ptCount val="1"/>
                <c:pt idx="0">
                  <c:v>PVT to HP to ICE (hp on)</c:v>
                </c:pt>
              </c:strCache>
            </c:strRef>
          </c:tx>
          <c:spPr>
            <a:solidFill>
              <a:schemeClr val="accent2"/>
            </a:solidFill>
            <a:ln>
              <a:noFill/>
            </a:ln>
            <a:effectLst/>
          </c:spPr>
          <c:invertIfNegative val="0"/>
          <c:cat>
            <c:numRef>
              <c:f>energy!$B$1:$M$1</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energy!$B$85:$M$85</c:f>
              <c:numCache>
                <c:formatCode>0</c:formatCode>
                <c:ptCount val="12"/>
                <c:pt idx="0">
                  <c:v>0.6</c:v>
                </c:pt>
                <c:pt idx="1">
                  <c:v>8.6999999999999993</c:v>
                </c:pt>
                <c:pt idx="2">
                  <c:v>14.7</c:v>
                </c:pt>
                <c:pt idx="3">
                  <c:v>32.1</c:v>
                </c:pt>
                <c:pt idx="4">
                  <c:v>100</c:v>
                </c:pt>
                <c:pt idx="5">
                  <c:v>77.599999999999994</c:v>
                </c:pt>
                <c:pt idx="6">
                  <c:v>136.30000000000001</c:v>
                </c:pt>
                <c:pt idx="7">
                  <c:v>165.6</c:v>
                </c:pt>
                <c:pt idx="8">
                  <c:v>182.3</c:v>
                </c:pt>
                <c:pt idx="9">
                  <c:v>73.900000000000006</c:v>
                </c:pt>
                <c:pt idx="10">
                  <c:v>9.5</c:v>
                </c:pt>
                <c:pt idx="11">
                  <c:v>2</c:v>
                </c:pt>
              </c:numCache>
            </c:numRef>
          </c:val>
          <c:extLst>
            <c:ext xmlns:c16="http://schemas.microsoft.com/office/drawing/2014/chart" uri="{C3380CC4-5D6E-409C-BE32-E72D297353CC}">
              <c16:uniqueId val="{00000001-E5C5-4360-A495-108C7BF6B482}"/>
            </c:ext>
          </c:extLst>
        </c:ser>
        <c:dLbls>
          <c:showLegendKey val="0"/>
          <c:showVal val="0"/>
          <c:showCatName val="0"/>
          <c:showSerName val="0"/>
          <c:showPercent val="0"/>
          <c:showBubbleSize val="0"/>
        </c:dLbls>
        <c:gapWidth val="219"/>
        <c:overlap val="100"/>
        <c:axId val="1467043567"/>
        <c:axId val="1467041647"/>
      </c:barChart>
      <c:catAx>
        <c:axId val="146704356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layout>
            <c:manualLayout>
              <c:xMode val="edge"/>
              <c:yMode val="edge"/>
              <c:x val="0.3994418124404403"/>
              <c:y val="0.8973458836342682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1647"/>
        <c:crosses val="autoZero"/>
        <c:auto val="1"/>
        <c:lblAlgn val="ctr"/>
        <c:lblOffset val="100"/>
        <c:noMultiLvlLbl val="0"/>
      </c:catAx>
      <c:valAx>
        <c:axId val="1467041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Share of Regeneration Heat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467043567"/>
        <c:crosses val="autoZero"/>
        <c:crossBetween val="between"/>
        <c:majorUnit val="0.1"/>
      </c:valAx>
      <c:spPr>
        <a:noFill/>
        <a:ln>
          <a:noFill/>
        </a:ln>
        <a:effectLst/>
      </c:spPr>
    </c:plotArea>
    <c:legend>
      <c:legendPos val="r"/>
      <c:layout>
        <c:manualLayout>
          <c:xMode val="edge"/>
          <c:yMode val="edge"/>
          <c:x val="0.76333759672695578"/>
          <c:y val="0.40461271108234759"/>
          <c:w val="0.22926777670168602"/>
          <c:h val="0.1907740984431740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chemeClr val="tx1">
                    <a:lumMod val="65000"/>
                    <a:lumOff val="35000"/>
                  </a:schemeClr>
                </a:solidFill>
                <a:latin typeface="+mn-lt"/>
                <a:ea typeface="+mn-ea"/>
                <a:cs typeface="+mn-cs"/>
              </a:defRPr>
            </a:pPr>
            <a:r>
              <a:rPr lang="de-DE"/>
              <a:t>PVT Heat Output</a:t>
            </a:r>
          </a:p>
        </c:rich>
      </c:tx>
      <c:layout>
        <c:manualLayout>
          <c:xMode val="edge"/>
          <c:yMode val="edge"/>
          <c:x val="0.41797075468224165"/>
          <c:y val="0"/>
        </c:manualLayout>
      </c:layout>
      <c:overlay val="0"/>
      <c:spPr>
        <a:noFill/>
        <a:ln>
          <a:noFill/>
        </a:ln>
        <a:effectLst/>
      </c:spPr>
      <c:txPr>
        <a:bodyPr rot="0" spcFirstLastPara="1" vertOverflow="ellipsis" vert="horz" wrap="square" anchor="ctr" anchorCtr="1"/>
        <a:lstStyle/>
        <a:p>
          <a:pPr algn="ctr" rtl="0">
            <a:defRPr sz="96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8.2447869560960979E-2"/>
          <c:y val="6.2665661110543003E-2"/>
          <c:w val="0.62940033716271393"/>
          <c:h val="0.89083239595050623"/>
        </c:manualLayout>
      </c:layout>
      <c:barChart>
        <c:barDir val="col"/>
        <c:grouping val="stacked"/>
        <c:varyColors val="0"/>
        <c:ser>
          <c:idx val="5"/>
          <c:order val="0"/>
          <c:tx>
            <c:v>Defrost</c:v>
          </c:tx>
          <c:spPr>
            <a:solidFill>
              <a:schemeClr val="bg1">
                <a:lumMod val="85000"/>
              </a:schemeClr>
            </a:solidFill>
            <a:ln>
              <a:noFill/>
            </a:ln>
            <a:effectLst/>
          </c:spPr>
          <c:invertIfNegative val="0"/>
          <c:dLbls>
            <c:dLbl>
              <c:idx val="4"/>
              <c:layout>
                <c:manualLayout>
                  <c:x val="0"/>
                  <c:y val="-5.1947796298189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E83-4F39-B78B-DB36D931D02B}"/>
                </c:ext>
              </c:extLst>
            </c:dLbl>
            <c:dLbl>
              <c:idx val="5"/>
              <c:layout>
                <c:manualLayout>
                  <c:x val="-4.182302166658786E-17"/>
                  <c:y val="-3.89605276613149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E83-4F39-B78B-DB36D931D02B}"/>
                </c:ext>
              </c:extLst>
            </c:dLbl>
            <c:dLbl>
              <c:idx val="6"/>
              <c:layout>
                <c:manualLayout>
                  <c:x val="0"/>
                  <c:y val="-4.22072809080683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E83-4F39-B78B-DB36D931D02B}"/>
                </c:ext>
              </c:extLst>
            </c:dLbl>
            <c:dLbl>
              <c:idx val="7"/>
              <c:layout>
                <c:manualLayout>
                  <c:x val="0"/>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E83-4F39-B78B-DB36D931D02B}"/>
                </c:ext>
              </c:extLst>
            </c:dLbl>
            <c:dLbl>
              <c:idx val="8"/>
              <c:layout>
                <c:manualLayout>
                  <c:x val="0"/>
                  <c:y val="-3.5714030064423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E83-4F39-B78B-DB36D931D02B}"/>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PVT!$L$3:$L$14</c:f>
              <c:numCache>
                <c:formatCode>General</c:formatCode>
                <c:ptCount val="12"/>
                <c:pt idx="4" formatCode="0">
                  <c:v>-259.60000000000002</c:v>
                </c:pt>
                <c:pt idx="5" formatCode="0">
                  <c:v>-230.9</c:v>
                </c:pt>
                <c:pt idx="6" formatCode="0">
                  <c:v>-243.3</c:v>
                </c:pt>
                <c:pt idx="7" formatCode="0">
                  <c:v>-99.4</c:v>
                </c:pt>
                <c:pt idx="8" formatCode="0">
                  <c:v>-163.1</c:v>
                </c:pt>
                <c:pt idx="9" formatCode="0">
                  <c:v>-36.6</c:v>
                </c:pt>
              </c:numCache>
            </c:numRef>
          </c:val>
          <c:extLst>
            <c:ext xmlns:c16="http://schemas.microsoft.com/office/drawing/2014/chart" uri="{C3380CC4-5D6E-409C-BE32-E72D297353CC}">
              <c16:uniqueId val="{00000004-BE83-4F39-B78B-DB36D931D02B}"/>
            </c:ext>
          </c:extLst>
        </c:ser>
        <c:ser>
          <c:idx val="0"/>
          <c:order val="1"/>
          <c:tx>
            <c:v>HP Evaporator (Irr=0)</c:v>
          </c:tx>
          <c:spPr>
            <a:solidFill>
              <a:schemeClr val="accent2">
                <a:lumMod val="40000"/>
                <a:lumOff val="60000"/>
              </a:schemeClr>
            </a:solidFill>
            <a:ln>
              <a:noFill/>
            </a:ln>
            <a:effectLst/>
          </c:spPr>
          <c:invertIfNegative val="0"/>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PVT!$G$3:$G$14</c:f>
              <c:numCache>
                <c:formatCode>0</c:formatCode>
                <c:ptCount val="12"/>
                <c:pt idx="0">
                  <c:v>0</c:v>
                </c:pt>
                <c:pt idx="1">
                  <c:v>0.49266666666666659</c:v>
                </c:pt>
                <c:pt idx="2">
                  <c:v>36.019166666666671</c:v>
                </c:pt>
                <c:pt idx="3">
                  <c:v>304.56416666666672</c:v>
                </c:pt>
                <c:pt idx="4">
                  <c:v>648.65200000000004</c:v>
                </c:pt>
                <c:pt idx="5">
                  <c:v>776.28788322031119</c:v>
                </c:pt>
                <c:pt idx="6">
                  <c:v>303.82649676814862</c:v>
                </c:pt>
                <c:pt idx="7">
                  <c:v>477.22491666666667</c:v>
                </c:pt>
                <c:pt idx="8">
                  <c:v>402.94908333333331</c:v>
                </c:pt>
                <c:pt idx="9">
                  <c:v>163.209</c:v>
                </c:pt>
                <c:pt idx="10">
                  <c:v>19.207333333333331</c:v>
                </c:pt>
                <c:pt idx="11">
                  <c:v>4.5445000000000002</c:v>
                </c:pt>
              </c:numCache>
            </c:numRef>
          </c:val>
          <c:extLst>
            <c:ext xmlns:c16="http://schemas.microsoft.com/office/drawing/2014/chart" uri="{C3380CC4-5D6E-409C-BE32-E72D297353CC}">
              <c16:uniqueId val="{00000000-BE83-4F39-B78B-DB36D931D02B}"/>
            </c:ext>
          </c:extLst>
        </c:ser>
        <c:ser>
          <c:idx val="1"/>
          <c:order val="2"/>
          <c:tx>
            <c:v>HP Evaporator (Irr&gt;0)</c:v>
          </c:tx>
          <c:spPr>
            <a:solidFill>
              <a:schemeClr val="accent2"/>
            </a:solidFill>
            <a:ln>
              <a:noFill/>
            </a:ln>
            <a:effectLst/>
          </c:spPr>
          <c:invertIfNegative val="0"/>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PVT!$H$3:$H$14</c:f>
              <c:numCache>
                <c:formatCode>0</c:formatCode>
                <c:ptCount val="12"/>
                <c:pt idx="0">
                  <c:v>14.756833333333329</c:v>
                </c:pt>
                <c:pt idx="1">
                  <c:v>270.22683333333327</c:v>
                </c:pt>
                <c:pt idx="2">
                  <c:v>313.88783333333328</c:v>
                </c:pt>
                <c:pt idx="3">
                  <c:v>853.38400000000001</c:v>
                </c:pt>
                <c:pt idx="4">
                  <c:v>821.35374999999999</c:v>
                </c:pt>
                <c:pt idx="5">
                  <c:v>673.78843652132241</c:v>
                </c:pt>
                <c:pt idx="6">
                  <c:v>561.24118012988743</c:v>
                </c:pt>
                <c:pt idx="7">
                  <c:v>583.02700000000004</c:v>
                </c:pt>
                <c:pt idx="8">
                  <c:v>710.48083333333329</c:v>
                </c:pt>
                <c:pt idx="9">
                  <c:v>381.64516666666663</c:v>
                </c:pt>
                <c:pt idx="10">
                  <c:v>238.0231666666667</c:v>
                </c:pt>
                <c:pt idx="11">
                  <c:v>30.603666666666669</c:v>
                </c:pt>
              </c:numCache>
            </c:numRef>
          </c:val>
          <c:extLst>
            <c:ext xmlns:c16="http://schemas.microsoft.com/office/drawing/2014/chart" uri="{C3380CC4-5D6E-409C-BE32-E72D297353CC}">
              <c16:uniqueId val="{00000001-BE83-4F39-B78B-DB36D931D02B}"/>
            </c:ext>
          </c:extLst>
        </c:ser>
        <c:ser>
          <c:idx val="2"/>
          <c:order val="3"/>
          <c:tx>
            <c:v>Regeneration (Irr=0)</c:v>
          </c:tx>
          <c:spPr>
            <a:solidFill>
              <a:schemeClr val="accent1">
                <a:lumMod val="20000"/>
                <a:lumOff val="80000"/>
              </a:schemeClr>
            </a:solidFill>
            <a:ln>
              <a:noFill/>
            </a:ln>
            <a:effectLst/>
          </c:spPr>
          <c:invertIfNegative val="0"/>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PVT!$I$3:$I$14</c:f>
              <c:numCache>
                <c:formatCode>0</c:formatCode>
                <c:ptCount val="12"/>
                <c:pt idx="0">
                  <c:v>0</c:v>
                </c:pt>
                <c:pt idx="1">
                  <c:v>0</c:v>
                </c:pt>
                <c:pt idx="2">
                  <c:v>0</c:v>
                </c:pt>
                <c:pt idx="3">
                  <c:v>0</c:v>
                </c:pt>
                <c:pt idx="4">
                  <c:v>1.0641666666666669</c:v>
                </c:pt>
                <c:pt idx="5">
                  <c:v>55.273499999999999</c:v>
                </c:pt>
                <c:pt idx="6">
                  <c:v>4.3776666666666673</c:v>
                </c:pt>
                <c:pt idx="7">
                  <c:v>11.441333333333329</c:v>
                </c:pt>
                <c:pt idx="8">
                  <c:v>0</c:v>
                </c:pt>
                <c:pt idx="9">
                  <c:v>0</c:v>
                </c:pt>
                <c:pt idx="10">
                  <c:v>0</c:v>
                </c:pt>
                <c:pt idx="11">
                  <c:v>0</c:v>
                </c:pt>
              </c:numCache>
            </c:numRef>
          </c:val>
          <c:extLst>
            <c:ext xmlns:c16="http://schemas.microsoft.com/office/drawing/2014/chart" uri="{C3380CC4-5D6E-409C-BE32-E72D297353CC}">
              <c16:uniqueId val="{00000002-BE83-4F39-B78B-DB36D931D02B}"/>
            </c:ext>
          </c:extLst>
        </c:ser>
        <c:ser>
          <c:idx val="3"/>
          <c:order val="4"/>
          <c:tx>
            <c:v>Regeneration (Irr&gt;0)</c:v>
          </c:tx>
          <c:spPr>
            <a:solidFill>
              <a:schemeClr val="accent1"/>
            </a:solidFill>
            <a:ln>
              <a:noFill/>
            </a:ln>
            <a:effectLst/>
          </c:spPr>
          <c:invertIfNegative val="0"/>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PVT!$J$3:$J$14</c:f>
              <c:numCache>
                <c:formatCode>0</c:formatCode>
                <c:ptCount val="12"/>
                <c:pt idx="0">
                  <c:v>566.2356666666667</c:v>
                </c:pt>
                <c:pt idx="1">
                  <c:v>776.66450000000009</c:v>
                </c:pt>
                <c:pt idx="2">
                  <c:v>555.31916666666666</c:v>
                </c:pt>
                <c:pt idx="3">
                  <c:v>222.86516666666671</c:v>
                </c:pt>
                <c:pt idx="4">
                  <c:v>186.0051666666667</c:v>
                </c:pt>
                <c:pt idx="5">
                  <c:v>171.60274999999999</c:v>
                </c:pt>
                <c:pt idx="6">
                  <c:v>369.57516666666658</c:v>
                </c:pt>
                <c:pt idx="7">
                  <c:v>580.53383333333329</c:v>
                </c:pt>
                <c:pt idx="8">
                  <c:v>897.31616666666673</c:v>
                </c:pt>
                <c:pt idx="9">
                  <c:v>719.73083333333329</c:v>
                </c:pt>
                <c:pt idx="10">
                  <c:v>785.96633333333341</c:v>
                </c:pt>
                <c:pt idx="11">
                  <c:v>950.79183333333333</c:v>
                </c:pt>
              </c:numCache>
            </c:numRef>
          </c:val>
          <c:extLst>
            <c:ext xmlns:c16="http://schemas.microsoft.com/office/drawing/2014/chart" uri="{C3380CC4-5D6E-409C-BE32-E72D297353CC}">
              <c16:uniqueId val="{00000003-BE83-4F39-B78B-DB36D931D02B}"/>
            </c:ext>
          </c:extLst>
        </c:ser>
        <c:dLbls>
          <c:showLegendKey val="0"/>
          <c:showVal val="0"/>
          <c:showCatName val="0"/>
          <c:showSerName val="0"/>
          <c:showPercent val="0"/>
          <c:showBubbleSize val="0"/>
        </c:dLbls>
        <c:gapWidth val="219"/>
        <c:overlap val="100"/>
        <c:axId val="127681615"/>
        <c:axId val="127684015"/>
      </c:barChart>
      <c:lineChart>
        <c:grouping val="standard"/>
        <c:varyColors val="0"/>
        <c:ser>
          <c:idx val="4"/>
          <c:order val="5"/>
          <c:tx>
            <c:v> </c:v>
          </c:tx>
          <c:spPr>
            <a:ln w="28575" cap="rnd">
              <a:noFill/>
              <a:round/>
            </a:ln>
            <a:effectLst/>
          </c:spPr>
          <c:marker>
            <c:symbol val="circle"/>
            <c:size val="5"/>
            <c:spPr>
              <a:noFill/>
              <a:ln w="9525">
                <a:noFill/>
              </a:ln>
              <a:effectLst/>
            </c:spPr>
          </c:marker>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PVT!$K$3:$K$14</c:f>
              <c:numCache>
                <c:formatCode>0</c:formatCode>
                <c:ptCount val="12"/>
                <c:pt idx="0">
                  <c:v>580.99250000000006</c:v>
                </c:pt>
                <c:pt idx="1">
                  <c:v>1047.384</c:v>
                </c:pt>
                <c:pt idx="2">
                  <c:v>905.22616666666659</c:v>
                </c:pt>
                <c:pt idx="3">
                  <c:v>1380.8133333333335</c:v>
                </c:pt>
                <c:pt idx="4">
                  <c:v>1657.0750833333336</c:v>
                </c:pt>
                <c:pt idx="5">
                  <c:v>1676.9525697416336</c:v>
                </c:pt>
                <c:pt idx="6">
                  <c:v>1239.0205102313694</c:v>
                </c:pt>
                <c:pt idx="7">
                  <c:v>1652.2270833333332</c:v>
                </c:pt>
                <c:pt idx="8">
                  <c:v>2010.7460833333332</c:v>
                </c:pt>
                <c:pt idx="9">
                  <c:v>1264.585</c:v>
                </c:pt>
                <c:pt idx="10">
                  <c:v>1043.1968333333334</c:v>
                </c:pt>
                <c:pt idx="11">
                  <c:v>985.94</c:v>
                </c:pt>
              </c:numCache>
            </c:numRef>
          </c:val>
          <c:smooth val="0"/>
          <c:extLst>
            <c:ext xmlns:c16="http://schemas.microsoft.com/office/drawing/2014/chart" uri="{C3380CC4-5D6E-409C-BE32-E72D297353CC}">
              <c16:uniqueId val="{00000005-BE83-4F39-B78B-DB36D931D02B}"/>
            </c:ext>
          </c:extLst>
        </c:ser>
        <c:dLbls>
          <c:showLegendKey val="0"/>
          <c:showVal val="0"/>
          <c:showCatName val="0"/>
          <c:showSerName val="0"/>
          <c:showPercent val="0"/>
          <c:showBubbleSize val="0"/>
        </c:dLbls>
        <c:marker val="1"/>
        <c:smooth val="0"/>
        <c:axId val="127681615"/>
        <c:axId val="127684015"/>
      </c:lineChart>
      <c:lineChart>
        <c:grouping val="standard"/>
        <c:varyColors val="0"/>
        <c:ser>
          <c:idx val="6"/>
          <c:order val="6"/>
          <c:tx>
            <c:strRef>
              <c:f>PVT!$N$1:$N$2</c:f>
              <c:strCache>
                <c:ptCount val="2"/>
                <c:pt idx="0">
                  <c:v>Supply Temperature to Ice Storage</c:v>
                </c:pt>
              </c:strCache>
            </c:strRef>
          </c:tx>
          <c:spPr>
            <a:ln w="12700" cap="rnd">
              <a:solidFill>
                <a:schemeClr val="tx2"/>
              </a:solidFill>
              <a:round/>
            </a:ln>
            <a:effectLst/>
          </c:spPr>
          <c:marker>
            <c:symbol val="circle"/>
            <c:size val="5"/>
            <c:spPr>
              <a:solidFill>
                <a:schemeClr val="tx2"/>
              </a:solidFill>
              <a:ln w="12700">
                <a:solidFill>
                  <a:schemeClr val="tx2"/>
                </a:solidFill>
              </a:ln>
              <a:effectLst/>
            </c:spPr>
          </c:marker>
          <c:dLbls>
            <c:dLbl>
              <c:idx val="0"/>
              <c:layout>
                <c:manualLayout>
                  <c:x val="-4.5625641610585145E-3"/>
                  <c:y val="6.493506493506493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E83-4F39-B78B-DB36D931D02B}"/>
                </c:ext>
              </c:extLst>
            </c:dLbl>
            <c:dLbl>
              <c:idx val="2"/>
              <c:layout>
                <c:manualLayout>
                  <c:x val="0"/>
                  <c:y val="-9.7402597402597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E83-4F39-B78B-DB36D931D02B}"/>
                </c:ext>
              </c:extLst>
            </c:dLbl>
            <c:dLbl>
              <c:idx val="11"/>
              <c:layout>
                <c:manualLayout>
                  <c:x val="-9.1251283221171139E-3"/>
                  <c:y val="-1.78284899269031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E83-4F39-B78B-DB36D931D02B}"/>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PVT!$N$3:$N$14</c:f>
              <c:numCache>
                <c:formatCode>General</c:formatCode>
                <c:ptCount val="12"/>
                <c:pt idx="0">
                  <c:v>36.799999999999997</c:v>
                </c:pt>
                <c:pt idx="1">
                  <c:v>37.1</c:v>
                </c:pt>
                <c:pt idx="2">
                  <c:v>30.7</c:v>
                </c:pt>
                <c:pt idx="3">
                  <c:v>26.3</c:v>
                </c:pt>
                <c:pt idx="4">
                  <c:v>14</c:v>
                </c:pt>
                <c:pt idx="5">
                  <c:v>5.2</c:v>
                </c:pt>
                <c:pt idx="6">
                  <c:v>4.5999999999999996</c:v>
                </c:pt>
                <c:pt idx="7">
                  <c:v>7.2</c:v>
                </c:pt>
                <c:pt idx="8">
                  <c:v>18.8</c:v>
                </c:pt>
                <c:pt idx="9">
                  <c:v>26.3</c:v>
                </c:pt>
                <c:pt idx="10">
                  <c:v>37</c:v>
                </c:pt>
                <c:pt idx="11">
                  <c:v>40.299999999999997</c:v>
                </c:pt>
              </c:numCache>
            </c:numRef>
          </c:val>
          <c:smooth val="0"/>
          <c:extLst>
            <c:ext xmlns:c16="http://schemas.microsoft.com/office/drawing/2014/chart" uri="{C3380CC4-5D6E-409C-BE32-E72D297353CC}">
              <c16:uniqueId val="{00000006-BE83-4F39-B78B-DB36D931D02B}"/>
            </c:ext>
          </c:extLst>
        </c:ser>
        <c:ser>
          <c:idx val="7"/>
          <c:order val="7"/>
          <c:tx>
            <c:strRef>
              <c:f>PVT!$O$1:$O$2</c:f>
              <c:strCache>
                <c:ptCount val="2"/>
                <c:pt idx="0">
                  <c:v>Supply Temperature to HP Evaporator</c:v>
                </c:pt>
              </c:strCache>
            </c:strRef>
          </c:tx>
          <c:spPr>
            <a:ln w="12700" cap="rnd">
              <a:solidFill>
                <a:schemeClr val="accent2"/>
              </a:solidFill>
              <a:round/>
            </a:ln>
            <a:effectLst/>
          </c:spPr>
          <c:marker>
            <c:symbol val="circle"/>
            <c:size val="5"/>
            <c:spPr>
              <a:solidFill>
                <a:schemeClr val="accent2"/>
              </a:solidFill>
              <a:ln w="12700">
                <a:solidFill>
                  <a:schemeClr val="accent2"/>
                </a:solidFill>
              </a:ln>
              <a:effectLst/>
            </c:spPr>
          </c:marker>
          <c:dLbls>
            <c:dLbl>
              <c:idx val="11"/>
              <c:layout>
                <c:manualLayout>
                  <c:x val="-9.1251283221171139E-3"/>
                  <c:y val="-1.42627919415225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E83-4F39-B78B-DB36D931D02B}"/>
                </c:ext>
              </c:extLst>
            </c:dLbl>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PVT!$B$3:$B$14</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PVT!$O$3:$O$14</c:f>
              <c:numCache>
                <c:formatCode>General</c:formatCode>
                <c:ptCount val="12"/>
                <c:pt idx="0">
                  <c:v>31.6</c:v>
                </c:pt>
                <c:pt idx="1">
                  <c:v>30.7</c:v>
                </c:pt>
                <c:pt idx="2">
                  <c:v>17.3</c:v>
                </c:pt>
                <c:pt idx="3">
                  <c:v>8.1999999999999993</c:v>
                </c:pt>
                <c:pt idx="4">
                  <c:v>1.9</c:v>
                </c:pt>
                <c:pt idx="5">
                  <c:v>-0.3</c:v>
                </c:pt>
                <c:pt idx="6">
                  <c:v>-0.2</c:v>
                </c:pt>
                <c:pt idx="7">
                  <c:v>2.1</c:v>
                </c:pt>
                <c:pt idx="8">
                  <c:v>3.2</c:v>
                </c:pt>
                <c:pt idx="9">
                  <c:v>6.5</c:v>
                </c:pt>
                <c:pt idx="10">
                  <c:v>18.899999999999999</c:v>
                </c:pt>
                <c:pt idx="11">
                  <c:v>24.9</c:v>
                </c:pt>
              </c:numCache>
            </c:numRef>
          </c:val>
          <c:smooth val="0"/>
          <c:extLst>
            <c:ext xmlns:c16="http://schemas.microsoft.com/office/drawing/2014/chart" uri="{C3380CC4-5D6E-409C-BE32-E72D297353CC}">
              <c16:uniqueId val="{00000007-BE83-4F39-B78B-DB36D931D02B}"/>
            </c:ext>
          </c:extLst>
        </c:ser>
        <c:dLbls>
          <c:showLegendKey val="0"/>
          <c:showVal val="0"/>
          <c:showCatName val="0"/>
          <c:showSerName val="0"/>
          <c:showPercent val="0"/>
          <c:showBubbleSize val="0"/>
        </c:dLbls>
        <c:marker val="1"/>
        <c:smooth val="0"/>
        <c:axId val="671566783"/>
        <c:axId val="300415119"/>
      </c:lineChart>
      <c:catAx>
        <c:axId val="127681615"/>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27684015"/>
        <c:crosses val="autoZero"/>
        <c:auto val="1"/>
        <c:lblAlgn val="ctr"/>
        <c:lblOffset val="100"/>
        <c:noMultiLvlLbl val="0"/>
      </c:catAx>
      <c:valAx>
        <c:axId val="1276840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127681615"/>
        <c:crosses val="autoZero"/>
        <c:crossBetween val="between"/>
      </c:valAx>
      <c:valAx>
        <c:axId val="300415119"/>
        <c:scaling>
          <c:orientation val="minMax"/>
          <c:max val="50"/>
          <c:min val="-10"/>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°C</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671566783"/>
        <c:crosses val="max"/>
        <c:crossBetween val="between"/>
        <c:majorUnit val="5"/>
      </c:valAx>
      <c:catAx>
        <c:axId val="671566783"/>
        <c:scaling>
          <c:orientation val="minMax"/>
        </c:scaling>
        <c:delete val="1"/>
        <c:axPos val="b"/>
        <c:numFmt formatCode="General" sourceLinked="1"/>
        <c:majorTickMark val="out"/>
        <c:minorTickMark val="none"/>
        <c:tickLblPos val="nextTo"/>
        <c:crossAx val="300415119"/>
        <c:crosses val="autoZero"/>
        <c:auto val="1"/>
        <c:lblAlgn val="ctr"/>
        <c:lblOffset val="100"/>
        <c:noMultiLvlLbl val="0"/>
      </c:catAx>
      <c:spPr>
        <a:noFill/>
        <a:ln>
          <a:noFill/>
        </a:ln>
        <a:effectLst/>
      </c:spPr>
    </c:plotArea>
    <c:legend>
      <c:legendPos val="r"/>
      <c:layout>
        <c:manualLayout>
          <c:xMode val="edge"/>
          <c:yMode val="edge"/>
          <c:x val="0.76895085274144537"/>
          <c:y val="0.20699923606568837"/>
          <c:w val="0.22876786517802533"/>
          <c:h val="0.656683925923337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de-DE"/>
              <a:t>PVT Solar</a:t>
            </a:r>
            <a:r>
              <a:rPr lang="de-DE" baseline="0"/>
              <a:t> Thermal Performance</a:t>
            </a:r>
            <a:endParaRPr lang="de-DE"/>
          </a:p>
        </c:rich>
      </c:tx>
      <c:layout>
        <c:manualLayout>
          <c:xMode val="edge"/>
          <c:yMode val="edge"/>
          <c:x val="0.35352921310368124"/>
          <c:y val="0"/>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2798380836198292"/>
          <c:y val="8.3091645305196263E-2"/>
          <c:w val="0.7533048685815682"/>
          <c:h val="0.73094330046670364"/>
        </c:manualLayout>
      </c:layout>
      <c:barChart>
        <c:barDir val="col"/>
        <c:grouping val="clustered"/>
        <c:varyColors val="0"/>
        <c:ser>
          <c:idx val="0"/>
          <c:order val="0"/>
          <c:tx>
            <c:v>Heat output [kWh]</c:v>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PVT!$B$43:$M$43</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PVT!$B$65:$M$65</c:f>
              <c:numCache>
                <c:formatCode>_-* #,##0_-;\-* #,##0_-;_-* "-"??_-;_-@_-</c:formatCode>
                <c:ptCount val="12"/>
                <c:pt idx="0">
                  <c:v>581</c:v>
                </c:pt>
                <c:pt idx="1">
                  <c:v>1047.4000000000001</c:v>
                </c:pt>
                <c:pt idx="2">
                  <c:v>905.19999999999993</c:v>
                </c:pt>
                <c:pt idx="3">
                  <c:v>1380.8000000000002</c:v>
                </c:pt>
                <c:pt idx="4">
                  <c:v>1657.1</c:v>
                </c:pt>
                <c:pt idx="5">
                  <c:v>1677</c:v>
                </c:pt>
                <c:pt idx="6">
                  <c:v>1239.0999999999999</c:v>
                </c:pt>
                <c:pt idx="7">
                  <c:v>1652.3</c:v>
                </c:pt>
                <c:pt idx="8">
                  <c:v>2010.7</c:v>
                </c:pt>
                <c:pt idx="9">
                  <c:v>1264.5999999999999</c:v>
                </c:pt>
                <c:pt idx="10">
                  <c:v>1043.2</c:v>
                </c:pt>
                <c:pt idx="11">
                  <c:v>985.9</c:v>
                </c:pt>
              </c:numCache>
            </c:numRef>
          </c:val>
          <c:extLst>
            <c:ext xmlns:c16="http://schemas.microsoft.com/office/drawing/2014/chart" uri="{C3380CC4-5D6E-409C-BE32-E72D297353CC}">
              <c16:uniqueId val="{00000000-D1DF-46D3-97FF-1E9A4649B1BE}"/>
            </c:ext>
          </c:extLst>
        </c:ser>
        <c:ser>
          <c:idx val="2"/>
          <c:order val="1"/>
          <c:tx>
            <c:v>Solar irradiance [kWh]</c:v>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PVT!$B$43:$M$43</c:f>
              <c:numCache>
                <c:formatCode>General</c:formatCode>
                <c:ptCount val="12"/>
                <c:pt idx="0">
                  <c:v>7</c:v>
                </c:pt>
                <c:pt idx="1">
                  <c:v>8</c:v>
                </c:pt>
                <c:pt idx="2">
                  <c:v>9</c:v>
                </c:pt>
                <c:pt idx="3">
                  <c:v>10</c:v>
                </c:pt>
                <c:pt idx="4">
                  <c:v>11</c:v>
                </c:pt>
                <c:pt idx="5">
                  <c:v>12</c:v>
                </c:pt>
                <c:pt idx="6">
                  <c:v>1</c:v>
                </c:pt>
                <c:pt idx="7">
                  <c:v>2</c:v>
                </c:pt>
                <c:pt idx="8">
                  <c:v>3</c:v>
                </c:pt>
                <c:pt idx="9">
                  <c:v>4</c:v>
                </c:pt>
                <c:pt idx="10">
                  <c:v>5</c:v>
                </c:pt>
                <c:pt idx="11">
                  <c:v>6</c:v>
                </c:pt>
              </c:numCache>
            </c:numRef>
          </c:cat>
          <c:val>
            <c:numRef>
              <c:f>PVT!$B$68:$M$68</c:f>
              <c:numCache>
                <c:formatCode>_-* #,##0_-;\-* #,##0_-;_-* "-"??_-;_-@_-</c:formatCode>
                <c:ptCount val="12"/>
                <c:pt idx="0">
                  <c:v>2692</c:v>
                </c:pt>
                <c:pt idx="1">
                  <c:v>5588</c:v>
                </c:pt>
                <c:pt idx="2">
                  <c:v>3072</c:v>
                </c:pt>
                <c:pt idx="3">
                  <c:v>2788</c:v>
                </c:pt>
                <c:pt idx="4">
                  <c:v>1796</c:v>
                </c:pt>
                <c:pt idx="5">
                  <c:v>884</c:v>
                </c:pt>
                <c:pt idx="6">
                  <c:v>1680</c:v>
                </c:pt>
                <c:pt idx="7">
                  <c:v>1980</c:v>
                </c:pt>
                <c:pt idx="8">
                  <c:v>4284</c:v>
                </c:pt>
                <c:pt idx="9">
                  <c:v>3088</c:v>
                </c:pt>
                <c:pt idx="10">
                  <c:v>3520</c:v>
                </c:pt>
                <c:pt idx="11">
                  <c:v>4048</c:v>
                </c:pt>
              </c:numCache>
            </c:numRef>
          </c:val>
          <c:extLst>
            <c:ext xmlns:c16="http://schemas.microsoft.com/office/drawing/2014/chart" uri="{C3380CC4-5D6E-409C-BE32-E72D297353CC}">
              <c16:uniqueId val="{00000001-D1DF-46D3-97FF-1E9A4649B1BE}"/>
            </c:ext>
          </c:extLst>
        </c:ser>
        <c:dLbls>
          <c:showLegendKey val="0"/>
          <c:showVal val="0"/>
          <c:showCatName val="0"/>
          <c:showSerName val="0"/>
          <c:showPercent val="0"/>
          <c:showBubbleSize val="0"/>
        </c:dLbls>
        <c:gapWidth val="219"/>
        <c:overlap val="-27"/>
        <c:axId val="641163391"/>
        <c:axId val="641165311"/>
      </c:barChart>
      <c:lineChart>
        <c:grouping val="standard"/>
        <c:varyColors val="0"/>
        <c:ser>
          <c:idx val="3"/>
          <c:order val="2"/>
          <c:tx>
            <c:v>Conversion efficiency [%]</c:v>
          </c:tx>
          <c:spPr>
            <a:ln w="28575" cap="rnd">
              <a:solidFill>
                <a:schemeClr val="bg1">
                  <a:lumMod val="85000"/>
                </a:schemeClr>
              </a:solidFill>
              <a:round/>
            </a:ln>
            <a:effectLst/>
          </c:spPr>
          <c:marker>
            <c:symbol val="circle"/>
            <c:size val="5"/>
            <c:spPr>
              <a:solidFill>
                <a:schemeClr val="bg1">
                  <a:lumMod val="85000"/>
                </a:schemeClr>
              </a:solidFill>
              <a:ln w="9525">
                <a:solidFill>
                  <a:schemeClr val="bg1">
                    <a:lumMod val="85000"/>
                  </a:schemeClr>
                </a:solidFill>
              </a:ln>
              <a:effectLst/>
            </c:spPr>
          </c:marker>
          <c:dLbls>
            <c:dLbl>
              <c:idx val="1"/>
              <c:layout>
                <c:manualLayout>
                  <c:x val="-2.503586800573886E-2"/>
                  <c:y val="-3.3659808191550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1DF-46D3-97FF-1E9A4649B1BE}"/>
                </c:ext>
              </c:extLst>
            </c:dLbl>
            <c:dLbl>
              <c:idx val="5"/>
              <c:layout>
                <c:manualLayout>
                  <c:x val="-5.740736308670636E-2"/>
                  <c:y val="-1.81341414527761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517-4D34-AC50-6B6718FF14E7}"/>
                </c:ext>
              </c:extLst>
            </c:dLbl>
            <c:dLbl>
              <c:idx val="8"/>
              <c:layout>
                <c:manualLayout>
                  <c:x val="-1.5187793427230046E-2"/>
                  <c:y val="-5.47633912624827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4D-46CB-BC7B-929401A595DC}"/>
                </c:ext>
              </c:extLst>
            </c:dLbl>
            <c:dLbl>
              <c:idx val="11"/>
              <c:layout>
                <c:manualLayout>
                  <c:x val="-3.7272617756896761E-2"/>
                  <c:y val="-6.1852059663086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1DF-46D3-97FF-1E9A4649B1B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de-D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PVT!$B$43:$I$43</c:f>
              <c:numCache>
                <c:formatCode>General</c:formatCode>
                <c:ptCount val="8"/>
                <c:pt idx="0">
                  <c:v>7</c:v>
                </c:pt>
                <c:pt idx="1">
                  <c:v>8</c:v>
                </c:pt>
                <c:pt idx="2">
                  <c:v>9</c:v>
                </c:pt>
                <c:pt idx="3">
                  <c:v>10</c:v>
                </c:pt>
                <c:pt idx="4">
                  <c:v>11</c:v>
                </c:pt>
                <c:pt idx="5">
                  <c:v>12</c:v>
                </c:pt>
                <c:pt idx="6">
                  <c:v>1</c:v>
                </c:pt>
                <c:pt idx="7">
                  <c:v>2</c:v>
                </c:pt>
              </c:numCache>
            </c:numRef>
          </c:cat>
          <c:val>
            <c:numRef>
              <c:f>PVT!$B$69:$M$69</c:f>
              <c:numCache>
                <c:formatCode>0%</c:formatCode>
                <c:ptCount val="12"/>
                <c:pt idx="0">
                  <c:v>0.21582466567607728</c:v>
                </c:pt>
                <c:pt idx="1">
                  <c:v>0.1874373657838225</c:v>
                </c:pt>
                <c:pt idx="2">
                  <c:v>0.29466145833333329</c:v>
                </c:pt>
                <c:pt idx="3">
                  <c:v>0.49526542324246781</c:v>
                </c:pt>
                <c:pt idx="4">
                  <c:v>0.92266146993318476</c:v>
                </c:pt>
                <c:pt idx="5">
                  <c:v>1.8970588235294117</c:v>
                </c:pt>
                <c:pt idx="6">
                  <c:v>0.73755952380952372</c:v>
                </c:pt>
                <c:pt idx="7">
                  <c:v>0.83449494949494951</c:v>
                </c:pt>
                <c:pt idx="8">
                  <c:v>0.46935107376283847</c:v>
                </c:pt>
                <c:pt idx="9">
                  <c:v>0.40952072538860101</c:v>
                </c:pt>
                <c:pt idx="10">
                  <c:v>0.29636363636363638</c:v>
                </c:pt>
                <c:pt idx="11">
                  <c:v>0.24355237154150197</c:v>
                </c:pt>
              </c:numCache>
            </c:numRef>
          </c:val>
          <c:smooth val="0"/>
          <c:extLst>
            <c:ext xmlns:c16="http://schemas.microsoft.com/office/drawing/2014/chart" uri="{C3380CC4-5D6E-409C-BE32-E72D297353CC}">
              <c16:uniqueId val="{00000002-D1DF-46D3-97FF-1E9A4649B1BE}"/>
            </c:ext>
          </c:extLst>
        </c:ser>
        <c:dLbls>
          <c:showLegendKey val="0"/>
          <c:showVal val="0"/>
          <c:showCatName val="0"/>
          <c:showSerName val="0"/>
          <c:showPercent val="0"/>
          <c:showBubbleSize val="0"/>
        </c:dLbls>
        <c:marker val="1"/>
        <c:smooth val="0"/>
        <c:axId val="770328639"/>
        <c:axId val="770336319"/>
      </c:lineChart>
      <c:catAx>
        <c:axId val="641163391"/>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Month</a:t>
                </a:r>
              </a:p>
            </c:rich>
          </c:tx>
          <c:layout>
            <c:manualLayout>
              <c:xMode val="edge"/>
              <c:yMode val="edge"/>
              <c:x val="0.47294655543943531"/>
              <c:y val="0.8576675113182080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641165311"/>
        <c:crosses val="autoZero"/>
        <c:auto val="1"/>
        <c:lblAlgn val="ctr"/>
        <c:lblOffset val="100"/>
        <c:noMultiLvlLbl val="0"/>
      </c:catAx>
      <c:valAx>
        <c:axId val="641165311"/>
        <c:scaling>
          <c:orientation val="minMax"/>
          <c:max val="8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kWh</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641163391"/>
        <c:crosses val="autoZero"/>
        <c:crossBetween val="between"/>
      </c:valAx>
      <c:valAx>
        <c:axId val="770336319"/>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DE"/>
                  <a: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770328639"/>
        <c:crosses val="max"/>
        <c:crossBetween val="between"/>
      </c:valAx>
      <c:catAx>
        <c:axId val="770328639"/>
        <c:scaling>
          <c:orientation val="minMax"/>
        </c:scaling>
        <c:delete val="1"/>
        <c:axPos val="b"/>
        <c:numFmt formatCode="General" sourceLinked="1"/>
        <c:majorTickMark val="out"/>
        <c:minorTickMark val="none"/>
        <c:tickLblPos val="nextTo"/>
        <c:crossAx val="77033631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4347</Words>
  <Characters>27390</Characters>
  <Application>Microsoft Office Word</Application>
  <DocSecurity>0</DocSecurity>
  <Lines>228</Lines>
  <Paragraphs>63</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dc:description/>
  <cp:lastModifiedBy>Nienborg, Björn</cp:lastModifiedBy>
  <cp:revision>13</cp:revision>
  <cp:lastPrinted>2026-08-29T15:18:00Z</cp:lastPrinted>
  <dcterms:created xsi:type="dcterms:W3CDTF">2026-09-03T13:36:00Z</dcterms:created>
  <dcterms:modified xsi:type="dcterms:W3CDTF">2026-09-04T12:40:00Z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