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A55E42" w:rsidRDefault="004053B5" w:rsidP="00B32703">
      <w:pPr>
        <w:pStyle w:val="SWCTitle"/>
        <w:rPr>
          <w:sz w:val="28"/>
          <w:szCs w:val="28"/>
          <w:lang w:val="en-GB"/>
        </w:rPr>
      </w:pPr>
      <w:r w:rsidRPr="00A55E42">
        <w:rPr>
          <w:sz w:val="28"/>
          <w:szCs w:val="28"/>
          <w:lang w:val="en-GB"/>
        </w:rPr>
        <w:t>EuroSun</w:t>
      </w:r>
      <w:r w:rsidR="00FC1781" w:rsidRPr="00A55E42">
        <w:rPr>
          <w:sz w:val="28"/>
          <w:szCs w:val="28"/>
          <w:lang w:val="en-GB"/>
        </w:rPr>
        <w:t>202</w:t>
      </w:r>
      <w:r w:rsidR="00FA4DF8" w:rsidRPr="00A55E42">
        <w:rPr>
          <w:sz w:val="28"/>
          <w:szCs w:val="28"/>
          <w:lang w:val="en-GB"/>
        </w:rPr>
        <w:t>6</w:t>
      </w:r>
    </w:p>
    <w:p w14:paraId="7142D0DC" w14:textId="28C34991" w:rsidR="00D32EF0" w:rsidRPr="00A55E42" w:rsidRDefault="00464285" w:rsidP="00B32703">
      <w:pPr>
        <w:pStyle w:val="SWCTitle"/>
        <w:rPr>
          <w:sz w:val="28"/>
          <w:szCs w:val="28"/>
          <w:lang w:val="en-GB"/>
        </w:rPr>
      </w:pPr>
      <w:r w:rsidRPr="00A55E42">
        <w:rPr>
          <w:color w:val="auto"/>
          <w:sz w:val="28"/>
          <w:szCs w:val="28"/>
          <w:lang w:val="en-GB"/>
        </w:rPr>
        <w:t>Community Transformation Office</w:t>
      </w:r>
      <w:r w:rsidRPr="00A55E42">
        <w:rPr>
          <w:color w:val="auto"/>
          <w:lang w:val="en-GB"/>
        </w:rPr>
        <w:t xml:space="preserve"> (</w:t>
      </w:r>
      <w:r w:rsidR="00A602EC" w:rsidRPr="00A55E42">
        <w:rPr>
          <w:sz w:val="28"/>
          <w:szCs w:val="28"/>
          <w:lang w:val="en-GB"/>
        </w:rPr>
        <w:t>OTC</w:t>
      </w:r>
      <w:r w:rsidRPr="00A55E42">
        <w:rPr>
          <w:sz w:val="28"/>
          <w:szCs w:val="28"/>
          <w:lang w:val="en-GB"/>
        </w:rPr>
        <w:t>)</w:t>
      </w:r>
      <w:r w:rsidR="00A602EC" w:rsidRPr="00A55E42">
        <w:rPr>
          <w:sz w:val="28"/>
          <w:szCs w:val="28"/>
          <w:lang w:val="en-GB"/>
        </w:rPr>
        <w:t xml:space="preserve"> role in the deployment of Energy Communities in Spain</w:t>
      </w:r>
    </w:p>
    <w:p w14:paraId="2B536CB4" w14:textId="77777777" w:rsidR="001A775B" w:rsidRPr="00A55E42" w:rsidRDefault="001A775B" w:rsidP="00464285">
      <w:pPr>
        <w:pStyle w:val="SWCTitle"/>
        <w:pBdr>
          <w:bottom w:val="single" w:sz="6" w:space="1" w:color="auto"/>
        </w:pBdr>
        <w:jc w:val="left"/>
        <w:rPr>
          <w:lang w:val="en-GB"/>
        </w:rPr>
      </w:pPr>
    </w:p>
    <w:p w14:paraId="3A7DF4B5" w14:textId="77777777" w:rsidR="001A775B" w:rsidRPr="00A55E42" w:rsidRDefault="001A775B" w:rsidP="001A775B">
      <w:pPr>
        <w:pStyle w:val="SWCSummary"/>
        <w:rPr>
          <w:lang w:val="en-GB"/>
        </w:rPr>
      </w:pPr>
      <w:r w:rsidRPr="00A55E42">
        <w:rPr>
          <w:lang w:val="en-GB"/>
        </w:rPr>
        <w:t>Summary</w:t>
      </w:r>
    </w:p>
    <w:p w14:paraId="29FCFA84" w14:textId="4B376590" w:rsidR="00FA0AF8" w:rsidRPr="00A55E42" w:rsidRDefault="00FA0AF8" w:rsidP="00FA0AF8">
      <w:pPr>
        <w:pStyle w:val="SWCText"/>
        <w:pBdr>
          <w:bottom w:val="single" w:sz="6" w:space="1" w:color="auto"/>
        </w:pBdr>
        <w:rPr>
          <w:color w:val="auto"/>
          <w:lang w:val="en-GB"/>
        </w:rPr>
      </w:pPr>
      <w:r w:rsidRPr="00A55E42">
        <w:rPr>
          <w:color w:val="auto"/>
          <w:lang w:val="en-GB"/>
        </w:rPr>
        <w:t xml:space="preserve">Energy communities (ECs) are </w:t>
      </w:r>
      <w:r w:rsidR="0018100A" w:rsidRPr="00A55E42">
        <w:rPr>
          <w:color w:val="auto"/>
          <w:lang w:val="en-GB"/>
        </w:rPr>
        <w:t xml:space="preserve">emerging as </w:t>
      </w:r>
      <w:r w:rsidRPr="00A55E42">
        <w:rPr>
          <w:color w:val="auto"/>
          <w:lang w:val="en-GB"/>
        </w:rPr>
        <w:t>tool</w:t>
      </w:r>
      <w:r w:rsidR="0018100A" w:rsidRPr="00A55E42">
        <w:rPr>
          <w:color w:val="auto"/>
          <w:lang w:val="en-GB"/>
        </w:rPr>
        <w:t>s</w:t>
      </w:r>
      <w:r w:rsidRPr="00A55E42">
        <w:rPr>
          <w:color w:val="auto"/>
          <w:lang w:val="en-GB"/>
        </w:rPr>
        <w:t xml:space="preserve"> </w:t>
      </w:r>
      <w:r w:rsidR="00C94724" w:rsidRPr="00A55E42">
        <w:rPr>
          <w:color w:val="auto"/>
          <w:lang w:val="en-GB"/>
        </w:rPr>
        <w:t>for</w:t>
      </w:r>
      <w:r w:rsidRPr="00A55E42">
        <w:rPr>
          <w:color w:val="auto"/>
          <w:lang w:val="en-GB"/>
        </w:rPr>
        <w:t xml:space="preserve"> a fair energy transition </w:t>
      </w:r>
      <w:r w:rsidR="00C94724" w:rsidRPr="00A55E42">
        <w:rPr>
          <w:color w:val="auto"/>
          <w:lang w:val="en-GB"/>
        </w:rPr>
        <w:t xml:space="preserve">through </w:t>
      </w:r>
      <w:r w:rsidRPr="00A55E42">
        <w:rPr>
          <w:color w:val="auto"/>
          <w:lang w:val="en-GB"/>
        </w:rPr>
        <w:t xml:space="preserve">shared renewable energy. Hence, the European Union (EU) has positioned </w:t>
      </w:r>
      <w:r w:rsidR="00510D91" w:rsidRPr="00A55E42">
        <w:rPr>
          <w:color w:val="auto"/>
          <w:lang w:val="en-GB"/>
        </w:rPr>
        <w:t xml:space="preserve">ECs as key elements of its energy transition strategy, </w:t>
      </w:r>
      <w:r w:rsidR="001B511C" w:rsidRPr="00A55E42">
        <w:rPr>
          <w:color w:val="auto"/>
          <w:lang w:val="en-GB"/>
        </w:rPr>
        <w:t>by creating a regulatory framework that defines them</w:t>
      </w:r>
      <w:r w:rsidR="00510D91" w:rsidRPr="00A55E42">
        <w:rPr>
          <w:color w:val="auto"/>
          <w:lang w:val="en-GB"/>
        </w:rPr>
        <w:t xml:space="preserve"> as Renewable Energy Communities (RECs) and Citizen Energy Communities (CECs).</w:t>
      </w:r>
      <w:r w:rsidR="00C94724" w:rsidRPr="00A55E42">
        <w:rPr>
          <w:color w:val="auto"/>
          <w:lang w:val="en-GB"/>
        </w:rPr>
        <w:t xml:space="preserve"> However,</w:t>
      </w:r>
      <w:r w:rsidR="0018100A" w:rsidRPr="00A55E42">
        <w:rPr>
          <w:color w:val="auto"/>
          <w:lang w:val="en-GB"/>
        </w:rPr>
        <w:t xml:space="preserve"> </w:t>
      </w:r>
      <w:r w:rsidR="00C94724" w:rsidRPr="00A55E42">
        <w:rPr>
          <w:color w:val="auto"/>
          <w:lang w:val="en-GB"/>
        </w:rPr>
        <w:t>EC</w:t>
      </w:r>
      <w:r w:rsidR="00232884" w:rsidRPr="00A55E42">
        <w:rPr>
          <w:color w:val="auto"/>
          <w:lang w:val="en-GB"/>
        </w:rPr>
        <w:t xml:space="preserve"> initiatives</w:t>
      </w:r>
      <w:r w:rsidR="0018100A" w:rsidRPr="00A55E42">
        <w:rPr>
          <w:color w:val="auto"/>
          <w:lang w:val="en-GB"/>
        </w:rPr>
        <w:t xml:space="preserve"> face </w:t>
      </w:r>
      <w:r w:rsidR="003F3600" w:rsidRPr="00A55E42">
        <w:rPr>
          <w:color w:val="auto"/>
          <w:lang w:val="en-GB"/>
        </w:rPr>
        <w:t xml:space="preserve">regulatory and financial barriers </w:t>
      </w:r>
      <w:r w:rsidR="0018100A" w:rsidRPr="00A55E42">
        <w:rPr>
          <w:color w:val="auto"/>
          <w:lang w:val="en-GB"/>
        </w:rPr>
        <w:t xml:space="preserve">related to </w:t>
      </w:r>
      <w:r w:rsidR="003F3600" w:rsidRPr="00A55E42">
        <w:rPr>
          <w:color w:val="auto"/>
          <w:lang w:val="en-GB"/>
        </w:rPr>
        <w:t>legal</w:t>
      </w:r>
      <w:r w:rsidR="0018100A" w:rsidRPr="00A55E42">
        <w:rPr>
          <w:color w:val="auto"/>
          <w:lang w:val="en-GB"/>
        </w:rPr>
        <w:t xml:space="preserve"> compliance</w:t>
      </w:r>
      <w:r w:rsidR="00510D91" w:rsidRPr="00A55E42">
        <w:rPr>
          <w:color w:val="auto"/>
          <w:lang w:val="en-GB"/>
        </w:rPr>
        <w:t xml:space="preserve">, </w:t>
      </w:r>
      <w:r w:rsidR="00232884" w:rsidRPr="00A55E42">
        <w:rPr>
          <w:color w:val="auto"/>
          <w:lang w:val="en-GB"/>
        </w:rPr>
        <w:t>initial investments</w:t>
      </w:r>
      <w:r w:rsidR="0018100A" w:rsidRPr="00A55E42">
        <w:rPr>
          <w:color w:val="auto"/>
          <w:lang w:val="en-GB"/>
        </w:rPr>
        <w:t xml:space="preserve">, </w:t>
      </w:r>
      <w:r w:rsidR="00C94724" w:rsidRPr="00A55E42">
        <w:rPr>
          <w:color w:val="auto"/>
          <w:lang w:val="en-GB"/>
        </w:rPr>
        <w:t>establishment</w:t>
      </w:r>
      <w:r w:rsidR="00510D91" w:rsidRPr="00A55E42">
        <w:rPr>
          <w:color w:val="auto"/>
          <w:lang w:val="en-GB"/>
        </w:rPr>
        <w:t>,</w:t>
      </w:r>
      <w:r w:rsidR="00C94724" w:rsidRPr="00A55E42">
        <w:rPr>
          <w:color w:val="auto"/>
          <w:lang w:val="en-GB"/>
        </w:rPr>
        <w:t xml:space="preserve"> the implementation of </w:t>
      </w:r>
      <w:r w:rsidR="00AE418C" w:rsidRPr="00A55E42">
        <w:rPr>
          <w:color w:val="auto"/>
          <w:lang w:val="en-GB"/>
        </w:rPr>
        <w:t xml:space="preserve">energy </w:t>
      </w:r>
      <w:r w:rsidR="003F3600" w:rsidRPr="00A55E42">
        <w:rPr>
          <w:color w:val="auto"/>
          <w:lang w:val="en-GB"/>
        </w:rPr>
        <w:t>projects</w:t>
      </w:r>
      <w:r w:rsidR="00232884" w:rsidRPr="00A55E42">
        <w:rPr>
          <w:color w:val="auto"/>
          <w:lang w:val="en-GB"/>
        </w:rPr>
        <w:t xml:space="preserve">, </w:t>
      </w:r>
      <w:r w:rsidR="00AE418C" w:rsidRPr="00A55E42">
        <w:rPr>
          <w:color w:val="auto"/>
          <w:lang w:val="en-GB"/>
        </w:rPr>
        <w:t>and the</w:t>
      </w:r>
      <w:r w:rsidR="00232884" w:rsidRPr="00A55E42">
        <w:rPr>
          <w:color w:val="auto"/>
          <w:lang w:val="en-GB"/>
        </w:rPr>
        <w:t xml:space="preserve"> </w:t>
      </w:r>
      <w:r w:rsidR="00C94724" w:rsidRPr="00A55E42">
        <w:rPr>
          <w:color w:val="auto"/>
          <w:lang w:val="en-GB"/>
        </w:rPr>
        <w:t xml:space="preserve">subsequent </w:t>
      </w:r>
      <w:r w:rsidR="00232884" w:rsidRPr="00A55E42">
        <w:rPr>
          <w:color w:val="auto"/>
          <w:lang w:val="en-GB"/>
        </w:rPr>
        <w:t xml:space="preserve">data management. </w:t>
      </w:r>
      <w:r w:rsidR="003F3600" w:rsidRPr="00A55E42">
        <w:rPr>
          <w:color w:val="auto"/>
          <w:lang w:val="en-GB"/>
        </w:rPr>
        <w:t>In this context, support mechanisms</w:t>
      </w:r>
      <w:r w:rsidR="00AE418C" w:rsidRPr="00A55E42">
        <w:rPr>
          <w:color w:val="auto"/>
          <w:lang w:val="en-GB"/>
        </w:rPr>
        <w:t>, such as Community Transformation Offices (OTC</w:t>
      </w:r>
      <w:r w:rsidR="00A602EC" w:rsidRPr="00A55E42">
        <w:rPr>
          <w:color w:val="auto"/>
          <w:lang w:val="en-GB"/>
        </w:rPr>
        <w:t>s</w:t>
      </w:r>
      <w:r w:rsidR="00AE418C" w:rsidRPr="00A55E42">
        <w:rPr>
          <w:color w:val="auto"/>
          <w:lang w:val="en-GB"/>
        </w:rPr>
        <w:t>) in Spain,</w:t>
      </w:r>
      <w:r w:rsidR="003F3600" w:rsidRPr="00A55E42">
        <w:rPr>
          <w:color w:val="auto"/>
          <w:lang w:val="en-GB"/>
        </w:rPr>
        <w:t xml:space="preserve"> </w:t>
      </w:r>
      <w:r w:rsidR="00C94724" w:rsidRPr="00A55E42">
        <w:rPr>
          <w:color w:val="auto"/>
          <w:lang w:val="en-GB"/>
        </w:rPr>
        <w:t>have emerged</w:t>
      </w:r>
      <w:r w:rsidR="003F3600" w:rsidRPr="00A55E42">
        <w:rPr>
          <w:color w:val="auto"/>
          <w:lang w:val="en-GB"/>
        </w:rPr>
        <w:t xml:space="preserve"> to </w:t>
      </w:r>
      <w:r w:rsidR="00C94724" w:rsidRPr="00A55E42">
        <w:rPr>
          <w:color w:val="auto"/>
          <w:lang w:val="en-GB"/>
        </w:rPr>
        <w:t>guide and assist</w:t>
      </w:r>
      <w:r w:rsidR="003F3600" w:rsidRPr="00A55E42">
        <w:rPr>
          <w:color w:val="auto"/>
          <w:lang w:val="en-GB"/>
        </w:rPr>
        <w:t xml:space="preserve"> citizens</w:t>
      </w:r>
      <w:r w:rsidR="00C94724" w:rsidRPr="00A55E42">
        <w:rPr>
          <w:color w:val="auto"/>
          <w:lang w:val="en-GB"/>
        </w:rPr>
        <w:t>,</w:t>
      </w:r>
      <w:r w:rsidR="003F3600" w:rsidRPr="00A55E42">
        <w:rPr>
          <w:color w:val="auto"/>
          <w:lang w:val="en-GB"/>
        </w:rPr>
        <w:t xml:space="preserve"> support</w:t>
      </w:r>
      <w:r w:rsidR="00C94724" w:rsidRPr="00A55E42">
        <w:rPr>
          <w:color w:val="auto"/>
          <w:lang w:val="en-GB"/>
        </w:rPr>
        <w:t>ing them</w:t>
      </w:r>
      <w:r w:rsidR="003F3600" w:rsidRPr="00A55E42">
        <w:rPr>
          <w:color w:val="auto"/>
          <w:lang w:val="en-GB"/>
        </w:rPr>
        <w:t xml:space="preserve"> throughout the process of creating and consolidating </w:t>
      </w:r>
      <w:r w:rsidR="00C94724" w:rsidRPr="00A55E42">
        <w:rPr>
          <w:color w:val="auto"/>
          <w:lang w:val="en-GB"/>
        </w:rPr>
        <w:t>ECs</w:t>
      </w:r>
      <w:r w:rsidR="00232884" w:rsidRPr="00A55E42">
        <w:rPr>
          <w:color w:val="auto"/>
          <w:lang w:val="en-GB"/>
        </w:rPr>
        <w:t xml:space="preserve">. </w:t>
      </w:r>
      <w:r w:rsidR="007E77BC" w:rsidRPr="00A55E42">
        <w:rPr>
          <w:color w:val="auto"/>
          <w:lang w:val="en-GB"/>
        </w:rPr>
        <w:t xml:space="preserve">This paper </w:t>
      </w:r>
      <w:r w:rsidR="001A2E6E" w:rsidRPr="00A55E42">
        <w:rPr>
          <w:color w:val="auto"/>
          <w:lang w:val="en-GB"/>
        </w:rPr>
        <w:t>shows</w:t>
      </w:r>
      <w:r w:rsidR="003F3600" w:rsidRPr="00A55E42">
        <w:rPr>
          <w:color w:val="auto"/>
          <w:lang w:val="en-GB"/>
        </w:rPr>
        <w:t xml:space="preserve"> the </w:t>
      </w:r>
      <w:r w:rsidR="00232884" w:rsidRPr="00A55E42">
        <w:rPr>
          <w:color w:val="auto"/>
          <w:lang w:val="en-GB"/>
        </w:rPr>
        <w:t xml:space="preserve">current </w:t>
      </w:r>
      <w:r w:rsidR="00C94724" w:rsidRPr="00A55E42">
        <w:rPr>
          <w:color w:val="auto"/>
          <w:lang w:val="en-GB"/>
        </w:rPr>
        <w:t>development</w:t>
      </w:r>
      <w:r w:rsidR="003F3600" w:rsidRPr="00A55E42">
        <w:rPr>
          <w:color w:val="auto"/>
          <w:lang w:val="en-GB"/>
        </w:rPr>
        <w:t xml:space="preserve"> of ECs in </w:t>
      </w:r>
      <w:r w:rsidR="00C94724" w:rsidRPr="00A55E42">
        <w:rPr>
          <w:color w:val="auto"/>
          <w:lang w:val="en-GB"/>
        </w:rPr>
        <w:t xml:space="preserve">Spanish rural </w:t>
      </w:r>
      <w:r w:rsidR="00720123" w:rsidRPr="00A55E42">
        <w:rPr>
          <w:color w:val="auto"/>
          <w:lang w:val="en-GB"/>
        </w:rPr>
        <w:t xml:space="preserve">and urban </w:t>
      </w:r>
      <w:r w:rsidR="00C94724" w:rsidRPr="00A55E42">
        <w:rPr>
          <w:color w:val="auto"/>
          <w:lang w:val="en-GB"/>
        </w:rPr>
        <w:t xml:space="preserve">areas </w:t>
      </w:r>
      <w:r w:rsidR="00232884" w:rsidRPr="00A55E42">
        <w:rPr>
          <w:color w:val="auto"/>
          <w:lang w:val="en-GB"/>
        </w:rPr>
        <w:t xml:space="preserve">and the role of one OTC in </w:t>
      </w:r>
      <w:r w:rsidR="00C94724" w:rsidRPr="00A55E42">
        <w:rPr>
          <w:color w:val="auto"/>
          <w:lang w:val="en-GB"/>
        </w:rPr>
        <w:t>their deployment</w:t>
      </w:r>
      <w:r w:rsidR="004D0511" w:rsidRPr="00A55E42">
        <w:rPr>
          <w:color w:val="auto"/>
          <w:lang w:val="en-GB"/>
        </w:rPr>
        <w:t xml:space="preserve">, </w:t>
      </w:r>
      <w:r w:rsidR="00AE418C" w:rsidRPr="00A55E42">
        <w:rPr>
          <w:color w:val="auto"/>
          <w:lang w:val="en-GB"/>
        </w:rPr>
        <w:t>achieving</w:t>
      </w:r>
      <w:r w:rsidR="004D0511" w:rsidRPr="00A55E42">
        <w:rPr>
          <w:color w:val="auto"/>
          <w:lang w:val="en-GB"/>
        </w:rPr>
        <w:t xml:space="preserve"> </w:t>
      </w:r>
      <w:r w:rsidR="00AE418C" w:rsidRPr="00A55E42">
        <w:rPr>
          <w:color w:val="auto"/>
          <w:lang w:val="en-GB"/>
        </w:rPr>
        <w:t>thirteen consolidated</w:t>
      </w:r>
      <w:r w:rsidR="00BF49CB" w:rsidRPr="00A55E42">
        <w:rPr>
          <w:color w:val="auto"/>
          <w:lang w:val="en-GB"/>
        </w:rPr>
        <w:t xml:space="preserve"> ECs</w:t>
      </w:r>
      <w:r w:rsidR="00EC7BFC" w:rsidRPr="00A55E42">
        <w:rPr>
          <w:color w:val="auto"/>
          <w:lang w:val="en-GB"/>
        </w:rPr>
        <w:t xml:space="preserve">, more than three hundred </w:t>
      </w:r>
      <w:r w:rsidR="00392D06" w:rsidRPr="00A55E42">
        <w:rPr>
          <w:color w:val="auto"/>
          <w:lang w:val="en-GB"/>
        </w:rPr>
        <w:t>consultancies</w:t>
      </w:r>
      <w:r w:rsidR="004D0511" w:rsidRPr="00A55E42">
        <w:rPr>
          <w:color w:val="auto"/>
          <w:lang w:val="en-GB"/>
        </w:rPr>
        <w:t xml:space="preserve"> and </w:t>
      </w:r>
      <w:r w:rsidR="00392D06" w:rsidRPr="00A55E42">
        <w:rPr>
          <w:color w:val="auto"/>
          <w:lang w:val="en-GB"/>
        </w:rPr>
        <w:t xml:space="preserve">sixty </w:t>
      </w:r>
      <w:commentRangeStart w:id="0"/>
      <w:r w:rsidR="004D0511" w:rsidRPr="00A55E42">
        <w:rPr>
          <w:color w:val="auto"/>
          <w:lang w:val="en-GB"/>
        </w:rPr>
        <w:t>dissemination</w:t>
      </w:r>
      <w:r w:rsidR="00EC7BFC" w:rsidRPr="00A55E42">
        <w:rPr>
          <w:color w:val="auto"/>
          <w:lang w:val="en-GB"/>
        </w:rPr>
        <w:t xml:space="preserve"> actions</w:t>
      </w:r>
      <w:r w:rsidR="00C27491">
        <w:rPr>
          <w:color w:val="auto"/>
          <w:lang w:val="en-GB"/>
        </w:rPr>
        <w:t xml:space="preserve"> </w:t>
      </w:r>
      <w:r w:rsidR="00C27491" w:rsidRPr="00C27491">
        <w:rPr>
          <w:color w:val="auto"/>
          <w:lang w:val="en-GB"/>
        </w:rPr>
        <w:t>in Aragón and Guadalajara over an eighteen-month period</w:t>
      </w:r>
      <w:r w:rsidR="00C94724" w:rsidRPr="00A55E42">
        <w:rPr>
          <w:color w:val="auto"/>
          <w:lang w:val="en-GB"/>
        </w:rPr>
        <w:t xml:space="preserve">. </w:t>
      </w:r>
      <w:r w:rsidR="00232884" w:rsidRPr="00A55E42">
        <w:rPr>
          <w:color w:val="auto"/>
          <w:lang w:val="en-GB"/>
        </w:rPr>
        <w:t xml:space="preserve"> </w:t>
      </w:r>
      <w:commentRangeEnd w:id="0"/>
      <w:r w:rsidR="006C2B07" w:rsidRPr="00A55E42">
        <w:rPr>
          <w:rStyle w:val="Refdecomentario"/>
          <w:color w:val="auto"/>
          <w:sz w:val="20"/>
          <w:szCs w:val="22"/>
          <w:lang w:val="en-GB"/>
        </w:rPr>
        <w:commentReference w:id="0"/>
      </w:r>
    </w:p>
    <w:p w14:paraId="5AB3A3E7" w14:textId="07E2F1E7" w:rsidR="00DB52E7" w:rsidRPr="00A55E42" w:rsidRDefault="00DB52E7" w:rsidP="00FA0AF8">
      <w:pPr>
        <w:pStyle w:val="SWCText"/>
        <w:pBdr>
          <w:bottom w:val="single" w:sz="6" w:space="1" w:color="auto"/>
        </w:pBdr>
        <w:rPr>
          <w:i/>
          <w:iCs/>
          <w:lang w:val="en-GB"/>
        </w:rPr>
      </w:pPr>
      <w:r w:rsidRPr="00A55E42">
        <w:rPr>
          <w:i/>
          <w:iCs/>
          <w:lang w:val="en-GB"/>
        </w:rPr>
        <w:t xml:space="preserve">Keywords: </w:t>
      </w:r>
      <w:r w:rsidR="00FA0AF8" w:rsidRPr="00A55E42">
        <w:rPr>
          <w:i/>
          <w:iCs/>
          <w:color w:val="auto"/>
          <w:lang w:val="en-GB"/>
        </w:rPr>
        <w:t xml:space="preserve">energy communities, </w:t>
      </w:r>
      <w:r w:rsidR="00017390" w:rsidRPr="00A55E42">
        <w:rPr>
          <w:i/>
          <w:iCs/>
          <w:color w:val="auto"/>
          <w:lang w:val="en-GB"/>
        </w:rPr>
        <w:t xml:space="preserve">shared renewable energy, </w:t>
      </w:r>
      <w:r w:rsidR="00FA0AF8" w:rsidRPr="00A55E42">
        <w:rPr>
          <w:i/>
          <w:iCs/>
          <w:color w:val="auto"/>
          <w:lang w:val="en-GB"/>
        </w:rPr>
        <w:t>regulatory barrier</w:t>
      </w:r>
      <w:r w:rsidR="00017390" w:rsidRPr="00A55E42">
        <w:rPr>
          <w:i/>
          <w:iCs/>
          <w:color w:val="auto"/>
          <w:lang w:val="en-GB"/>
        </w:rPr>
        <w:t>s</w:t>
      </w:r>
      <w:r w:rsidR="00FA0AF8" w:rsidRPr="00A55E42">
        <w:rPr>
          <w:i/>
          <w:iCs/>
          <w:color w:val="auto"/>
          <w:lang w:val="en-GB"/>
        </w:rPr>
        <w:t>, financial barrier</w:t>
      </w:r>
      <w:r w:rsidR="007E77BC" w:rsidRPr="00A55E42">
        <w:rPr>
          <w:i/>
          <w:iCs/>
          <w:color w:val="auto"/>
          <w:lang w:val="en-GB"/>
        </w:rPr>
        <w:t>s</w:t>
      </w:r>
      <w:r w:rsidR="004D0511" w:rsidRPr="00A55E42">
        <w:rPr>
          <w:i/>
          <w:iCs/>
          <w:color w:val="auto"/>
          <w:lang w:val="en-GB"/>
        </w:rPr>
        <w:t xml:space="preserve">, </w:t>
      </w:r>
      <w:r w:rsidR="00BD5D3D" w:rsidRPr="00A55E42">
        <w:rPr>
          <w:i/>
          <w:iCs/>
          <w:color w:val="auto"/>
          <w:lang w:val="en-GB"/>
        </w:rPr>
        <w:t>Community Transformation Offices</w:t>
      </w:r>
    </w:p>
    <w:p w14:paraId="01458796" w14:textId="7DF08ECD" w:rsidR="00FA4DF8" w:rsidRPr="00A55E42" w:rsidRDefault="002C089D" w:rsidP="001A775B">
      <w:pPr>
        <w:pStyle w:val="SWCText"/>
        <w:pBdr>
          <w:bottom w:val="single" w:sz="6" w:space="1" w:color="auto"/>
        </w:pBdr>
        <w:rPr>
          <w:i/>
          <w:iCs/>
          <w:lang w:val="en-GB"/>
        </w:rPr>
      </w:pPr>
      <w:r w:rsidRPr="00A55E42">
        <w:rPr>
          <w:i/>
          <w:iCs/>
          <w:lang w:val="en-GB"/>
        </w:rPr>
        <w:t>Field of application for the findings:</w:t>
      </w:r>
      <w:r w:rsidR="007E77BC" w:rsidRPr="00A55E42">
        <w:rPr>
          <w:lang w:val="en-GB"/>
        </w:rPr>
        <w:t xml:space="preserve"> </w:t>
      </w:r>
      <w:r w:rsidR="007E77BC" w:rsidRPr="00A55E42">
        <w:rPr>
          <w:b/>
          <w:bCs/>
          <w:i/>
          <w:iCs/>
          <w:color w:val="auto"/>
          <w:lang w:val="en-GB"/>
        </w:rPr>
        <w:t>Sustainable and Solar Energy Transition</w:t>
      </w:r>
      <w:r w:rsidR="007E77BC" w:rsidRPr="00A55E42">
        <w:rPr>
          <w:i/>
          <w:iCs/>
          <w:color w:val="auto"/>
          <w:lang w:val="en-GB"/>
        </w:rPr>
        <w:t>: Renewable Energy Strategies, Scenarios, Financing and Policies, Renewable Energy Education, Citizen Participation / Empowering Consumers, Carbon Neutral Regions, Sustainability and LCA</w:t>
      </w:r>
    </w:p>
    <w:p w14:paraId="185A319D" w14:textId="263EDD85" w:rsidR="002C089D" w:rsidRPr="00A55E42" w:rsidRDefault="00CC3B0C" w:rsidP="001A775B">
      <w:pPr>
        <w:pStyle w:val="SWCText"/>
        <w:pBdr>
          <w:bottom w:val="single" w:sz="6" w:space="1" w:color="auto"/>
        </w:pBdr>
        <w:rPr>
          <w:lang w:val="en-GB"/>
        </w:rPr>
      </w:pPr>
      <w:r w:rsidRPr="00A55E42">
        <w:rPr>
          <w:i/>
          <w:iCs/>
          <w:lang w:val="en-GB"/>
        </w:rPr>
        <w:t>Addressed audience:</w:t>
      </w:r>
      <w:r w:rsidR="007E77BC" w:rsidRPr="00A55E42">
        <w:rPr>
          <w:i/>
          <w:iCs/>
          <w:lang w:val="en-GB"/>
        </w:rPr>
        <w:t xml:space="preserve"> </w:t>
      </w:r>
      <w:r w:rsidR="007E77BC" w:rsidRPr="00A55E42">
        <w:rPr>
          <w:i/>
          <w:iCs/>
          <w:color w:val="auto"/>
          <w:lang w:val="en-GB"/>
        </w:rPr>
        <w:t>scientific community, general public</w:t>
      </w:r>
    </w:p>
    <w:p w14:paraId="51CD8377" w14:textId="23DE3F3E" w:rsidR="00D32EF0" w:rsidRPr="00A55E42" w:rsidRDefault="00D32EF0" w:rsidP="004C4EE9">
      <w:pPr>
        <w:pStyle w:val="SWCHeading1"/>
        <w:rPr>
          <w:lang w:val="en-GB"/>
        </w:rPr>
      </w:pPr>
      <w:r w:rsidRPr="00A55E42">
        <w:rPr>
          <w:lang w:val="en-GB"/>
        </w:rPr>
        <w:t>Introduction</w:t>
      </w:r>
    </w:p>
    <w:p w14:paraId="14447DE4" w14:textId="77777777" w:rsidR="00301BA4" w:rsidRPr="00A55E42" w:rsidRDefault="00692D6F">
      <w:pPr>
        <w:pStyle w:val="SWCText"/>
        <w:rPr>
          <w:lang w:val="en-GB"/>
        </w:rPr>
      </w:pPr>
      <w:r w:rsidRPr="00A55E42">
        <w:rPr>
          <w:color w:val="auto"/>
          <w:lang w:val="en-GB"/>
        </w:rPr>
        <w:t>Renewable Energy Communities (RECs) and Citizen Energy Communities (CECs), introduced respectively by Directive (EU) 2018/2001 on the promotion of the use of energy from renewable sources and Directive (EU) 2019/944 on common rules for the internal electricity market, define energy communities as legal entities based on open and voluntary participation and controlled by citizens, local authorities or SMEs</w:t>
      </w:r>
      <w:r w:rsidR="00045C51" w:rsidRPr="00A55E42">
        <w:rPr>
          <w:color w:val="auto"/>
          <w:lang w:val="en-GB"/>
        </w:rPr>
        <w:t xml:space="preserve"> (European Parliament and Council, 2018, 2019).</w:t>
      </w:r>
      <w:r w:rsidRPr="00A55E42">
        <w:rPr>
          <w:color w:val="auto"/>
          <w:lang w:val="en-GB"/>
        </w:rPr>
        <w:t xml:space="preserve"> Their main objective is to deliver environmental, economic or social benefits to their members or local areas rather than financial profit, while enabling collective participation in energy activities such as generation, consumption, sharing or supply. These initiatives are gaining momentum across several European Union countries as mechanisms to make energy systems more accessible, open and democratic, while promoting clean and renewable energy solutions, among which solar photovoltaic self-consumption has become one of the most widely adopted models</w:t>
      </w:r>
      <w:r w:rsidR="00045C51" w:rsidRPr="00A55E42">
        <w:rPr>
          <w:color w:val="auto"/>
          <w:lang w:val="en-GB"/>
        </w:rPr>
        <w:t xml:space="preserve"> (Gallego-Castillo et al., 2021).</w:t>
      </w:r>
    </w:p>
    <w:p w14:paraId="2849056B" w14:textId="77777777" w:rsidR="00301BA4" w:rsidRPr="00A55E42" w:rsidRDefault="00692D6F">
      <w:pPr>
        <w:pStyle w:val="SWCText"/>
        <w:rPr>
          <w:lang w:val="en-GB"/>
        </w:rPr>
      </w:pPr>
      <w:r w:rsidRPr="00A55E42">
        <w:rPr>
          <w:color w:val="auto"/>
          <w:lang w:val="en-GB"/>
        </w:rPr>
        <w:t>At European level, ECs have moved from a niche cooperative model to a recognised component of the EU energy transition. The European Commission frames energy communities as collective, citizen-driven initiatives that can improve public acceptance of renewable energy, mobilise private investment, reduce energy poverty, lower energy bills and create local green jobs</w:t>
      </w:r>
      <w:r w:rsidR="00CC0CE2" w:rsidRPr="00A55E42">
        <w:rPr>
          <w:color w:val="auto"/>
          <w:lang w:val="en-GB"/>
        </w:rPr>
        <w:t xml:space="preserve"> (European Commission, 2026).</w:t>
      </w:r>
      <w:r w:rsidRPr="00A55E42">
        <w:rPr>
          <w:color w:val="auto"/>
          <w:lang w:val="en-GB"/>
        </w:rPr>
        <w:t xml:space="preserve"> Their relevance increased after the Clean Energy for All Europeans Package and was further reinforced by REPowerEU, which set the political objective of having at least one energy community in every municipality with more than 10,000 inhabitants by 2025. Recent EU monitoring indicates that more than 8,000 energy communities exist across the EU, while the Energy Communities Repository assessed 107 initiatives in all Member States, reporting 12,022 MW of installed capacity, more than €34.3 million in investment and 3.5 million tonnes of CO</w:t>
      </w:r>
      <w:r w:rsidRPr="00A55E42">
        <w:rPr>
          <w:color w:val="auto"/>
          <w:vertAlign w:val="subscript"/>
          <w:lang w:val="en-GB"/>
        </w:rPr>
        <w:t>2</w:t>
      </w:r>
      <w:r w:rsidRPr="00A55E42">
        <w:rPr>
          <w:color w:val="auto"/>
          <w:lang w:val="en-GB"/>
        </w:rPr>
        <w:t xml:space="preserve"> equivalent greenhouse gas emissions avoided</w:t>
      </w:r>
      <w:r w:rsidR="00CC0CE2" w:rsidRPr="00A55E42">
        <w:rPr>
          <w:color w:val="auto"/>
          <w:lang w:val="en-GB"/>
        </w:rPr>
        <w:t xml:space="preserve"> (European Commission, 2024).</w:t>
      </w:r>
      <w:r w:rsidRPr="00A55E42">
        <w:rPr>
          <w:color w:val="auto"/>
          <w:lang w:val="en-GB"/>
        </w:rPr>
        <w:t xml:space="preserve"> In parallel, REScoop.eu reports a network of around 2,500 energy communities involving approximately 2 million citizens, illustrating the growing scale and social relevance of the movement across Europe</w:t>
      </w:r>
      <w:r w:rsidR="00CC0CE2" w:rsidRPr="00A55E42">
        <w:rPr>
          <w:color w:val="auto"/>
          <w:lang w:val="en-GB"/>
        </w:rPr>
        <w:t xml:space="preserve"> (REScoop.eu, 2026).</w:t>
      </w:r>
    </w:p>
    <w:p w14:paraId="2681216A" w14:textId="77777777" w:rsidR="0050554E" w:rsidRPr="00A55E42" w:rsidRDefault="00692D6F">
      <w:pPr>
        <w:pStyle w:val="SWCText"/>
        <w:rPr>
          <w:lang w:val="en-GB"/>
        </w:rPr>
      </w:pPr>
      <w:r w:rsidRPr="00A55E42">
        <w:rPr>
          <w:color w:val="auto"/>
          <w:lang w:val="en-GB"/>
        </w:rPr>
        <w:lastRenderedPageBreak/>
        <w:t xml:space="preserve">Within this European framework, the Spanish regulatory context regarding ECs remains limited to the transposition of both Directives and the establishment of conditions for collective self-consumption, while still leaving undefined how these communities can manage their energy or operate as market participants within the electricity system. Despite these barriers </w:t>
      </w:r>
      <w:r w:rsidRPr="00A55E42">
        <w:rPr>
          <w:lang w:val="en-GB"/>
        </w:rPr>
        <w:t>(Khorrami et al., 2025; Yiasoumas et al., 2023)</w:t>
      </w:r>
      <w:r w:rsidRPr="00A55E42">
        <w:rPr>
          <w:color w:val="auto"/>
          <w:lang w:val="en-GB"/>
        </w:rPr>
        <w:t xml:space="preserve">, ECs have expanded rapidly in Spain in recent years. According to the ECODES/Energía Común 2025 indicators report, Spain reached 837 active energy community initiatives, 182 more than the previous year, meaning that one out of every ten Spanish municipalities already host at least one energy community. The report also shows that these initiatives are maturing in terms of their social and territorial role: more than half of the analysed communities either implement or plan to implement measures against energy poverty, confirming their potential as local tools for energy justice and social inclusion. It also identifies Catalonia, </w:t>
      </w:r>
      <w:r w:rsidR="002F21FB" w:rsidRPr="00A55E42">
        <w:rPr>
          <w:color w:val="auto"/>
          <w:lang w:val="en-GB"/>
        </w:rPr>
        <w:t>the Valencian Community</w:t>
      </w:r>
      <w:r w:rsidRPr="00A55E42">
        <w:rPr>
          <w:color w:val="auto"/>
          <w:lang w:val="en-GB"/>
        </w:rPr>
        <w:t xml:space="preserve">, the Basque Country and </w:t>
      </w:r>
      <w:r w:rsidR="002F21FB" w:rsidRPr="00A55E42">
        <w:rPr>
          <w:color w:val="auto"/>
          <w:lang w:val="en-GB"/>
        </w:rPr>
        <w:t>Navarre</w:t>
      </w:r>
      <w:r w:rsidRPr="00A55E42">
        <w:rPr>
          <w:color w:val="auto"/>
          <w:lang w:val="en-GB"/>
        </w:rPr>
        <w:t xml:space="preserve"> as the regions with the highest number of initiatives, while pointing to significant recent growth in Galicia, the Canary Islands and Extremadura (ECODES / Energía Común, 2025).</w:t>
      </w:r>
    </w:p>
    <w:p w14:paraId="482ABD33" w14:textId="2577C5C8" w:rsidR="00301BA4" w:rsidRPr="00A55E42" w:rsidRDefault="00692D6F">
      <w:pPr>
        <w:pStyle w:val="SWCText"/>
        <w:rPr>
          <w:lang w:val="en-GB"/>
        </w:rPr>
      </w:pPr>
      <w:r w:rsidRPr="00A55E42">
        <w:rPr>
          <w:color w:val="auto"/>
          <w:lang w:val="en-GB"/>
        </w:rPr>
        <w:t>In parallel with this expansion, specific support mechanisms have emerged to help overcome regulatory, technical, administrative and social barriers. In Spain, Community Transformation Offices (OTCs), promoted by IDAE, follow a one-stop shop model by providing citizens and local stakeholders with free access to technical, legal, economic and administrative guidance. The ECODES/Energía Común 2025 report highlights their relevance, noting that half of the existing Spanish energy communities were created during the previous two years, coinciding with the deployment of these territorial support offices</w:t>
      </w:r>
      <w:r w:rsidR="006772A3" w:rsidRPr="00A55E42">
        <w:rPr>
          <w:color w:val="auto"/>
          <w:lang w:val="en-GB"/>
        </w:rPr>
        <w:t>.</w:t>
      </w:r>
    </w:p>
    <w:p w14:paraId="66AF688B" w14:textId="7E823783" w:rsidR="0050554E" w:rsidRPr="00A55E42" w:rsidRDefault="00692D6F">
      <w:pPr>
        <w:pStyle w:val="SWCText"/>
        <w:rPr>
          <w:lang w:val="en-GB"/>
        </w:rPr>
      </w:pPr>
      <w:r w:rsidRPr="00A55E42">
        <w:rPr>
          <w:color w:val="auto"/>
          <w:lang w:val="en-GB"/>
        </w:rPr>
        <w:t xml:space="preserve">This work shows how one OTC has played a key role in the establishment and development of EC initiatives in heavily depopulated rural </w:t>
      </w:r>
      <w:r w:rsidRPr="00A55E42">
        <w:rPr>
          <w:lang w:val="en-GB"/>
        </w:rPr>
        <w:t>(Alonso et al., 2024)</w:t>
      </w:r>
      <w:r w:rsidRPr="00A55E42">
        <w:rPr>
          <w:color w:val="auto"/>
          <w:lang w:val="en-GB"/>
        </w:rPr>
        <w:t xml:space="preserve"> and urban areas in the region of </w:t>
      </w:r>
      <w:r w:rsidR="002D0C1E" w:rsidRPr="00A55E42">
        <w:rPr>
          <w:color w:val="auto"/>
          <w:lang w:val="en-GB"/>
        </w:rPr>
        <w:t>Aragon</w:t>
      </w:r>
      <w:r w:rsidR="006C2B07">
        <w:rPr>
          <w:color w:val="auto"/>
          <w:lang w:val="en-GB"/>
        </w:rPr>
        <w:t xml:space="preserve"> and Guadalajara</w:t>
      </w:r>
      <w:r w:rsidRPr="00A55E42">
        <w:rPr>
          <w:color w:val="auto"/>
          <w:lang w:val="en-GB"/>
        </w:rPr>
        <w:t>, Spain. The analysis focuses on the support provided to emerging communities, their consolidation process and the contribution of the OTC model to sustainable development, energy transition and collective energy activities at local level.</w:t>
      </w:r>
    </w:p>
    <w:p w14:paraId="3333CB90" w14:textId="32A7290C" w:rsidR="00040C5E" w:rsidRPr="00A55E42" w:rsidRDefault="004515B5" w:rsidP="00040C5E">
      <w:pPr>
        <w:pStyle w:val="SWCHeading1"/>
        <w:rPr>
          <w:lang w:val="en-GB"/>
        </w:rPr>
      </w:pPr>
      <w:r w:rsidRPr="00A55E42">
        <w:rPr>
          <w:lang w:val="en-GB"/>
        </w:rPr>
        <w:t>Approach</w:t>
      </w:r>
    </w:p>
    <w:p w14:paraId="3F657C2A" w14:textId="5B3B0872" w:rsidR="00040C5E" w:rsidRPr="00A55E42" w:rsidRDefault="00040C5E" w:rsidP="00040C5E">
      <w:pPr>
        <w:pStyle w:val="SWCText"/>
        <w:rPr>
          <w:lang w:val="en-GB"/>
        </w:rPr>
      </w:pPr>
      <w:r w:rsidRPr="00A55E42">
        <w:rPr>
          <w:lang w:val="en-GB"/>
        </w:rPr>
        <w:t>The OTC is designed to address key barriers commonly faced by ECs, including the lack of a specific regulatory framework, challenges related to governance and collective decision-making, limited financial resources</w:t>
      </w:r>
      <w:r w:rsidR="00415160" w:rsidRPr="00A55E42">
        <w:rPr>
          <w:lang w:val="en-GB"/>
        </w:rPr>
        <w:t>,</w:t>
      </w:r>
      <w:r w:rsidRPr="00A55E42">
        <w:rPr>
          <w:lang w:val="en-GB"/>
        </w:rPr>
        <w:t xml:space="preserve"> and difficulties in </w:t>
      </w:r>
      <w:r w:rsidR="00D43390" w:rsidRPr="00A55E42">
        <w:rPr>
          <w:lang w:val="en-GB"/>
        </w:rPr>
        <w:t xml:space="preserve">behavioural change and </w:t>
      </w:r>
      <w:r w:rsidRPr="00A55E42">
        <w:rPr>
          <w:lang w:val="en-GB"/>
        </w:rPr>
        <w:t>user engagement. Additional challenges include the need for viable business and contracting models, improvements in energy efficiency and consumption reduction, as well as technical and environmental constraints.</w:t>
      </w:r>
      <w:r w:rsidR="00415160" w:rsidRPr="00A55E42">
        <w:rPr>
          <w:lang w:val="en-GB"/>
        </w:rPr>
        <w:t xml:space="preserve"> </w:t>
      </w:r>
      <w:r w:rsidRPr="00A55E42">
        <w:rPr>
          <w:lang w:val="en-GB"/>
        </w:rPr>
        <w:t>To tackle these challenges, the OTC</w:t>
      </w:r>
      <w:r w:rsidR="00D43390" w:rsidRPr="00A55E42">
        <w:rPr>
          <w:lang w:val="en-GB"/>
        </w:rPr>
        <w:t xml:space="preserve"> </w:t>
      </w:r>
      <w:r w:rsidRPr="00A55E42">
        <w:rPr>
          <w:lang w:val="en-GB"/>
        </w:rPr>
        <w:t>implement</w:t>
      </w:r>
      <w:r w:rsidR="00804847" w:rsidRPr="00A55E42">
        <w:rPr>
          <w:lang w:val="en-GB"/>
        </w:rPr>
        <w:t>s</w:t>
      </w:r>
      <w:r w:rsidRPr="00A55E42">
        <w:rPr>
          <w:lang w:val="en-GB"/>
        </w:rPr>
        <w:t xml:space="preserve"> a comprehensive methodology based on four main pillars:</w:t>
      </w:r>
    </w:p>
    <w:p w14:paraId="2701115E" w14:textId="2D237262" w:rsidR="00040C5E" w:rsidRPr="00A55E42" w:rsidRDefault="00BB6513" w:rsidP="00415160">
      <w:pPr>
        <w:pStyle w:val="SWCHeading11"/>
      </w:pPr>
      <w:r w:rsidRPr="00A55E42">
        <w:t xml:space="preserve">2.1 </w:t>
      </w:r>
      <w:r w:rsidR="00040C5E" w:rsidRPr="00A55E42">
        <w:t>Territorial engagement and initial diagnosis.</w:t>
      </w:r>
    </w:p>
    <w:p w14:paraId="083E3119" w14:textId="2B51AED5" w:rsidR="00040C5E" w:rsidRPr="00A55E42" w:rsidRDefault="00040C5E" w:rsidP="00040C5E">
      <w:pPr>
        <w:pStyle w:val="SWCText"/>
        <w:rPr>
          <w:lang w:val="en-GB"/>
        </w:rPr>
      </w:pPr>
      <w:r w:rsidRPr="00A55E42">
        <w:rPr>
          <w:lang w:val="en-GB"/>
        </w:rPr>
        <w:t>A preliminary assessment is conducted in each territory to identify existing initiatives, key stakeholders, organisation</w:t>
      </w:r>
      <w:r w:rsidR="00BF49CB" w:rsidRPr="00A55E42">
        <w:rPr>
          <w:lang w:val="en-GB"/>
        </w:rPr>
        <w:t xml:space="preserve"> level</w:t>
      </w:r>
      <w:r w:rsidRPr="00A55E42">
        <w:rPr>
          <w:lang w:val="en-GB"/>
        </w:rPr>
        <w:t>, and potential interest from the local population, as well as relevant socio-economic and contextual factors.</w:t>
      </w:r>
      <w:r w:rsidR="008B5ABD" w:rsidRPr="00A55E42">
        <w:rPr>
          <w:lang w:val="en-GB"/>
        </w:rPr>
        <w:t xml:space="preserve"> This territorial engagement phase is essential to adapt the support process to the specific characteristics of each municipality, especially in rural or depopulated areas where social capital, available human resources, municipal capacities and previous experience in collective initiatives can vary significantly. The diagnosis also helps identify suitable public or private spaces for future renewable installations, existing concerns or mistrust regarding collective energy models, and potential opportunities to link the EC with broader local priorities such as energy poverty reduction, local development, public building efficiency or municipal climate strategies. </w:t>
      </w:r>
    </w:p>
    <w:p w14:paraId="54EE51B1" w14:textId="32CEAF7F" w:rsidR="00040C5E" w:rsidRPr="00A55E42" w:rsidRDefault="00BB6513" w:rsidP="00415160">
      <w:pPr>
        <w:pStyle w:val="SWCHeading11"/>
      </w:pPr>
      <w:r w:rsidRPr="00A55E42">
        <w:t xml:space="preserve">2.2 </w:t>
      </w:r>
      <w:r w:rsidR="00040C5E" w:rsidRPr="00A55E42">
        <w:t>Participatory facilitation and governance support.</w:t>
      </w:r>
    </w:p>
    <w:p w14:paraId="43C529D6" w14:textId="77777777" w:rsidR="0050554E" w:rsidRPr="00A55E42" w:rsidRDefault="00D466DB">
      <w:pPr>
        <w:pStyle w:val="SWCText"/>
        <w:rPr>
          <w:lang w:val="en-GB"/>
        </w:rPr>
      </w:pPr>
      <w:r w:rsidRPr="00A55E42">
        <w:rPr>
          <w:lang w:val="en-GB"/>
        </w:rPr>
        <w:t xml:space="preserve">The OTC </w:t>
      </w:r>
      <w:r w:rsidR="00E25BE4" w:rsidRPr="00A55E42">
        <w:rPr>
          <w:lang w:val="en-GB"/>
        </w:rPr>
        <w:t>organises</w:t>
      </w:r>
      <w:r w:rsidRPr="00A55E42">
        <w:rPr>
          <w:lang w:val="en-GB"/>
        </w:rPr>
        <w:t xml:space="preserve"> participatory workshops focused on defining the collective vision and mission for the EC, improving internal organisation, and strengthening governance structures. This includes decision-making processes, conflict prevention tools, coordination mechanisms, and inclusive participation strategies to ensure effective and resilient group functioning. Special attention is given to building trust among participants, clarifying roles and responsibilities, and helping the driving group establish simple internal rules for communication, task distribution and meeting dynamics. These facilitation activities are particularly relevant in early-stage initiatives, where technical progress often depends on the group’s ability to make shared </w:t>
      </w:r>
      <w:r w:rsidRPr="00A55E42">
        <w:rPr>
          <w:lang w:val="en-GB"/>
        </w:rPr>
        <w:lastRenderedPageBreak/>
        <w:t>decisions, manage expectations and maintain long-term motivation. By reinforcing governance capacities from the beginning, the OTC supports the transition from informal interest groups to more autonomous and stable community organisations.</w:t>
      </w:r>
    </w:p>
    <w:p w14:paraId="557D0276" w14:textId="39043D22" w:rsidR="00040C5E" w:rsidRPr="00A55E42" w:rsidRDefault="00BB6513" w:rsidP="00415160">
      <w:pPr>
        <w:pStyle w:val="SWCHeading11"/>
      </w:pPr>
      <w:r w:rsidRPr="00A55E42">
        <w:t xml:space="preserve">2.3 </w:t>
      </w:r>
      <w:r w:rsidR="00040C5E" w:rsidRPr="00A55E42">
        <w:t>Multidisciplinary advisory services.</w:t>
      </w:r>
    </w:p>
    <w:p w14:paraId="3CC2B5AA" w14:textId="1B6ECDA7" w:rsidR="0073711C" w:rsidRDefault="00040C5E" w:rsidP="0073711C">
      <w:pPr>
        <w:pStyle w:val="SWCText"/>
        <w:rPr>
          <w:lang w:val="en-GB"/>
        </w:rPr>
      </w:pPr>
      <w:r w:rsidRPr="00A55E42">
        <w:rPr>
          <w:lang w:val="en-GB"/>
        </w:rPr>
        <w:t>Targeted support is provided through workshops and consultancy services covering legal, technical, economic, administrative, and social aspects</w:t>
      </w:r>
      <w:r w:rsidR="00EA5366">
        <w:rPr>
          <w:lang w:val="en-GB"/>
        </w:rPr>
        <w:t xml:space="preserve"> (</w:t>
      </w:r>
      <w:r w:rsidR="00EA5366">
        <w:rPr>
          <w:lang w:val="en-GB"/>
        </w:rPr>
        <w:fldChar w:fldCharType="begin"/>
      </w:r>
      <w:r w:rsidR="00EA5366">
        <w:rPr>
          <w:lang w:val="en-GB"/>
        </w:rPr>
        <w:instrText xml:space="preserve"> REF _Ref237272408 \h </w:instrText>
      </w:r>
      <w:r w:rsidR="00EA5366">
        <w:rPr>
          <w:lang w:val="en-GB"/>
        </w:rPr>
      </w:r>
      <w:r w:rsidR="00EA5366">
        <w:rPr>
          <w:lang w:val="en-GB"/>
        </w:rPr>
        <w:fldChar w:fldCharType="separate"/>
      </w:r>
      <w:r w:rsidR="00EA5366" w:rsidRPr="00A55E42">
        <w:t xml:space="preserve">Fig. </w:t>
      </w:r>
      <w:r w:rsidR="00EA5366">
        <w:rPr>
          <w:noProof/>
        </w:rPr>
        <w:t>1</w:t>
      </w:r>
      <w:r w:rsidR="00EA5366">
        <w:rPr>
          <w:lang w:val="en-GB"/>
        </w:rPr>
        <w:fldChar w:fldCharType="end"/>
      </w:r>
      <w:r w:rsidR="00EA5366">
        <w:rPr>
          <w:lang w:val="en-GB"/>
        </w:rPr>
        <w:t>)</w:t>
      </w:r>
      <w:r w:rsidRPr="00A55E42">
        <w:rPr>
          <w:lang w:val="en-GB"/>
        </w:rPr>
        <w:t xml:space="preserve">. </w:t>
      </w:r>
      <w:r w:rsidR="00E158FD" w:rsidRPr="00A55E42">
        <w:rPr>
          <w:lang w:val="en-GB"/>
        </w:rPr>
        <w:t xml:space="preserve">Special attention is given to the selection of the most suitable legal structure for ECs, which are mainly established as non-profit associations or consumer cooperatives, by analysing their respective legal, fiscal, administrative and financial implications. </w:t>
      </w:r>
      <w:r w:rsidRPr="00A55E42">
        <w:rPr>
          <w:lang w:val="en-GB"/>
        </w:rPr>
        <w:t>Technical advisory activities include energy consumption analysis, system design proposals, energy sharing schemes, optimisation strategies, and basic engineering for collective self-consumption systems. Economic advisory focuses on investment analysis, financing mechanisms, cost allocation among participants, and payback assessments based on expected savings. Administrative guidance supports ECs in meeting legal obligations and navigating bureaucratic procedures, reducing potential barriers, time, and costs during the establishment process.</w:t>
      </w:r>
      <w:r w:rsidR="00286D1F" w:rsidRPr="00A55E42">
        <w:rPr>
          <w:lang w:val="en-GB"/>
        </w:rPr>
        <w:t xml:space="preserve"> The main added value of this multidisciplinary support lies in coordinating these different areas within a single advisory framework, allowing emerging ECs to make coherent decisions and progress from initial concept to implementation with greater confidence</w:t>
      </w:r>
      <w:r w:rsidR="0073711C" w:rsidRPr="00A55E42">
        <w:rPr>
          <w:lang w:val="en-GB"/>
        </w:rPr>
        <w:t>.</w:t>
      </w:r>
    </w:p>
    <w:p w14:paraId="07572B29" w14:textId="24C42F0F" w:rsidR="006C2B07" w:rsidRPr="00A55E42" w:rsidRDefault="000804E7" w:rsidP="006C2B07">
      <w:pPr>
        <w:pStyle w:val="SWCText"/>
        <w:jc w:val="center"/>
        <w:rPr>
          <w:color w:val="1F497D" w:themeColor="text2"/>
          <w:lang w:val="en-GB"/>
        </w:rPr>
      </w:pPr>
      <w:r w:rsidRPr="000804E7">
        <w:rPr>
          <w:noProof/>
          <w:color w:val="1F497D" w:themeColor="text2"/>
          <w:lang w:val="en-GB"/>
        </w:rPr>
        <w:drawing>
          <wp:inline distT="0" distB="0" distL="0" distR="0" wp14:anchorId="79ECBEF5" wp14:editId="3FC66F90">
            <wp:extent cx="2842125" cy="1571323"/>
            <wp:effectExtent l="0" t="0" r="0" b="0"/>
            <wp:docPr id="1616624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73448" cy="1588641"/>
                    </a:xfrm>
                    <a:prstGeom prst="rect">
                      <a:avLst/>
                    </a:prstGeom>
                    <a:noFill/>
                    <a:ln>
                      <a:noFill/>
                    </a:ln>
                  </pic:spPr>
                </pic:pic>
              </a:graphicData>
            </a:graphic>
          </wp:inline>
        </w:drawing>
      </w:r>
      <w:r w:rsidRPr="000804E7">
        <w:rPr>
          <w:noProof/>
          <w:color w:val="1F497D" w:themeColor="text2"/>
          <w:lang w:val="en-GB"/>
        </w:rPr>
        <w:drawing>
          <wp:inline distT="0" distB="0" distL="0" distR="0" wp14:anchorId="2131BAAA" wp14:editId="19E51CAD">
            <wp:extent cx="2682916" cy="1569600"/>
            <wp:effectExtent l="0" t="0" r="3175" b="0"/>
            <wp:docPr id="81213270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2916" cy="1569600"/>
                    </a:xfrm>
                    <a:prstGeom prst="rect">
                      <a:avLst/>
                    </a:prstGeom>
                    <a:noFill/>
                    <a:ln>
                      <a:noFill/>
                    </a:ln>
                  </pic:spPr>
                </pic:pic>
              </a:graphicData>
            </a:graphic>
          </wp:inline>
        </w:drawing>
      </w:r>
    </w:p>
    <w:p w14:paraId="361F7E6A" w14:textId="0450EFF3" w:rsidR="006C2B07" w:rsidRPr="00A55E42" w:rsidRDefault="006C2B07" w:rsidP="006C2B07">
      <w:pPr>
        <w:pStyle w:val="Descripcin"/>
      </w:pPr>
      <w:bookmarkStart w:id="1" w:name="_Ref237272408"/>
      <w:r w:rsidRPr="00A55E42">
        <w:t xml:space="preserve">Fig. </w:t>
      </w:r>
      <w:r w:rsidRPr="00A55E42">
        <w:fldChar w:fldCharType="begin"/>
      </w:r>
      <w:r w:rsidRPr="00A55E42">
        <w:instrText xml:space="preserve"> SEQ Fig. \* ARABIC </w:instrText>
      </w:r>
      <w:r w:rsidRPr="00A55E42">
        <w:fldChar w:fldCharType="separate"/>
      </w:r>
      <w:r w:rsidR="00EA5366">
        <w:rPr>
          <w:noProof/>
        </w:rPr>
        <w:t>1</w:t>
      </w:r>
      <w:r w:rsidRPr="00A55E42">
        <w:fldChar w:fldCharType="end"/>
      </w:r>
      <w:bookmarkEnd w:id="1"/>
      <w:r w:rsidRPr="00A55E42">
        <w:t>: OTC advisory session</w:t>
      </w:r>
      <w:r w:rsidR="000804E7">
        <w:t>s</w:t>
      </w:r>
      <w:r w:rsidRPr="00A55E42">
        <w:t xml:space="preserve"> with energy communit</w:t>
      </w:r>
      <w:r w:rsidR="00EA5366">
        <w:t>ies</w:t>
      </w:r>
    </w:p>
    <w:p w14:paraId="69589FBC" w14:textId="4DB6CF23" w:rsidR="00415160" w:rsidRPr="00A55E42" w:rsidRDefault="00BB6513" w:rsidP="00415160">
      <w:pPr>
        <w:pStyle w:val="SWCHeading11"/>
      </w:pPr>
      <w:r w:rsidRPr="00A55E42">
        <w:t xml:space="preserve">2.4 </w:t>
      </w:r>
      <w:r w:rsidR="00415160" w:rsidRPr="00A55E42">
        <w:t>Dissemination and awareness-raising.</w:t>
      </w:r>
    </w:p>
    <w:p w14:paraId="7D14B175" w14:textId="200E0919" w:rsidR="00301BA4" w:rsidRDefault="003F1097">
      <w:pPr>
        <w:pStyle w:val="SWCText"/>
        <w:rPr>
          <w:lang w:val="en-GB"/>
        </w:rPr>
      </w:pPr>
      <w:r w:rsidRPr="00A55E42">
        <w:rPr>
          <w:lang w:val="en-GB"/>
        </w:rPr>
        <w:t>Energy communities are promoted as citizen-led initiatives through public talks, social media, and conventional communication channels, increasing visibility and engagement at the local level. T</w:t>
      </w:r>
      <w:r w:rsidR="00625A39" w:rsidRPr="00A55E42">
        <w:rPr>
          <w:lang w:val="en-GB"/>
        </w:rPr>
        <w:t>hese actions also help translate technical and regulatory concepts into accessible language, reducing mistrust and making the EC model understandable for citizens, municipalities and local businesses. Dissemination is therefore conceived not only as communication, but as a first step for participation, replication and the identification of potential driving groups.</w:t>
      </w:r>
    </w:p>
    <w:p w14:paraId="3C3D0B5A" w14:textId="794A02EA" w:rsidR="00286D1F" w:rsidRPr="00A55E42" w:rsidRDefault="004568C3" w:rsidP="006B1B68">
      <w:pPr>
        <w:pStyle w:val="SWCText"/>
        <w:rPr>
          <w:lang w:val="en-GB"/>
        </w:rPr>
      </w:pPr>
      <w:r w:rsidRPr="00A55E42">
        <w:rPr>
          <w:lang w:val="en-GB"/>
        </w:rPr>
        <w:t>Overall, this integrated approach allows the OTC to adapt its intervention to each local context, especially in rural and depopulated areas. By combining territorial diagnosis, participatory governance, multidisciplinary advisory services and dissemination, it provides a coherent support pathway that accompanies emerging ECs from initial mobilisation to consolidation.</w:t>
      </w:r>
    </w:p>
    <w:p w14:paraId="3B49F05D" w14:textId="10B51928" w:rsidR="00ED255F" w:rsidRPr="00A55E42" w:rsidRDefault="00ED255F" w:rsidP="00ED255F">
      <w:pPr>
        <w:pStyle w:val="SWCHeading1"/>
        <w:rPr>
          <w:bCs/>
          <w:color w:val="auto"/>
          <w:lang w:val="en-GB"/>
        </w:rPr>
      </w:pPr>
      <w:r w:rsidRPr="00A55E42">
        <w:rPr>
          <w:bCs/>
          <w:color w:val="auto"/>
          <w:lang w:val="en-GB"/>
        </w:rPr>
        <w:t>Energy Communities</w:t>
      </w:r>
      <w:r w:rsidR="00326BE9">
        <w:rPr>
          <w:bCs/>
          <w:color w:val="auto"/>
          <w:lang w:val="en-GB"/>
        </w:rPr>
        <w:t>’ challenges and barriers</w:t>
      </w:r>
    </w:p>
    <w:p w14:paraId="1E96F907" w14:textId="275EC90A" w:rsidR="00ED255F" w:rsidRPr="00A55E42" w:rsidRDefault="00ED255F" w:rsidP="00ED255F">
      <w:pPr>
        <w:pStyle w:val="SWCText"/>
        <w:rPr>
          <w:lang w:val="en-GB"/>
        </w:rPr>
      </w:pPr>
      <w:r w:rsidRPr="00A55E42">
        <w:rPr>
          <w:lang w:val="en-GB"/>
        </w:rPr>
        <w:t xml:space="preserve">The deployment of Energy Communities (ECs) in Spain, particularly in rural and depopulated areas, faces a complex set of barriers that transcend technical engineering. </w:t>
      </w:r>
      <w:r w:rsidR="004663DE" w:rsidRPr="00A55E42">
        <w:rPr>
          <w:lang w:val="en-GB"/>
        </w:rPr>
        <w:t>Based on the experience of the OTC, these barriers can be grouped into four main categories that determine whether an initiative can move from initial mobilisation to a viable and operational community.</w:t>
      </w:r>
    </w:p>
    <w:p w14:paraId="20DC41D5" w14:textId="3E605596" w:rsidR="00ED255F" w:rsidRPr="00A55E42" w:rsidRDefault="00ED255F" w:rsidP="002A200B">
      <w:pPr>
        <w:pStyle w:val="SWCHeading11"/>
      </w:pPr>
      <w:r w:rsidRPr="00A55E42">
        <w:t>3.1 Regulatory and Administrative Barriers</w:t>
      </w:r>
    </w:p>
    <w:p w14:paraId="3CD65C60" w14:textId="4049F8E8" w:rsidR="00ED255F" w:rsidRPr="00A55E42" w:rsidRDefault="001E698F" w:rsidP="00ED255F">
      <w:pPr>
        <w:pStyle w:val="SWCText"/>
        <w:rPr>
          <w:lang w:val="en-GB"/>
        </w:rPr>
      </w:pPr>
      <w:r w:rsidRPr="00A55E42">
        <w:rPr>
          <w:lang w:val="en-GB"/>
        </w:rPr>
        <w:t>A key</w:t>
      </w:r>
      <w:r w:rsidR="0073711C" w:rsidRPr="00A55E42">
        <w:rPr>
          <w:lang w:val="en-GB"/>
        </w:rPr>
        <w:t xml:space="preserve"> </w:t>
      </w:r>
      <w:r w:rsidR="00ED255F" w:rsidRPr="00A55E42">
        <w:rPr>
          <w:lang w:val="en-GB"/>
        </w:rPr>
        <w:t>obstacle is the</w:t>
      </w:r>
      <w:r w:rsidR="004658AD" w:rsidRPr="00A55E42">
        <w:rPr>
          <w:lang w:val="en-GB"/>
        </w:rPr>
        <w:t xml:space="preserve"> persistent</w:t>
      </w:r>
      <w:r w:rsidR="00ED255F" w:rsidRPr="00A55E42">
        <w:rPr>
          <w:lang w:val="en-GB"/>
        </w:rPr>
        <w:t xml:space="preserve"> regulatory </w:t>
      </w:r>
      <w:r w:rsidR="004658AD" w:rsidRPr="00A55E42">
        <w:rPr>
          <w:lang w:val="en-GB"/>
        </w:rPr>
        <w:t>uncertainty</w:t>
      </w:r>
      <w:r w:rsidR="00ED255F" w:rsidRPr="00A55E42">
        <w:rPr>
          <w:lang w:val="en-GB"/>
        </w:rPr>
        <w:t xml:space="preserve"> within the Spanish legal framework. </w:t>
      </w:r>
      <w:r w:rsidR="004658AD" w:rsidRPr="00A55E42">
        <w:rPr>
          <w:lang w:val="en-GB"/>
        </w:rPr>
        <w:t xml:space="preserve">Although </w:t>
      </w:r>
      <w:r w:rsidR="00ED255F" w:rsidRPr="00A55E42">
        <w:rPr>
          <w:lang w:val="en-GB"/>
        </w:rPr>
        <w:t xml:space="preserve">European Directives have been partially transposed, there is still a lack of </w:t>
      </w:r>
      <w:r w:rsidR="004658AD" w:rsidRPr="00A55E42">
        <w:rPr>
          <w:lang w:val="en-GB"/>
        </w:rPr>
        <w:t>detailed national and local provisions defining</w:t>
      </w:r>
      <w:r w:rsidR="004658AD" w:rsidRPr="00A55E42" w:rsidDel="004658AD">
        <w:rPr>
          <w:lang w:val="en-GB"/>
        </w:rPr>
        <w:t xml:space="preserve"> </w:t>
      </w:r>
      <w:r w:rsidR="004658AD" w:rsidRPr="00A55E42">
        <w:rPr>
          <w:lang w:val="en-GB"/>
        </w:rPr>
        <w:t xml:space="preserve">and clarifying </w:t>
      </w:r>
      <w:r w:rsidR="00ED255F" w:rsidRPr="00A55E42">
        <w:rPr>
          <w:lang w:val="en-GB"/>
        </w:rPr>
        <w:t>how ECs can operate as full market participants beyond collective self-consumption.</w:t>
      </w:r>
    </w:p>
    <w:p w14:paraId="13818D13" w14:textId="77777777" w:rsidR="0050554E" w:rsidRPr="00A55E42" w:rsidRDefault="00D466DB">
      <w:pPr>
        <w:pStyle w:val="SWCText"/>
        <w:rPr>
          <w:lang w:val="en-GB"/>
        </w:rPr>
      </w:pPr>
      <w:r w:rsidRPr="00A55E42">
        <w:rPr>
          <w:lang w:val="en-GB"/>
        </w:rPr>
        <w:t xml:space="preserve">In addition, emerging groups face significant administrative burdens when completing digital registration </w:t>
      </w:r>
      <w:r w:rsidRPr="00A55E42">
        <w:rPr>
          <w:lang w:val="en-GB"/>
        </w:rPr>
        <w:lastRenderedPageBreak/>
        <w:t xml:space="preserve">procedures, formalising their legal status or applying for public funding. In several small municipalities, a lack of </w:t>
      </w:r>
      <w:r w:rsidR="00B71AA4" w:rsidRPr="00A55E42">
        <w:rPr>
          <w:lang w:val="en-GB"/>
        </w:rPr>
        <w:t>specialised</w:t>
      </w:r>
      <w:r w:rsidRPr="00A55E42">
        <w:rPr>
          <w:lang w:val="en-GB"/>
        </w:rPr>
        <w:t xml:space="preserve"> staff and insufficient technical training among local authorities can inadvertently slow down the development of EC projects.</w:t>
      </w:r>
    </w:p>
    <w:p w14:paraId="160076E2" w14:textId="58747F85" w:rsidR="00ED255F" w:rsidRPr="00A55E42" w:rsidRDefault="00ED255F" w:rsidP="002A200B">
      <w:pPr>
        <w:pStyle w:val="SWCHeading11"/>
      </w:pPr>
      <w:r w:rsidRPr="00A55E42">
        <w:t>3.2 Social and Governance Challenges</w:t>
      </w:r>
    </w:p>
    <w:p w14:paraId="090F013E" w14:textId="262F9EB4" w:rsidR="00722BB9" w:rsidRPr="00A55E42" w:rsidRDefault="00722BB9" w:rsidP="00ED255F">
      <w:pPr>
        <w:pStyle w:val="SWCText"/>
        <w:rPr>
          <w:lang w:val="en-GB"/>
        </w:rPr>
      </w:pPr>
      <w:r w:rsidRPr="00A55E42">
        <w:rPr>
          <w:lang w:val="en-GB"/>
        </w:rPr>
        <w:t>The social and organisational dimension of energy communities is often one of the most critical factors affecting their development. Based on the OTC experience, weak internal cohesion, limited participation and unresolved governance tensions are frequently among the main causes of initiative stagnation or dissolution.</w:t>
      </w:r>
    </w:p>
    <w:p w14:paraId="4DE66566" w14:textId="09F66AB8" w:rsidR="003F13D0" w:rsidRPr="00A55E42" w:rsidRDefault="003F13D0" w:rsidP="00A740A0">
      <w:pPr>
        <w:pStyle w:val="SWCText"/>
        <w:rPr>
          <w:lang w:val="en-GB"/>
        </w:rPr>
      </w:pPr>
      <w:r w:rsidRPr="00A55E42">
        <w:rPr>
          <w:lang w:val="en-GB"/>
        </w:rPr>
        <w:t xml:space="preserve">Many emerging groups lack previous experience in sustained participatory processes and culture or in managing </w:t>
      </w:r>
      <w:r w:rsidR="00D9292A" w:rsidRPr="00A55E42">
        <w:rPr>
          <w:lang w:val="en-GB"/>
        </w:rPr>
        <w:t xml:space="preserve">together </w:t>
      </w:r>
      <w:r w:rsidRPr="00A55E42">
        <w:rPr>
          <w:lang w:val="en-GB"/>
        </w:rPr>
        <w:t>complex collective projects. As a result, responsibilities tend to be unevenly distributed, a small number of members often assume most tasks</w:t>
      </w:r>
      <w:r w:rsidR="00D9292A" w:rsidRPr="00A55E42">
        <w:rPr>
          <w:lang w:val="en-GB"/>
        </w:rPr>
        <w:t xml:space="preserve"> due to a </w:t>
      </w:r>
      <w:r w:rsidR="001E698F" w:rsidRPr="00A55E42">
        <w:rPr>
          <w:lang w:val="en-GB"/>
        </w:rPr>
        <w:t>limited available time, unclear role distribution or uneven engagement.</w:t>
      </w:r>
      <w:r w:rsidR="00DD5636" w:rsidRPr="00A55E42">
        <w:rPr>
          <w:lang w:val="en-GB"/>
        </w:rPr>
        <w:t xml:space="preserve"> Thus,</w:t>
      </w:r>
      <w:r w:rsidRPr="00A55E42">
        <w:rPr>
          <w:lang w:val="en-GB"/>
        </w:rPr>
        <w:t xml:space="preserve"> participation may decline over time, reducing the group’s capacity to make decisions and maintain project momentum.</w:t>
      </w:r>
    </w:p>
    <w:p w14:paraId="34621DED" w14:textId="2F08AD6E" w:rsidR="00D9292A" w:rsidRPr="00A55E42" w:rsidRDefault="00D9292A" w:rsidP="00A740A0">
      <w:pPr>
        <w:pStyle w:val="SWCText"/>
        <w:rPr>
          <w:lang w:val="en-GB"/>
        </w:rPr>
      </w:pPr>
      <w:r w:rsidRPr="00A55E42">
        <w:rPr>
          <w:lang w:val="en-GB"/>
        </w:rPr>
        <w:t>W</w:t>
      </w:r>
      <w:r w:rsidR="00ED255F" w:rsidRPr="00A55E42">
        <w:rPr>
          <w:lang w:val="en-GB"/>
        </w:rPr>
        <w:t xml:space="preserve">ithout professional facilitation, groups </w:t>
      </w:r>
      <w:r w:rsidRPr="00A55E42">
        <w:rPr>
          <w:lang w:val="en-GB"/>
        </w:rPr>
        <w:t xml:space="preserve">may also </w:t>
      </w:r>
      <w:r w:rsidR="00ED255F" w:rsidRPr="00A55E42">
        <w:rPr>
          <w:lang w:val="en-GB"/>
        </w:rPr>
        <w:t xml:space="preserve">lack </w:t>
      </w:r>
      <w:r w:rsidRPr="00A55E42">
        <w:rPr>
          <w:lang w:val="en-GB"/>
        </w:rPr>
        <w:t>practical</w:t>
      </w:r>
      <w:r w:rsidR="00ED255F" w:rsidRPr="00A55E42">
        <w:rPr>
          <w:lang w:val="en-GB"/>
        </w:rPr>
        <w:t xml:space="preserve"> tools for conflict prevention</w:t>
      </w:r>
      <w:r w:rsidRPr="00A55E42">
        <w:rPr>
          <w:lang w:val="en-GB"/>
        </w:rPr>
        <w:t>, mediation</w:t>
      </w:r>
      <w:r w:rsidR="00ED255F" w:rsidRPr="00A55E42">
        <w:rPr>
          <w:lang w:val="en-GB"/>
        </w:rPr>
        <w:t xml:space="preserve"> and </w:t>
      </w:r>
      <w:r w:rsidRPr="00A55E42">
        <w:rPr>
          <w:lang w:val="en-GB"/>
        </w:rPr>
        <w:t>shared decision-making.</w:t>
      </w:r>
      <w:r w:rsidR="00ED255F" w:rsidRPr="00A55E42">
        <w:rPr>
          <w:lang w:val="en-GB"/>
        </w:rPr>
        <w:t xml:space="preserve"> </w:t>
      </w:r>
      <w:r w:rsidRPr="00A55E42">
        <w:rPr>
          <w:lang w:val="en-GB"/>
        </w:rPr>
        <w:t>Unresolved tensions can progressively erode trust among participants and create blockages that delay both organisational consolidation and technical implementation.</w:t>
      </w:r>
      <w:r w:rsidR="0030100D" w:rsidRPr="00A55E42">
        <w:rPr>
          <w:lang w:val="en-GB"/>
        </w:rPr>
        <w:t xml:space="preserve"> </w:t>
      </w:r>
      <w:r w:rsidR="00A740A0" w:rsidRPr="00A55E42">
        <w:rPr>
          <w:lang w:val="en-GB"/>
        </w:rPr>
        <w:t>Additionally, t</w:t>
      </w:r>
      <w:r w:rsidR="00ED255F" w:rsidRPr="00A55E42">
        <w:rPr>
          <w:lang w:val="en-GB"/>
        </w:rPr>
        <w:t xml:space="preserve">here is a persistent distrust </w:t>
      </w:r>
      <w:r w:rsidRPr="00A55E42">
        <w:rPr>
          <w:lang w:val="en-GB"/>
        </w:rPr>
        <w:t xml:space="preserve">towards incumbent actors </w:t>
      </w:r>
      <w:r w:rsidR="00ED255F" w:rsidRPr="00A55E42">
        <w:rPr>
          <w:lang w:val="en-GB"/>
        </w:rPr>
        <w:t xml:space="preserve">in the traditional </w:t>
      </w:r>
      <w:r w:rsidRPr="00A55E42">
        <w:rPr>
          <w:lang w:val="en-GB"/>
        </w:rPr>
        <w:t xml:space="preserve">electricity </w:t>
      </w:r>
      <w:r w:rsidR="00ED255F" w:rsidRPr="00A55E42">
        <w:rPr>
          <w:lang w:val="en-GB"/>
        </w:rPr>
        <w:t xml:space="preserve">system, which can </w:t>
      </w:r>
      <w:r w:rsidRPr="00A55E42">
        <w:rPr>
          <w:lang w:val="en-GB"/>
        </w:rPr>
        <w:t>make some citizens cautious about new collective energy models. This scepticism may reduce initial engagement, especially when the benefits, governance rules and responsibilities of the EC are not clearly explained.</w:t>
      </w:r>
    </w:p>
    <w:p w14:paraId="1A92FCAE" w14:textId="137F6B89" w:rsidR="00ED255F" w:rsidRPr="00A55E42" w:rsidRDefault="00ED255F" w:rsidP="002A200B">
      <w:pPr>
        <w:pStyle w:val="SWCHeading11"/>
      </w:pPr>
      <w:r w:rsidRPr="00A55E42">
        <w:t>3.3 Technical and Infrastructure Constraints</w:t>
      </w:r>
    </w:p>
    <w:p w14:paraId="23A4071B" w14:textId="2ED6C92D" w:rsidR="00ED255F" w:rsidRPr="00A55E42" w:rsidRDefault="00ED255F" w:rsidP="00A740A0">
      <w:pPr>
        <w:pStyle w:val="SWCText"/>
        <w:rPr>
          <w:lang w:val="en-GB"/>
        </w:rPr>
      </w:pPr>
      <w:r w:rsidRPr="00A55E42">
        <w:rPr>
          <w:lang w:val="en-GB"/>
        </w:rPr>
        <w:t xml:space="preserve">Technical feasibility </w:t>
      </w:r>
      <w:r w:rsidR="007C6FC0" w:rsidRPr="00A55E42">
        <w:rPr>
          <w:lang w:val="en-GB"/>
        </w:rPr>
        <w:t>c</w:t>
      </w:r>
      <w:r w:rsidR="00DD5636" w:rsidRPr="00A55E42">
        <w:rPr>
          <w:lang w:val="en-GB"/>
        </w:rPr>
        <w:t>a</w:t>
      </w:r>
      <w:r w:rsidR="007C6FC0" w:rsidRPr="00A55E42">
        <w:rPr>
          <w:lang w:val="en-GB"/>
        </w:rPr>
        <w:t>nno</w:t>
      </w:r>
      <w:r w:rsidRPr="00A55E42">
        <w:rPr>
          <w:lang w:val="en-GB"/>
        </w:rPr>
        <w:t xml:space="preserve">t always </w:t>
      </w:r>
      <w:r w:rsidR="007C6FC0" w:rsidRPr="00A55E42">
        <w:rPr>
          <w:lang w:val="en-GB"/>
        </w:rPr>
        <w:t>be assumed</w:t>
      </w:r>
      <w:r w:rsidRPr="00A55E42">
        <w:rPr>
          <w:lang w:val="en-GB"/>
        </w:rPr>
        <w:t>, especially in older rural settlements.</w:t>
      </w:r>
      <w:r w:rsidR="00A740A0" w:rsidRPr="00A55E42">
        <w:rPr>
          <w:lang w:val="en-GB"/>
        </w:rPr>
        <w:t xml:space="preserve"> </w:t>
      </w:r>
      <w:r w:rsidRPr="00A55E42">
        <w:rPr>
          <w:lang w:val="en-GB"/>
        </w:rPr>
        <w:t xml:space="preserve">Finding suitable rooftops or land that </w:t>
      </w:r>
      <w:r w:rsidR="007C6FC0" w:rsidRPr="00A55E42">
        <w:rPr>
          <w:lang w:val="en-GB"/>
        </w:rPr>
        <w:t xml:space="preserve">comply with </w:t>
      </w:r>
      <w:r w:rsidRPr="00A55E42">
        <w:rPr>
          <w:lang w:val="en-GB"/>
        </w:rPr>
        <w:t>both technical requirements</w:t>
      </w:r>
      <w:r w:rsidR="007C6FC0" w:rsidRPr="00A55E42">
        <w:rPr>
          <w:lang w:val="en-GB"/>
        </w:rPr>
        <w:t>, such as</w:t>
      </w:r>
      <w:r w:rsidR="0073711C" w:rsidRPr="00A55E42">
        <w:rPr>
          <w:lang w:val="en-GB"/>
        </w:rPr>
        <w:t xml:space="preserve"> </w:t>
      </w:r>
      <w:r w:rsidRPr="00A55E42">
        <w:rPr>
          <w:lang w:val="en-GB"/>
        </w:rPr>
        <w:t xml:space="preserve">orientation, </w:t>
      </w:r>
      <w:r w:rsidR="007C6FC0" w:rsidRPr="00A55E42">
        <w:rPr>
          <w:lang w:val="en-GB"/>
        </w:rPr>
        <w:t>shading and</w:t>
      </w:r>
      <w:r w:rsidR="0073711C" w:rsidRPr="00A55E42">
        <w:rPr>
          <w:lang w:val="en-GB"/>
        </w:rPr>
        <w:t xml:space="preserve"> </w:t>
      </w:r>
      <w:r w:rsidRPr="00A55E42">
        <w:rPr>
          <w:lang w:val="en-GB"/>
        </w:rPr>
        <w:t>structur</w:t>
      </w:r>
      <w:r w:rsidR="007C6FC0" w:rsidRPr="00A55E42">
        <w:rPr>
          <w:lang w:val="en-GB"/>
        </w:rPr>
        <w:t>al capacity,</w:t>
      </w:r>
      <w:r w:rsidRPr="00A55E42">
        <w:rPr>
          <w:lang w:val="en-GB"/>
        </w:rPr>
        <w:t xml:space="preserve"> and urban planning regulations</w:t>
      </w:r>
      <w:r w:rsidR="003909C9" w:rsidRPr="00A55E42">
        <w:rPr>
          <w:lang w:val="en-GB"/>
        </w:rPr>
        <w:t>,</w:t>
      </w:r>
      <w:r w:rsidRPr="00A55E42">
        <w:rPr>
          <w:lang w:val="en-GB"/>
        </w:rPr>
        <w:t xml:space="preserve"> </w:t>
      </w:r>
      <w:r w:rsidR="007C6FC0" w:rsidRPr="00A55E42">
        <w:rPr>
          <w:lang w:val="en-GB"/>
        </w:rPr>
        <w:t xml:space="preserve">remains </w:t>
      </w:r>
      <w:r w:rsidRPr="00A55E42">
        <w:rPr>
          <w:lang w:val="en-GB"/>
        </w:rPr>
        <w:t xml:space="preserve">a </w:t>
      </w:r>
      <w:r w:rsidR="00DD5636" w:rsidRPr="00A55E42">
        <w:rPr>
          <w:lang w:val="en-GB"/>
        </w:rPr>
        <w:t>re</w:t>
      </w:r>
      <w:r w:rsidR="007C6FC0" w:rsidRPr="00A55E42">
        <w:rPr>
          <w:lang w:val="en-GB"/>
        </w:rPr>
        <w:t xml:space="preserve">current </w:t>
      </w:r>
      <w:r w:rsidRPr="00A55E42">
        <w:rPr>
          <w:lang w:val="en-GB"/>
        </w:rPr>
        <w:t>challenge.</w:t>
      </w:r>
    </w:p>
    <w:p w14:paraId="5DCCC0E0" w14:textId="67DCBAD2" w:rsidR="0050554E" w:rsidRPr="00A55E42" w:rsidRDefault="00692D6F">
      <w:pPr>
        <w:pStyle w:val="SWCText"/>
        <w:rPr>
          <w:lang w:val="en-GB"/>
        </w:rPr>
      </w:pPr>
      <w:r w:rsidRPr="00A55E42">
        <w:rPr>
          <w:lang w:val="en-GB"/>
        </w:rPr>
        <w:t xml:space="preserve">Once the installation is completed, commissioning issues are common, often due to the slow response times from distribution companies or technical mismatches with existing infrastructure. In addition, technical awareness among citizens and local technicians regarding the possibilities of collective self-consumption under </w:t>
      </w:r>
      <w:r w:rsidR="009B52CB" w:rsidRPr="00A55E42">
        <w:rPr>
          <w:lang w:val="en-GB"/>
        </w:rPr>
        <w:t xml:space="preserve">Spanish </w:t>
      </w:r>
      <w:r w:rsidRPr="00A55E42">
        <w:rPr>
          <w:lang w:val="en-GB"/>
        </w:rPr>
        <w:t>R.D. 244/2019 remains limited</w:t>
      </w:r>
      <w:r w:rsidR="00246FEF" w:rsidRPr="00A55E42">
        <w:rPr>
          <w:lang w:val="en-GB"/>
        </w:rPr>
        <w:t xml:space="preserve"> (Spain, 2019).</w:t>
      </w:r>
    </w:p>
    <w:p w14:paraId="69263032" w14:textId="3811E2F4" w:rsidR="00ED255F" w:rsidRPr="00A55E42" w:rsidRDefault="00ED255F" w:rsidP="002A200B">
      <w:pPr>
        <w:pStyle w:val="SWCHeading11"/>
      </w:pPr>
      <w:r w:rsidRPr="00A55E42">
        <w:t xml:space="preserve">3.4 Economic and Contextual </w:t>
      </w:r>
      <w:r w:rsidR="00A1323B" w:rsidRPr="00A55E42">
        <w:t>Hardships</w:t>
      </w:r>
    </w:p>
    <w:p w14:paraId="423AD18E" w14:textId="77777777" w:rsidR="0050554E" w:rsidRPr="00A55E42" w:rsidRDefault="00692D6F">
      <w:pPr>
        <w:pStyle w:val="SWCText"/>
        <w:rPr>
          <w:lang w:val="en-GB"/>
        </w:rPr>
      </w:pPr>
      <w:r w:rsidRPr="00A55E42">
        <w:rPr>
          <w:lang w:val="en-GB"/>
        </w:rPr>
        <w:t xml:space="preserve">Financial viability remains a major concern for small-scale citizen-led initiatives. The need for significant upfront capital, together with the complexity of managing energy projects without a profit motive, creates substantial barriers to participation, engagement and consolidation. In the regions where the OTC has been working, </w:t>
      </w:r>
      <w:r w:rsidR="00924DCB" w:rsidRPr="00A55E42">
        <w:rPr>
          <w:lang w:val="en-GB"/>
        </w:rPr>
        <w:t>Aragon and Castile-La Mancha, particularly</w:t>
      </w:r>
      <w:r w:rsidRPr="00A55E42">
        <w:rPr>
          <w:lang w:val="en-GB"/>
        </w:rPr>
        <w:t xml:space="preserve"> Guadalajara, depopulation reduces the number of people available to form a robust driving group, limiting the human resources required to manage the community.</w:t>
      </w:r>
    </w:p>
    <w:p w14:paraId="50AE0ABE" w14:textId="6697EE01" w:rsidR="00ED255F" w:rsidRPr="00A55E42" w:rsidRDefault="001E698F" w:rsidP="00040C5E">
      <w:pPr>
        <w:pStyle w:val="SWCText"/>
        <w:rPr>
          <w:lang w:val="en-GB"/>
        </w:rPr>
      </w:pPr>
      <w:r w:rsidRPr="00A55E42">
        <w:rPr>
          <w:lang w:val="en-GB"/>
        </w:rPr>
        <w:t>Finally</w:t>
      </w:r>
      <w:r w:rsidR="00A740A0" w:rsidRPr="00A55E42">
        <w:rPr>
          <w:lang w:val="en-GB"/>
        </w:rPr>
        <w:t>, d</w:t>
      </w:r>
      <w:r w:rsidR="00ED255F" w:rsidRPr="00A55E42">
        <w:rPr>
          <w:lang w:val="en-GB"/>
        </w:rPr>
        <w:t xml:space="preserve">esigning viable business models and </w:t>
      </w:r>
      <w:r w:rsidRPr="00A55E42">
        <w:rPr>
          <w:lang w:val="en-GB"/>
        </w:rPr>
        <w:t>asses</w:t>
      </w:r>
      <w:r w:rsidR="00DD5636" w:rsidRPr="00A55E42">
        <w:rPr>
          <w:lang w:val="en-GB"/>
        </w:rPr>
        <w:t>s</w:t>
      </w:r>
      <w:r w:rsidRPr="00A55E42">
        <w:rPr>
          <w:lang w:val="en-GB"/>
        </w:rPr>
        <w:t xml:space="preserve">ing </w:t>
      </w:r>
      <w:r w:rsidR="00ED255F" w:rsidRPr="00A55E42">
        <w:rPr>
          <w:lang w:val="en-GB"/>
        </w:rPr>
        <w:t>different financing options</w:t>
      </w:r>
      <w:r w:rsidRPr="00A55E42">
        <w:rPr>
          <w:lang w:val="en-GB"/>
        </w:rPr>
        <w:t>, such as</w:t>
      </w:r>
      <w:r w:rsidR="00ED255F" w:rsidRPr="00A55E42">
        <w:rPr>
          <w:lang w:val="en-GB"/>
        </w:rPr>
        <w:t xml:space="preserve"> crowdfunding, bank loans or grants</w:t>
      </w:r>
      <w:r w:rsidRPr="00A55E42">
        <w:rPr>
          <w:lang w:val="en-GB"/>
        </w:rPr>
        <w:t>,</w:t>
      </w:r>
      <w:r w:rsidR="00ED255F" w:rsidRPr="00A55E42">
        <w:rPr>
          <w:lang w:val="en-GB"/>
        </w:rPr>
        <w:t xml:space="preserve"> requires a level of financial expertise that most citizen groups do not initially possess</w:t>
      </w:r>
      <w:r w:rsidRPr="00A55E42">
        <w:rPr>
          <w:lang w:val="en-GB"/>
        </w:rPr>
        <w:t>.</w:t>
      </w:r>
    </w:p>
    <w:p w14:paraId="3380DCC0" w14:textId="64170E60" w:rsidR="00E6065B" w:rsidRPr="00A55E42" w:rsidRDefault="00E6065B" w:rsidP="00490F10">
      <w:pPr>
        <w:pStyle w:val="SWCHeading1"/>
        <w:rPr>
          <w:bCs/>
          <w:color w:val="auto"/>
          <w:lang w:val="en-GB"/>
        </w:rPr>
      </w:pPr>
      <w:r w:rsidRPr="00A55E42">
        <w:rPr>
          <w:bCs/>
          <w:color w:val="auto"/>
          <w:lang w:val="en-GB"/>
        </w:rPr>
        <w:t>Practical Steps</w:t>
      </w:r>
      <w:r w:rsidR="00326BE9">
        <w:rPr>
          <w:bCs/>
          <w:color w:val="auto"/>
          <w:lang w:val="en-GB"/>
        </w:rPr>
        <w:t xml:space="preserve"> for </w:t>
      </w:r>
      <w:r w:rsidR="00326BE9" w:rsidRPr="00A55E42">
        <w:rPr>
          <w:bCs/>
          <w:color w:val="auto"/>
          <w:lang w:val="en-GB"/>
        </w:rPr>
        <w:t>Energy Communities</w:t>
      </w:r>
      <w:r w:rsidR="00326BE9">
        <w:rPr>
          <w:bCs/>
          <w:color w:val="auto"/>
          <w:lang w:val="en-GB"/>
        </w:rPr>
        <w:t>’</w:t>
      </w:r>
      <w:r w:rsidR="00326BE9">
        <w:rPr>
          <w:bCs/>
          <w:color w:val="auto"/>
          <w:lang w:val="en-GB"/>
        </w:rPr>
        <w:t xml:space="preserve"> Implementation  </w:t>
      </w:r>
    </w:p>
    <w:p w14:paraId="7EA447E1" w14:textId="2A306C0E" w:rsidR="00D466DB" w:rsidRPr="00A55E42" w:rsidRDefault="00493713">
      <w:pPr>
        <w:pStyle w:val="SWCText"/>
        <w:rPr>
          <w:lang w:val="en-GB"/>
        </w:rPr>
      </w:pPr>
      <w:r w:rsidRPr="00A55E42">
        <w:rPr>
          <w:lang w:val="en-GB"/>
        </w:rPr>
        <w:t xml:space="preserve">To address these multifaceted barriers, the OTC implemented </w:t>
      </w:r>
      <w:r w:rsidR="00225EB1" w:rsidRPr="00A55E42">
        <w:rPr>
          <w:lang w:val="en-GB"/>
        </w:rPr>
        <w:t>the four</w:t>
      </w:r>
      <w:r w:rsidRPr="00A55E42">
        <w:rPr>
          <w:lang w:val="en-GB"/>
        </w:rPr>
        <w:t xml:space="preserve">-pillar </w:t>
      </w:r>
      <w:r w:rsidR="00225EB1" w:rsidRPr="00A55E42">
        <w:rPr>
          <w:lang w:val="en-GB"/>
        </w:rPr>
        <w:t xml:space="preserve">support framework explained in section 2 while relying, within the participatory facilitation pillar, on the "Triangle of Group Effectiveness" as a specific group-work methodology. This methodology is based on three interrelated dimensions: results, people and processes; and helps move beyond traditional engineering by placing social and territorial realities at the centre of the project.  The "Triangle of Group Effectiveness" </w:t>
      </w:r>
      <w:r w:rsidRPr="00A55E42">
        <w:rPr>
          <w:lang w:val="en-GB"/>
        </w:rPr>
        <w:t>provides the necessary tools for conflict prevention and robust governance</w:t>
      </w:r>
      <w:r w:rsidR="000E759C">
        <w:rPr>
          <w:lang w:val="en-GB"/>
        </w:rPr>
        <w:t xml:space="preserve"> (</w:t>
      </w:r>
      <w:r w:rsidR="000E759C">
        <w:rPr>
          <w:lang w:val="en-GB"/>
        </w:rPr>
        <w:fldChar w:fldCharType="begin"/>
      </w:r>
      <w:r w:rsidR="000E759C">
        <w:rPr>
          <w:lang w:val="en-GB"/>
        </w:rPr>
        <w:instrText xml:space="preserve"> REF _Ref237261768 \h </w:instrText>
      </w:r>
      <w:r w:rsidR="000E759C">
        <w:rPr>
          <w:lang w:val="en-GB"/>
        </w:rPr>
      </w:r>
      <w:r w:rsidR="000E759C">
        <w:rPr>
          <w:lang w:val="en-GB"/>
        </w:rPr>
        <w:fldChar w:fldCharType="separate"/>
      </w:r>
      <w:r w:rsidR="000E759C" w:rsidRPr="00A55E42">
        <w:rPr>
          <w:lang w:val="en-GB"/>
        </w:rPr>
        <w:t xml:space="preserve">Fig. </w:t>
      </w:r>
      <w:r w:rsidR="000E759C">
        <w:rPr>
          <w:noProof/>
          <w:lang w:val="en-GB"/>
        </w:rPr>
        <w:t>2</w:t>
      </w:r>
      <w:r w:rsidR="000E759C">
        <w:rPr>
          <w:lang w:val="en-GB"/>
        </w:rPr>
        <w:fldChar w:fldCharType="end"/>
      </w:r>
      <w:r w:rsidR="000E759C">
        <w:rPr>
          <w:lang w:val="en-GB"/>
        </w:rPr>
        <w:t>)</w:t>
      </w:r>
      <w:r w:rsidRPr="00A55E42">
        <w:rPr>
          <w:lang w:val="en-GB"/>
        </w:rPr>
        <w:t xml:space="preserve">. </w:t>
      </w:r>
      <w:r w:rsidR="00225EB1" w:rsidRPr="00A55E42">
        <w:rPr>
          <w:lang w:val="en-GB"/>
        </w:rPr>
        <w:t>T</w:t>
      </w:r>
      <w:r w:rsidRPr="00A55E42">
        <w:rPr>
          <w:lang w:val="en-GB"/>
        </w:rPr>
        <w:t>his approach ensures that energy community initiatives are not only technically viable but also socially resilient and administratively sound.</w:t>
      </w:r>
    </w:p>
    <w:p w14:paraId="2581A330" w14:textId="3B418270" w:rsidR="00FC3E81" w:rsidRPr="00A55E42" w:rsidRDefault="00FC3E81" w:rsidP="0085243E">
      <w:pPr>
        <w:pStyle w:val="SWCText"/>
        <w:jc w:val="center"/>
        <w:rPr>
          <w:b/>
          <w:bCs/>
          <w:lang w:val="en-GB"/>
        </w:rPr>
      </w:pPr>
      <w:commentRangeStart w:id="2"/>
      <w:r w:rsidRPr="00A55E42">
        <w:rPr>
          <w:b/>
          <w:bCs/>
          <w:noProof/>
          <w:lang w:val="en-GB"/>
        </w:rPr>
        <w:lastRenderedPageBreak/>
        <w:drawing>
          <wp:inline distT="0" distB="0" distL="0" distR="0" wp14:anchorId="65FA6F3B" wp14:editId="6B46F1B8">
            <wp:extent cx="2976113" cy="2123285"/>
            <wp:effectExtent l="0" t="0" r="0" b="0"/>
            <wp:docPr id="66809061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9980" cy="2140313"/>
                    </a:xfrm>
                    <a:prstGeom prst="rect">
                      <a:avLst/>
                    </a:prstGeom>
                    <a:noFill/>
                  </pic:spPr>
                </pic:pic>
              </a:graphicData>
            </a:graphic>
          </wp:inline>
        </w:drawing>
      </w:r>
      <w:commentRangeEnd w:id="2"/>
      <w:r w:rsidR="00F76BA7" w:rsidRPr="00A55E42">
        <w:rPr>
          <w:rStyle w:val="Refdecomentario"/>
          <w:b/>
          <w:bCs/>
          <w:sz w:val="20"/>
          <w:szCs w:val="22"/>
          <w:lang w:val="en-GB"/>
        </w:rPr>
        <w:commentReference w:id="2"/>
      </w:r>
    </w:p>
    <w:p w14:paraId="1F2B6408" w14:textId="30C50B74" w:rsidR="0085243E" w:rsidRPr="00A55E42" w:rsidRDefault="002A200B" w:rsidP="002A200B">
      <w:pPr>
        <w:pStyle w:val="SWCTableFigureCaption"/>
        <w:rPr>
          <w:lang w:val="en-GB"/>
        </w:rPr>
      </w:pPr>
      <w:bookmarkStart w:id="3" w:name="_Ref237261768"/>
      <w:r w:rsidRPr="00A55E42">
        <w:rPr>
          <w:lang w:val="en-GB"/>
        </w:rPr>
        <w:t xml:space="preserve">Fig. </w:t>
      </w:r>
      <w:r w:rsidRPr="00A55E42">
        <w:rPr>
          <w:lang w:val="en-GB"/>
        </w:rPr>
        <w:fldChar w:fldCharType="begin"/>
      </w:r>
      <w:r w:rsidRPr="00A55E42">
        <w:rPr>
          <w:lang w:val="en-GB"/>
        </w:rPr>
        <w:instrText xml:space="preserve"> SEQ Fig. \* ARABIC </w:instrText>
      </w:r>
      <w:r w:rsidRPr="00A55E42">
        <w:rPr>
          <w:lang w:val="en-GB"/>
        </w:rPr>
        <w:fldChar w:fldCharType="separate"/>
      </w:r>
      <w:r w:rsidR="00EA5366">
        <w:rPr>
          <w:noProof/>
          <w:lang w:val="en-GB"/>
        </w:rPr>
        <w:t>2</w:t>
      </w:r>
      <w:r w:rsidRPr="00A55E42">
        <w:rPr>
          <w:lang w:val="en-GB"/>
        </w:rPr>
        <w:fldChar w:fldCharType="end"/>
      </w:r>
      <w:bookmarkEnd w:id="3"/>
      <w:r w:rsidRPr="00A55E42">
        <w:rPr>
          <w:lang w:val="en-GB"/>
        </w:rPr>
        <w:t>:</w:t>
      </w:r>
      <w:r w:rsidR="0085243E" w:rsidRPr="00A55E42">
        <w:rPr>
          <w:lang w:val="en-GB"/>
        </w:rPr>
        <w:t xml:space="preserve"> Triangle of Group Effectiveness methodology</w:t>
      </w:r>
    </w:p>
    <w:p w14:paraId="1F702AD4" w14:textId="4005E7C4" w:rsidR="00E6065B" w:rsidRPr="00A55E42" w:rsidRDefault="00DE2A51" w:rsidP="002205F3">
      <w:pPr>
        <w:pStyle w:val="SWCText"/>
        <w:rPr>
          <w:lang w:val="en-GB"/>
        </w:rPr>
      </w:pPr>
      <w:r w:rsidRPr="00A55E42">
        <w:rPr>
          <w:lang w:val="en-GB"/>
        </w:rPr>
        <w:t xml:space="preserve">Drawing on the OTC’s practical experience and its comprehensive </w:t>
      </w:r>
      <w:r w:rsidR="00225EB1" w:rsidRPr="00A55E42">
        <w:rPr>
          <w:lang w:val="en-GB"/>
        </w:rPr>
        <w:t>triangle</w:t>
      </w:r>
      <w:r w:rsidRPr="00A55E42">
        <w:rPr>
          <w:lang w:val="en-GB"/>
        </w:rPr>
        <w:t xml:space="preserve"> methodology, a five-step roadmap was developed </w:t>
      </w:r>
      <w:r w:rsidR="00E6065B" w:rsidRPr="00A55E42">
        <w:rPr>
          <w:lang w:val="en-GB"/>
        </w:rPr>
        <w:t xml:space="preserve">to guide </w:t>
      </w:r>
      <w:r w:rsidR="00086D58" w:rsidRPr="00A55E42">
        <w:rPr>
          <w:lang w:val="en-GB"/>
        </w:rPr>
        <w:t xml:space="preserve">energy community </w:t>
      </w:r>
      <w:r w:rsidR="00E6065B" w:rsidRPr="00A55E42">
        <w:rPr>
          <w:lang w:val="en-GB"/>
        </w:rPr>
        <w:t>initiatives from inception to operation:</w:t>
      </w:r>
    </w:p>
    <w:p w14:paraId="2D27C103" w14:textId="37767DC8" w:rsidR="00E6065B" w:rsidRPr="00A55E42" w:rsidRDefault="00E6065B" w:rsidP="002205F3">
      <w:pPr>
        <w:pStyle w:val="SWCText"/>
        <w:numPr>
          <w:ilvl w:val="0"/>
          <w:numId w:val="49"/>
        </w:numPr>
        <w:rPr>
          <w:lang w:val="en-GB"/>
        </w:rPr>
      </w:pPr>
      <w:r w:rsidRPr="00A55E42">
        <w:rPr>
          <w:lang w:val="en-GB"/>
        </w:rPr>
        <w:t xml:space="preserve">Building the Team: Forming a motivated "Grupo Motor" (Driving Group) </w:t>
      </w:r>
      <w:r w:rsidR="00DF17A0" w:rsidRPr="00A55E42">
        <w:rPr>
          <w:lang w:val="en-GB"/>
        </w:rPr>
        <w:t xml:space="preserve">composed of </w:t>
      </w:r>
      <w:r w:rsidRPr="00A55E42">
        <w:rPr>
          <w:lang w:val="en-GB"/>
        </w:rPr>
        <w:t xml:space="preserve">citizens, local businesses, and </w:t>
      </w:r>
      <w:r w:rsidR="00DF17A0" w:rsidRPr="00A55E42">
        <w:rPr>
          <w:lang w:val="en-GB"/>
        </w:rPr>
        <w:t xml:space="preserve">representatives from </w:t>
      </w:r>
      <w:r w:rsidRPr="00A55E42">
        <w:rPr>
          <w:lang w:val="en-GB"/>
        </w:rPr>
        <w:t>the City Council.</w:t>
      </w:r>
    </w:p>
    <w:p w14:paraId="5AE9035D" w14:textId="7AA63A5D" w:rsidR="00E6065B" w:rsidRPr="00A55E42" w:rsidRDefault="002205F3" w:rsidP="00A61352">
      <w:pPr>
        <w:pStyle w:val="SWCText"/>
        <w:numPr>
          <w:ilvl w:val="0"/>
          <w:numId w:val="49"/>
        </w:numPr>
        <w:rPr>
          <w:lang w:val="en-GB"/>
        </w:rPr>
      </w:pPr>
      <w:r w:rsidRPr="00A55E42">
        <w:rPr>
          <w:lang w:val="en-GB"/>
        </w:rPr>
        <w:t xml:space="preserve">Legal </w:t>
      </w:r>
      <w:r w:rsidR="00E6065B" w:rsidRPr="00A55E42">
        <w:rPr>
          <w:lang w:val="en-GB"/>
        </w:rPr>
        <w:t xml:space="preserve">Constitution: Selecting </w:t>
      </w:r>
      <w:r w:rsidR="00DF17A0" w:rsidRPr="00A55E42">
        <w:rPr>
          <w:lang w:val="en-GB"/>
        </w:rPr>
        <w:t xml:space="preserve">the most appropriate </w:t>
      </w:r>
      <w:r w:rsidR="00E6065B" w:rsidRPr="00A55E42">
        <w:rPr>
          <w:lang w:val="en-GB"/>
        </w:rPr>
        <w:t xml:space="preserve">legal form and drafting </w:t>
      </w:r>
      <w:r w:rsidRPr="00A55E42">
        <w:rPr>
          <w:lang w:val="en-GB"/>
        </w:rPr>
        <w:t>their</w:t>
      </w:r>
      <w:r w:rsidR="00DF17A0" w:rsidRPr="00A55E42">
        <w:rPr>
          <w:lang w:val="en-GB"/>
        </w:rPr>
        <w:t xml:space="preserve"> </w:t>
      </w:r>
      <w:r w:rsidR="00E6065B" w:rsidRPr="00A55E42">
        <w:rPr>
          <w:lang w:val="en-GB"/>
        </w:rPr>
        <w:t>statutes.</w:t>
      </w:r>
      <w:r w:rsidR="005C37F5" w:rsidRPr="00A55E42">
        <w:rPr>
          <w:lang w:val="en-GB"/>
        </w:rPr>
        <w:t xml:space="preserve"> </w:t>
      </w:r>
      <w:r w:rsidR="00A61352" w:rsidRPr="00A55E42">
        <w:rPr>
          <w:lang w:val="en-GB"/>
        </w:rPr>
        <w:t>To support this stage</w:t>
      </w:r>
      <w:r w:rsidR="005C37F5" w:rsidRPr="00A55E42">
        <w:rPr>
          <w:lang w:val="en-GB"/>
        </w:rPr>
        <w:t xml:space="preserve">, </w:t>
      </w:r>
      <w:r w:rsidR="00A61352" w:rsidRPr="00A55E42">
        <w:rPr>
          <w:lang w:val="en-GB"/>
        </w:rPr>
        <w:t xml:space="preserve">the OTC guides each community through a structured step-by-step process, as </w:t>
      </w:r>
      <w:r w:rsidR="00BD0FB2" w:rsidRPr="00A55E42">
        <w:rPr>
          <w:lang w:val="en-GB"/>
        </w:rPr>
        <w:t>illustrated</w:t>
      </w:r>
      <w:r w:rsidR="00A61352" w:rsidRPr="00A55E42">
        <w:rPr>
          <w:lang w:val="en-GB"/>
        </w:rPr>
        <w:t xml:space="preserve"> in </w:t>
      </w:r>
      <w:r w:rsidR="00212A24" w:rsidRPr="00A55E42">
        <w:rPr>
          <w:lang w:val="en-GB"/>
        </w:rPr>
        <w:fldChar w:fldCharType="begin"/>
      </w:r>
      <w:r w:rsidR="00212A24" w:rsidRPr="00A55E42">
        <w:rPr>
          <w:lang w:val="en-GB"/>
        </w:rPr>
        <w:instrText xml:space="preserve"> REF _Ref237262160 \h </w:instrText>
      </w:r>
      <w:r w:rsidR="00212A24" w:rsidRPr="00A55E42">
        <w:rPr>
          <w:lang w:val="en-GB"/>
        </w:rPr>
      </w:r>
      <w:r w:rsidR="00212A24" w:rsidRPr="00A55E42">
        <w:rPr>
          <w:lang w:val="en-GB"/>
        </w:rPr>
        <w:fldChar w:fldCharType="separate"/>
      </w:r>
      <w:r w:rsidR="00212A24" w:rsidRPr="00A55E42">
        <w:rPr>
          <w:lang w:val="en-GB"/>
        </w:rPr>
        <w:t>Tab. 1</w:t>
      </w:r>
      <w:r w:rsidR="00212A24" w:rsidRPr="00A55E42">
        <w:rPr>
          <w:lang w:val="en-GB"/>
        </w:rPr>
        <w:fldChar w:fldCharType="end"/>
      </w:r>
      <w:r w:rsidR="00A61352" w:rsidRPr="00A55E42">
        <w:rPr>
          <w:lang w:val="en-GB"/>
        </w:rPr>
        <w:t>:</w:t>
      </w:r>
    </w:p>
    <w:p w14:paraId="475A769C" w14:textId="13B2E187" w:rsidR="00BD0FB2" w:rsidRPr="00A55E42" w:rsidRDefault="00BD0FB2" w:rsidP="00870F46">
      <w:pPr>
        <w:pStyle w:val="Descripcin"/>
        <w:tabs>
          <w:tab w:val="clear" w:pos="136"/>
        </w:tabs>
        <w:ind w:left="426"/>
      </w:pPr>
      <w:bookmarkStart w:id="4" w:name="_Ref237262160"/>
      <w:r w:rsidRPr="00A55E42">
        <w:t xml:space="preserve">Tab. </w:t>
      </w:r>
      <w:r w:rsidR="00F26996" w:rsidRPr="00A55E42">
        <w:fldChar w:fldCharType="begin"/>
      </w:r>
      <w:r w:rsidR="00F26996" w:rsidRPr="00A55E42">
        <w:instrText xml:space="preserve"> SEQ Tab. \* ARABIC </w:instrText>
      </w:r>
      <w:r w:rsidR="00F26996" w:rsidRPr="00A55E42">
        <w:fldChar w:fldCharType="separate"/>
      </w:r>
      <w:r w:rsidR="00F26996" w:rsidRPr="00A55E42">
        <w:t>1</w:t>
      </w:r>
      <w:r w:rsidR="00F26996" w:rsidRPr="00A55E42">
        <w:fldChar w:fldCharType="end"/>
      </w:r>
      <w:bookmarkEnd w:id="4"/>
      <w:r w:rsidRPr="00A55E42">
        <w:t xml:space="preserve">: </w:t>
      </w:r>
      <w:r w:rsidR="008B61DA" w:rsidRPr="00A55E42">
        <w:t>Comparison of legal forms for energy community constitution</w:t>
      </w:r>
      <w:r w:rsidRPr="00A55E42">
        <w:t>.</w:t>
      </w:r>
    </w:p>
    <w:tbl>
      <w:tblPr>
        <w:tblStyle w:val="Tablaconcuadrcula"/>
        <w:tblW w:w="8363" w:type="dxa"/>
        <w:tblInd w:w="421" w:type="dxa"/>
        <w:tblLook w:val="0420" w:firstRow="1" w:lastRow="0" w:firstColumn="0" w:lastColumn="0" w:noHBand="0" w:noVBand="1"/>
      </w:tblPr>
      <w:tblGrid>
        <w:gridCol w:w="1194"/>
        <w:gridCol w:w="2208"/>
        <w:gridCol w:w="2268"/>
        <w:gridCol w:w="2693"/>
      </w:tblGrid>
      <w:tr w:rsidR="00BD63C6" w:rsidRPr="00A55E42" w14:paraId="21572E52" w14:textId="77777777" w:rsidTr="00587F6A">
        <w:trPr>
          <w:trHeight w:val="53"/>
        </w:trPr>
        <w:tc>
          <w:tcPr>
            <w:tcW w:w="1194" w:type="dxa"/>
            <w:hideMark/>
          </w:tcPr>
          <w:p w14:paraId="6099E57C" w14:textId="744626C5" w:rsidR="00BD63C6" w:rsidRPr="00A55E42" w:rsidRDefault="008B61DA" w:rsidP="00E42486">
            <w:pPr>
              <w:pStyle w:val="SWCTableHeader"/>
            </w:pPr>
            <w:r w:rsidRPr="00A55E42">
              <w:t>Legal form</w:t>
            </w:r>
          </w:p>
        </w:tc>
        <w:tc>
          <w:tcPr>
            <w:tcW w:w="2208" w:type="dxa"/>
            <w:hideMark/>
          </w:tcPr>
          <w:p w14:paraId="0B05B5C5" w14:textId="1321F9D7" w:rsidR="00BD63C6" w:rsidRPr="00A55E42" w:rsidRDefault="008B61DA" w:rsidP="008B61DA">
            <w:pPr>
              <w:pStyle w:val="SWCTableHeader"/>
            </w:pPr>
            <w:r w:rsidRPr="00A55E42">
              <w:t>Most suitable context</w:t>
            </w:r>
          </w:p>
        </w:tc>
        <w:tc>
          <w:tcPr>
            <w:tcW w:w="2268" w:type="dxa"/>
            <w:hideMark/>
          </w:tcPr>
          <w:p w14:paraId="751AF35F" w14:textId="5932BDD8" w:rsidR="00BD63C6" w:rsidRPr="00A55E42" w:rsidRDefault="00410F85" w:rsidP="00E42486">
            <w:pPr>
              <w:pStyle w:val="SWCTableHeader"/>
            </w:pPr>
            <w:r w:rsidRPr="00A55E42">
              <w:t>Main a</w:t>
            </w:r>
            <w:r w:rsidR="00E42486" w:rsidRPr="00A55E42">
              <w:t>dvantages</w:t>
            </w:r>
          </w:p>
        </w:tc>
        <w:tc>
          <w:tcPr>
            <w:tcW w:w="2693" w:type="dxa"/>
            <w:hideMark/>
          </w:tcPr>
          <w:p w14:paraId="25F7752E" w14:textId="3AB57D22" w:rsidR="00BD63C6" w:rsidRPr="00A55E42" w:rsidRDefault="00410F85" w:rsidP="00E42486">
            <w:pPr>
              <w:pStyle w:val="SWCTableHeader"/>
            </w:pPr>
            <w:r w:rsidRPr="00A55E42">
              <w:t>Main l</w:t>
            </w:r>
            <w:r w:rsidR="00BD63C6" w:rsidRPr="00A55E42">
              <w:t>imitation</w:t>
            </w:r>
            <w:r w:rsidR="00BD0FB2" w:rsidRPr="00A55E42">
              <w:t>s</w:t>
            </w:r>
          </w:p>
        </w:tc>
      </w:tr>
      <w:tr w:rsidR="00BD63C6" w:rsidRPr="00A55E42" w14:paraId="40C33A0F" w14:textId="77777777" w:rsidTr="00587F6A">
        <w:trPr>
          <w:trHeight w:val="584"/>
        </w:trPr>
        <w:tc>
          <w:tcPr>
            <w:tcW w:w="1194" w:type="dxa"/>
            <w:hideMark/>
          </w:tcPr>
          <w:p w14:paraId="2898B3A4" w14:textId="77777777" w:rsidR="00BD63C6" w:rsidRPr="00A55E42" w:rsidRDefault="00BD63C6" w:rsidP="008B61DA">
            <w:pPr>
              <w:pStyle w:val="SWCTableText"/>
            </w:pPr>
            <w:r w:rsidRPr="00A55E42">
              <w:t>Association</w:t>
            </w:r>
          </w:p>
        </w:tc>
        <w:tc>
          <w:tcPr>
            <w:tcW w:w="2208" w:type="dxa"/>
            <w:hideMark/>
          </w:tcPr>
          <w:p w14:paraId="053068BB" w14:textId="74F9AC3E" w:rsidR="00BD63C6" w:rsidRPr="00A55E42" w:rsidRDefault="00BD63C6" w:rsidP="008B61DA">
            <w:pPr>
              <w:pStyle w:val="SWCTableText"/>
            </w:pPr>
            <w:r w:rsidRPr="00A55E42">
              <w:t xml:space="preserve">Small-scale, citizen-led pilots or residential </w:t>
            </w:r>
            <w:r w:rsidR="009C2B37" w:rsidRPr="00A55E42">
              <w:t>neighbourhoods</w:t>
            </w:r>
          </w:p>
        </w:tc>
        <w:tc>
          <w:tcPr>
            <w:tcW w:w="2268" w:type="dxa"/>
            <w:hideMark/>
          </w:tcPr>
          <w:p w14:paraId="2D2E92B8" w14:textId="559BEC50" w:rsidR="00BD63C6" w:rsidRPr="00A55E42" w:rsidRDefault="00BD63C6" w:rsidP="008B61DA">
            <w:pPr>
              <w:pStyle w:val="SWCTableText"/>
            </w:pPr>
            <w:r w:rsidRPr="00A55E42">
              <w:t xml:space="preserve">Fast to set up, low </w:t>
            </w:r>
            <w:r w:rsidR="00DE2A51" w:rsidRPr="00A55E42">
              <w:t>initial</w:t>
            </w:r>
            <w:r w:rsidRPr="00A55E42">
              <w:t xml:space="preserve"> complexity, focused on social cohesion</w:t>
            </w:r>
          </w:p>
        </w:tc>
        <w:tc>
          <w:tcPr>
            <w:tcW w:w="2693" w:type="dxa"/>
            <w:hideMark/>
          </w:tcPr>
          <w:p w14:paraId="6EBF6CF1" w14:textId="24E50C2C" w:rsidR="00BD63C6" w:rsidRPr="00A55E42" w:rsidRDefault="00BD63C6" w:rsidP="008B61DA">
            <w:pPr>
              <w:pStyle w:val="SWCTableText"/>
            </w:pPr>
            <w:r w:rsidRPr="00A55E42">
              <w:t xml:space="preserve">It struggles with high </w:t>
            </w:r>
            <w:r w:rsidR="009C2B37" w:rsidRPr="00A55E42">
              <w:t>investments</w:t>
            </w:r>
            <w:r w:rsidRPr="00A55E42">
              <w:t xml:space="preserve"> or </w:t>
            </w:r>
            <w:r w:rsidR="009C2B37" w:rsidRPr="00A55E42">
              <w:t>complex</w:t>
            </w:r>
            <w:r w:rsidRPr="00A55E42">
              <w:t xml:space="preserve"> energy sales</w:t>
            </w:r>
          </w:p>
        </w:tc>
      </w:tr>
      <w:tr w:rsidR="00BD63C6" w:rsidRPr="00A55E42" w14:paraId="29581B21" w14:textId="77777777" w:rsidTr="00587F6A">
        <w:trPr>
          <w:trHeight w:val="584"/>
        </w:trPr>
        <w:tc>
          <w:tcPr>
            <w:tcW w:w="1194" w:type="dxa"/>
            <w:hideMark/>
          </w:tcPr>
          <w:p w14:paraId="1C97297E" w14:textId="77777777" w:rsidR="00BD63C6" w:rsidRPr="00A55E42" w:rsidRDefault="00BD63C6" w:rsidP="008B61DA">
            <w:pPr>
              <w:pStyle w:val="SWCTableText"/>
            </w:pPr>
            <w:r w:rsidRPr="00A55E42">
              <w:t>Cooperative</w:t>
            </w:r>
          </w:p>
        </w:tc>
        <w:tc>
          <w:tcPr>
            <w:tcW w:w="2208" w:type="dxa"/>
            <w:hideMark/>
          </w:tcPr>
          <w:p w14:paraId="6E1F8AA8" w14:textId="747EB973" w:rsidR="00BD63C6" w:rsidRPr="00A55E42" w:rsidRDefault="00BD63C6" w:rsidP="008B61DA">
            <w:pPr>
              <w:pStyle w:val="SWCTableText"/>
            </w:pPr>
            <w:r w:rsidRPr="00A55E42">
              <w:t xml:space="preserve">Projects </w:t>
            </w:r>
            <w:r w:rsidR="00410F85" w:rsidRPr="00A55E42">
              <w:t>with</w:t>
            </w:r>
            <w:r w:rsidRPr="00A55E42">
              <w:t xml:space="preserve"> significant </w:t>
            </w:r>
            <w:r w:rsidR="009C2B37" w:rsidRPr="00A55E42">
              <w:t>industrial</w:t>
            </w:r>
            <w:r w:rsidRPr="00A55E42">
              <w:t xml:space="preserve"> investment or long term-</w:t>
            </w:r>
            <w:r w:rsidR="009C2B37" w:rsidRPr="00A55E42">
              <w:t>growth</w:t>
            </w:r>
          </w:p>
        </w:tc>
        <w:tc>
          <w:tcPr>
            <w:tcW w:w="2268" w:type="dxa"/>
            <w:hideMark/>
          </w:tcPr>
          <w:p w14:paraId="4B173E99" w14:textId="77777777" w:rsidR="00BD63C6" w:rsidRPr="00A55E42" w:rsidRDefault="00BD63C6" w:rsidP="008B61DA">
            <w:pPr>
              <w:pStyle w:val="SWCTableText"/>
            </w:pPr>
            <w:r w:rsidRPr="00A55E42">
              <w:t>Robust for economic activity, energy sharing, and financial trust</w:t>
            </w:r>
          </w:p>
        </w:tc>
        <w:tc>
          <w:tcPr>
            <w:tcW w:w="2693" w:type="dxa"/>
            <w:hideMark/>
          </w:tcPr>
          <w:p w14:paraId="55C95F41" w14:textId="021A4CE1" w:rsidR="00BD63C6" w:rsidRPr="00A55E42" w:rsidRDefault="00BD63C6" w:rsidP="008B61DA">
            <w:pPr>
              <w:pStyle w:val="SWCTableText"/>
            </w:pPr>
            <w:r w:rsidRPr="00A55E42">
              <w:t xml:space="preserve">Slower to set up, higher initial </w:t>
            </w:r>
            <w:r w:rsidR="009C2B37" w:rsidRPr="00A55E42">
              <w:t>complexity</w:t>
            </w:r>
            <w:r w:rsidRPr="00A55E42">
              <w:t>, requires stronger governance and capital</w:t>
            </w:r>
          </w:p>
        </w:tc>
      </w:tr>
    </w:tbl>
    <w:p w14:paraId="1399C5B9" w14:textId="222E0E7A" w:rsidR="00A61352" w:rsidRPr="00A55E42" w:rsidRDefault="00A61352" w:rsidP="00A61352">
      <w:pPr>
        <w:pStyle w:val="SWCText"/>
        <w:ind w:left="709"/>
        <w:rPr>
          <w:lang w:val="en-GB"/>
        </w:rPr>
      </w:pPr>
    </w:p>
    <w:p w14:paraId="32A4FC4B" w14:textId="1CE0B7AF" w:rsidR="00E6065B" w:rsidRPr="00A55E42" w:rsidRDefault="00E6065B" w:rsidP="002205F3">
      <w:pPr>
        <w:pStyle w:val="SWCText"/>
        <w:numPr>
          <w:ilvl w:val="0"/>
          <w:numId w:val="49"/>
        </w:numPr>
        <w:rPr>
          <w:lang w:val="en-GB"/>
        </w:rPr>
      </w:pPr>
      <w:r w:rsidRPr="00A55E42">
        <w:rPr>
          <w:lang w:val="en-GB"/>
        </w:rPr>
        <w:t>Defining Goals: Designing the technical project</w:t>
      </w:r>
      <w:r w:rsidR="00DF17A0" w:rsidRPr="00A55E42">
        <w:rPr>
          <w:lang w:val="en-GB"/>
        </w:rPr>
        <w:t>, identifying priorities</w:t>
      </w:r>
      <w:r w:rsidRPr="00A55E42">
        <w:rPr>
          <w:lang w:val="en-GB"/>
        </w:rPr>
        <w:t xml:space="preserve"> and </w:t>
      </w:r>
      <w:r w:rsidR="00DF17A0" w:rsidRPr="00A55E42">
        <w:rPr>
          <w:lang w:val="en-GB"/>
        </w:rPr>
        <w:t xml:space="preserve">selecting suitable </w:t>
      </w:r>
      <w:r w:rsidRPr="00A55E42">
        <w:rPr>
          <w:lang w:val="en-GB"/>
        </w:rPr>
        <w:t>financing models.</w:t>
      </w:r>
    </w:p>
    <w:p w14:paraId="578A57D7" w14:textId="639DCB3E" w:rsidR="00DF17A0" w:rsidRPr="00A55E42" w:rsidRDefault="00DF17A0" w:rsidP="002205F3">
      <w:pPr>
        <w:pStyle w:val="SWCText"/>
        <w:numPr>
          <w:ilvl w:val="0"/>
          <w:numId w:val="49"/>
        </w:numPr>
        <w:rPr>
          <w:lang w:val="en-GB"/>
        </w:rPr>
      </w:pPr>
      <w:r w:rsidRPr="00A55E42">
        <w:rPr>
          <w:lang w:val="en-GB"/>
        </w:rPr>
        <w:t>Implementation: managing permits and licences, coordinating stakeholders and executing solar PV installations</w:t>
      </w:r>
      <w:r w:rsidR="00D46185" w:rsidRPr="00A55E42">
        <w:rPr>
          <w:lang w:val="en-GB"/>
        </w:rPr>
        <w:t xml:space="preserve"> or whatever the EC decides to do</w:t>
      </w:r>
      <w:r w:rsidRPr="00A55E42">
        <w:rPr>
          <w:lang w:val="en-GB"/>
        </w:rPr>
        <w:t>.</w:t>
      </w:r>
    </w:p>
    <w:p w14:paraId="493D794F" w14:textId="3AAFD1FA" w:rsidR="0085243E" w:rsidRPr="00A55E42" w:rsidRDefault="00E6065B" w:rsidP="002205F3">
      <w:pPr>
        <w:pStyle w:val="SWCText"/>
        <w:numPr>
          <w:ilvl w:val="0"/>
          <w:numId w:val="49"/>
        </w:numPr>
        <w:rPr>
          <w:lang w:val="en-GB"/>
        </w:rPr>
      </w:pPr>
      <w:r w:rsidRPr="00A55E42">
        <w:rPr>
          <w:lang w:val="en-GB"/>
        </w:rPr>
        <w:t>Community Management: Monitoring energy production, sharing results</w:t>
      </w:r>
      <w:r w:rsidR="00DF17A0" w:rsidRPr="00A55E42">
        <w:rPr>
          <w:lang w:val="en-GB"/>
        </w:rPr>
        <w:t xml:space="preserve"> among members</w:t>
      </w:r>
      <w:r w:rsidRPr="00A55E42">
        <w:rPr>
          <w:lang w:val="en-GB"/>
        </w:rPr>
        <w:t xml:space="preserve">, and maintaining </w:t>
      </w:r>
      <w:r w:rsidR="00DF17A0" w:rsidRPr="00A55E42">
        <w:rPr>
          <w:lang w:val="en-GB"/>
        </w:rPr>
        <w:t xml:space="preserve">participatory </w:t>
      </w:r>
      <w:r w:rsidRPr="00A55E42">
        <w:rPr>
          <w:lang w:val="en-GB"/>
        </w:rPr>
        <w:t>governance</w:t>
      </w:r>
      <w:r w:rsidR="00DF17A0" w:rsidRPr="00A55E42">
        <w:rPr>
          <w:lang w:val="en-GB"/>
        </w:rPr>
        <w:t xml:space="preserve"> over time</w:t>
      </w:r>
      <w:r w:rsidRPr="00A55E42">
        <w:rPr>
          <w:lang w:val="en-GB"/>
        </w:rPr>
        <w:t>.</w:t>
      </w:r>
      <w:r w:rsidR="0085243E" w:rsidRPr="00A55E42">
        <w:rPr>
          <w:lang w:val="en-GB"/>
        </w:rPr>
        <w:t xml:space="preserve"> </w:t>
      </w:r>
    </w:p>
    <w:p w14:paraId="5886AD9E" w14:textId="35EB2F43" w:rsidR="00DF17A0" w:rsidRPr="00A55E42" w:rsidRDefault="002205F3" w:rsidP="002205F3">
      <w:pPr>
        <w:spacing w:line="276" w:lineRule="auto"/>
        <w:jc w:val="both"/>
        <w:rPr>
          <w:color w:val="000000"/>
          <w:sz w:val="20"/>
          <w:szCs w:val="22"/>
        </w:rPr>
      </w:pPr>
      <w:r w:rsidRPr="00A55E42">
        <w:rPr>
          <w:color w:val="000000"/>
          <w:sz w:val="20"/>
          <w:szCs w:val="22"/>
        </w:rPr>
        <w:t>By k</w:t>
      </w:r>
      <w:r w:rsidR="00DF17A0" w:rsidRPr="00A55E42">
        <w:rPr>
          <w:color w:val="000000"/>
          <w:sz w:val="20"/>
          <w:szCs w:val="22"/>
        </w:rPr>
        <w:t xml:space="preserve">eeping the energy community group </w:t>
      </w:r>
      <w:r w:rsidRPr="00A55E42">
        <w:rPr>
          <w:color w:val="000000"/>
          <w:sz w:val="20"/>
          <w:szCs w:val="22"/>
        </w:rPr>
        <w:t>aligned with</w:t>
      </w:r>
      <w:r w:rsidR="00DF17A0" w:rsidRPr="00A55E42">
        <w:rPr>
          <w:color w:val="000000"/>
          <w:sz w:val="20"/>
          <w:szCs w:val="22"/>
        </w:rPr>
        <w:t xml:space="preserve"> these five steps, </w:t>
      </w:r>
      <w:r w:rsidRPr="00A55E42">
        <w:rPr>
          <w:color w:val="000000"/>
          <w:sz w:val="20"/>
          <w:szCs w:val="22"/>
        </w:rPr>
        <w:t xml:space="preserve">and </w:t>
      </w:r>
      <w:r w:rsidR="00A55E42" w:rsidRPr="00A55E42">
        <w:rPr>
          <w:color w:val="000000"/>
          <w:sz w:val="20"/>
          <w:szCs w:val="22"/>
        </w:rPr>
        <w:t xml:space="preserve">by combining territorial engagement, the Triangle of Effectiveness and specialised advisory services, </w:t>
      </w:r>
      <w:r w:rsidR="00DF17A0" w:rsidRPr="00A55E42">
        <w:rPr>
          <w:color w:val="000000"/>
          <w:sz w:val="20"/>
          <w:szCs w:val="22"/>
        </w:rPr>
        <w:t>energy communit</w:t>
      </w:r>
      <w:r w:rsidR="00162D1A" w:rsidRPr="00A55E42">
        <w:rPr>
          <w:color w:val="000000"/>
          <w:sz w:val="20"/>
          <w:szCs w:val="22"/>
        </w:rPr>
        <w:t>y</w:t>
      </w:r>
      <w:r w:rsidR="00DF17A0" w:rsidRPr="00A55E42">
        <w:rPr>
          <w:color w:val="000000"/>
          <w:sz w:val="20"/>
          <w:szCs w:val="22"/>
        </w:rPr>
        <w:t xml:space="preserve"> </w:t>
      </w:r>
      <w:r w:rsidR="00560CC4" w:rsidRPr="00A55E42">
        <w:rPr>
          <w:color w:val="000000"/>
          <w:sz w:val="20"/>
          <w:szCs w:val="22"/>
        </w:rPr>
        <w:t xml:space="preserve">initiatives </w:t>
      </w:r>
      <w:r w:rsidR="00DF17A0" w:rsidRPr="00A55E42">
        <w:rPr>
          <w:color w:val="000000"/>
          <w:sz w:val="20"/>
          <w:szCs w:val="22"/>
        </w:rPr>
        <w:t xml:space="preserve">can progress steadily </w:t>
      </w:r>
      <w:r w:rsidR="00560CC4" w:rsidRPr="00A55E42">
        <w:rPr>
          <w:color w:val="000000"/>
          <w:sz w:val="20"/>
          <w:szCs w:val="22"/>
        </w:rPr>
        <w:t xml:space="preserve">despite </w:t>
      </w:r>
      <w:r w:rsidR="00DF17A0" w:rsidRPr="00A55E42">
        <w:rPr>
          <w:color w:val="000000"/>
          <w:sz w:val="20"/>
          <w:szCs w:val="22"/>
        </w:rPr>
        <w:t xml:space="preserve">the challenges and obstacles they face. This structured and </w:t>
      </w:r>
      <w:r w:rsidR="00560CC4" w:rsidRPr="00A55E42">
        <w:rPr>
          <w:color w:val="000000"/>
          <w:sz w:val="20"/>
          <w:szCs w:val="22"/>
        </w:rPr>
        <w:t xml:space="preserve">timed </w:t>
      </w:r>
      <w:r w:rsidR="00DF17A0" w:rsidRPr="00A55E42">
        <w:rPr>
          <w:color w:val="000000"/>
          <w:sz w:val="20"/>
          <w:szCs w:val="22"/>
        </w:rPr>
        <w:t xml:space="preserve">approach enables </w:t>
      </w:r>
      <w:r w:rsidR="00560CC4" w:rsidRPr="00A55E42">
        <w:rPr>
          <w:color w:val="000000"/>
          <w:sz w:val="20"/>
          <w:szCs w:val="22"/>
        </w:rPr>
        <w:t xml:space="preserve">communities </w:t>
      </w:r>
      <w:r w:rsidR="00DF17A0" w:rsidRPr="00A55E42">
        <w:rPr>
          <w:color w:val="000000"/>
          <w:sz w:val="20"/>
          <w:szCs w:val="22"/>
        </w:rPr>
        <w:t xml:space="preserve">to address </w:t>
      </w:r>
      <w:r w:rsidR="00560CC4" w:rsidRPr="00A55E42">
        <w:rPr>
          <w:color w:val="000000"/>
          <w:sz w:val="20"/>
          <w:szCs w:val="22"/>
        </w:rPr>
        <w:t xml:space="preserve">social, technical, administrative and economic </w:t>
      </w:r>
      <w:r w:rsidR="00DF17A0" w:rsidRPr="00A55E42">
        <w:rPr>
          <w:color w:val="000000"/>
          <w:sz w:val="20"/>
          <w:szCs w:val="22"/>
        </w:rPr>
        <w:t xml:space="preserve">issues </w:t>
      </w:r>
      <w:r w:rsidR="00560CC4" w:rsidRPr="00A55E42">
        <w:rPr>
          <w:color w:val="000000"/>
          <w:sz w:val="20"/>
          <w:szCs w:val="22"/>
        </w:rPr>
        <w:t>progressively,</w:t>
      </w:r>
      <w:r w:rsidR="00D92017" w:rsidRPr="00A55E42">
        <w:rPr>
          <w:color w:val="000000"/>
          <w:sz w:val="20"/>
          <w:szCs w:val="22"/>
        </w:rPr>
        <w:t xml:space="preserve"> </w:t>
      </w:r>
      <w:r w:rsidR="00DF17A0" w:rsidRPr="00A55E42">
        <w:rPr>
          <w:color w:val="000000"/>
          <w:sz w:val="20"/>
          <w:szCs w:val="22"/>
        </w:rPr>
        <w:t>while significantly increasing their chances of long-term success.</w:t>
      </w:r>
    </w:p>
    <w:p w14:paraId="3D83E22A" w14:textId="19502AA6" w:rsidR="003E1E1C" w:rsidRPr="00A55E42" w:rsidRDefault="004515B5" w:rsidP="00490F10">
      <w:pPr>
        <w:pStyle w:val="SWCHeading1"/>
        <w:rPr>
          <w:color w:val="auto"/>
          <w:lang w:val="en-GB"/>
        </w:rPr>
      </w:pPr>
      <w:r w:rsidRPr="00A55E42">
        <w:rPr>
          <w:color w:val="auto"/>
          <w:lang w:val="en-GB"/>
        </w:rPr>
        <w:t>Results</w:t>
      </w:r>
    </w:p>
    <w:p w14:paraId="04893C8C" w14:textId="73E03180" w:rsidR="00E90559" w:rsidRPr="00A55E42" w:rsidRDefault="00415160" w:rsidP="00E90559">
      <w:pPr>
        <w:pStyle w:val="SWCText"/>
        <w:rPr>
          <w:lang w:val="en-GB"/>
        </w:rPr>
      </w:pPr>
      <w:r w:rsidRPr="00A55E42">
        <w:rPr>
          <w:lang w:val="en-GB"/>
        </w:rPr>
        <w:t xml:space="preserve">The activities implemented by the OTC </w:t>
      </w:r>
      <w:r w:rsidR="00533884" w:rsidRPr="00A55E42">
        <w:rPr>
          <w:lang w:val="en-GB"/>
        </w:rPr>
        <w:t xml:space="preserve">produced measurable </w:t>
      </w:r>
      <w:r w:rsidRPr="00A55E42">
        <w:rPr>
          <w:lang w:val="en-GB"/>
        </w:rPr>
        <w:t xml:space="preserve">results </w:t>
      </w:r>
      <w:r w:rsidR="00533884" w:rsidRPr="00A55E42">
        <w:rPr>
          <w:lang w:val="en-GB"/>
        </w:rPr>
        <w:t xml:space="preserve">across the main dimensions of its intervention: </w:t>
      </w:r>
      <w:r w:rsidRPr="00A55E42">
        <w:rPr>
          <w:lang w:val="en-GB"/>
        </w:rPr>
        <w:t>dissemination</w:t>
      </w:r>
      <w:r w:rsidR="00533884" w:rsidRPr="00A55E42">
        <w:rPr>
          <w:lang w:val="en-GB"/>
        </w:rPr>
        <w:t xml:space="preserve"> and awareness-raising</w:t>
      </w:r>
      <w:r w:rsidRPr="00A55E42">
        <w:rPr>
          <w:lang w:val="en-GB"/>
        </w:rPr>
        <w:t xml:space="preserve">, </w:t>
      </w:r>
      <w:r w:rsidR="00533884" w:rsidRPr="00A55E42">
        <w:rPr>
          <w:lang w:val="en-GB"/>
        </w:rPr>
        <w:t xml:space="preserve">territorial </w:t>
      </w:r>
      <w:r w:rsidRPr="00A55E42">
        <w:rPr>
          <w:lang w:val="en-GB"/>
        </w:rPr>
        <w:t xml:space="preserve">engagement, </w:t>
      </w:r>
      <w:r w:rsidR="00533884" w:rsidRPr="00A55E42">
        <w:rPr>
          <w:lang w:val="en-GB"/>
        </w:rPr>
        <w:t xml:space="preserve">participatory support, multidisciplinary advisory services </w:t>
      </w:r>
      <w:r w:rsidRPr="00A55E42">
        <w:rPr>
          <w:lang w:val="en-GB"/>
        </w:rPr>
        <w:t>and the creation of Energy Communities across the target regions</w:t>
      </w:r>
      <w:r w:rsidR="006C2B07">
        <w:rPr>
          <w:lang w:val="en-GB"/>
        </w:rPr>
        <w:t xml:space="preserve"> during one year and half</w:t>
      </w:r>
      <w:r w:rsidRPr="00A55E42">
        <w:rPr>
          <w:lang w:val="en-GB"/>
        </w:rPr>
        <w:t>.</w:t>
      </w:r>
      <w:r w:rsidR="00E90559" w:rsidRPr="00A55E42">
        <w:rPr>
          <w:lang w:val="en-GB"/>
        </w:rPr>
        <w:t xml:space="preserve"> </w:t>
      </w:r>
      <w:r w:rsidR="00533884" w:rsidRPr="00A55E42">
        <w:rPr>
          <w:lang w:val="en-GB"/>
        </w:rPr>
        <w:t>These results reflect both the operational capacity of the OTC and the relevance of a structured support mechanism for helping citizen-led initiatives move from initial mobilisation to formal constitution and early implementation.</w:t>
      </w:r>
    </w:p>
    <w:p w14:paraId="78A49E4C" w14:textId="690A1C01" w:rsidR="00533884" w:rsidRPr="00A55E42" w:rsidRDefault="00533884" w:rsidP="00E90559">
      <w:pPr>
        <w:pStyle w:val="SWCText"/>
        <w:rPr>
          <w:lang w:val="en-GB"/>
        </w:rPr>
      </w:pPr>
      <w:r w:rsidRPr="00A55E42">
        <w:rPr>
          <w:lang w:val="en-GB"/>
        </w:rPr>
        <w:lastRenderedPageBreak/>
        <w:t xml:space="preserve">The main quantitative outcomes of the OTC activity are summarised in </w:t>
      </w:r>
      <w:r w:rsidR="00F26996" w:rsidRPr="00A55E42">
        <w:rPr>
          <w:lang w:val="en-GB"/>
        </w:rPr>
        <w:fldChar w:fldCharType="begin"/>
      </w:r>
      <w:r w:rsidR="00F26996" w:rsidRPr="00A55E42">
        <w:rPr>
          <w:lang w:val="en-GB"/>
        </w:rPr>
        <w:instrText xml:space="preserve"> REF _Ref237271030 \h </w:instrText>
      </w:r>
      <w:r w:rsidR="00F26996" w:rsidRPr="00A55E42">
        <w:rPr>
          <w:lang w:val="en-GB"/>
        </w:rPr>
      </w:r>
      <w:r w:rsidR="00F26996" w:rsidRPr="00A55E42">
        <w:rPr>
          <w:lang w:val="en-GB"/>
        </w:rPr>
        <w:fldChar w:fldCharType="separate"/>
      </w:r>
      <w:r w:rsidR="00F26996" w:rsidRPr="00A55E42">
        <w:rPr>
          <w:lang w:val="en-GB"/>
        </w:rPr>
        <w:t>Tab. 2</w:t>
      </w:r>
      <w:r w:rsidR="00F26996" w:rsidRPr="00A55E42">
        <w:rPr>
          <w:lang w:val="en-GB"/>
        </w:rPr>
        <w:fldChar w:fldCharType="end"/>
      </w:r>
      <w:r w:rsidRPr="00A55E42">
        <w:rPr>
          <w:lang w:val="en-GB"/>
        </w:rPr>
        <w:fldChar w:fldCharType="begin"/>
      </w:r>
      <w:r w:rsidRPr="00A55E42">
        <w:rPr>
          <w:lang w:val="en-GB"/>
        </w:rPr>
        <w:instrText xml:space="preserve"> REF _Ref235104660 \h </w:instrText>
      </w:r>
      <w:r w:rsidRPr="00A55E42">
        <w:rPr>
          <w:lang w:val="en-GB"/>
        </w:rPr>
      </w:r>
      <w:r w:rsidRPr="00A55E42">
        <w:rPr>
          <w:lang w:val="en-GB"/>
        </w:rPr>
        <w:fldChar w:fldCharType="separate"/>
      </w:r>
      <w:r w:rsidRPr="00A55E42">
        <w:rPr>
          <w:lang w:val="en-GB"/>
        </w:rPr>
        <w:fldChar w:fldCharType="end"/>
      </w:r>
      <w:r w:rsidRPr="00A55E42">
        <w:rPr>
          <w:lang w:val="en-GB"/>
        </w:rPr>
        <w:t>. They provide an overview of the number of actions carried out, the advisory services delivered, the communities supported and the public reached during the implementation period.</w:t>
      </w:r>
    </w:p>
    <w:p w14:paraId="57BF5B71" w14:textId="2C4BB8BC" w:rsidR="00533884" w:rsidRPr="00A55E42" w:rsidRDefault="00F26996" w:rsidP="00F26996">
      <w:pPr>
        <w:pStyle w:val="Descripcin"/>
      </w:pPr>
      <w:bookmarkStart w:id="5" w:name="_Ref237271030"/>
      <w:r w:rsidRPr="00A55E42">
        <w:t xml:space="preserve">Tab. </w:t>
      </w:r>
      <w:r w:rsidRPr="00A55E42">
        <w:fldChar w:fldCharType="begin"/>
      </w:r>
      <w:r w:rsidRPr="00A55E42">
        <w:instrText xml:space="preserve"> SEQ Tab. \* ARABIC </w:instrText>
      </w:r>
      <w:r w:rsidRPr="00A55E42">
        <w:fldChar w:fldCharType="separate"/>
      </w:r>
      <w:r w:rsidRPr="00A55E42">
        <w:t>2</w:t>
      </w:r>
      <w:r w:rsidRPr="00A55E42">
        <w:fldChar w:fldCharType="end"/>
      </w:r>
      <w:bookmarkEnd w:id="5"/>
      <w:r w:rsidRPr="00A55E42">
        <w:t>:</w:t>
      </w:r>
      <w:r w:rsidR="00533884" w:rsidRPr="00A55E42">
        <w:t xml:space="preserve"> OTC activity outcomes</w:t>
      </w:r>
    </w:p>
    <w:tbl>
      <w:tblPr>
        <w:tblStyle w:val="Tablaconcuadrcula"/>
        <w:tblW w:w="4934" w:type="pct"/>
        <w:jc w:val="center"/>
        <w:tblLook w:val="04A0" w:firstRow="1" w:lastRow="0" w:firstColumn="1" w:lastColumn="0" w:noHBand="0" w:noVBand="1"/>
      </w:tblPr>
      <w:tblGrid>
        <w:gridCol w:w="2973"/>
        <w:gridCol w:w="4111"/>
        <w:gridCol w:w="1557"/>
      </w:tblGrid>
      <w:tr w:rsidR="008B61DA" w:rsidRPr="00A55E42" w14:paraId="0123678D" w14:textId="77777777" w:rsidTr="002E7709">
        <w:trPr>
          <w:trHeight w:val="283"/>
          <w:jc w:val="center"/>
        </w:trPr>
        <w:tc>
          <w:tcPr>
            <w:tcW w:w="1720" w:type="pct"/>
          </w:tcPr>
          <w:p w14:paraId="58DBFBF6" w14:textId="78459D6D" w:rsidR="008B61DA" w:rsidRPr="00A55E42" w:rsidRDefault="008B61DA" w:rsidP="008B61DA">
            <w:pPr>
              <w:pStyle w:val="SWCTableHeader"/>
            </w:pPr>
            <w:r w:rsidRPr="00A55E42">
              <w:t>Category</w:t>
            </w:r>
          </w:p>
        </w:tc>
        <w:tc>
          <w:tcPr>
            <w:tcW w:w="2379" w:type="pct"/>
            <w:hideMark/>
          </w:tcPr>
          <w:p w14:paraId="27FDB1DB" w14:textId="168A75F5" w:rsidR="008B61DA" w:rsidRPr="00A55E42" w:rsidRDefault="008B61DA" w:rsidP="008B61DA">
            <w:pPr>
              <w:pStyle w:val="SWCTableHeader"/>
            </w:pPr>
            <w:r w:rsidRPr="00A55E42">
              <w:t>Indicator</w:t>
            </w:r>
          </w:p>
        </w:tc>
        <w:tc>
          <w:tcPr>
            <w:tcW w:w="901" w:type="pct"/>
            <w:hideMark/>
          </w:tcPr>
          <w:p w14:paraId="4A9CEC55" w14:textId="77777777" w:rsidR="008B61DA" w:rsidRPr="00A55E42" w:rsidRDefault="008B61DA" w:rsidP="008B61DA">
            <w:pPr>
              <w:pStyle w:val="SWCTableHeader"/>
            </w:pPr>
            <w:r w:rsidRPr="00A55E42">
              <w:t>Result</w:t>
            </w:r>
          </w:p>
        </w:tc>
      </w:tr>
      <w:tr w:rsidR="008B61DA" w:rsidRPr="00A55E42" w14:paraId="6BD48BB5" w14:textId="77777777" w:rsidTr="002E7709">
        <w:trPr>
          <w:trHeight w:val="283"/>
          <w:jc w:val="center"/>
        </w:trPr>
        <w:tc>
          <w:tcPr>
            <w:tcW w:w="1720" w:type="pct"/>
          </w:tcPr>
          <w:p w14:paraId="0EB7204C" w14:textId="56BAF13B" w:rsidR="008B61DA" w:rsidRPr="00A55E42" w:rsidRDefault="008B61DA" w:rsidP="008B61DA">
            <w:pPr>
              <w:pStyle w:val="SWCTableText"/>
            </w:pPr>
            <w:r w:rsidRPr="00A55E42">
              <w:t>Community support</w:t>
            </w:r>
          </w:p>
        </w:tc>
        <w:tc>
          <w:tcPr>
            <w:tcW w:w="2379" w:type="pct"/>
            <w:hideMark/>
          </w:tcPr>
          <w:p w14:paraId="5E6154F2" w14:textId="1266D99D" w:rsidR="008B61DA" w:rsidRPr="00A55E42" w:rsidRDefault="008B61DA" w:rsidP="008B61DA">
            <w:pPr>
              <w:pStyle w:val="SWCTableText"/>
              <w:rPr>
                <w:b/>
                <w:bCs/>
              </w:rPr>
            </w:pPr>
            <w:r w:rsidRPr="00A55E42">
              <w:t>Accompaniment actions carried out</w:t>
            </w:r>
          </w:p>
        </w:tc>
        <w:tc>
          <w:tcPr>
            <w:tcW w:w="901" w:type="pct"/>
            <w:hideMark/>
          </w:tcPr>
          <w:p w14:paraId="5704BD07" w14:textId="2051896D" w:rsidR="008B61DA" w:rsidRPr="00A55E42" w:rsidRDefault="008B61DA" w:rsidP="008B61DA">
            <w:pPr>
              <w:pStyle w:val="SWCTableText"/>
            </w:pPr>
            <w:r w:rsidRPr="00A55E42">
              <w:t>62</w:t>
            </w:r>
          </w:p>
        </w:tc>
      </w:tr>
      <w:tr w:rsidR="008B61DA" w:rsidRPr="00A55E42" w14:paraId="254AFC84" w14:textId="77777777" w:rsidTr="002E7709">
        <w:trPr>
          <w:trHeight w:val="283"/>
          <w:jc w:val="center"/>
        </w:trPr>
        <w:tc>
          <w:tcPr>
            <w:tcW w:w="1720" w:type="pct"/>
            <w:vMerge w:val="restart"/>
            <w:vAlign w:val="center"/>
          </w:tcPr>
          <w:p w14:paraId="11A2204E" w14:textId="2667324B" w:rsidR="008B61DA" w:rsidRPr="00A55E42" w:rsidRDefault="008B61DA" w:rsidP="008B61DA">
            <w:pPr>
              <w:pStyle w:val="SWCTableText"/>
            </w:pPr>
            <w:r w:rsidRPr="00A55E42">
              <w:t>Dissemination and outreach</w:t>
            </w:r>
          </w:p>
        </w:tc>
        <w:tc>
          <w:tcPr>
            <w:tcW w:w="2379" w:type="pct"/>
            <w:hideMark/>
          </w:tcPr>
          <w:p w14:paraId="36383641" w14:textId="739E0E93" w:rsidR="008B61DA" w:rsidRPr="00A55E42" w:rsidRDefault="008B61DA" w:rsidP="008B61DA">
            <w:pPr>
              <w:pStyle w:val="SWCTableText"/>
              <w:rPr>
                <w:b/>
                <w:bCs/>
              </w:rPr>
            </w:pPr>
            <w:r w:rsidRPr="00A55E42">
              <w:t>Dissemination actions</w:t>
            </w:r>
          </w:p>
        </w:tc>
        <w:tc>
          <w:tcPr>
            <w:tcW w:w="901" w:type="pct"/>
            <w:hideMark/>
          </w:tcPr>
          <w:p w14:paraId="25861E74" w14:textId="77777777" w:rsidR="008B61DA" w:rsidRPr="00A55E42" w:rsidRDefault="008B61DA" w:rsidP="008B61DA">
            <w:pPr>
              <w:pStyle w:val="SWCTableText"/>
            </w:pPr>
            <w:r w:rsidRPr="00A55E42">
              <w:t>60</w:t>
            </w:r>
          </w:p>
        </w:tc>
      </w:tr>
      <w:tr w:rsidR="008B61DA" w:rsidRPr="00A55E42" w14:paraId="2012651F" w14:textId="77777777" w:rsidTr="002E7709">
        <w:trPr>
          <w:trHeight w:val="283"/>
          <w:jc w:val="center"/>
        </w:trPr>
        <w:tc>
          <w:tcPr>
            <w:tcW w:w="1720" w:type="pct"/>
            <w:vMerge/>
          </w:tcPr>
          <w:p w14:paraId="7D87FE81" w14:textId="77777777" w:rsidR="008B61DA" w:rsidRPr="00A55E42" w:rsidRDefault="008B61DA" w:rsidP="008B61DA">
            <w:pPr>
              <w:pStyle w:val="SWCTableText"/>
            </w:pPr>
          </w:p>
        </w:tc>
        <w:tc>
          <w:tcPr>
            <w:tcW w:w="2379" w:type="pct"/>
            <w:hideMark/>
          </w:tcPr>
          <w:p w14:paraId="75A6B89D" w14:textId="13BE1067" w:rsidR="008B61DA" w:rsidRPr="00A55E42" w:rsidRDefault="008B61DA" w:rsidP="008B61DA">
            <w:pPr>
              <w:pStyle w:val="SWCTableText"/>
              <w:rPr>
                <w:b/>
                <w:bCs/>
              </w:rPr>
            </w:pPr>
            <w:r w:rsidRPr="00A55E42">
              <w:t>Social media impacts</w:t>
            </w:r>
          </w:p>
        </w:tc>
        <w:tc>
          <w:tcPr>
            <w:tcW w:w="901" w:type="pct"/>
            <w:hideMark/>
          </w:tcPr>
          <w:p w14:paraId="1805581F" w14:textId="18A0835F" w:rsidR="008B61DA" w:rsidRPr="00A55E42" w:rsidRDefault="008B61DA" w:rsidP="008B61DA">
            <w:pPr>
              <w:pStyle w:val="SWCTableText"/>
            </w:pPr>
            <w:r w:rsidRPr="00A55E42">
              <w:t>+25,000</w:t>
            </w:r>
          </w:p>
        </w:tc>
      </w:tr>
      <w:tr w:rsidR="008B61DA" w:rsidRPr="00A55E42" w14:paraId="66CBF83C" w14:textId="77777777" w:rsidTr="002E7709">
        <w:trPr>
          <w:trHeight w:val="283"/>
          <w:jc w:val="center"/>
        </w:trPr>
        <w:tc>
          <w:tcPr>
            <w:tcW w:w="1720" w:type="pct"/>
            <w:vMerge w:val="restart"/>
            <w:vAlign w:val="center"/>
          </w:tcPr>
          <w:p w14:paraId="07D48EBE" w14:textId="2DE69928" w:rsidR="008B61DA" w:rsidRPr="00A55E42" w:rsidRDefault="008B61DA" w:rsidP="008B61DA">
            <w:pPr>
              <w:pStyle w:val="SWCTableText"/>
            </w:pPr>
            <w:r w:rsidRPr="00A55E42">
              <w:t>Advisory services</w:t>
            </w:r>
          </w:p>
        </w:tc>
        <w:tc>
          <w:tcPr>
            <w:tcW w:w="2379" w:type="pct"/>
            <w:hideMark/>
          </w:tcPr>
          <w:p w14:paraId="22A4FC88" w14:textId="6D8E515F" w:rsidR="008B61DA" w:rsidRPr="00A55E42" w:rsidRDefault="008B61DA" w:rsidP="008B61DA">
            <w:pPr>
              <w:pStyle w:val="SWCTableText"/>
              <w:rPr>
                <w:b/>
                <w:bCs/>
              </w:rPr>
            </w:pPr>
            <w:r w:rsidRPr="00A55E42">
              <w:t>Economic advisory sessions</w:t>
            </w:r>
          </w:p>
        </w:tc>
        <w:tc>
          <w:tcPr>
            <w:tcW w:w="901" w:type="pct"/>
            <w:hideMark/>
          </w:tcPr>
          <w:p w14:paraId="2E78AE85" w14:textId="77777777" w:rsidR="008B61DA" w:rsidRPr="00A55E42" w:rsidRDefault="008B61DA" w:rsidP="008B61DA">
            <w:pPr>
              <w:pStyle w:val="SWCTableText"/>
            </w:pPr>
            <w:r w:rsidRPr="00A55E42">
              <w:t>32</w:t>
            </w:r>
          </w:p>
        </w:tc>
      </w:tr>
      <w:tr w:rsidR="008B61DA" w:rsidRPr="00A55E42" w14:paraId="2D7E6F34" w14:textId="77777777" w:rsidTr="002E7709">
        <w:trPr>
          <w:trHeight w:val="283"/>
          <w:jc w:val="center"/>
        </w:trPr>
        <w:tc>
          <w:tcPr>
            <w:tcW w:w="1720" w:type="pct"/>
            <w:vMerge/>
          </w:tcPr>
          <w:p w14:paraId="1CA0DFCB" w14:textId="77777777" w:rsidR="008B61DA" w:rsidRPr="00A55E42" w:rsidRDefault="008B61DA" w:rsidP="008B61DA">
            <w:pPr>
              <w:pStyle w:val="SWCTableText"/>
            </w:pPr>
          </w:p>
        </w:tc>
        <w:tc>
          <w:tcPr>
            <w:tcW w:w="2379" w:type="pct"/>
            <w:hideMark/>
          </w:tcPr>
          <w:p w14:paraId="06BFF4EC" w14:textId="0074D1CA" w:rsidR="008B61DA" w:rsidRPr="00A55E42" w:rsidRDefault="008B61DA" w:rsidP="008B61DA">
            <w:pPr>
              <w:pStyle w:val="SWCTableText"/>
              <w:rPr>
                <w:b/>
                <w:bCs/>
              </w:rPr>
            </w:pPr>
            <w:r w:rsidRPr="00A55E42">
              <w:t>Legal advisory sessions</w:t>
            </w:r>
          </w:p>
        </w:tc>
        <w:tc>
          <w:tcPr>
            <w:tcW w:w="901" w:type="pct"/>
            <w:hideMark/>
          </w:tcPr>
          <w:p w14:paraId="0D23B25E" w14:textId="77777777" w:rsidR="008B61DA" w:rsidRPr="00A55E42" w:rsidRDefault="008B61DA" w:rsidP="008B61DA">
            <w:pPr>
              <w:pStyle w:val="SWCTableText"/>
            </w:pPr>
            <w:r w:rsidRPr="00A55E42">
              <w:t>75</w:t>
            </w:r>
          </w:p>
        </w:tc>
      </w:tr>
      <w:tr w:rsidR="008B61DA" w:rsidRPr="00A55E42" w14:paraId="6204718D" w14:textId="77777777" w:rsidTr="002E7709">
        <w:trPr>
          <w:trHeight w:val="283"/>
          <w:jc w:val="center"/>
        </w:trPr>
        <w:tc>
          <w:tcPr>
            <w:tcW w:w="1720" w:type="pct"/>
            <w:vMerge/>
          </w:tcPr>
          <w:p w14:paraId="00B8FCF8" w14:textId="77777777" w:rsidR="008B61DA" w:rsidRPr="00A55E42" w:rsidRDefault="008B61DA" w:rsidP="008B61DA">
            <w:pPr>
              <w:pStyle w:val="SWCTableText"/>
            </w:pPr>
          </w:p>
        </w:tc>
        <w:tc>
          <w:tcPr>
            <w:tcW w:w="2379" w:type="pct"/>
            <w:hideMark/>
          </w:tcPr>
          <w:p w14:paraId="63A00DF3" w14:textId="62B62512" w:rsidR="008B61DA" w:rsidRPr="00A55E42" w:rsidRDefault="008B61DA" w:rsidP="008B61DA">
            <w:pPr>
              <w:pStyle w:val="SWCTableText"/>
              <w:rPr>
                <w:b/>
                <w:bCs/>
              </w:rPr>
            </w:pPr>
            <w:r w:rsidRPr="00A55E42">
              <w:t>Social advisory sessions</w:t>
            </w:r>
          </w:p>
        </w:tc>
        <w:tc>
          <w:tcPr>
            <w:tcW w:w="901" w:type="pct"/>
            <w:hideMark/>
          </w:tcPr>
          <w:p w14:paraId="0E4401C4" w14:textId="77777777" w:rsidR="008B61DA" w:rsidRPr="00A55E42" w:rsidRDefault="008B61DA" w:rsidP="008B61DA">
            <w:pPr>
              <w:pStyle w:val="SWCTableText"/>
            </w:pPr>
            <w:r w:rsidRPr="00A55E42">
              <w:t>35</w:t>
            </w:r>
          </w:p>
        </w:tc>
      </w:tr>
      <w:tr w:rsidR="008B61DA" w:rsidRPr="00A55E42" w14:paraId="315785FB" w14:textId="77777777" w:rsidTr="002E7709">
        <w:trPr>
          <w:trHeight w:val="283"/>
          <w:jc w:val="center"/>
        </w:trPr>
        <w:tc>
          <w:tcPr>
            <w:tcW w:w="1720" w:type="pct"/>
            <w:vMerge/>
          </w:tcPr>
          <w:p w14:paraId="0BFE64B4" w14:textId="77777777" w:rsidR="008B61DA" w:rsidRPr="00A55E42" w:rsidRDefault="008B61DA" w:rsidP="008B61DA">
            <w:pPr>
              <w:pStyle w:val="SWCTableText"/>
            </w:pPr>
          </w:p>
        </w:tc>
        <w:tc>
          <w:tcPr>
            <w:tcW w:w="2379" w:type="pct"/>
            <w:hideMark/>
          </w:tcPr>
          <w:p w14:paraId="0F7609C3" w14:textId="53CD7495" w:rsidR="008B61DA" w:rsidRPr="00A55E42" w:rsidRDefault="008B61DA" w:rsidP="008B61DA">
            <w:pPr>
              <w:pStyle w:val="SWCTableText"/>
              <w:rPr>
                <w:b/>
                <w:bCs/>
              </w:rPr>
            </w:pPr>
            <w:r w:rsidRPr="00A55E42">
              <w:t>Administrative advisory sessions</w:t>
            </w:r>
          </w:p>
        </w:tc>
        <w:tc>
          <w:tcPr>
            <w:tcW w:w="901" w:type="pct"/>
            <w:hideMark/>
          </w:tcPr>
          <w:p w14:paraId="3E612F11" w14:textId="77777777" w:rsidR="008B61DA" w:rsidRPr="00A55E42" w:rsidRDefault="008B61DA" w:rsidP="008B61DA">
            <w:pPr>
              <w:pStyle w:val="SWCTableText"/>
            </w:pPr>
            <w:r w:rsidRPr="00A55E42">
              <w:t>62</w:t>
            </w:r>
          </w:p>
        </w:tc>
      </w:tr>
      <w:tr w:rsidR="008B61DA" w:rsidRPr="00A55E42" w14:paraId="17A041CD" w14:textId="77777777" w:rsidTr="002E7709">
        <w:trPr>
          <w:trHeight w:val="283"/>
          <w:jc w:val="center"/>
        </w:trPr>
        <w:tc>
          <w:tcPr>
            <w:tcW w:w="1720" w:type="pct"/>
            <w:vMerge/>
          </w:tcPr>
          <w:p w14:paraId="358A3579" w14:textId="77777777" w:rsidR="008B61DA" w:rsidRPr="00A55E42" w:rsidRDefault="008B61DA" w:rsidP="008B61DA">
            <w:pPr>
              <w:pStyle w:val="SWCTableText"/>
            </w:pPr>
          </w:p>
        </w:tc>
        <w:tc>
          <w:tcPr>
            <w:tcW w:w="2379" w:type="pct"/>
            <w:hideMark/>
          </w:tcPr>
          <w:p w14:paraId="0B6C141A" w14:textId="396A13E6" w:rsidR="008B61DA" w:rsidRPr="00A55E42" w:rsidRDefault="008B61DA" w:rsidP="008B61DA">
            <w:pPr>
              <w:pStyle w:val="SWCTableText"/>
              <w:rPr>
                <w:b/>
                <w:bCs/>
              </w:rPr>
            </w:pPr>
            <w:r w:rsidRPr="00A55E42">
              <w:t>Technical advisory sessions</w:t>
            </w:r>
          </w:p>
        </w:tc>
        <w:tc>
          <w:tcPr>
            <w:tcW w:w="901" w:type="pct"/>
            <w:hideMark/>
          </w:tcPr>
          <w:p w14:paraId="4C4BEBC2" w14:textId="77777777" w:rsidR="008B61DA" w:rsidRPr="00A55E42" w:rsidRDefault="008B61DA" w:rsidP="008B61DA">
            <w:pPr>
              <w:pStyle w:val="SWCTableText"/>
            </w:pPr>
            <w:r w:rsidRPr="00A55E42">
              <w:t>147</w:t>
            </w:r>
          </w:p>
        </w:tc>
      </w:tr>
      <w:tr w:rsidR="008B61DA" w:rsidRPr="00A55E42" w14:paraId="495A4AB5" w14:textId="77777777" w:rsidTr="002E7709">
        <w:trPr>
          <w:trHeight w:val="283"/>
          <w:jc w:val="center"/>
        </w:trPr>
        <w:tc>
          <w:tcPr>
            <w:tcW w:w="1720" w:type="pct"/>
            <w:vMerge w:val="restart"/>
            <w:vAlign w:val="center"/>
          </w:tcPr>
          <w:p w14:paraId="277C2CC4" w14:textId="356878F5" w:rsidR="008B61DA" w:rsidRPr="00A55E42" w:rsidRDefault="008B61DA" w:rsidP="008B61DA">
            <w:pPr>
              <w:pStyle w:val="SWCTableText"/>
            </w:pPr>
            <w:r w:rsidRPr="00A55E42">
              <w:t>Community creation</w:t>
            </w:r>
          </w:p>
        </w:tc>
        <w:tc>
          <w:tcPr>
            <w:tcW w:w="2379" w:type="pct"/>
            <w:hideMark/>
          </w:tcPr>
          <w:p w14:paraId="4BCAF45B" w14:textId="148E05AB" w:rsidR="008B61DA" w:rsidRPr="00A55E42" w:rsidRDefault="008B61DA" w:rsidP="008B61DA">
            <w:pPr>
              <w:pStyle w:val="SWCTableText"/>
              <w:rPr>
                <w:b/>
                <w:bCs/>
              </w:rPr>
            </w:pPr>
            <w:r w:rsidRPr="00A55E42">
              <w:t>Energy communities formally established</w:t>
            </w:r>
          </w:p>
        </w:tc>
        <w:tc>
          <w:tcPr>
            <w:tcW w:w="901" w:type="pct"/>
            <w:hideMark/>
          </w:tcPr>
          <w:p w14:paraId="440D3295" w14:textId="77777777" w:rsidR="008B61DA" w:rsidRPr="00A55E42" w:rsidRDefault="008B61DA" w:rsidP="008B61DA">
            <w:pPr>
              <w:pStyle w:val="SWCTableText"/>
            </w:pPr>
            <w:r w:rsidRPr="00A55E42">
              <w:t>13</w:t>
            </w:r>
          </w:p>
        </w:tc>
      </w:tr>
      <w:tr w:rsidR="008B61DA" w:rsidRPr="00A55E42" w14:paraId="0245FFDC" w14:textId="77777777" w:rsidTr="002E7709">
        <w:trPr>
          <w:trHeight w:val="283"/>
          <w:jc w:val="center"/>
        </w:trPr>
        <w:tc>
          <w:tcPr>
            <w:tcW w:w="1720" w:type="pct"/>
            <w:vMerge/>
          </w:tcPr>
          <w:p w14:paraId="3C745416" w14:textId="77777777" w:rsidR="008B61DA" w:rsidRPr="00A55E42" w:rsidRDefault="008B61DA" w:rsidP="008B61DA">
            <w:pPr>
              <w:pStyle w:val="SWCTableText"/>
            </w:pPr>
          </w:p>
        </w:tc>
        <w:tc>
          <w:tcPr>
            <w:tcW w:w="2379" w:type="pct"/>
            <w:hideMark/>
          </w:tcPr>
          <w:p w14:paraId="5C0E7FF2" w14:textId="61CE2528" w:rsidR="008B61DA" w:rsidRPr="00A55E42" w:rsidRDefault="008B61DA" w:rsidP="008B61DA">
            <w:pPr>
              <w:pStyle w:val="SWCTableText"/>
              <w:rPr>
                <w:b/>
                <w:bCs/>
              </w:rPr>
            </w:pPr>
            <w:r w:rsidRPr="00A55E42">
              <w:t>Consolidated groups</w:t>
            </w:r>
          </w:p>
        </w:tc>
        <w:tc>
          <w:tcPr>
            <w:tcW w:w="901" w:type="pct"/>
            <w:hideMark/>
          </w:tcPr>
          <w:p w14:paraId="334F3F8E" w14:textId="76BC16D8" w:rsidR="008B61DA" w:rsidRPr="00A55E42" w:rsidRDefault="008B61DA" w:rsidP="008B61DA">
            <w:pPr>
              <w:pStyle w:val="SWCTableText"/>
            </w:pPr>
            <w:commentRangeStart w:id="6"/>
            <w:r w:rsidRPr="00A55E42">
              <w:t>2</w:t>
            </w:r>
            <w:commentRangeEnd w:id="6"/>
            <w:r w:rsidR="002E7709">
              <w:rPr>
                <w:rStyle w:val="Refdecomentario"/>
                <w:sz w:val="20"/>
                <w:szCs w:val="20"/>
              </w:rPr>
              <w:commentReference w:id="6"/>
            </w:r>
            <w:r w:rsidR="000E7B60">
              <w:t>1</w:t>
            </w:r>
          </w:p>
        </w:tc>
      </w:tr>
      <w:tr w:rsidR="008B61DA" w:rsidRPr="00A55E42" w14:paraId="1284EDA1" w14:textId="77777777" w:rsidTr="002E7709">
        <w:trPr>
          <w:trHeight w:val="283"/>
          <w:jc w:val="center"/>
        </w:trPr>
        <w:tc>
          <w:tcPr>
            <w:tcW w:w="1720" w:type="pct"/>
          </w:tcPr>
          <w:p w14:paraId="3C01BC06" w14:textId="1A8E2C52" w:rsidR="008B61DA" w:rsidRPr="00A55E42" w:rsidRDefault="008B61DA" w:rsidP="008B61DA">
            <w:pPr>
              <w:pStyle w:val="SWCTableText"/>
            </w:pPr>
            <w:r w:rsidRPr="00A55E42">
              <w:t>Public engagement</w:t>
            </w:r>
          </w:p>
        </w:tc>
        <w:tc>
          <w:tcPr>
            <w:tcW w:w="2379" w:type="pct"/>
            <w:hideMark/>
          </w:tcPr>
          <w:p w14:paraId="779E4420" w14:textId="22B2AF74" w:rsidR="008B61DA" w:rsidRPr="00A55E42" w:rsidRDefault="008B61DA" w:rsidP="008B61DA">
            <w:pPr>
              <w:pStyle w:val="SWCTableText"/>
              <w:rPr>
                <w:b/>
                <w:bCs/>
              </w:rPr>
            </w:pPr>
            <w:r w:rsidRPr="00A55E42">
              <w:t>People informed</w:t>
            </w:r>
          </w:p>
        </w:tc>
        <w:tc>
          <w:tcPr>
            <w:tcW w:w="901" w:type="pct"/>
            <w:hideMark/>
          </w:tcPr>
          <w:p w14:paraId="0DA8745E" w14:textId="77777777" w:rsidR="008B61DA" w:rsidRPr="00A55E42" w:rsidRDefault="008B61DA" w:rsidP="008B61DA">
            <w:pPr>
              <w:pStyle w:val="SWCTableText"/>
            </w:pPr>
            <w:r w:rsidRPr="00A55E42">
              <w:t>1,515</w:t>
            </w:r>
          </w:p>
        </w:tc>
      </w:tr>
    </w:tbl>
    <w:p w14:paraId="10C91D2C" w14:textId="77777777" w:rsidR="00F26996" w:rsidRPr="00A55E42" w:rsidRDefault="00F26996" w:rsidP="00533884">
      <w:pPr>
        <w:pStyle w:val="SWCText"/>
        <w:spacing w:before="240"/>
        <w:rPr>
          <w:lang w:val="en-GB"/>
        </w:rPr>
      </w:pPr>
      <w:r w:rsidRPr="00A55E42">
        <w:rPr>
          <w:lang w:val="en-GB"/>
        </w:rPr>
        <w:t>T</w:t>
      </w:r>
      <w:r w:rsidR="009B5037" w:rsidRPr="00A55E42">
        <w:rPr>
          <w:lang w:val="en-GB"/>
        </w:rPr>
        <w:t xml:space="preserve">hese </w:t>
      </w:r>
      <w:r w:rsidRPr="00A55E42">
        <w:rPr>
          <w:lang w:val="en-GB"/>
        </w:rPr>
        <w:t>outcomes</w:t>
      </w:r>
      <w:r w:rsidR="009B5037" w:rsidRPr="00A55E42">
        <w:rPr>
          <w:lang w:val="en-GB"/>
        </w:rPr>
        <w:t xml:space="preserve"> show that the OTC combined broad territorial engagement with specialised advisory support, enabling emerging initiatives to address social, organisational, technical, administrative and economic barriers in a coordinated way. </w:t>
      </w:r>
    </w:p>
    <w:p w14:paraId="4876E51F" w14:textId="0E70DE5B" w:rsidR="009B5037" w:rsidRPr="00A55E42" w:rsidRDefault="009B5037" w:rsidP="00533884">
      <w:pPr>
        <w:pStyle w:val="SWCText"/>
        <w:spacing w:before="240"/>
        <w:rPr>
          <w:lang w:val="en-GB"/>
        </w:rPr>
      </w:pPr>
      <w:r w:rsidRPr="00A55E42">
        <w:rPr>
          <w:lang w:val="en-GB"/>
        </w:rPr>
        <w:t>The following subsections analyse these results in greater detail, linking the quantitative outcomes with their territorial, social, economic and organisational implications, as well as with the development of specific energy community cases</w:t>
      </w:r>
      <w:r w:rsidR="00F26996" w:rsidRPr="00A55E42">
        <w:rPr>
          <w:lang w:val="en-GB"/>
        </w:rPr>
        <w:t>.</w:t>
      </w:r>
    </w:p>
    <w:p w14:paraId="797FFCA6" w14:textId="7CBE3884" w:rsidR="00037275" w:rsidRPr="00A55E42" w:rsidRDefault="00ED255F" w:rsidP="00D92017">
      <w:pPr>
        <w:pStyle w:val="SWCHeading11"/>
      </w:pPr>
      <w:r w:rsidRPr="00A55E42">
        <w:t>5</w:t>
      </w:r>
      <w:r w:rsidR="00037275" w:rsidRPr="00A55E42">
        <w:t>.1. Quantitative Performance and Advisory Reach</w:t>
      </w:r>
    </w:p>
    <w:p w14:paraId="2154CF4A" w14:textId="3E1621AD" w:rsidR="00070D26" w:rsidRPr="00A55E42" w:rsidRDefault="00070D26" w:rsidP="00070D26">
      <w:pPr>
        <w:pStyle w:val="SWCText"/>
        <w:rPr>
          <w:lang w:val="en-GB"/>
        </w:rPr>
      </w:pPr>
      <w:r w:rsidRPr="00A55E42">
        <w:rPr>
          <w:lang w:val="en-GB"/>
        </w:rPr>
        <w:t>Building on the quantitative overview presented in</w:t>
      </w:r>
      <w:r w:rsidR="00851D2E" w:rsidRPr="00A55E42">
        <w:rPr>
          <w:lang w:val="en-GB"/>
        </w:rPr>
        <w:t xml:space="preserve"> </w:t>
      </w:r>
      <w:r w:rsidR="00851D2E" w:rsidRPr="00A55E42">
        <w:rPr>
          <w:lang w:val="en-GB"/>
        </w:rPr>
        <w:fldChar w:fldCharType="begin"/>
      </w:r>
      <w:r w:rsidR="00851D2E" w:rsidRPr="00A55E42">
        <w:rPr>
          <w:lang w:val="en-GB"/>
        </w:rPr>
        <w:instrText xml:space="preserve"> REF _Ref237271030 \h </w:instrText>
      </w:r>
      <w:r w:rsidR="00851D2E" w:rsidRPr="00A55E42">
        <w:rPr>
          <w:lang w:val="en-GB"/>
        </w:rPr>
      </w:r>
      <w:r w:rsidR="00851D2E" w:rsidRPr="00A55E42">
        <w:rPr>
          <w:lang w:val="en-GB"/>
        </w:rPr>
        <w:fldChar w:fldCharType="separate"/>
      </w:r>
      <w:r w:rsidR="00851D2E" w:rsidRPr="00A55E42">
        <w:rPr>
          <w:lang w:val="en-GB"/>
        </w:rPr>
        <w:t>Tab. 2</w:t>
      </w:r>
      <w:r w:rsidR="00851D2E" w:rsidRPr="00A55E42">
        <w:rPr>
          <w:lang w:val="en-GB"/>
        </w:rPr>
        <w:fldChar w:fldCharType="end"/>
      </w:r>
      <w:r w:rsidRPr="00A55E42">
        <w:rPr>
          <w:lang w:val="en-GB"/>
        </w:rPr>
        <w:t>, this subsection highlights the OTC’s execution capacity and advisory reach in relation to the initial work plan. The office achieved a 206% execution rate in dissemination activities and a 103% rate in multidisciplinary advisory services, showing a high level of implementation.</w:t>
      </w:r>
    </w:p>
    <w:p w14:paraId="66A12235" w14:textId="279F1517" w:rsidR="00037275" w:rsidRPr="00A55E42" w:rsidRDefault="00070D26" w:rsidP="00D92017">
      <w:pPr>
        <w:pStyle w:val="SWCText"/>
        <w:rPr>
          <w:lang w:val="en-GB"/>
        </w:rPr>
      </w:pPr>
      <w:r w:rsidRPr="00A55E42">
        <w:rPr>
          <w:lang w:val="en-GB"/>
        </w:rPr>
        <w:t>In total, the OTC delivered 316 advisory sessions to 54 groups, mainly in technical, legal, administrative and economic-financial areas.</w:t>
      </w:r>
      <w:r w:rsidR="00F26996" w:rsidRPr="00A55E42">
        <w:rPr>
          <w:lang w:val="en-GB"/>
        </w:rPr>
        <w:t xml:space="preserve"> </w:t>
      </w:r>
      <w:r w:rsidR="00037275" w:rsidRPr="00A55E42">
        <w:rPr>
          <w:lang w:val="en-GB"/>
        </w:rPr>
        <w:t xml:space="preserve">Technical advisory was the most </w:t>
      </w:r>
      <w:r w:rsidRPr="00A55E42">
        <w:rPr>
          <w:lang w:val="en-GB"/>
        </w:rPr>
        <w:t xml:space="preserve">requested </w:t>
      </w:r>
      <w:r w:rsidR="00037275" w:rsidRPr="00A55E42">
        <w:rPr>
          <w:lang w:val="en-GB"/>
        </w:rPr>
        <w:t>service</w:t>
      </w:r>
      <w:r w:rsidRPr="00A55E42">
        <w:rPr>
          <w:lang w:val="en-GB"/>
        </w:rPr>
        <w:t xml:space="preserve">, with </w:t>
      </w:r>
      <w:r w:rsidR="00037275" w:rsidRPr="00A55E42">
        <w:rPr>
          <w:lang w:val="en-GB"/>
        </w:rPr>
        <w:t>147 actions, followed by legal</w:t>
      </w:r>
      <w:r w:rsidR="00D92017" w:rsidRPr="00A55E42">
        <w:rPr>
          <w:lang w:val="en-GB"/>
        </w:rPr>
        <w:t xml:space="preserve"> </w:t>
      </w:r>
      <w:r w:rsidR="00037275" w:rsidRPr="00A55E42">
        <w:rPr>
          <w:lang w:val="en-GB"/>
        </w:rPr>
        <w:t>(75), administrative (62), and economic-financial (32)</w:t>
      </w:r>
      <w:r w:rsidRPr="00A55E42">
        <w:rPr>
          <w:lang w:val="en-GB"/>
        </w:rPr>
        <w:t xml:space="preserve"> advisory services</w:t>
      </w:r>
      <w:r w:rsidR="00037275" w:rsidRPr="00A55E42">
        <w:rPr>
          <w:lang w:val="en-GB"/>
        </w:rPr>
        <w:t>.</w:t>
      </w:r>
    </w:p>
    <w:p w14:paraId="17F795B1" w14:textId="00D5E63C" w:rsidR="00070D26" w:rsidRPr="00A55E42" w:rsidRDefault="00070D26" w:rsidP="00D92017">
      <w:pPr>
        <w:pStyle w:val="SWCText"/>
        <w:rPr>
          <w:lang w:val="en-GB"/>
        </w:rPr>
      </w:pPr>
      <w:r w:rsidRPr="00A55E42">
        <w:rPr>
          <w:lang w:val="en-GB"/>
        </w:rPr>
        <w:t xml:space="preserve">Regarding community consolidation, </w:t>
      </w:r>
      <w:commentRangeStart w:id="7"/>
      <w:commentRangeStart w:id="8"/>
      <w:r w:rsidRPr="00A55E42">
        <w:rPr>
          <w:lang w:val="en-GB"/>
        </w:rPr>
        <w:t>21</w:t>
      </w:r>
      <w:commentRangeEnd w:id="7"/>
      <w:r w:rsidR="006D2597" w:rsidRPr="00A55E42">
        <w:rPr>
          <w:rStyle w:val="Refdecomentario"/>
          <w:sz w:val="20"/>
          <w:szCs w:val="22"/>
          <w:lang w:val="en-GB"/>
        </w:rPr>
        <w:commentReference w:id="7"/>
      </w:r>
      <w:commentRangeEnd w:id="8"/>
      <w:r w:rsidR="006C2B07" w:rsidRPr="00A55E42">
        <w:rPr>
          <w:rStyle w:val="Refdecomentario"/>
          <w:sz w:val="20"/>
          <w:szCs w:val="22"/>
          <w:lang w:val="en-GB"/>
        </w:rPr>
        <w:commentReference w:id="8"/>
      </w:r>
      <w:r w:rsidRPr="00A55E42">
        <w:rPr>
          <w:lang w:val="en-GB"/>
        </w:rPr>
        <w:t xml:space="preserve"> groups reached a consolidated stage, exceeding the initial target of 15. Among them, 13 energy communities were formally constituted and 8 were completing legal registration by the end of the OTC’s activity period.</w:t>
      </w:r>
    </w:p>
    <w:p w14:paraId="71CDCAD6" w14:textId="7DFE3D73" w:rsidR="00037275" w:rsidRPr="00A55E42" w:rsidRDefault="00ED255F" w:rsidP="00D92017">
      <w:pPr>
        <w:pStyle w:val="SWCHeading11"/>
      </w:pPr>
      <w:r w:rsidRPr="00A55E42">
        <w:t>5</w:t>
      </w:r>
      <w:r w:rsidR="00037275" w:rsidRPr="00A55E42">
        <w:t>.2. Territorial Impact and the Demographic Challenge</w:t>
      </w:r>
    </w:p>
    <w:p w14:paraId="7EEB56B8" w14:textId="26B7792F" w:rsidR="00037275" w:rsidRPr="00A55E42" w:rsidRDefault="00037275" w:rsidP="00037275">
      <w:pPr>
        <w:pStyle w:val="SWCText"/>
        <w:rPr>
          <w:lang w:val="en-GB"/>
        </w:rPr>
      </w:pPr>
      <w:r w:rsidRPr="00A55E42">
        <w:rPr>
          <w:lang w:val="en-GB"/>
        </w:rPr>
        <w:t xml:space="preserve">A core objective of </w:t>
      </w:r>
      <w:r w:rsidR="00A9207C" w:rsidRPr="00A55E42">
        <w:rPr>
          <w:lang w:val="en-GB"/>
        </w:rPr>
        <w:t>the OTC</w:t>
      </w:r>
      <w:r w:rsidRPr="00A55E42">
        <w:rPr>
          <w:lang w:val="en-GB"/>
        </w:rPr>
        <w:t xml:space="preserve"> was to </w:t>
      </w:r>
      <w:r w:rsidR="00A9207C" w:rsidRPr="00A55E42">
        <w:rPr>
          <w:lang w:val="en-GB"/>
        </w:rPr>
        <w:t>contribute to territorial revitalisation in</w:t>
      </w:r>
      <w:r w:rsidRPr="00A55E42">
        <w:rPr>
          <w:lang w:val="en-GB"/>
        </w:rPr>
        <w:t xml:space="preserve"> rural areas facing significant depopulation. The OTC intervened in 61 municipalities classified under the demographic challenge category</w:t>
      </w:r>
      <w:r w:rsidR="00A9207C" w:rsidRPr="00A55E42">
        <w:rPr>
          <w:lang w:val="en-GB"/>
        </w:rPr>
        <w:t>, including:</w:t>
      </w:r>
    </w:p>
    <w:p w14:paraId="0EB17F7D" w14:textId="77777777" w:rsidR="0050554E" w:rsidRPr="00A55E42" w:rsidRDefault="00692D6F" w:rsidP="006023E1">
      <w:pPr>
        <w:pStyle w:val="SWCText"/>
        <w:numPr>
          <w:ilvl w:val="0"/>
          <w:numId w:val="33"/>
        </w:numPr>
        <w:rPr>
          <w:lang w:val="en-GB"/>
        </w:rPr>
      </w:pPr>
      <w:r w:rsidRPr="00A55E42">
        <w:rPr>
          <w:lang w:val="en-GB"/>
        </w:rPr>
        <w:t xml:space="preserve">48 municipalities in </w:t>
      </w:r>
      <w:r w:rsidR="006023E1" w:rsidRPr="00A55E42">
        <w:rPr>
          <w:lang w:val="en-GB"/>
        </w:rPr>
        <w:t>Aragon</w:t>
      </w:r>
      <w:r w:rsidRPr="00A55E42">
        <w:rPr>
          <w:lang w:val="en-GB"/>
        </w:rPr>
        <w:t xml:space="preserve">, in </w:t>
      </w:r>
      <w:r w:rsidR="006023E1" w:rsidRPr="00A55E42">
        <w:rPr>
          <w:lang w:val="en-GB"/>
        </w:rPr>
        <w:t xml:space="preserve">the provinces of </w:t>
      </w:r>
      <w:r w:rsidRPr="00A55E42">
        <w:rPr>
          <w:lang w:val="en-GB"/>
        </w:rPr>
        <w:t xml:space="preserve">Teruel and Huesca, where ECs such as </w:t>
      </w:r>
      <w:r w:rsidRPr="00A55E42">
        <w:rPr>
          <w:i/>
          <w:iCs/>
          <w:lang w:val="en-GB"/>
        </w:rPr>
        <w:t>Mudéjar Alumbra</w:t>
      </w:r>
      <w:r w:rsidRPr="00A55E42">
        <w:rPr>
          <w:lang w:val="en-GB"/>
        </w:rPr>
        <w:t xml:space="preserve"> (</w:t>
      </w:r>
      <w:r w:rsidRPr="00A55E42">
        <w:rPr>
          <w:i/>
          <w:iCs/>
          <w:lang w:val="en-GB"/>
        </w:rPr>
        <w:t>Alcorisa</w:t>
      </w:r>
      <w:r w:rsidRPr="00A55E42">
        <w:rPr>
          <w:lang w:val="en-GB"/>
        </w:rPr>
        <w:t xml:space="preserve">) and </w:t>
      </w:r>
      <w:r w:rsidRPr="00A55E42">
        <w:rPr>
          <w:i/>
          <w:iCs/>
          <w:lang w:val="en-GB"/>
        </w:rPr>
        <w:t>Ansó</w:t>
      </w:r>
      <w:r w:rsidRPr="00A55E42">
        <w:rPr>
          <w:lang w:val="en-GB"/>
        </w:rPr>
        <w:t xml:space="preserve"> became </w:t>
      </w:r>
      <w:r w:rsidR="006023E1" w:rsidRPr="00A55E42">
        <w:rPr>
          <w:lang w:val="en-GB"/>
        </w:rPr>
        <w:t>reference</w:t>
      </w:r>
      <w:r w:rsidRPr="00A55E42">
        <w:rPr>
          <w:lang w:val="en-GB"/>
        </w:rPr>
        <w:t xml:space="preserve"> cases for local energy sovereignty.</w:t>
      </w:r>
    </w:p>
    <w:p w14:paraId="0D97CE79" w14:textId="55E16B1A" w:rsidR="00037275" w:rsidRPr="00A55E42" w:rsidRDefault="00037275" w:rsidP="00037275">
      <w:pPr>
        <w:pStyle w:val="SWCText"/>
        <w:numPr>
          <w:ilvl w:val="0"/>
          <w:numId w:val="33"/>
        </w:numPr>
        <w:rPr>
          <w:lang w:val="en-GB"/>
        </w:rPr>
      </w:pPr>
      <w:r w:rsidRPr="00A55E42">
        <w:rPr>
          <w:lang w:val="en-GB"/>
        </w:rPr>
        <w:t>13 municipalities</w:t>
      </w:r>
      <w:r w:rsidR="00A9207C" w:rsidRPr="00A55E42">
        <w:rPr>
          <w:lang w:val="en-GB"/>
        </w:rPr>
        <w:t xml:space="preserve"> in Guadalajara</w:t>
      </w:r>
      <w:r w:rsidRPr="00A55E42">
        <w:rPr>
          <w:lang w:val="en-GB"/>
        </w:rPr>
        <w:t xml:space="preserve">, highlighting the constitution of </w:t>
      </w:r>
      <w:r w:rsidRPr="00A55E42">
        <w:rPr>
          <w:i/>
          <w:iCs/>
          <w:lang w:val="en-GB"/>
        </w:rPr>
        <w:t>La Yunta Power</w:t>
      </w:r>
      <w:r w:rsidRPr="00A55E42">
        <w:rPr>
          <w:lang w:val="en-GB"/>
        </w:rPr>
        <w:t xml:space="preserve"> </w:t>
      </w:r>
      <w:r w:rsidR="00A9207C" w:rsidRPr="00A55E42">
        <w:rPr>
          <w:lang w:val="en-GB"/>
        </w:rPr>
        <w:t xml:space="preserve">which illustrates the potential of ECs </w:t>
      </w:r>
      <w:r w:rsidRPr="00A55E42">
        <w:rPr>
          <w:lang w:val="en-GB"/>
        </w:rPr>
        <w:t xml:space="preserve">in high-priority depopulation </w:t>
      </w:r>
      <w:r w:rsidR="00A9207C" w:rsidRPr="00A55E42">
        <w:rPr>
          <w:lang w:val="en-GB"/>
        </w:rPr>
        <w:t>areas</w:t>
      </w:r>
      <w:r w:rsidRPr="00A55E42">
        <w:rPr>
          <w:lang w:val="en-GB"/>
        </w:rPr>
        <w:t>.</w:t>
      </w:r>
    </w:p>
    <w:p w14:paraId="058EF54A" w14:textId="34297B33" w:rsidR="00A9207C" w:rsidRPr="00A55E42" w:rsidRDefault="00A9207C" w:rsidP="00A9207C">
      <w:pPr>
        <w:pStyle w:val="SWCText"/>
        <w:rPr>
          <w:lang w:val="en-GB"/>
        </w:rPr>
      </w:pPr>
      <w:r w:rsidRPr="00A55E42">
        <w:rPr>
          <w:lang w:val="en-GB"/>
        </w:rPr>
        <w:t xml:space="preserve">The OTC also operated in eight municipalities included in Just Transition Agreements, supporting territories formerly dependent on coal mining in their transition towards a green economy. These results show that, when supported through locally adapted accompaniment, </w:t>
      </w:r>
      <w:r w:rsidR="00851D2E" w:rsidRPr="00A55E42">
        <w:rPr>
          <w:lang w:val="en-GB"/>
        </w:rPr>
        <w:t>ECs</w:t>
      </w:r>
      <w:r w:rsidRPr="00A55E42">
        <w:rPr>
          <w:lang w:val="en-GB"/>
        </w:rPr>
        <w:t xml:space="preserve"> can become practical tools for territorial development, citizen mobilisation and rural energy transition.</w:t>
      </w:r>
    </w:p>
    <w:p w14:paraId="79FEF573" w14:textId="113589F0" w:rsidR="00037275" w:rsidRPr="00A55E42" w:rsidRDefault="00ED255F" w:rsidP="00D92017">
      <w:pPr>
        <w:pStyle w:val="SWCHeading11"/>
      </w:pPr>
      <w:r w:rsidRPr="00A55E42">
        <w:lastRenderedPageBreak/>
        <w:t>5</w:t>
      </w:r>
      <w:r w:rsidR="00037275" w:rsidRPr="00A55E42">
        <w:t>.3. Economic Impact and Energy Justice</w:t>
      </w:r>
    </w:p>
    <w:p w14:paraId="412A5911" w14:textId="12B109C8" w:rsidR="00037275" w:rsidRPr="00A55E42" w:rsidRDefault="00037275" w:rsidP="00EC09CF">
      <w:pPr>
        <w:pStyle w:val="SWCText"/>
        <w:rPr>
          <w:lang w:val="en-GB"/>
        </w:rPr>
      </w:pPr>
      <w:r w:rsidRPr="00A55E42">
        <w:rPr>
          <w:lang w:val="en-GB"/>
        </w:rPr>
        <w:t xml:space="preserve">The economic advisory sessions focused on making renewable energy </w:t>
      </w:r>
      <w:r w:rsidR="00C91BA2" w:rsidRPr="00A55E42">
        <w:rPr>
          <w:lang w:val="en-GB"/>
        </w:rPr>
        <w:t xml:space="preserve">and self-consumption projects both </w:t>
      </w:r>
      <w:r w:rsidRPr="00A55E42">
        <w:rPr>
          <w:lang w:val="en-GB"/>
        </w:rPr>
        <w:t>accessible and profitable for small-scale consumers.</w:t>
      </w:r>
      <w:r w:rsidR="00C91BA2" w:rsidRPr="00A55E42">
        <w:rPr>
          <w:lang w:val="en-GB"/>
        </w:rPr>
        <w:t xml:space="preserve"> </w:t>
      </w:r>
      <w:r w:rsidRPr="00A55E42">
        <w:rPr>
          <w:lang w:val="en-GB"/>
        </w:rPr>
        <w:t xml:space="preserve">The OTC used tools </w:t>
      </w:r>
      <w:r w:rsidR="00C91BA2" w:rsidRPr="00A55E42">
        <w:rPr>
          <w:lang w:val="en-GB"/>
        </w:rPr>
        <w:t xml:space="preserve">such as </w:t>
      </w:r>
      <w:r w:rsidRPr="00A55E42">
        <w:rPr>
          <w:lang w:val="en-GB"/>
        </w:rPr>
        <w:t>PVGIS to design installations</w:t>
      </w:r>
      <w:r w:rsidR="00C91BA2" w:rsidRPr="00A55E42">
        <w:rPr>
          <w:lang w:val="en-GB"/>
        </w:rPr>
        <w:t>, estimate production, calculate investment needs</w:t>
      </w:r>
      <w:r w:rsidRPr="00A55E42">
        <w:rPr>
          <w:lang w:val="en-GB"/>
        </w:rPr>
        <w:t xml:space="preserve"> and payback periods, </w:t>
      </w:r>
      <w:r w:rsidR="00C91BA2" w:rsidRPr="00A55E42">
        <w:rPr>
          <w:lang w:val="en-GB"/>
        </w:rPr>
        <w:t>helping groups assess the feasibility of their projects. In cases such as</w:t>
      </w:r>
      <w:r w:rsidRPr="00A55E42">
        <w:rPr>
          <w:lang w:val="en-GB"/>
        </w:rPr>
        <w:t xml:space="preserve"> </w:t>
      </w:r>
      <w:r w:rsidRPr="00A55E42">
        <w:rPr>
          <w:i/>
          <w:iCs/>
          <w:lang w:val="en-GB"/>
        </w:rPr>
        <w:t>Luco de Jiloca</w:t>
      </w:r>
      <w:r w:rsidRPr="00A55E42">
        <w:rPr>
          <w:lang w:val="en-GB"/>
        </w:rPr>
        <w:t xml:space="preserve"> </w:t>
      </w:r>
      <w:r w:rsidR="00C91BA2" w:rsidRPr="00A55E42">
        <w:rPr>
          <w:lang w:val="en-GB"/>
        </w:rPr>
        <w:t>the expected payback period was</w:t>
      </w:r>
      <w:r w:rsidR="00133584" w:rsidRPr="00A55E42">
        <w:rPr>
          <w:lang w:val="en-GB"/>
        </w:rPr>
        <w:t xml:space="preserve"> </w:t>
      </w:r>
      <w:r w:rsidRPr="00A55E42">
        <w:rPr>
          <w:lang w:val="en-GB"/>
        </w:rPr>
        <w:t xml:space="preserve">approximately </w:t>
      </w:r>
      <w:r w:rsidR="00C91BA2" w:rsidRPr="00A55E42">
        <w:rPr>
          <w:lang w:val="en-GB"/>
        </w:rPr>
        <w:t xml:space="preserve">four </w:t>
      </w:r>
      <w:r w:rsidRPr="00A55E42">
        <w:rPr>
          <w:lang w:val="en-GB"/>
        </w:rPr>
        <w:t>years</w:t>
      </w:r>
      <w:r w:rsidR="00C91BA2" w:rsidRPr="00A55E42">
        <w:rPr>
          <w:lang w:val="en-GB"/>
        </w:rPr>
        <w:t>,</w:t>
      </w:r>
      <w:r w:rsidRPr="00A55E42">
        <w:rPr>
          <w:lang w:val="en-GB"/>
        </w:rPr>
        <w:t xml:space="preserve"> with an average investment of €1,000 per member.</w:t>
      </w:r>
    </w:p>
    <w:p w14:paraId="10A7B10D" w14:textId="0F485D53" w:rsidR="00037275" w:rsidRPr="00A55E42" w:rsidRDefault="00C91BA2" w:rsidP="00EC09CF">
      <w:pPr>
        <w:pStyle w:val="SWCText"/>
        <w:rPr>
          <w:lang w:val="en-GB"/>
        </w:rPr>
      </w:pPr>
      <w:r w:rsidRPr="00A55E42">
        <w:rPr>
          <w:lang w:val="en-GB"/>
        </w:rPr>
        <w:t xml:space="preserve">Energy justice was also addressed through specific guidance for </w:t>
      </w:r>
      <w:r w:rsidR="00037275" w:rsidRPr="00A55E42">
        <w:rPr>
          <w:lang w:val="en-GB"/>
        </w:rPr>
        <w:t xml:space="preserve">vulnerable consumers. Informative </w:t>
      </w:r>
      <w:r w:rsidRPr="00A55E42">
        <w:rPr>
          <w:lang w:val="en-GB"/>
        </w:rPr>
        <w:t xml:space="preserve">sessions </w:t>
      </w:r>
      <w:r w:rsidR="00037275" w:rsidRPr="00A55E42">
        <w:rPr>
          <w:lang w:val="en-GB"/>
        </w:rPr>
        <w:t xml:space="preserve">included specific modules on how </w:t>
      </w:r>
      <w:r w:rsidRPr="00A55E42">
        <w:rPr>
          <w:lang w:val="en-GB"/>
        </w:rPr>
        <w:t xml:space="preserve">collective self-consumption could be combined with the </w:t>
      </w:r>
      <w:r w:rsidRPr="00A55E42">
        <w:rPr>
          <w:i/>
          <w:iCs/>
          <w:lang w:val="en-GB"/>
        </w:rPr>
        <w:t>Bono Social</w:t>
      </w:r>
      <w:r w:rsidRPr="00A55E42">
        <w:rPr>
          <w:lang w:val="en-GB"/>
        </w:rPr>
        <w:t xml:space="preserve"> electricity discount</w:t>
      </w:r>
      <w:r w:rsidR="00037275" w:rsidRPr="00A55E42">
        <w:rPr>
          <w:lang w:val="en-GB"/>
        </w:rPr>
        <w:t xml:space="preserve">. For local City Councils, the OTC provided strategies </w:t>
      </w:r>
      <w:r w:rsidRPr="00A55E42">
        <w:rPr>
          <w:lang w:val="en-GB"/>
        </w:rPr>
        <w:t>and advise on how</w:t>
      </w:r>
      <w:r w:rsidR="00037275" w:rsidRPr="00A55E42">
        <w:rPr>
          <w:lang w:val="en-GB"/>
        </w:rPr>
        <w:t xml:space="preserve"> ECs </w:t>
      </w:r>
      <w:r w:rsidRPr="00A55E42">
        <w:rPr>
          <w:lang w:val="en-GB"/>
        </w:rPr>
        <w:t xml:space="preserve">could become </w:t>
      </w:r>
      <w:r w:rsidR="00037275" w:rsidRPr="00A55E42">
        <w:rPr>
          <w:lang w:val="en-GB"/>
        </w:rPr>
        <w:t xml:space="preserve">institutional </w:t>
      </w:r>
      <w:r w:rsidRPr="00A55E42">
        <w:rPr>
          <w:lang w:val="en-GB"/>
        </w:rPr>
        <w:t xml:space="preserve">and practical </w:t>
      </w:r>
      <w:r w:rsidR="00037275" w:rsidRPr="00A55E42">
        <w:rPr>
          <w:lang w:val="en-GB"/>
        </w:rPr>
        <w:t xml:space="preserve">tools to </w:t>
      </w:r>
      <w:r w:rsidRPr="00A55E42">
        <w:rPr>
          <w:lang w:val="en-GB"/>
        </w:rPr>
        <w:t xml:space="preserve">reduce </w:t>
      </w:r>
      <w:r w:rsidR="00037275" w:rsidRPr="00A55E42">
        <w:rPr>
          <w:lang w:val="en-GB"/>
        </w:rPr>
        <w:t xml:space="preserve">energy poverty </w:t>
      </w:r>
      <w:r w:rsidR="005956AC" w:rsidRPr="00A55E42">
        <w:rPr>
          <w:lang w:val="en-GB"/>
        </w:rPr>
        <w:t xml:space="preserve">and distribute local renewable benefits more fairly </w:t>
      </w:r>
      <w:r w:rsidR="00037275" w:rsidRPr="00A55E42">
        <w:rPr>
          <w:lang w:val="en-GB"/>
        </w:rPr>
        <w:t>within their borders.</w:t>
      </w:r>
    </w:p>
    <w:p w14:paraId="0C400B54" w14:textId="736ED340" w:rsidR="00037275" w:rsidRPr="00A55E42" w:rsidRDefault="00ED255F" w:rsidP="00D92017">
      <w:pPr>
        <w:pStyle w:val="SWCHeading11"/>
      </w:pPr>
      <w:r w:rsidRPr="00A55E42">
        <w:t>5</w:t>
      </w:r>
      <w:r w:rsidR="00037275" w:rsidRPr="00A55E42">
        <w:t>.4. Social Innovation and Gender Perspective</w:t>
      </w:r>
    </w:p>
    <w:p w14:paraId="513557B6" w14:textId="426AD031" w:rsidR="00037275" w:rsidRPr="00A55E42" w:rsidRDefault="005956AC" w:rsidP="00EC09CF">
      <w:pPr>
        <w:pStyle w:val="SWCText"/>
        <w:rPr>
          <w:lang w:val="en-GB"/>
        </w:rPr>
      </w:pPr>
      <w:r w:rsidRPr="00A55E42">
        <w:rPr>
          <w:lang w:val="en-GB"/>
        </w:rPr>
        <w:t>Social innovation was addressed through a care-centred approach focused on group cohesion, governance and long-term sustainability</w:t>
      </w:r>
      <w:r w:rsidR="00037275" w:rsidRPr="00A55E42">
        <w:rPr>
          <w:lang w:val="en-GB"/>
        </w:rPr>
        <w:t>.</w:t>
      </w:r>
      <w:r w:rsidR="00EC09CF" w:rsidRPr="00A55E42">
        <w:rPr>
          <w:lang w:val="en-GB"/>
        </w:rPr>
        <w:t xml:space="preserve"> </w:t>
      </w:r>
      <w:r w:rsidRPr="00A55E42">
        <w:rPr>
          <w:lang w:val="en-GB"/>
        </w:rPr>
        <w:t xml:space="preserve">The OTC’s </w:t>
      </w:r>
      <w:r w:rsidR="00037275" w:rsidRPr="00A55E42">
        <w:rPr>
          <w:lang w:val="en-GB"/>
        </w:rPr>
        <w:t xml:space="preserve">accompaniment actions </w:t>
      </w:r>
      <w:r w:rsidRPr="00A55E42">
        <w:rPr>
          <w:lang w:val="en-GB"/>
        </w:rPr>
        <w:t xml:space="preserve">(62) </w:t>
      </w:r>
      <w:r w:rsidR="00037275" w:rsidRPr="00A55E42">
        <w:rPr>
          <w:lang w:val="en-GB"/>
        </w:rPr>
        <w:t xml:space="preserve">and social advisory sessions </w:t>
      </w:r>
      <w:r w:rsidRPr="00A55E42">
        <w:rPr>
          <w:lang w:val="en-GB"/>
        </w:rPr>
        <w:t xml:space="preserve">(35) </w:t>
      </w:r>
      <w:r w:rsidR="00037275" w:rsidRPr="00A55E42">
        <w:rPr>
          <w:lang w:val="en-GB"/>
        </w:rPr>
        <w:t>were conducted to train groups in conflict prevention</w:t>
      </w:r>
      <w:r w:rsidRPr="00A55E42">
        <w:rPr>
          <w:lang w:val="en-GB"/>
        </w:rPr>
        <w:t>, role distribution, participatory organisation</w:t>
      </w:r>
      <w:r w:rsidR="00037275" w:rsidRPr="00A55E42">
        <w:rPr>
          <w:lang w:val="en-GB"/>
        </w:rPr>
        <w:t xml:space="preserve"> and efficient </w:t>
      </w:r>
      <w:r w:rsidRPr="00A55E42">
        <w:rPr>
          <w:lang w:val="en-GB"/>
        </w:rPr>
        <w:t xml:space="preserve">shared </w:t>
      </w:r>
      <w:r w:rsidR="00037275" w:rsidRPr="00A55E42">
        <w:rPr>
          <w:lang w:val="en-GB"/>
        </w:rPr>
        <w:t>decision-making.</w:t>
      </w:r>
    </w:p>
    <w:p w14:paraId="0672B4E4" w14:textId="3C47F4B1" w:rsidR="00037275" w:rsidRPr="00A55E42" w:rsidRDefault="00EC09CF" w:rsidP="00EC09CF">
      <w:pPr>
        <w:pStyle w:val="SWCText"/>
        <w:rPr>
          <w:lang w:val="en-GB"/>
        </w:rPr>
      </w:pPr>
      <w:r w:rsidRPr="00A55E42">
        <w:rPr>
          <w:lang w:val="en-GB"/>
        </w:rPr>
        <w:t>Moreover, t</w:t>
      </w:r>
      <w:r w:rsidR="00037275" w:rsidRPr="00A55E42">
        <w:rPr>
          <w:lang w:val="en-GB"/>
        </w:rPr>
        <w:t xml:space="preserve">he OTC prioritized gender as a transversal criterion. The technical team was </w:t>
      </w:r>
      <w:r w:rsidR="005956AC" w:rsidRPr="00A55E42">
        <w:rPr>
          <w:lang w:val="en-GB"/>
        </w:rPr>
        <w:t xml:space="preserve">mainly </w:t>
      </w:r>
      <w:r w:rsidR="00037275" w:rsidRPr="00A55E42">
        <w:rPr>
          <w:lang w:val="en-GB"/>
        </w:rPr>
        <w:t xml:space="preserve">led by women, </w:t>
      </w:r>
      <w:r w:rsidR="005956AC" w:rsidRPr="00A55E42">
        <w:rPr>
          <w:lang w:val="en-GB"/>
        </w:rPr>
        <w:t xml:space="preserve">while </w:t>
      </w:r>
      <w:r w:rsidR="00037275" w:rsidRPr="00A55E42">
        <w:rPr>
          <w:lang w:val="en-GB"/>
        </w:rPr>
        <w:t xml:space="preserve">workshops </w:t>
      </w:r>
      <w:r w:rsidR="005956AC" w:rsidRPr="00A55E42">
        <w:rPr>
          <w:lang w:val="en-GB"/>
        </w:rPr>
        <w:t xml:space="preserve">formats and schedules </w:t>
      </w:r>
      <w:r w:rsidR="00037275" w:rsidRPr="00A55E42">
        <w:rPr>
          <w:lang w:val="en-GB"/>
        </w:rPr>
        <w:t xml:space="preserve">were intentionally </w:t>
      </w:r>
      <w:r w:rsidR="005956AC" w:rsidRPr="00A55E42">
        <w:rPr>
          <w:lang w:val="en-GB"/>
        </w:rPr>
        <w:t>design</w:t>
      </w:r>
      <w:r w:rsidR="001C04DE" w:rsidRPr="00A55E42">
        <w:rPr>
          <w:lang w:val="en-GB"/>
        </w:rPr>
        <w:t>ed</w:t>
      </w:r>
      <w:r w:rsidR="005956AC" w:rsidRPr="00A55E42">
        <w:rPr>
          <w:lang w:val="en-GB"/>
        </w:rPr>
        <w:t xml:space="preserve"> </w:t>
      </w:r>
      <w:r w:rsidR="001C04DE" w:rsidRPr="00A55E42">
        <w:rPr>
          <w:lang w:val="en-GB"/>
        </w:rPr>
        <w:t>to favour work-life balance</w:t>
      </w:r>
      <w:r w:rsidR="00037275" w:rsidRPr="00A55E42">
        <w:rPr>
          <w:lang w:val="en-GB"/>
        </w:rPr>
        <w:t xml:space="preserve">. In major events, such as the encounter in </w:t>
      </w:r>
      <w:r w:rsidR="00037275" w:rsidRPr="00A55E42">
        <w:rPr>
          <w:i/>
          <w:iCs/>
          <w:lang w:val="en-GB"/>
        </w:rPr>
        <w:t>Luco de Jiloca</w:t>
      </w:r>
      <w:r w:rsidR="00037275" w:rsidRPr="00A55E42">
        <w:rPr>
          <w:lang w:val="en-GB"/>
        </w:rPr>
        <w:t>, dedicated conciliation spaces were provided for participants with caregiving responsibilities.</w:t>
      </w:r>
    </w:p>
    <w:p w14:paraId="79924526" w14:textId="2968C947" w:rsidR="00037275" w:rsidRPr="00A55E42" w:rsidRDefault="00ED255F" w:rsidP="00D92017">
      <w:pPr>
        <w:pStyle w:val="SWCHeading11"/>
      </w:pPr>
      <w:r w:rsidRPr="00A55E42">
        <w:t>5</w:t>
      </w:r>
      <w:r w:rsidR="00037275" w:rsidRPr="00A55E42">
        <w:t>.5. Digital Impact and Networking</w:t>
      </w:r>
    </w:p>
    <w:p w14:paraId="06E72BC9" w14:textId="42E6C0D1" w:rsidR="00D42761" w:rsidRPr="00A55E42" w:rsidRDefault="00730FDA" w:rsidP="00037275">
      <w:pPr>
        <w:pStyle w:val="SWCText"/>
        <w:rPr>
          <w:lang w:val="en-GB"/>
        </w:rPr>
      </w:pPr>
      <w:r w:rsidRPr="00A55E42">
        <w:rPr>
          <w:lang w:val="en-GB"/>
        </w:rPr>
        <w:t>The OTC developed a communication and networking strategy to extend the impact of its activities beyond direct advisory work. This strategy combined digital dissemination with peer-to-peer exchange among emerging energy communities, reinforcing the collective dimension of the energy transition and supporting continuity after the formal OTC activity period.</w:t>
      </w:r>
      <w:r w:rsidR="00041B98" w:rsidRPr="00A55E42">
        <w:rPr>
          <w:lang w:val="en-GB"/>
        </w:rPr>
        <w:t xml:space="preserve"> </w:t>
      </w:r>
      <w:r w:rsidR="00D42761" w:rsidRPr="00A55E42">
        <w:rPr>
          <w:lang w:val="en-GB"/>
        </w:rPr>
        <w:t>To ensure the transition remains a collective effort, the OTC built a robust communication network:</w:t>
      </w:r>
    </w:p>
    <w:p w14:paraId="2143E9F7" w14:textId="1AF59E7B" w:rsidR="00037275" w:rsidRPr="00A55E42" w:rsidRDefault="00037275" w:rsidP="00730FDA">
      <w:pPr>
        <w:pStyle w:val="SWCText"/>
        <w:numPr>
          <w:ilvl w:val="0"/>
          <w:numId w:val="36"/>
        </w:numPr>
        <w:rPr>
          <w:lang w:val="en-GB"/>
        </w:rPr>
      </w:pPr>
      <w:r w:rsidRPr="00A55E42">
        <w:rPr>
          <w:lang w:val="en-GB"/>
        </w:rPr>
        <w:t xml:space="preserve">Digital </w:t>
      </w:r>
      <w:r w:rsidR="00730FDA" w:rsidRPr="00A55E42">
        <w:rPr>
          <w:lang w:val="en-GB"/>
        </w:rPr>
        <w:t>dissemination</w:t>
      </w:r>
      <w:r w:rsidRPr="00A55E42">
        <w:rPr>
          <w:lang w:val="en-GB"/>
        </w:rPr>
        <w:t xml:space="preserve">: </w:t>
      </w:r>
      <w:r w:rsidR="001C04DE" w:rsidRPr="00A55E42">
        <w:rPr>
          <w:lang w:val="en-GB"/>
        </w:rPr>
        <w:t xml:space="preserve">the </w:t>
      </w:r>
      <w:r w:rsidRPr="00A55E42">
        <w:rPr>
          <w:lang w:val="en-GB"/>
        </w:rPr>
        <w:t>project</w:t>
      </w:r>
      <w:r w:rsidR="00730FDA" w:rsidRPr="00A55E42">
        <w:rPr>
          <w:lang w:val="en-GB"/>
        </w:rPr>
        <w:t xml:space="preserve">’s digital dissemination generated more than </w:t>
      </w:r>
      <w:r w:rsidRPr="00A55E42">
        <w:rPr>
          <w:lang w:val="en-GB"/>
        </w:rPr>
        <w:t xml:space="preserve">25,000 </w:t>
      </w:r>
      <w:r w:rsidR="00730FDA" w:rsidRPr="00A55E42">
        <w:rPr>
          <w:lang w:val="en-GB"/>
        </w:rPr>
        <w:t xml:space="preserve">social media </w:t>
      </w:r>
      <w:r w:rsidRPr="00A55E42">
        <w:rPr>
          <w:lang w:val="en-GB"/>
        </w:rPr>
        <w:t xml:space="preserve">impacts, with LinkedIn </w:t>
      </w:r>
      <w:r w:rsidR="00730FDA" w:rsidRPr="00A55E42">
        <w:rPr>
          <w:lang w:val="en-GB"/>
        </w:rPr>
        <w:t xml:space="preserve">accounting for the highest visibility, reaching </w:t>
      </w:r>
      <w:r w:rsidRPr="00A55E42">
        <w:rPr>
          <w:lang w:val="en-GB"/>
        </w:rPr>
        <w:t>16,914 impacts.</w:t>
      </w:r>
    </w:p>
    <w:p w14:paraId="45735EE7" w14:textId="70B38978" w:rsidR="00037275" w:rsidRPr="00A55E42" w:rsidRDefault="00730FDA" w:rsidP="00037275">
      <w:pPr>
        <w:pStyle w:val="SWCText"/>
        <w:numPr>
          <w:ilvl w:val="0"/>
          <w:numId w:val="36"/>
        </w:numPr>
        <w:rPr>
          <w:lang w:val="en-GB"/>
        </w:rPr>
      </w:pPr>
      <w:r w:rsidRPr="00A55E42">
        <w:rPr>
          <w:lang w:val="en-GB"/>
        </w:rPr>
        <w:t xml:space="preserve">Peer-to-peer networking: </w:t>
      </w:r>
      <w:r w:rsidR="00037275" w:rsidRPr="00A55E42">
        <w:rPr>
          <w:lang w:val="en-GB"/>
        </w:rPr>
        <w:t xml:space="preserve">Following the </w:t>
      </w:r>
      <w:r w:rsidR="00037275" w:rsidRPr="00A55E42">
        <w:rPr>
          <w:i/>
          <w:iCs/>
          <w:lang w:val="en-GB"/>
        </w:rPr>
        <w:t>I Encuentro de Comunidades Energéticas de Aragón</w:t>
      </w:r>
      <w:r w:rsidR="00037275" w:rsidRPr="00A55E42">
        <w:rPr>
          <w:lang w:val="en-GB"/>
        </w:rPr>
        <w:t xml:space="preserve"> in May 2025, </w:t>
      </w:r>
      <w:r w:rsidRPr="00A55E42">
        <w:rPr>
          <w:lang w:val="en-GB"/>
        </w:rPr>
        <w:t xml:space="preserve">the OTC promoted the </w:t>
      </w:r>
      <w:r w:rsidRPr="00A55E42">
        <w:rPr>
          <w:i/>
          <w:iCs/>
          <w:lang w:val="en-GB"/>
        </w:rPr>
        <w:t>Red de #ComunidadesEnergéticas</w:t>
      </w:r>
      <w:r w:rsidRPr="00A55E42">
        <w:rPr>
          <w:lang w:val="en-GB"/>
        </w:rPr>
        <w:t xml:space="preserve"> through </w:t>
      </w:r>
      <w:r w:rsidR="00037275" w:rsidRPr="00A55E42">
        <w:rPr>
          <w:lang w:val="en-GB"/>
        </w:rPr>
        <w:t>a WhatsApp Community</w:t>
      </w:r>
      <w:r w:rsidRPr="00A55E42">
        <w:rPr>
          <w:lang w:val="en-GB"/>
        </w:rPr>
        <w:t>, involving</w:t>
      </w:r>
      <w:r w:rsidR="00037275" w:rsidRPr="00A55E42">
        <w:rPr>
          <w:lang w:val="en-GB"/>
        </w:rPr>
        <w:t xml:space="preserve"> 12 different EC projects</w:t>
      </w:r>
      <w:r w:rsidRPr="00A55E42">
        <w:rPr>
          <w:lang w:val="en-GB"/>
        </w:rPr>
        <w:t>. This network serves as a peer-to-peer support channel for</w:t>
      </w:r>
      <w:r w:rsidR="00037275" w:rsidRPr="00A55E42">
        <w:rPr>
          <w:lang w:val="en-GB"/>
        </w:rPr>
        <w:t xml:space="preserve"> shar</w:t>
      </w:r>
      <w:r w:rsidRPr="00A55E42">
        <w:rPr>
          <w:lang w:val="en-GB"/>
        </w:rPr>
        <w:t>ing</w:t>
      </w:r>
      <w:r w:rsidR="00037275" w:rsidRPr="00A55E42">
        <w:rPr>
          <w:lang w:val="en-GB"/>
        </w:rPr>
        <w:t xml:space="preserve"> technical </w:t>
      </w:r>
      <w:r w:rsidRPr="00A55E42">
        <w:rPr>
          <w:lang w:val="en-GB"/>
        </w:rPr>
        <w:t>questions</w:t>
      </w:r>
      <w:r w:rsidR="00037275" w:rsidRPr="00A55E42">
        <w:rPr>
          <w:lang w:val="en-GB"/>
        </w:rPr>
        <w:t xml:space="preserve">, </w:t>
      </w:r>
      <w:r w:rsidRPr="00A55E42">
        <w:rPr>
          <w:lang w:val="en-GB"/>
        </w:rPr>
        <w:t xml:space="preserve">regulatory updates and </w:t>
      </w:r>
      <w:r w:rsidR="00037275" w:rsidRPr="00A55E42">
        <w:rPr>
          <w:lang w:val="en-GB"/>
        </w:rPr>
        <w:t xml:space="preserve">news, </w:t>
      </w:r>
      <w:r w:rsidRPr="00A55E42">
        <w:rPr>
          <w:lang w:val="en-GB"/>
        </w:rPr>
        <w:t xml:space="preserve">practical experiences </w:t>
      </w:r>
      <w:r w:rsidR="00037275" w:rsidRPr="00A55E42">
        <w:rPr>
          <w:lang w:val="en-GB"/>
        </w:rPr>
        <w:t xml:space="preserve">and success stories, ensuring </w:t>
      </w:r>
      <w:r w:rsidR="00A273FB" w:rsidRPr="00A55E42">
        <w:rPr>
          <w:lang w:val="en-GB"/>
        </w:rPr>
        <w:t>collaboration and activities</w:t>
      </w:r>
      <w:r w:rsidR="00037275" w:rsidRPr="00A55E42">
        <w:rPr>
          <w:lang w:val="en-GB"/>
        </w:rPr>
        <w:t xml:space="preserve"> continue beyond the OTC’s funding period.</w:t>
      </w:r>
    </w:p>
    <w:p w14:paraId="03ADBDDB" w14:textId="7EA9C660" w:rsidR="00E6065B" w:rsidRPr="00A55E42" w:rsidRDefault="00ED255F" w:rsidP="002E6989">
      <w:pPr>
        <w:pStyle w:val="SWCHeading11"/>
      </w:pPr>
      <w:r w:rsidRPr="00A55E42">
        <w:t>5</w:t>
      </w:r>
      <w:r w:rsidR="00E6065B" w:rsidRPr="00A55E42">
        <w:t>.</w:t>
      </w:r>
      <w:r w:rsidR="002E6989" w:rsidRPr="00A55E42">
        <w:t>6</w:t>
      </w:r>
      <w:r w:rsidR="00E6065B" w:rsidRPr="00A55E42">
        <w:t>. Real cases</w:t>
      </w:r>
    </w:p>
    <w:p w14:paraId="6D65E85B" w14:textId="597FD6BA" w:rsidR="004779A2" w:rsidRPr="00A55E42" w:rsidRDefault="00415160" w:rsidP="00133584">
      <w:pPr>
        <w:pStyle w:val="SWCText"/>
        <w:rPr>
          <w:lang w:val="en-GB"/>
        </w:rPr>
      </w:pPr>
      <w:r w:rsidRPr="00A55E42">
        <w:rPr>
          <w:lang w:val="en-GB"/>
        </w:rPr>
        <w:t>As a result of this integrated approach, 13 energy communities were formally established</w:t>
      </w:r>
      <w:r w:rsidR="00A91250" w:rsidRPr="00A55E42">
        <w:rPr>
          <w:lang w:val="en-GB"/>
        </w:rPr>
        <w:t xml:space="preserve"> (</w:t>
      </w:r>
      <w:r w:rsidR="00851D2E" w:rsidRPr="00A55E42">
        <w:rPr>
          <w:lang w:val="en-GB"/>
        </w:rPr>
        <w:fldChar w:fldCharType="begin"/>
      </w:r>
      <w:r w:rsidR="00851D2E" w:rsidRPr="00A55E42">
        <w:rPr>
          <w:lang w:val="en-GB"/>
        </w:rPr>
        <w:instrText xml:space="preserve"> REF _Ref237271805 \h </w:instrText>
      </w:r>
      <w:r w:rsidR="00851D2E" w:rsidRPr="00A55E42">
        <w:rPr>
          <w:lang w:val="en-GB"/>
        </w:rPr>
      </w:r>
      <w:r w:rsidR="00851D2E" w:rsidRPr="00A55E42">
        <w:rPr>
          <w:lang w:val="en-GB"/>
        </w:rPr>
        <w:fldChar w:fldCharType="separate"/>
      </w:r>
      <w:r w:rsidR="006F5793" w:rsidRPr="00A55E42">
        <w:rPr>
          <w:lang w:val="en-GB"/>
        </w:rPr>
        <w:t xml:space="preserve">Fig. </w:t>
      </w:r>
      <w:r w:rsidR="006F5793">
        <w:rPr>
          <w:noProof/>
          <w:lang w:val="en-GB"/>
        </w:rPr>
        <w:t>3</w:t>
      </w:r>
      <w:r w:rsidR="00851D2E" w:rsidRPr="00A55E42">
        <w:rPr>
          <w:lang w:val="en-GB"/>
        </w:rPr>
        <w:fldChar w:fldCharType="end"/>
      </w:r>
      <w:r w:rsidR="00A91250" w:rsidRPr="00A55E42">
        <w:rPr>
          <w:lang w:val="en-GB"/>
        </w:rPr>
        <w:t>)</w:t>
      </w:r>
      <w:r w:rsidRPr="00A55E42">
        <w:rPr>
          <w:lang w:val="en-GB"/>
        </w:rPr>
        <w:t xml:space="preserve">, </w:t>
      </w:r>
      <w:r w:rsidR="000565B2" w:rsidRPr="00A55E42">
        <w:rPr>
          <w:lang w:val="en-GB"/>
        </w:rPr>
        <w:t>while</w:t>
      </w:r>
      <w:r w:rsidRPr="00A55E42">
        <w:rPr>
          <w:lang w:val="en-GB"/>
        </w:rPr>
        <w:t xml:space="preserve"> </w:t>
      </w:r>
      <w:r w:rsidR="00D92017" w:rsidRPr="00A55E42">
        <w:rPr>
          <w:lang w:val="en-GB"/>
        </w:rPr>
        <w:t>eight</w:t>
      </w:r>
      <w:r w:rsidR="004779A2" w:rsidRPr="00A55E42">
        <w:rPr>
          <w:lang w:val="en-GB"/>
        </w:rPr>
        <w:t xml:space="preserve"> additional</w:t>
      </w:r>
      <w:r w:rsidRPr="00A55E42">
        <w:rPr>
          <w:lang w:val="en-GB"/>
        </w:rPr>
        <w:t xml:space="preserve"> initiatives </w:t>
      </w:r>
      <w:r w:rsidR="004779A2" w:rsidRPr="00A55E42">
        <w:rPr>
          <w:lang w:val="en-GB"/>
        </w:rPr>
        <w:t xml:space="preserve">were completing </w:t>
      </w:r>
      <w:r w:rsidRPr="00A55E42">
        <w:rPr>
          <w:lang w:val="en-GB"/>
        </w:rPr>
        <w:t xml:space="preserve">the process of </w:t>
      </w:r>
      <w:r w:rsidR="004779A2" w:rsidRPr="00A55E42">
        <w:rPr>
          <w:lang w:val="en-GB"/>
        </w:rPr>
        <w:t xml:space="preserve">legal </w:t>
      </w:r>
      <w:r w:rsidRPr="00A55E42">
        <w:rPr>
          <w:lang w:val="en-GB"/>
        </w:rPr>
        <w:t>constitution by the end of the OTC</w:t>
      </w:r>
      <w:r w:rsidR="004779A2" w:rsidRPr="00A55E42">
        <w:rPr>
          <w:lang w:val="en-GB"/>
        </w:rPr>
        <w:t>’s</w:t>
      </w:r>
      <w:r w:rsidRPr="00A55E42">
        <w:rPr>
          <w:lang w:val="en-GB"/>
        </w:rPr>
        <w:t xml:space="preserve"> activity </w:t>
      </w:r>
      <w:r w:rsidR="000565B2" w:rsidRPr="00A55E42">
        <w:rPr>
          <w:lang w:val="en-GB"/>
        </w:rPr>
        <w:t xml:space="preserve">period, </w:t>
      </w:r>
      <w:r w:rsidRPr="00A55E42">
        <w:rPr>
          <w:lang w:val="en-GB"/>
        </w:rPr>
        <w:t xml:space="preserve">in 2025. These results </w:t>
      </w:r>
      <w:r w:rsidR="000565B2" w:rsidRPr="00A55E42">
        <w:rPr>
          <w:lang w:val="en-GB"/>
        </w:rPr>
        <w:t xml:space="preserve">demonstrate </w:t>
      </w:r>
      <w:r w:rsidRPr="00A55E42">
        <w:rPr>
          <w:lang w:val="en-GB"/>
        </w:rPr>
        <w:t xml:space="preserve">the effectiveness of </w:t>
      </w:r>
      <w:r w:rsidR="000565B2" w:rsidRPr="00A55E42">
        <w:rPr>
          <w:lang w:val="en-GB"/>
        </w:rPr>
        <w:t xml:space="preserve">territorial </w:t>
      </w:r>
      <w:r w:rsidRPr="00A55E42">
        <w:rPr>
          <w:lang w:val="en-GB"/>
        </w:rPr>
        <w:t>support mechanisms in fostering the development of ECs, especially in rural contexts.</w:t>
      </w:r>
      <w:r w:rsidR="00A07C23" w:rsidRPr="00A55E42">
        <w:rPr>
          <w:lang w:val="en-GB"/>
        </w:rPr>
        <w:t xml:space="preserve"> </w:t>
      </w:r>
      <w:r w:rsidR="004779A2" w:rsidRPr="00A55E42">
        <w:rPr>
          <w:lang w:val="en-GB"/>
        </w:rPr>
        <w:t>Two</w:t>
      </w:r>
      <w:r w:rsidR="00A07C23" w:rsidRPr="00A55E42">
        <w:rPr>
          <w:lang w:val="en-GB"/>
        </w:rPr>
        <w:t xml:space="preserve"> </w:t>
      </w:r>
      <w:r w:rsidR="004779A2" w:rsidRPr="00A55E42">
        <w:rPr>
          <w:lang w:val="en-GB"/>
        </w:rPr>
        <w:t xml:space="preserve">representative </w:t>
      </w:r>
      <w:r w:rsidR="00A07C23" w:rsidRPr="00A55E42">
        <w:rPr>
          <w:lang w:val="en-GB"/>
        </w:rPr>
        <w:t>cases are presented below</w:t>
      </w:r>
      <w:r w:rsidR="000565B2" w:rsidRPr="00A55E42">
        <w:rPr>
          <w:lang w:val="en-GB"/>
        </w:rPr>
        <w:t xml:space="preserve"> to illustrate the diversity of implementation pathways and challenges encountered.</w:t>
      </w:r>
    </w:p>
    <w:p w14:paraId="4D91D344" w14:textId="1D382D67" w:rsidR="00BB74FA" w:rsidRPr="00A55E42" w:rsidRDefault="00BB74FA" w:rsidP="00BC5E45">
      <w:pPr>
        <w:pStyle w:val="SWCText"/>
        <w:jc w:val="center"/>
        <w:rPr>
          <w:lang w:val="en-GB"/>
        </w:rPr>
      </w:pPr>
      <w:r w:rsidRPr="00A55E42">
        <w:rPr>
          <w:noProof/>
          <w:lang w:val="en-GB"/>
        </w:rPr>
        <w:lastRenderedPageBreak/>
        <w:drawing>
          <wp:inline distT="0" distB="0" distL="0" distR="0" wp14:anchorId="2B4720BF" wp14:editId="7AA553CD">
            <wp:extent cx="4445590" cy="2160000"/>
            <wp:effectExtent l="0" t="0" r="0" b="0"/>
            <wp:docPr id="20311700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45590" cy="2160000"/>
                    </a:xfrm>
                    <a:prstGeom prst="rect">
                      <a:avLst/>
                    </a:prstGeom>
                    <a:noFill/>
                  </pic:spPr>
                </pic:pic>
              </a:graphicData>
            </a:graphic>
          </wp:inline>
        </w:drawing>
      </w:r>
    </w:p>
    <w:p w14:paraId="5966DAC4" w14:textId="24DFF265" w:rsidR="00692D6F" w:rsidRPr="00A55E42" w:rsidRDefault="00BC5E45" w:rsidP="00693E7F">
      <w:pPr>
        <w:pStyle w:val="SWCTableFigureCaption"/>
        <w:rPr>
          <w:kern w:val="2"/>
          <w:szCs w:val="16"/>
          <w:lang w:val="en-GB" w:eastAsia="es-ES"/>
          <w14:ligatures w14:val="standardContextual"/>
        </w:rPr>
      </w:pPr>
      <w:bookmarkStart w:id="9" w:name="_Ref237271805"/>
      <w:r w:rsidRPr="00A55E42">
        <w:rPr>
          <w:lang w:val="en-GB"/>
        </w:rPr>
        <w:t xml:space="preserve">Fig. </w:t>
      </w:r>
      <w:r w:rsidRPr="00A55E42">
        <w:rPr>
          <w:lang w:val="en-GB"/>
        </w:rPr>
        <w:fldChar w:fldCharType="begin"/>
      </w:r>
      <w:r w:rsidRPr="00A55E42">
        <w:rPr>
          <w:lang w:val="en-GB"/>
        </w:rPr>
        <w:instrText xml:space="preserve"> SEQ Fig. \* ARABIC </w:instrText>
      </w:r>
      <w:r w:rsidRPr="00A55E42">
        <w:rPr>
          <w:lang w:val="en-GB"/>
        </w:rPr>
        <w:fldChar w:fldCharType="separate"/>
      </w:r>
      <w:r w:rsidR="00EA5366">
        <w:rPr>
          <w:noProof/>
          <w:lang w:val="en-GB"/>
        </w:rPr>
        <w:t>3</w:t>
      </w:r>
      <w:r w:rsidRPr="00A55E42">
        <w:rPr>
          <w:lang w:val="en-GB"/>
        </w:rPr>
        <w:fldChar w:fldCharType="end"/>
      </w:r>
      <w:bookmarkEnd w:id="9"/>
      <w:r w:rsidR="00693E7F" w:rsidRPr="00A55E42">
        <w:rPr>
          <w:lang w:val="en-GB"/>
        </w:rPr>
        <w:t xml:space="preserve">: Aragon </w:t>
      </w:r>
      <w:r w:rsidR="008D2525" w:rsidRPr="00A55E42">
        <w:rPr>
          <w:lang w:val="en-GB"/>
        </w:rPr>
        <w:t>map representing energy communities formally established</w:t>
      </w:r>
      <w:r w:rsidRPr="00A55E42">
        <w:rPr>
          <w:lang w:val="en-GB"/>
        </w:rPr>
        <w:t>.</w:t>
      </w:r>
    </w:p>
    <w:p w14:paraId="5885063F" w14:textId="6EC745DE" w:rsidR="00037275" w:rsidRPr="00A55E42" w:rsidRDefault="000565B2" w:rsidP="00D92017">
      <w:pPr>
        <w:pStyle w:val="SWCHeading11"/>
      </w:pPr>
      <w:r w:rsidRPr="00A55E42">
        <w:t xml:space="preserve">5.6.1 </w:t>
      </w:r>
      <w:r w:rsidR="00037275" w:rsidRPr="00A55E42">
        <w:t>Mozota</w:t>
      </w:r>
    </w:p>
    <w:p w14:paraId="10E54AB2" w14:textId="1187D93F" w:rsidR="00833CB9" w:rsidRPr="00A55E42" w:rsidRDefault="00037275" w:rsidP="00833CB9">
      <w:pPr>
        <w:pStyle w:val="SWCText"/>
        <w:rPr>
          <w:lang w:val="en-GB"/>
        </w:rPr>
      </w:pPr>
      <w:r w:rsidRPr="00A55E42">
        <w:rPr>
          <w:lang w:val="en-GB"/>
        </w:rPr>
        <w:t xml:space="preserve">The </w:t>
      </w:r>
      <w:r w:rsidRPr="00A55E42">
        <w:rPr>
          <w:i/>
          <w:iCs/>
          <w:lang w:val="en-GB"/>
        </w:rPr>
        <w:t>Mozota</w:t>
      </w:r>
      <w:r w:rsidR="009C0ABC" w:rsidRPr="00A55E42">
        <w:rPr>
          <w:lang w:val="en-GB"/>
        </w:rPr>
        <w:t xml:space="preserve"> case</w:t>
      </w:r>
      <w:r w:rsidRPr="00A55E42">
        <w:rPr>
          <w:lang w:val="en-GB"/>
        </w:rPr>
        <w:t xml:space="preserve">, </w:t>
      </w:r>
      <w:r w:rsidR="009C0ABC" w:rsidRPr="00A55E42">
        <w:rPr>
          <w:lang w:val="en-GB"/>
        </w:rPr>
        <w:t xml:space="preserve">located in </w:t>
      </w:r>
      <w:r w:rsidRPr="00A55E42">
        <w:rPr>
          <w:lang w:val="en-GB"/>
        </w:rPr>
        <w:t>a rural municipality in the province of Zaragoza, serves as a benchmark for combining technical energy projects with local cultural identity.</w:t>
      </w:r>
      <w:r w:rsidR="007C7DB2" w:rsidRPr="00A55E42">
        <w:rPr>
          <w:lang w:val="en-GB"/>
        </w:rPr>
        <w:t xml:space="preserve"> </w:t>
      </w:r>
      <w:r w:rsidRPr="00A55E42">
        <w:rPr>
          <w:lang w:val="en-GB"/>
        </w:rPr>
        <w:t xml:space="preserve">The </w:t>
      </w:r>
      <w:r w:rsidR="000565B2" w:rsidRPr="00A55E42">
        <w:rPr>
          <w:lang w:val="en-GB"/>
        </w:rPr>
        <w:t xml:space="preserve">initiative </w:t>
      </w:r>
      <w:r w:rsidRPr="00A55E42">
        <w:rPr>
          <w:lang w:val="en-GB"/>
        </w:rPr>
        <w:t xml:space="preserve">began with an informative </w:t>
      </w:r>
      <w:r w:rsidR="000565B2" w:rsidRPr="00A55E42">
        <w:rPr>
          <w:lang w:val="en-GB"/>
        </w:rPr>
        <w:t xml:space="preserve">session </w:t>
      </w:r>
      <w:r w:rsidRPr="00A55E42">
        <w:rPr>
          <w:lang w:val="en-GB"/>
        </w:rPr>
        <w:t>in February 2024, which successfully mobili</w:t>
      </w:r>
      <w:r w:rsidR="000565B2" w:rsidRPr="00A55E42">
        <w:rPr>
          <w:lang w:val="en-GB"/>
        </w:rPr>
        <w:t>s</w:t>
      </w:r>
      <w:r w:rsidRPr="00A55E42">
        <w:rPr>
          <w:lang w:val="en-GB"/>
        </w:rPr>
        <w:t xml:space="preserve">ed a local </w:t>
      </w:r>
      <w:r w:rsidR="000565B2" w:rsidRPr="00A55E42">
        <w:rPr>
          <w:lang w:val="en-GB"/>
        </w:rPr>
        <w:t>d</w:t>
      </w:r>
      <w:r w:rsidRPr="00A55E42">
        <w:rPr>
          <w:lang w:val="en-GB"/>
        </w:rPr>
        <w:t xml:space="preserve">riving </w:t>
      </w:r>
      <w:r w:rsidR="000565B2" w:rsidRPr="00A55E42">
        <w:rPr>
          <w:lang w:val="en-GB"/>
        </w:rPr>
        <w:t>g</w:t>
      </w:r>
      <w:r w:rsidRPr="00A55E42">
        <w:rPr>
          <w:lang w:val="en-GB"/>
        </w:rPr>
        <w:t>roup</w:t>
      </w:r>
      <w:r w:rsidR="00833CB9" w:rsidRPr="00A55E42">
        <w:rPr>
          <w:lang w:val="en-GB"/>
        </w:rPr>
        <w:t xml:space="preserve"> </w:t>
      </w:r>
      <w:r w:rsidR="000565B2" w:rsidRPr="00A55E42">
        <w:rPr>
          <w:lang w:val="en-GB"/>
        </w:rPr>
        <w:t>and initiated a</w:t>
      </w:r>
      <w:r w:rsidR="00833CB9" w:rsidRPr="00A55E42">
        <w:rPr>
          <w:lang w:val="en-GB"/>
        </w:rPr>
        <w:t xml:space="preserve"> two</w:t>
      </w:r>
      <w:r w:rsidR="009C0ABC" w:rsidRPr="00A55E42">
        <w:rPr>
          <w:lang w:val="en-GB"/>
        </w:rPr>
        <w:t>-</w:t>
      </w:r>
      <w:r w:rsidR="00833CB9" w:rsidRPr="00A55E42">
        <w:rPr>
          <w:lang w:val="en-GB"/>
        </w:rPr>
        <w:t>year</w:t>
      </w:r>
      <w:r w:rsidR="009C0ABC" w:rsidRPr="00A55E42">
        <w:rPr>
          <w:lang w:val="en-GB"/>
        </w:rPr>
        <w:t xml:space="preserve"> process</w:t>
      </w:r>
      <w:r w:rsidR="00833CB9" w:rsidRPr="00A55E42">
        <w:rPr>
          <w:lang w:val="en-GB"/>
        </w:rPr>
        <w:t xml:space="preserve"> </w:t>
      </w:r>
      <w:r w:rsidR="009C0ABC" w:rsidRPr="00A55E42">
        <w:rPr>
          <w:lang w:val="en-GB"/>
        </w:rPr>
        <w:t>towards</w:t>
      </w:r>
      <w:r w:rsidR="00833CB9" w:rsidRPr="00A55E42">
        <w:rPr>
          <w:lang w:val="en-GB"/>
        </w:rPr>
        <w:t xml:space="preserve"> the installation stage of its energy community project. Throughout this </w:t>
      </w:r>
      <w:r w:rsidR="009C0ABC" w:rsidRPr="00A55E42">
        <w:rPr>
          <w:lang w:val="en-GB"/>
        </w:rPr>
        <w:t>period</w:t>
      </w:r>
      <w:r w:rsidR="00833CB9" w:rsidRPr="00A55E42">
        <w:rPr>
          <w:lang w:val="en-GB"/>
        </w:rPr>
        <w:t>, the community faced significant challenges related to local administration, permit</w:t>
      </w:r>
      <w:r w:rsidR="009C0ABC" w:rsidRPr="00A55E42">
        <w:rPr>
          <w:lang w:val="en-GB"/>
        </w:rPr>
        <w:t xml:space="preserve">ting </w:t>
      </w:r>
      <w:r w:rsidR="00BB7BAC" w:rsidRPr="00A55E42">
        <w:rPr>
          <w:lang w:val="en-GB"/>
        </w:rPr>
        <w:t>delays</w:t>
      </w:r>
      <w:r w:rsidR="00833CB9" w:rsidRPr="00A55E42">
        <w:rPr>
          <w:lang w:val="en-GB"/>
        </w:rPr>
        <w:t xml:space="preserve">, and </w:t>
      </w:r>
      <w:r w:rsidR="009C0ABC" w:rsidRPr="00A55E42">
        <w:rPr>
          <w:lang w:val="en-GB"/>
        </w:rPr>
        <w:t>limited initial</w:t>
      </w:r>
      <w:r w:rsidR="00833CB9" w:rsidRPr="00A55E42">
        <w:rPr>
          <w:lang w:val="en-GB"/>
        </w:rPr>
        <w:t xml:space="preserve"> </w:t>
      </w:r>
      <w:r w:rsidR="00BB7BAC" w:rsidRPr="00A55E42">
        <w:rPr>
          <w:lang w:val="en-GB"/>
        </w:rPr>
        <w:t xml:space="preserve">knowledge </w:t>
      </w:r>
      <w:r w:rsidR="00833CB9" w:rsidRPr="00A55E42">
        <w:rPr>
          <w:lang w:val="en-GB"/>
        </w:rPr>
        <w:t>of the energy community model</w:t>
      </w:r>
      <w:r w:rsidR="009C0ABC" w:rsidRPr="00A55E42">
        <w:rPr>
          <w:lang w:val="en-GB"/>
        </w:rPr>
        <w:t>, showing that, in small municipalities</w:t>
      </w:r>
      <w:r w:rsidR="00833CB9" w:rsidRPr="00A55E42">
        <w:rPr>
          <w:lang w:val="en-GB"/>
        </w:rPr>
        <w:t>, local authorities</w:t>
      </w:r>
      <w:r w:rsidR="009C0ABC" w:rsidRPr="00A55E42">
        <w:rPr>
          <w:lang w:val="en-GB"/>
        </w:rPr>
        <w:t>, citizens</w:t>
      </w:r>
      <w:r w:rsidR="00833CB9" w:rsidRPr="00A55E42">
        <w:rPr>
          <w:lang w:val="en-GB"/>
        </w:rPr>
        <w:t xml:space="preserve"> and stakeholders initially </w:t>
      </w:r>
      <w:r w:rsidR="00BB7BAC" w:rsidRPr="00A55E42">
        <w:rPr>
          <w:lang w:val="en-GB"/>
        </w:rPr>
        <w:t>encountered some difficulties</w:t>
      </w:r>
      <w:r w:rsidR="00833CB9" w:rsidRPr="00A55E42">
        <w:rPr>
          <w:lang w:val="en-GB"/>
        </w:rPr>
        <w:t xml:space="preserve"> </w:t>
      </w:r>
      <w:r w:rsidR="00BB7BAC" w:rsidRPr="00A55E42">
        <w:rPr>
          <w:lang w:val="en-GB"/>
        </w:rPr>
        <w:t xml:space="preserve">in </w:t>
      </w:r>
      <w:r w:rsidR="00833CB9" w:rsidRPr="00A55E42">
        <w:rPr>
          <w:lang w:val="en-GB"/>
        </w:rPr>
        <w:t>understand</w:t>
      </w:r>
      <w:r w:rsidR="00BB7BAC" w:rsidRPr="00A55E42">
        <w:rPr>
          <w:lang w:val="en-GB"/>
        </w:rPr>
        <w:t>ing</w:t>
      </w:r>
      <w:r w:rsidR="00833CB9" w:rsidRPr="00A55E42">
        <w:rPr>
          <w:lang w:val="en-GB"/>
        </w:rPr>
        <w:t xml:space="preserve"> how energy communit</w:t>
      </w:r>
      <w:r w:rsidR="00BB7BAC" w:rsidRPr="00A55E42">
        <w:rPr>
          <w:lang w:val="en-GB"/>
        </w:rPr>
        <w:t>ies</w:t>
      </w:r>
      <w:r w:rsidR="00833CB9" w:rsidRPr="00A55E42">
        <w:rPr>
          <w:lang w:val="en-GB"/>
        </w:rPr>
        <w:t xml:space="preserve"> work</w:t>
      </w:r>
      <w:r w:rsidR="00BB7BAC" w:rsidRPr="00A55E42">
        <w:rPr>
          <w:lang w:val="en-GB"/>
        </w:rPr>
        <w:t xml:space="preserve"> and how to put them into practise</w:t>
      </w:r>
      <w:r w:rsidR="00833CB9" w:rsidRPr="00A55E42">
        <w:rPr>
          <w:lang w:val="en-GB"/>
        </w:rPr>
        <w:t>.</w:t>
      </w:r>
    </w:p>
    <w:p w14:paraId="476F3BC5" w14:textId="43C01C10" w:rsidR="00833CB9" w:rsidRPr="00A55E42" w:rsidRDefault="00BB7BAC" w:rsidP="00833CB9">
      <w:pPr>
        <w:pStyle w:val="SWCText"/>
        <w:rPr>
          <w:lang w:val="en-GB"/>
        </w:rPr>
      </w:pPr>
      <w:r w:rsidRPr="00A55E42">
        <w:rPr>
          <w:lang w:val="en-GB"/>
        </w:rPr>
        <w:t>Although</w:t>
      </w:r>
      <w:r w:rsidR="00833CB9" w:rsidRPr="00A55E42">
        <w:rPr>
          <w:lang w:val="en-GB"/>
        </w:rPr>
        <w:t xml:space="preserve"> the photovoltaic installation was completed</w:t>
      </w:r>
      <w:r w:rsidR="008B1ED1" w:rsidRPr="00A55E42">
        <w:rPr>
          <w:lang w:val="en-GB"/>
        </w:rPr>
        <w:t xml:space="preserve"> (</w:t>
      </w:r>
      <w:r w:rsidR="008B1ED1" w:rsidRPr="00A55E42">
        <w:rPr>
          <w:lang w:val="en-GB"/>
        </w:rPr>
        <w:fldChar w:fldCharType="begin"/>
      </w:r>
      <w:r w:rsidR="008B1ED1" w:rsidRPr="00A55E42">
        <w:rPr>
          <w:lang w:val="en-GB"/>
        </w:rPr>
        <w:instrText xml:space="preserve"> REF _Ref237272263 \h </w:instrText>
      </w:r>
      <w:r w:rsidR="008B1ED1" w:rsidRPr="00A55E42">
        <w:rPr>
          <w:lang w:val="en-GB"/>
        </w:rPr>
      </w:r>
      <w:r w:rsidR="008B1ED1" w:rsidRPr="00A55E42">
        <w:rPr>
          <w:lang w:val="en-GB"/>
        </w:rPr>
        <w:fldChar w:fldCharType="separate"/>
      </w:r>
      <w:r w:rsidR="006F5793" w:rsidRPr="00A55E42">
        <w:t xml:space="preserve">Fig. </w:t>
      </w:r>
      <w:r w:rsidR="006F5793">
        <w:rPr>
          <w:noProof/>
        </w:rPr>
        <w:t>4</w:t>
      </w:r>
      <w:r w:rsidR="008B1ED1" w:rsidRPr="00A55E42">
        <w:rPr>
          <w:lang w:val="en-GB"/>
        </w:rPr>
        <w:fldChar w:fldCharType="end"/>
      </w:r>
      <w:r w:rsidR="008B1ED1" w:rsidRPr="00A55E42">
        <w:rPr>
          <w:lang w:val="en-GB"/>
        </w:rPr>
        <w:t>)</w:t>
      </w:r>
      <w:r w:rsidR="00833CB9" w:rsidRPr="00A55E42">
        <w:rPr>
          <w:lang w:val="en-GB"/>
        </w:rPr>
        <w:t xml:space="preserve">, the </w:t>
      </w:r>
      <w:r w:rsidRPr="00A55E42">
        <w:rPr>
          <w:lang w:val="en-GB"/>
        </w:rPr>
        <w:t xml:space="preserve">community </w:t>
      </w:r>
      <w:r w:rsidR="00833CB9" w:rsidRPr="00A55E42">
        <w:rPr>
          <w:lang w:val="en-GB"/>
        </w:rPr>
        <w:t>ha</w:t>
      </w:r>
      <w:r w:rsidRPr="00A55E42">
        <w:rPr>
          <w:lang w:val="en-GB"/>
        </w:rPr>
        <w:t>d</w:t>
      </w:r>
      <w:r w:rsidR="00833CB9" w:rsidRPr="00A55E42">
        <w:rPr>
          <w:lang w:val="en-GB"/>
        </w:rPr>
        <w:t xml:space="preserve"> not been able to start operating</w:t>
      </w:r>
      <w:r w:rsidRPr="00A55E42">
        <w:rPr>
          <w:lang w:val="en-GB"/>
        </w:rPr>
        <w:t xml:space="preserve"> by the end of the analysed period,</w:t>
      </w:r>
      <w:r w:rsidR="00833CB9" w:rsidRPr="00A55E42">
        <w:rPr>
          <w:lang w:val="en-GB"/>
        </w:rPr>
        <w:t xml:space="preserve"> because </w:t>
      </w:r>
      <w:r w:rsidR="00C524A1" w:rsidRPr="00A55E42">
        <w:rPr>
          <w:lang w:val="en-GB"/>
        </w:rPr>
        <w:t xml:space="preserve">the final grid connection remained unresolved </w:t>
      </w:r>
      <w:r w:rsidR="00833CB9" w:rsidRPr="00A55E42">
        <w:rPr>
          <w:lang w:val="en-GB"/>
        </w:rPr>
        <w:t xml:space="preserve">with the distribution company. The main pending </w:t>
      </w:r>
      <w:r w:rsidR="00C524A1" w:rsidRPr="00A55E42">
        <w:rPr>
          <w:lang w:val="en-GB"/>
        </w:rPr>
        <w:t xml:space="preserve">issue concerns </w:t>
      </w:r>
      <w:r w:rsidR="00833CB9" w:rsidRPr="00A55E42">
        <w:rPr>
          <w:lang w:val="en-GB"/>
        </w:rPr>
        <w:t xml:space="preserve">the </w:t>
      </w:r>
      <w:r w:rsidR="00C524A1" w:rsidRPr="00A55E42">
        <w:rPr>
          <w:lang w:val="en-GB"/>
        </w:rPr>
        <w:t xml:space="preserve">approval </w:t>
      </w:r>
      <w:r w:rsidR="00833CB9" w:rsidRPr="00A55E42">
        <w:rPr>
          <w:lang w:val="en-GB"/>
        </w:rPr>
        <w:t>of the grid connection and evacuation point</w:t>
      </w:r>
      <w:r w:rsidR="00C524A1" w:rsidRPr="00A55E42">
        <w:rPr>
          <w:lang w:val="en-GB"/>
        </w:rPr>
        <w:t>, which illustrates the dependence of community-scale projects on external distribution procedures even after the physical installation is ready.</w:t>
      </w:r>
    </w:p>
    <w:p w14:paraId="1154DBBF" w14:textId="7E15C72C" w:rsidR="00833CB9" w:rsidRPr="00A55E42" w:rsidRDefault="00833CB9" w:rsidP="00833CB9">
      <w:pPr>
        <w:pStyle w:val="SWCText"/>
        <w:rPr>
          <w:lang w:val="en-GB"/>
        </w:rPr>
      </w:pPr>
      <w:r w:rsidRPr="00A55E42">
        <w:rPr>
          <w:lang w:val="en-GB"/>
        </w:rPr>
        <w:t xml:space="preserve">During these two years, the </w:t>
      </w:r>
      <w:r w:rsidR="00C524A1" w:rsidRPr="00A55E42">
        <w:rPr>
          <w:lang w:val="en-GB"/>
        </w:rPr>
        <w:t xml:space="preserve">driving </w:t>
      </w:r>
      <w:r w:rsidRPr="00A55E42">
        <w:rPr>
          <w:lang w:val="en-GB"/>
        </w:rPr>
        <w:t xml:space="preserve">group invested considerable effort in maintaining cohesion and motivation among its members, working intensively on dialogue, collaboration, and effective communication to </w:t>
      </w:r>
      <w:r w:rsidR="00C524A1" w:rsidRPr="00A55E42">
        <w:rPr>
          <w:lang w:val="en-GB"/>
        </w:rPr>
        <w:t xml:space="preserve">sustain participation and </w:t>
      </w:r>
      <w:r w:rsidRPr="00A55E42">
        <w:rPr>
          <w:lang w:val="en-GB"/>
        </w:rPr>
        <w:t xml:space="preserve">keep the community united despite the </w:t>
      </w:r>
      <w:r w:rsidR="00C524A1" w:rsidRPr="00A55E42">
        <w:rPr>
          <w:lang w:val="en-GB"/>
        </w:rPr>
        <w:t xml:space="preserve">administrative and technical </w:t>
      </w:r>
      <w:r w:rsidRPr="00A55E42">
        <w:rPr>
          <w:lang w:val="en-GB"/>
        </w:rPr>
        <w:t>delays.</w:t>
      </w:r>
    </w:p>
    <w:p w14:paraId="456CF3A3" w14:textId="34BAB142" w:rsidR="00037275" w:rsidRPr="00A55E42" w:rsidRDefault="00C524A1" w:rsidP="00833CB9">
      <w:pPr>
        <w:pStyle w:val="SWCText"/>
        <w:rPr>
          <w:lang w:val="en-GB"/>
        </w:rPr>
      </w:pPr>
      <w:r w:rsidRPr="00A55E42">
        <w:rPr>
          <w:lang w:val="en-GB"/>
        </w:rPr>
        <w:t xml:space="preserve">Overall, </w:t>
      </w:r>
      <w:r w:rsidRPr="00A55E42">
        <w:rPr>
          <w:i/>
          <w:iCs/>
          <w:lang w:val="en-GB"/>
        </w:rPr>
        <w:t>Mozota</w:t>
      </w:r>
      <w:r w:rsidR="00833CB9" w:rsidRPr="00A55E42">
        <w:rPr>
          <w:lang w:val="en-GB"/>
        </w:rPr>
        <w:t xml:space="preserve"> </w:t>
      </w:r>
      <w:r w:rsidRPr="00A55E42">
        <w:rPr>
          <w:lang w:val="en-GB"/>
        </w:rPr>
        <w:t xml:space="preserve">represents </w:t>
      </w:r>
      <w:r w:rsidR="00833CB9" w:rsidRPr="00A55E42">
        <w:rPr>
          <w:lang w:val="en-GB"/>
        </w:rPr>
        <w:t xml:space="preserve">a clear example of a community </w:t>
      </w:r>
      <w:r w:rsidRPr="00A55E42">
        <w:rPr>
          <w:lang w:val="en-GB"/>
        </w:rPr>
        <w:t>which needed to address</w:t>
      </w:r>
      <w:r w:rsidR="00833CB9" w:rsidRPr="00A55E42">
        <w:rPr>
          <w:lang w:val="en-GB"/>
        </w:rPr>
        <w:t xml:space="preserve"> simultaneously regulatory, technical, and organizational </w:t>
      </w:r>
      <w:r w:rsidRPr="00A55E42">
        <w:rPr>
          <w:lang w:val="en-GB"/>
        </w:rPr>
        <w:t xml:space="preserve">barriers from public administration and distribution companies </w:t>
      </w:r>
      <w:r w:rsidR="00833CB9" w:rsidRPr="00A55E42">
        <w:rPr>
          <w:lang w:val="en-GB"/>
        </w:rPr>
        <w:t>before being able to move forward.</w:t>
      </w:r>
      <w:r w:rsidRPr="00A55E42">
        <w:rPr>
          <w:rFonts w:ascii="Segoe UI" w:hAnsi="Segoe UI" w:cs="Segoe UI"/>
          <w:sz w:val="21"/>
          <w:szCs w:val="21"/>
          <w:lang w:val="en-GB" w:eastAsia="es-ES"/>
        </w:rPr>
        <w:t xml:space="preserve"> </w:t>
      </w:r>
      <w:r w:rsidRPr="00A55E42">
        <w:rPr>
          <w:szCs w:val="20"/>
          <w:lang w:val="en-GB" w:eastAsia="es-ES"/>
        </w:rPr>
        <w:t>T</w:t>
      </w:r>
      <w:r w:rsidRPr="00A55E42">
        <w:rPr>
          <w:szCs w:val="20"/>
          <w:lang w:val="en-GB"/>
        </w:rPr>
        <w:t>he case also shows that the completion of the physical installation does not necessarily imply immediate commissioning</w:t>
      </w:r>
      <w:r w:rsidRPr="00A55E42">
        <w:rPr>
          <w:lang w:val="en-GB"/>
        </w:rPr>
        <w:t>, as grid-connection procedures can remain a critical bottleneck.</w:t>
      </w:r>
    </w:p>
    <w:p w14:paraId="15E1D49E" w14:textId="5E041D9C" w:rsidR="00133584" w:rsidRPr="00A55E42" w:rsidRDefault="000E7B60" w:rsidP="008B1ED1">
      <w:pPr>
        <w:pStyle w:val="SWCText"/>
        <w:jc w:val="center"/>
        <w:rPr>
          <w:lang w:val="en-GB"/>
        </w:rPr>
      </w:pPr>
      <w:r>
        <w:rPr>
          <w:noProof/>
        </w:rPr>
        <w:drawing>
          <wp:inline distT="0" distB="0" distL="0" distR="0" wp14:anchorId="6B983120" wp14:editId="602E2078">
            <wp:extent cx="4086225" cy="2159028"/>
            <wp:effectExtent l="0" t="0" r="0" b="0"/>
            <wp:docPr id="11097836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13214" b="47168"/>
                    <a:stretch>
                      <a:fillRect/>
                    </a:stretch>
                  </pic:blipFill>
                  <pic:spPr bwMode="auto">
                    <a:xfrm>
                      <a:off x="0" y="0"/>
                      <a:ext cx="4176376" cy="2206661"/>
                    </a:xfrm>
                    <a:prstGeom prst="rect">
                      <a:avLst/>
                    </a:prstGeom>
                    <a:noFill/>
                    <a:ln>
                      <a:noFill/>
                    </a:ln>
                    <a:extLst>
                      <a:ext uri="{53640926-AAD7-44D8-BBD7-CCE9431645EC}">
                        <a14:shadowObscured xmlns:a14="http://schemas.microsoft.com/office/drawing/2010/main"/>
                      </a:ext>
                    </a:extLst>
                  </pic:spPr>
                </pic:pic>
              </a:graphicData>
            </a:graphic>
          </wp:inline>
        </w:drawing>
      </w:r>
    </w:p>
    <w:p w14:paraId="092AC888" w14:textId="1E2E7426" w:rsidR="008B1ED1" w:rsidRDefault="008B1ED1" w:rsidP="008B1ED1">
      <w:pPr>
        <w:pStyle w:val="Descripcin"/>
      </w:pPr>
      <w:bookmarkStart w:id="10" w:name="_Ref237272263"/>
      <w:r w:rsidRPr="00A55E42">
        <w:t xml:space="preserve">Fig. </w:t>
      </w:r>
      <w:r w:rsidRPr="00A55E42">
        <w:fldChar w:fldCharType="begin"/>
      </w:r>
      <w:r w:rsidRPr="00A55E42">
        <w:instrText xml:space="preserve"> SEQ Fig. \* ARABIC </w:instrText>
      </w:r>
      <w:r w:rsidRPr="00A55E42">
        <w:fldChar w:fldCharType="separate"/>
      </w:r>
      <w:r w:rsidR="00EA5366">
        <w:rPr>
          <w:noProof/>
        </w:rPr>
        <w:t>4</w:t>
      </w:r>
      <w:r w:rsidRPr="00A55E42">
        <w:fldChar w:fldCharType="end"/>
      </w:r>
      <w:bookmarkEnd w:id="10"/>
      <w:r w:rsidRPr="00A55E42">
        <w:t xml:space="preserve">: Photovoltaic system installed </w:t>
      </w:r>
      <w:r w:rsidR="005469AC" w:rsidRPr="00A55E42">
        <w:t>in</w:t>
      </w:r>
      <w:r w:rsidRPr="00A55E42">
        <w:t xml:space="preserve"> Mozota.</w:t>
      </w:r>
    </w:p>
    <w:p w14:paraId="39477B6D" w14:textId="77777777" w:rsidR="00D9081C" w:rsidRPr="00D9081C" w:rsidRDefault="00D9081C" w:rsidP="00D9081C"/>
    <w:p w14:paraId="041AB6A9" w14:textId="14EB0F59" w:rsidR="00037275" w:rsidRPr="00A55E42" w:rsidRDefault="000565B2" w:rsidP="00D92017">
      <w:pPr>
        <w:pStyle w:val="SWCHeading11"/>
      </w:pPr>
      <w:r w:rsidRPr="00A55E42">
        <w:lastRenderedPageBreak/>
        <w:t xml:space="preserve">5.6.2 </w:t>
      </w:r>
      <w:r w:rsidR="00037275" w:rsidRPr="00A55E42">
        <w:t>Peñaflor</w:t>
      </w:r>
    </w:p>
    <w:p w14:paraId="367313AE" w14:textId="0DA60280" w:rsidR="00037275" w:rsidRPr="00A55E42" w:rsidRDefault="00037275" w:rsidP="00037275">
      <w:pPr>
        <w:pStyle w:val="SWCText"/>
        <w:rPr>
          <w:lang w:val="en-GB"/>
        </w:rPr>
      </w:pPr>
      <w:r w:rsidRPr="00A55E42">
        <w:rPr>
          <w:i/>
          <w:iCs/>
          <w:lang w:val="en-GB"/>
        </w:rPr>
        <w:t>Peñaflor de Gállego</w:t>
      </w:r>
      <w:r w:rsidRPr="00A55E42">
        <w:rPr>
          <w:lang w:val="en-GB"/>
        </w:rPr>
        <w:t xml:space="preserve">, a rural </w:t>
      </w:r>
      <w:r w:rsidR="009C2B37" w:rsidRPr="00A55E42">
        <w:rPr>
          <w:lang w:val="en-GB"/>
        </w:rPr>
        <w:t>neighbourhood</w:t>
      </w:r>
      <w:r w:rsidRPr="00A55E42">
        <w:rPr>
          <w:lang w:val="en-GB"/>
        </w:rPr>
        <w:t xml:space="preserve"> of Zaragoza, </w:t>
      </w:r>
      <w:r w:rsidR="003952D8" w:rsidRPr="00A55E42">
        <w:rPr>
          <w:lang w:val="en-GB"/>
        </w:rPr>
        <w:t xml:space="preserve">provides a contrasting case in which an </w:t>
      </w:r>
      <w:r w:rsidRPr="00A55E42">
        <w:rPr>
          <w:lang w:val="en-GB"/>
        </w:rPr>
        <w:t>existing citizen association le</w:t>
      </w:r>
      <w:r w:rsidR="003952D8" w:rsidRPr="00A55E42">
        <w:rPr>
          <w:lang w:val="en-GB"/>
        </w:rPr>
        <w:t>d</w:t>
      </w:r>
      <w:r w:rsidRPr="00A55E42">
        <w:rPr>
          <w:lang w:val="en-GB"/>
        </w:rPr>
        <w:t xml:space="preserve"> the energy transition</w:t>
      </w:r>
      <w:r w:rsidR="003952D8" w:rsidRPr="00A55E42">
        <w:rPr>
          <w:lang w:val="en-GB"/>
        </w:rPr>
        <w:t xml:space="preserve"> and became the main driver of the EC project. Unlike initiatives that begin with a newly created driving group, this case shows how a pre-existing local organisation can facilitate mobilisation, trust-building and continuity in the development of a collective energy project.</w:t>
      </w:r>
    </w:p>
    <w:p w14:paraId="77C6D519" w14:textId="708DDEB7" w:rsidR="00037275" w:rsidRPr="00A55E42" w:rsidRDefault="003952D8" w:rsidP="00833CB9">
      <w:pPr>
        <w:pStyle w:val="SWCText"/>
        <w:rPr>
          <w:lang w:val="en-GB"/>
        </w:rPr>
      </w:pPr>
      <w:r w:rsidRPr="00A55E42">
        <w:rPr>
          <w:lang w:val="en-GB"/>
        </w:rPr>
        <w:t>The energy community was</w:t>
      </w:r>
      <w:r w:rsidR="00037275" w:rsidRPr="00A55E42">
        <w:rPr>
          <w:lang w:val="en-GB"/>
        </w:rPr>
        <w:t xml:space="preserve"> </w:t>
      </w:r>
      <w:r w:rsidRPr="00A55E42">
        <w:rPr>
          <w:lang w:val="en-GB"/>
        </w:rPr>
        <w:t>l</w:t>
      </w:r>
      <w:r w:rsidR="00037275" w:rsidRPr="00A55E42">
        <w:rPr>
          <w:lang w:val="en-GB"/>
        </w:rPr>
        <w:t xml:space="preserve">egally constituted in August 2024, </w:t>
      </w:r>
      <w:r w:rsidRPr="00A55E42">
        <w:rPr>
          <w:lang w:val="en-GB"/>
        </w:rPr>
        <w:t xml:space="preserve">as </w:t>
      </w:r>
      <w:r w:rsidR="00037275" w:rsidRPr="00A55E42">
        <w:rPr>
          <w:lang w:val="en-GB"/>
        </w:rPr>
        <w:t xml:space="preserve">a non-profit cooperative society of consumers and users. </w:t>
      </w:r>
      <w:r w:rsidR="000C7A08" w:rsidRPr="00A55E42">
        <w:rPr>
          <w:lang w:val="en-GB"/>
        </w:rPr>
        <w:t>At the time analysed, i</w:t>
      </w:r>
      <w:r w:rsidR="00037275" w:rsidRPr="00A55E42">
        <w:rPr>
          <w:lang w:val="en-GB"/>
        </w:rPr>
        <w:t xml:space="preserve">t </w:t>
      </w:r>
      <w:r w:rsidR="000C7A08" w:rsidRPr="00A55E42">
        <w:rPr>
          <w:lang w:val="en-GB"/>
        </w:rPr>
        <w:t xml:space="preserve">had </w:t>
      </w:r>
      <w:r w:rsidR="00D92017" w:rsidRPr="00A55E42">
        <w:rPr>
          <w:lang w:val="en-GB"/>
        </w:rPr>
        <w:t>20</w:t>
      </w:r>
      <w:r w:rsidR="00037275" w:rsidRPr="00A55E42">
        <w:rPr>
          <w:lang w:val="en-GB"/>
        </w:rPr>
        <w:t xml:space="preserve"> members, </w:t>
      </w:r>
      <w:r w:rsidR="000C7A08" w:rsidRPr="00A55E42">
        <w:rPr>
          <w:lang w:val="en-GB"/>
        </w:rPr>
        <w:t>including</w:t>
      </w:r>
      <w:r w:rsidR="00037275" w:rsidRPr="00A55E42">
        <w:rPr>
          <w:lang w:val="en-GB"/>
        </w:rPr>
        <w:t xml:space="preserve"> a very active core group of </w:t>
      </w:r>
      <w:r w:rsidR="000C7A08" w:rsidRPr="00A55E42">
        <w:rPr>
          <w:lang w:val="en-GB"/>
        </w:rPr>
        <w:t xml:space="preserve">eight </w:t>
      </w:r>
      <w:r w:rsidR="00037275" w:rsidRPr="00A55E42">
        <w:rPr>
          <w:lang w:val="en-GB"/>
        </w:rPr>
        <w:t xml:space="preserve">people </w:t>
      </w:r>
      <w:r w:rsidR="000C7A08" w:rsidRPr="00A55E42">
        <w:rPr>
          <w:lang w:val="en-GB"/>
        </w:rPr>
        <w:t xml:space="preserve">coordinating organisational tasks and </w:t>
      </w:r>
      <w:r w:rsidR="00037275" w:rsidRPr="00A55E42">
        <w:rPr>
          <w:lang w:val="en-GB"/>
        </w:rPr>
        <w:t>driving the daily operations.</w:t>
      </w:r>
    </w:p>
    <w:p w14:paraId="21EA0696" w14:textId="594E3FB4" w:rsidR="00037275" w:rsidRPr="00A55E42" w:rsidRDefault="00037275" w:rsidP="00833CB9">
      <w:pPr>
        <w:pStyle w:val="SWCText"/>
        <w:rPr>
          <w:lang w:val="en-GB"/>
        </w:rPr>
      </w:pPr>
      <w:r w:rsidRPr="00A55E42">
        <w:rPr>
          <w:lang w:val="en-GB"/>
        </w:rPr>
        <w:t xml:space="preserve">The project </w:t>
      </w:r>
      <w:r w:rsidR="000C7A08" w:rsidRPr="00A55E42">
        <w:rPr>
          <w:lang w:val="en-GB"/>
        </w:rPr>
        <w:t xml:space="preserve">illustrates </w:t>
      </w:r>
      <w:r w:rsidRPr="00A55E42">
        <w:rPr>
          <w:lang w:val="en-GB"/>
        </w:rPr>
        <w:t xml:space="preserve">a clear example of successful public-private synergy. The OTC and the Zaragoza City Council worked </w:t>
      </w:r>
      <w:r w:rsidR="000C7A08" w:rsidRPr="00A55E42">
        <w:rPr>
          <w:lang w:val="en-GB"/>
        </w:rPr>
        <w:t xml:space="preserve">together </w:t>
      </w:r>
      <w:r w:rsidRPr="00A55E42">
        <w:rPr>
          <w:lang w:val="en-GB"/>
        </w:rPr>
        <w:t>to provide information and accompaniment to this group</w:t>
      </w:r>
      <w:r w:rsidR="008B1ED1" w:rsidRPr="00A55E42">
        <w:rPr>
          <w:lang w:val="en-GB"/>
        </w:rPr>
        <w:t xml:space="preserve"> (</w:t>
      </w:r>
      <w:r w:rsidR="006F5793">
        <w:rPr>
          <w:lang w:val="en-GB"/>
        </w:rPr>
        <w:fldChar w:fldCharType="begin"/>
      </w:r>
      <w:r w:rsidR="006F5793">
        <w:rPr>
          <w:lang w:val="en-GB"/>
        </w:rPr>
        <w:instrText xml:space="preserve"> REF _Ref238466883 \h </w:instrText>
      </w:r>
      <w:r w:rsidR="006F5793">
        <w:rPr>
          <w:lang w:val="en-GB"/>
        </w:rPr>
      </w:r>
      <w:r w:rsidR="006F5793">
        <w:rPr>
          <w:lang w:val="en-GB"/>
        </w:rPr>
        <w:fldChar w:fldCharType="separate"/>
      </w:r>
      <w:r w:rsidR="006F5793">
        <w:t xml:space="preserve">Fig. </w:t>
      </w:r>
      <w:r w:rsidR="006F5793">
        <w:rPr>
          <w:noProof/>
        </w:rPr>
        <w:t>5</w:t>
      </w:r>
      <w:r w:rsidR="006F5793">
        <w:rPr>
          <w:lang w:val="en-GB"/>
        </w:rPr>
        <w:fldChar w:fldCharType="end"/>
      </w:r>
      <w:r w:rsidR="008B1ED1" w:rsidRPr="00A55E42">
        <w:rPr>
          <w:lang w:val="en-GB"/>
        </w:rPr>
        <w:t>)</w:t>
      </w:r>
      <w:r w:rsidRPr="00A55E42">
        <w:rPr>
          <w:lang w:val="en-GB"/>
        </w:rPr>
        <w:t xml:space="preserve">. </w:t>
      </w:r>
      <w:r w:rsidR="000C7A08" w:rsidRPr="00A55E42">
        <w:rPr>
          <w:lang w:val="en-GB"/>
        </w:rPr>
        <w:t>At the end of the OTC’s activity period</w:t>
      </w:r>
      <w:r w:rsidRPr="00A55E42">
        <w:rPr>
          <w:lang w:val="en-GB"/>
        </w:rPr>
        <w:t xml:space="preserve">, the community </w:t>
      </w:r>
      <w:r w:rsidR="000C7A08" w:rsidRPr="00A55E42">
        <w:rPr>
          <w:lang w:val="en-GB"/>
        </w:rPr>
        <w:t xml:space="preserve">was </w:t>
      </w:r>
      <w:r w:rsidRPr="00A55E42">
        <w:rPr>
          <w:lang w:val="en-GB"/>
        </w:rPr>
        <w:t xml:space="preserve">in the final stages of securing a </w:t>
      </w:r>
      <w:r w:rsidR="000C7A08" w:rsidRPr="00A55E42">
        <w:rPr>
          <w:lang w:val="en-GB"/>
        </w:rPr>
        <w:t xml:space="preserve">municipal </w:t>
      </w:r>
      <w:r w:rsidRPr="00A55E42">
        <w:rPr>
          <w:lang w:val="en-GB"/>
        </w:rPr>
        <w:t xml:space="preserve">roof lease to host its first solar </w:t>
      </w:r>
      <w:r w:rsidR="000C7A08" w:rsidRPr="00A55E42">
        <w:rPr>
          <w:lang w:val="en-GB"/>
        </w:rPr>
        <w:t xml:space="preserve">photovoltaic </w:t>
      </w:r>
      <w:r w:rsidRPr="00A55E42">
        <w:rPr>
          <w:lang w:val="en-GB"/>
        </w:rPr>
        <w:t>installation.</w:t>
      </w:r>
    </w:p>
    <w:p w14:paraId="7E13B83A" w14:textId="4BC2154D" w:rsidR="00EA5366" w:rsidRDefault="00EA5366" w:rsidP="00EA5366">
      <w:pPr>
        <w:pStyle w:val="SWCText"/>
        <w:jc w:val="center"/>
        <w:rPr>
          <w:lang w:val="en-GB"/>
        </w:rPr>
      </w:pPr>
      <w:r>
        <w:rPr>
          <w:noProof/>
        </w:rPr>
        <w:drawing>
          <wp:inline distT="0" distB="0" distL="0" distR="0" wp14:anchorId="79E9DC24" wp14:editId="10EE53E8">
            <wp:extent cx="3484216" cy="2160000"/>
            <wp:effectExtent l="0" t="0" r="2540" b="0"/>
            <wp:docPr id="1357468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339"/>
                    <a:stretch>
                      <a:fillRect/>
                    </a:stretch>
                  </pic:blipFill>
                  <pic:spPr bwMode="auto">
                    <a:xfrm>
                      <a:off x="0" y="0"/>
                      <a:ext cx="3484216"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2501B18A" w14:textId="638F70FC" w:rsidR="00EA5366" w:rsidRPr="00A55E42" w:rsidRDefault="00EA5366" w:rsidP="00EA5366">
      <w:pPr>
        <w:pStyle w:val="Descripcin"/>
      </w:pPr>
      <w:bookmarkStart w:id="11" w:name="_Ref238466883"/>
      <w:r>
        <w:t xml:space="preserve">Fig. </w:t>
      </w:r>
      <w:r>
        <w:fldChar w:fldCharType="begin"/>
      </w:r>
      <w:r>
        <w:instrText xml:space="preserve"> SEQ Fig. \* ARABIC </w:instrText>
      </w:r>
      <w:r>
        <w:fldChar w:fldCharType="separate"/>
      </w:r>
      <w:r>
        <w:rPr>
          <w:noProof/>
        </w:rPr>
        <w:t>5</w:t>
      </w:r>
      <w:r>
        <w:fldChar w:fldCharType="end"/>
      </w:r>
      <w:bookmarkEnd w:id="11"/>
      <w:r>
        <w:t>: Peñaflor Driving Group during a meeting.</w:t>
      </w:r>
    </w:p>
    <w:p w14:paraId="6F3B468F" w14:textId="6226D842" w:rsidR="007C0B10" w:rsidRDefault="007C0B10" w:rsidP="00833CB9">
      <w:pPr>
        <w:pStyle w:val="SWCText"/>
        <w:rPr>
          <w:lang w:val="en-GB"/>
        </w:rPr>
      </w:pPr>
      <w:r w:rsidRPr="00A55E42">
        <w:rPr>
          <w:lang w:val="en-GB"/>
        </w:rPr>
        <w:t xml:space="preserve">During this waiting period for the approval of the photovoltaic installation on the municipal building, </w:t>
      </w:r>
      <w:r w:rsidRPr="00A55E42">
        <w:rPr>
          <w:i/>
          <w:iCs/>
          <w:lang w:val="en-GB"/>
        </w:rPr>
        <w:t>Peñaflor</w:t>
      </w:r>
      <w:r w:rsidRPr="00A55E42">
        <w:rPr>
          <w:lang w:val="en-GB"/>
        </w:rPr>
        <w:t xml:space="preserve"> carried out several initiatives, including the promotion of solar energy, electrical invoice workshops, and collective biomass purchasing.</w:t>
      </w:r>
    </w:p>
    <w:p w14:paraId="2A0B6E8D" w14:textId="4053F06C" w:rsidR="00037275" w:rsidRPr="00A55E42" w:rsidRDefault="000C7A08" w:rsidP="00833CB9">
      <w:pPr>
        <w:pStyle w:val="SWCText"/>
        <w:rPr>
          <w:lang w:val="en-GB"/>
        </w:rPr>
      </w:pPr>
      <w:r w:rsidRPr="00A55E42">
        <w:rPr>
          <w:lang w:val="en-GB"/>
        </w:rPr>
        <w:t xml:space="preserve">Altogether, </w:t>
      </w:r>
      <w:r w:rsidR="00037275" w:rsidRPr="00A55E42">
        <w:rPr>
          <w:i/>
          <w:iCs/>
          <w:lang w:val="en-GB"/>
        </w:rPr>
        <w:t>Peñaflor</w:t>
      </w:r>
      <w:r w:rsidR="00037275" w:rsidRPr="00A55E42">
        <w:rPr>
          <w:lang w:val="en-GB"/>
        </w:rPr>
        <w:t xml:space="preserve"> demonstrate</w:t>
      </w:r>
      <w:r w:rsidRPr="00A55E42">
        <w:rPr>
          <w:lang w:val="en-GB"/>
        </w:rPr>
        <w:t>s</w:t>
      </w:r>
      <w:r w:rsidR="00037275" w:rsidRPr="00A55E42">
        <w:rPr>
          <w:lang w:val="en-GB"/>
        </w:rPr>
        <w:t xml:space="preserve"> how a small group initially </w:t>
      </w:r>
      <w:r w:rsidRPr="00A55E42">
        <w:rPr>
          <w:lang w:val="en-GB"/>
        </w:rPr>
        <w:t>organised around neighbourhood</w:t>
      </w:r>
      <w:r w:rsidR="00037275" w:rsidRPr="00A55E42">
        <w:rPr>
          <w:lang w:val="en-GB"/>
        </w:rPr>
        <w:t xml:space="preserve"> social issues can </w:t>
      </w:r>
      <w:r w:rsidRPr="00A55E42">
        <w:rPr>
          <w:lang w:val="en-GB"/>
        </w:rPr>
        <w:t>progressively acquire the organisational capacity required to</w:t>
      </w:r>
      <w:r w:rsidR="00037275" w:rsidRPr="00A55E42">
        <w:rPr>
          <w:lang w:val="en-GB"/>
        </w:rPr>
        <w:t xml:space="preserve"> manage complex energy projects, bridging the gap between urban and rural energy needs</w:t>
      </w:r>
      <w:r w:rsidR="00FB75E9" w:rsidRPr="00A55E42">
        <w:rPr>
          <w:lang w:val="en-GB"/>
        </w:rPr>
        <w:t xml:space="preserve"> and priorities.</w:t>
      </w:r>
    </w:p>
    <w:p w14:paraId="51CA4942" w14:textId="4DAEE942" w:rsidR="00037275" w:rsidRPr="00A55E42" w:rsidRDefault="00037275" w:rsidP="000207EF">
      <w:pPr>
        <w:pStyle w:val="SWCHeading1"/>
        <w:rPr>
          <w:color w:val="auto"/>
          <w:lang w:val="en-GB"/>
        </w:rPr>
      </w:pPr>
      <w:r w:rsidRPr="00A55E42">
        <w:rPr>
          <w:color w:val="auto"/>
          <w:lang w:val="en-GB"/>
        </w:rPr>
        <w:t>Replicator keys</w:t>
      </w:r>
    </w:p>
    <w:p w14:paraId="482876E8" w14:textId="1B1B9B76" w:rsidR="000207EF" w:rsidRPr="00A55E42" w:rsidRDefault="006A11CB" w:rsidP="000207EF">
      <w:pPr>
        <w:pStyle w:val="SWCText"/>
        <w:rPr>
          <w:lang w:val="en-GB"/>
        </w:rPr>
      </w:pPr>
      <w:r w:rsidRPr="00A55E42">
        <w:rPr>
          <w:lang w:val="en-GB"/>
        </w:rPr>
        <w:t>Based on the OTC’s activities</w:t>
      </w:r>
      <w:r w:rsidR="00751E87" w:rsidRPr="00A55E42">
        <w:rPr>
          <w:lang w:val="en-GB"/>
        </w:rPr>
        <w:t xml:space="preserve"> in Aragon and Guadalajara</w:t>
      </w:r>
      <w:r w:rsidRPr="00A55E42">
        <w:rPr>
          <w:lang w:val="en-GB"/>
        </w:rPr>
        <w:t xml:space="preserve">, several key factors </w:t>
      </w:r>
      <w:r w:rsidR="00804847" w:rsidRPr="00A55E42">
        <w:rPr>
          <w:lang w:val="en-GB"/>
        </w:rPr>
        <w:t>have been</w:t>
      </w:r>
      <w:r w:rsidRPr="00A55E42">
        <w:rPr>
          <w:lang w:val="en-GB"/>
        </w:rPr>
        <w:t xml:space="preserve"> identified for making energy community projects successful and replicable in other territories</w:t>
      </w:r>
      <w:r w:rsidR="00996FA7" w:rsidRPr="00A55E42">
        <w:rPr>
          <w:lang w:val="en-GB"/>
        </w:rPr>
        <w:t>.</w:t>
      </w:r>
      <w:r w:rsidR="000207EF" w:rsidRPr="00A55E42">
        <w:rPr>
          <w:lang w:val="en-GB"/>
        </w:rPr>
        <w:t xml:space="preserve"> These elements act as the foundational requirements that ensure the transition from a supported initiative to autonomous and sustainable </w:t>
      </w:r>
      <w:r w:rsidR="00486BFA" w:rsidRPr="00A55E42">
        <w:rPr>
          <w:lang w:val="en-GB"/>
        </w:rPr>
        <w:t>energy communities</w:t>
      </w:r>
      <w:r w:rsidR="000207EF" w:rsidRPr="00A55E42">
        <w:rPr>
          <w:lang w:val="en-GB"/>
        </w:rPr>
        <w:t>.</w:t>
      </w:r>
    </w:p>
    <w:p w14:paraId="53667753" w14:textId="77777777" w:rsidR="000207EF" w:rsidRPr="00A55E42" w:rsidRDefault="000207EF" w:rsidP="00D92017">
      <w:pPr>
        <w:pStyle w:val="SWCHeading11"/>
      </w:pPr>
      <w:r w:rsidRPr="00A55E42">
        <w:t>6.1. The Five Essential Replicator Keys</w:t>
      </w:r>
    </w:p>
    <w:p w14:paraId="056B943F" w14:textId="5515BF0D" w:rsidR="0050554E" w:rsidRPr="00A55E42" w:rsidRDefault="00751E87">
      <w:pPr>
        <w:pStyle w:val="SWCText"/>
        <w:rPr>
          <w:lang w:val="en-GB"/>
        </w:rPr>
      </w:pPr>
      <w:r w:rsidRPr="00A55E42">
        <w:rPr>
          <w:lang w:val="en-GB"/>
        </w:rPr>
        <w:t>The effective replication of the EC model depends on five core elements</w:t>
      </w:r>
      <w:r w:rsidR="00692D6F" w:rsidRPr="00A55E42">
        <w:rPr>
          <w:lang w:val="en-GB"/>
        </w:rPr>
        <w:t>:</w:t>
      </w:r>
    </w:p>
    <w:p w14:paraId="1F756B37" w14:textId="77777777" w:rsidR="000207EF" w:rsidRPr="00A55E42" w:rsidRDefault="000207EF" w:rsidP="000207EF">
      <w:pPr>
        <w:pStyle w:val="SWCText"/>
        <w:numPr>
          <w:ilvl w:val="0"/>
          <w:numId w:val="46"/>
        </w:numPr>
        <w:rPr>
          <w:lang w:val="en-GB"/>
        </w:rPr>
      </w:pPr>
      <w:r w:rsidRPr="00A55E42">
        <w:rPr>
          <w:lang w:val="en-GB"/>
        </w:rPr>
        <w:t>A Physical Location: Securing a viable rooftop or land is the technical starting point. Collaboration with local City Councils is often the most effective way to secure these spaces through roof leases.</w:t>
      </w:r>
    </w:p>
    <w:p w14:paraId="769ED33A" w14:textId="65AD67B6" w:rsidR="000207EF" w:rsidRPr="00A55E42" w:rsidRDefault="000207EF" w:rsidP="000207EF">
      <w:pPr>
        <w:pStyle w:val="SWCText"/>
        <w:numPr>
          <w:ilvl w:val="0"/>
          <w:numId w:val="46"/>
        </w:numPr>
        <w:rPr>
          <w:lang w:val="en-GB"/>
        </w:rPr>
      </w:pPr>
      <w:r w:rsidRPr="00A55E42">
        <w:rPr>
          <w:lang w:val="en-GB"/>
        </w:rPr>
        <w:t>A Motivated Driving Group: Whether led by citizens, existing association</w:t>
      </w:r>
      <w:r w:rsidR="00184F6A" w:rsidRPr="00A55E42">
        <w:rPr>
          <w:lang w:val="en-GB"/>
        </w:rPr>
        <w:t>s</w:t>
      </w:r>
      <w:r w:rsidRPr="00A55E42">
        <w:rPr>
          <w:lang w:val="en-GB"/>
        </w:rPr>
        <w:t xml:space="preserve">, or the local government, a core group of committed individuals is required to </w:t>
      </w:r>
      <w:r w:rsidR="00184F6A" w:rsidRPr="00A55E42">
        <w:rPr>
          <w:lang w:val="en-GB"/>
        </w:rPr>
        <w:t xml:space="preserve">coordinate tasks, </w:t>
      </w:r>
      <w:r w:rsidRPr="00A55E42">
        <w:rPr>
          <w:lang w:val="en-GB"/>
        </w:rPr>
        <w:t>manage daily operations</w:t>
      </w:r>
      <w:r w:rsidR="00184F6A" w:rsidRPr="00A55E42">
        <w:rPr>
          <w:lang w:val="en-GB"/>
        </w:rPr>
        <w:t>, sustain participation</w:t>
      </w:r>
      <w:r w:rsidRPr="00A55E42">
        <w:rPr>
          <w:lang w:val="en-GB"/>
        </w:rPr>
        <w:t xml:space="preserve"> and maintain </w:t>
      </w:r>
      <w:r w:rsidR="00184F6A" w:rsidRPr="00A55E42">
        <w:rPr>
          <w:lang w:val="en-GB"/>
        </w:rPr>
        <w:t xml:space="preserve">project </w:t>
      </w:r>
      <w:r w:rsidRPr="00A55E42">
        <w:rPr>
          <w:lang w:val="en-GB"/>
        </w:rPr>
        <w:t>momentum.</w:t>
      </w:r>
    </w:p>
    <w:p w14:paraId="461A4564" w14:textId="764E96C4" w:rsidR="000207EF" w:rsidRPr="00A55E42" w:rsidRDefault="000207EF" w:rsidP="000207EF">
      <w:pPr>
        <w:pStyle w:val="SWCText"/>
        <w:numPr>
          <w:ilvl w:val="0"/>
          <w:numId w:val="46"/>
        </w:numPr>
        <w:rPr>
          <w:lang w:val="en-GB"/>
        </w:rPr>
      </w:pPr>
      <w:r w:rsidRPr="00A55E42">
        <w:rPr>
          <w:lang w:val="en-GB"/>
        </w:rPr>
        <w:t xml:space="preserve">Continuous Professional Support: To prevent initiatives from feeling overwhelmed </w:t>
      </w:r>
      <w:r w:rsidR="00184F6A" w:rsidRPr="00A55E42">
        <w:rPr>
          <w:lang w:val="en-GB"/>
        </w:rPr>
        <w:t xml:space="preserve">or becoming blocked </w:t>
      </w:r>
      <w:r w:rsidRPr="00A55E42">
        <w:rPr>
          <w:lang w:val="en-GB"/>
        </w:rPr>
        <w:t>by technical</w:t>
      </w:r>
      <w:r w:rsidR="00184F6A" w:rsidRPr="00A55E42">
        <w:rPr>
          <w:lang w:val="en-GB"/>
        </w:rPr>
        <w:t>,</w:t>
      </w:r>
      <w:r w:rsidRPr="00A55E42">
        <w:rPr>
          <w:lang w:val="en-GB"/>
        </w:rPr>
        <w:t xml:space="preserve"> legal </w:t>
      </w:r>
      <w:r w:rsidR="00184F6A" w:rsidRPr="00A55E42">
        <w:rPr>
          <w:lang w:val="en-GB"/>
        </w:rPr>
        <w:t xml:space="preserve">or administrative </w:t>
      </w:r>
      <w:r w:rsidRPr="00A55E42">
        <w:rPr>
          <w:lang w:val="en-GB"/>
        </w:rPr>
        <w:t>hurdles, access to a one-stop-shop</w:t>
      </w:r>
      <w:r w:rsidR="00184F6A" w:rsidRPr="00A55E42">
        <w:rPr>
          <w:lang w:val="en-GB"/>
        </w:rPr>
        <w:t xml:space="preserve"> </w:t>
      </w:r>
      <w:r w:rsidRPr="00A55E42">
        <w:rPr>
          <w:lang w:val="en-GB"/>
        </w:rPr>
        <w:t>advisor</w:t>
      </w:r>
      <w:r w:rsidR="00184F6A" w:rsidRPr="00A55E42">
        <w:rPr>
          <w:lang w:val="en-GB"/>
        </w:rPr>
        <w:t xml:space="preserve">y model such as </w:t>
      </w:r>
      <w:r w:rsidRPr="00A55E42">
        <w:rPr>
          <w:lang w:val="en-GB"/>
        </w:rPr>
        <w:t xml:space="preserve">the OTC is </w:t>
      </w:r>
      <w:r w:rsidR="00184F6A" w:rsidRPr="00A55E42">
        <w:rPr>
          <w:lang w:val="en-GB"/>
        </w:rPr>
        <w:t xml:space="preserve">particularly relevant </w:t>
      </w:r>
      <w:r w:rsidRPr="00A55E42">
        <w:rPr>
          <w:lang w:val="en-GB"/>
        </w:rPr>
        <w:t>during the first 12</w:t>
      </w:r>
      <w:r w:rsidR="008D2525" w:rsidRPr="00A55E42">
        <w:rPr>
          <w:lang w:val="en-GB"/>
        </w:rPr>
        <w:t xml:space="preserve"> to </w:t>
      </w:r>
      <w:r w:rsidRPr="00A55E42">
        <w:rPr>
          <w:lang w:val="en-GB"/>
        </w:rPr>
        <w:t>18 months.</w:t>
      </w:r>
    </w:p>
    <w:p w14:paraId="78E4E7C3" w14:textId="6CE6DFDC" w:rsidR="000207EF" w:rsidRPr="00A55E42" w:rsidRDefault="00184F6A" w:rsidP="000207EF">
      <w:pPr>
        <w:pStyle w:val="SWCText"/>
        <w:numPr>
          <w:ilvl w:val="0"/>
          <w:numId w:val="46"/>
        </w:numPr>
        <w:rPr>
          <w:lang w:val="en-GB"/>
        </w:rPr>
      </w:pPr>
      <w:r w:rsidRPr="00A55E42">
        <w:rPr>
          <w:lang w:val="en-GB"/>
        </w:rPr>
        <w:lastRenderedPageBreak/>
        <w:t xml:space="preserve">Continuous Local </w:t>
      </w:r>
      <w:r w:rsidR="000207EF" w:rsidRPr="00A55E42">
        <w:rPr>
          <w:lang w:val="en-GB"/>
        </w:rPr>
        <w:t xml:space="preserve">Communication: </w:t>
      </w:r>
      <w:r w:rsidRPr="00A55E42">
        <w:rPr>
          <w:lang w:val="en-GB"/>
        </w:rPr>
        <w:t>The EC model</w:t>
      </w:r>
      <w:r w:rsidR="000207EF" w:rsidRPr="00A55E42">
        <w:rPr>
          <w:lang w:val="en-GB"/>
        </w:rPr>
        <w:t xml:space="preserve"> must be explained </w:t>
      </w:r>
      <w:r w:rsidRPr="00A55E42">
        <w:rPr>
          <w:lang w:val="en-GB"/>
        </w:rPr>
        <w:t>repeatedly and in accessible terms</w:t>
      </w:r>
      <w:r w:rsidR="000207EF" w:rsidRPr="00A55E42">
        <w:rPr>
          <w:lang w:val="en-GB"/>
        </w:rPr>
        <w:t xml:space="preserve"> to build trust within the community. Success depends on overcoming </w:t>
      </w:r>
      <w:r w:rsidRPr="00A55E42">
        <w:rPr>
          <w:lang w:val="en-GB"/>
        </w:rPr>
        <w:t>scepticism</w:t>
      </w:r>
      <w:r w:rsidR="000207EF" w:rsidRPr="00A55E42">
        <w:rPr>
          <w:lang w:val="en-GB"/>
        </w:rPr>
        <w:t xml:space="preserve"> through constant local dissemination</w:t>
      </w:r>
      <w:r w:rsidRPr="00A55E42">
        <w:rPr>
          <w:lang w:val="en-GB"/>
        </w:rPr>
        <w:t>,</w:t>
      </w:r>
      <w:r w:rsidR="000207EF" w:rsidRPr="00A55E42">
        <w:rPr>
          <w:lang w:val="en-GB"/>
        </w:rPr>
        <w:t xml:space="preserve"> informative </w:t>
      </w:r>
      <w:r w:rsidRPr="00A55E42">
        <w:rPr>
          <w:lang w:val="en-GB"/>
        </w:rPr>
        <w:t>sessions and direct dialogue with citizens and stakeholders</w:t>
      </w:r>
      <w:r w:rsidR="000207EF" w:rsidRPr="00A55E42">
        <w:rPr>
          <w:lang w:val="en-GB"/>
        </w:rPr>
        <w:t>.</w:t>
      </w:r>
    </w:p>
    <w:p w14:paraId="009C2D43" w14:textId="51453D77" w:rsidR="000207EF" w:rsidRPr="00A55E42" w:rsidRDefault="000207EF" w:rsidP="000207EF">
      <w:pPr>
        <w:pStyle w:val="SWCText"/>
        <w:numPr>
          <w:ilvl w:val="0"/>
          <w:numId w:val="46"/>
        </w:numPr>
        <w:rPr>
          <w:lang w:val="en-GB"/>
        </w:rPr>
      </w:pPr>
      <w:r w:rsidRPr="00A55E42">
        <w:rPr>
          <w:lang w:val="en-GB"/>
        </w:rPr>
        <w:t>Networking: Replicability is enhanced when communities do not operate in isolation. Connecting with other energy communities allows for peer-to-peer learning</w:t>
      </w:r>
      <w:r w:rsidR="00184F6A" w:rsidRPr="00A55E42">
        <w:rPr>
          <w:lang w:val="en-GB"/>
        </w:rPr>
        <w:t>, exchange</w:t>
      </w:r>
      <w:r w:rsidRPr="00A55E42">
        <w:rPr>
          <w:lang w:val="en-GB"/>
        </w:rPr>
        <w:t xml:space="preserve"> of</w:t>
      </w:r>
      <w:r w:rsidR="00184F6A" w:rsidRPr="00A55E42">
        <w:rPr>
          <w:lang w:val="en-GB"/>
        </w:rPr>
        <w:t xml:space="preserve"> practical and</w:t>
      </w:r>
      <w:r w:rsidRPr="00A55E42">
        <w:rPr>
          <w:lang w:val="en-GB"/>
        </w:rPr>
        <w:t xml:space="preserve"> technical solutions</w:t>
      </w:r>
      <w:r w:rsidR="00184F6A" w:rsidRPr="00A55E42">
        <w:rPr>
          <w:lang w:val="en-GB"/>
        </w:rPr>
        <w:t>, and collective problem-solving.</w:t>
      </w:r>
    </w:p>
    <w:p w14:paraId="02811BEA" w14:textId="2CEDBDB6" w:rsidR="000207EF" w:rsidRPr="00A55E42" w:rsidRDefault="000207EF" w:rsidP="00D92017">
      <w:pPr>
        <w:pStyle w:val="SWCHeading11"/>
      </w:pPr>
      <w:r w:rsidRPr="00A55E42">
        <w:t xml:space="preserve">6.2. Institutionalizing Replicability: </w:t>
      </w:r>
      <w:r w:rsidR="00751E87" w:rsidRPr="00A55E42">
        <w:t>t</w:t>
      </w:r>
      <w:r w:rsidRPr="00A55E42">
        <w:t xml:space="preserve">ools for </w:t>
      </w:r>
      <w:r w:rsidR="00751E87" w:rsidRPr="00A55E42">
        <w:t>a</w:t>
      </w:r>
      <w:r w:rsidRPr="00A55E42">
        <w:t>utonomy</w:t>
      </w:r>
    </w:p>
    <w:p w14:paraId="2E1898CE" w14:textId="7DB8367C" w:rsidR="000207EF" w:rsidRPr="00A55E42" w:rsidRDefault="000207EF" w:rsidP="000207EF">
      <w:pPr>
        <w:pStyle w:val="SWCText"/>
        <w:rPr>
          <w:lang w:val="en-GB"/>
        </w:rPr>
      </w:pPr>
      <w:r w:rsidRPr="00A55E42">
        <w:rPr>
          <w:lang w:val="en-GB"/>
        </w:rPr>
        <w:t xml:space="preserve">To ensure </w:t>
      </w:r>
      <w:r w:rsidR="000C3C58" w:rsidRPr="00A55E42">
        <w:rPr>
          <w:lang w:val="en-GB"/>
        </w:rPr>
        <w:t xml:space="preserve">that the replicator </w:t>
      </w:r>
      <w:r w:rsidRPr="00A55E42">
        <w:rPr>
          <w:lang w:val="en-GB"/>
        </w:rPr>
        <w:t>keys remain active after the OTC’s direct intervention, three institutional tools</w:t>
      </w:r>
      <w:r w:rsidR="000C3C58" w:rsidRPr="00A55E42">
        <w:rPr>
          <w:lang w:val="en-GB"/>
        </w:rPr>
        <w:t xml:space="preserve"> were developed to support the autonomy of emerging energy communities and renewable energy initiatives</w:t>
      </w:r>
      <w:r w:rsidRPr="00A55E42">
        <w:rPr>
          <w:lang w:val="en-GB"/>
        </w:rPr>
        <w:t>:</w:t>
      </w:r>
    </w:p>
    <w:p w14:paraId="00AAF00A" w14:textId="50D7208F" w:rsidR="000207EF" w:rsidRPr="00A55E42" w:rsidRDefault="000207EF" w:rsidP="006227DF">
      <w:pPr>
        <w:pStyle w:val="SWCText"/>
        <w:numPr>
          <w:ilvl w:val="0"/>
          <w:numId w:val="47"/>
        </w:numPr>
        <w:rPr>
          <w:lang w:val="en-GB"/>
        </w:rPr>
      </w:pPr>
      <w:r w:rsidRPr="00A55E42">
        <w:rPr>
          <w:lang w:val="en-GB"/>
        </w:rPr>
        <w:t xml:space="preserve">Empowerment through Training: Driving Groups participated in workshops where they acquired practical skills in governance, group care, and efficient decision-making </w:t>
      </w:r>
      <w:r w:rsidR="000C3C58" w:rsidRPr="00A55E42">
        <w:rPr>
          <w:lang w:val="en-GB"/>
        </w:rPr>
        <w:t>including the distinction between consensus and consent.</w:t>
      </w:r>
      <w:r w:rsidRPr="00A55E42">
        <w:rPr>
          <w:lang w:val="en-GB"/>
        </w:rPr>
        <w:t xml:space="preserve"> </w:t>
      </w:r>
      <w:r w:rsidR="000C3C58" w:rsidRPr="00A55E42">
        <w:rPr>
          <w:lang w:val="en-GB"/>
        </w:rPr>
        <w:t>These activities aimed to strengthen autonomy, internal capacities and reduce dependence on external support.</w:t>
      </w:r>
    </w:p>
    <w:p w14:paraId="38C7689E" w14:textId="3E3C181A" w:rsidR="000207EF" w:rsidRPr="00A55E42" w:rsidRDefault="000207EF" w:rsidP="00E61116">
      <w:pPr>
        <w:pStyle w:val="SWCText"/>
        <w:numPr>
          <w:ilvl w:val="0"/>
          <w:numId w:val="47"/>
        </w:numPr>
        <w:rPr>
          <w:lang w:val="en-GB"/>
        </w:rPr>
      </w:pPr>
      <w:r w:rsidRPr="00A55E42">
        <w:rPr>
          <w:lang w:val="en-GB"/>
        </w:rPr>
        <w:t>Practical Roadmap Guide: A final "Next Steps" guide was delivered to all consolidated groups</w:t>
      </w:r>
      <w:r w:rsidR="00E61116" w:rsidRPr="00A55E42">
        <w:rPr>
          <w:lang w:val="en-GB"/>
        </w:rPr>
        <w:t xml:space="preserve"> as a practical resource for </w:t>
      </w:r>
      <w:r w:rsidR="00D92017" w:rsidRPr="00A55E42">
        <w:rPr>
          <w:lang w:val="en-GB"/>
        </w:rPr>
        <w:t>addressing future</w:t>
      </w:r>
      <w:r w:rsidRPr="00A55E42">
        <w:rPr>
          <w:lang w:val="en-GB"/>
        </w:rPr>
        <w:t xml:space="preserve"> </w:t>
      </w:r>
      <w:r w:rsidR="00E61116" w:rsidRPr="00A55E42">
        <w:rPr>
          <w:lang w:val="en-GB"/>
        </w:rPr>
        <w:t xml:space="preserve">challenges </w:t>
      </w:r>
      <w:r w:rsidRPr="00A55E42">
        <w:rPr>
          <w:lang w:val="en-GB"/>
        </w:rPr>
        <w:t xml:space="preserve">and navigating the operational phase </w:t>
      </w:r>
      <w:r w:rsidR="00E61116" w:rsidRPr="00A55E42">
        <w:rPr>
          <w:lang w:val="en-GB"/>
        </w:rPr>
        <w:t>with greater autonomy</w:t>
      </w:r>
      <w:r w:rsidRPr="00A55E42">
        <w:rPr>
          <w:lang w:val="en-GB"/>
        </w:rPr>
        <w:t>.</w:t>
      </w:r>
    </w:p>
    <w:p w14:paraId="55054157" w14:textId="3FFBFCF9" w:rsidR="000207EF" w:rsidRPr="00A55E42" w:rsidRDefault="000207EF" w:rsidP="000207EF">
      <w:pPr>
        <w:pStyle w:val="SWCText"/>
        <w:numPr>
          <w:ilvl w:val="0"/>
          <w:numId w:val="47"/>
        </w:numPr>
        <w:rPr>
          <w:lang w:val="en-GB"/>
        </w:rPr>
      </w:pPr>
      <w:r w:rsidRPr="00A55E42">
        <w:rPr>
          <w:lang w:val="en-GB"/>
        </w:rPr>
        <w:t xml:space="preserve">The Peer-to-Peer Network: By establishing the </w:t>
      </w:r>
      <w:r w:rsidRPr="00A55E42">
        <w:rPr>
          <w:i/>
          <w:iCs/>
          <w:lang w:val="en-GB"/>
        </w:rPr>
        <w:t>Red de #ComunidadesEnergéticas</w:t>
      </w:r>
      <w:r w:rsidRPr="00A55E42">
        <w:rPr>
          <w:lang w:val="en-GB"/>
        </w:rPr>
        <w:t xml:space="preserve"> WhatsApp</w:t>
      </w:r>
      <w:r w:rsidR="00E61116" w:rsidRPr="00A55E42">
        <w:rPr>
          <w:lang w:val="en-GB"/>
        </w:rPr>
        <w:t xml:space="preserve"> Community</w:t>
      </w:r>
      <w:r w:rsidRPr="00A55E42">
        <w:rPr>
          <w:lang w:val="en-GB"/>
        </w:rPr>
        <w:t xml:space="preserve">, the OTC </w:t>
      </w:r>
      <w:r w:rsidR="00E61116" w:rsidRPr="00A55E42">
        <w:rPr>
          <w:lang w:val="en-GB"/>
        </w:rPr>
        <w:t xml:space="preserve">promoted </w:t>
      </w:r>
      <w:r w:rsidRPr="00A55E42">
        <w:rPr>
          <w:lang w:val="en-GB"/>
        </w:rPr>
        <w:t>a self-sustaining ecosystem where</w:t>
      </w:r>
      <w:r w:rsidR="00E61116" w:rsidRPr="00A55E42">
        <w:rPr>
          <w:lang w:val="en-GB"/>
        </w:rPr>
        <w:t xml:space="preserve"> now more than 12</w:t>
      </w:r>
      <w:r w:rsidRPr="00A55E42">
        <w:rPr>
          <w:lang w:val="en-GB"/>
        </w:rPr>
        <w:t xml:space="preserve"> projects</w:t>
      </w:r>
      <w:r w:rsidR="00E61116" w:rsidRPr="00A55E42">
        <w:rPr>
          <w:lang w:val="en-GB"/>
        </w:rPr>
        <w:t xml:space="preserve"> can </w:t>
      </w:r>
      <w:r w:rsidRPr="00A55E42">
        <w:rPr>
          <w:lang w:val="en-GB"/>
        </w:rPr>
        <w:t xml:space="preserve">resolve doubts and share </w:t>
      </w:r>
      <w:r w:rsidR="00E61116" w:rsidRPr="00A55E42">
        <w:rPr>
          <w:lang w:val="en-GB"/>
        </w:rPr>
        <w:t xml:space="preserve">updates and experiences </w:t>
      </w:r>
      <w:r w:rsidRPr="00A55E42">
        <w:rPr>
          <w:lang w:val="en-GB"/>
        </w:rPr>
        <w:t>collectively.</w:t>
      </w:r>
    </w:p>
    <w:p w14:paraId="3DDDAADE" w14:textId="60B5874F" w:rsidR="00E6065B" w:rsidRPr="00A55E42" w:rsidRDefault="00E6065B" w:rsidP="00E6065B">
      <w:pPr>
        <w:pStyle w:val="SWCHeading1"/>
        <w:rPr>
          <w:color w:val="auto"/>
          <w:lang w:val="en-GB"/>
        </w:rPr>
      </w:pPr>
      <w:r w:rsidRPr="00A55E42">
        <w:rPr>
          <w:color w:val="auto"/>
          <w:lang w:val="en-GB"/>
        </w:rPr>
        <w:t>Conclusions</w:t>
      </w:r>
    </w:p>
    <w:p w14:paraId="7DCFD602" w14:textId="03958B28" w:rsidR="006F1F38" w:rsidRPr="00A55E42" w:rsidRDefault="006F1F38" w:rsidP="006F1F38">
      <w:pPr>
        <w:pStyle w:val="SWCText"/>
        <w:rPr>
          <w:lang w:val="en-GB"/>
        </w:rPr>
      </w:pPr>
      <w:r w:rsidRPr="00A55E42">
        <w:rPr>
          <w:lang w:val="en-GB"/>
        </w:rPr>
        <w:t>The OTC shows that territorial one-stop-shop support mechanisms can accelerate the development of citizen-led energy communities by combining technical, legal, administrative, economic and social advisory services. This integrated approach helped emerging initiatives move from initial mobilisation to legal constitution and early implementation.</w:t>
      </w:r>
    </w:p>
    <w:p w14:paraId="2951F37A" w14:textId="77777777" w:rsidR="006F1F38" w:rsidRPr="00A55E42" w:rsidRDefault="006F1F38" w:rsidP="006F1F38">
      <w:pPr>
        <w:pStyle w:val="SWCText"/>
        <w:rPr>
          <w:lang w:val="en-GB"/>
        </w:rPr>
      </w:pPr>
      <w:r w:rsidRPr="00A55E42">
        <w:rPr>
          <w:lang w:val="en-GB"/>
        </w:rPr>
        <w:t>The results confirm the relevance of this model: the OTC achieved a 206% execution rate in dissemination activities, delivered 316 advisory sessions and supported the consolidation of 21 groups, including 13 formally established energy communities. These outcomes indicate that structured accompaniment can reduce uncertainty and strengthen the capacity of local actors, particularly in rural and depopulated territories.</w:t>
      </w:r>
    </w:p>
    <w:p w14:paraId="47F666C3" w14:textId="77777777" w:rsidR="006F1F38" w:rsidRPr="00A55E42" w:rsidRDefault="006F1F38" w:rsidP="006F1F38">
      <w:pPr>
        <w:pStyle w:val="SWCText"/>
        <w:rPr>
          <w:lang w:val="en-GB"/>
        </w:rPr>
      </w:pPr>
      <w:r w:rsidRPr="00A55E42">
        <w:rPr>
          <w:lang w:val="en-GB"/>
        </w:rPr>
        <w:t>The experience also shows that technical feasibility alone is not sufficient. Social cohesion, local communication, governance capacity and institutional coordination are critical for project continuity. At the same time, administrative complexity and grid-connection delays remain important barriers that can prevent completed installations from becoming operational.</w:t>
      </w:r>
    </w:p>
    <w:p w14:paraId="10F845FB" w14:textId="77777777" w:rsidR="00751E87" w:rsidRPr="00A55E42" w:rsidRDefault="00751E87">
      <w:pPr>
        <w:pStyle w:val="SWCText"/>
        <w:rPr>
          <w:kern w:val="2"/>
          <w:szCs w:val="20"/>
          <w:lang w:val="en-GB" w:eastAsia="es-ES"/>
          <w14:ligatures w14:val="standardContextual"/>
        </w:rPr>
      </w:pPr>
      <w:r w:rsidRPr="00A55E42">
        <w:rPr>
          <w:lang w:val="en-GB"/>
        </w:rPr>
        <w:t>The analysis also identifies five practical conditions for replication: access to a suitable physical location, the existence of a motivated driving group, continuous professional support, sustained local communication and peer-to-peer networking. These elements are essential to help communities move from externally supported initiatives towards more autonomous and resilient organisations.</w:t>
      </w:r>
    </w:p>
    <w:p w14:paraId="2401F379" w14:textId="77777777" w:rsidR="0050554E" w:rsidRPr="00A55E42" w:rsidRDefault="00D466DB">
      <w:pPr>
        <w:pStyle w:val="SWCText"/>
        <w:rPr>
          <w:lang w:val="en-GB"/>
        </w:rPr>
      </w:pPr>
      <w:r w:rsidRPr="00A55E42">
        <w:rPr>
          <w:lang w:val="en-GB"/>
        </w:rPr>
        <w:t>Overall, the OTC model offers a transferable approach for other European regions facing similar challenges of depopulation, energy poverty and collective renewable energy deployment.</w:t>
      </w:r>
      <w:r w:rsidR="00B8671F" w:rsidRPr="00A55E42">
        <w:rPr>
          <w:lang w:val="en-GB"/>
        </w:rPr>
        <w:t xml:space="preserve"> Its added value lies not only in accelerating project development, but also in building local capacities, strengthening community governance and creating support networks that can sustain energy community initiatives beyond the period of direct institutional assistance.</w:t>
      </w:r>
    </w:p>
    <w:p w14:paraId="0090E53B" w14:textId="225A493A" w:rsidR="00040C5E" w:rsidRPr="00A55E42" w:rsidRDefault="00A602EC" w:rsidP="00A6541F">
      <w:pPr>
        <w:pStyle w:val="SWCHeading1"/>
        <w:rPr>
          <w:lang w:val="en-GB"/>
        </w:rPr>
      </w:pPr>
      <w:r w:rsidRPr="00A55E42">
        <w:rPr>
          <w:lang w:val="en-GB"/>
        </w:rPr>
        <w:t>References</w:t>
      </w:r>
    </w:p>
    <w:p w14:paraId="33F101B9" w14:textId="77777777" w:rsidR="0050554E" w:rsidRPr="00A55E42" w:rsidRDefault="0050554E">
      <w:pPr>
        <w:pStyle w:val="swcreferences0"/>
        <w:rPr>
          <w:sz w:val="20"/>
          <w:szCs w:val="20"/>
          <w:lang w:val="en-GB"/>
        </w:rPr>
      </w:pPr>
      <w:r w:rsidRPr="006C2B07">
        <w:rPr>
          <w:sz w:val="20"/>
          <w:szCs w:val="20"/>
        </w:rPr>
        <w:t xml:space="preserve">Alonso, M.P., Gargallo, P., Lample, L., López-Escolano, C., Miguel, J.A., Salvador, M., 2024. </w:t>
      </w:r>
      <w:r w:rsidRPr="00A55E42">
        <w:rPr>
          <w:sz w:val="20"/>
          <w:szCs w:val="20"/>
          <w:lang w:val="en-GB"/>
        </w:rPr>
        <w:t>Measuring the relationship between territorial exclusion and depopulation – A municipal classification proposal to guide territorial balance. Journal of Rural Studies. 111, 103421. https://doi.org/10.1016/j.jrurstud.2024.103421</w:t>
      </w:r>
    </w:p>
    <w:p w14:paraId="6A584A48" w14:textId="77777777" w:rsidR="0050554E" w:rsidRPr="006C2B07" w:rsidRDefault="0050554E">
      <w:pPr>
        <w:pStyle w:val="swcreferences0"/>
        <w:rPr>
          <w:sz w:val="20"/>
          <w:szCs w:val="20"/>
        </w:rPr>
      </w:pPr>
      <w:r w:rsidRPr="00A55E42">
        <w:rPr>
          <w:sz w:val="20"/>
          <w:szCs w:val="20"/>
          <w:lang w:val="en-GB"/>
        </w:rPr>
        <w:lastRenderedPageBreak/>
        <w:t xml:space="preserve">ECODES / Energía Común, 2025. </w:t>
      </w:r>
      <w:r w:rsidRPr="006C2B07">
        <w:rPr>
          <w:sz w:val="20"/>
          <w:szCs w:val="20"/>
        </w:rPr>
        <w:t>Observatorio Energía Común. Informe de indicadores 2025. Fundación Ecología y Desarrollo. Available at: https://ecodes.org/images/que-hacemos/03.Energia_y_personas/Comunidades_Energ%C3%A9ticas/Energia_comun/Informe_indicadores_energia_comun_2025.pdf (accessed 10 August 2026).</w:t>
      </w:r>
    </w:p>
    <w:p w14:paraId="75DA0346" w14:textId="77777777" w:rsidR="0050554E" w:rsidRPr="00A55E42" w:rsidRDefault="0050554E">
      <w:pPr>
        <w:pStyle w:val="swcreferences0"/>
        <w:rPr>
          <w:sz w:val="20"/>
          <w:szCs w:val="20"/>
          <w:lang w:val="en-GB"/>
        </w:rPr>
      </w:pPr>
      <w:r w:rsidRPr="00A55E42">
        <w:rPr>
          <w:sz w:val="20"/>
          <w:szCs w:val="20"/>
          <w:lang w:val="en-GB"/>
        </w:rPr>
        <w:t>European Commission, 2024. Energy Communities Repository products. Directorate-General for Energy. Available at: https://energy.ec.europa.eu/topics/markets-and-consumers/energy-consumers-and-prosumers/energy-communities/energy-communities-repository-products_en (accessed 10 August 2026).</w:t>
      </w:r>
    </w:p>
    <w:p w14:paraId="6734D116" w14:textId="77777777" w:rsidR="0050554E" w:rsidRPr="00A55E42" w:rsidRDefault="0050554E">
      <w:pPr>
        <w:pStyle w:val="swcreferences0"/>
        <w:rPr>
          <w:sz w:val="20"/>
          <w:szCs w:val="20"/>
          <w:lang w:val="en-GB"/>
        </w:rPr>
      </w:pPr>
      <w:r w:rsidRPr="00A55E42">
        <w:rPr>
          <w:sz w:val="20"/>
          <w:szCs w:val="20"/>
          <w:lang w:val="en-GB"/>
        </w:rPr>
        <w:t>European Commission, 2026. Energy communities. Directorate-General for Energy. Available at: https://energy.ec.europa.eu/topics/markets-and-consumers/energy-consumers-and-prosumers/energy-communities_en (accessed 10 August 2026).</w:t>
      </w:r>
    </w:p>
    <w:p w14:paraId="5C555A33" w14:textId="77777777" w:rsidR="0050554E" w:rsidRPr="00A55E42" w:rsidRDefault="0050554E">
      <w:pPr>
        <w:pStyle w:val="swcreferences0"/>
        <w:rPr>
          <w:sz w:val="20"/>
          <w:szCs w:val="20"/>
          <w:lang w:val="en-GB"/>
        </w:rPr>
      </w:pPr>
      <w:r w:rsidRPr="00A55E42">
        <w:rPr>
          <w:sz w:val="20"/>
          <w:szCs w:val="20"/>
          <w:lang w:val="en-GB"/>
        </w:rPr>
        <w:t>European Parliament and Council, 2018. Directive (EU) 2018/2001 of the European Parliament and of the Council of 11 December 2018 on the promotion of the use of energy from renewable sources (recast). Official Journal of the European Union, L 328, 82–209. Available at: https://eur-lex.europa.eu/eli/dir/2018/2001/oj/eng (accessed 10 August 2026).</w:t>
      </w:r>
    </w:p>
    <w:p w14:paraId="551D2DAB" w14:textId="77777777" w:rsidR="0050554E" w:rsidRPr="00A55E42" w:rsidRDefault="0050554E">
      <w:pPr>
        <w:pStyle w:val="swcreferences0"/>
        <w:rPr>
          <w:sz w:val="20"/>
          <w:szCs w:val="20"/>
          <w:lang w:val="en-GB"/>
        </w:rPr>
      </w:pPr>
      <w:r w:rsidRPr="00A55E42">
        <w:rPr>
          <w:sz w:val="20"/>
          <w:szCs w:val="20"/>
          <w:lang w:val="en-GB"/>
        </w:rPr>
        <w:t>European Parliament and Council, 2019. Directive (EU) 2019/944 of the European Parliament and of the Council of 5 June 2019 on common rules for the internal market for electricity and amending Directive 2012/27/EU (recast). Official Journal of the European Union, L 158, 125–199. Available at: https://eur-lex.europa.eu/eli/dir/2019/944/oj/eng (accessed 10 August 2026).</w:t>
      </w:r>
    </w:p>
    <w:p w14:paraId="67064916" w14:textId="77777777" w:rsidR="0050554E" w:rsidRPr="006C2B07" w:rsidRDefault="0050554E">
      <w:pPr>
        <w:pStyle w:val="swcreferences0"/>
        <w:rPr>
          <w:sz w:val="20"/>
          <w:szCs w:val="20"/>
          <w:lang w:val="pl-PL"/>
        </w:rPr>
      </w:pPr>
      <w:r w:rsidRPr="006C2B07">
        <w:rPr>
          <w:sz w:val="20"/>
          <w:szCs w:val="20"/>
        </w:rPr>
        <w:t xml:space="preserve">Gallego-Castillo, C., Heleno, M., Victoria, M., 2021. </w:t>
      </w:r>
      <w:r w:rsidRPr="00A55E42">
        <w:rPr>
          <w:sz w:val="20"/>
          <w:szCs w:val="20"/>
          <w:lang w:val="en-GB"/>
        </w:rPr>
        <w:t xml:space="preserve">Self-consumption for energy communities in Spain: a regional analysis under the new legal framework. </w:t>
      </w:r>
      <w:r w:rsidRPr="006C2B07">
        <w:rPr>
          <w:sz w:val="20"/>
          <w:szCs w:val="20"/>
          <w:lang w:val="pl-PL"/>
        </w:rPr>
        <w:t>Energy Policy. 150, 112144. https://doi.org/10.1016/j.enpol.2021.112144</w:t>
      </w:r>
    </w:p>
    <w:p w14:paraId="721B6076" w14:textId="77777777" w:rsidR="0050554E" w:rsidRPr="00A55E42" w:rsidRDefault="0050554E">
      <w:pPr>
        <w:pStyle w:val="swcreferences0"/>
        <w:rPr>
          <w:sz w:val="20"/>
          <w:szCs w:val="20"/>
          <w:lang w:val="en-GB"/>
        </w:rPr>
      </w:pPr>
      <w:r w:rsidRPr="006C2B07">
        <w:rPr>
          <w:sz w:val="20"/>
          <w:szCs w:val="20"/>
          <w:lang w:val="pl-PL"/>
        </w:rPr>
        <w:t xml:space="preserve">Khorrami, S., Falvo, M.C., Pompili, M., 2025. </w:t>
      </w:r>
      <w:r w:rsidRPr="00A55E42">
        <w:rPr>
          <w:sz w:val="20"/>
          <w:szCs w:val="20"/>
          <w:lang w:val="en-GB"/>
        </w:rPr>
        <w:t>A Review on Energy Communities Development, Opportunities and Challenges in Germany, Spain, and Italy. IEEE Access. https://doi.org/10.1109/ACCESS.2025.3579336</w:t>
      </w:r>
    </w:p>
    <w:p w14:paraId="17886DE9" w14:textId="77777777" w:rsidR="0050554E" w:rsidRPr="006C2B07" w:rsidRDefault="0050554E">
      <w:pPr>
        <w:pStyle w:val="swcreferences0"/>
        <w:rPr>
          <w:sz w:val="20"/>
          <w:szCs w:val="20"/>
        </w:rPr>
      </w:pPr>
      <w:r w:rsidRPr="00A55E42">
        <w:rPr>
          <w:sz w:val="20"/>
          <w:szCs w:val="20"/>
          <w:lang w:val="en-GB"/>
        </w:rPr>
        <w:t xml:space="preserve">REScoop.eu, 2026. REScoop.eu is the European federation of energy communities. </w:t>
      </w:r>
      <w:r w:rsidRPr="006C2B07">
        <w:rPr>
          <w:sz w:val="20"/>
          <w:szCs w:val="20"/>
        </w:rPr>
        <w:t>Available at: https://www.rescoop.eu/ (accessed 10 August 2026).</w:t>
      </w:r>
    </w:p>
    <w:p w14:paraId="2BC32478" w14:textId="77777777" w:rsidR="00246FEF" w:rsidRPr="006C2B07" w:rsidRDefault="00246FEF">
      <w:pPr>
        <w:pStyle w:val="swcreferences0"/>
        <w:rPr>
          <w:sz w:val="20"/>
          <w:szCs w:val="20"/>
        </w:rPr>
      </w:pPr>
      <w:r w:rsidRPr="006C2B07">
        <w:rPr>
          <w:sz w:val="20"/>
          <w:szCs w:val="20"/>
        </w:rPr>
        <w:t>Spain, 2019. Real Decreto 244/2019, de 5 de abril, por el que se regulan las condiciones administrativas, técnicas y económicas del autoconsumo de energía eléctrica. Boletín Oficial del Estado, 83, 35674–35719. Available at: https://www.boe.es/eli/es/rd/2019/04/05/244 (accessed 10 August 2026).</w:t>
      </w:r>
    </w:p>
    <w:p w14:paraId="71A56E35" w14:textId="77777777" w:rsidR="0050554E" w:rsidRPr="00A55E42" w:rsidRDefault="0050554E">
      <w:pPr>
        <w:pStyle w:val="swcreferences0"/>
        <w:rPr>
          <w:sz w:val="20"/>
          <w:szCs w:val="20"/>
          <w:lang w:val="en-GB"/>
        </w:rPr>
      </w:pPr>
      <w:r w:rsidRPr="006C2B07">
        <w:rPr>
          <w:sz w:val="20"/>
          <w:szCs w:val="20"/>
        </w:rPr>
        <w:t xml:space="preserve">Yiasoumas, G., Berbakov, L., Janev, V., Asmundo, A., Olabarrieta, E., Vinci, A., Baglietto, G., Georghiou, G.E., 2023. </w:t>
      </w:r>
      <w:r w:rsidRPr="00A55E42">
        <w:rPr>
          <w:sz w:val="20"/>
          <w:szCs w:val="20"/>
          <w:lang w:val="en-GB"/>
        </w:rPr>
        <w:t>Key Aspects and Challenges in the Implementation of Energy Communities. Energies. 16, 4703. https://doi.org/10.3390/en16124703</w:t>
      </w:r>
    </w:p>
    <w:p w14:paraId="1677A716" w14:textId="77777777" w:rsidR="0050554E" w:rsidRDefault="0050554E"/>
    <w:sectPr w:rsidR="0050554E" w:rsidSect="00A33CC3">
      <w:footnotePr>
        <w:numRestart w:val="eachPage"/>
      </w:footnotePr>
      <w:pgSz w:w="11908" w:h="16838"/>
      <w:pgMar w:top="1078" w:right="1440" w:bottom="1440" w:left="1701" w:header="284" w:footer="284"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sabel Guedea" w:date="2026-08-21T09:45:00Z" w:initials="IG">
    <w:p w14:paraId="2562D416" w14:textId="77777777" w:rsidR="006C2B07" w:rsidRDefault="006C2B07" w:rsidP="006C2B07">
      <w:pPr>
        <w:pStyle w:val="Textocomentario"/>
      </w:pPr>
      <w:r>
        <w:rPr>
          <w:rStyle w:val="Refdecomentario"/>
        </w:rPr>
        <w:annotationRef/>
      </w:r>
      <w:r>
        <w:t>Ponemos aquí tema aragon  y Guadalajara y tiempo 1.5 años?</w:t>
      </w:r>
    </w:p>
  </w:comment>
  <w:comment w:id="2" w:author="Oscar Puyal Latorre" w:date="2026-07-16T11:13:00Z" w:initials="OP">
    <w:p w14:paraId="1CF981BB" w14:textId="77777777" w:rsidR="00FC3E81" w:rsidRPr="00A55E42" w:rsidRDefault="00FC3E81" w:rsidP="00FC3E81">
      <w:pPr>
        <w:pStyle w:val="Textocomentario"/>
      </w:pPr>
      <w:r w:rsidRPr="00A55E42">
        <w:rPr>
          <w:rStyle w:val="Refdecomentario"/>
        </w:rPr>
        <w:annotationRef/>
      </w:r>
      <w:r w:rsidRPr="00A55E42">
        <w:t>Se puede modificar en el ppt de esta misma carpeta</w:t>
      </w:r>
    </w:p>
  </w:comment>
  <w:comment w:id="6" w:author="Oscar Puyal Latorre" w:date="2026-07-16T14:56:00Z" w:initials="OP">
    <w:p w14:paraId="1B2D9F79" w14:textId="77777777" w:rsidR="008B61DA" w:rsidRPr="00A55E42" w:rsidRDefault="008B61DA" w:rsidP="009B5037">
      <w:pPr>
        <w:pStyle w:val="Textocomentario"/>
      </w:pPr>
      <w:r w:rsidRPr="00A55E42">
        <w:rPr>
          <w:rStyle w:val="Refdecomentario"/>
        </w:rPr>
        <w:annotationRef/>
      </w:r>
      <w:r w:rsidRPr="00A55E42">
        <w:t>Esto no sé, en la foto pone 21 pero en el texto 28</w:t>
      </w:r>
    </w:p>
  </w:comment>
  <w:comment w:id="7" w:author="Oscar Puyal Latorre" w:date="2026-08-10T17:32:00Z" w:initials="OP">
    <w:p w14:paraId="0A715204" w14:textId="77777777" w:rsidR="006D2597" w:rsidRDefault="006D2597" w:rsidP="006D2597">
      <w:pPr>
        <w:pStyle w:val="Textocomentario"/>
      </w:pPr>
      <w:r>
        <w:rPr>
          <w:rStyle w:val="Refdecomentario"/>
        </w:rPr>
        <w:annotationRef/>
      </w:r>
      <w:r>
        <w:t>28 o 21? He visto ambas cifras en los documentos/fotos de la OTC.</w:t>
      </w:r>
    </w:p>
  </w:comment>
  <w:comment w:id="8" w:author="Isabel Guedea" w:date="2026-08-21T09:47:00Z" w:initials="IG">
    <w:p w14:paraId="66893703" w14:textId="77777777" w:rsidR="006C2B07" w:rsidRDefault="006C2B07" w:rsidP="006C2B07">
      <w:pPr>
        <w:pStyle w:val="Textocomentario"/>
      </w:pPr>
      <w:r>
        <w:rPr>
          <w:rStyle w:val="Refdecomentario"/>
        </w:rPr>
        <w:annotationRef/>
      </w:r>
      <w:r>
        <w:t>21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62D416" w15:done="1"/>
  <w15:commentEx w15:paraId="1CF981BB" w15:done="1"/>
  <w15:commentEx w15:paraId="1B2D9F79" w15:done="1"/>
  <w15:commentEx w15:paraId="0A715204" w15:done="1"/>
  <w15:commentEx w15:paraId="66893703" w15:paraIdParent="0A71520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87EA96" w16cex:dateUtc="2026-08-21T07:45:00Z">
    <w16cex:extLst>
      <w16:ext w16:uri="{CE6994B0-6A32-4C9F-8C6B-6E91EDA988CE}">
        <cr:reactions xmlns:cr="http://schemas.microsoft.com/office/comments/2020/reactions">
          <cr:reaction reactionType="1">
            <cr:reactionInfo dateUtc="2026-08-24T10:04:35Z">
              <cr:user userId="S::onsar@Endef166.onmicrosoft.com::b168da7a-a375-47bf-9920-ab86eb6e1640" userProvider="AD" userName="Oscar Puyal Latorre"/>
            </cr:reactionInfo>
          </cr:reaction>
        </cr:reactions>
      </w16:ext>
    </w16cex:extLst>
  </w16cex:commentExtensible>
  <w16cex:commentExtensible w16cex:durableId="2066C88C" w16cex:dateUtc="2026-07-16T09:13:00Z">
    <w16cex:extLst>
      <w16:ext w16:uri="{CE6994B0-6A32-4C9F-8C6B-6E91EDA988CE}">
        <cr:reactions xmlns:cr="http://schemas.microsoft.com/office/comments/2020/reactions">
          <cr:reaction reactionType="1">
            <cr:reactionInfo dateUtc="2026-07-24T08:28:47Z">
              <cr:user userId="b432507858216ddf" userProvider="Windows Live" userName="Isabel Guedea"/>
            </cr:reactionInfo>
          </cr:reaction>
        </cr:reactions>
      </w16:ext>
    </w16cex:extLst>
  </w16cex:commentExtensible>
  <w16cex:commentExtensible w16cex:durableId="212DA171" w16cex:dateUtc="2026-07-16T12:56:00Z"/>
  <w16cex:commentExtensible w16cex:durableId="69EBE693" w16cex:dateUtc="2026-08-10T15:32:00Z"/>
  <w16cex:commentExtensible w16cex:durableId="63BB275A" w16cex:dateUtc="2026-08-21T07: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62D416" w16cid:durableId="1787EA96"/>
  <w16cid:commentId w16cid:paraId="1CF981BB" w16cid:durableId="2066C88C"/>
  <w16cid:commentId w16cid:paraId="1B2D9F79" w16cid:durableId="212DA171"/>
  <w16cid:commentId w16cid:paraId="0A715204" w16cid:durableId="69EBE693"/>
  <w16cid:commentId w16cid:paraId="66893703" w16cid:durableId="63BB275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B473D" w14:textId="77777777" w:rsidR="00B7431C" w:rsidRPr="00A55E42" w:rsidRDefault="00B7431C">
      <w:r w:rsidRPr="00A55E42">
        <w:separator/>
      </w:r>
    </w:p>
  </w:endnote>
  <w:endnote w:type="continuationSeparator" w:id="0">
    <w:p w14:paraId="50CBDEF3" w14:textId="77777777" w:rsidR="00B7431C" w:rsidRPr="00A55E42" w:rsidRDefault="00B7431C">
      <w:r w:rsidRPr="00A55E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EC17E" w14:textId="77777777" w:rsidR="00B7431C" w:rsidRPr="00A55E42" w:rsidRDefault="00B7431C">
      <w:r w:rsidRPr="00A55E42">
        <w:separator/>
      </w:r>
    </w:p>
  </w:footnote>
  <w:footnote w:type="continuationSeparator" w:id="0">
    <w:p w14:paraId="60B1FE49" w14:textId="77777777" w:rsidR="00B7431C" w:rsidRPr="00A55E42" w:rsidRDefault="00B7431C">
      <w:r w:rsidRPr="00A55E4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4998C81C"/>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0836010"/>
    <w:multiLevelType w:val="multilevel"/>
    <w:tmpl w:val="2AFC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2393C"/>
    <w:multiLevelType w:val="multilevel"/>
    <w:tmpl w:val="0266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B77D27"/>
    <w:multiLevelType w:val="multilevel"/>
    <w:tmpl w:val="36802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03187"/>
    <w:multiLevelType w:val="multilevel"/>
    <w:tmpl w:val="7124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27702D"/>
    <w:multiLevelType w:val="multilevel"/>
    <w:tmpl w:val="66D8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1F61783C"/>
    <w:multiLevelType w:val="multilevel"/>
    <w:tmpl w:val="D37C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28701C19"/>
    <w:multiLevelType w:val="multilevel"/>
    <w:tmpl w:val="43A0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622913"/>
    <w:multiLevelType w:val="multilevel"/>
    <w:tmpl w:val="02609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123AA9"/>
    <w:multiLevelType w:val="multilevel"/>
    <w:tmpl w:val="52E6B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4D7E83"/>
    <w:multiLevelType w:val="multilevel"/>
    <w:tmpl w:val="515A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565CDA"/>
    <w:multiLevelType w:val="multilevel"/>
    <w:tmpl w:val="E192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2" w15:restartNumberingAfterBreak="0">
    <w:nsid w:val="3A6D325D"/>
    <w:multiLevelType w:val="multilevel"/>
    <w:tmpl w:val="BA6E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ED4087F"/>
    <w:multiLevelType w:val="hybridMultilevel"/>
    <w:tmpl w:val="482405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1DC4C5C"/>
    <w:multiLevelType w:val="multilevel"/>
    <w:tmpl w:val="6176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B262DA"/>
    <w:multiLevelType w:val="multilevel"/>
    <w:tmpl w:val="3AD45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C73E56"/>
    <w:multiLevelType w:val="multilevel"/>
    <w:tmpl w:val="5FC6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4E0894"/>
    <w:multiLevelType w:val="multilevel"/>
    <w:tmpl w:val="7610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0"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E2D4EE6"/>
    <w:multiLevelType w:val="multilevel"/>
    <w:tmpl w:val="0EBA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50081236"/>
    <w:multiLevelType w:val="hybridMultilevel"/>
    <w:tmpl w:val="B268E45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50256D58"/>
    <w:multiLevelType w:val="multilevel"/>
    <w:tmpl w:val="4D3E9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BF24EE"/>
    <w:multiLevelType w:val="hybridMultilevel"/>
    <w:tmpl w:val="D132FF9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6461377"/>
    <w:multiLevelType w:val="multilevel"/>
    <w:tmpl w:val="C1E4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582444"/>
    <w:multiLevelType w:val="multilevel"/>
    <w:tmpl w:val="0764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40" w15:restartNumberingAfterBreak="0">
    <w:nsid w:val="58200C8E"/>
    <w:multiLevelType w:val="hybridMultilevel"/>
    <w:tmpl w:val="8B2EE5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5BB451E7"/>
    <w:multiLevelType w:val="hybridMultilevel"/>
    <w:tmpl w:val="934898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5D1124F2"/>
    <w:multiLevelType w:val="multilevel"/>
    <w:tmpl w:val="21B6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6B59F2"/>
    <w:multiLevelType w:val="multilevel"/>
    <w:tmpl w:val="D674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125D64"/>
    <w:multiLevelType w:val="hybridMultilevel"/>
    <w:tmpl w:val="3662E0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604862DB"/>
    <w:multiLevelType w:val="multilevel"/>
    <w:tmpl w:val="48FE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0279AF"/>
    <w:multiLevelType w:val="multilevel"/>
    <w:tmpl w:val="43C41A94"/>
    <w:lvl w:ilvl="0">
      <w:start w:val="1"/>
      <w:numFmt w:val="decimal"/>
      <w:pStyle w:val="SWCHeading1"/>
      <w:lvlText w:val="%1."/>
      <w:lvlJc w:val="left"/>
      <w:pPr>
        <w:tabs>
          <w:tab w:val="num" w:pos="720"/>
        </w:tabs>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49"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50" w15:restartNumberingAfterBreak="0">
    <w:nsid w:val="66C4405F"/>
    <w:multiLevelType w:val="multilevel"/>
    <w:tmpl w:val="82465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52" w15:restartNumberingAfterBreak="0">
    <w:nsid w:val="691470DC"/>
    <w:multiLevelType w:val="multilevel"/>
    <w:tmpl w:val="F7B6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95C47F4"/>
    <w:multiLevelType w:val="multilevel"/>
    <w:tmpl w:val="2CFA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1106EB"/>
    <w:multiLevelType w:val="hybridMultilevel"/>
    <w:tmpl w:val="3F006F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6D523811"/>
    <w:multiLevelType w:val="multilevel"/>
    <w:tmpl w:val="34AE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F870A6"/>
    <w:multiLevelType w:val="multilevel"/>
    <w:tmpl w:val="B6CC3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BA0BE4"/>
    <w:multiLevelType w:val="multilevel"/>
    <w:tmpl w:val="A3C0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CB0E50"/>
    <w:multiLevelType w:val="multilevel"/>
    <w:tmpl w:val="85F6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23"/>
  </w:num>
  <w:num w:numId="3" w16cid:durableId="1779980318">
    <w:abstractNumId w:val="21"/>
  </w:num>
  <w:num w:numId="4" w16cid:durableId="691154539">
    <w:abstractNumId w:val="59"/>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11"/>
  </w:num>
  <w:num w:numId="11" w16cid:durableId="95492358">
    <w:abstractNumId w:val="47"/>
  </w:num>
  <w:num w:numId="12" w16cid:durableId="355472642">
    <w:abstractNumId w:val="31"/>
  </w:num>
  <w:num w:numId="13" w16cid:durableId="311523580">
    <w:abstractNumId w:val="11"/>
    <w:lvlOverride w:ilvl="0">
      <w:startOverride w:val="1"/>
    </w:lvlOverride>
  </w:num>
  <w:num w:numId="14" w16cid:durableId="1496726486">
    <w:abstractNumId w:val="41"/>
  </w:num>
  <w:num w:numId="15" w16cid:durableId="1806385346">
    <w:abstractNumId w:val="13"/>
  </w:num>
  <w:num w:numId="16" w16cid:durableId="1758162859">
    <w:abstractNumId w:val="30"/>
  </w:num>
  <w:num w:numId="17" w16cid:durableId="569772207">
    <w:abstractNumId w:val="39"/>
  </w:num>
  <w:num w:numId="18" w16cid:durableId="1080835087">
    <w:abstractNumId w:val="49"/>
  </w:num>
  <w:num w:numId="19" w16cid:durableId="1514802717">
    <w:abstractNumId w:val="20"/>
  </w:num>
  <w:num w:numId="20" w16cid:durableId="1328480391">
    <w:abstractNumId w:val="14"/>
  </w:num>
  <w:num w:numId="21" w16cid:durableId="1166094805">
    <w:abstractNumId w:val="29"/>
  </w:num>
  <w:num w:numId="22" w16cid:durableId="679743871">
    <w:abstractNumId w:val="48"/>
  </w:num>
  <w:num w:numId="23" w16cid:durableId="612976666">
    <w:abstractNumId w:val="33"/>
  </w:num>
  <w:num w:numId="24" w16cid:durableId="7829984">
    <w:abstractNumId w:val="51"/>
  </w:num>
  <w:num w:numId="25" w16cid:durableId="1222059032">
    <w:abstractNumId w:val="40"/>
  </w:num>
  <w:num w:numId="26" w16cid:durableId="993872536">
    <w:abstractNumId w:val="47"/>
    <w:lvlOverride w:ilvl="0">
      <w:startOverride w:val="1"/>
    </w:lvlOverride>
  </w:num>
  <w:num w:numId="27" w16cid:durableId="58216338">
    <w:abstractNumId w:val="42"/>
  </w:num>
  <w:num w:numId="28" w16cid:durableId="1520194429">
    <w:abstractNumId w:val="26"/>
  </w:num>
  <w:num w:numId="29" w16cid:durableId="1687750942">
    <w:abstractNumId w:val="54"/>
  </w:num>
  <w:num w:numId="30" w16cid:durableId="529073245">
    <w:abstractNumId w:val="47"/>
    <w:lvlOverride w:ilvl="0">
      <w:startOverride w:val="1"/>
    </w:lvlOverride>
  </w:num>
  <w:num w:numId="31" w16cid:durableId="1954094516">
    <w:abstractNumId w:val="47"/>
  </w:num>
  <w:num w:numId="32" w16cid:durableId="1838690165">
    <w:abstractNumId w:val="10"/>
  </w:num>
  <w:num w:numId="33" w16cid:durableId="691341184">
    <w:abstractNumId w:val="28"/>
  </w:num>
  <w:num w:numId="34" w16cid:durableId="2042364324">
    <w:abstractNumId w:val="55"/>
  </w:num>
  <w:num w:numId="35" w16cid:durableId="1271165691">
    <w:abstractNumId w:val="15"/>
  </w:num>
  <w:num w:numId="36" w16cid:durableId="60637576">
    <w:abstractNumId w:val="52"/>
  </w:num>
  <w:num w:numId="37" w16cid:durableId="1743722005">
    <w:abstractNumId w:val="7"/>
  </w:num>
  <w:num w:numId="38" w16cid:durableId="824593083">
    <w:abstractNumId w:val="17"/>
  </w:num>
  <w:num w:numId="39" w16cid:durableId="938636664">
    <w:abstractNumId w:val="45"/>
  </w:num>
  <w:num w:numId="40" w16cid:durableId="467282567">
    <w:abstractNumId w:val="24"/>
  </w:num>
  <w:num w:numId="41" w16cid:durableId="426730258">
    <w:abstractNumId w:val="19"/>
  </w:num>
  <w:num w:numId="42" w16cid:durableId="1317606917">
    <w:abstractNumId w:val="58"/>
  </w:num>
  <w:num w:numId="43" w16cid:durableId="182935633">
    <w:abstractNumId w:val="57"/>
  </w:num>
  <w:num w:numId="44" w16cid:durableId="566500621">
    <w:abstractNumId w:val="37"/>
  </w:num>
  <w:num w:numId="45" w16cid:durableId="961613997">
    <w:abstractNumId w:val="47"/>
  </w:num>
  <w:num w:numId="46" w16cid:durableId="1690598830">
    <w:abstractNumId w:val="35"/>
  </w:num>
  <w:num w:numId="47" w16cid:durableId="339165124">
    <w:abstractNumId w:val="27"/>
  </w:num>
  <w:num w:numId="48" w16cid:durableId="1544249855">
    <w:abstractNumId w:val="47"/>
  </w:num>
  <w:num w:numId="49" w16cid:durableId="408233951">
    <w:abstractNumId w:val="36"/>
  </w:num>
  <w:num w:numId="50" w16cid:durableId="1711220096">
    <w:abstractNumId w:val="25"/>
  </w:num>
  <w:num w:numId="51" w16cid:durableId="489256409">
    <w:abstractNumId w:val="44"/>
  </w:num>
  <w:num w:numId="52" w16cid:durableId="593368219">
    <w:abstractNumId w:val="43"/>
  </w:num>
  <w:num w:numId="53" w16cid:durableId="1985234193">
    <w:abstractNumId w:val="22"/>
  </w:num>
  <w:num w:numId="54" w16cid:durableId="2128114471">
    <w:abstractNumId w:val="38"/>
  </w:num>
  <w:num w:numId="55" w16cid:durableId="399211042">
    <w:abstractNumId w:val="16"/>
  </w:num>
  <w:num w:numId="56" w16cid:durableId="204876765">
    <w:abstractNumId w:val="50"/>
  </w:num>
  <w:num w:numId="57" w16cid:durableId="689575185">
    <w:abstractNumId w:val="6"/>
  </w:num>
  <w:num w:numId="58" w16cid:durableId="83650678">
    <w:abstractNumId w:val="46"/>
  </w:num>
  <w:num w:numId="59" w16cid:durableId="659113999">
    <w:abstractNumId w:val="56"/>
  </w:num>
  <w:num w:numId="60" w16cid:durableId="603803871">
    <w:abstractNumId w:val="12"/>
  </w:num>
  <w:num w:numId="61" w16cid:durableId="1591235020">
    <w:abstractNumId w:val="53"/>
  </w:num>
  <w:num w:numId="62" w16cid:durableId="429544139">
    <w:abstractNumId w:val="18"/>
  </w:num>
  <w:num w:numId="63" w16cid:durableId="393741989">
    <w:abstractNumId w:val="9"/>
  </w:num>
  <w:num w:numId="64" w16cid:durableId="1319579643">
    <w:abstractNumId w:val="32"/>
  </w:num>
  <w:num w:numId="65" w16cid:durableId="1246261183">
    <w:abstractNumId w:val="34"/>
  </w:num>
  <w:num w:numId="66" w16cid:durableId="1783039721">
    <w:abstractNumId w:val="8"/>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sabel Guedea">
    <w15:presenceInfo w15:providerId="Windows Live" w15:userId="a58fcb2e7336ee5b"/>
  </w15:person>
  <w15:person w15:author="Oscar Puyal Latorre">
    <w15:presenceInfo w15:providerId="AD" w15:userId="S::onsar@Endef166.onmicrosoft.com::b168da7a-a375-47bf-9920-ab86eb6e16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revisionView w:markup="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F13"/>
    <w:rsid w:val="00005037"/>
    <w:rsid w:val="000067DB"/>
    <w:rsid w:val="000077A5"/>
    <w:rsid w:val="00010262"/>
    <w:rsid w:val="00013C85"/>
    <w:rsid w:val="00017390"/>
    <w:rsid w:val="000207EF"/>
    <w:rsid w:val="00037275"/>
    <w:rsid w:val="00040C5E"/>
    <w:rsid w:val="00041B98"/>
    <w:rsid w:val="0004235D"/>
    <w:rsid w:val="00045C51"/>
    <w:rsid w:val="000533E4"/>
    <w:rsid w:val="000534F5"/>
    <w:rsid w:val="00053E02"/>
    <w:rsid w:val="00055DB9"/>
    <w:rsid w:val="000565B2"/>
    <w:rsid w:val="00057B5E"/>
    <w:rsid w:val="00060EA0"/>
    <w:rsid w:val="00066B26"/>
    <w:rsid w:val="000678AC"/>
    <w:rsid w:val="00070D26"/>
    <w:rsid w:val="000712A1"/>
    <w:rsid w:val="00073C1E"/>
    <w:rsid w:val="0007407E"/>
    <w:rsid w:val="00074933"/>
    <w:rsid w:val="00074DBF"/>
    <w:rsid w:val="000804E7"/>
    <w:rsid w:val="000808DA"/>
    <w:rsid w:val="00085849"/>
    <w:rsid w:val="000868E0"/>
    <w:rsid w:val="00086D58"/>
    <w:rsid w:val="00092ED5"/>
    <w:rsid w:val="00093727"/>
    <w:rsid w:val="000A0ADB"/>
    <w:rsid w:val="000A0BED"/>
    <w:rsid w:val="000A0D1C"/>
    <w:rsid w:val="000A30A5"/>
    <w:rsid w:val="000A36B5"/>
    <w:rsid w:val="000A52A1"/>
    <w:rsid w:val="000B04BE"/>
    <w:rsid w:val="000B1F4D"/>
    <w:rsid w:val="000B5F9A"/>
    <w:rsid w:val="000C2344"/>
    <w:rsid w:val="000C2525"/>
    <w:rsid w:val="000C2AE6"/>
    <w:rsid w:val="000C3C58"/>
    <w:rsid w:val="000C7A08"/>
    <w:rsid w:val="000D5182"/>
    <w:rsid w:val="000D6E1A"/>
    <w:rsid w:val="000E1855"/>
    <w:rsid w:val="000E759C"/>
    <w:rsid w:val="000E7B60"/>
    <w:rsid w:val="000F739B"/>
    <w:rsid w:val="0010501A"/>
    <w:rsid w:val="001331AE"/>
    <w:rsid w:val="00133584"/>
    <w:rsid w:val="0015090D"/>
    <w:rsid w:val="00154C73"/>
    <w:rsid w:val="00155FB8"/>
    <w:rsid w:val="00157CE5"/>
    <w:rsid w:val="00162D1A"/>
    <w:rsid w:val="001647D2"/>
    <w:rsid w:val="00165299"/>
    <w:rsid w:val="00166C42"/>
    <w:rsid w:val="00167806"/>
    <w:rsid w:val="00176EF6"/>
    <w:rsid w:val="0018100A"/>
    <w:rsid w:val="00181D7E"/>
    <w:rsid w:val="00184F6A"/>
    <w:rsid w:val="00187715"/>
    <w:rsid w:val="001904A7"/>
    <w:rsid w:val="0019232E"/>
    <w:rsid w:val="00194E9A"/>
    <w:rsid w:val="00195AFD"/>
    <w:rsid w:val="001968B5"/>
    <w:rsid w:val="001969B9"/>
    <w:rsid w:val="001A117A"/>
    <w:rsid w:val="001A2E6E"/>
    <w:rsid w:val="001A775B"/>
    <w:rsid w:val="001A7F40"/>
    <w:rsid w:val="001B13D6"/>
    <w:rsid w:val="001B3CC2"/>
    <w:rsid w:val="001B511C"/>
    <w:rsid w:val="001B6BCF"/>
    <w:rsid w:val="001B7B01"/>
    <w:rsid w:val="001C04DE"/>
    <w:rsid w:val="001C23F6"/>
    <w:rsid w:val="001C3A3D"/>
    <w:rsid w:val="001C63A2"/>
    <w:rsid w:val="001D0384"/>
    <w:rsid w:val="001D4912"/>
    <w:rsid w:val="001E2841"/>
    <w:rsid w:val="001E2B93"/>
    <w:rsid w:val="001E698F"/>
    <w:rsid w:val="001F2881"/>
    <w:rsid w:val="002045BB"/>
    <w:rsid w:val="00205626"/>
    <w:rsid w:val="00206116"/>
    <w:rsid w:val="00212628"/>
    <w:rsid w:val="00212A24"/>
    <w:rsid w:val="002205F3"/>
    <w:rsid w:val="002208DD"/>
    <w:rsid w:val="0022299B"/>
    <w:rsid w:val="00225724"/>
    <w:rsid w:val="00225EB1"/>
    <w:rsid w:val="00232884"/>
    <w:rsid w:val="00243214"/>
    <w:rsid w:val="00246FEF"/>
    <w:rsid w:val="002647A0"/>
    <w:rsid w:val="00265251"/>
    <w:rsid w:val="00266E47"/>
    <w:rsid w:val="00270E75"/>
    <w:rsid w:val="0027288C"/>
    <w:rsid w:val="00273341"/>
    <w:rsid w:val="00286D1F"/>
    <w:rsid w:val="002879D5"/>
    <w:rsid w:val="002972D1"/>
    <w:rsid w:val="002A04A9"/>
    <w:rsid w:val="002A200B"/>
    <w:rsid w:val="002A20FA"/>
    <w:rsid w:val="002A39BB"/>
    <w:rsid w:val="002B417A"/>
    <w:rsid w:val="002C089D"/>
    <w:rsid w:val="002C0C78"/>
    <w:rsid w:val="002C613A"/>
    <w:rsid w:val="002C68AD"/>
    <w:rsid w:val="002D0C1E"/>
    <w:rsid w:val="002D25B3"/>
    <w:rsid w:val="002D322C"/>
    <w:rsid w:val="002D4864"/>
    <w:rsid w:val="002D5759"/>
    <w:rsid w:val="002E5D62"/>
    <w:rsid w:val="002E6989"/>
    <w:rsid w:val="002E7709"/>
    <w:rsid w:val="002F1386"/>
    <w:rsid w:val="002F21FB"/>
    <w:rsid w:val="002F6B87"/>
    <w:rsid w:val="0030100D"/>
    <w:rsid w:val="003013C4"/>
    <w:rsid w:val="00301BA4"/>
    <w:rsid w:val="00303345"/>
    <w:rsid w:val="00317188"/>
    <w:rsid w:val="003261AE"/>
    <w:rsid w:val="00326BE9"/>
    <w:rsid w:val="00327EAA"/>
    <w:rsid w:val="003357AC"/>
    <w:rsid w:val="00337B30"/>
    <w:rsid w:val="00344847"/>
    <w:rsid w:val="0034797A"/>
    <w:rsid w:val="0035638A"/>
    <w:rsid w:val="003572CB"/>
    <w:rsid w:val="003605B9"/>
    <w:rsid w:val="00362122"/>
    <w:rsid w:val="00364A52"/>
    <w:rsid w:val="00373F97"/>
    <w:rsid w:val="00374216"/>
    <w:rsid w:val="0037657F"/>
    <w:rsid w:val="0038545D"/>
    <w:rsid w:val="003869E8"/>
    <w:rsid w:val="003909C9"/>
    <w:rsid w:val="00391288"/>
    <w:rsid w:val="00392D06"/>
    <w:rsid w:val="003952D8"/>
    <w:rsid w:val="00395E5A"/>
    <w:rsid w:val="0039742D"/>
    <w:rsid w:val="003A3A38"/>
    <w:rsid w:val="003A4A13"/>
    <w:rsid w:val="003A7DB9"/>
    <w:rsid w:val="003B2055"/>
    <w:rsid w:val="003C0806"/>
    <w:rsid w:val="003C18DE"/>
    <w:rsid w:val="003C1B31"/>
    <w:rsid w:val="003C2B1A"/>
    <w:rsid w:val="003C39C6"/>
    <w:rsid w:val="003C62AA"/>
    <w:rsid w:val="003C6A60"/>
    <w:rsid w:val="003C753D"/>
    <w:rsid w:val="003D0C22"/>
    <w:rsid w:val="003D795B"/>
    <w:rsid w:val="003E1E1C"/>
    <w:rsid w:val="003E73BB"/>
    <w:rsid w:val="003F0403"/>
    <w:rsid w:val="003F1097"/>
    <w:rsid w:val="003F13D0"/>
    <w:rsid w:val="003F3600"/>
    <w:rsid w:val="003F5B99"/>
    <w:rsid w:val="004019FD"/>
    <w:rsid w:val="00403E6A"/>
    <w:rsid w:val="004053B5"/>
    <w:rsid w:val="0040615A"/>
    <w:rsid w:val="00410F85"/>
    <w:rsid w:val="00411E29"/>
    <w:rsid w:val="00415160"/>
    <w:rsid w:val="0042033E"/>
    <w:rsid w:val="00432D42"/>
    <w:rsid w:val="004357AD"/>
    <w:rsid w:val="00447D7D"/>
    <w:rsid w:val="004515B5"/>
    <w:rsid w:val="00453296"/>
    <w:rsid w:val="004568C3"/>
    <w:rsid w:val="00464285"/>
    <w:rsid w:val="004658AD"/>
    <w:rsid w:val="004663DE"/>
    <w:rsid w:val="00467DFD"/>
    <w:rsid w:val="00476879"/>
    <w:rsid w:val="004779A2"/>
    <w:rsid w:val="004857BA"/>
    <w:rsid w:val="00486BFA"/>
    <w:rsid w:val="00490F10"/>
    <w:rsid w:val="00493713"/>
    <w:rsid w:val="00493C81"/>
    <w:rsid w:val="00494006"/>
    <w:rsid w:val="004A3506"/>
    <w:rsid w:val="004B124E"/>
    <w:rsid w:val="004B1586"/>
    <w:rsid w:val="004B40A7"/>
    <w:rsid w:val="004B7A2A"/>
    <w:rsid w:val="004C39AD"/>
    <w:rsid w:val="004C4EE9"/>
    <w:rsid w:val="004D0511"/>
    <w:rsid w:val="004D234B"/>
    <w:rsid w:val="004E4C45"/>
    <w:rsid w:val="004E5D79"/>
    <w:rsid w:val="004F4904"/>
    <w:rsid w:val="004F5FF9"/>
    <w:rsid w:val="00500640"/>
    <w:rsid w:val="00500D7D"/>
    <w:rsid w:val="0050554E"/>
    <w:rsid w:val="005067AC"/>
    <w:rsid w:val="00510D91"/>
    <w:rsid w:val="00511522"/>
    <w:rsid w:val="00514890"/>
    <w:rsid w:val="0051584D"/>
    <w:rsid w:val="00517093"/>
    <w:rsid w:val="005274DD"/>
    <w:rsid w:val="00532138"/>
    <w:rsid w:val="00533884"/>
    <w:rsid w:val="0053532A"/>
    <w:rsid w:val="005404F1"/>
    <w:rsid w:val="0054648A"/>
    <w:rsid w:val="005469AC"/>
    <w:rsid w:val="00550776"/>
    <w:rsid w:val="00556004"/>
    <w:rsid w:val="00560CC4"/>
    <w:rsid w:val="00566460"/>
    <w:rsid w:val="0057075C"/>
    <w:rsid w:val="005721F8"/>
    <w:rsid w:val="00572281"/>
    <w:rsid w:val="005836C7"/>
    <w:rsid w:val="0058513A"/>
    <w:rsid w:val="00587F6A"/>
    <w:rsid w:val="005956AC"/>
    <w:rsid w:val="005B3E86"/>
    <w:rsid w:val="005B6F55"/>
    <w:rsid w:val="005C37F5"/>
    <w:rsid w:val="005D5CF6"/>
    <w:rsid w:val="005E04EA"/>
    <w:rsid w:val="005E0D7D"/>
    <w:rsid w:val="005E7208"/>
    <w:rsid w:val="006023E1"/>
    <w:rsid w:val="00607C4E"/>
    <w:rsid w:val="00607EB6"/>
    <w:rsid w:val="0061366D"/>
    <w:rsid w:val="00613AF9"/>
    <w:rsid w:val="0061732F"/>
    <w:rsid w:val="00617B4B"/>
    <w:rsid w:val="0062257E"/>
    <w:rsid w:val="006227DF"/>
    <w:rsid w:val="006259C9"/>
    <w:rsid w:val="00625A39"/>
    <w:rsid w:val="00625BC2"/>
    <w:rsid w:val="00627E34"/>
    <w:rsid w:val="006309AA"/>
    <w:rsid w:val="00633473"/>
    <w:rsid w:val="006379BD"/>
    <w:rsid w:val="006420CC"/>
    <w:rsid w:val="0064403B"/>
    <w:rsid w:val="006500EC"/>
    <w:rsid w:val="00652071"/>
    <w:rsid w:val="00653551"/>
    <w:rsid w:val="0065563B"/>
    <w:rsid w:val="00665471"/>
    <w:rsid w:val="006722C6"/>
    <w:rsid w:val="00672AA2"/>
    <w:rsid w:val="006772A3"/>
    <w:rsid w:val="00692D6F"/>
    <w:rsid w:val="00692D7F"/>
    <w:rsid w:val="00693E7F"/>
    <w:rsid w:val="006A0AE2"/>
    <w:rsid w:val="006A11CB"/>
    <w:rsid w:val="006A2F10"/>
    <w:rsid w:val="006A68E1"/>
    <w:rsid w:val="006A77D0"/>
    <w:rsid w:val="006B1B68"/>
    <w:rsid w:val="006B4C9F"/>
    <w:rsid w:val="006C2B07"/>
    <w:rsid w:val="006C756C"/>
    <w:rsid w:val="006D2597"/>
    <w:rsid w:val="006D4A96"/>
    <w:rsid w:val="006D604A"/>
    <w:rsid w:val="006E51E9"/>
    <w:rsid w:val="006F15A6"/>
    <w:rsid w:val="006F1F38"/>
    <w:rsid w:val="006F5793"/>
    <w:rsid w:val="006F5B85"/>
    <w:rsid w:val="00702AE0"/>
    <w:rsid w:val="00713477"/>
    <w:rsid w:val="007174DA"/>
    <w:rsid w:val="00720123"/>
    <w:rsid w:val="00721D05"/>
    <w:rsid w:val="00722BB9"/>
    <w:rsid w:val="00725ED2"/>
    <w:rsid w:val="007278B7"/>
    <w:rsid w:val="00730640"/>
    <w:rsid w:val="00730FDA"/>
    <w:rsid w:val="0073711C"/>
    <w:rsid w:val="00750257"/>
    <w:rsid w:val="00751E87"/>
    <w:rsid w:val="007535ED"/>
    <w:rsid w:val="0075406E"/>
    <w:rsid w:val="00756702"/>
    <w:rsid w:val="00762EA3"/>
    <w:rsid w:val="007763CB"/>
    <w:rsid w:val="007804A7"/>
    <w:rsid w:val="007868C0"/>
    <w:rsid w:val="007908F6"/>
    <w:rsid w:val="007954D9"/>
    <w:rsid w:val="007A65DF"/>
    <w:rsid w:val="007A7952"/>
    <w:rsid w:val="007B0BDB"/>
    <w:rsid w:val="007B33DF"/>
    <w:rsid w:val="007C0B10"/>
    <w:rsid w:val="007C1632"/>
    <w:rsid w:val="007C36EF"/>
    <w:rsid w:val="007C6BDE"/>
    <w:rsid w:val="007C6FC0"/>
    <w:rsid w:val="007C7DB2"/>
    <w:rsid w:val="007D0678"/>
    <w:rsid w:val="007D1C2C"/>
    <w:rsid w:val="007E30D8"/>
    <w:rsid w:val="007E3EFC"/>
    <w:rsid w:val="007E7634"/>
    <w:rsid w:val="007E77BC"/>
    <w:rsid w:val="007F2106"/>
    <w:rsid w:val="00800E25"/>
    <w:rsid w:val="00801634"/>
    <w:rsid w:val="00804847"/>
    <w:rsid w:val="0080537B"/>
    <w:rsid w:val="008219CF"/>
    <w:rsid w:val="00821E0A"/>
    <w:rsid w:val="00833CB9"/>
    <w:rsid w:val="00834062"/>
    <w:rsid w:val="00837104"/>
    <w:rsid w:val="00840E8F"/>
    <w:rsid w:val="0084100F"/>
    <w:rsid w:val="00845AE3"/>
    <w:rsid w:val="00851D2E"/>
    <w:rsid w:val="0085243E"/>
    <w:rsid w:val="00855D53"/>
    <w:rsid w:val="00866E9E"/>
    <w:rsid w:val="00870F46"/>
    <w:rsid w:val="008712FA"/>
    <w:rsid w:val="00873EE6"/>
    <w:rsid w:val="0088641C"/>
    <w:rsid w:val="00893500"/>
    <w:rsid w:val="008B1ED1"/>
    <w:rsid w:val="008B328A"/>
    <w:rsid w:val="008B5ABD"/>
    <w:rsid w:val="008B5B0C"/>
    <w:rsid w:val="008B618F"/>
    <w:rsid w:val="008B61DA"/>
    <w:rsid w:val="008C6A62"/>
    <w:rsid w:val="008C6D81"/>
    <w:rsid w:val="008D2525"/>
    <w:rsid w:val="008D44C5"/>
    <w:rsid w:val="008D7E85"/>
    <w:rsid w:val="008E19FF"/>
    <w:rsid w:val="008E53FF"/>
    <w:rsid w:val="008F067E"/>
    <w:rsid w:val="008F249D"/>
    <w:rsid w:val="008F54F8"/>
    <w:rsid w:val="009011AA"/>
    <w:rsid w:val="00906CC3"/>
    <w:rsid w:val="00911391"/>
    <w:rsid w:val="00912F9F"/>
    <w:rsid w:val="00917D56"/>
    <w:rsid w:val="00924DCB"/>
    <w:rsid w:val="00931C9D"/>
    <w:rsid w:val="00933A00"/>
    <w:rsid w:val="00933BFD"/>
    <w:rsid w:val="009370F9"/>
    <w:rsid w:val="00941691"/>
    <w:rsid w:val="00942AED"/>
    <w:rsid w:val="00944E25"/>
    <w:rsid w:val="00953F15"/>
    <w:rsid w:val="00953F97"/>
    <w:rsid w:val="009642AB"/>
    <w:rsid w:val="00982BCB"/>
    <w:rsid w:val="009847D9"/>
    <w:rsid w:val="0099286C"/>
    <w:rsid w:val="00993F03"/>
    <w:rsid w:val="0099435F"/>
    <w:rsid w:val="00996BC5"/>
    <w:rsid w:val="00996FA7"/>
    <w:rsid w:val="009A6D34"/>
    <w:rsid w:val="009B3630"/>
    <w:rsid w:val="009B4816"/>
    <w:rsid w:val="009B5037"/>
    <w:rsid w:val="009B52CB"/>
    <w:rsid w:val="009C0ABC"/>
    <w:rsid w:val="009C1BA8"/>
    <w:rsid w:val="009C2B37"/>
    <w:rsid w:val="009C2D0D"/>
    <w:rsid w:val="009C3492"/>
    <w:rsid w:val="009C49C6"/>
    <w:rsid w:val="009C5AA4"/>
    <w:rsid w:val="009D02D4"/>
    <w:rsid w:val="009D367D"/>
    <w:rsid w:val="009D60E3"/>
    <w:rsid w:val="009E0D67"/>
    <w:rsid w:val="009E20FA"/>
    <w:rsid w:val="009E4985"/>
    <w:rsid w:val="009F16C5"/>
    <w:rsid w:val="009F3E11"/>
    <w:rsid w:val="009F6AF8"/>
    <w:rsid w:val="009F6E78"/>
    <w:rsid w:val="009F7C7E"/>
    <w:rsid w:val="00A01148"/>
    <w:rsid w:val="00A07C23"/>
    <w:rsid w:val="00A12F8C"/>
    <w:rsid w:val="00A1323B"/>
    <w:rsid w:val="00A16880"/>
    <w:rsid w:val="00A273FB"/>
    <w:rsid w:val="00A31DC5"/>
    <w:rsid w:val="00A33CC3"/>
    <w:rsid w:val="00A36C27"/>
    <w:rsid w:val="00A40C81"/>
    <w:rsid w:val="00A436CD"/>
    <w:rsid w:val="00A5180B"/>
    <w:rsid w:val="00A528C6"/>
    <w:rsid w:val="00A55E36"/>
    <w:rsid w:val="00A55E42"/>
    <w:rsid w:val="00A602EC"/>
    <w:rsid w:val="00A61352"/>
    <w:rsid w:val="00A6457C"/>
    <w:rsid w:val="00A6541F"/>
    <w:rsid w:val="00A703E0"/>
    <w:rsid w:val="00A71D10"/>
    <w:rsid w:val="00A740A0"/>
    <w:rsid w:val="00A80D2F"/>
    <w:rsid w:val="00A81D9B"/>
    <w:rsid w:val="00A8757B"/>
    <w:rsid w:val="00A91250"/>
    <w:rsid w:val="00A92044"/>
    <w:rsid w:val="00A9207C"/>
    <w:rsid w:val="00A9727D"/>
    <w:rsid w:val="00AA16B9"/>
    <w:rsid w:val="00AA47DC"/>
    <w:rsid w:val="00AB1D0F"/>
    <w:rsid w:val="00AB24DA"/>
    <w:rsid w:val="00AB39BD"/>
    <w:rsid w:val="00AB624E"/>
    <w:rsid w:val="00AC2725"/>
    <w:rsid w:val="00AC2C09"/>
    <w:rsid w:val="00AC6B6F"/>
    <w:rsid w:val="00AE11FC"/>
    <w:rsid w:val="00AE3E04"/>
    <w:rsid w:val="00AE418C"/>
    <w:rsid w:val="00AE6354"/>
    <w:rsid w:val="00AF038A"/>
    <w:rsid w:val="00AF15AF"/>
    <w:rsid w:val="00AF6EB4"/>
    <w:rsid w:val="00B01141"/>
    <w:rsid w:val="00B02E33"/>
    <w:rsid w:val="00B04CF2"/>
    <w:rsid w:val="00B201D0"/>
    <w:rsid w:val="00B214A1"/>
    <w:rsid w:val="00B22D5C"/>
    <w:rsid w:val="00B243E3"/>
    <w:rsid w:val="00B263F0"/>
    <w:rsid w:val="00B2716E"/>
    <w:rsid w:val="00B32703"/>
    <w:rsid w:val="00B422E7"/>
    <w:rsid w:val="00B5183F"/>
    <w:rsid w:val="00B54313"/>
    <w:rsid w:val="00B60B5F"/>
    <w:rsid w:val="00B6496F"/>
    <w:rsid w:val="00B66E59"/>
    <w:rsid w:val="00B71AA4"/>
    <w:rsid w:val="00B7431C"/>
    <w:rsid w:val="00B8064D"/>
    <w:rsid w:val="00B80F06"/>
    <w:rsid w:val="00B827C6"/>
    <w:rsid w:val="00B84CEB"/>
    <w:rsid w:val="00B8671F"/>
    <w:rsid w:val="00B9231C"/>
    <w:rsid w:val="00B93F09"/>
    <w:rsid w:val="00B95C5E"/>
    <w:rsid w:val="00BA53E2"/>
    <w:rsid w:val="00BB1390"/>
    <w:rsid w:val="00BB6513"/>
    <w:rsid w:val="00BB74FA"/>
    <w:rsid w:val="00BB7BAC"/>
    <w:rsid w:val="00BC5911"/>
    <w:rsid w:val="00BC5E45"/>
    <w:rsid w:val="00BC738E"/>
    <w:rsid w:val="00BD0576"/>
    <w:rsid w:val="00BD0FB2"/>
    <w:rsid w:val="00BD2427"/>
    <w:rsid w:val="00BD5D3D"/>
    <w:rsid w:val="00BD63C6"/>
    <w:rsid w:val="00BE50D0"/>
    <w:rsid w:val="00BF16FE"/>
    <w:rsid w:val="00BF49CB"/>
    <w:rsid w:val="00BF7872"/>
    <w:rsid w:val="00C012F5"/>
    <w:rsid w:val="00C068BC"/>
    <w:rsid w:val="00C134E9"/>
    <w:rsid w:val="00C15EDD"/>
    <w:rsid w:val="00C160AE"/>
    <w:rsid w:val="00C17081"/>
    <w:rsid w:val="00C206CC"/>
    <w:rsid w:val="00C20A85"/>
    <w:rsid w:val="00C2267A"/>
    <w:rsid w:val="00C27491"/>
    <w:rsid w:val="00C27FD4"/>
    <w:rsid w:val="00C365E2"/>
    <w:rsid w:val="00C420E7"/>
    <w:rsid w:val="00C42280"/>
    <w:rsid w:val="00C44EFB"/>
    <w:rsid w:val="00C47656"/>
    <w:rsid w:val="00C524A1"/>
    <w:rsid w:val="00C55264"/>
    <w:rsid w:val="00C612D6"/>
    <w:rsid w:val="00C6695C"/>
    <w:rsid w:val="00C804ED"/>
    <w:rsid w:val="00C91193"/>
    <w:rsid w:val="00C91BA2"/>
    <w:rsid w:val="00C94724"/>
    <w:rsid w:val="00C97946"/>
    <w:rsid w:val="00CA032D"/>
    <w:rsid w:val="00CA4F91"/>
    <w:rsid w:val="00CA7ABB"/>
    <w:rsid w:val="00CB2CD1"/>
    <w:rsid w:val="00CB57E5"/>
    <w:rsid w:val="00CB7EE8"/>
    <w:rsid w:val="00CC0BDA"/>
    <w:rsid w:val="00CC0CE2"/>
    <w:rsid w:val="00CC3B0C"/>
    <w:rsid w:val="00CD4EFC"/>
    <w:rsid w:val="00CE432C"/>
    <w:rsid w:val="00CE6DBB"/>
    <w:rsid w:val="00D0307A"/>
    <w:rsid w:val="00D0520C"/>
    <w:rsid w:val="00D14555"/>
    <w:rsid w:val="00D17DCC"/>
    <w:rsid w:val="00D21A39"/>
    <w:rsid w:val="00D30DE5"/>
    <w:rsid w:val="00D31359"/>
    <w:rsid w:val="00D32EF0"/>
    <w:rsid w:val="00D34665"/>
    <w:rsid w:val="00D35E52"/>
    <w:rsid w:val="00D36FA6"/>
    <w:rsid w:val="00D41E9A"/>
    <w:rsid w:val="00D42761"/>
    <w:rsid w:val="00D43390"/>
    <w:rsid w:val="00D43A5C"/>
    <w:rsid w:val="00D46185"/>
    <w:rsid w:val="00D466DB"/>
    <w:rsid w:val="00D53F31"/>
    <w:rsid w:val="00D5584D"/>
    <w:rsid w:val="00D62269"/>
    <w:rsid w:val="00D62EDC"/>
    <w:rsid w:val="00D63D44"/>
    <w:rsid w:val="00D847F3"/>
    <w:rsid w:val="00D9081C"/>
    <w:rsid w:val="00D90FB5"/>
    <w:rsid w:val="00D92017"/>
    <w:rsid w:val="00D9292A"/>
    <w:rsid w:val="00D92C87"/>
    <w:rsid w:val="00D965F8"/>
    <w:rsid w:val="00D976DC"/>
    <w:rsid w:val="00DA244B"/>
    <w:rsid w:val="00DA7F88"/>
    <w:rsid w:val="00DB3DE7"/>
    <w:rsid w:val="00DB52E7"/>
    <w:rsid w:val="00DB7BA7"/>
    <w:rsid w:val="00DC0318"/>
    <w:rsid w:val="00DD1D5F"/>
    <w:rsid w:val="00DD5636"/>
    <w:rsid w:val="00DE0269"/>
    <w:rsid w:val="00DE2A51"/>
    <w:rsid w:val="00DF17A0"/>
    <w:rsid w:val="00E012C5"/>
    <w:rsid w:val="00E023A9"/>
    <w:rsid w:val="00E07D1B"/>
    <w:rsid w:val="00E158FD"/>
    <w:rsid w:val="00E218E2"/>
    <w:rsid w:val="00E22352"/>
    <w:rsid w:val="00E23FEE"/>
    <w:rsid w:val="00E25BE4"/>
    <w:rsid w:val="00E3188B"/>
    <w:rsid w:val="00E32DFF"/>
    <w:rsid w:val="00E42486"/>
    <w:rsid w:val="00E471B3"/>
    <w:rsid w:val="00E51DC4"/>
    <w:rsid w:val="00E548A7"/>
    <w:rsid w:val="00E57E49"/>
    <w:rsid w:val="00E6065B"/>
    <w:rsid w:val="00E61116"/>
    <w:rsid w:val="00E6116D"/>
    <w:rsid w:val="00E61C50"/>
    <w:rsid w:val="00E65D4A"/>
    <w:rsid w:val="00E721AD"/>
    <w:rsid w:val="00E7237D"/>
    <w:rsid w:val="00E90559"/>
    <w:rsid w:val="00E9249A"/>
    <w:rsid w:val="00EA50D7"/>
    <w:rsid w:val="00EA5366"/>
    <w:rsid w:val="00EA56BF"/>
    <w:rsid w:val="00EC09CF"/>
    <w:rsid w:val="00EC3533"/>
    <w:rsid w:val="00EC4289"/>
    <w:rsid w:val="00EC7BFC"/>
    <w:rsid w:val="00ED255F"/>
    <w:rsid w:val="00ED7958"/>
    <w:rsid w:val="00EE7687"/>
    <w:rsid w:val="00EF2F33"/>
    <w:rsid w:val="00EF596C"/>
    <w:rsid w:val="00EF5F93"/>
    <w:rsid w:val="00F07750"/>
    <w:rsid w:val="00F15646"/>
    <w:rsid w:val="00F1748F"/>
    <w:rsid w:val="00F26996"/>
    <w:rsid w:val="00F30A77"/>
    <w:rsid w:val="00F33A67"/>
    <w:rsid w:val="00F4393F"/>
    <w:rsid w:val="00F4691A"/>
    <w:rsid w:val="00F46A3A"/>
    <w:rsid w:val="00F5375D"/>
    <w:rsid w:val="00F5454E"/>
    <w:rsid w:val="00F63711"/>
    <w:rsid w:val="00F715C3"/>
    <w:rsid w:val="00F718BD"/>
    <w:rsid w:val="00F760BC"/>
    <w:rsid w:val="00F76BA7"/>
    <w:rsid w:val="00F80507"/>
    <w:rsid w:val="00F83CD3"/>
    <w:rsid w:val="00F8437B"/>
    <w:rsid w:val="00F85F61"/>
    <w:rsid w:val="00F863B8"/>
    <w:rsid w:val="00F95487"/>
    <w:rsid w:val="00F95DEF"/>
    <w:rsid w:val="00FA0AF8"/>
    <w:rsid w:val="00FA1553"/>
    <w:rsid w:val="00FA4DF8"/>
    <w:rsid w:val="00FB45FB"/>
    <w:rsid w:val="00FB4ED2"/>
    <w:rsid w:val="00FB5A98"/>
    <w:rsid w:val="00FB7313"/>
    <w:rsid w:val="00FB75E9"/>
    <w:rsid w:val="00FC09A1"/>
    <w:rsid w:val="00FC10BC"/>
    <w:rsid w:val="00FC1781"/>
    <w:rsid w:val="00FC244F"/>
    <w:rsid w:val="00FC3E81"/>
    <w:rsid w:val="00FD79DA"/>
    <w:rsid w:val="00FE0405"/>
    <w:rsid w:val="00FE1A90"/>
    <w:rsid w:val="00FE2ADC"/>
    <w:rsid w:val="00FE5997"/>
    <w:rsid w:val="00FF0950"/>
    <w:rsid w:val="00FF40B3"/>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403B0C9E-795F-4BF9-9012-14B0679EA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GB" w:eastAsia="de-DE"/>
    </w:rPr>
  </w:style>
  <w:style w:type="paragraph" w:styleId="Ttulo1">
    <w:name w:val="heading 1"/>
    <w:basedOn w:val="Normal"/>
    <w:next w:val="Normal"/>
    <w:rsid w:val="004C4EE9"/>
    <w:pPr>
      <w:keepNext/>
      <w:outlineLvl w:val="0"/>
    </w:pPr>
    <w:rPr>
      <w:b/>
      <w:sz w:val="28"/>
      <w:szCs w:val="20"/>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eastAsia="es-ES"/>
    </w:rPr>
  </w:style>
  <w:style w:type="paragraph" w:customStyle="1" w:styleId="AuthorAdress">
    <w:name w:val="AuthorAdress"/>
    <w:basedOn w:val="Normal"/>
    <w:next w:val="Affiliations"/>
    <w:rsid w:val="00155FB8"/>
    <w:pPr>
      <w:spacing w:after="120" w:line="320" w:lineRule="atLeast"/>
      <w:jc w:val="center"/>
    </w:pPr>
    <w:rPr>
      <w:i/>
      <w:lang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Descripcin">
    <w:name w:val="caption"/>
    <w:basedOn w:val="SWCTableFigureCaption"/>
    <w:next w:val="Normal"/>
    <w:uiPriority w:val="35"/>
    <w:unhideWhenUsed/>
    <w:qFormat/>
    <w:rsid w:val="00F26996"/>
    <w:rPr>
      <w:lang w:val="en-GB"/>
    </w:rPr>
  </w:style>
  <w:style w:type="character" w:styleId="Mencinsinresolver">
    <w:name w:val="Unresolved Mention"/>
    <w:basedOn w:val="Fuentedeprrafopredeter"/>
    <w:uiPriority w:val="99"/>
    <w:semiHidden/>
    <w:unhideWhenUsed/>
    <w:rsid w:val="00D92C87"/>
    <w:rPr>
      <w:color w:val="605E5C"/>
      <w:shd w:val="clear" w:color="auto" w:fill="E1DFDD"/>
    </w:rPr>
  </w:style>
  <w:style w:type="paragraph" w:styleId="NormalWeb">
    <w:name w:val="Normal (Web)"/>
    <w:basedOn w:val="Normal"/>
    <w:uiPriority w:val="99"/>
    <w:semiHidden/>
    <w:unhideWhenUsed/>
    <w:rsid w:val="002E6989"/>
    <w:pPr>
      <w:spacing w:before="100" w:beforeAutospacing="1" w:after="100" w:afterAutospacing="1"/>
    </w:pPr>
    <w:rPr>
      <w:kern w:val="2"/>
      <w:lang w:val="es-ES" w:eastAsia="es-ES"/>
      <w14:ligatures w14:val="standardContextual"/>
    </w:rPr>
  </w:style>
  <w:style w:type="table" w:styleId="Tablaconcuadrcula4-nfasis1">
    <w:name w:val="Grid Table 4 Accent 1"/>
    <w:basedOn w:val="Tablanormal"/>
    <w:uiPriority w:val="49"/>
    <w:rsid w:val="002E698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swctableheader0">
    <w:name w:val="swctableheader"/>
    <w:basedOn w:val="Normal"/>
    <w:rsid w:val="002E6989"/>
    <w:pPr>
      <w:spacing w:before="100" w:beforeAutospacing="1" w:after="100" w:afterAutospacing="1"/>
    </w:pPr>
    <w:rPr>
      <w:kern w:val="2"/>
      <w:lang w:val="es-ES" w:eastAsia="es-ES"/>
      <w14:ligatures w14:val="standardContextual"/>
    </w:rPr>
  </w:style>
  <w:style w:type="paragraph" w:customStyle="1" w:styleId="swctabletext0">
    <w:name w:val="swctabletext"/>
    <w:basedOn w:val="Normal"/>
    <w:rsid w:val="002E6989"/>
    <w:pPr>
      <w:spacing w:before="100" w:beforeAutospacing="1" w:after="100" w:afterAutospacing="1"/>
    </w:pPr>
    <w:rPr>
      <w:kern w:val="2"/>
      <w:lang w:val="es-ES" w:eastAsia="es-ES"/>
      <w14:ligatures w14:val="standardContextual"/>
    </w:rPr>
  </w:style>
  <w:style w:type="table" w:styleId="Tablanormal5">
    <w:name w:val="Plain Table 5"/>
    <w:basedOn w:val="Tablanormal"/>
    <w:uiPriority w:val="45"/>
    <w:rsid w:val="002E698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2">
    <w:name w:val="Plain Table 2"/>
    <w:basedOn w:val="Tablanormal"/>
    <w:uiPriority w:val="42"/>
    <w:rsid w:val="002E698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rrafodelista">
    <w:name w:val="List Paragraph"/>
    <w:basedOn w:val="Normal"/>
    <w:uiPriority w:val="34"/>
    <w:rsid w:val="00070D26"/>
    <w:pPr>
      <w:ind w:left="720"/>
      <w:contextualSpacing/>
    </w:pPr>
  </w:style>
  <w:style w:type="paragraph" w:customStyle="1" w:styleId="swcreferences0">
    <w:name w:val="swcreferences"/>
    <w:basedOn w:val="Normal"/>
    <w:rsid w:val="0050554E"/>
    <w:pPr>
      <w:spacing w:before="100" w:beforeAutospacing="1" w:after="100" w:afterAutospacing="1"/>
    </w:pPr>
    <w:rPr>
      <w:kern w:val="2"/>
      <w:lang w:val="es-ES" w:eastAsia="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41629">
      <w:marLeft w:val="480"/>
      <w:marRight w:val="0"/>
      <w:marTop w:val="0"/>
      <w:marBottom w:val="0"/>
      <w:divBdr>
        <w:top w:val="none" w:sz="0" w:space="0" w:color="auto"/>
        <w:left w:val="none" w:sz="0" w:space="0" w:color="auto"/>
        <w:bottom w:val="none" w:sz="0" w:space="0" w:color="auto"/>
        <w:right w:val="none" w:sz="0" w:space="0" w:color="auto"/>
      </w:divBdr>
    </w:div>
    <w:div w:id="485976062">
      <w:marLeft w:val="480"/>
      <w:marRight w:val="0"/>
      <w:marTop w:val="0"/>
      <w:marBottom w:val="0"/>
      <w:divBdr>
        <w:top w:val="none" w:sz="0" w:space="0" w:color="auto"/>
        <w:left w:val="none" w:sz="0" w:space="0" w:color="auto"/>
        <w:bottom w:val="none" w:sz="0" w:space="0" w:color="auto"/>
        <w:right w:val="none" w:sz="0" w:space="0" w:color="auto"/>
      </w:divBdr>
    </w:div>
    <w:div w:id="628629031">
      <w:marLeft w:val="480"/>
      <w:marRight w:val="0"/>
      <w:marTop w:val="0"/>
      <w:marBottom w:val="0"/>
      <w:divBdr>
        <w:top w:val="none" w:sz="0" w:space="0" w:color="auto"/>
        <w:left w:val="none" w:sz="0" w:space="0" w:color="auto"/>
        <w:bottom w:val="none" w:sz="0" w:space="0" w:color="auto"/>
        <w:right w:val="none" w:sz="0" w:space="0" w:color="auto"/>
      </w:divBdr>
    </w:div>
    <w:div w:id="733426726">
      <w:marLeft w:val="480"/>
      <w:marRight w:val="0"/>
      <w:marTop w:val="0"/>
      <w:marBottom w:val="0"/>
      <w:divBdr>
        <w:top w:val="none" w:sz="0" w:space="0" w:color="auto"/>
        <w:left w:val="none" w:sz="0" w:space="0" w:color="auto"/>
        <w:bottom w:val="none" w:sz="0" w:space="0" w:color="auto"/>
        <w:right w:val="none" w:sz="0" w:space="0" w:color="auto"/>
      </w:divBdr>
    </w:div>
    <w:div w:id="935594088">
      <w:marLeft w:val="480"/>
      <w:marRight w:val="0"/>
      <w:marTop w:val="0"/>
      <w:marBottom w:val="0"/>
      <w:divBdr>
        <w:top w:val="none" w:sz="0" w:space="0" w:color="auto"/>
        <w:left w:val="none" w:sz="0" w:space="0" w:color="auto"/>
        <w:bottom w:val="none" w:sz="0" w:space="0" w:color="auto"/>
        <w:right w:val="none" w:sz="0" w:space="0" w:color="auto"/>
      </w:divBdr>
    </w:div>
    <w:div w:id="1007168778">
      <w:marLeft w:val="480"/>
      <w:marRight w:val="0"/>
      <w:marTop w:val="0"/>
      <w:marBottom w:val="0"/>
      <w:divBdr>
        <w:top w:val="none" w:sz="0" w:space="0" w:color="auto"/>
        <w:left w:val="none" w:sz="0" w:space="0" w:color="auto"/>
        <w:bottom w:val="none" w:sz="0" w:space="0" w:color="auto"/>
        <w:right w:val="none" w:sz="0" w:space="0" w:color="auto"/>
      </w:divBdr>
    </w:div>
    <w:div w:id="1229808439">
      <w:marLeft w:val="480"/>
      <w:marRight w:val="0"/>
      <w:marTop w:val="0"/>
      <w:marBottom w:val="0"/>
      <w:divBdr>
        <w:top w:val="none" w:sz="0" w:space="0" w:color="auto"/>
        <w:left w:val="none" w:sz="0" w:space="0" w:color="auto"/>
        <w:bottom w:val="none" w:sz="0" w:space="0" w:color="auto"/>
        <w:right w:val="none" w:sz="0" w:space="0" w:color="auto"/>
      </w:divBdr>
    </w:div>
    <w:div w:id="1255213670">
      <w:marLeft w:val="480"/>
      <w:marRight w:val="0"/>
      <w:marTop w:val="0"/>
      <w:marBottom w:val="0"/>
      <w:divBdr>
        <w:top w:val="none" w:sz="0" w:space="0" w:color="auto"/>
        <w:left w:val="none" w:sz="0" w:space="0" w:color="auto"/>
        <w:bottom w:val="none" w:sz="0" w:space="0" w:color="auto"/>
        <w:right w:val="none" w:sz="0" w:space="0" w:color="auto"/>
      </w:divBdr>
    </w:div>
    <w:div w:id="1317148563">
      <w:marLeft w:val="480"/>
      <w:marRight w:val="0"/>
      <w:marTop w:val="0"/>
      <w:marBottom w:val="0"/>
      <w:divBdr>
        <w:top w:val="none" w:sz="0" w:space="0" w:color="auto"/>
        <w:left w:val="none" w:sz="0" w:space="0" w:color="auto"/>
        <w:bottom w:val="none" w:sz="0" w:space="0" w:color="auto"/>
        <w:right w:val="none" w:sz="0" w:space="0" w:color="auto"/>
      </w:divBdr>
    </w:div>
    <w:div w:id="1381202637">
      <w:marLeft w:val="480"/>
      <w:marRight w:val="0"/>
      <w:marTop w:val="0"/>
      <w:marBottom w:val="0"/>
      <w:divBdr>
        <w:top w:val="none" w:sz="0" w:space="0" w:color="auto"/>
        <w:left w:val="none" w:sz="0" w:space="0" w:color="auto"/>
        <w:bottom w:val="none" w:sz="0" w:space="0" w:color="auto"/>
        <w:right w:val="none" w:sz="0" w:space="0" w:color="auto"/>
      </w:divBdr>
    </w:div>
    <w:div w:id="1485658050">
      <w:marLeft w:val="480"/>
      <w:marRight w:val="0"/>
      <w:marTop w:val="0"/>
      <w:marBottom w:val="0"/>
      <w:divBdr>
        <w:top w:val="none" w:sz="0" w:space="0" w:color="auto"/>
        <w:left w:val="none" w:sz="0" w:space="0" w:color="auto"/>
        <w:bottom w:val="none" w:sz="0" w:space="0" w:color="auto"/>
        <w:right w:val="none" w:sz="0" w:space="0" w:color="auto"/>
      </w:divBdr>
    </w:div>
    <w:div w:id="1897931982">
      <w:marLeft w:val="480"/>
      <w:marRight w:val="0"/>
      <w:marTop w:val="0"/>
      <w:marBottom w:val="0"/>
      <w:divBdr>
        <w:top w:val="none" w:sz="0" w:space="0" w:color="auto"/>
        <w:left w:val="none" w:sz="0" w:space="0" w:color="auto"/>
        <w:bottom w:val="none" w:sz="0" w:space="0" w:color="auto"/>
        <w:right w:val="none" w:sz="0" w:space="0" w:color="auto"/>
      </w:divBdr>
    </w:div>
    <w:div w:id="212260081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A989B0-9424-4C4A-9B92-2F43301B30BC}">
  <we:reference id="wa104382081" version="1.55.1.0" store="es-ES" storeType="OMEX"/>
  <we:alternateReferences>
    <we:reference id="wa104382081" version="1.55.1.0" store="WA104382081" storeType="OMEX"/>
  </we:alternateReferences>
  <we:properties>
    <we:property name="MENDELEY_BIBLIOGRAPHY_IS_DIRTY" value="true"/>
    <we:property name="MENDELEY_BIBLIOGRAPHY_LAST_MODIFIED" value="1774536109356"/>
    <we:property name="MENDELEY_CITATIONS" value="[{&quot;citationID&quot;:&quot;MENDELEY_CITATION_d08b651b-ad04-4d91-acec-5445ca240de6&quot;,&quot;properties&quot;:{&quot;noteIndex&quot;:0},&quot;isEdited&quot;:false,&quot;manualOverride&quot;:{&quot;isManuallyOverridden&quot;:false,&quot;citeprocText&quot;:&quot;(Khorrami et al., 2025; Yiasoumas et al., 2023)&quot;,&quot;manualOverrideText&quot;:&quot;&quot;},&quot;citationTag&quot;:&quot;MENDELEY_CITATION_v3_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&quot;,&quot;citationItems&quot;:[{&quot;id&quot;:&quot;6126f69c-0dd3-381c-b96b-466617b624ff&quot;,&quot;itemData&quot;:{&quot;type&quot;:&quot;article&quot;,&quot;id&quot;:&quot;6126f69c-0dd3-381c-b96b-466617b624ff&quot;,&quot;title&quot;:&quot;Key Aspects and Challenges in the Implementation of Energy Communities&quot;,&quot;author&quot;:[{&quot;family&quot;:&quot;Yiasoumas&quot;,&quot;given&quot;:&quot;Georgios&quot;,&quot;parse-names&quot;:false,&quot;dropping-particle&quot;:&quot;&quot;,&quot;non-dropping-particle&quot;:&quot;&quot;},{&quot;family&quot;:&quot;Berbakov&quot;,&quot;given&quot;:&quot;Lazar&quot;,&quot;parse-names&quot;:false,&quot;dropping-particle&quot;:&quot;&quot;,&quot;non-dropping-particle&quot;:&quot;&quot;},{&quot;family&quot;:&quot;Janev&quot;,&quot;given&quot;:&quot;Valentina&quot;,&quot;parse-names&quot;:false,&quot;dropping-particle&quot;:&quot;&quot;,&quot;non-dropping-particle&quot;:&quot;&quot;},{&quot;family&quot;:&quot;Asmundo&quot;,&quot;given&quot;:&quot;Alessandro&quot;,&quot;parse-names&quot;:false,&quot;dropping-particle&quot;:&quot;&quot;,&quot;non-dropping-particle&quot;:&quot;&quot;},{&quot;family&quot;:&quot;Olabarrieta&quot;,&quot;given&quot;:&quot;Eneko&quot;,&quot;parse-names&quot;:false,&quot;dropping-particle&quot;:&quot;&quot;,&quot;non-dropping-particle&quot;:&quot;&quot;},{&quot;family&quot;:&quot;Vinci&quot;,&quot;given&quot;:&quot;Andrea&quot;,&quot;parse-names&quot;:false,&quot;dropping-particle&quot;:&quot;&quot;,&quot;non-dropping-particle&quot;:&quot;&quot;},{&quot;family&quot;:&quot;Baglietto&quot;,&quot;given&quot;:&quot;Giovanni&quot;,&quot;parse-names&quot;:false,&quot;dropping-particle&quot;:&quot;&quot;,&quot;non-dropping-particle&quot;:&quot;&quot;},{&quot;family&quot;:&quot;Georghiou&quot;,&quot;given&quot;:&quot;George E.&quot;,&quot;parse-names&quot;:false,&quot;dropping-particle&quot;:&quot;&quot;,&quot;non-dropping-particle&quot;:&quot;&quot;}],&quot;container-title&quot;:&quot;Energies&quot;,&quot;container-title-short&quot;:&quot;Energies (Basel).&quot;,&quot;DOI&quot;:&quot;10.3390/en16124703&quot;,&quot;ISSN&quot;:&quot;19961073&quot;,&quot;issued&quot;:{&quot;date-parts&quot;:[[2023,6,1]]},&quot;abstract&quot;:&quot;Energy communities (ECs) are an important tool towards a fair energy transition. Hence, the European Union (EU) has positioned ECs at the centre of its energy strategy and the foreseen transformation of its energy system. This paper aims to give an overview of key aspects and challenges for the implementation of the EC concept. Firstly, the regulatory framework is examined with a focus on the new definitions for ECs introduced by the EU, Renewable Energy Communities (RECs) and Citizen Energy Communities (CECs). Secondly, examples of established ECs and their main objectives are mentioned. Additionally, based on the identified challenges and requirements of establishing ECs, the key technologies that are implemented or have the potential to be deployed in an EC are examined, as well as innovative cross-cutting services that are optimally suited to be integrated in an EC. Moreover, the data management challenges linked to some of these technologies are considered. Finally, an overview of actual or potential financing schemes to support the EC development is given. Overall, the analysis highlighted the regulatory, technical and financial aspects and challenges that ECs are facing and the need to address them so that the EC concept is effective and successful. The main challenges identified for each of these aspects are the regulatory compliance with the legal framework, the data management dimension when innovative technological concepts are adopted and the financing of new projects.&quot;,&quot;publisher&quot;:&quot;MDPI&quot;,&quot;issue&quot;:&quot;12&quot;,&quot;volume&quot;:&quot;16&quot;},&quot;isTemporary&quot;:false},{&quot;id&quot;:&quot;42cee4a6-b89a-3c6c-b00d-a21ccd0abff7&quot;,&quot;itemData&quot;:{&quot;type&quot;:&quot;article&quot;,&quot;id&quot;:&quot;42cee4a6-b89a-3c6c-b00d-a21ccd0abff7&quot;,&quot;title&quot;:&quot;A Review on Energy Communities Development, Opportunities and Challenges in Germany, Spain, and Italy&quot;,&quot;author&quot;:[{&quot;family&quot;:&quot;Khorrami&quot;,&quot;given&quot;:&quot;Saeed&quot;,&quot;parse-names&quot;:false,&quot;dropping-particle&quot;:&quot;&quot;,&quot;non-dropping-particle&quot;:&quot;&quot;},{&quot;family&quot;:&quot;Falvo&quot;,&quot;given&quot;:&quot;Maria Carmen&quot;,&quot;parse-names&quot;:false,&quot;dropping-particle&quot;:&quot;&quot;,&quot;non-dropping-particle&quot;:&quot;&quot;},{&quot;family&quot;:&quot;Pompili&quot;,&quot;given&quot;:&quot;Massimo&quot;,&quot;parse-names&quot;:false,&quot;dropping-particle&quot;:&quot;&quot;,&quot;non-dropping-particle&quot;:&quot;&quot;}],&quot;container-title&quot;:&quot;IEEE Access&quot;,&quot;DOI&quot;:&quot;10.1109/ACCESS.2025.3579336&quot;,&quot;ISSN&quot;:&quot;21693536&quot;,&quot;issued&quot;:{&quot;date-parts&quot;:[[2025]]},&quot;page&quot;:&quot;103385-103404&quot;,&quot;abstract&quot;:&quot;The European Union introduced key directives regarding the use of the Clean Energy Package for All Europeans to accelerate the transition to clean energy in 2019. These directives, the Renewable Energy Directive II and the Internal Energy Market Directive, significantly transformed the regulatory and operational framework of energy communities (ECs) in European countries. This paper presents a systematic review of how Germany, Spain, and Italy implemented these directives by identifying their operational and management impacts on ECs. This analysis highlights how national policy differences shape ECs development. By applying VOSviewer as a bibliometric analysis tool and NVivo as content analysis software, we evaluated the determining factors and barriers influencing the development of ECs to provide innovative insights. The study focuses on key aspects such as grid management, citizen participation, technological advancements, and flexibility in energy systems. It then assesses both the opportunities and challenges these countries face. The findings of our study show that national strategies enhanced grid efficiency, participatory mechanisms, and technological integrations, while they also faced grid management, flexibility, and regulatory barriers. This research can guide policymakers and stakeholders to refine governance frameworks and operational practices, enhancing the scalability and resilience of ECs across Europe.&quot;,&quot;publisher&quot;:&quot;Institute of Electrical and Electronics Engineers Inc.&quot;,&quot;volume&quot;:&quot;13&quot;,&quot;container-title-short&quot;:&quot;&quot;},&quot;isTemporary&quot;:false}]},{&quot;citationID&quot;:&quot;MENDELEY_CITATION_d20aa50f-e9ff-4db9-84bc-80f48a0fc4ea&quot;,&quot;properties&quot;:{&quot;noteIndex&quot;:0},&quot;isEdited&quot;:false,&quot;manualOverride&quot;:{&quot;isManuallyOverridden&quot;:false,&quot;citeprocText&quot;:&quot;(Gallego-Castillo et al., 2021)&quot;,&quot;manualOverrideText&quot;:&quot;&quot;},&quot;citationTag&quot;:&quot;MENDELEY_CITATION_v3_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&quot;,&quot;citationItems&quot;:[{&quot;id&quot;:&quot;78ee9b6c-4156-388d-b145-39a01f7a09b4&quot;,&quot;itemData&quot;:{&quot;type&quot;:&quot;report&quot;,&quot;id&quot;:&quot;78ee9b6c-4156-388d-b145-39a01f7a09b4&quot;,&quot;title&quot;:&quot;Self-consumption for energy communities in Spain: a regional analysis under the new legal framework&quot;,&quot;author&quot;:[{&quot;family&quot;:&quot;Gallego-Castillo&quot;,&quot;given&quot;:&quot;Cristobal&quot;,&quot;parse-names&quot;:false,&quot;dropping-particle&quot;:&quot;&quot;,&quot;non-dropping-particle&quot;:&quot;&quot;},{&quot;family&quot;:&quot;Heleno&quot;,&quot;given&quot;:&quot;Miguel&quot;,&quot;parse-names&quot;:false,&quot;dropping-particle&quot;:&quot;&quot;,&quot;non-dropping-particle&quot;:&quot;&quot;},{&quot;family&quot;:&quot;Victoria&quot;,&quot;given&quot;:&quot;Marta&quot;,&quot;parse-names&quot;:false,&quot;dropping-particle&quot;:&quot;&quot;,&quot;non-dropping-particle&quot;:&quot;&quot;}],&quot;issued&quot;:{&quot;date-parts&quot;:[[2021]]},&quot;abstract&quot;:&quot;European climate polices acknowledge the role that energy communities can play in the energy transition. Self-consumption installations shared among those living in the same building are a good example of such energy communities. In this work, a regional analysis of optimal self-consumption installations under the new legal framework recently passed in Spain is performed. Results show that the optimal sizing of the installation leads to economic savings for self-consumers in all the territory, for both options with and without remuneration for energy surplus. A sensitivity analysis on technology costs revealed that batteries still require noticeably cost reductions to be cost-effective in a behind the meter self-consumption environment. In addition, solar compensation mechanisms make batteries less attractive in a scenario of low PV costs, since feeding PV surplus into the grid, yet less efficient, becomes more cost-effective. An improvement for the energy surplus remuneration policy in the context of the current legislation was proposed and analysed. It consists in the inclusion of the economic value of the avoided power losses in the remuneration.&quot;,&quot;container-title-short&quot;:&quot;&quot;},&quot;isTemporary&quot;:false}]},{&quot;citationID&quot;:&quot;MENDELEY_CITATION_ff5da8d5-0dd1-4758-9442-ae9dc52bc1dd&quot;,&quot;properties&quot;:{&quot;noteIndex&quot;:0},&quot;isEdited&quot;:false,&quot;manualOverride&quot;:{&quot;isManuallyOverridden&quot;:false,&quot;citeprocText&quot;:&quot;(Alonso et al., 2024)&quot;,&quot;manualOverrideText&quot;:&quot;&quot;},&quot;citationTag&quot;:&quot;MENDELEY_CITATION_v3_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&quot;,&quot;citationItems&quot;:[{&quot;id&quot;:&quot;51aa64e4-0001-3fea-8073-2d69b921754d&quot;,&quot;itemData&quot;:{&quot;type&quot;:&quot;article-journal&quot;,&quot;id&quot;:&quot;51aa64e4-0001-3fea-8073-2d69b921754d&quot;,&quot;title&quot;:&quot;Measuring the relationship between territorial exclusion and depopulation – A municipal classification proposal to guide territorial balance&quot;,&quot;author&quot;:[{&quot;family&quot;:&quot;Alonso&quot;,&quot;given&quot;:&quot;M. Pilar&quot;,&quot;parse-names&quot;:false,&quot;dropping-particle&quot;:&quot;&quot;,&quot;non-dropping-particle&quot;:&quot;&quot;},{&quot;family&quot;:&quot;Gargallo&quot;,&quot;given&quot;:&quot;Pilar&quot;,&quot;parse-names&quot;:false,&quot;dropping-particle&quot;:&quot;&quot;,&quot;non-dropping-particle&quot;:&quot;&quot;},{&quot;family&quot;:&quot;Lample&quot;,&quot;given&quot;:&quot;Luis&quot;,&quot;parse-names&quot;:false,&quot;dropping-particle&quot;:&quot;&quot;,&quot;non-dropping-particle&quot;:&quot;&quot;},{&quot;family&quot;:&quot;López-Escolano&quot;,&quot;given&quot;:&quot;Carlos&quot;,&quot;parse-names&quot;:false,&quot;dropping-particle&quot;:&quot;&quot;,&quot;non-dropping-particle&quot;:&quot;&quot;},{&quot;family&quot;:&quot;Miguel&quot;,&quot;given&quot;:&quot;Jesús A.&quot;,&quot;parse-names&quot;:false,&quot;dropping-particle&quot;:&quot;&quot;,&quot;non-dropping-particle&quot;:&quot;&quot;},{&quot;family&quot;:&quot;Salvador&quot;,&quot;given&quot;:&quot;Manuel&quot;,&quot;parse-names&quot;:false,&quot;dropping-particle&quot;:&quot;&quot;,&quot;non-dropping-particle&quot;:&quot;&quot;}],&quot;container-title&quot;:&quot;Journal of Rural Studies&quot;,&quot;container-title-short&quot;:&quot;J. Rural Stud.&quot;,&quot;DOI&quot;:&quot;10.1016/j.jrurstud.2024.103421&quot;,&quot;ISSN&quot;:&quot;07430167&quot;,&quot;issued&quot;:{&quot;date-parts&quot;:[[2024,10,1]]},&quot;abstract&quot;:&quot;The rural exodus in Europe has triggered population loss and ageing in many regions, exacerbating demographic and socio-economic imbalances. This study employs a comprehensive methodology to address these challenges, introducing a Territorial Exclusion indicator that covers deficiencies in services, economic stagnation, and limited accessibility of municipalities. Using structural equation modeling, we demonstrate how territorial exclusion acts as a fundamental factor driving depopulation. Furthermore, the study identifies homogeneous groups of municipalities based on their level of territorial exclusion, emphasizing the need for differentiated approaches in developing targeted and effective territorial development policies. To illustrate these findings, we focus on the region of Aragon (Spain) as an extreme example, providing valuable insights into the broader implications of territorial exclusion and informing strategies for addressing depopulation challenges in the region and beyond.&quot;,&quot;publisher&quot;:&quot;Elsevier Ltd&quot;,&quot;volume&quot;:&quot;111&quot;},&quot;isTemporary&quot;:false}]}]"/>
    <we:property name="MENDELEY_CITATIONS_LOCALE_CODE" value="&quot;en-US&quot;"/>
    <we:property name="MENDELEY_CITATIONS_STYLE" value="{&quot;id&quot;:&quot;https://www.zotero.org/styles/solar-energy&quot;,&quot;title&quot;:&quot;Solar Ener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11</Pages>
  <Words>5711</Words>
  <Characters>31412</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dc:description/>
  <cp:lastModifiedBy>Lucía Cano</cp:lastModifiedBy>
  <cp:revision>21</cp:revision>
  <cp:lastPrinted>2026-08-25T12:33:00Z</cp:lastPrinted>
  <dcterms:created xsi:type="dcterms:W3CDTF">2026-08-21T07:52:00Z</dcterms:created>
  <dcterms:modified xsi:type="dcterms:W3CDTF">2026-08-25T12:34:00Z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