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B5A" w:rsidRPr="009346FA" w:rsidRDefault="00D9097F" w:rsidP="009D7B5A">
      <w:pPr>
        <w:jc w:val="center"/>
        <w:rPr>
          <w:b/>
          <w:sz w:val="28"/>
          <w:szCs w:val="28"/>
          <w:lang w:val="en-GB"/>
        </w:rPr>
      </w:pPr>
      <w:r w:rsidRPr="009346FA">
        <w:rPr>
          <w:b/>
          <w:sz w:val="28"/>
          <w:szCs w:val="28"/>
          <w:lang w:val="en-GB"/>
        </w:rPr>
        <w:t>Towards a consensus on mode II adhesive fracture testing and data reduction methods.</w:t>
      </w:r>
    </w:p>
    <w:p w:rsidR="00704B24" w:rsidRPr="009346FA" w:rsidRDefault="00704B24" w:rsidP="00704B24">
      <w:pPr>
        <w:rPr>
          <w:sz w:val="22"/>
          <w:szCs w:val="22"/>
          <w:lang w:val="en-GB"/>
        </w:rPr>
      </w:pPr>
    </w:p>
    <w:p w:rsidR="009D7B5A" w:rsidRPr="009346FA" w:rsidRDefault="009D7B5A" w:rsidP="009D7B5A">
      <w:pPr>
        <w:pStyle w:val="Ttulo2"/>
        <w:numPr>
          <w:ilvl w:val="0"/>
          <w:numId w:val="0"/>
        </w:numPr>
        <w:rPr>
          <w:b w:val="0"/>
          <w:sz w:val="22"/>
          <w:lang w:val="en-GB"/>
        </w:rPr>
      </w:pPr>
      <w:bookmarkStart w:id="0" w:name="OLE_LINK48"/>
      <w:bookmarkStart w:id="1" w:name="OLE_LINK49"/>
      <w:bookmarkStart w:id="2" w:name="OLE_LINK50"/>
      <w:bookmarkStart w:id="3" w:name="OLE_LINK51"/>
      <w:r w:rsidRPr="009346FA">
        <w:rPr>
          <w:b w:val="0"/>
          <w:sz w:val="22"/>
          <w:lang w:val="en-GB"/>
        </w:rPr>
        <w:t>M. Pérez-Galmés</w:t>
      </w:r>
      <w:r w:rsidRPr="009346FA">
        <w:rPr>
          <w:b w:val="0"/>
          <w:sz w:val="22"/>
          <w:szCs w:val="22"/>
          <w:vertAlign w:val="superscript"/>
          <w:lang w:val="en-GB"/>
        </w:rPr>
        <w:t>1</w:t>
      </w:r>
      <w:r w:rsidRPr="009346FA">
        <w:rPr>
          <w:b w:val="0"/>
          <w:sz w:val="22"/>
          <w:lang w:val="en-GB"/>
        </w:rPr>
        <w:t>, J. Renart</w:t>
      </w:r>
      <w:r w:rsidRPr="009346FA">
        <w:rPr>
          <w:b w:val="0"/>
          <w:sz w:val="22"/>
          <w:szCs w:val="22"/>
          <w:vertAlign w:val="superscript"/>
          <w:lang w:val="en-GB"/>
        </w:rPr>
        <w:t>1</w:t>
      </w:r>
      <w:r w:rsidRPr="009346FA">
        <w:rPr>
          <w:b w:val="0"/>
          <w:sz w:val="22"/>
          <w:lang w:val="en-GB"/>
        </w:rPr>
        <w:t>, C. Sarrado</w:t>
      </w:r>
      <w:r w:rsidRPr="009346FA">
        <w:rPr>
          <w:b w:val="0"/>
          <w:sz w:val="22"/>
          <w:szCs w:val="22"/>
          <w:vertAlign w:val="superscript"/>
          <w:lang w:val="en-GB"/>
        </w:rPr>
        <w:t>1</w:t>
      </w:r>
      <w:r w:rsidRPr="009346FA">
        <w:rPr>
          <w:b w:val="0"/>
          <w:sz w:val="22"/>
          <w:lang w:val="en-GB"/>
        </w:rPr>
        <w:t>, A. Rodríguez-Bellido</w:t>
      </w:r>
      <w:r w:rsidRPr="009346FA">
        <w:rPr>
          <w:b w:val="0"/>
          <w:sz w:val="22"/>
          <w:vertAlign w:val="superscript"/>
          <w:lang w:val="en-GB"/>
        </w:rPr>
        <w:t>2</w:t>
      </w:r>
    </w:p>
    <w:bookmarkEnd w:id="0"/>
    <w:bookmarkEnd w:id="1"/>
    <w:bookmarkEnd w:id="2"/>
    <w:bookmarkEnd w:id="3"/>
    <w:p w:rsidR="00866F2B" w:rsidRPr="009346FA" w:rsidRDefault="00866F2B" w:rsidP="00704B24">
      <w:pPr>
        <w:jc w:val="center"/>
        <w:rPr>
          <w:sz w:val="22"/>
          <w:szCs w:val="22"/>
          <w:lang w:val="en-GB"/>
        </w:rPr>
      </w:pPr>
    </w:p>
    <w:p w:rsidR="009D7B5A" w:rsidRPr="009346FA" w:rsidRDefault="009D7B5A" w:rsidP="009D7B5A">
      <w:pPr>
        <w:jc w:val="center"/>
        <w:rPr>
          <w:sz w:val="22"/>
          <w:szCs w:val="22"/>
          <w:lang w:val="en-GB"/>
        </w:rPr>
      </w:pPr>
      <w:r w:rsidRPr="009346FA">
        <w:rPr>
          <w:sz w:val="22"/>
          <w:szCs w:val="22"/>
          <w:vertAlign w:val="superscript"/>
          <w:lang w:val="en-GB"/>
        </w:rPr>
        <w:t>1</w:t>
      </w:r>
      <w:r w:rsidRPr="009346FA">
        <w:rPr>
          <w:sz w:val="22"/>
          <w:szCs w:val="22"/>
          <w:lang w:val="en-GB"/>
        </w:rPr>
        <w:t xml:space="preserve">AMADE, Polytechnic School, University of Girona. </w:t>
      </w:r>
      <w:proofErr w:type="spellStart"/>
      <w:r w:rsidRPr="009346FA">
        <w:rPr>
          <w:sz w:val="22"/>
          <w:szCs w:val="22"/>
          <w:lang w:val="en-GB"/>
        </w:rPr>
        <w:t>Carrer</w:t>
      </w:r>
      <w:proofErr w:type="spellEnd"/>
      <w:r w:rsidRPr="009346FA">
        <w:rPr>
          <w:sz w:val="22"/>
          <w:szCs w:val="22"/>
          <w:lang w:val="en-GB"/>
        </w:rPr>
        <w:t xml:space="preserve"> </w:t>
      </w:r>
      <w:proofErr w:type="spellStart"/>
      <w:r w:rsidRPr="009346FA">
        <w:rPr>
          <w:sz w:val="22"/>
          <w:szCs w:val="22"/>
          <w:lang w:val="en-GB"/>
        </w:rPr>
        <w:t>Universitat</w:t>
      </w:r>
      <w:proofErr w:type="spellEnd"/>
      <w:r w:rsidRPr="009346FA">
        <w:rPr>
          <w:sz w:val="22"/>
          <w:szCs w:val="22"/>
          <w:lang w:val="en-GB"/>
        </w:rPr>
        <w:t xml:space="preserve"> de Girona, 4.</w:t>
      </w:r>
    </w:p>
    <w:p w:rsidR="009D7B5A" w:rsidRPr="009346FA" w:rsidRDefault="009D7B5A" w:rsidP="009D7B5A">
      <w:pPr>
        <w:jc w:val="center"/>
        <w:rPr>
          <w:sz w:val="22"/>
          <w:szCs w:val="22"/>
          <w:lang w:val="en-GB"/>
        </w:rPr>
      </w:pPr>
      <w:r w:rsidRPr="009346FA">
        <w:rPr>
          <w:sz w:val="22"/>
          <w:szCs w:val="22"/>
          <w:lang w:val="en-GB"/>
        </w:rPr>
        <w:t xml:space="preserve">Campus de </w:t>
      </w:r>
      <w:proofErr w:type="spellStart"/>
      <w:r w:rsidRPr="009346FA">
        <w:rPr>
          <w:sz w:val="22"/>
          <w:szCs w:val="22"/>
          <w:lang w:val="en-GB"/>
        </w:rPr>
        <w:t>Montilivi</w:t>
      </w:r>
      <w:proofErr w:type="spellEnd"/>
      <w:r w:rsidRPr="009346FA">
        <w:rPr>
          <w:sz w:val="22"/>
          <w:szCs w:val="22"/>
          <w:lang w:val="en-GB"/>
        </w:rPr>
        <w:t xml:space="preserve">. 17003-Girona. </w:t>
      </w:r>
      <w:hyperlink r:id="rId8" w:history="1">
        <w:r w:rsidRPr="009346FA">
          <w:rPr>
            <w:rStyle w:val="Hipervnculo"/>
            <w:sz w:val="22"/>
            <w:szCs w:val="22"/>
            <w:lang w:val="en-GB"/>
          </w:rPr>
          <w:t>magdalena.perez@udg.edu</w:t>
        </w:r>
      </w:hyperlink>
      <w:r w:rsidRPr="009346FA">
        <w:rPr>
          <w:sz w:val="22"/>
          <w:szCs w:val="22"/>
          <w:lang w:val="en-GB"/>
        </w:rPr>
        <w:t xml:space="preserve">, </w:t>
      </w:r>
      <w:hyperlink r:id="rId9" w:history="1">
        <w:r w:rsidRPr="009346FA">
          <w:rPr>
            <w:rStyle w:val="Hipervnculo"/>
            <w:sz w:val="22"/>
            <w:szCs w:val="22"/>
            <w:lang w:val="en-GB"/>
          </w:rPr>
          <w:t>jordi.renart@udg.edu</w:t>
        </w:r>
      </w:hyperlink>
      <w:r w:rsidRPr="009346FA">
        <w:rPr>
          <w:sz w:val="22"/>
          <w:szCs w:val="22"/>
          <w:lang w:val="en-GB"/>
        </w:rPr>
        <w:t xml:space="preserve">, </w:t>
      </w:r>
      <w:hyperlink r:id="rId10" w:history="1">
        <w:r w:rsidRPr="009346FA">
          <w:rPr>
            <w:rStyle w:val="Hipervnculo"/>
            <w:sz w:val="22"/>
            <w:szCs w:val="22"/>
            <w:lang w:val="en-GB"/>
          </w:rPr>
          <w:t>carlos.sarrado@udg.edu</w:t>
        </w:r>
      </w:hyperlink>
      <w:r w:rsidRPr="009346FA">
        <w:rPr>
          <w:sz w:val="22"/>
          <w:szCs w:val="22"/>
          <w:lang w:val="en-GB"/>
        </w:rPr>
        <w:t>. http://amade.udg.edu/</w:t>
      </w:r>
    </w:p>
    <w:p w:rsidR="009D7B5A" w:rsidRPr="009346FA" w:rsidRDefault="009D7B5A" w:rsidP="009D7B5A">
      <w:pPr>
        <w:jc w:val="center"/>
        <w:rPr>
          <w:sz w:val="22"/>
          <w:szCs w:val="22"/>
          <w:lang w:val="en-GB"/>
        </w:rPr>
      </w:pPr>
      <w:r w:rsidRPr="009346FA">
        <w:rPr>
          <w:sz w:val="22"/>
          <w:szCs w:val="22"/>
          <w:vertAlign w:val="superscript"/>
          <w:lang w:val="en-GB"/>
        </w:rPr>
        <w:t>2</w:t>
      </w:r>
      <w:r w:rsidRPr="009346FA">
        <w:rPr>
          <w:sz w:val="22"/>
          <w:szCs w:val="22"/>
          <w:lang w:val="en-GB"/>
        </w:rPr>
        <w:t xml:space="preserve">Composite Technology, Materials and Processes, AIRBUS Operations S.L. </w:t>
      </w:r>
    </w:p>
    <w:p w:rsidR="009D7B5A" w:rsidRPr="009346FA" w:rsidRDefault="009D7B5A" w:rsidP="009D7B5A">
      <w:pPr>
        <w:jc w:val="center"/>
        <w:rPr>
          <w:sz w:val="22"/>
          <w:szCs w:val="22"/>
          <w:lang w:val="en-GB"/>
        </w:rPr>
      </w:pPr>
      <w:proofErr w:type="spellStart"/>
      <w:r w:rsidRPr="009346FA">
        <w:rPr>
          <w:sz w:val="22"/>
          <w:szCs w:val="22"/>
          <w:lang w:val="en-GB"/>
        </w:rPr>
        <w:t>Paseo</w:t>
      </w:r>
      <w:proofErr w:type="spellEnd"/>
      <w:r w:rsidRPr="009346FA">
        <w:rPr>
          <w:sz w:val="22"/>
          <w:szCs w:val="22"/>
          <w:lang w:val="en-GB"/>
        </w:rPr>
        <w:t xml:space="preserve"> John Lennon s/n.28906-Getafe. </w:t>
      </w:r>
      <w:r w:rsidRPr="009346FA">
        <w:rPr>
          <w:rStyle w:val="Hipervnculo"/>
          <w:sz w:val="22"/>
          <w:szCs w:val="22"/>
          <w:lang w:val="en-GB"/>
        </w:rPr>
        <w:t>ana.rodriguez@airbus.com</w:t>
      </w:r>
    </w:p>
    <w:p w:rsidR="00704B24" w:rsidRPr="009346FA" w:rsidRDefault="00704B24" w:rsidP="009D7B5A">
      <w:pPr>
        <w:rPr>
          <w:sz w:val="22"/>
          <w:szCs w:val="22"/>
          <w:lang w:val="en-GB"/>
        </w:rPr>
      </w:pPr>
    </w:p>
    <w:p w:rsidR="00704B24" w:rsidRPr="009346FA" w:rsidRDefault="00704B24" w:rsidP="00C84FC4">
      <w:pPr>
        <w:rPr>
          <w:sz w:val="22"/>
          <w:szCs w:val="22"/>
          <w:lang w:val="en-GB"/>
        </w:rPr>
      </w:pPr>
      <w:r w:rsidRPr="009346FA">
        <w:rPr>
          <w:b/>
          <w:sz w:val="22"/>
          <w:szCs w:val="22"/>
          <w:lang w:val="en-GB"/>
        </w:rPr>
        <w:t>Keywords:</w:t>
      </w:r>
      <w:r w:rsidRPr="009346FA">
        <w:rPr>
          <w:sz w:val="22"/>
          <w:szCs w:val="22"/>
          <w:lang w:val="en-GB"/>
        </w:rPr>
        <w:t xml:space="preserve"> </w:t>
      </w:r>
      <w:r w:rsidR="00CE50EC" w:rsidRPr="009346FA">
        <w:rPr>
          <w:color w:val="000000"/>
          <w:sz w:val="22"/>
          <w:szCs w:val="22"/>
          <w:lang w:val="en-GB"/>
        </w:rPr>
        <w:t>Mode II fracture toughness, Bonded joints, J-integral, FRP, Mechanical testing.</w:t>
      </w:r>
    </w:p>
    <w:p w:rsidR="00704B24" w:rsidRPr="009346FA" w:rsidRDefault="00704B24" w:rsidP="00704B24">
      <w:pPr>
        <w:rPr>
          <w:sz w:val="22"/>
          <w:szCs w:val="22"/>
          <w:lang w:val="en-GB"/>
        </w:rPr>
      </w:pPr>
      <w:r w:rsidRPr="009346FA">
        <w:rPr>
          <w:sz w:val="22"/>
          <w:szCs w:val="22"/>
          <w:lang w:val="en-GB"/>
        </w:rPr>
        <w:t xml:space="preserve"> </w:t>
      </w:r>
    </w:p>
    <w:p w:rsidR="00656C88" w:rsidRPr="009346FA" w:rsidRDefault="00656C88" w:rsidP="00704B24">
      <w:pPr>
        <w:rPr>
          <w:b/>
          <w:sz w:val="22"/>
          <w:szCs w:val="22"/>
          <w:lang w:val="en-GB"/>
        </w:rPr>
      </w:pPr>
    </w:p>
    <w:p w:rsidR="00704B24" w:rsidRPr="009346FA" w:rsidRDefault="00704B24" w:rsidP="006D2BC0">
      <w:pPr>
        <w:rPr>
          <w:b/>
          <w:sz w:val="22"/>
          <w:szCs w:val="22"/>
          <w:lang w:val="en-GB"/>
        </w:rPr>
      </w:pPr>
      <w:r w:rsidRPr="009346FA">
        <w:rPr>
          <w:b/>
          <w:sz w:val="22"/>
          <w:szCs w:val="22"/>
          <w:lang w:val="en-GB"/>
        </w:rPr>
        <w:t>Abstract</w:t>
      </w:r>
    </w:p>
    <w:p w:rsidR="00DB17D5" w:rsidRPr="009346FA" w:rsidRDefault="00DB17D5" w:rsidP="006D2BC0">
      <w:pPr>
        <w:rPr>
          <w:b/>
          <w:sz w:val="22"/>
          <w:szCs w:val="22"/>
          <w:lang w:val="en-GB"/>
        </w:rPr>
      </w:pPr>
    </w:p>
    <w:p w:rsidR="00CE50EC" w:rsidRPr="009346FA" w:rsidRDefault="00CE50EC" w:rsidP="00CE50EC">
      <w:pPr>
        <w:jc w:val="both"/>
        <w:rPr>
          <w:sz w:val="22"/>
          <w:szCs w:val="22"/>
          <w:lang w:val="en-GB"/>
        </w:rPr>
      </w:pPr>
      <w:r w:rsidRPr="009346FA">
        <w:rPr>
          <w:sz w:val="22"/>
          <w:szCs w:val="22"/>
          <w:lang w:val="en-GB"/>
        </w:rPr>
        <w:t>Mode II fracture toughness is crucial in the design of structural bonded joints between fibre reinforced polymers (FRP).</w:t>
      </w:r>
      <w:r w:rsidR="005A52FC" w:rsidRPr="009346FA">
        <w:rPr>
          <w:sz w:val="22"/>
          <w:szCs w:val="22"/>
          <w:lang w:val="en-GB"/>
        </w:rPr>
        <w:t xml:space="preserve"> </w:t>
      </w:r>
      <w:r w:rsidRPr="009346FA">
        <w:rPr>
          <w:sz w:val="22"/>
          <w:szCs w:val="22"/>
          <w:lang w:val="en-GB"/>
        </w:rPr>
        <w:t>However, one of the main problems encountered in mode II experimental testing is the poor reproducibility between the most common test methodologies: End-Notched Flexure (ENF), End-Load Split (ELS), 4-point End-Notched Flexure (4ENF), and the Mixed</w:t>
      </w:r>
      <w:r w:rsidR="0043532D" w:rsidRPr="009346FA">
        <w:rPr>
          <w:sz w:val="22"/>
          <w:szCs w:val="22"/>
          <w:lang w:val="en-GB"/>
        </w:rPr>
        <w:t xml:space="preserve"> Mode Bending (MMB) test at 100</w:t>
      </w:r>
      <w:r w:rsidRPr="009346FA">
        <w:rPr>
          <w:sz w:val="22"/>
          <w:szCs w:val="22"/>
          <w:lang w:val="en-GB"/>
        </w:rPr>
        <w:t>% of mode II.</w:t>
      </w:r>
    </w:p>
    <w:p w:rsidR="00CE50EC" w:rsidRPr="009346FA" w:rsidRDefault="00CE50EC" w:rsidP="00CE50EC">
      <w:pPr>
        <w:jc w:val="both"/>
        <w:rPr>
          <w:sz w:val="22"/>
          <w:szCs w:val="22"/>
          <w:lang w:val="en-GB"/>
        </w:rPr>
      </w:pPr>
    </w:p>
    <w:p w:rsidR="00CE50EC" w:rsidRPr="009346FA" w:rsidRDefault="00CE50EC" w:rsidP="00CE50EC">
      <w:pPr>
        <w:jc w:val="both"/>
        <w:rPr>
          <w:sz w:val="22"/>
          <w:szCs w:val="22"/>
          <w:lang w:val="en-GB"/>
        </w:rPr>
      </w:pPr>
      <w:r w:rsidRPr="009346FA">
        <w:rPr>
          <w:sz w:val="22"/>
          <w:szCs w:val="22"/>
          <w:lang w:val="en-GB"/>
        </w:rPr>
        <w:t>The objective of this work is to define reliable test methodologies and data reduction methods to obta</w:t>
      </w:r>
      <w:r w:rsidR="00527C82" w:rsidRPr="009346FA">
        <w:rPr>
          <w:sz w:val="22"/>
          <w:szCs w:val="22"/>
          <w:lang w:val="en-GB"/>
        </w:rPr>
        <w:t>in comparable results among mo</w:t>
      </w:r>
      <w:r w:rsidR="009346FA" w:rsidRPr="009346FA">
        <w:rPr>
          <w:sz w:val="22"/>
          <w:szCs w:val="22"/>
          <w:lang w:val="en-GB"/>
        </w:rPr>
        <w:t>d</w:t>
      </w:r>
      <w:r w:rsidR="00527C82" w:rsidRPr="009346FA">
        <w:rPr>
          <w:sz w:val="22"/>
          <w:szCs w:val="22"/>
          <w:lang w:val="en-GB"/>
        </w:rPr>
        <w:t>e II tests. F</w:t>
      </w:r>
      <w:r w:rsidRPr="009346FA">
        <w:rPr>
          <w:sz w:val="22"/>
          <w:szCs w:val="22"/>
          <w:lang w:val="en-GB"/>
        </w:rPr>
        <w:t xml:space="preserve">or this reason, an experimental test campaign consisting of the abovementioned </w:t>
      </w:r>
      <w:proofErr w:type="gramStart"/>
      <w:r w:rsidRPr="009346FA">
        <w:rPr>
          <w:sz w:val="22"/>
          <w:szCs w:val="22"/>
          <w:lang w:val="en-GB"/>
        </w:rPr>
        <w:t>four mode</w:t>
      </w:r>
      <w:proofErr w:type="gramEnd"/>
      <w:r w:rsidRPr="009346FA">
        <w:rPr>
          <w:sz w:val="22"/>
          <w:szCs w:val="22"/>
          <w:lang w:val="en-GB"/>
        </w:rPr>
        <w:t xml:space="preserve"> II tes</w:t>
      </w:r>
      <w:r w:rsidR="003001CF" w:rsidRPr="009346FA">
        <w:rPr>
          <w:sz w:val="22"/>
          <w:szCs w:val="22"/>
          <w:lang w:val="en-GB"/>
        </w:rPr>
        <w:t xml:space="preserve">t methods was carried out. The </w:t>
      </w:r>
      <w:r w:rsidR="003001CF" w:rsidRPr="009346FA">
        <w:rPr>
          <w:i/>
          <w:sz w:val="22"/>
          <w:szCs w:val="22"/>
          <w:lang w:val="en-GB"/>
        </w:rPr>
        <w:t>J</w:t>
      </w:r>
      <w:r w:rsidR="003001CF" w:rsidRPr="009346FA">
        <w:rPr>
          <w:sz w:val="22"/>
          <w:szCs w:val="22"/>
          <w:lang w:val="en-GB"/>
        </w:rPr>
        <w:t>-integral</w:t>
      </w:r>
      <w:r w:rsidRPr="009346FA">
        <w:rPr>
          <w:sz w:val="22"/>
          <w:szCs w:val="22"/>
          <w:lang w:val="en-GB"/>
        </w:rPr>
        <w:t xml:space="preserve"> </w:t>
      </w:r>
      <w:proofErr w:type="gramStart"/>
      <w:r w:rsidRPr="009346FA">
        <w:rPr>
          <w:sz w:val="22"/>
          <w:szCs w:val="22"/>
          <w:lang w:val="en-GB"/>
        </w:rPr>
        <w:t>was i</w:t>
      </w:r>
      <w:r w:rsidR="009346FA" w:rsidRPr="009346FA">
        <w:rPr>
          <w:sz w:val="22"/>
          <w:szCs w:val="22"/>
          <w:lang w:val="en-GB"/>
        </w:rPr>
        <w:t>mplemented</w:t>
      </w:r>
      <w:proofErr w:type="gramEnd"/>
      <w:r w:rsidR="009346FA" w:rsidRPr="009346FA">
        <w:rPr>
          <w:sz w:val="22"/>
          <w:szCs w:val="22"/>
          <w:lang w:val="en-GB"/>
        </w:rPr>
        <w:t xml:space="preserve"> in all the tests as</w:t>
      </w:r>
      <w:r w:rsidRPr="009346FA">
        <w:rPr>
          <w:sz w:val="22"/>
          <w:szCs w:val="22"/>
          <w:lang w:val="en-GB"/>
        </w:rPr>
        <w:t xml:space="preserve"> data reduction method, and it was compared to the</w:t>
      </w:r>
      <w:r w:rsidR="009346FA" w:rsidRPr="009346FA">
        <w:rPr>
          <w:sz w:val="22"/>
          <w:szCs w:val="22"/>
          <w:lang w:val="en-GB"/>
        </w:rPr>
        <w:t xml:space="preserve"> existing</w:t>
      </w:r>
      <w:r w:rsidRPr="009346FA">
        <w:rPr>
          <w:sz w:val="22"/>
          <w:szCs w:val="22"/>
          <w:lang w:val="en-GB"/>
        </w:rPr>
        <w:t xml:space="preserve"> data reduction methods based on Linear Elastic Fracture Mechanics (LEFM). </w:t>
      </w:r>
    </w:p>
    <w:p w:rsidR="00CE50EC" w:rsidRPr="009346FA" w:rsidRDefault="00CE50EC" w:rsidP="00CE50EC">
      <w:pPr>
        <w:jc w:val="both"/>
        <w:rPr>
          <w:sz w:val="22"/>
          <w:szCs w:val="22"/>
          <w:lang w:val="en-GB"/>
        </w:rPr>
      </w:pPr>
      <w:r w:rsidRPr="009346FA">
        <w:rPr>
          <w:sz w:val="22"/>
          <w:szCs w:val="22"/>
          <w:lang w:val="en-GB"/>
        </w:rPr>
        <w:t xml:space="preserve">The results obtained from the </w:t>
      </w:r>
      <w:r w:rsidR="003001CF" w:rsidRPr="009346FA">
        <w:rPr>
          <w:i/>
          <w:sz w:val="22"/>
          <w:szCs w:val="22"/>
          <w:lang w:val="en-GB"/>
        </w:rPr>
        <w:t>J</w:t>
      </w:r>
      <w:r w:rsidR="003001CF" w:rsidRPr="009346FA">
        <w:rPr>
          <w:sz w:val="22"/>
          <w:szCs w:val="22"/>
          <w:lang w:val="en-GB"/>
        </w:rPr>
        <w:t>-integral</w:t>
      </w:r>
      <w:r w:rsidRPr="009346FA">
        <w:rPr>
          <w:sz w:val="22"/>
          <w:szCs w:val="22"/>
          <w:lang w:val="en-GB"/>
        </w:rPr>
        <w:t xml:space="preserve"> based methods were independent from the test methodology </w:t>
      </w:r>
      <w:r w:rsidR="009346FA" w:rsidRPr="009346FA">
        <w:rPr>
          <w:sz w:val="22"/>
          <w:szCs w:val="22"/>
          <w:lang w:val="en-GB"/>
        </w:rPr>
        <w:t xml:space="preserve">and the </w:t>
      </w:r>
      <w:proofErr w:type="spellStart"/>
      <w:r w:rsidR="009346FA" w:rsidRPr="009346FA">
        <w:rPr>
          <w:sz w:val="22"/>
          <w:szCs w:val="22"/>
          <w:lang w:val="en-GB"/>
        </w:rPr>
        <w:t>adherend</w:t>
      </w:r>
      <w:proofErr w:type="spellEnd"/>
      <w:r w:rsidR="009346FA" w:rsidRPr="009346FA">
        <w:rPr>
          <w:sz w:val="22"/>
          <w:szCs w:val="22"/>
          <w:lang w:val="en-GB"/>
        </w:rPr>
        <w:t xml:space="preserve"> used. V</w:t>
      </w:r>
      <w:r w:rsidRPr="009346FA">
        <w:rPr>
          <w:sz w:val="22"/>
          <w:szCs w:val="22"/>
          <w:lang w:val="en-GB"/>
        </w:rPr>
        <w:t>ery good agreement</w:t>
      </w:r>
      <w:r w:rsidR="009346FA" w:rsidRPr="009346FA">
        <w:rPr>
          <w:sz w:val="22"/>
          <w:szCs w:val="22"/>
          <w:lang w:val="en-GB"/>
        </w:rPr>
        <w:t xml:space="preserve"> </w:t>
      </w:r>
      <w:proofErr w:type="spellStart"/>
      <w:r w:rsidR="009346FA" w:rsidRPr="009346FA">
        <w:rPr>
          <w:sz w:val="22"/>
          <w:szCs w:val="22"/>
          <w:lang w:val="en-GB"/>
        </w:rPr>
        <w:t>vas</w:t>
      </w:r>
      <w:proofErr w:type="spellEnd"/>
      <w:r w:rsidR="009346FA" w:rsidRPr="009346FA">
        <w:rPr>
          <w:sz w:val="22"/>
          <w:szCs w:val="22"/>
          <w:lang w:val="en-GB"/>
        </w:rPr>
        <w:t xml:space="preserve"> obtained</w:t>
      </w:r>
      <w:r w:rsidRPr="009346FA">
        <w:rPr>
          <w:sz w:val="22"/>
          <w:szCs w:val="22"/>
          <w:lang w:val="en-GB"/>
        </w:rPr>
        <w:t xml:space="preserve"> among </w:t>
      </w:r>
      <w:r w:rsidR="009346FA" w:rsidRPr="009346FA">
        <w:rPr>
          <w:sz w:val="22"/>
          <w:szCs w:val="22"/>
          <w:lang w:val="en-GB"/>
        </w:rPr>
        <w:t xml:space="preserve">all </w:t>
      </w:r>
      <w:r w:rsidRPr="009346FA">
        <w:rPr>
          <w:sz w:val="22"/>
          <w:szCs w:val="22"/>
          <w:lang w:val="en-GB"/>
        </w:rPr>
        <w:t>the tests.</w:t>
      </w:r>
    </w:p>
    <w:p w:rsidR="000969DD" w:rsidRPr="009346FA" w:rsidRDefault="000969DD" w:rsidP="00704B24">
      <w:pPr>
        <w:jc w:val="both"/>
        <w:rPr>
          <w:sz w:val="22"/>
          <w:szCs w:val="22"/>
          <w:lang w:val="en-GB"/>
        </w:rPr>
      </w:pPr>
    </w:p>
    <w:p w:rsidR="00152D8E" w:rsidRPr="009346FA" w:rsidRDefault="00152D8E" w:rsidP="00704B24">
      <w:pPr>
        <w:jc w:val="both"/>
        <w:rPr>
          <w:sz w:val="22"/>
          <w:szCs w:val="22"/>
          <w:lang w:val="en-GB"/>
        </w:rPr>
      </w:pPr>
    </w:p>
    <w:p w:rsidR="00704B24" w:rsidRPr="009346FA" w:rsidRDefault="00704B24" w:rsidP="00D13F6A">
      <w:pPr>
        <w:pStyle w:val="1stTitleWCCM"/>
        <w:tabs>
          <w:tab w:val="clear" w:pos="360"/>
          <w:tab w:val="left" w:pos="284"/>
        </w:tabs>
        <w:spacing w:before="0" w:after="0"/>
        <w:outlineLvl w:val="0"/>
        <w:rPr>
          <w:caps w:val="0"/>
          <w:sz w:val="22"/>
          <w:szCs w:val="22"/>
          <w:lang w:val="en-GB"/>
        </w:rPr>
      </w:pPr>
      <w:r w:rsidRPr="009346FA">
        <w:rPr>
          <w:sz w:val="22"/>
          <w:szCs w:val="22"/>
          <w:lang w:val="en-GB"/>
        </w:rPr>
        <w:t>1</w:t>
      </w:r>
      <w:r w:rsidR="00A14A8C" w:rsidRPr="009346FA">
        <w:rPr>
          <w:sz w:val="22"/>
          <w:szCs w:val="22"/>
          <w:lang w:val="en-GB"/>
        </w:rPr>
        <w:t>.</w:t>
      </w:r>
      <w:r w:rsidR="00A14A8C" w:rsidRPr="009346FA">
        <w:rPr>
          <w:sz w:val="22"/>
          <w:szCs w:val="22"/>
          <w:lang w:val="en-GB"/>
        </w:rPr>
        <w:tab/>
      </w:r>
      <w:r w:rsidR="00A14A8C" w:rsidRPr="009346FA">
        <w:rPr>
          <w:caps w:val="0"/>
          <w:sz w:val="22"/>
          <w:szCs w:val="22"/>
          <w:lang w:val="en-GB"/>
        </w:rPr>
        <w:t>Introduction</w:t>
      </w:r>
    </w:p>
    <w:p w:rsidR="00AA4459" w:rsidRPr="009346FA" w:rsidRDefault="00AA4459" w:rsidP="00556716">
      <w:pPr>
        <w:jc w:val="both"/>
        <w:rPr>
          <w:sz w:val="22"/>
          <w:szCs w:val="22"/>
          <w:lang w:val="en-GB"/>
        </w:rPr>
      </w:pPr>
    </w:p>
    <w:p w:rsidR="009346FA" w:rsidRPr="009346FA" w:rsidRDefault="00AA4459" w:rsidP="00F06E54">
      <w:pPr>
        <w:ind w:left="708" w:hanging="708"/>
        <w:jc w:val="both"/>
        <w:rPr>
          <w:sz w:val="22"/>
          <w:szCs w:val="22"/>
          <w:lang w:val="en-GB"/>
        </w:rPr>
      </w:pPr>
      <w:r w:rsidRPr="009346FA">
        <w:rPr>
          <w:sz w:val="22"/>
          <w:szCs w:val="22"/>
          <w:lang w:val="en-GB"/>
        </w:rPr>
        <w:t>Nowadays, adhesive bonding is widely used in industrial applications as an alternative to traditional mechanical fasteners, especially in lightweight structures. Bonded joints are designed such that the adhesive is loaded in the direction of its maximum strength (i.e. shear), whereas tension or peel stresses are minimized. For this reason, determining mode II fracture toughness is extremely important.</w:t>
      </w:r>
    </w:p>
    <w:p w:rsidR="00AA4459" w:rsidRPr="009346FA" w:rsidRDefault="00AA4459" w:rsidP="00AA4459">
      <w:pPr>
        <w:jc w:val="both"/>
        <w:rPr>
          <w:sz w:val="22"/>
          <w:szCs w:val="22"/>
          <w:lang w:val="en-GB"/>
        </w:rPr>
      </w:pPr>
    </w:p>
    <w:p w:rsidR="00AA4459" w:rsidRPr="009346FA" w:rsidRDefault="00AA4459" w:rsidP="00AA4459">
      <w:pPr>
        <w:jc w:val="both"/>
        <w:rPr>
          <w:sz w:val="22"/>
          <w:szCs w:val="22"/>
          <w:lang w:val="en-GB"/>
        </w:rPr>
      </w:pPr>
      <w:r w:rsidRPr="009346FA">
        <w:rPr>
          <w:sz w:val="22"/>
          <w:szCs w:val="22"/>
          <w:lang w:val="en-GB"/>
        </w:rPr>
        <w:t>There are various standardized test methodologies available to d</w:t>
      </w:r>
      <w:r w:rsidR="00527C82" w:rsidRPr="009346FA">
        <w:rPr>
          <w:sz w:val="22"/>
          <w:szCs w:val="22"/>
          <w:lang w:val="en-GB"/>
        </w:rPr>
        <w:t xml:space="preserve">etermine the mode II </w:t>
      </w:r>
      <w:r w:rsidRPr="009346FA">
        <w:rPr>
          <w:sz w:val="22"/>
          <w:szCs w:val="22"/>
          <w:lang w:val="en-GB"/>
        </w:rPr>
        <w:t>fracture toughness of fibre-reinf</w:t>
      </w:r>
      <w:r w:rsidR="009346FA" w:rsidRPr="009346FA">
        <w:rPr>
          <w:sz w:val="22"/>
          <w:szCs w:val="22"/>
          <w:lang w:val="en-GB"/>
        </w:rPr>
        <w:t>orced polymer composites, named</w:t>
      </w:r>
      <w:r w:rsidRPr="009346FA">
        <w:rPr>
          <w:sz w:val="22"/>
          <w:szCs w:val="22"/>
          <w:lang w:val="en-GB"/>
        </w:rPr>
        <w:t xml:space="preserve"> the End-Notched Flexure (ENF) test </w:t>
      </w:r>
      <w:r w:rsidR="00AF4948" w:rsidRPr="009346FA">
        <w:rPr>
          <w:sz w:val="22"/>
          <w:szCs w:val="22"/>
          <w:lang w:val="en-GB"/>
        </w:rPr>
        <w:t>[1]</w:t>
      </w:r>
      <w:r w:rsidRPr="009346FA">
        <w:rPr>
          <w:sz w:val="22"/>
          <w:szCs w:val="22"/>
          <w:lang w:val="en-GB"/>
        </w:rPr>
        <w:t xml:space="preserve">, the End-Loaded Split (ELS) test </w:t>
      </w:r>
      <w:r w:rsidR="00AF4948" w:rsidRPr="009346FA">
        <w:rPr>
          <w:sz w:val="22"/>
          <w:szCs w:val="22"/>
          <w:lang w:val="en-GB"/>
        </w:rPr>
        <w:t>[2]</w:t>
      </w:r>
      <w:r w:rsidRPr="009346FA">
        <w:rPr>
          <w:sz w:val="22"/>
          <w:szCs w:val="22"/>
          <w:lang w:val="en-GB"/>
        </w:rPr>
        <w:t xml:space="preserve"> and, alternatively, the Mixed Mode Bending (MMB) test </w:t>
      </w:r>
      <w:r w:rsidR="00AF4948" w:rsidRPr="009346FA">
        <w:rPr>
          <w:sz w:val="22"/>
          <w:szCs w:val="22"/>
          <w:lang w:val="en-GB"/>
        </w:rPr>
        <w:t>[3] used at 100%</w:t>
      </w:r>
      <w:r w:rsidRPr="009346FA">
        <w:rPr>
          <w:sz w:val="22"/>
          <w:szCs w:val="22"/>
          <w:lang w:val="en-GB"/>
        </w:rPr>
        <w:t xml:space="preserve"> mode II ratio. Although not standardized, the Four End-Notched Flexure (4ENF) test also </w:t>
      </w:r>
      <w:r w:rsidR="009346FA" w:rsidRPr="009346FA">
        <w:rPr>
          <w:sz w:val="22"/>
          <w:szCs w:val="22"/>
          <w:lang w:val="en-GB"/>
        </w:rPr>
        <w:t>widespread within the scientific community</w:t>
      </w:r>
      <w:r w:rsidRPr="009346FA">
        <w:rPr>
          <w:sz w:val="22"/>
          <w:szCs w:val="22"/>
          <w:lang w:val="en-GB"/>
        </w:rPr>
        <w:t xml:space="preserve"> </w:t>
      </w:r>
      <w:r w:rsidR="00AF4948" w:rsidRPr="009346FA">
        <w:rPr>
          <w:sz w:val="22"/>
          <w:szCs w:val="22"/>
          <w:lang w:val="en-GB"/>
        </w:rPr>
        <w:t>[4]</w:t>
      </w:r>
      <w:r w:rsidRPr="009346FA">
        <w:rPr>
          <w:sz w:val="22"/>
          <w:szCs w:val="22"/>
          <w:lang w:val="en-GB"/>
        </w:rPr>
        <w:t>.</w:t>
      </w:r>
    </w:p>
    <w:p w:rsidR="00AA4459" w:rsidRPr="009346FA" w:rsidRDefault="00AA4459" w:rsidP="00AA4459">
      <w:pPr>
        <w:jc w:val="both"/>
        <w:rPr>
          <w:sz w:val="22"/>
          <w:szCs w:val="22"/>
          <w:lang w:val="en-GB"/>
        </w:rPr>
      </w:pPr>
    </w:p>
    <w:p w:rsidR="00AA4459" w:rsidRPr="009346FA" w:rsidRDefault="00AA4459" w:rsidP="00AA4459">
      <w:pPr>
        <w:jc w:val="both"/>
        <w:rPr>
          <w:sz w:val="22"/>
          <w:szCs w:val="22"/>
          <w:lang w:val="en-GB"/>
        </w:rPr>
      </w:pPr>
      <w:r w:rsidRPr="009346FA">
        <w:rPr>
          <w:sz w:val="22"/>
          <w:szCs w:val="22"/>
          <w:lang w:val="en-GB"/>
        </w:rPr>
        <w:t xml:space="preserve">One of the main problems in mode II testing is the poor comparability among the existing test methods </w:t>
      </w:r>
      <w:r w:rsidR="00316490" w:rsidRPr="009346FA">
        <w:rPr>
          <w:sz w:val="22"/>
          <w:szCs w:val="22"/>
          <w:lang w:val="en-GB"/>
        </w:rPr>
        <w:t>[5-</w:t>
      </w:r>
      <w:r w:rsidRPr="009346FA">
        <w:rPr>
          <w:sz w:val="22"/>
          <w:szCs w:val="22"/>
          <w:lang w:val="en-GB"/>
        </w:rPr>
        <w:t xml:space="preserve"> </w:t>
      </w:r>
      <w:proofErr w:type="gramStart"/>
      <w:r w:rsidR="00316490" w:rsidRPr="009346FA">
        <w:rPr>
          <w:sz w:val="22"/>
          <w:szCs w:val="22"/>
          <w:lang w:val="en-GB"/>
        </w:rPr>
        <w:t>9</w:t>
      </w:r>
      <w:proofErr w:type="gramEnd"/>
      <w:r w:rsidR="00316490" w:rsidRPr="009346FA">
        <w:rPr>
          <w:sz w:val="22"/>
          <w:szCs w:val="22"/>
          <w:lang w:val="en-GB"/>
        </w:rPr>
        <w:t>]</w:t>
      </w:r>
      <w:r w:rsidRPr="009346FA">
        <w:rPr>
          <w:sz w:val="22"/>
          <w:szCs w:val="22"/>
          <w:lang w:val="en-GB"/>
        </w:rPr>
        <w:t xml:space="preserve">. The causes of such discrepancies in results are diverse, ranging from the friction and large deflections involved, to the complex damage mechanisms occurring at the crack tip </w:t>
      </w:r>
      <w:r w:rsidR="00316490" w:rsidRPr="009346FA">
        <w:rPr>
          <w:sz w:val="22"/>
          <w:szCs w:val="22"/>
          <w:lang w:val="en-GB"/>
        </w:rPr>
        <w:t>[5, 10-14]</w:t>
      </w:r>
      <w:r w:rsidRPr="009346FA">
        <w:rPr>
          <w:sz w:val="22"/>
          <w:szCs w:val="22"/>
          <w:lang w:val="en-GB"/>
        </w:rPr>
        <w:t>.</w:t>
      </w:r>
    </w:p>
    <w:p w:rsidR="00AA4459" w:rsidRPr="009346FA" w:rsidRDefault="009346FA" w:rsidP="00AA4459">
      <w:pPr>
        <w:jc w:val="both"/>
        <w:rPr>
          <w:sz w:val="22"/>
          <w:szCs w:val="22"/>
          <w:lang w:val="en-GB"/>
        </w:rPr>
      </w:pPr>
      <w:r>
        <w:rPr>
          <w:sz w:val="22"/>
          <w:szCs w:val="22"/>
          <w:lang w:val="en-GB"/>
        </w:rPr>
        <w:t>Besides, i</w:t>
      </w:r>
      <w:r w:rsidR="00AA4459" w:rsidRPr="009346FA">
        <w:rPr>
          <w:sz w:val="22"/>
          <w:szCs w:val="22"/>
          <w:lang w:val="en-GB"/>
        </w:rPr>
        <w:t xml:space="preserve">n the case of adhesive bonded joints, they </w:t>
      </w:r>
      <w:proofErr w:type="gramStart"/>
      <w:r w:rsidR="00AA4459" w:rsidRPr="009346FA">
        <w:rPr>
          <w:sz w:val="22"/>
          <w:szCs w:val="22"/>
          <w:lang w:val="en-GB"/>
        </w:rPr>
        <w:t>have been reported</w:t>
      </w:r>
      <w:proofErr w:type="gramEnd"/>
      <w:r w:rsidR="00AA4459" w:rsidRPr="009346FA">
        <w:rPr>
          <w:sz w:val="22"/>
          <w:szCs w:val="22"/>
          <w:lang w:val="en-GB"/>
        </w:rPr>
        <w:t xml:space="preserve"> to entail a large Fracture Process Zone (FPZ) at the crack front, instead of a sharp crack tip, due to the plastic</w:t>
      </w:r>
      <w:r w:rsidR="002A4599" w:rsidRPr="009346FA">
        <w:rPr>
          <w:sz w:val="22"/>
          <w:szCs w:val="22"/>
          <w:lang w:val="en-GB"/>
        </w:rPr>
        <w:t>ity of the adhesive layer [15, 16]</w:t>
      </w:r>
      <w:r w:rsidR="00AA4459" w:rsidRPr="009346FA">
        <w:rPr>
          <w:sz w:val="22"/>
          <w:szCs w:val="22"/>
          <w:lang w:val="en-GB"/>
        </w:rPr>
        <w:t xml:space="preserve">. Therefore, analysing situations involving large FPZ may fall outside the scope of the mode II delamination standards data reduction methods because they </w:t>
      </w:r>
      <w:proofErr w:type="gramStart"/>
      <w:r w:rsidR="00AA4459" w:rsidRPr="009346FA">
        <w:rPr>
          <w:sz w:val="22"/>
          <w:szCs w:val="22"/>
          <w:lang w:val="en-GB"/>
        </w:rPr>
        <w:t>are based</w:t>
      </w:r>
      <w:proofErr w:type="gramEnd"/>
      <w:r w:rsidR="00AA4459" w:rsidRPr="009346FA">
        <w:rPr>
          <w:sz w:val="22"/>
          <w:szCs w:val="22"/>
          <w:lang w:val="en-GB"/>
        </w:rPr>
        <w:t xml:space="preserve"> on Linear Elastic Fracture Mechanics (LEFM).</w:t>
      </w:r>
    </w:p>
    <w:p w:rsidR="00AA4459" w:rsidRPr="009346FA" w:rsidRDefault="00AA4459" w:rsidP="00AA4459">
      <w:pPr>
        <w:jc w:val="both"/>
        <w:rPr>
          <w:sz w:val="22"/>
          <w:szCs w:val="22"/>
          <w:lang w:val="en-GB"/>
        </w:rPr>
      </w:pPr>
    </w:p>
    <w:p w:rsidR="00AA4459" w:rsidRPr="009346FA" w:rsidRDefault="00AA4459" w:rsidP="00AA4459">
      <w:pPr>
        <w:jc w:val="both"/>
        <w:rPr>
          <w:sz w:val="22"/>
          <w:szCs w:val="22"/>
          <w:lang w:val="en-GB"/>
        </w:rPr>
      </w:pPr>
      <w:r w:rsidRPr="009346FA">
        <w:rPr>
          <w:sz w:val="22"/>
          <w:szCs w:val="22"/>
          <w:lang w:val="en-GB"/>
        </w:rPr>
        <w:t xml:space="preserve">The interest in bonded joints failure has led to new data reduction methods </w:t>
      </w:r>
      <w:proofErr w:type="gramStart"/>
      <w:r w:rsidRPr="009346FA">
        <w:rPr>
          <w:sz w:val="22"/>
          <w:szCs w:val="22"/>
          <w:lang w:val="en-GB"/>
        </w:rPr>
        <w:t>being developed</w:t>
      </w:r>
      <w:proofErr w:type="gramEnd"/>
      <w:r w:rsidRPr="009346FA">
        <w:rPr>
          <w:sz w:val="22"/>
          <w:szCs w:val="22"/>
          <w:lang w:val="en-GB"/>
        </w:rPr>
        <w:t xml:space="preserve"> to determine fracture toughness in a non-linear framework. One that has enjoyed particular success is the </w:t>
      </w:r>
      <w:r w:rsidRPr="009346FA">
        <w:rPr>
          <w:i/>
          <w:sz w:val="22"/>
          <w:szCs w:val="22"/>
          <w:lang w:val="en-GB"/>
        </w:rPr>
        <w:t>J</w:t>
      </w:r>
      <w:r w:rsidRPr="009346FA">
        <w:rPr>
          <w:sz w:val="22"/>
          <w:szCs w:val="22"/>
          <w:lang w:val="en-GB"/>
        </w:rPr>
        <w:t>-integral</w:t>
      </w:r>
      <w:r w:rsidR="001277B1" w:rsidRPr="009346FA">
        <w:rPr>
          <w:sz w:val="22"/>
          <w:szCs w:val="22"/>
          <w:lang w:val="en-GB"/>
        </w:rPr>
        <w:t xml:space="preserve"> developed by Rice [17]</w:t>
      </w:r>
      <w:r w:rsidR="00527C82" w:rsidRPr="009346FA">
        <w:rPr>
          <w:sz w:val="22"/>
          <w:szCs w:val="22"/>
          <w:lang w:val="en-GB"/>
        </w:rPr>
        <w:t xml:space="preserve"> from which s</w:t>
      </w:r>
      <w:r w:rsidRPr="009346FA">
        <w:rPr>
          <w:sz w:val="22"/>
          <w:szCs w:val="22"/>
          <w:lang w:val="en-GB"/>
        </w:rPr>
        <w:t xml:space="preserve">imple closed form solutions </w:t>
      </w:r>
      <w:proofErr w:type="gramStart"/>
      <w:r w:rsidRPr="009346FA">
        <w:rPr>
          <w:sz w:val="22"/>
          <w:szCs w:val="22"/>
          <w:lang w:val="en-GB"/>
        </w:rPr>
        <w:t>have been used</w:t>
      </w:r>
      <w:proofErr w:type="gramEnd"/>
      <w:r w:rsidRPr="009346FA">
        <w:rPr>
          <w:sz w:val="22"/>
          <w:szCs w:val="22"/>
          <w:lang w:val="en-GB"/>
        </w:rPr>
        <w:t xml:space="preserve"> to obtain fracture tough</w:t>
      </w:r>
      <w:r w:rsidR="001277B1" w:rsidRPr="009346FA">
        <w:rPr>
          <w:sz w:val="22"/>
          <w:szCs w:val="22"/>
          <w:lang w:val="en-GB"/>
        </w:rPr>
        <w:t>ness in tests such as ENF [18]</w:t>
      </w:r>
      <w:r w:rsidRPr="009346FA">
        <w:rPr>
          <w:sz w:val="22"/>
          <w:szCs w:val="22"/>
          <w:lang w:val="en-GB"/>
        </w:rPr>
        <w:t xml:space="preserve">, ELS </w:t>
      </w:r>
      <w:r w:rsidR="001277B1" w:rsidRPr="009346FA">
        <w:rPr>
          <w:sz w:val="22"/>
          <w:szCs w:val="22"/>
          <w:lang w:val="en-GB"/>
        </w:rPr>
        <w:t>[19]</w:t>
      </w:r>
      <w:r w:rsidRPr="009346FA">
        <w:rPr>
          <w:sz w:val="22"/>
          <w:szCs w:val="22"/>
          <w:lang w:val="en-GB"/>
        </w:rPr>
        <w:t xml:space="preserve"> and MMB </w:t>
      </w:r>
      <w:r w:rsidR="001277B1" w:rsidRPr="009346FA">
        <w:rPr>
          <w:sz w:val="22"/>
          <w:szCs w:val="22"/>
          <w:lang w:val="en-GB"/>
        </w:rPr>
        <w:t>[20].</w:t>
      </w:r>
      <w:r w:rsidRPr="009346FA">
        <w:rPr>
          <w:sz w:val="22"/>
          <w:szCs w:val="22"/>
          <w:lang w:val="en-GB"/>
        </w:rPr>
        <w:t xml:space="preserve"> </w:t>
      </w:r>
    </w:p>
    <w:p w:rsidR="00AA4459" w:rsidRPr="009346FA" w:rsidRDefault="00AA4459" w:rsidP="00AA4459">
      <w:pPr>
        <w:jc w:val="both"/>
        <w:rPr>
          <w:sz w:val="22"/>
          <w:szCs w:val="22"/>
          <w:lang w:val="en-GB"/>
        </w:rPr>
      </w:pPr>
    </w:p>
    <w:p w:rsidR="00AA4459" w:rsidRPr="009346FA" w:rsidRDefault="00AA4459" w:rsidP="00AA4459">
      <w:pPr>
        <w:jc w:val="both"/>
        <w:rPr>
          <w:sz w:val="22"/>
          <w:szCs w:val="22"/>
          <w:lang w:val="en-GB"/>
        </w:rPr>
      </w:pPr>
      <w:r w:rsidRPr="009346FA">
        <w:rPr>
          <w:sz w:val="22"/>
          <w:szCs w:val="22"/>
          <w:lang w:val="en-GB"/>
        </w:rPr>
        <w:t xml:space="preserve">The objective of this work is to obtain a reliable </w:t>
      </w:r>
      <w:proofErr w:type="gramStart"/>
      <w:r w:rsidRPr="009346FA">
        <w:rPr>
          <w:sz w:val="22"/>
          <w:szCs w:val="22"/>
          <w:lang w:val="en-GB"/>
        </w:rPr>
        <w:t>mode II fracture toughness test</w:t>
      </w:r>
      <w:proofErr w:type="gramEnd"/>
      <w:r w:rsidRPr="009346FA">
        <w:rPr>
          <w:sz w:val="22"/>
          <w:szCs w:val="22"/>
          <w:lang w:val="en-GB"/>
        </w:rPr>
        <w:t xml:space="preserve"> for structural adhesives. Four mode II test methodologies were compared (ENF, ELS, 4ENF and MMB at 100%</w:t>
      </w:r>
      <w:r w:rsidR="00527C82" w:rsidRPr="009346FA">
        <w:rPr>
          <w:sz w:val="22"/>
          <w:szCs w:val="22"/>
          <w:lang w:val="en-GB"/>
        </w:rPr>
        <w:t xml:space="preserve"> mode II</w:t>
      </w:r>
      <w:r w:rsidRPr="009346FA">
        <w:rPr>
          <w:sz w:val="22"/>
          <w:szCs w:val="22"/>
          <w:lang w:val="en-GB"/>
        </w:rPr>
        <w:t xml:space="preserve"> ratio) in an experimental test campaign of bonded joints between Carbon Fibre Reinforced Polymers (CFRP). Different data reduction methods based on both LEFM and the </w:t>
      </w:r>
      <w:r w:rsidRPr="009346FA">
        <w:rPr>
          <w:i/>
          <w:sz w:val="22"/>
          <w:szCs w:val="22"/>
          <w:lang w:val="en-GB"/>
        </w:rPr>
        <w:t>J</w:t>
      </w:r>
      <w:r w:rsidRPr="009346FA">
        <w:rPr>
          <w:sz w:val="22"/>
          <w:szCs w:val="22"/>
          <w:lang w:val="en-GB"/>
        </w:rPr>
        <w:t xml:space="preserve">-integral </w:t>
      </w:r>
      <w:proofErr w:type="gramStart"/>
      <w:r w:rsidRPr="009346FA">
        <w:rPr>
          <w:sz w:val="22"/>
          <w:szCs w:val="22"/>
          <w:lang w:val="en-GB"/>
        </w:rPr>
        <w:t>were applied</w:t>
      </w:r>
      <w:proofErr w:type="gramEnd"/>
      <w:r w:rsidRPr="009346FA">
        <w:rPr>
          <w:sz w:val="22"/>
          <w:szCs w:val="22"/>
          <w:lang w:val="en-GB"/>
        </w:rPr>
        <w:t xml:space="preserve"> to each test methodology. A </w:t>
      </w:r>
      <w:r w:rsidRPr="009346FA">
        <w:rPr>
          <w:i/>
          <w:sz w:val="22"/>
          <w:szCs w:val="22"/>
          <w:lang w:val="en-GB"/>
        </w:rPr>
        <w:t>J</w:t>
      </w:r>
      <w:r w:rsidRPr="009346FA">
        <w:rPr>
          <w:sz w:val="22"/>
          <w:szCs w:val="22"/>
          <w:lang w:val="en-GB"/>
        </w:rPr>
        <w:t xml:space="preserve">-integral closed form solution for the 4ENF test </w:t>
      </w:r>
      <w:proofErr w:type="gramStart"/>
      <w:r w:rsidRPr="009346FA">
        <w:rPr>
          <w:sz w:val="22"/>
          <w:szCs w:val="22"/>
          <w:lang w:val="en-GB"/>
        </w:rPr>
        <w:t>is presented</w:t>
      </w:r>
      <w:proofErr w:type="gramEnd"/>
      <w:r w:rsidRPr="009346FA">
        <w:rPr>
          <w:sz w:val="22"/>
          <w:szCs w:val="22"/>
          <w:lang w:val="en-GB"/>
        </w:rPr>
        <w:t xml:space="preserve">, as it is the only one from the tests studied for which a </w:t>
      </w:r>
      <w:r w:rsidRPr="009346FA">
        <w:rPr>
          <w:i/>
          <w:sz w:val="22"/>
          <w:szCs w:val="22"/>
          <w:lang w:val="en-GB"/>
        </w:rPr>
        <w:t>J</w:t>
      </w:r>
      <w:r w:rsidRPr="009346FA">
        <w:rPr>
          <w:sz w:val="22"/>
          <w:szCs w:val="22"/>
          <w:lang w:val="en-GB"/>
        </w:rPr>
        <w:t xml:space="preserve">-integral closed form does not exist in the literature. </w:t>
      </w:r>
    </w:p>
    <w:p w:rsidR="00AA4459" w:rsidRPr="009346FA" w:rsidRDefault="00AA4459" w:rsidP="00AA4459">
      <w:pPr>
        <w:jc w:val="both"/>
        <w:rPr>
          <w:sz w:val="22"/>
          <w:szCs w:val="22"/>
          <w:lang w:val="en-GB"/>
        </w:rPr>
      </w:pPr>
    </w:p>
    <w:p w:rsidR="00AA4459" w:rsidRPr="009346FA" w:rsidRDefault="00AA4459" w:rsidP="00AA4459">
      <w:pPr>
        <w:pStyle w:val="1stTitleWCCM"/>
        <w:tabs>
          <w:tab w:val="clear" w:pos="360"/>
          <w:tab w:val="left" w:pos="284"/>
        </w:tabs>
        <w:spacing w:before="0" w:after="0"/>
        <w:outlineLvl w:val="0"/>
        <w:rPr>
          <w:caps w:val="0"/>
          <w:sz w:val="22"/>
          <w:szCs w:val="22"/>
          <w:lang w:val="en-GB"/>
        </w:rPr>
      </w:pPr>
      <w:r w:rsidRPr="009346FA">
        <w:rPr>
          <w:sz w:val="22"/>
          <w:szCs w:val="22"/>
          <w:lang w:val="en-GB"/>
        </w:rPr>
        <w:t>2.</w:t>
      </w:r>
      <w:r w:rsidRPr="009346FA">
        <w:rPr>
          <w:sz w:val="22"/>
          <w:szCs w:val="22"/>
          <w:lang w:val="en-GB"/>
        </w:rPr>
        <w:tab/>
      </w:r>
      <w:r w:rsidRPr="009346FA">
        <w:rPr>
          <w:caps w:val="0"/>
          <w:sz w:val="22"/>
          <w:szCs w:val="22"/>
          <w:lang w:val="en-GB"/>
        </w:rPr>
        <w:t>Experimental test campaign</w:t>
      </w:r>
    </w:p>
    <w:p w:rsidR="00AA4459" w:rsidRPr="009346FA" w:rsidRDefault="00AA4459" w:rsidP="00AA4459">
      <w:pPr>
        <w:jc w:val="both"/>
        <w:rPr>
          <w:sz w:val="22"/>
          <w:szCs w:val="22"/>
          <w:lang w:val="en-GB"/>
        </w:rPr>
      </w:pPr>
    </w:p>
    <w:p w:rsidR="00AA4459" w:rsidRPr="009346FA" w:rsidRDefault="00AA4459" w:rsidP="00AA4459">
      <w:pPr>
        <w:jc w:val="both"/>
        <w:rPr>
          <w:sz w:val="22"/>
          <w:szCs w:val="22"/>
          <w:lang w:val="en-GB"/>
        </w:rPr>
      </w:pPr>
      <w:r w:rsidRPr="009346FA">
        <w:rPr>
          <w:sz w:val="22"/>
          <w:szCs w:val="22"/>
          <w:lang w:val="en-GB"/>
        </w:rPr>
        <w:t xml:space="preserve">The tests </w:t>
      </w:r>
      <w:proofErr w:type="gramStart"/>
      <w:r w:rsidRPr="009346FA">
        <w:rPr>
          <w:sz w:val="22"/>
          <w:szCs w:val="22"/>
          <w:lang w:val="en-GB"/>
        </w:rPr>
        <w:t>were performed</w:t>
      </w:r>
      <w:proofErr w:type="gramEnd"/>
      <w:r w:rsidRPr="009346FA">
        <w:rPr>
          <w:sz w:val="22"/>
          <w:szCs w:val="22"/>
          <w:lang w:val="en-GB"/>
        </w:rPr>
        <w:t xml:space="preserve"> in AMADE research group testing laboratory, at the University of Girona. The specimens tested were 25 mm wide, 210 mm long, 4.8 mm thick with a 60 mm long artificial crack in the bonding line. Two different specimen types (M1 and M2) </w:t>
      </w:r>
      <w:proofErr w:type="gramStart"/>
      <w:r w:rsidRPr="009346FA">
        <w:rPr>
          <w:sz w:val="22"/>
          <w:szCs w:val="22"/>
          <w:lang w:val="en-GB"/>
        </w:rPr>
        <w:t>were manufactured</w:t>
      </w:r>
      <w:proofErr w:type="gramEnd"/>
      <w:r w:rsidRPr="009346FA">
        <w:rPr>
          <w:sz w:val="22"/>
          <w:szCs w:val="22"/>
          <w:lang w:val="en-GB"/>
        </w:rPr>
        <w:t xml:space="preserve"> with the same adhesive but each with a different </w:t>
      </w:r>
      <w:r w:rsidR="009346FA">
        <w:rPr>
          <w:sz w:val="22"/>
          <w:szCs w:val="22"/>
          <w:lang w:val="en-GB"/>
        </w:rPr>
        <w:t xml:space="preserve">CFRP </w:t>
      </w:r>
      <w:proofErr w:type="spellStart"/>
      <w:r w:rsidRPr="009346FA">
        <w:rPr>
          <w:sz w:val="22"/>
          <w:szCs w:val="22"/>
          <w:lang w:val="en-GB"/>
        </w:rPr>
        <w:t>adherend</w:t>
      </w:r>
      <w:proofErr w:type="spellEnd"/>
      <w:r w:rsidR="009346FA">
        <w:rPr>
          <w:sz w:val="22"/>
          <w:szCs w:val="22"/>
          <w:lang w:val="en-GB"/>
        </w:rPr>
        <w:t>,</w:t>
      </w:r>
      <w:r w:rsidRPr="009346FA">
        <w:rPr>
          <w:sz w:val="22"/>
          <w:szCs w:val="22"/>
          <w:lang w:val="en-GB"/>
        </w:rPr>
        <w:t xml:space="preserve"> differing in the type of fibres and resin used. </w:t>
      </w:r>
    </w:p>
    <w:p w:rsidR="00AA4459" w:rsidRPr="009346FA" w:rsidRDefault="00AA4459" w:rsidP="00556716">
      <w:pPr>
        <w:jc w:val="both"/>
        <w:rPr>
          <w:sz w:val="22"/>
          <w:szCs w:val="22"/>
          <w:lang w:val="en-GB"/>
        </w:rPr>
      </w:pPr>
    </w:p>
    <w:p w:rsidR="00B43AF4" w:rsidRPr="009346FA" w:rsidRDefault="00B43AF4" w:rsidP="00B43AF4">
      <w:pPr>
        <w:jc w:val="both"/>
        <w:rPr>
          <w:sz w:val="22"/>
          <w:szCs w:val="22"/>
          <w:lang w:val="en-GB"/>
        </w:rPr>
      </w:pPr>
      <w:r w:rsidRPr="009346FA">
        <w:rPr>
          <w:sz w:val="22"/>
          <w:szCs w:val="22"/>
          <w:lang w:val="en-GB"/>
        </w:rPr>
        <w:t>With the aim of avoiding unstable cr</w:t>
      </w:r>
      <w:r w:rsidR="009346FA">
        <w:rPr>
          <w:sz w:val="22"/>
          <w:szCs w:val="22"/>
          <w:lang w:val="en-GB"/>
        </w:rPr>
        <w:t xml:space="preserve">ack initiation from the insert </w:t>
      </w:r>
      <w:r w:rsidRPr="009346FA">
        <w:rPr>
          <w:sz w:val="22"/>
          <w:szCs w:val="22"/>
          <w:lang w:val="en-GB"/>
        </w:rPr>
        <w:t>a pre-crack in mode I of at least 5 mm was made in all the specimens followi</w:t>
      </w:r>
      <w:r w:rsidR="001277B1" w:rsidRPr="009346FA">
        <w:rPr>
          <w:sz w:val="22"/>
          <w:szCs w:val="22"/>
          <w:lang w:val="en-GB"/>
        </w:rPr>
        <w:t xml:space="preserve">ng the ISO25217 [21] </w:t>
      </w:r>
      <w:r w:rsidRPr="009346FA">
        <w:rPr>
          <w:sz w:val="22"/>
          <w:szCs w:val="22"/>
          <w:lang w:val="en-GB"/>
        </w:rPr>
        <w:t>standard</w:t>
      </w:r>
      <w:r w:rsidR="009346FA">
        <w:rPr>
          <w:sz w:val="22"/>
          <w:szCs w:val="22"/>
          <w:lang w:val="en-GB"/>
        </w:rPr>
        <w:t xml:space="preserve"> </w:t>
      </w:r>
      <w:r w:rsidR="009346FA" w:rsidRPr="009346FA">
        <w:rPr>
          <w:sz w:val="22"/>
          <w:szCs w:val="22"/>
          <w:lang w:val="en-GB"/>
        </w:rPr>
        <w:t>before the mode II tests</w:t>
      </w:r>
      <w:r w:rsidRPr="009346FA">
        <w:rPr>
          <w:sz w:val="22"/>
          <w:szCs w:val="22"/>
          <w:lang w:val="en-GB"/>
        </w:rPr>
        <w:t>.</w:t>
      </w:r>
      <w:r w:rsidRPr="009346FA">
        <w:rPr>
          <w:sz w:val="22"/>
          <w:szCs w:val="22"/>
          <w:lang w:val="en-GB"/>
        </w:rPr>
        <w:t xml:space="preserve"> </w:t>
      </w:r>
    </w:p>
    <w:p w:rsidR="00B43AF4" w:rsidRPr="009346FA" w:rsidRDefault="00B43AF4" w:rsidP="00B43AF4">
      <w:pPr>
        <w:jc w:val="both"/>
        <w:rPr>
          <w:sz w:val="22"/>
          <w:szCs w:val="22"/>
          <w:lang w:val="en-GB"/>
        </w:rPr>
      </w:pPr>
    </w:p>
    <w:p w:rsidR="000969DD" w:rsidRPr="009346FA" w:rsidRDefault="00B43AF4" w:rsidP="000969DD">
      <w:pPr>
        <w:jc w:val="both"/>
        <w:rPr>
          <w:sz w:val="22"/>
          <w:szCs w:val="22"/>
          <w:lang w:val="en-GB"/>
        </w:rPr>
      </w:pPr>
      <w:r w:rsidRPr="009346FA">
        <w:rPr>
          <w:sz w:val="22"/>
          <w:szCs w:val="22"/>
          <w:lang w:val="en-GB"/>
        </w:rPr>
        <w:t>After the pre-crack tests, the edge was marked every millimetre with a vertical line from the initial crack tip, a</w:t>
      </w:r>
      <w:r w:rsidRPr="009346FA">
        <w:rPr>
          <w:sz w:val="22"/>
          <w:szCs w:val="22"/>
          <w:vertAlign w:val="subscript"/>
          <w:lang w:val="en-GB"/>
        </w:rPr>
        <w:t>0</w:t>
      </w:r>
      <w:r w:rsidRPr="009346FA">
        <w:rPr>
          <w:sz w:val="22"/>
          <w:szCs w:val="22"/>
          <w:lang w:val="en-GB"/>
        </w:rPr>
        <w:t xml:space="preserve">, to the final propagation length, </w:t>
      </w:r>
      <w:proofErr w:type="spellStart"/>
      <w:proofErr w:type="gramStart"/>
      <w:r w:rsidRPr="009346FA">
        <w:rPr>
          <w:sz w:val="22"/>
          <w:szCs w:val="22"/>
          <w:lang w:val="en-GB"/>
        </w:rPr>
        <w:t>a</w:t>
      </w:r>
      <w:r w:rsidRPr="009346FA">
        <w:rPr>
          <w:sz w:val="22"/>
          <w:szCs w:val="22"/>
          <w:vertAlign w:val="subscript"/>
          <w:lang w:val="en-GB"/>
        </w:rPr>
        <w:t>f</w:t>
      </w:r>
      <w:proofErr w:type="spellEnd"/>
      <w:proofErr w:type="gramEnd"/>
      <w:r w:rsidRPr="009346FA">
        <w:rPr>
          <w:sz w:val="22"/>
          <w:szCs w:val="22"/>
          <w:lang w:val="en-GB"/>
        </w:rPr>
        <w:t xml:space="preserve"> (c.f. Fig</w:t>
      </w:r>
      <w:r w:rsidR="00BE7E3F" w:rsidRPr="009346FA">
        <w:rPr>
          <w:sz w:val="22"/>
          <w:szCs w:val="22"/>
          <w:lang w:val="en-GB"/>
        </w:rPr>
        <w:t>. 1</w:t>
      </w:r>
      <w:r w:rsidRPr="009346FA">
        <w:rPr>
          <w:sz w:val="22"/>
          <w:szCs w:val="22"/>
          <w:lang w:val="en-GB"/>
        </w:rPr>
        <w:t>).</w:t>
      </w:r>
    </w:p>
    <w:tbl>
      <w:tblPr>
        <w:tblW w:w="0" w:type="auto"/>
        <w:jc w:val="center"/>
        <w:shd w:val="clear" w:color="auto" w:fill="FFFFFF"/>
        <w:tblLook w:val="04A0" w:firstRow="1" w:lastRow="0" w:firstColumn="1" w:lastColumn="0" w:noHBand="0" w:noVBand="1"/>
      </w:tblPr>
      <w:tblGrid>
        <w:gridCol w:w="4536"/>
        <w:gridCol w:w="4537"/>
      </w:tblGrid>
      <w:tr w:rsidR="00B43AF4" w:rsidRPr="009346FA" w:rsidTr="003E5F11">
        <w:trPr>
          <w:jc w:val="center"/>
        </w:trPr>
        <w:tc>
          <w:tcPr>
            <w:tcW w:w="4536" w:type="dxa"/>
            <w:shd w:val="clear" w:color="auto" w:fill="FFFFFF"/>
            <w:vAlign w:val="bottom"/>
          </w:tcPr>
          <w:p w:rsidR="00B43AF4" w:rsidRPr="009346FA" w:rsidRDefault="000969DD" w:rsidP="00B35D88">
            <w:pPr>
              <w:jc w:val="center"/>
              <w:rPr>
                <w:sz w:val="22"/>
                <w:szCs w:val="22"/>
                <w:lang w:val="en-GB"/>
              </w:rPr>
            </w:pPr>
            <w:r w:rsidRPr="009346FA">
              <w:rPr>
                <w:sz w:val="22"/>
                <w:szCs w:val="22"/>
                <w:lang w:val="en-GB"/>
              </w:rPr>
              <w:br w:type="page"/>
            </w:r>
            <w:r w:rsidR="002D2E1F" w:rsidRPr="009346FA">
              <w:rPr>
                <w:sz w:val="22"/>
                <w:szCs w:val="22"/>
                <w:lang w:val="en-GB" w:eastAsia="es-ES"/>
              </w:rPr>
              <w:drawing>
                <wp:inline distT="0" distB="0" distL="0" distR="0">
                  <wp:extent cx="2520000" cy="960635"/>
                  <wp:effectExtent l="0" t="0" r="0" b="0"/>
                  <wp:docPr id="19" name="Imagen 19" descr="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L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0" cy="960635"/>
                          </a:xfrm>
                          <a:prstGeom prst="rect">
                            <a:avLst/>
                          </a:prstGeom>
                          <a:noFill/>
                          <a:ln>
                            <a:noFill/>
                          </a:ln>
                        </pic:spPr>
                      </pic:pic>
                    </a:graphicData>
                  </a:graphic>
                </wp:inline>
              </w:drawing>
            </w:r>
          </w:p>
        </w:tc>
        <w:tc>
          <w:tcPr>
            <w:tcW w:w="4537" w:type="dxa"/>
            <w:shd w:val="clear" w:color="auto" w:fill="FFFFFF"/>
            <w:vAlign w:val="bottom"/>
          </w:tcPr>
          <w:p w:rsidR="00B43AF4" w:rsidRPr="009346FA" w:rsidRDefault="002D2E1F" w:rsidP="00B35D88">
            <w:pPr>
              <w:jc w:val="center"/>
              <w:rPr>
                <w:sz w:val="22"/>
                <w:szCs w:val="22"/>
                <w:lang w:val="en-GB"/>
              </w:rPr>
            </w:pPr>
            <w:r w:rsidRPr="009346FA">
              <w:rPr>
                <w:sz w:val="22"/>
                <w:szCs w:val="22"/>
                <w:lang w:val="en-GB" w:eastAsia="es-ES"/>
              </w:rPr>
              <w:drawing>
                <wp:inline distT="0" distB="0" distL="0" distR="0">
                  <wp:extent cx="2520000" cy="1016228"/>
                  <wp:effectExtent l="0" t="0" r="0" b="0"/>
                  <wp:docPr id="20" name="Imagen 20" descr="3E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3EN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0000" cy="1016228"/>
                          </a:xfrm>
                          <a:prstGeom prst="rect">
                            <a:avLst/>
                          </a:prstGeom>
                          <a:noFill/>
                          <a:ln>
                            <a:noFill/>
                          </a:ln>
                        </pic:spPr>
                      </pic:pic>
                    </a:graphicData>
                  </a:graphic>
                </wp:inline>
              </w:drawing>
            </w:r>
          </w:p>
        </w:tc>
      </w:tr>
      <w:tr w:rsidR="00B43AF4" w:rsidRPr="009346FA" w:rsidTr="003E5F11">
        <w:trPr>
          <w:jc w:val="center"/>
        </w:trPr>
        <w:tc>
          <w:tcPr>
            <w:tcW w:w="4536" w:type="dxa"/>
            <w:shd w:val="clear" w:color="auto" w:fill="FFFFFF"/>
          </w:tcPr>
          <w:p w:rsidR="00B43AF4" w:rsidRPr="009346FA" w:rsidRDefault="00B43AF4" w:rsidP="00B35D88">
            <w:pPr>
              <w:numPr>
                <w:ilvl w:val="0"/>
                <w:numId w:val="6"/>
              </w:numPr>
              <w:jc w:val="center"/>
              <w:rPr>
                <w:sz w:val="22"/>
                <w:szCs w:val="22"/>
                <w:lang w:val="en-GB"/>
              </w:rPr>
            </w:pPr>
            <w:r w:rsidRPr="009346FA">
              <w:rPr>
                <w:sz w:val="22"/>
                <w:szCs w:val="22"/>
                <w:lang w:val="en-GB"/>
              </w:rPr>
              <w:t>ELS</w:t>
            </w:r>
          </w:p>
        </w:tc>
        <w:tc>
          <w:tcPr>
            <w:tcW w:w="4537" w:type="dxa"/>
            <w:shd w:val="clear" w:color="auto" w:fill="FFFFFF"/>
          </w:tcPr>
          <w:p w:rsidR="00B43AF4" w:rsidRPr="009346FA" w:rsidRDefault="00B43AF4" w:rsidP="00B35D88">
            <w:pPr>
              <w:numPr>
                <w:ilvl w:val="0"/>
                <w:numId w:val="6"/>
              </w:numPr>
              <w:jc w:val="center"/>
              <w:rPr>
                <w:sz w:val="22"/>
                <w:szCs w:val="22"/>
                <w:lang w:val="en-GB"/>
              </w:rPr>
            </w:pPr>
            <w:r w:rsidRPr="009346FA">
              <w:rPr>
                <w:sz w:val="22"/>
                <w:szCs w:val="22"/>
                <w:lang w:val="en-GB"/>
              </w:rPr>
              <w:t>ENF</w:t>
            </w:r>
          </w:p>
        </w:tc>
      </w:tr>
      <w:tr w:rsidR="00B43AF4" w:rsidRPr="009346FA" w:rsidTr="003E5F11">
        <w:trPr>
          <w:jc w:val="center"/>
        </w:trPr>
        <w:tc>
          <w:tcPr>
            <w:tcW w:w="4536" w:type="dxa"/>
            <w:shd w:val="clear" w:color="auto" w:fill="FFFFFF"/>
            <w:vAlign w:val="bottom"/>
          </w:tcPr>
          <w:p w:rsidR="00B43AF4" w:rsidRPr="009346FA" w:rsidRDefault="002D2E1F" w:rsidP="00B35D88">
            <w:pPr>
              <w:jc w:val="center"/>
              <w:rPr>
                <w:sz w:val="22"/>
                <w:szCs w:val="22"/>
                <w:lang w:val="en-GB"/>
              </w:rPr>
            </w:pPr>
            <w:r w:rsidRPr="009346FA">
              <w:rPr>
                <w:sz w:val="22"/>
                <w:szCs w:val="22"/>
                <w:lang w:val="en-GB" w:eastAsia="es-ES"/>
              </w:rPr>
              <w:drawing>
                <wp:inline distT="0" distB="0" distL="0" distR="0">
                  <wp:extent cx="2520000" cy="1169662"/>
                  <wp:effectExtent l="0" t="0" r="0" b="0"/>
                  <wp:docPr id="21" name="Imagen 21" descr="4E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4EN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0000" cy="1169662"/>
                          </a:xfrm>
                          <a:prstGeom prst="rect">
                            <a:avLst/>
                          </a:prstGeom>
                          <a:noFill/>
                          <a:ln>
                            <a:noFill/>
                          </a:ln>
                        </pic:spPr>
                      </pic:pic>
                    </a:graphicData>
                  </a:graphic>
                </wp:inline>
              </w:drawing>
            </w:r>
          </w:p>
        </w:tc>
        <w:tc>
          <w:tcPr>
            <w:tcW w:w="4537" w:type="dxa"/>
            <w:shd w:val="clear" w:color="auto" w:fill="FFFFFF"/>
            <w:vAlign w:val="bottom"/>
          </w:tcPr>
          <w:p w:rsidR="00B43AF4" w:rsidRPr="009346FA" w:rsidRDefault="002D2E1F" w:rsidP="00B35D88">
            <w:pPr>
              <w:jc w:val="center"/>
              <w:rPr>
                <w:sz w:val="22"/>
                <w:szCs w:val="22"/>
                <w:lang w:val="en-GB"/>
              </w:rPr>
            </w:pPr>
            <w:r w:rsidRPr="009346FA">
              <w:rPr>
                <w:sz w:val="22"/>
                <w:szCs w:val="22"/>
                <w:lang w:val="en-GB" w:eastAsia="es-ES"/>
              </w:rPr>
              <w:drawing>
                <wp:inline distT="0" distB="0" distL="0" distR="0">
                  <wp:extent cx="2520000" cy="1141866"/>
                  <wp:effectExtent l="0" t="0" r="0" b="1270"/>
                  <wp:docPr id="22" name="Imagen 22" descr="M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M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20000" cy="1141866"/>
                          </a:xfrm>
                          <a:prstGeom prst="rect">
                            <a:avLst/>
                          </a:prstGeom>
                          <a:noFill/>
                          <a:ln>
                            <a:noFill/>
                          </a:ln>
                        </pic:spPr>
                      </pic:pic>
                    </a:graphicData>
                  </a:graphic>
                </wp:inline>
              </w:drawing>
            </w:r>
          </w:p>
        </w:tc>
      </w:tr>
      <w:tr w:rsidR="00B43AF4" w:rsidRPr="009346FA" w:rsidTr="003E5F11">
        <w:trPr>
          <w:jc w:val="center"/>
        </w:trPr>
        <w:tc>
          <w:tcPr>
            <w:tcW w:w="4536" w:type="dxa"/>
            <w:shd w:val="clear" w:color="auto" w:fill="FFFFFF"/>
          </w:tcPr>
          <w:p w:rsidR="00B43AF4" w:rsidRPr="009346FA" w:rsidRDefault="00B43AF4" w:rsidP="00B35D88">
            <w:pPr>
              <w:numPr>
                <w:ilvl w:val="0"/>
                <w:numId w:val="6"/>
              </w:numPr>
              <w:jc w:val="center"/>
              <w:rPr>
                <w:sz w:val="22"/>
                <w:szCs w:val="22"/>
                <w:lang w:val="en-GB"/>
              </w:rPr>
            </w:pPr>
            <w:r w:rsidRPr="009346FA">
              <w:rPr>
                <w:sz w:val="22"/>
                <w:szCs w:val="22"/>
                <w:lang w:val="en-GB"/>
              </w:rPr>
              <w:t>4ENF</w:t>
            </w:r>
          </w:p>
        </w:tc>
        <w:tc>
          <w:tcPr>
            <w:tcW w:w="4537" w:type="dxa"/>
            <w:shd w:val="clear" w:color="auto" w:fill="FFFFFF"/>
          </w:tcPr>
          <w:p w:rsidR="00B43AF4" w:rsidRPr="009346FA" w:rsidRDefault="00B43AF4" w:rsidP="00B35D88">
            <w:pPr>
              <w:numPr>
                <w:ilvl w:val="0"/>
                <w:numId w:val="6"/>
              </w:numPr>
              <w:jc w:val="center"/>
              <w:rPr>
                <w:sz w:val="22"/>
                <w:szCs w:val="22"/>
                <w:lang w:val="en-GB"/>
              </w:rPr>
            </w:pPr>
            <w:r w:rsidRPr="009346FA">
              <w:rPr>
                <w:sz w:val="22"/>
                <w:szCs w:val="22"/>
                <w:lang w:val="en-GB"/>
              </w:rPr>
              <w:t>MMB</w:t>
            </w:r>
          </w:p>
        </w:tc>
      </w:tr>
    </w:tbl>
    <w:p w:rsidR="00B43AF4" w:rsidRPr="009346FA" w:rsidRDefault="00B43AF4" w:rsidP="00B43AF4">
      <w:pPr>
        <w:jc w:val="center"/>
        <w:rPr>
          <w:sz w:val="22"/>
          <w:szCs w:val="22"/>
          <w:lang w:val="en-GB"/>
        </w:rPr>
      </w:pPr>
    </w:p>
    <w:p w:rsidR="00B43AF4" w:rsidRPr="009346FA" w:rsidRDefault="00B43AF4" w:rsidP="003E5F11">
      <w:pPr>
        <w:jc w:val="center"/>
        <w:rPr>
          <w:sz w:val="22"/>
          <w:szCs w:val="22"/>
          <w:lang w:val="en-GB"/>
        </w:rPr>
      </w:pPr>
      <w:r w:rsidRPr="009346FA">
        <w:rPr>
          <w:b/>
          <w:sz w:val="22"/>
          <w:szCs w:val="22"/>
          <w:lang w:val="en-GB"/>
        </w:rPr>
        <w:t xml:space="preserve">Figure 1. </w:t>
      </w:r>
      <w:r w:rsidRPr="009346FA">
        <w:rPr>
          <w:sz w:val="22"/>
          <w:szCs w:val="22"/>
          <w:lang w:val="en-GB"/>
        </w:rPr>
        <w:t>Tests geometries and instrumentation. In black, the supports and the loading applicators, white circl</w:t>
      </w:r>
      <w:bookmarkStart w:id="4" w:name="OLE_LINK95"/>
      <w:bookmarkStart w:id="5" w:name="OLE_LINK96"/>
      <w:r w:rsidR="009346FA">
        <w:rPr>
          <w:sz w:val="22"/>
          <w:szCs w:val="22"/>
          <w:lang w:val="en-GB"/>
        </w:rPr>
        <w:t xml:space="preserve">es represent the inclinometers. </w:t>
      </w:r>
      <w:r w:rsidRPr="009346FA">
        <w:rPr>
          <w:sz w:val="22"/>
          <w:szCs w:val="22"/>
          <w:lang w:val="en-GB"/>
        </w:rPr>
        <w:t>Dimensions used in ENF</w:t>
      </w:r>
      <w:bookmarkEnd w:id="4"/>
      <w:bookmarkEnd w:id="5"/>
      <w:r w:rsidRPr="009346FA">
        <w:rPr>
          <w:sz w:val="22"/>
          <w:szCs w:val="22"/>
          <w:lang w:val="en-GB"/>
        </w:rPr>
        <w:t xml:space="preserve">, 4ENF and MMB were: </w:t>
      </w:r>
      <w:r w:rsidRPr="009346FA">
        <w:rPr>
          <w:i/>
          <w:sz w:val="22"/>
          <w:szCs w:val="22"/>
          <w:lang w:val="en-GB"/>
        </w:rPr>
        <w:t>L</w:t>
      </w:r>
      <w:r w:rsidRPr="009346FA">
        <w:rPr>
          <w:sz w:val="22"/>
          <w:szCs w:val="22"/>
          <w:lang w:val="en-GB"/>
        </w:rPr>
        <w:t xml:space="preserve"> = 60 mm, </w:t>
      </w:r>
      <w:bookmarkStart w:id="6" w:name="OLE_LINK97"/>
      <w:bookmarkStart w:id="7" w:name="OLE_LINK98"/>
      <w:bookmarkStart w:id="8" w:name="OLE_LINK99"/>
      <w:r w:rsidRPr="009346FA">
        <w:rPr>
          <w:i/>
          <w:sz w:val="22"/>
          <w:szCs w:val="22"/>
          <w:lang w:val="en-GB"/>
        </w:rPr>
        <w:t>a</w:t>
      </w:r>
      <w:r w:rsidRPr="009346FA">
        <w:rPr>
          <w:i/>
          <w:sz w:val="22"/>
          <w:szCs w:val="22"/>
          <w:vertAlign w:val="subscript"/>
          <w:lang w:val="en-GB"/>
        </w:rPr>
        <w:t>0</w:t>
      </w:r>
      <w:bookmarkEnd w:id="6"/>
      <w:bookmarkEnd w:id="7"/>
      <w:bookmarkEnd w:id="8"/>
      <w:r w:rsidRPr="009346FA">
        <w:rPr>
          <w:sz w:val="22"/>
          <w:szCs w:val="22"/>
          <w:lang w:val="en-GB"/>
        </w:rPr>
        <w:t xml:space="preserve"> = 35 mm, </w:t>
      </w:r>
      <w:bookmarkStart w:id="9" w:name="OLE_LINK100"/>
      <w:bookmarkStart w:id="10" w:name="OLE_LINK101"/>
      <w:bookmarkStart w:id="11" w:name="OLE_LINK102"/>
      <w:bookmarkStart w:id="12" w:name="OLE_LINK103"/>
      <w:proofErr w:type="spellStart"/>
      <w:proofErr w:type="gramStart"/>
      <w:r w:rsidRPr="009346FA">
        <w:rPr>
          <w:i/>
          <w:sz w:val="22"/>
          <w:szCs w:val="22"/>
          <w:lang w:val="en-GB"/>
        </w:rPr>
        <w:t>a</w:t>
      </w:r>
      <w:r w:rsidRPr="009346FA">
        <w:rPr>
          <w:i/>
          <w:sz w:val="22"/>
          <w:szCs w:val="22"/>
          <w:vertAlign w:val="subscript"/>
          <w:lang w:val="en-GB"/>
        </w:rPr>
        <w:t>f</w:t>
      </w:r>
      <w:bookmarkEnd w:id="9"/>
      <w:bookmarkEnd w:id="10"/>
      <w:bookmarkEnd w:id="11"/>
      <w:bookmarkEnd w:id="12"/>
      <w:proofErr w:type="spellEnd"/>
      <w:proofErr w:type="gramEnd"/>
      <w:r w:rsidRPr="009346FA">
        <w:rPr>
          <w:sz w:val="22"/>
          <w:szCs w:val="22"/>
          <w:lang w:val="en-GB"/>
        </w:rPr>
        <w:t xml:space="preserve"> = 60 mm and roller radius = 5 mm. Dimensions used in ELS were: </w:t>
      </w:r>
      <w:r w:rsidRPr="009346FA">
        <w:rPr>
          <w:i/>
          <w:sz w:val="22"/>
          <w:szCs w:val="22"/>
          <w:lang w:val="en-GB"/>
        </w:rPr>
        <w:t>L</w:t>
      </w:r>
      <w:r w:rsidRPr="009346FA">
        <w:rPr>
          <w:sz w:val="22"/>
          <w:szCs w:val="22"/>
          <w:lang w:val="en-GB"/>
        </w:rPr>
        <w:t xml:space="preserve"> = 100 mm, </w:t>
      </w:r>
      <w:r w:rsidRPr="009346FA">
        <w:rPr>
          <w:i/>
          <w:sz w:val="22"/>
          <w:szCs w:val="22"/>
          <w:lang w:val="en-GB"/>
        </w:rPr>
        <w:t>a</w:t>
      </w:r>
      <w:r w:rsidRPr="009346FA">
        <w:rPr>
          <w:i/>
          <w:sz w:val="22"/>
          <w:szCs w:val="22"/>
          <w:vertAlign w:val="subscript"/>
          <w:lang w:val="en-GB"/>
        </w:rPr>
        <w:t>0</w:t>
      </w:r>
      <w:r w:rsidRPr="009346FA">
        <w:rPr>
          <w:sz w:val="22"/>
          <w:szCs w:val="22"/>
          <w:lang w:val="en-GB"/>
        </w:rPr>
        <w:t xml:space="preserve"> = 55, </w:t>
      </w:r>
      <w:proofErr w:type="spellStart"/>
      <w:r w:rsidRPr="009346FA">
        <w:rPr>
          <w:i/>
          <w:sz w:val="22"/>
          <w:szCs w:val="22"/>
          <w:lang w:val="en-GB"/>
        </w:rPr>
        <w:t>a</w:t>
      </w:r>
      <w:r w:rsidRPr="009346FA">
        <w:rPr>
          <w:i/>
          <w:sz w:val="22"/>
          <w:szCs w:val="22"/>
          <w:vertAlign w:val="subscript"/>
          <w:lang w:val="en-GB"/>
        </w:rPr>
        <w:t>f</w:t>
      </w:r>
      <w:proofErr w:type="spellEnd"/>
      <w:r w:rsidRPr="009346FA">
        <w:rPr>
          <w:sz w:val="22"/>
          <w:szCs w:val="22"/>
          <w:lang w:val="en-GB"/>
        </w:rPr>
        <w:t xml:space="preserve"> = 95 mm and </w:t>
      </w:r>
      <w:r w:rsidRPr="009346FA">
        <w:rPr>
          <w:i/>
          <w:sz w:val="22"/>
          <w:szCs w:val="22"/>
          <w:lang w:val="en-GB"/>
        </w:rPr>
        <w:t>L</w:t>
      </w:r>
      <w:r w:rsidRPr="009346FA">
        <w:rPr>
          <w:i/>
          <w:sz w:val="22"/>
          <w:szCs w:val="22"/>
          <w:vertAlign w:val="subscript"/>
          <w:lang w:val="en-GB"/>
        </w:rPr>
        <w:t>S</w:t>
      </w:r>
      <w:r w:rsidR="003E5F11" w:rsidRPr="009346FA">
        <w:rPr>
          <w:sz w:val="22"/>
          <w:szCs w:val="22"/>
          <w:lang w:val="en-GB"/>
        </w:rPr>
        <w:t xml:space="preserve"> = 10 mm</w:t>
      </w:r>
    </w:p>
    <w:p w:rsidR="00B43AF4" w:rsidRPr="009346FA" w:rsidRDefault="00B43AF4" w:rsidP="00B43AF4">
      <w:pPr>
        <w:jc w:val="both"/>
        <w:rPr>
          <w:sz w:val="22"/>
          <w:szCs w:val="22"/>
          <w:lang w:val="en-GB"/>
        </w:rPr>
      </w:pPr>
      <w:r w:rsidRPr="009346FA">
        <w:rPr>
          <w:sz w:val="22"/>
          <w:szCs w:val="22"/>
          <w:lang w:val="en-GB"/>
        </w:rPr>
        <w:t xml:space="preserve">The tests </w:t>
      </w:r>
      <w:proofErr w:type="gramStart"/>
      <w:r w:rsidRPr="009346FA">
        <w:rPr>
          <w:sz w:val="22"/>
          <w:szCs w:val="22"/>
          <w:lang w:val="en-GB"/>
        </w:rPr>
        <w:t>were carried out</w:t>
      </w:r>
      <w:proofErr w:type="gramEnd"/>
      <w:r w:rsidRPr="009346FA">
        <w:rPr>
          <w:sz w:val="22"/>
          <w:szCs w:val="22"/>
          <w:lang w:val="en-GB"/>
        </w:rPr>
        <w:t xml:space="preserve"> under displacement contr</w:t>
      </w:r>
      <w:r w:rsidR="00AE011A" w:rsidRPr="009346FA">
        <w:rPr>
          <w:sz w:val="22"/>
          <w:szCs w:val="22"/>
          <w:lang w:val="en-GB"/>
        </w:rPr>
        <w:t xml:space="preserve">ol in a universal test machine and different methods were used for the data reduction: LEFM-based and </w:t>
      </w:r>
      <w:r w:rsidR="00AE011A" w:rsidRPr="009346FA">
        <w:rPr>
          <w:i/>
          <w:sz w:val="22"/>
          <w:szCs w:val="22"/>
          <w:lang w:val="en-GB"/>
        </w:rPr>
        <w:t>J</w:t>
      </w:r>
      <w:r w:rsidR="00AE011A" w:rsidRPr="009346FA">
        <w:rPr>
          <w:sz w:val="22"/>
          <w:szCs w:val="22"/>
          <w:lang w:val="en-GB"/>
        </w:rPr>
        <w:t>-integral based. In that account, d</w:t>
      </w:r>
      <w:r w:rsidRPr="009346FA">
        <w:rPr>
          <w:sz w:val="22"/>
          <w:szCs w:val="22"/>
          <w:lang w:val="en-GB"/>
        </w:rPr>
        <w:t>uring the mode II tests, the load, the displacement, the crack length, and the rotations at the loading application points and</w:t>
      </w:r>
      <w:r w:rsidR="00AE011A" w:rsidRPr="009346FA">
        <w:rPr>
          <w:sz w:val="22"/>
          <w:szCs w:val="22"/>
          <w:lang w:val="en-GB"/>
        </w:rPr>
        <w:t xml:space="preserve"> at the supports </w:t>
      </w:r>
      <w:proofErr w:type="gramStart"/>
      <w:r w:rsidR="00AE011A" w:rsidRPr="009346FA">
        <w:rPr>
          <w:sz w:val="22"/>
          <w:szCs w:val="22"/>
          <w:lang w:val="en-GB"/>
        </w:rPr>
        <w:t>were recorded</w:t>
      </w:r>
      <w:proofErr w:type="gramEnd"/>
      <w:r w:rsidR="00AE011A" w:rsidRPr="009346FA">
        <w:rPr>
          <w:sz w:val="22"/>
          <w:szCs w:val="22"/>
          <w:lang w:val="en-GB"/>
        </w:rPr>
        <w:t>.</w:t>
      </w:r>
      <w:r w:rsidRPr="009346FA">
        <w:rPr>
          <w:sz w:val="22"/>
          <w:szCs w:val="22"/>
          <w:lang w:val="en-GB"/>
        </w:rPr>
        <w:t xml:space="preserve"> </w:t>
      </w:r>
    </w:p>
    <w:p w:rsidR="00B43AF4" w:rsidRPr="009346FA" w:rsidRDefault="00B43AF4" w:rsidP="00556716">
      <w:pPr>
        <w:jc w:val="both"/>
        <w:rPr>
          <w:sz w:val="22"/>
          <w:szCs w:val="22"/>
          <w:lang w:val="en-GB"/>
        </w:rPr>
      </w:pPr>
    </w:p>
    <w:p w:rsidR="00B43AF4" w:rsidRPr="009346FA" w:rsidRDefault="00B43AF4" w:rsidP="00B43AF4">
      <w:pPr>
        <w:jc w:val="both"/>
        <w:rPr>
          <w:sz w:val="22"/>
          <w:szCs w:val="22"/>
          <w:lang w:val="en-GB"/>
        </w:rPr>
      </w:pPr>
      <w:r w:rsidRPr="009346FA">
        <w:rPr>
          <w:sz w:val="22"/>
          <w:szCs w:val="22"/>
          <w:lang w:val="en-GB"/>
        </w:rPr>
        <w:t xml:space="preserve">In the ELS test the data reduction methods used to obtain the fracture toughness were: the Simple Beam Theory (SBT), the Experimental Compliance Method (ECM) and the Corrected Beam Theory using </w:t>
      </w:r>
      <w:r w:rsidRPr="009346FA">
        <w:rPr>
          <w:sz w:val="22"/>
          <w:szCs w:val="22"/>
          <w:lang w:val="en-GB"/>
        </w:rPr>
        <w:lastRenderedPageBreak/>
        <w:t xml:space="preserve">Effective crack length (CBTE) from ISO15114 </w:t>
      </w:r>
      <w:r w:rsidR="00AF4948" w:rsidRPr="009346FA">
        <w:rPr>
          <w:sz w:val="22"/>
          <w:szCs w:val="22"/>
          <w:lang w:val="en-GB"/>
        </w:rPr>
        <w:t>[2]</w:t>
      </w:r>
      <w:r w:rsidRPr="009346FA">
        <w:rPr>
          <w:sz w:val="22"/>
          <w:szCs w:val="22"/>
          <w:lang w:val="en-GB"/>
        </w:rPr>
        <w:t xml:space="preserve">, the area method (AREA) </w:t>
      </w:r>
      <w:r w:rsidR="001277B1" w:rsidRPr="009346FA">
        <w:rPr>
          <w:sz w:val="22"/>
          <w:szCs w:val="22"/>
          <w:lang w:val="en-GB"/>
        </w:rPr>
        <w:t>[22]</w:t>
      </w:r>
      <w:r w:rsidRPr="009346FA">
        <w:rPr>
          <w:sz w:val="22"/>
          <w:szCs w:val="22"/>
          <w:lang w:val="en-GB"/>
        </w:rPr>
        <w:t xml:space="preserve"> and the </w:t>
      </w:r>
      <w:r w:rsidR="00AE011A" w:rsidRPr="009346FA">
        <w:rPr>
          <w:i/>
          <w:sz w:val="22"/>
          <w:szCs w:val="22"/>
          <w:lang w:val="en-GB"/>
        </w:rPr>
        <w:t>J</w:t>
      </w:r>
      <w:r w:rsidRPr="009346FA">
        <w:rPr>
          <w:sz w:val="22"/>
          <w:szCs w:val="22"/>
          <w:lang w:val="en-GB"/>
        </w:rPr>
        <w:t xml:space="preserve">-integral </w:t>
      </w:r>
      <w:r w:rsidR="001277B1" w:rsidRPr="009346FA">
        <w:rPr>
          <w:sz w:val="22"/>
          <w:szCs w:val="22"/>
          <w:lang w:val="en-GB"/>
        </w:rPr>
        <w:t>[19].</w:t>
      </w:r>
    </w:p>
    <w:p w:rsidR="00B43AF4" w:rsidRPr="009346FA" w:rsidRDefault="00B43AF4" w:rsidP="00556716">
      <w:pPr>
        <w:jc w:val="both"/>
        <w:rPr>
          <w:sz w:val="22"/>
          <w:szCs w:val="22"/>
          <w:lang w:val="en-GB"/>
        </w:rPr>
      </w:pPr>
    </w:p>
    <w:p w:rsidR="00B43AF4" w:rsidRPr="009346FA" w:rsidRDefault="00B43AF4" w:rsidP="00556716">
      <w:pPr>
        <w:jc w:val="both"/>
        <w:rPr>
          <w:sz w:val="22"/>
          <w:szCs w:val="22"/>
          <w:lang w:val="en-GB"/>
        </w:rPr>
      </w:pPr>
      <w:r w:rsidRPr="009346FA">
        <w:rPr>
          <w:sz w:val="22"/>
          <w:szCs w:val="22"/>
          <w:lang w:val="en-GB"/>
        </w:rPr>
        <w:t xml:space="preserve">In the ENF test the data reduction methods used to obtain the fracture toughness </w:t>
      </w:r>
      <w:proofErr w:type="gramStart"/>
      <w:r w:rsidRPr="009346FA">
        <w:rPr>
          <w:sz w:val="22"/>
          <w:szCs w:val="22"/>
          <w:lang w:val="en-GB"/>
        </w:rPr>
        <w:t>were:</w:t>
      </w:r>
      <w:proofErr w:type="gramEnd"/>
      <w:r w:rsidRPr="009346FA">
        <w:rPr>
          <w:sz w:val="22"/>
          <w:szCs w:val="22"/>
          <w:lang w:val="en-GB"/>
        </w:rPr>
        <w:t xml:space="preserve"> the Simple Beam Theory (BT) </w:t>
      </w:r>
      <w:r w:rsidR="0014168E" w:rsidRPr="009346FA">
        <w:rPr>
          <w:sz w:val="22"/>
          <w:szCs w:val="22"/>
          <w:lang w:val="en-GB"/>
        </w:rPr>
        <w:t>[10, 23]</w:t>
      </w:r>
      <w:r w:rsidRPr="009346FA">
        <w:rPr>
          <w:sz w:val="22"/>
          <w:szCs w:val="22"/>
          <w:lang w:val="en-GB"/>
        </w:rPr>
        <w:t>, the Co</w:t>
      </w:r>
      <w:r w:rsidR="004F60C3" w:rsidRPr="009346FA">
        <w:rPr>
          <w:sz w:val="22"/>
          <w:szCs w:val="22"/>
          <w:lang w:val="en-GB"/>
        </w:rPr>
        <w:t>rrected Beam Theory (CBT) [</w:t>
      </w:r>
      <w:r w:rsidR="00316490" w:rsidRPr="009346FA">
        <w:rPr>
          <w:sz w:val="22"/>
          <w:szCs w:val="22"/>
          <w:lang w:val="en-GB"/>
        </w:rPr>
        <w:t>10</w:t>
      </w:r>
      <w:r w:rsidRPr="009346FA">
        <w:rPr>
          <w:sz w:val="22"/>
          <w:szCs w:val="22"/>
          <w:lang w:val="en-GB"/>
        </w:rPr>
        <w:t xml:space="preserve">, </w:t>
      </w:r>
      <w:r w:rsidR="0014168E" w:rsidRPr="009346FA">
        <w:rPr>
          <w:sz w:val="22"/>
          <w:szCs w:val="22"/>
          <w:lang w:val="en-GB"/>
        </w:rPr>
        <w:t>24</w:t>
      </w:r>
      <w:r w:rsidRPr="009346FA">
        <w:rPr>
          <w:sz w:val="22"/>
          <w:szCs w:val="22"/>
          <w:lang w:val="en-GB"/>
        </w:rPr>
        <w:t xml:space="preserve">, </w:t>
      </w:r>
      <w:r w:rsidR="004F60C3" w:rsidRPr="009346FA">
        <w:rPr>
          <w:sz w:val="22"/>
          <w:szCs w:val="22"/>
          <w:lang w:val="en-GB"/>
        </w:rPr>
        <w:t>25]</w:t>
      </w:r>
      <w:r w:rsidR="00AE011A" w:rsidRPr="009346FA">
        <w:rPr>
          <w:sz w:val="22"/>
          <w:szCs w:val="22"/>
          <w:lang w:val="en-GB"/>
        </w:rPr>
        <w:t>, the C</w:t>
      </w:r>
      <w:r w:rsidRPr="009346FA">
        <w:rPr>
          <w:sz w:val="22"/>
          <w:szCs w:val="22"/>
          <w:lang w:val="en-GB"/>
        </w:rPr>
        <w:t xml:space="preserve">ompliance </w:t>
      </w:r>
      <w:r w:rsidR="00AE011A" w:rsidRPr="009346FA">
        <w:rPr>
          <w:sz w:val="22"/>
          <w:szCs w:val="22"/>
          <w:lang w:val="en-GB"/>
        </w:rPr>
        <w:t>C</w:t>
      </w:r>
      <w:r w:rsidRPr="009346FA">
        <w:rPr>
          <w:sz w:val="22"/>
          <w:szCs w:val="22"/>
          <w:lang w:val="en-GB"/>
        </w:rPr>
        <w:t xml:space="preserve">alibration </w:t>
      </w:r>
      <w:r w:rsidR="00AE011A" w:rsidRPr="009346FA">
        <w:rPr>
          <w:sz w:val="22"/>
          <w:szCs w:val="22"/>
          <w:lang w:val="en-GB"/>
        </w:rPr>
        <w:t>M</w:t>
      </w:r>
      <w:r w:rsidRPr="009346FA">
        <w:rPr>
          <w:sz w:val="22"/>
          <w:szCs w:val="22"/>
          <w:lang w:val="en-GB"/>
        </w:rPr>
        <w:t xml:space="preserve">ethod (CCM) </w:t>
      </w:r>
      <w:r w:rsidR="004F60C3" w:rsidRPr="009346FA">
        <w:rPr>
          <w:sz w:val="22"/>
          <w:szCs w:val="22"/>
          <w:lang w:val="en-GB"/>
        </w:rPr>
        <w:t>[25</w:t>
      </w:r>
      <w:r w:rsidRPr="009346FA">
        <w:rPr>
          <w:sz w:val="22"/>
          <w:szCs w:val="22"/>
          <w:lang w:val="en-GB"/>
        </w:rPr>
        <w:t xml:space="preserve">, </w:t>
      </w:r>
      <w:r w:rsidR="004F60C3" w:rsidRPr="009346FA">
        <w:rPr>
          <w:sz w:val="22"/>
          <w:szCs w:val="22"/>
          <w:lang w:val="en-GB"/>
        </w:rPr>
        <w:t>26]</w:t>
      </w:r>
      <w:r w:rsidR="0070080E" w:rsidRPr="009346FA">
        <w:rPr>
          <w:sz w:val="22"/>
          <w:szCs w:val="22"/>
          <w:lang w:val="en-GB"/>
        </w:rPr>
        <w:t xml:space="preserve">, </w:t>
      </w:r>
      <w:r w:rsidR="00AE011A" w:rsidRPr="009346FA">
        <w:rPr>
          <w:sz w:val="22"/>
          <w:szCs w:val="22"/>
          <w:lang w:val="en-GB"/>
        </w:rPr>
        <w:t>the a</w:t>
      </w:r>
      <w:r w:rsidRPr="009346FA">
        <w:rPr>
          <w:sz w:val="22"/>
          <w:szCs w:val="22"/>
          <w:lang w:val="en-GB"/>
        </w:rPr>
        <w:t>rea method (AREA)</w:t>
      </w:r>
      <w:r w:rsidR="0070080E" w:rsidRPr="009346FA">
        <w:rPr>
          <w:sz w:val="22"/>
          <w:szCs w:val="22"/>
          <w:lang w:val="en-GB"/>
        </w:rPr>
        <w:t xml:space="preserve"> </w:t>
      </w:r>
      <w:r w:rsidR="001277B1" w:rsidRPr="009346FA">
        <w:rPr>
          <w:sz w:val="22"/>
          <w:szCs w:val="22"/>
          <w:lang w:val="en-GB"/>
        </w:rPr>
        <w:t>[22]</w:t>
      </w:r>
      <w:r w:rsidRPr="009346FA">
        <w:rPr>
          <w:sz w:val="22"/>
          <w:szCs w:val="22"/>
          <w:lang w:val="en-GB"/>
        </w:rPr>
        <w:t xml:space="preserve"> </w:t>
      </w:r>
      <w:r w:rsidR="0070080E" w:rsidRPr="009346FA">
        <w:rPr>
          <w:sz w:val="22"/>
          <w:szCs w:val="22"/>
          <w:lang w:val="en-GB"/>
        </w:rPr>
        <w:t xml:space="preserve">and </w:t>
      </w:r>
      <w:r w:rsidRPr="009346FA">
        <w:rPr>
          <w:sz w:val="22"/>
          <w:szCs w:val="22"/>
          <w:lang w:val="en-GB"/>
        </w:rPr>
        <w:t xml:space="preserve">the </w:t>
      </w:r>
      <w:r w:rsidR="0070080E" w:rsidRPr="009346FA">
        <w:rPr>
          <w:i/>
          <w:sz w:val="22"/>
          <w:szCs w:val="22"/>
          <w:lang w:val="en-GB"/>
        </w:rPr>
        <w:t>J</w:t>
      </w:r>
      <w:r w:rsidR="0070080E" w:rsidRPr="009346FA">
        <w:rPr>
          <w:sz w:val="22"/>
          <w:szCs w:val="22"/>
          <w:lang w:val="en-GB"/>
        </w:rPr>
        <w:t>-integral</w:t>
      </w:r>
      <w:r w:rsidRPr="009346FA">
        <w:rPr>
          <w:sz w:val="22"/>
          <w:szCs w:val="22"/>
          <w:lang w:val="en-GB"/>
        </w:rPr>
        <w:t xml:space="preserve"> </w:t>
      </w:r>
      <w:r w:rsidR="001277B1" w:rsidRPr="009346FA">
        <w:rPr>
          <w:sz w:val="22"/>
          <w:szCs w:val="22"/>
          <w:lang w:val="en-GB"/>
        </w:rPr>
        <w:t>[18]</w:t>
      </w:r>
      <w:r w:rsidRPr="009346FA">
        <w:rPr>
          <w:sz w:val="22"/>
          <w:szCs w:val="22"/>
          <w:lang w:val="en-GB"/>
        </w:rPr>
        <w:t xml:space="preserve">. </w:t>
      </w:r>
    </w:p>
    <w:p w:rsidR="0070080E" w:rsidRPr="009346FA" w:rsidRDefault="0070080E" w:rsidP="0070080E">
      <w:pPr>
        <w:jc w:val="both"/>
        <w:rPr>
          <w:sz w:val="22"/>
          <w:szCs w:val="22"/>
          <w:lang w:val="en-GB"/>
        </w:rPr>
      </w:pPr>
    </w:p>
    <w:p w:rsidR="0070080E" w:rsidRPr="009346FA" w:rsidRDefault="0070080E" w:rsidP="0070080E">
      <w:pPr>
        <w:jc w:val="both"/>
        <w:rPr>
          <w:sz w:val="22"/>
          <w:szCs w:val="22"/>
          <w:lang w:val="en-GB"/>
        </w:rPr>
      </w:pPr>
      <w:r w:rsidRPr="009346FA">
        <w:rPr>
          <w:sz w:val="22"/>
          <w:szCs w:val="22"/>
          <w:lang w:val="en-GB"/>
        </w:rPr>
        <w:t xml:space="preserve">Four data reduction methods </w:t>
      </w:r>
      <w:proofErr w:type="gramStart"/>
      <w:r w:rsidRPr="009346FA">
        <w:rPr>
          <w:sz w:val="22"/>
          <w:szCs w:val="22"/>
          <w:lang w:val="en-GB"/>
        </w:rPr>
        <w:t>were considered</w:t>
      </w:r>
      <w:proofErr w:type="gramEnd"/>
      <w:r w:rsidRPr="009346FA">
        <w:rPr>
          <w:sz w:val="22"/>
          <w:szCs w:val="22"/>
          <w:lang w:val="en-GB"/>
        </w:rPr>
        <w:t xml:space="preserve"> for the 4ENF test: the Simple Beam Theory (SBT) </w:t>
      </w:r>
      <w:r w:rsidR="00AF4948" w:rsidRPr="009346FA">
        <w:rPr>
          <w:sz w:val="22"/>
          <w:szCs w:val="22"/>
          <w:lang w:val="en-GB"/>
        </w:rPr>
        <w:t>[4]</w:t>
      </w:r>
      <w:r w:rsidRPr="009346FA">
        <w:rPr>
          <w:sz w:val="22"/>
          <w:szCs w:val="22"/>
          <w:lang w:val="en-GB"/>
        </w:rPr>
        <w:t xml:space="preserve">, the Experimental Compliance Method (ECM) </w:t>
      </w:r>
      <w:r w:rsidR="00316490" w:rsidRPr="009346FA">
        <w:rPr>
          <w:sz w:val="22"/>
          <w:szCs w:val="22"/>
          <w:lang w:val="en-GB"/>
        </w:rPr>
        <w:t>[5]</w:t>
      </w:r>
      <w:r w:rsidRPr="009346FA">
        <w:rPr>
          <w:sz w:val="22"/>
          <w:szCs w:val="22"/>
          <w:lang w:val="en-GB"/>
        </w:rPr>
        <w:t xml:space="preserve">, the Compliance Calibration Method (CCM) </w:t>
      </w:r>
      <w:r w:rsidR="00316490" w:rsidRPr="009346FA">
        <w:rPr>
          <w:sz w:val="22"/>
          <w:szCs w:val="22"/>
          <w:lang w:val="en-GB"/>
        </w:rPr>
        <w:t>[5]</w:t>
      </w:r>
      <w:r w:rsidRPr="009346FA">
        <w:rPr>
          <w:sz w:val="22"/>
          <w:szCs w:val="22"/>
          <w:lang w:val="en-GB"/>
        </w:rPr>
        <w:t xml:space="preserve">, and additionally, a </w:t>
      </w:r>
      <w:r w:rsidRPr="009346FA">
        <w:rPr>
          <w:i/>
          <w:sz w:val="22"/>
          <w:szCs w:val="22"/>
          <w:lang w:val="en-GB"/>
        </w:rPr>
        <w:t>J</w:t>
      </w:r>
      <w:r w:rsidRPr="009346FA">
        <w:rPr>
          <w:sz w:val="22"/>
          <w:szCs w:val="22"/>
          <w:lang w:val="en-GB"/>
        </w:rPr>
        <w:t>-integral data reduction method, was developed for this test</w:t>
      </w:r>
      <w:r w:rsidR="009346FA">
        <w:rPr>
          <w:sz w:val="22"/>
          <w:szCs w:val="22"/>
          <w:lang w:val="en-GB"/>
        </w:rPr>
        <w:t xml:space="preserve"> [27]</w:t>
      </w:r>
      <w:r w:rsidRPr="009346FA">
        <w:rPr>
          <w:sz w:val="22"/>
          <w:szCs w:val="22"/>
          <w:lang w:val="en-GB"/>
        </w:rPr>
        <w:t>:</w:t>
      </w:r>
    </w:p>
    <w:tbl>
      <w:tblPr>
        <w:tblW w:w="9210" w:type="dxa"/>
        <w:tblLayout w:type="fixed"/>
        <w:tblCellMar>
          <w:left w:w="70" w:type="dxa"/>
          <w:right w:w="70" w:type="dxa"/>
        </w:tblCellMar>
        <w:tblLook w:val="0000" w:firstRow="0" w:lastRow="0" w:firstColumn="0" w:lastColumn="0" w:noHBand="0" w:noVBand="0"/>
      </w:tblPr>
      <w:tblGrid>
        <w:gridCol w:w="8434"/>
        <w:gridCol w:w="776"/>
      </w:tblGrid>
      <w:tr w:rsidR="0070080E" w:rsidRPr="009346FA" w:rsidTr="00926142">
        <w:trPr>
          <w:trHeight w:val="340"/>
        </w:trPr>
        <w:tc>
          <w:tcPr>
            <w:tcW w:w="8434" w:type="dxa"/>
            <w:tcBorders>
              <w:top w:val="nil"/>
              <w:left w:val="nil"/>
              <w:bottom w:val="nil"/>
              <w:right w:val="nil"/>
            </w:tcBorders>
            <w:vAlign w:val="center"/>
          </w:tcPr>
          <w:p w:rsidR="0070080E" w:rsidRPr="009346FA" w:rsidRDefault="009C552F" w:rsidP="00926142">
            <w:pPr>
              <w:pStyle w:val="NormalWCCM"/>
              <w:spacing w:before="120" w:after="120"/>
              <w:ind w:right="-777" w:firstLine="0"/>
              <w:jc w:val="center"/>
              <w:rPr>
                <w:iCs/>
                <w:sz w:val="22"/>
                <w:szCs w:val="22"/>
                <w:lang w:val="en-GB"/>
              </w:rPr>
            </w:pPr>
            <m:oMathPara>
              <m:oMath>
                <m:sSub>
                  <m:sSubPr>
                    <m:ctrlPr>
                      <w:rPr>
                        <w:rFonts w:ascii="Cambria Math" w:hAnsi="Cambria Math"/>
                        <w:i/>
                        <w:iCs/>
                        <w:sz w:val="22"/>
                        <w:szCs w:val="22"/>
                        <w:lang w:val="en-GB"/>
                      </w:rPr>
                    </m:ctrlPr>
                  </m:sSubPr>
                  <m:e>
                    <m:r>
                      <w:rPr>
                        <w:rFonts w:ascii="Cambria Math" w:hAnsi="Cambria Math"/>
                        <w:sz w:val="22"/>
                        <w:szCs w:val="22"/>
                        <w:lang w:val="en-GB"/>
                      </w:rPr>
                      <m:t>J</m:t>
                    </m:r>
                  </m:e>
                  <m:sub>
                    <m:r>
                      <w:rPr>
                        <w:rFonts w:ascii="Cambria Math" w:hAnsi="Cambria Math"/>
                        <w:sz w:val="22"/>
                        <w:szCs w:val="22"/>
                        <w:lang w:val="en-GB"/>
                      </w:rPr>
                      <m:t>II</m:t>
                    </m:r>
                  </m:sub>
                </m:sSub>
                <m:r>
                  <w:rPr>
                    <w:rFonts w:ascii="Cambria Math" w:hAnsi="Cambria Math"/>
                    <w:sz w:val="22"/>
                    <w:szCs w:val="22"/>
                    <w:lang w:val="en-GB"/>
                  </w:rPr>
                  <m:t xml:space="preserve">= </m:t>
                </m:r>
                <m:f>
                  <m:fPr>
                    <m:ctrlPr>
                      <w:rPr>
                        <w:rFonts w:ascii="Cambria Math" w:hAnsi="Cambria Math"/>
                        <w:i/>
                        <w:iCs/>
                        <w:sz w:val="22"/>
                        <w:szCs w:val="22"/>
                        <w:lang w:val="en-GB"/>
                      </w:rPr>
                    </m:ctrlPr>
                  </m:fPr>
                  <m:num>
                    <m:r>
                      <w:rPr>
                        <w:rFonts w:ascii="Cambria Math" w:hAnsi="Cambria Math"/>
                        <w:sz w:val="22"/>
                        <w:szCs w:val="22"/>
                        <w:lang w:val="en-GB"/>
                      </w:rPr>
                      <m:t>P</m:t>
                    </m:r>
                  </m:num>
                  <m:den>
                    <m:r>
                      <w:rPr>
                        <w:rFonts w:ascii="Cambria Math" w:hAnsi="Cambria Math"/>
                        <w:sz w:val="22"/>
                        <w:szCs w:val="22"/>
                        <w:lang w:val="en-GB"/>
                      </w:rPr>
                      <m:t>2W</m:t>
                    </m:r>
                  </m:den>
                </m:f>
                <m:d>
                  <m:dPr>
                    <m:ctrlPr>
                      <w:rPr>
                        <w:rFonts w:ascii="Cambria Math" w:hAnsi="Cambria Math"/>
                        <w:i/>
                        <w:iCs/>
                        <w:sz w:val="22"/>
                        <w:szCs w:val="22"/>
                        <w:lang w:val="en-GB"/>
                      </w:rPr>
                    </m:ctrlPr>
                  </m:dPr>
                  <m:e>
                    <m:r>
                      <w:rPr>
                        <w:rFonts w:ascii="Cambria Math" w:hAnsi="Cambria Math"/>
                        <w:sz w:val="22"/>
                        <w:szCs w:val="22"/>
                        <w:lang w:val="en-GB"/>
                      </w:rPr>
                      <m:t>-</m:t>
                    </m:r>
                    <m:func>
                      <m:funcPr>
                        <m:ctrlPr>
                          <w:rPr>
                            <w:rFonts w:ascii="Cambria Math" w:hAnsi="Cambria Math"/>
                            <w:i/>
                            <w:iCs/>
                            <w:sz w:val="22"/>
                            <w:szCs w:val="22"/>
                            <w:lang w:val="en-GB"/>
                          </w:rPr>
                        </m:ctrlPr>
                      </m:funcPr>
                      <m:fName>
                        <m:r>
                          <m:rPr>
                            <m:sty m:val="p"/>
                          </m:rPr>
                          <w:rPr>
                            <w:rFonts w:ascii="Cambria Math" w:hAnsi="Cambria Math"/>
                            <w:lang w:val="en-GB"/>
                          </w:rPr>
                          <m:t>tan</m:t>
                        </m:r>
                      </m:fName>
                      <m:e>
                        <m:sSub>
                          <m:sSubPr>
                            <m:ctrlPr>
                              <w:rPr>
                                <w:rFonts w:ascii="Cambria Math" w:hAnsi="Cambria Math"/>
                                <w:i/>
                                <w:iCs/>
                                <w:sz w:val="22"/>
                                <w:szCs w:val="22"/>
                                <w:lang w:val="en-GB"/>
                              </w:rPr>
                            </m:ctrlPr>
                          </m:sSubPr>
                          <m:e>
                            <m:r>
                              <w:rPr>
                                <w:rFonts w:ascii="Cambria Math" w:hAnsi="Cambria Math"/>
                                <w:sz w:val="22"/>
                                <w:szCs w:val="22"/>
                                <w:lang w:val="en-GB"/>
                              </w:rPr>
                              <m:t>θ</m:t>
                            </m:r>
                          </m:e>
                          <m:sub>
                            <m:r>
                              <w:rPr>
                                <w:rFonts w:ascii="Cambria Math" w:hAnsi="Cambria Math"/>
                                <w:sz w:val="22"/>
                                <w:szCs w:val="22"/>
                                <w:lang w:val="en-GB"/>
                              </w:rPr>
                              <m:t>1</m:t>
                            </m:r>
                          </m:sub>
                        </m:sSub>
                      </m:e>
                    </m:func>
                    <m:r>
                      <w:rPr>
                        <w:rFonts w:ascii="Cambria Math" w:hAnsi="Cambria Math"/>
                        <w:sz w:val="22"/>
                        <w:szCs w:val="22"/>
                        <w:lang w:val="en-GB"/>
                      </w:rPr>
                      <m:t>-</m:t>
                    </m:r>
                    <m:func>
                      <m:funcPr>
                        <m:ctrlPr>
                          <w:rPr>
                            <w:rFonts w:ascii="Cambria Math" w:hAnsi="Cambria Math"/>
                            <w:i/>
                            <w:iCs/>
                            <w:sz w:val="22"/>
                            <w:szCs w:val="22"/>
                            <w:lang w:val="en-GB"/>
                          </w:rPr>
                        </m:ctrlPr>
                      </m:funcPr>
                      <m:fName>
                        <m:r>
                          <m:rPr>
                            <m:sty m:val="p"/>
                          </m:rPr>
                          <w:rPr>
                            <w:rFonts w:ascii="Cambria Math" w:hAnsi="Cambria Math"/>
                            <w:lang w:val="en-GB"/>
                          </w:rPr>
                          <m:t>tan</m:t>
                        </m:r>
                      </m:fName>
                      <m:e>
                        <m:sSub>
                          <m:sSubPr>
                            <m:ctrlPr>
                              <w:rPr>
                                <w:rFonts w:ascii="Cambria Math" w:hAnsi="Cambria Math"/>
                                <w:i/>
                                <w:iCs/>
                                <w:sz w:val="22"/>
                                <w:szCs w:val="22"/>
                                <w:lang w:val="en-GB"/>
                              </w:rPr>
                            </m:ctrlPr>
                          </m:sSubPr>
                          <m:e>
                            <m:r>
                              <w:rPr>
                                <w:rFonts w:ascii="Cambria Math" w:hAnsi="Cambria Math"/>
                                <w:sz w:val="22"/>
                                <w:szCs w:val="22"/>
                                <w:lang w:val="en-GB"/>
                              </w:rPr>
                              <m:t>θ</m:t>
                            </m:r>
                          </m:e>
                          <m:sub>
                            <m:r>
                              <w:rPr>
                                <w:rFonts w:ascii="Cambria Math" w:hAnsi="Cambria Math"/>
                                <w:sz w:val="22"/>
                                <w:szCs w:val="22"/>
                                <w:lang w:val="en-GB"/>
                              </w:rPr>
                              <m:t>2</m:t>
                            </m:r>
                          </m:sub>
                        </m:sSub>
                      </m:e>
                    </m:func>
                    <m:r>
                      <w:rPr>
                        <w:rFonts w:ascii="Cambria Math" w:hAnsi="Cambria Math"/>
                        <w:sz w:val="22"/>
                        <w:szCs w:val="22"/>
                        <w:lang w:val="en-GB"/>
                      </w:rPr>
                      <m:t>+</m:t>
                    </m:r>
                    <m:func>
                      <m:funcPr>
                        <m:ctrlPr>
                          <w:rPr>
                            <w:rFonts w:ascii="Cambria Math" w:hAnsi="Cambria Math"/>
                            <w:i/>
                            <w:iCs/>
                            <w:sz w:val="22"/>
                            <w:szCs w:val="22"/>
                            <w:lang w:val="en-GB"/>
                          </w:rPr>
                        </m:ctrlPr>
                      </m:funcPr>
                      <m:fName>
                        <m:r>
                          <m:rPr>
                            <m:sty m:val="p"/>
                          </m:rPr>
                          <w:rPr>
                            <w:rFonts w:ascii="Cambria Math" w:hAnsi="Cambria Math"/>
                            <w:lang w:val="en-GB"/>
                          </w:rPr>
                          <m:t>tan</m:t>
                        </m:r>
                      </m:fName>
                      <m:e>
                        <m:sSub>
                          <m:sSubPr>
                            <m:ctrlPr>
                              <w:rPr>
                                <w:rFonts w:ascii="Cambria Math" w:hAnsi="Cambria Math"/>
                                <w:i/>
                                <w:iCs/>
                                <w:sz w:val="22"/>
                                <w:szCs w:val="22"/>
                                <w:lang w:val="en-GB"/>
                              </w:rPr>
                            </m:ctrlPr>
                          </m:sSubPr>
                          <m:e>
                            <m:r>
                              <w:rPr>
                                <w:rFonts w:ascii="Cambria Math" w:hAnsi="Cambria Math"/>
                                <w:sz w:val="22"/>
                                <w:szCs w:val="22"/>
                                <w:lang w:val="en-GB"/>
                              </w:rPr>
                              <m:t>θ</m:t>
                            </m:r>
                          </m:e>
                          <m:sub>
                            <m:r>
                              <w:rPr>
                                <w:rFonts w:ascii="Cambria Math" w:hAnsi="Cambria Math"/>
                                <w:sz w:val="22"/>
                                <w:szCs w:val="22"/>
                                <w:lang w:val="en-GB"/>
                              </w:rPr>
                              <m:t>3</m:t>
                            </m:r>
                          </m:sub>
                        </m:sSub>
                      </m:e>
                    </m:func>
                    <m:r>
                      <w:rPr>
                        <w:rFonts w:ascii="Cambria Math" w:hAnsi="Cambria Math"/>
                        <w:sz w:val="22"/>
                        <w:szCs w:val="22"/>
                        <w:lang w:val="en-GB"/>
                      </w:rPr>
                      <m:t>+</m:t>
                    </m:r>
                    <m:func>
                      <m:funcPr>
                        <m:ctrlPr>
                          <w:rPr>
                            <w:rFonts w:ascii="Cambria Math" w:hAnsi="Cambria Math"/>
                            <w:i/>
                            <w:iCs/>
                            <w:sz w:val="22"/>
                            <w:szCs w:val="22"/>
                            <w:lang w:val="en-GB"/>
                          </w:rPr>
                        </m:ctrlPr>
                      </m:funcPr>
                      <m:fName>
                        <m:r>
                          <m:rPr>
                            <m:sty m:val="p"/>
                          </m:rPr>
                          <w:rPr>
                            <w:rFonts w:ascii="Cambria Math" w:hAnsi="Cambria Math"/>
                            <w:lang w:val="en-GB"/>
                          </w:rPr>
                          <m:t>tan</m:t>
                        </m:r>
                      </m:fName>
                      <m:e>
                        <m:sSub>
                          <m:sSubPr>
                            <m:ctrlPr>
                              <w:rPr>
                                <w:rFonts w:ascii="Cambria Math" w:hAnsi="Cambria Math"/>
                                <w:i/>
                                <w:iCs/>
                                <w:sz w:val="22"/>
                                <w:szCs w:val="22"/>
                                <w:lang w:val="en-GB"/>
                              </w:rPr>
                            </m:ctrlPr>
                          </m:sSubPr>
                          <m:e>
                            <m:r>
                              <w:rPr>
                                <w:rFonts w:ascii="Cambria Math" w:hAnsi="Cambria Math"/>
                                <w:sz w:val="22"/>
                                <w:szCs w:val="22"/>
                                <w:lang w:val="en-GB"/>
                              </w:rPr>
                              <m:t>θ</m:t>
                            </m:r>
                          </m:e>
                          <m:sub>
                            <m:r>
                              <w:rPr>
                                <w:rFonts w:ascii="Cambria Math" w:hAnsi="Cambria Math"/>
                                <w:sz w:val="22"/>
                                <w:szCs w:val="22"/>
                                <w:lang w:val="en-GB"/>
                              </w:rPr>
                              <m:t>4</m:t>
                            </m:r>
                          </m:sub>
                        </m:sSub>
                        <m:r>
                          <w:rPr>
                            <w:rFonts w:ascii="Cambria Math" w:hAnsi="Cambria Math"/>
                            <w:sz w:val="22"/>
                            <w:szCs w:val="22"/>
                            <w:lang w:val="en-GB"/>
                          </w:rPr>
                          <m:t>-</m:t>
                        </m:r>
                        <m:f>
                          <m:fPr>
                            <m:ctrlPr>
                              <w:rPr>
                                <w:rFonts w:ascii="Cambria Math" w:hAnsi="Cambria Math"/>
                                <w:i/>
                                <w:iCs/>
                                <w:sz w:val="22"/>
                                <w:szCs w:val="22"/>
                                <w:lang w:val="en-GB"/>
                              </w:rPr>
                            </m:ctrlPr>
                          </m:fPr>
                          <m:num>
                            <m:r>
                              <w:rPr>
                                <w:rFonts w:ascii="Cambria Math" w:hAnsi="Cambria Math"/>
                                <w:sz w:val="22"/>
                                <w:szCs w:val="22"/>
                                <w:lang w:val="en-GB"/>
                              </w:rPr>
                              <m:t>3P</m:t>
                            </m:r>
                            <m:func>
                              <m:funcPr>
                                <m:ctrlPr>
                                  <w:rPr>
                                    <w:rFonts w:ascii="Cambria Math" w:hAnsi="Cambria Math"/>
                                    <w:i/>
                                    <w:iCs/>
                                    <w:sz w:val="22"/>
                                    <w:szCs w:val="22"/>
                                    <w:lang w:val="en-GB"/>
                                  </w:rPr>
                                </m:ctrlPr>
                              </m:funcPr>
                              <m:fName>
                                <m:r>
                                  <m:rPr>
                                    <m:sty m:val="p"/>
                                  </m:rPr>
                                  <w:rPr>
                                    <w:rFonts w:ascii="Cambria Math" w:hAnsi="Cambria Math"/>
                                    <w:lang w:val="en-GB"/>
                                  </w:rPr>
                                  <m:t>cos</m:t>
                                </m:r>
                              </m:fName>
                              <m:e>
                                <m:sSub>
                                  <m:sSubPr>
                                    <m:ctrlPr>
                                      <w:rPr>
                                        <w:rFonts w:ascii="Cambria Math" w:hAnsi="Cambria Math"/>
                                        <w:i/>
                                        <w:iCs/>
                                        <w:sz w:val="22"/>
                                        <w:szCs w:val="22"/>
                                        <w:lang w:val="en-GB"/>
                                      </w:rPr>
                                    </m:ctrlPr>
                                  </m:sSubPr>
                                  <m:e>
                                    <m:r>
                                      <w:rPr>
                                        <w:rFonts w:ascii="Cambria Math" w:hAnsi="Cambria Math"/>
                                        <w:sz w:val="22"/>
                                        <w:szCs w:val="22"/>
                                        <w:lang w:val="en-GB"/>
                                      </w:rPr>
                                      <m:t>θ</m:t>
                                    </m:r>
                                  </m:e>
                                  <m:sub>
                                    <m:r>
                                      <w:rPr>
                                        <w:rFonts w:ascii="Cambria Math" w:hAnsi="Cambria Math"/>
                                        <w:sz w:val="22"/>
                                        <w:szCs w:val="22"/>
                                        <w:lang w:val="en-GB"/>
                                      </w:rPr>
                                      <m:t>1</m:t>
                                    </m:r>
                                  </m:sub>
                                </m:sSub>
                              </m:e>
                            </m:func>
                            <m:r>
                              <w:rPr>
                                <w:rFonts w:ascii="Cambria Math" w:hAnsi="Cambria Math"/>
                                <w:sz w:val="22"/>
                                <w:szCs w:val="22"/>
                                <w:lang w:val="en-GB"/>
                              </w:rPr>
                              <m:t>μL</m:t>
                            </m:r>
                          </m:num>
                          <m:den>
                            <m:r>
                              <w:rPr>
                                <w:rFonts w:ascii="Cambria Math" w:hAnsi="Cambria Math"/>
                                <w:sz w:val="22"/>
                                <w:szCs w:val="22"/>
                                <w:lang w:val="en-GB"/>
                              </w:rPr>
                              <m:t>2W</m:t>
                            </m:r>
                            <m:sSup>
                              <m:sSupPr>
                                <m:ctrlPr>
                                  <w:rPr>
                                    <w:rFonts w:ascii="Cambria Math" w:hAnsi="Cambria Math"/>
                                    <w:i/>
                                    <w:iCs/>
                                    <w:sz w:val="22"/>
                                    <w:szCs w:val="22"/>
                                    <w:lang w:val="en-GB"/>
                                  </w:rPr>
                                </m:ctrlPr>
                              </m:sSupPr>
                              <m:e>
                                <m:r>
                                  <w:rPr>
                                    <w:rFonts w:ascii="Cambria Math" w:hAnsi="Cambria Math"/>
                                    <w:sz w:val="22"/>
                                    <w:szCs w:val="22"/>
                                    <w:lang w:val="en-GB"/>
                                  </w:rPr>
                                  <m:t>H</m:t>
                                </m:r>
                              </m:e>
                              <m:sup>
                                <m:r>
                                  <w:rPr>
                                    <w:rFonts w:ascii="Cambria Math" w:hAnsi="Cambria Math"/>
                                    <w:sz w:val="22"/>
                                    <w:szCs w:val="22"/>
                                    <w:lang w:val="en-GB"/>
                                  </w:rPr>
                                  <m:t>2</m:t>
                                </m:r>
                              </m:sup>
                            </m:sSup>
                            <m:r>
                              <w:rPr>
                                <w:rFonts w:ascii="Cambria Math" w:hAnsi="Cambria Math"/>
                                <w:sz w:val="22"/>
                                <w:szCs w:val="22"/>
                                <w:lang w:val="en-GB"/>
                              </w:rPr>
                              <m:t>E</m:t>
                            </m:r>
                          </m:den>
                        </m:f>
                      </m:e>
                    </m:func>
                  </m:e>
                </m:d>
              </m:oMath>
            </m:oMathPara>
          </w:p>
        </w:tc>
        <w:tc>
          <w:tcPr>
            <w:tcW w:w="776" w:type="dxa"/>
            <w:tcBorders>
              <w:top w:val="nil"/>
              <w:left w:val="nil"/>
              <w:bottom w:val="nil"/>
              <w:right w:val="nil"/>
            </w:tcBorders>
            <w:vAlign w:val="center"/>
          </w:tcPr>
          <w:p w:rsidR="0070080E" w:rsidRPr="009346FA" w:rsidRDefault="0070080E" w:rsidP="0070080E">
            <w:pPr>
              <w:pStyle w:val="NormalWCCM"/>
              <w:spacing w:before="120" w:after="120"/>
              <w:ind w:firstLine="0"/>
              <w:jc w:val="right"/>
              <w:rPr>
                <w:sz w:val="22"/>
                <w:szCs w:val="22"/>
                <w:lang w:val="en-GB"/>
              </w:rPr>
            </w:pPr>
            <w:r w:rsidRPr="009346FA">
              <w:rPr>
                <w:sz w:val="22"/>
                <w:szCs w:val="22"/>
                <w:lang w:val="en-GB"/>
              </w:rPr>
              <w:t>(1)</w:t>
            </w:r>
          </w:p>
        </w:tc>
      </w:tr>
    </w:tbl>
    <w:p w:rsidR="0070080E" w:rsidRPr="009346FA" w:rsidRDefault="0070080E" w:rsidP="004A0CA7">
      <w:pPr>
        <w:jc w:val="both"/>
        <w:rPr>
          <w:sz w:val="22"/>
          <w:szCs w:val="22"/>
          <w:lang w:val="en-GB"/>
        </w:rPr>
      </w:pPr>
      <w:r w:rsidRPr="009346FA">
        <w:rPr>
          <w:sz w:val="22"/>
          <w:szCs w:val="22"/>
          <w:lang w:val="en-GB"/>
        </w:rPr>
        <w:t xml:space="preserve">where </w:t>
      </w:r>
      <w:r w:rsidRPr="009346FA">
        <w:rPr>
          <w:i/>
          <w:sz w:val="22"/>
          <w:szCs w:val="22"/>
          <w:lang w:val="en-GB"/>
        </w:rPr>
        <w:t>P</w:t>
      </w:r>
      <w:r w:rsidRPr="009346FA">
        <w:rPr>
          <w:sz w:val="22"/>
          <w:szCs w:val="22"/>
          <w:lang w:val="en-GB"/>
        </w:rPr>
        <w:t xml:space="preserve"> is the applied load, </w:t>
      </w:r>
      <w:r w:rsidRPr="009346FA">
        <w:rPr>
          <w:i/>
          <w:sz w:val="22"/>
          <w:szCs w:val="22"/>
          <w:lang w:val="en-GB"/>
        </w:rPr>
        <w:t>W</w:t>
      </w:r>
      <w:r w:rsidRPr="009346FA">
        <w:rPr>
          <w:sz w:val="22"/>
          <w:szCs w:val="22"/>
          <w:lang w:val="en-GB"/>
        </w:rPr>
        <w:t xml:space="preserve"> is the specimen width, </w:t>
      </w:r>
      <w:r w:rsidRPr="009346FA">
        <w:rPr>
          <w:i/>
          <w:sz w:val="22"/>
          <w:szCs w:val="22"/>
          <w:lang w:val="en-GB"/>
        </w:rPr>
        <w:t>H</w:t>
      </w:r>
      <w:r w:rsidRPr="009346FA">
        <w:rPr>
          <w:sz w:val="22"/>
          <w:szCs w:val="22"/>
          <w:lang w:val="en-GB"/>
        </w:rPr>
        <w:t xml:space="preserve"> is the half thickness of the specimen, </w:t>
      </w:r>
      <w:r w:rsidRPr="009346FA">
        <w:rPr>
          <w:i/>
          <w:sz w:val="22"/>
          <w:szCs w:val="22"/>
          <w:lang w:val="en-GB"/>
        </w:rPr>
        <w:t>L</w:t>
      </w:r>
      <w:r w:rsidRPr="009346FA">
        <w:rPr>
          <w:sz w:val="22"/>
          <w:szCs w:val="22"/>
          <w:lang w:val="en-GB"/>
        </w:rPr>
        <w:t xml:space="preserve"> is the half span length, </w:t>
      </w:r>
      <w:r w:rsidRPr="009346FA">
        <w:rPr>
          <w:i/>
          <w:sz w:val="22"/>
          <w:szCs w:val="22"/>
          <w:lang w:val="en-GB"/>
        </w:rPr>
        <w:t>E</w:t>
      </w:r>
      <w:r w:rsidRPr="009346FA">
        <w:rPr>
          <w:sz w:val="22"/>
          <w:szCs w:val="22"/>
          <w:lang w:val="en-GB"/>
        </w:rPr>
        <w:t xml:space="preserve"> is the </w:t>
      </w:r>
      <w:proofErr w:type="spellStart"/>
      <w:r w:rsidRPr="009346FA">
        <w:rPr>
          <w:sz w:val="22"/>
          <w:szCs w:val="22"/>
          <w:lang w:val="en-GB"/>
        </w:rPr>
        <w:t>adherend</w:t>
      </w:r>
      <w:proofErr w:type="spellEnd"/>
      <w:r w:rsidRPr="009346FA">
        <w:rPr>
          <w:sz w:val="22"/>
          <w:szCs w:val="22"/>
          <w:lang w:val="en-GB"/>
        </w:rPr>
        <w:t xml:space="preserve"> longitudinal young modulus, </w:t>
      </w:r>
      <w:r w:rsidRPr="009346FA">
        <w:rPr>
          <w:i/>
          <w:sz w:val="22"/>
          <w:szCs w:val="22"/>
          <w:lang w:val="en-GB"/>
        </w:rPr>
        <w:t>µ</w:t>
      </w:r>
      <w:r w:rsidRPr="009346FA">
        <w:rPr>
          <w:sz w:val="22"/>
          <w:szCs w:val="22"/>
          <w:lang w:val="en-GB"/>
        </w:rPr>
        <w:t xml:space="preserve"> is the friction coefficient between cracked surfaces and </w:t>
      </w:r>
      <w:r w:rsidRPr="009346FA">
        <w:rPr>
          <w:i/>
          <w:sz w:val="22"/>
          <w:szCs w:val="22"/>
          <w:lang w:val="en-GB"/>
        </w:rPr>
        <w:t>θ</w:t>
      </w:r>
      <w:r w:rsidRPr="009346FA">
        <w:rPr>
          <w:i/>
          <w:sz w:val="22"/>
          <w:szCs w:val="22"/>
          <w:vertAlign w:val="subscript"/>
          <w:lang w:val="en-GB"/>
        </w:rPr>
        <w:t>1</w:t>
      </w:r>
      <w:r w:rsidRPr="009346FA">
        <w:rPr>
          <w:sz w:val="22"/>
          <w:szCs w:val="22"/>
          <w:lang w:val="en-GB"/>
        </w:rPr>
        <w:t xml:space="preserve">, </w:t>
      </w:r>
      <w:r w:rsidRPr="009346FA">
        <w:rPr>
          <w:i/>
          <w:sz w:val="22"/>
          <w:szCs w:val="22"/>
          <w:lang w:val="en-GB"/>
        </w:rPr>
        <w:t>θ</w:t>
      </w:r>
      <w:r w:rsidRPr="009346FA">
        <w:rPr>
          <w:i/>
          <w:sz w:val="22"/>
          <w:szCs w:val="22"/>
          <w:vertAlign w:val="subscript"/>
          <w:lang w:val="en-GB"/>
        </w:rPr>
        <w:t>2</w:t>
      </w:r>
      <w:r w:rsidRPr="009346FA">
        <w:rPr>
          <w:sz w:val="22"/>
          <w:szCs w:val="22"/>
          <w:lang w:val="en-GB"/>
        </w:rPr>
        <w:t xml:space="preserve">, </w:t>
      </w:r>
      <w:r w:rsidRPr="009346FA">
        <w:rPr>
          <w:i/>
          <w:sz w:val="22"/>
          <w:szCs w:val="22"/>
          <w:lang w:val="en-GB"/>
        </w:rPr>
        <w:t>θ</w:t>
      </w:r>
      <w:r w:rsidRPr="009346FA">
        <w:rPr>
          <w:i/>
          <w:sz w:val="22"/>
          <w:szCs w:val="22"/>
          <w:vertAlign w:val="subscript"/>
          <w:lang w:val="en-GB"/>
        </w:rPr>
        <w:t>3</w:t>
      </w:r>
      <w:r w:rsidRPr="009346FA">
        <w:rPr>
          <w:sz w:val="22"/>
          <w:szCs w:val="22"/>
          <w:lang w:val="en-GB"/>
        </w:rPr>
        <w:t xml:space="preserve"> and </w:t>
      </w:r>
      <w:r w:rsidRPr="009346FA">
        <w:rPr>
          <w:i/>
          <w:sz w:val="22"/>
          <w:szCs w:val="22"/>
          <w:lang w:val="en-GB"/>
        </w:rPr>
        <w:t>θ</w:t>
      </w:r>
      <w:r w:rsidRPr="009346FA">
        <w:rPr>
          <w:i/>
          <w:sz w:val="22"/>
          <w:szCs w:val="22"/>
          <w:vertAlign w:val="subscript"/>
          <w:lang w:val="en-GB"/>
        </w:rPr>
        <w:t>4</w:t>
      </w:r>
      <w:r w:rsidRPr="009346FA">
        <w:rPr>
          <w:sz w:val="22"/>
          <w:szCs w:val="22"/>
          <w:lang w:val="en-GB"/>
        </w:rPr>
        <w:t xml:space="preserve"> are the rotations of the specimen at the rolle</w:t>
      </w:r>
      <w:r w:rsidR="00BE7E3F" w:rsidRPr="009346FA">
        <w:rPr>
          <w:sz w:val="22"/>
          <w:szCs w:val="22"/>
          <w:lang w:val="en-GB"/>
        </w:rPr>
        <w:t>r application edges (c.f. Fig.</w:t>
      </w:r>
      <w:r w:rsidRPr="009346FA">
        <w:rPr>
          <w:sz w:val="22"/>
          <w:szCs w:val="22"/>
          <w:lang w:val="en-GB"/>
        </w:rPr>
        <w:t xml:space="preserve"> </w:t>
      </w:r>
      <w:r w:rsidR="00BE7E3F" w:rsidRPr="009346FA">
        <w:rPr>
          <w:sz w:val="22"/>
          <w:szCs w:val="22"/>
          <w:lang w:val="en-GB"/>
        </w:rPr>
        <w:t>1</w:t>
      </w:r>
      <w:r w:rsidRPr="009346FA">
        <w:rPr>
          <w:sz w:val="22"/>
          <w:szCs w:val="22"/>
          <w:lang w:val="en-GB"/>
        </w:rPr>
        <w:t xml:space="preserve">). </w:t>
      </w:r>
      <w:r w:rsidR="004A0CA7" w:rsidRPr="009346FA">
        <w:rPr>
          <w:sz w:val="22"/>
          <w:szCs w:val="22"/>
          <w:lang w:val="en-GB"/>
        </w:rPr>
        <w:t xml:space="preserve">The last </w:t>
      </w:r>
      <w:proofErr w:type="spellStart"/>
      <w:r w:rsidR="004A0CA7" w:rsidRPr="009346FA">
        <w:rPr>
          <w:sz w:val="22"/>
          <w:szCs w:val="22"/>
          <w:lang w:val="en-GB"/>
        </w:rPr>
        <w:t>therm</w:t>
      </w:r>
      <w:proofErr w:type="spellEnd"/>
      <w:r w:rsidR="004A0CA7" w:rsidRPr="009346FA">
        <w:rPr>
          <w:sz w:val="22"/>
          <w:szCs w:val="22"/>
          <w:lang w:val="en-GB"/>
        </w:rPr>
        <w:t xml:space="preserve"> in equation </w:t>
      </w:r>
      <w:r w:rsidR="009346FA">
        <w:rPr>
          <w:sz w:val="22"/>
          <w:szCs w:val="22"/>
          <w:lang w:val="en-GB"/>
        </w:rPr>
        <w:t>(1)</w:t>
      </w:r>
      <w:r w:rsidR="004A0CA7" w:rsidRPr="009346FA">
        <w:rPr>
          <w:sz w:val="22"/>
          <w:szCs w:val="22"/>
          <w:lang w:val="en-GB"/>
        </w:rPr>
        <w:t xml:space="preserve"> takes into account the frictional effects.</w:t>
      </w:r>
      <w:r w:rsidR="00AE011A" w:rsidRPr="009346FA">
        <w:rPr>
          <w:sz w:val="22"/>
          <w:szCs w:val="22"/>
          <w:lang w:val="en-GB"/>
        </w:rPr>
        <w:t xml:space="preserve"> According to Davidson et al. [5] a friction coefficient of </w:t>
      </w:r>
      <w:r w:rsidR="00AE011A" w:rsidRPr="009346FA">
        <w:rPr>
          <w:i/>
          <w:sz w:val="22"/>
          <w:szCs w:val="22"/>
          <w:lang w:val="en-GB"/>
        </w:rPr>
        <w:t>µ</w:t>
      </w:r>
      <w:r w:rsidR="00AE011A" w:rsidRPr="009346FA">
        <w:rPr>
          <w:sz w:val="22"/>
          <w:szCs w:val="22"/>
          <w:lang w:val="en-GB"/>
        </w:rPr>
        <w:t xml:space="preserve"> = 0.345 was used in calculations.</w:t>
      </w:r>
    </w:p>
    <w:p w:rsidR="0070080E" w:rsidRPr="009346FA" w:rsidRDefault="0070080E" w:rsidP="00556716">
      <w:pPr>
        <w:jc w:val="both"/>
        <w:rPr>
          <w:sz w:val="22"/>
          <w:szCs w:val="22"/>
          <w:lang w:val="en-GB"/>
        </w:rPr>
      </w:pPr>
    </w:p>
    <w:p w:rsidR="00B43AF4" w:rsidRPr="009346FA" w:rsidRDefault="004A0CA7" w:rsidP="00556716">
      <w:pPr>
        <w:jc w:val="both"/>
        <w:rPr>
          <w:sz w:val="22"/>
          <w:szCs w:val="22"/>
          <w:lang w:val="en-GB"/>
        </w:rPr>
      </w:pPr>
      <w:r w:rsidRPr="009346FA">
        <w:rPr>
          <w:sz w:val="22"/>
          <w:szCs w:val="22"/>
          <w:lang w:val="en-GB"/>
        </w:rPr>
        <w:t xml:space="preserve">In MMB </w:t>
      </w:r>
      <w:proofErr w:type="gramStart"/>
      <w:r w:rsidRPr="009346FA">
        <w:rPr>
          <w:sz w:val="22"/>
          <w:szCs w:val="22"/>
          <w:lang w:val="en-GB"/>
        </w:rPr>
        <w:t>test</w:t>
      </w:r>
      <w:proofErr w:type="gramEnd"/>
      <w:r w:rsidRPr="009346FA">
        <w:rPr>
          <w:sz w:val="22"/>
          <w:szCs w:val="22"/>
          <w:lang w:val="en-GB"/>
        </w:rPr>
        <w:t xml:space="preserve"> the </w:t>
      </w:r>
      <w:r w:rsidR="00AE011A" w:rsidRPr="009346FA">
        <w:rPr>
          <w:sz w:val="22"/>
          <w:szCs w:val="22"/>
          <w:lang w:val="en-GB"/>
        </w:rPr>
        <w:t xml:space="preserve">data reduction method proposed in the </w:t>
      </w:r>
      <w:r w:rsidRPr="009346FA">
        <w:rPr>
          <w:sz w:val="22"/>
          <w:szCs w:val="22"/>
          <w:lang w:val="en-GB"/>
        </w:rPr>
        <w:t xml:space="preserve">standard </w:t>
      </w:r>
      <w:r w:rsidR="00AE011A" w:rsidRPr="009346FA">
        <w:rPr>
          <w:sz w:val="22"/>
          <w:szCs w:val="22"/>
          <w:lang w:val="en-GB"/>
        </w:rPr>
        <w:t xml:space="preserve">[3] </w:t>
      </w:r>
      <w:r w:rsidRPr="009346FA">
        <w:rPr>
          <w:sz w:val="22"/>
          <w:szCs w:val="22"/>
          <w:lang w:val="en-GB"/>
        </w:rPr>
        <w:t xml:space="preserve">was used in addition to the </w:t>
      </w:r>
      <w:r w:rsidRPr="009346FA">
        <w:rPr>
          <w:i/>
          <w:sz w:val="22"/>
          <w:szCs w:val="22"/>
          <w:lang w:val="en-GB"/>
        </w:rPr>
        <w:t>J</w:t>
      </w:r>
      <w:r w:rsidRPr="009346FA">
        <w:rPr>
          <w:sz w:val="22"/>
          <w:szCs w:val="22"/>
          <w:lang w:val="en-GB"/>
        </w:rPr>
        <w:t>-integral</w:t>
      </w:r>
      <w:r w:rsidR="00AE011A" w:rsidRPr="009346FA">
        <w:rPr>
          <w:sz w:val="22"/>
          <w:szCs w:val="22"/>
          <w:lang w:val="en-GB"/>
        </w:rPr>
        <w:t xml:space="preserve"> [20]</w:t>
      </w:r>
      <w:r w:rsidRPr="009346FA">
        <w:rPr>
          <w:sz w:val="22"/>
          <w:szCs w:val="22"/>
          <w:lang w:val="en-GB"/>
        </w:rPr>
        <w:t>.</w:t>
      </w:r>
    </w:p>
    <w:p w:rsidR="003E5F11" w:rsidRPr="009346FA" w:rsidRDefault="003E5F11" w:rsidP="00556716">
      <w:pPr>
        <w:jc w:val="both"/>
        <w:rPr>
          <w:sz w:val="22"/>
          <w:szCs w:val="22"/>
          <w:lang w:val="en-GB"/>
        </w:rPr>
      </w:pPr>
    </w:p>
    <w:p w:rsidR="004A0CA7" w:rsidRPr="009346FA" w:rsidRDefault="004A0CA7" w:rsidP="004A0CA7">
      <w:pPr>
        <w:pStyle w:val="1stTitleWCCM"/>
        <w:tabs>
          <w:tab w:val="clear" w:pos="360"/>
          <w:tab w:val="left" w:pos="284"/>
        </w:tabs>
        <w:spacing w:before="0" w:after="0"/>
        <w:outlineLvl w:val="0"/>
        <w:rPr>
          <w:caps w:val="0"/>
          <w:sz w:val="22"/>
          <w:szCs w:val="22"/>
          <w:lang w:val="en-GB"/>
        </w:rPr>
      </w:pPr>
      <w:r w:rsidRPr="009346FA">
        <w:rPr>
          <w:sz w:val="22"/>
          <w:szCs w:val="22"/>
          <w:lang w:val="en-GB"/>
        </w:rPr>
        <w:t>3.</w:t>
      </w:r>
      <w:r w:rsidRPr="009346FA">
        <w:rPr>
          <w:sz w:val="22"/>
          <w:szCs w:val="22"/>
          <w:lang w:val="en-GB"/>
        </w:rPr>
        <w:tab/>
      </w:r>
      <w:r w:rsidRPr="009346FA">
        <w:rPr>
          <w:caps w:val="0"/>
          <w:sz w:val="22"/>
          <w:szCs w:val="22"/>
          <w:lang w:val="en-GB"/>
        </w:rPr>
        <w:t>Results</w:t>
      </w:r>
      <w:r w:rsidR="00BE6E29" w:rsidRPr="009346FA">
        <w:rPr>
          <w:caps w:val="0"/>
          <w:sz w:val="22"/>
          <w:szCs w:val="22"/>
          <w:lang w:val="en-GB"/>
        </w:rPr>
        <w:t xml:space="preserve"> and discussion</w:t>
      </w:r>
    </w:p>
    <w:p w:rsidR="004A0CA7" w:rsidRPr="009346FA" w:rsidRDefault="004A0CA7" w:rsidP="00556716">
      <w:pPr>
        <w:jc w:val="both"/>
        <w:rPr>
          <w:sz w:val="22"/>
          <w:szCs w:val="22"/>
          <w:lang w:val="en-GB"/>
        </w:rPr>
      </w:pPr>
    </w:p>
    <w:p w:rsidR="00E01639" w:rsidRPr="009346FA" w:rsidRDefault="004A0CA7" w:rsidP="004A0CA7">
      <w:pPr>
        <w:jc w:val="both"/>
        <w:rPr>
          <w:sz w:val="22"/>
          <w:szCs w:val="22"/>
          <w:lang w:val="en-GB"/>
        </w:rPr>
      </w:pPr>
      <w:r w:rsidRPr="009346FA">
        <w:rPr>
          <w:sz w:val="22"/>
          <w:szCs w:val="22"/>
          <w:lang w:val="en-GB"/>
        </w:rPr>
        <w:t xml:space="preserve">No results </w:t>
      </w:r>
      <w:proofErr w:type="gramStart"/>
      <w:r w:rsidRPr="009346FA">
        <w:rPr>
          <w:sz w:val="22"/>
          <w:szCs w:val="22"/>
          <w:lang w:val="en-GB"/>
        </w:rPr>
        <w:t>were obtained</w:t>
      </w:r>
      <w:proofErr w:type="gramEnd"/>
      <w:r w:rsidRPr="009346FA">
        <w:rPr>
          <w:sz w:val="22"/>
          <w:szCs w:val="22"/>
          <w:lang w:val="en-GB"/>
        </w:rPr>
        <w:t xml:space="preserve"> for M2 specimens of 4ENF and MMB test configurations, since a premature failure occurred in the </w:t>
      </w:r>
      <w:proofErr w:type="spellStart"/>
      <w:r w:rsidRPr="009346FA">
        <w:rPr>
          <w:sz w:val="22"/>
          <w:szCs w:val="22"/>
          <w:lang w:val="en-GB"/>
        </w:rPr>
        <w:t>adherend</w:t>
      </w:r>
      <w:proofErr w:type="spellEnd"/>
      <w:r w:rsidRPr="009346FA">
        <w:rPr>
          <w:sz w:val="22"/>
          <w:szCs w:val="22"/>
          <w:lang w:val="en-GB"/>
        </w:rPr>
        <w:t>, invalidating the tests.</w:t>
      </w:r>
      <w:r w:rsidR="00E01639" w:rsidRPr="009346FA">
        <w:rPr>
          <w:sz w:val="22"/>
          <w:szCs w:val="22"/>
          <w:lang w:val="en-GB"/>
        </w:rPr>
        <w:t xml:space="preserve"> </w:t>
      </w:r>
    </w:p>
    <w:p w:rsidR="00E76AF6" w:rsidRPr="009346FA" w:rsidRDefault="00E76AF6" w:rsidP="004A0CA7">
      <w:pPr>
        <w:jc w:val="both"/>
        <w:rPr>
          <w:sz w:val="22"/>
          <w:szCs w:val="22"/>
          <w:lang w:val="en-GB"/>
        </w:rPr>
      </w:pPr>
    </w:p>
    <w:p w:rsidR="004A0CA7" w:rsidRPr="009346FA" w:rsidRDefault="00E01639" w:rsidP="004A0CA7">
      <w:pPr>
        <w:jc w:val="both"/>
        <w:rPr>
          <w:sz w:val="22"/>
          <w:szCs w:val="22"/>
          <w:lang w:val="en-GB"/>
        </w:rPr>
      </w:pPr>
      <w:r w:rsidRPr="009346FA">
        <w:rPr>
          <w:sz w:val="22"/>
          <w:szCs w:val="22"/>
          <w:lang w:val="en-GB"/>
        </w:rPr>
        <w:t xml:space="preserve">The fracture toughness </w:t>
      </w:r>
      <w:proofErr w:type="gramStart"/>
      <w:r w:rsidRPr="009346FA">
        <w:rPr>
          <w:sz w:val="22"/>
          <w:szCs w:val="22"/>
          <w:lang w:val="en-GB"/>
        </w:rPr>
        <w:t>was measured</w:t>
      </w:r>
      <w:proofErr w:type="gramEnd"/>
      <w:r w:rsidRPr="009346FA">
        <w:rPr>
          <w:sz w:val="22"/>
          <w:szCs w:val="22"/>
          <w:lang w:val="en-GB"/>
        </w:rPr>
        <w:t xml:space="preserve"> when the </w:t>
      </w:r>
      <w:r w:rsidRPr="009346FA">
        <w:rPr>
          <w:i/>
          <w:sz w:val="22"/>
          <w:szCs w:val="22"/>
          <w:lang w:val="en-GB"/>
        </w:rPr>
        <w:t>R</w:t>
      </w:r>
      <w:r w:rsidRPr="009346FA">
        <w:rPr>
          <w:sz w:val="22"/>
          <w:szCs w:val="22"/>
          <w:lang w:val="en-GB"/>
        </w:rPr>
        <w:t>-curve reached a plateau</w:t>
      </w:r>
      <w:r w:rsidR="00005128">
        <w:rPr>
          <w:sz w:val="22"/>
          <w:szCs w:val="22"/>
          <w:lang w:val="en-GB"/>
        </w:rPr>
        <w:t>. A</w:t>
      </w:r>
      <w:r w:rsidR="004A0CA7" w:rsidRPr="009346FA">
        <w:rPr>
          <w:sz w:val="22"/>
          <w:szCs w:val="22"/>
          <w:lang w:val="en-GB"/>
        </w:rPr>
        <w:t xml:space="preserve">ll results are normalized with respect to the averaged value of  </w:t>
      </w:r>
      <w:proofErr w:type="spellStart"/>
      <w:r w:rsidR="004A0CA7" w:rsidRPr="009346FA">
        <w:rPr>
          <w:i/>
          <w:sz w:val="22"/>
          <w:szCs w:val="22"/>
          <w:lang w:val="en-GB"/>
        </w:rPr>
        <w:t>J</w:t>
      </w:r>
      <w:r w:rsidR="004A0CA7" w:rsidRPr="009346FA">
        <w:rPr>
          <w:i/>
          <w:sz w:val="22"/>
          <w:szCs w:val="22"/>
          <w:vertAlign w:val="subscript"/>
          <w:lang w:val="en-GB"/>
        </w:rPr>
        <w:t>IIc</w:t>
      </w:r>
      <w:proofErr w:type="spellEnd"/>
      <w:r w:rsidR="004A0CA7" w:rsidRPr="009346FA">
        <w:rPr>
          <w:sz w:val="22"/>
          <w:szCs w:val="22"/>
          <w:lang w:val="en-GB"/>
        </w:rPr>
        <w:t xml:space="preserve"> obtained from M1 specimens tested with the ELS, which had a fracture toughness of  </w:t>
      </w:r>
      <w:r w:rsidRPr="009346FA">
        <w:rPr>
          <w:i/>
          <w:sz w:val="22"/>
          <w:szCs w:val="22"/>
          <w:lang w:val="en-GB"/>
        </w:rPr>
        <w:t>J</w:t>
      </w:r>
      <w:r w:rsidRPr="009346FA">
        <w:rPr>
          <w:i/>
          <w:sz w:val="22"/>
          <w:szCs w:val="22"/>
          <w:vertAlign w:val="subscript"/>
          <w:lang w:val="en-GB"/>
        </w:rPr>
        <w:t>ELS</w:t>
      </w:r>
      <w:r w:rsidRPr="009346FA">
        <w:rPr>
          <w:sz w:val="22"/>
          <w:szCs w:val="22"/>
          <w:lang w:val="en-GB"/>
        </w:rPr>
        <w:t xml:space="preserve"> </w:t>
      </w:r>
      <w:r w:rsidR="004A0CA7" w:rsidRPr="009346FA">
        <w:rPr>
          <w:sz w:val="22"/>
          <w:szCs w:val="22"/>
          <w:lang w:val="en-GB"/>
        </w:rPr>
        <w:t>(M1) = 4.64 KJ/m</w:t>
      </w:r>
      <w:r w:rsidRPr="009346FA">
        <w:rPr>
          <w:sz w:val="22"/>
          <w:szCs w:val="22"/>
          <w:vertAlign w:val="superscript"/>
          <w:lang w:val="en-GB"/>
        </w:rPr>
        <w:t>2</w:t>
      </w:r>
      <w:r w:rsidR="004A0CA7" w:rsidRPr="009346FA">
        <w:rPr>
          <w:sz w:val="22"/>
          <w:szCs w:val="22"/>
          <w:lang w:val="en-GB"/>
        </w:rPr>
        <w:t>.</w:t>
      </w:r>
    </w:p>
    <w:p w:rsidR="00BE7E3F" w:rsidRPr="009346FA" w:rsidRDefault="00BE7E3F" w:rsidP="004A0CA7">
      <w:pPr>
        <w:jc w:val="both"/>
        <w:rPr>
          <w:sz w:val="22"/>
          <w:szCs w:val="22"/>
          <w:lang w:val="en-GB"/>
        </w:rPr>
      </w:pPr>
    </w:p>
    <w:p w:rsidR="00BE7E3F" w:rsidRPr="009346FA" w:rsidRDefault="00BE7E3F" w:rsidP="004A0CA7">
      <w:pPr>
        <w:jc w:val="both"/>
        <w:rPr>
          <w:sz w:val="22"/>
          <w:szCs w:val="22"/>
          <w:lang w:val="en-GB"/>
        </w:rPr>
      </w:pPr>
      <w:r w:rsidRPr="009346FA">
        <w:rPr>
          <w:sz w:val="22"/>
          <w:szCs w:val="22"/>
          <w:lang w:val="en-GB"/>
        </w:rPr>
        <w:t xml:space="preserve">In Tables 1 to </w:t>
      </w:r>
      <w:proofErr w:type="gramStart"/>
      <w:r w:rsidRPr="009346FA">
        <w:rPr>
          <w:sz w:val="22"/>
          <w:szCs w:val="22"/>
          <w:lang w:val="en-GB"/>
        </w:rPr>
        <w:t>4</w:t>
      </w:r>
      <w:proofErr w:type="gramEnd"/>
      <w:r w:rsidRPr="009346FA">
        <w:rPr>
          <w:sz w:val="22"/>
          <w:szCs w:val="22"/>
          <w:lang w:val="en-GB"/>
        </w:rPr>
        <w:t xml:space="preserve"> the averaged values of each batch test</w:t>
      </w:r>
      <w:r w:rsidR="00005128">
        <w:rPr>
          <w:sz w:val="22"/>
          <w:szCs w:val="22"/>
          <w:lang w:val="en-GB"/>
        </w:rPr>
        <w:t>ed</w:t>
      </w:r>
      <w:r w:rsidRPr="009346FA">
        <w:rPr>
          <w:sz w:val="22"/>
          <w:szCs w:val="22"/>
          <w:lang w:val="en-GB"/>
        </w:rPr>
        <w:t xml:space="preserve"> with their corresponding standard deviation (SD) are summarized. </w:t>
      </w:r>
    </w:p>
    <w:p w:rsidR="00E01639" w:rsidRPr="009346FA" w:rsidRDefault="00E01639" w:rsidP="00556716">
      <w:pPr>
        <w:jc w:val="both"/>
        <w:rPr>
          <w:sz w:val="22"/>
          <w:szCs w:val="22"/>
          <w:lang w:val="en-GB"/>
        </w:rPr>
      </w:pPr>
    </w:p>
    <w:p w:rsidR="00E01639" w:rsidRPr="009346FA" w:rsidRDefault="00E01639" w:rsidP="00E76AF6">
      <w:pPr>
        <w:jc w:val="center"/>
        <w:rPr>
          <w:sz w:val="22"/>
          <w:szCs w:val="22"/>
          <w:lang w:val="en-GB"/>
        </w:rPr>
      </w:pPr>
      <w:bookmarkStart w:id="13" w:name="OLE_LINK77"/>
      <w:bookmarkStart w:id="14" w:name="OLE_LINK78"/>
      <w:r w:rsidRPr="009346FA">
        <w:rPr>
          <w:b/>
          <w:sz w:val="22"/>
          <w:szCs w:val="22"/>
          <w:lang w:val="en-GB"/>
        </w:rPr>
        <w:t>Table 1.</w:t>
      </w:r>
      <w:r w:rsidRPr="009346FA">
        <w:rPr>
          <w:sz w:val="22"/>
          <w:szCs w:val="22"/>
          <w:lang w:val="en-GB"/>
        </w:rPr>
        <w:t xml:space="preserve"> ELS tests summary of results. All values </w:t>
      </w:r>
      <w:proofErr w:type="gramStart"/>
      <w:r w:rsidRPr="009346FA">
        <w:rPr>
          <w:sz w:val="22"/>
          <w:szCs w:val="22"/>
          <w:lang w:val="en-GB"/>
        </w:rPr>
        <w:t>are normalized</w:t>
      </w:r>
      <w:proofErr w:type="gramEnd"/>
      <w:r w:rsidRPr="009346FA">
        <w:rPr>
          <w:sz w:val="22"/>
          <w:szCs w:val="22"/>
          <w:lang w:val="en-GB"/>
        </w:rPr>
        <w:t xml:space="preserve"> with respect to the averaged value of </w:t>
      </w:r>
      <w:proofErr w:type="spellStart"/>
      <w:r w:rsidRPr="009346FA">
        <w:rPr>
          <w:i/>
          <w:sz w:val="22"/>
          <w:szCs w:val="22"/>
          <w:lang w:val="en-GB" w:eastAsia="en-US"/>
        </w:rPr>
        <w:t>J</w:t>
      </w:r>
      <w:r w:rsidRPr="009346FA">
        <w:rPr>
          <w:i/>
          <w:sz w:val="22"/>
          <w:szCs w:val="22"/>
          <w:vertAlign w:val="subscript"/>
          <w:lang w:val="en-GB" w:eastAsia="en-US"/>
        </w:rPr>
        <w:t>IIc</w:t>
      </w:r>
      <w:proofErr w:type="spellEnd"/>
      <w:r w:rsidRPr="009346FA">
        <w:rPr>
          <w:sz w:val="22"/>
          <w:szCs w:val="22"/>
          <w:lang w:val="en-GB"/>
        </w:rPr>
        <w:t xml:space="preserve"> from the M1 ELS batch.</w:t>
      </w:r>
    </w:p>
    <w:tbl>
      <w:tblPr>
        <w:tblW w:w="0" w:type="auto"/>
        <w:jc w:val="center"/>
        <w:tblLook w:val="01E0" w:firstRow="1" w:lastRow="1" w:firstColumn="1" w:lastColumn="1" w:noHBand="0" w:noVBand="0"/>
      </w:tblPr>
      <w:tblGrid>
        <w:gridCol w:w="683"/>
        <w:gridCol w:w="1069"/>
        <w:gridCol w:w="709"/>
        <w:gridCol w:w="1297"/>
        <w:gridCol w:w="1339"/>
        <w:gridCol w:w="1302"/>
        <w:gridCol w:w="1291"/>
      </w:tblGrid>
      <w:tr w:rsidR="00E01639" w:rsidRPr="009346FA" w:rsidTr="00BE7E3F">
        <w:trPr>
          <w:jc w:val="center"/>
        </w:trPr>
        <w:tc>
          <w:tcPr>
            <w:tcW w:w="683" w:type="dxa"/>
            <w:tcBorders>
              <w:top w:val="single" w:sz="8" w:space="0" w:color="auto"/>
              <w:bottom w:val="single" w:sz="4" w:space="0" w:color="auto"/>
            </w:tcBorders>
            <w:vAlign w:val="center"/>
          </w:tcPr>
          <w:p w:rsidR="00E01639" w:rsidRPr="009346FA" w:rsidRDefault="00E01639" w:rsidP="00B35D88">
            <w:pPr>
              <w:pStyle w:val="Textoindependiente"/>
              <w:jc w:val="center"/>
              <w:rPr>
                <w:sz w:val="20"/>
                <w:szCs w:val="22"/>
                <w:lang w:eastAsia="en-US"/>
              </w:rPr>
            </w:pPr>
            <w:r w:rsidRPr="009346FA">
              <w:rPr>
                <w:sz w:val="20"/>
                <w:szCs w:val="22"/>
                <w:lang w:eastAsia="en-US"/>
              </w:rPr>
              <w:t>Batch</w:t>
            </w:r>
          </w:p>
        </w:tc>
        <w:tc>
          <w:tcPr>
            <w:tcW w:w="1069" w:type="dxa"/>
            <w:tcBorders>
              <w:top w:val="single" w:sz="8" w:space="0" w:color="auto"/>
              <w:bottom w:val="single" w:sz="4" w:space="0" w:color="auto"/>
            </w:tcBorders>
            <w:vAlign w:val="center"/>
          </w:tcPr>
          <w:p w:rsidR="00E01639" w:rsidRPr="009346FA" w:rsidRDefault="00E01639" w:rsidP="00B35D88">
            <w:pPr>
              <w:pStyle w:val="Textoindependiente"/>
              <w:ind w:right="107"/>
              <w:jc w:val="center"/>
              <w:rPr>
                <w:i/>
                <w:sz w:val="20"/>
                <w:szCs w:val="22"/>
                <w:lang w:eastAsia="en-US"/>
              </w:rPr>
            </w:pPr>
          </w:p>
        </w:tc>
        <w:tc>
          <w:tcPr>
            <w:tcW w:w="641" w:type="dxa"/>
            <w:tcBorders>
              <w:top w:val="single" w:sz="8" w:space="0" w:color="auto"/>
              <w:bottom w:val="single" w:sz="4" w:space="0" w:color="auto"/>
            </w:tcBorders>
            <w:vAlign w:val="center"/>
          </w:tcPr>
          <w:p w:rsidR="00E01639" w:rsidRPr="009346FA" w:rsidRDefault="00E01639" w:rsidP="00B35D88">
            <w:pPr>
              <w:pStyle w:val="Textoindependiente"/>
              <w:ind w:right="107"/>
              <w:jc w:val="center"/>
              <w:rPr>
                <w:i/>
                <w:sz w:val="20"/>
                <w:szCs w:val="22"/>
                <w:lang w:eastAsia="en-US"/>
              </w:rPr>
            </w:pPr>
            <w:bookmarkStart w:id="15" w:name="OLE_LINK72"/>
            <w:bookmarkStart w:id="16" w:name="OLE_LINK73"/>
            <w:bookmarkStart w:id="17" w:name="OLE_LINK74"/>
            <w:bookmarkStart w:id="18" w:name="OLE_LINK75"/>
            <w:bookmarkStart w:id="19" w:name="OLE_LINK76"/>
            <w:proofErr w:type="spellStart"/>
            <w:r w:rsidRPr="009346FA">
              <w:rPr>
                <w:i/>
                <w:sz w:val="20"/>
                <w:szCs w:val="22"/>
                <w:lang w:eastAsia="en-US"/>
              </w:rPr>
              <w:t>J</w:t>
            </w:r>
            <w:r w:rsidRPr="009346FA">
              <w:rPr>
                <w:i/>
                <w:sz w:val="20"/>
                <w:szCs w:val="22"/>
                <w:vertAlign w:val="subscript"/>
                <w:lang w:eastAsia="en-US"/>
              </w:rPr>
              <w:t>IIc</w:t>
            </w:r>
            <w:bookmarkEnd w:id="15"/>
            <w:bookmarkEnd w:id="16"/>
            <w:bookmarkEnd w:id="17"/>
            <w:bookmarkEnd w:id="18"/>
            <w:bookmarkEnd w:id="19"/>
            <w:proofErr w:type="spellEnd"/>
          </w:p>
        </w:tc>
        <w:tc>
          <w:tcPr>
            <w:tcW w:w="1297" w:type="dxa"/>
            <w:tcBorders>
              <w:top w:val="single" w:sz="8" w:space="0" w:color="auto"/>
              <w:bottom w:val="single" w:sz="4" w:space="0" w:color="auto"/>
            </w:tcBorders>
            <w:vAlign w:val="center"/>
          </w:tcPr>
          <w:p w:rsidR="00E01639" w:rsidRPr="009346FA" w:rsidRDefault="00E01639" w:rsidP="00B35D88">
            <w:pPr>
              <w:pStyle w:val="Textoindependiente"/>
              <w:ind w:right="107"/>
              <w:jc w:val="center"/>
              <w:rPr>
                <w:sz w:val="20"/>
                <w:szCs w:val="22"/>
                <w:lang w:eastAsia="en-US"/>
              </w:rPr>
            </w:pPr>
            <w:bookmarkStart w:id="20" w:name="OLE_LINK68"/>
            <w:bookmarkStart w:id="21" w:name="OLE_LINK69"/>
            <w:bookmarkStart w:id="22" w:name="OLE_LINK70"/>
            <w:bookmarkStart w:id="23" w:name="OLE_LINK71"/>
            <w:proofErr w:type="spellStart"/>
            <w:r w:rsidRPr="009346FA">
              <w:rPr>
                <w:i/>
                <w:sz w:val="20"/>
                <w:szCs w:val="22"/>
                <w:lang w:eastAsia="en-US"/>
              </w:rPr>
              <w:t>G</w:t>
            </w:r>
            <w:bookmarkStart w:id="24" w:name="OLE_LINK65"/>
            <w:bookmarkStart w:id="25" w:name="OLE_LINK66"/>
            <w:bookmarkStart w:id="26" w:name="OLE_LINK67"/>
            <w:r w:rsidRPr="009346FA">
              <w:rPr>
                <w:i/>
                <w:sz w:val="20"/>
                <w:szCs w:val="22"/>
                <w:vertAlign w:val="subscript"/>
                <w:lang w:eastAsia="en-US"/>
              </w:rPr>
              <w:t>IIc</w:t>
            </w:r>
            <w:proofErr w:type="spellEnd"/>
            <w:r w:rsidRPr="009346FA">
              <w:rPr>
                <w:sz w:val="20"/>
                <w:szCs w:val="22"/>
                <w:lang w:eastAsia="en-US"/>
              </w:rPr>
              <w:t>(CBTE)</w:t>
            </w:r>
            <w:bookmarkEnd w:id="20"/>
            <w:bookmarkEnd w:id="21"/>
            <w:bookmarkEnd w:id="22"/>
            <w:bookmarkEnd w:id="23"/>
            <w:bookmarkEnd w:id="24"/>
            <w:bookmarkEnd w:id="25"/>
            <w:bookmarkEnd w:id="26"/>
          </w:p>
        </w:tc>
        <w:tc>
          <w:tcPr>
            <w:tcW w:w="1339" w:type="dxa"/>
            <w:tcBorders>
              <w:top w:val="single" w:sz="8" w:space="0" w:color="auto"/>
              <w:bottom w:val="single" w:sz="4" w:space="0" w:color="auto"/>
            </w:tcBorders>
          </w:tcPr>
          <w:p w:rsidR="00E01639" w:rsidRPr="009346FA" w:rsidRDefault="00E01639" w:rsidP="00B35D88">
            <w:pPr>
              <w:pStyle w:val="Textoindependiente"/>
              <w:ind w:right="108"/>
              <w:jc w:val="center"/>
              <w:rPr>
                <w:i/>
                <w:sz w:val="20"/>
                <w:szCs w:val="22"/>
                <w:lang w:eastAsia="en-US"/>
              </w:rPr>
            </w:pPr>
            <w:proofErr w:type="spellStart"/>
            <w:r w:rsidRPr="009346FA">
              <w:rPr>
                <w:i/>
                <w:sz w:val="20"/>
                <w:szCs w:val="22"/>
                <w:lang w:eastAsia="en-US"/>
              </w:rPr>
              <w:t>G</w:t>
            </w:r>
            <w:r w:rsidRPr="009346FA">
              <w:rPr>
                <w:i/>
                <w:sz w:val="20"/>
                <w:szCs w:val="22"/>
                <w:vertAlign w:val="subscript"/>
                <w:lang w:eastAsia="en-US"/>
              </w:rPr>
              <w:t>IIc</w:t>
            </w:r>
            <w:proofErr w:type="spellEnd"/>
            <w:r w:rsidRPr="009346FA">
              <w:rPr>
                <w:sz w:val="20"/>
                <w:szCs w:val="22"/>
                <w:lang w:eastAsia="en-US"/>
              </w:rPr>
              <w:t>(ECM)</w:t>
            </w:r>
          </w:p>
        </w:tc>
        <w:tc>
          <w:tcPr>
            <w:tcW w:w="1302" w:type="dxa"/>
            <w:tcBorders>
              <w:top w:val="single" w:sz="8" w:space="0" w:color="auto"/>
              <w:bottom w:val="single" w:sz="4" w:space="0" w:color="auto"/>
            </w:tcBorders>
          </w:tcPr>
          <w:p w:rsidR="00E01639" w:rsidRPr="009346FA" w:rsidRDefault="00E01639" w:rsidP="00B35D88">
            <w:pPr>
              <w:pStyle w:val="Textoindependiente"/>
              <w:ind w:right="108"/>
              <w:jc w:val="center"/>
              <w:rPr>
                <w:i/>
                <w:sz w:val="20"/>
                <w:szCs w:val="22"/>
                <w:lang w:eastAsia="en-US"/>
              </w:rPr>
            </w:pPr>
            <w:proofErr w:type="spellStart"/>
            <w:r w:rsidRPr="009346FA">
              <w:rPr>
                <w:i/>
                <w:sz w:val="20"/>
                <w:szCs w:val="22"/>
                <w:lang w:eastAsia="en-US"/>
              </w:rPr>
              <w:t>G</w:t>
            </w:r>
            <w:r w:rsidRPr="009346FA">
              <w:rPr>
                <w:i/>
                <w:sz w:val="20"/>
                <w:szCs w:val="22"/>
                <w:vertAlign w:val="subscript"/>
                <w:lang w:eastAsia="en-US"/>
              </w:rPr>
              <w:t>IIc</w:t>
            </w:r>
            <w:proofErr w:type="spellEnd"/>
            <w:r w:rsidRPr="009346FA">
              <w:rPr>
                <w:sz w:val="20"/>
                <w:szCs w:val="22"/>
                <w:lang w:eastAsia="en-US"/>
              </w:rPr>
              <w:t>(SBT)</w:t>
            </w:r>
          </w:p>
        </w:tc>
        <w:tc>
          <w:tcPr>
            <w:tcW w:w="1291" w:type="dxa"/>
            <w:tcBorders>
              <w:top w:val="single" w:sz="8" w:space="0" w:color="auto"/>
              <w:bottom w:val="single" w:sz="4" w:space="0" w:color="auto"/>
            </w:tcBorders>
          </w:tcPr>
          <w:p w:rsidR="00E01639" w:rsidRPr="009346FA" w:rsidRDefault="00E01639" w:rsidP="00B35D88">
            <w:pPr>
              <w:pStyle w:val="Textoindependiente"/>
              <w:ind w:right="108"/>
              <w:jc w:val="center"/>
              <w:rPr>
                <w:i/>
                <w:sz w:val="20"/>
                <w:szCs w:val="22"/>
                <w:lang w:eastAsia="en-US"/>
              </w:rPr>
            </w:pPr>
            <w:proofErr w:type="spellStart"/>
            <w:r w:rsidRPr="009346FA">
              <w:rPr>
                <w:i/>
                <w:sz w:val="20"/>
                <w:szCs w:val="22"/>
                <w:lang w:eastAsia="en-US"/>
              </w:rPr>
              <w:t>G</w:t>
            </w:r>
            <w:r w:rsidRPr="009346FA">
              <w:rPr>
                <w:i/>
                <w:sz w:val="20"/>
                <w:szCs w:val="22"/>
                <w:vertAlign w:val="subscript"/>
                <w:lang w:eastAsia="en-US"/>
              </w:rPr>
              <w:t>IIc</w:t>
            </w:r>
            <w:proofErr w:type="spellEnd"/>
            <w:r w:rsidRPr="009346FA">
              <w:rPr>
                <w:sz w:val="20"/>
                <w:szCs w:val="22"/>
                <w:lang w:eastAsia="en-US"/>
              </w:rPr>
              <w:t>(AREA)</w:t>
            </w:r>
          </w:p>
        </w:tc>
      </w:tr>
      <w:tr w:rsidR="00E01639" w:rsidRPr="009346FA" w:rsidTr="00BE7E3F">
        <w:trPr>
          <w:jc w:val="center"/>
        </w:trPr>
        <w:tc>
          <w:tcPr>
            <w:tcW w:w="683" w:type="dxa"/>
            <w:vMerge w:val="restart"/>
            <w:tcBorders>
              <w:top w:val="single" w:sz="4" w:space="0" w:color="auto"/>
            </w:tcBorders>
            <w:vAlign w:val="center"/>
          </w:tcPr>
          <w:p w:rsidR="00E01639" w:rsidRPr="009346FA" w:rsidRDefault="00E01639" w:rsidP="00B35D88">
            <w:pPr>
              <w:pStyle w:val="Textoindependiente"/>
              <w:jc w:val="center"/>
              <w:rPr>
                <w:sz w:val="22"/>
                <w:szCs w:val="22"/>
                <w:lang w:eastAsia="en-US"/>
              </w:rPr>
            </w:pPr>
            <w:r w:rsidRPr="009346FA">
              <w:rPr>
                <w:sz w:val="22"/>
                <w:szCs w:val="22"/>
                <w:lang w:eastAsia="en-US"/>
              </w:rPr>
              <w:t>M1</w:t>
            </w:r>
          </w:p>
        </w:tc>
        <w:tc>
          <w:tcPr>
            <w:tcW w:w="1069" w:type="dxa"/>
            <w:tcBorders>
              <w:top w:val="single" w:sz="4" w:space="0" w:color="auto"/>
            </w:tcBorders>
          </w:tcPr>
          <w:p w:rsidR="00E01639" w:rsidRPr="009346FA" w:rsidRDefault="00E01639" w:rsidP="00B35D88">
            <w:pPr>
              <w:pStyle w:val="Textoindependiente"/>
              <w:ind w:right="107"/>
              <w:jc w:val="center"/>
              <w:rPr>
                <w:sz w:val="22"/>
                <w:szCs w:val="22"/>
                <w:lang w:eastAsia="en-US"/>
              </w:rPr>
            </w:pPr>
            <w:r w:rsidRPr="009346FA">
              <w:rPr>
                <w:sz w:val="22"/>
                <w:szCs w:val="22"/>
                <w:lang w:eastAsia="en-US"/>
              </w:rPr>
              <w:t>Average</w:t>
            </w:r>
          </w:p>
        </w:tc>
        <w:tc>
          <w:tcPr>
            <w:tcW w:w="641" w:type="dxa"/>
            <w:tcBorders>
              <w:top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1.00</w:t>
            </w:r>
          </w:p>
        </w:tc>
        <w:tc>
          <w:tcPr>
            <w:tcW w:w="1297" w:type="dxa"/>
            <w:tcBorders>
              <w:top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0.94</w:t>
            </w:r>
          </w:p>
        </w:tc>
        <w:tc>
          <w:tcPr>
            <w:tcW w:w="1339" w:type="dxa"/>
            <w:tcBorders>
              <w:top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0.68</w:t>
            </w:r>
          </w:p>
        </w:tc>
        <w:tc>
          <w:tcPr>
            <w:tcW w:w="1302" w:type="dxa"/>
            <w:tcBorders>
              <w:top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1.22</w:t>
            </w:r>
          </w:p>
        </w:tc>
        <w:tc>
          <w:tcPr>
            <w:tcW w:w="1291" w:type="dxa"/>
            <w:tcBorders>
              <w:top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0.92</w:t>
            </w:r>
          </w:p>
        </w:tc>
      </w:tr>
      <w:tr w:rsidR="00E01639" w:rsidRPr="009346FA" w:rsidTr="00BE7E3F">
        <w:trPr>
          <w:jc w:val="center"/>
        </w:trPr>
        <w:tc>
          <w:tcPr>
            <w:tcW w:w="683" w:type="dxa"/>
            <w:vMerge/>
            <w:tcBorders>
              <w:bottom w:val="single" w:sz="4" w:space="0" w:color="auto"/>
            </w:tcBorders>
          </w:tcPr>
          <w:p w:rsidR="00E01639" w:rsidRPr="009346FA" w:rsidRDefault="00E01639" w:rsidP="00B35D88">
            <w:pPr>
              <w:pStyle w:val="Textoindependiente"/>
              <w:jc w:val="center"/>
              <w:rPr>
                <w:sz w:val="22"/>
                <w:szCs w:val="22"/>
                <w:lang w:eastAsia="en-US"/>
              </w:rPr>
            </w:pPr>
          </w:p>
        </w:tc>
        <w:tc>
          <w:tcPr>
            <w:tcW w:w="1069" w:type="dxa"/>
            <w:tcBorders>
              <w:bottom w:val="single" w:sz="4" w:space="0" w:color="auto"/>
            </w:tcBorders>
          </w:tcPr>
          <w:p w:rsidR="00E01639" w:rsidRPr="009346FA" w:rsidRDefault="00E01639" w:rsidP="00B35D88">
            <w:pPr>
              <w:pStyle w:val="Textoindependiente"/>
              <w:ind w:right="107"/>
              <w:jc w:val="center"/>
              <w:rPr>
                <w:sz w:val="22"/>
                <w:szCs w:val="22"/>
                <w:lang w:eastAsia="en-US"/>
              </w:rPr>
            </w:pPr>
            <w:r w:rsidRPr="009346FA">
              <w:rPr>
                <w:sz w:val="22"/>
                <w:szCs w:val="22"/>
                <w:lang w:eastAsia="en-US"/>
              </w:rPr>
              <w:t>SD</w:t>
            </w:r>
          </w:p>
        </w:tc>
        <w:tc>
          <w:tcPr>
            <w:tcW w:w="641" w:type="dxa"/>
            <w:tcBorders>
              <w:bottom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0.17</w:t>
            </w:r>
          </w:p>
        </w:tc>
        <w:tc>
          <w:tcPr>
            <w:tcW w:w="1297" w:type="dxa"/>
            <w:tcBorders>
              <w:bottom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0.11</w:t>
            </w:r>
          </w:p>
        </w:tc>
        <w:tc>
          <w:tcPr>
            <w:tcW w:w="1339" w:type="dxa"/>
            <w:tcBorders>
              <w:bottom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0.11</w:t>
            </w:r>
          </w:p>
        </w:tc>
        <w:tc>
          <w:tcPr>
            <w:tcW w:w="1302" w:type="dxa"/>
            <w:tcBorders>
              <w:bottom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0.20</w:t>
            </w:r>
          </w:p>
        </w:tc>
        <w:tc>
          <w:tcPr>
            <w:tcW w:w="1291" w:type="dxa"/>
            <w:tcBorders>
              <w:bottom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0.15</w:t>
            </w:r>
          </w:p>
        </w:tc>
      </w:tr>
      <w:tr w:rsidR="00E01639" w:rsidRPr="009346FA" w:rsidTr="00BE7E3F">
        <w:trPr>
          <w:jc w:val="center"/>
        </w:trPr>
        <w:tc>
          <w:tcPr>
            <w:tcW w:w="683" w:type="dxa"/>
            <w:vMerge w:val="restart"/>
            <w:tcBorders>
              <w:top w:val="single" w:sz="4" w:space="0" w:color="auto"/>
            </w:tcBorders>
            <w:vAlign w:val="center"/>
          </w:tcPr>
          <w:p w:rsidR="00E01639" w:rsidRPr="009346FA" w:rsidRDefault="00E01639" w:rsidP="00B35D88">
            <w:pPr>
              <w:pStyle w:val="Textoindependiente"/>
              <w:jc w:val="center"/>
              <w:rPr>
                <w:sz w:val="22"/>
                <w:szCs w:val="22"/>
                <w:lang w:eastAsia="en-US"/>
              </w:rPr>
            </w:pPr>
            <w:r w:rsidRPr="009346FA">
              <w:rPr>
                <w:sz w:val="22"/>
                <w:szCs w:val="22"/>
                <w:lang w:eastAsia="en-US"/>
              </w:rPr>
              <w:t>M2</w:t>
            </w:r>
            <w:r w:rsidR="00DC0B22" w:rsidRPr="009346FA">
              <w:rPr>
                <w:sz w:val="22"/>
                <w:szCs w:val="22"/>
                <w:lang w:eastAsia="en-US"/>
              </w:rPr>
              <w:t>*</w:t>
            </w:r>
          </w:p>
        </w:tc>
        <w:tc>
          <w:tcPr>
            <w:tcW w:w="1069" w:type="dxa"/>
            <w:tcBorders>
              <w:top w:val="single" w:sz="4" w:space="0" w:color="auto"/>
            </w:tcBorders>
          </w:tcPr>
          <w:p w:rsidR="00E01639" w:rsidRPr="009346FA" w:rsidRDefault="00E01639" w:rsidP="00DC0B22">
            <w:pPr>
              <w:pStyle w:val="Textoindependiente"/>
              <w:ind w:right="107"/>
              <w:jc w:val="center"/>
              <w:rPr>
                <w:sz w:val="22"/>
                <w:szCs w:val="22"/>
                <w:lang w:eastAsia="en-US"/>
              </w:rPr>
            </w:pPr>
            <w:r w:rsidRPr="009346FA">
              <w:rPr>
                <w:sz w:val="22"/>
                <w:szCs w:val="22"/>
                <w:lang w:eastAsia="en-US"/>
              </w:rPr>
              <w:t>Average</w:t>
            </w:r>
          </w:p>
        </w:tc>
        <w:tc>
          <w:tcPr>
            <w:tcW w:w="641" w:type="dxa"/>
            <w:tcBorders>
              <w:top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1.06</w:t>
            </w:r>
          </w:p>
        </w:tc>
        <w:tc>
          <w:tcPr>
            <w:tcW w:w="1297" w:type="dxa"/>
            <w:tcBorders>
              <w:top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1.10</w:t>
            </w:r>
          </w:p>
        </w:tc>
        <w:tc>
          <w:tcPr>
            <w:tcW w:w="1339" w:type="dxa"/>
            <w:tcBorders>
              <w:top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1.12</w:t>
            </w:r>
          </w:p>
        </w:tc>
        <w:tc>
          <w:tcPr>
            <w:tcW w:w="1302" w:type="dxa"/>
            <w:tcBorders>
              <w:top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1.15</w:t>
            </w:r>
          </w:p>
        </w:tc>
        <w:tc>
          <w:tcPr>
            <w:tcW w:w="1291" w:type="dxa"/>
            <w:tcBorders>
              <w:top w:val="single" w:sz="4" w:space="0" w:color="auto"/>
            </w:tcBorders>
          </w:tcPr>
          <w:p w:rsidR="00E01639" w:rsidRPr="009346FA" w:rsidRDefault="00DC0B22" w:rsidP="00B35D88">
            <w:pPr>
              <w:pStyle w:val="Textoindependiente"/>
              <w:ind w:right="108"/>
              <w:jc w:val="center"/>
              <w:rPr>
                <w:sz w:val="22"/>
                <w:szCs w:val="22"/>
                <w:lang w:eastAsia="en-US"/>
              </w:rPr>
            </w:pPr>
            <w:r w:rsidRPr="009346FA">
              <w:rPr>
                <w:sz w:val="22"/>
                <w:szCs w:val="22"/>
                <w:lang w:eastAsia="en-US"/>
              </w:rPr>
              <w:t>-</w:t>
            </w:r>
          </w:p>
        </w:tc>
      </w:tr>
      <w:tr w:rsidR="00E01639" w:rsidRPr="009346FA" w:rsidTr="00BE7E3F">
        <w:trPr>
          <w:jc w:val="center"/>
        </w:trPr>
        <w:tc>
          <w:tcPr>
            <w:tcW w:w="683" w:type="dxa"/>
            <w:vMerge/>
            <w:tcBorders>
              <w:bottom w:val="single" w:sz="4" w:space="0" w:color="auto"/>
            </w:tcBorders>
            <w:vAlign w:val="center"/>
          </w:tcPr>
          <w:p w:rsidR="00E01639" w:rsidRPr="009346FA" w:rsidRDefault="00E01639" w:rsidP="00B35D88">
            <w:pPr>
              <w:pStyle w:val="Textoindependiente"/>
              <w:jc w:val="center"/>
              <w:rPr>
                <w:sz w:val="22"/>
                <w:szCs w:val="22"/>
                <w:lang w:eastAsia="en-US"/>
              </w:rPr>
            </w:pPr>
          </w:p>
        </w:tc>
        <w:tc>
          <w:tcPr>
            <w:tcW w:w="1069" w:type="dxa"/>
            <w:tcBorders>
              <w:bottom w:val="single" w:sz="4" w:space="0" w:color="auto"/>
            </w:tcBorders>
          </w:tcPr>
          <w:p w:rsidR="00E01639" w:rsidRPr="009346FA" w:rsidRDefault="00E01639" w:rsidP="00B35D88">
            <w:pPr>
              <w:pStyle w:val="Textoindependiente"/>
              <w:ind w:right="107"/>
              <w:jc w:val="center"/>
              <w:rPr>
                <w:sz w:val="22"/>
                <w:szCs w:val="22"/>
                <w:lang w:eastAsia="en-US"/>
              </w:rPr>
            </w:pPr>
            <w:r w:rsidRPr="009346FA">
              <w:rPr>
                <w:sz w:val="22"/>
                <w:szCs w:val="22"/>
                <w:lang w:eastAsia="en-US"/>
              </w:rPr>
              <w:t>SD</w:t>
            </w:r>
          </w:p>
        </w:tc>
        <w:tc>
          <w:tcPr>
            <w:tcW w:w="641" w:type="dxa"/>
            <w:tcBorders>
              <w:bottom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0.07</w:t>
            </w:r>
          </w:p>
        </w:tc>
        <w:tc>
          <w:tcPr>
            <w:tcW w:w="1297" w:type="dxa"/>
            <w:tcBorders>
              <w:bottom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0.09</w:t>
            </w:r>
          </w:p>
        </w:tc>
        <w:tc>
          <w:tcPr>
            <w:tcW w:w="1339" w:type="dxa"/>
            <w:tcBorders>
              <w:bottom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0.35</w:t>
            </w:r>
          </w:p>
        </w:tc>
        <w:tc>
          <w:tcPr>
            <w:tcW w:w="1302" w:type="dxa"/>
            <w:tcBorders>
              <w:bottom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0.29</w:t>
            </w:r>
          </w:p>
        </w:tc>
        <w:tc>
          <w:tcPr>
            <w:tcW w:w="1291" w:type="dxa"/>
            <w:tcBorders>
              <w:bottom w:val="single" w:sz="4" w:space="0" w:color="auto"/>
            </w:tcBorders>
          </w:tcPr>
          <w:p w:rsidR="00E01639" w:rsidRPr="009346FA" w:rsidRDefault="00DC0B22" w:rsidP="00B35D88">
            <w:pPr>
              <w:pStyle w:val="Textoindependiente"/>
              <w:ind w:right="108"/>
              <w:jc w:val="center"/>
              <w:rPr>
                <w:sz w:val="22"/>
                <w:szCs w:val="22"/>
                <w:lang w:eastAsia="en-US"/>
              </w:rPr>
            </w:pPr>
            <w:r w:rsidRPr="009346FA">
              <w:rPr>
                <w:sz w:val="22"/>
                <w:szCs w:val="22"/>
                <w:lang w:eastAsia="en-US"/>
              </w:rPr>
              <w:t>-</w:t>
            </w:r>
          </w:p>
        </w:tc>
      </w:tr>
    </w:tbl>
    <w:p w:rsidR="00E76AF6" w:rsidRPr="009346FA" w:rsidRDefault="00BE7E3F" w:rsidP="00E76AF6">
      <w:pPr>
        <w:pStyle w:val="NormalWCCM"/>
        <w:ind w:left="720" w:firstLine="0"/>
        <w:jc w:val="left"/>
        <w:rPr>
          <w:sz w:val="18"/>
          <w:szCs w:val="22"/>
          <w:lang w:val="en-GB"/>
        </w:rPr>
      </w:pPr>
      <w:r w:rsidRPr="009346FA">
        <w:rPr>
          <w:sz w:val="18"/>
          <w:szCs w:val="22"/>
          <w:lang w:val="en-GB"/>
        </w:rPr>
        <w:t xml:space="preserve">*Final unstable crack growth invalidate </w:t>
      </w:r>
      <w:proofErr w:type="spellStart"/>
      <w:r w:rsidRPr="009346FA">
        <w:rPr>
          <w:i/>
          <w:sz w:val="18"/>
          <w:szCs w:val="22"/>
          <w:lang w:val="en-GB" w:eastAsia="en-US"/>
        </w:rPr>
        <w:t>G</w:t>
      </w:r>
      <w:r w:rsidRPr="009346FA">
        <w:rPr>
          <w:i/>
          <w:sz w:val="18"/>
          <w:szCs w:val="22"/>
          <w:vertAlign w:val="subscript"/>
          <w:lang w:val="en-GB" w:eastAsia="en-US"/>
        </w:rPr>
        <w:t>IIc</w:t>
      </w:r>
      <w:proofErr w:type="spellEnd"/>
      <w:r w:rsidR="00E76AF6" w:rsidRPr="009346FA">
        <w:rPr>
          <w:i/>
          <w:sz w:val="18"/>
          <w:szCs w:val="22"/>
          <w:vertAlign w:val="subscript"/>
          <w:lang w:val="en-GB" w:eastAsia="en-US"/>
        </w:rPr>
        <w:t xml:space="preserve"> </w:t>
      </w:r>
      <w:r w:rsidRPr="009346FA">
        <w:rPr>
          <w:sz w:val="18"/>
          <w:szCs w:val="22"/>
          <w:lang w:val="en-GB" w:eastAsia="en-US"/>
        </w:rPr>
        <w:t xml:space="preserve">(AREA) </w:t>
      </w:r>
      <w:r w:rsidRPr="009346FA">
        <w:rPr>
          <w:sz w:val="18"/>
          <w:szCs w:val="22"/>
          <w:lang w:val="en-GB"/>
        </w:rPr>
        <w:t>data reduction method.</w:t>
      </w:r>
    </w:p>
    <w:bookmarkEnd w:id="13"/>
    <w:bookmarkEnd w:id="14"/>
    <w:p w:rsidR="00E76AF6" w:rsidRPr="009346FA" w:rsidRDefault="00E76AF6" w:rsidP="00E01639">
      <w:pPr>
        <w:pStyle w:val="Textoindependiente"/>
        <w:ind w:right="107"/>
        <w:jc w:val="center"/>
        <w:rPr>
          <w:b/>
          <w:sz w:val="22"/>
          <w:szCs w:val="22"/>
        </w:rPr>
      </w:pPr>
    </w:p>
    <w:p w:rsidR="003E5F11" w:rsidRPr="009346FA" w:rsidRDefault="003E5F11">
      <w:pPr>
        <w:rPr>
          <w:b/>
          <w:sz w:val="22"/>
          <w:szCs w:val="22"/>
          <w:lang w:val="en-GB" w:eastAsia="x-none"/>
        </w:rPr>
      </w:pPr>
      <w:r w:rsidRPr="009346FA">
        <w:rPr>
          <w:b/>
          <w:sz w:val="22"/>
          <w:szCs w:val="22"/>
          <w:lang w:val="en-GB"/>
        </w:rPr>
        <w:br w:type="page"/>
      </w:r>
    </w:p>
    <w:p w:rsidR="00E01639" w:rsidRPr="009346FA" w:rsidRDefault="00E01639" w:rsidP="00E01639">
      <w:pPr>
        <w:pStyle w:val="Textoindependiente"/>
        <w:ind w:right="107"/>
        <w:jc w:val="center"/>
        <w:rPr>
          <w:i/>
          <w:sz w:val="20"/>
          <w:szCs w:val="22"/>
          <w:lang w:eastAsia="en-US"/>
        </w:rPr>
      </w:pPr>
      <w:r w:rsidRPr="009346FA">
        <w:rPr>
          <w:b/>
          <w:sz w:val="22"/>
          <w:szCs w:val="22"/>
        </w:rPr>
        <w:lastRenderedPageBreak/>
        <w:t xml:space="preserve">Table </w:t>
      </w:r>
      <w:r w:rsidR="00BE7E3F" w:rsidRPr="009346FA">
        <w:rPr>
          <w:b/>
          <w:sz w:val="22"/>
          <w:szCs w:val="22"/>
        </w:rPr>
        <w:t>2</w:t>
      </w:r>
      <w:r w:rsidRPr="009346FA">
        <w:rPr>
          <w:b/>
          <w:sz w:val="22"/>
          <w:szCs w:val="22"/>
        </w:rPr>
        <w:t>.</w:t>
      </w:r>
      <w:r w:rsidRPr="009346FA">
        <w:rPr>
          <w:sz w:val="22"/>
          <w:szCs w:val="22"/>
        </w:rPr>
        <w:t xml:space="preserve"> ENF tests summary of results. All values normalized with respect to averaged value of </w:t>
      </w:r>
      <w:proofErr w:type="spellStart"/>
      <w:r w:rsidRPr="009346FA">
        <w:rPr>
          <w:i/>
          <w:sz w:val="20"/>
          <w:szCs w:val="22"/>
          <w:lang w:eastAsia="en-US"/>
        </w:rPr>
        <w:t>J</w:t>
      </w:r>
      <w:r w:rsidRPr="009346FA">
        <w:rPr>
          <w:i/>
          <w:sz w:val="20"/>
          <w:szCs w:val="22"/>
          <w:vertAlign w:val="subscript"/>
          <w:lang w:eastAsia="en-US"/>
        </w:rPr>
        <w:t>IIc</w:t>
      </w:r>
      <w:proofErr w:type="spellEnd"/>
    </w:p>
    <w:p w:rsidR="00E01639" w:rsidRPr="009346FA" w:rsidRDefault="00E01639" w:rsidP="00E76AF6">
      <w:pPr>
        <w:jc w:val="center"/>
        <w:rPr>
          <w:sz w:val="22"/>
          <w:szCs w:val="22"/>
          <w:lang w:val="en-GB"/>
        </w:rPr>
      </w:pPr>
      <w:proofErr w:type="gramStart"/>
      <w:r w:rsidRPr="009346FA">
        <w:rPr>
          <w:sz w:val="22"/>
          <w:szCs w:val="22"/>
          <w:lang w:val="en-GB"/>
        </w:rPr>
        <w:t>from</w:t>
      </w:r>
      <w:proofErr w:type="gramEnd"/>
      <w:r w:rsidRPr="009346FA">
        <w:rPr>
          <w:sz w:val="22"/>
          <w:szCs w:val="22"/>
          <w:lang w:val="en-GB"/>
        </w:rPr>
        <w:t xml:space="preserve"> the M1 ELS batch.</w:t>
      </w:r>
    </w:p>
    <w:tbl>
      <w:tblPr>
        <w:tblW w:w="0" w:type="auto"/>
        <w:jc w:val="center"/>
        <w:tblLook w:val="01E0" w:firstRow="1" w:lastRow="1" w:firstColumn="1" w:lastColumn="1" w:noHBand="0" w:noVBand="0"/>
      </w:tblPr>
      <w:tblGrid>
        <w:gridCol w:w="683"/>
        <w:gridCol w:w="1069"/>
        <w:gridCol w:w="709"/>
        <w:gridCol w:w="1108"/>
        <w:gridCol w:w="93"/>
        <w:gridCol w:w="909"/>
        <w:gridCol w:w="93"/>
        <w:gridCol w:w="1042"/>
        <w:gridCol w:w="93"/>
        <w:gridCol w:w="1198"/>
        <w:gridCol w:w="93"/>
      </w:tblGrid>
      <w:tr w:rsidR="00E01639" w:rsidRPr="009346FA" w:rsidTr="00E01639">
        <w:trPr>
          <w:jc w:val="center"/>
        </w:trPr>
        <w:tc>
          <w:tcPr>
            <w:tcW w:w="683" w:type="dxa"/>
            <w:tcBorders>
              <w:top w:val="single" w:sz="8" w:space="0" w:color="auto"/>
              <w:bottom w:val="single" w:sz="4" w:space="0" w:color="auto"/>
            </w:tcBorders>
            <w:vAlign w:val="center"/>
          </w:tcPr>
          <w:p w:rsidR="00E01639" w:rsidRPr="009346FA" w:rsidRDefault="00E01639" w:rsidP="00B35D88">
            <w:pPr>
              <w:pStyle w:val="Textoindependiente"/>
              <w:jc w:val="center"/>
              <w:rPr>
                <w:sz w:val="20"/>
                <w:szCs w:val="22"/>
                <w:lang w:eastAsia="en-US"/>
              </w:rPr>
            </w:pPr>
            <w:bookmarkStart w:id="27" w:name="_Hlk512525420"/>
            <w:r w:rsidRPr="009346FA">
              <w:rPr>
                <w:sz w:val="20"/>
                <w:szCs w:val="22"/>
                <w:lang w:eastAsia="en-US"/>
              </w:rPr>
              <w:t>Batch</w:t>
            </w:r>
          </w:p>
        </w:tc>
        <w:tc>
          <w:tcPr>
            <w:tcW w:w="1069" w:type="dxa"/>
            <w:tcBorders>
              <w:top w:val="single" w:sz="8" w:space="0" w:color="auto"/>
              <w:bottom w:val="single" w:sz="4" w:space="0" w:color="auto"/>
            </w:tcBorders>
            <w:vAlign w:val="center"/>
          </w:tcPr>
          <w:p w:rsidR="00E01639" w:rsidRPr="009346FA" w:rsidRDefault="00E01639" w:rsidP="00B35D88">
            <w:pPr>
              <w:pStyle w:val="Textoindependiente"/>
              <w:ind w:right="107"/>
              <w:jc w:val="center"/>
              <w:rPr>
                <w:i/>
                <w:sz w:val="20"/>
                <w:szCs w:val="22"/>
                <w:lang w:eastAsia="en-US"/>
              </w:rPr>
            </w:pPr>
          </w:p>
        </w:tc>
        <w:tc>
          <w:tcPr>
            <w:tcW w:w="557" w:type="dxa"/>
            <w:tcBorders>
              <w:top w:val="single" w:sz="8" w:space="0" w:color="auto"/>
              <w:bottom w:val="single" w:sz="4" w:space="0" w:color="auto"/>
            </w:tcBorders>
            <w:vAlign w:val="center"/>
          </w:tcPr>
          <w:p w:rsidR="00E01639" w:rsidRPr="009346FA" w:rsidRDefault="00E01639" w:rsidP="00B35D88">
            <w:pPr>
              <w:pStyle w:val="Textoindependiente"/>
              <w:ind w:right="107"/>
              <w:jc w:val="center"/>
              <w:rPr>
                <w:i/>
                <w:sz w:val="20"/>
                <w:szCs w:val="22"/>
                <w:lang w:eastAsia="en-US"/>
              </w:rPr>
            </w:pPr>
            <w:proofErr w:type="spellStart"/>
            <w:r w:rsidRPr="009346FA">
              <w:rPr>
                <w:i/>
                <w:sz w:val="20"/>
                <w:szCs w:val="22"/>
                <w:lang w:eastAsia="en-US"/>
              </w:rPr>
              <w:t>J</w:t>
            </w:r>
            <w:r w:rsidRPr="009346FA">
              <w:rPr>
                <w:i/>
                <w:sz w:val="20"/>
                <w:szCs w:val="22"/>
                <w:vertAlign w:val="subscript"/>
                <w:lang w:eastAsia="en-US"/>
              </w:rPr>
              <w:t>IIc</w:t>
            </w:r>
            <w:proofErr w:type="spellEnd"/>
          </w:p>
        </w:tc>
        <w:tc>
          <w:tcPr>
            <w:tcW w:w="1201" w:type="dxa"/>
            <w:gridSpan w:val="2"/>
            <w:tcBorders>
              <w:top w:val="single" w:sz="8" w:space="0" w:color="auto"/>
              <w:bottom w:val="single" w:sz="4" w:space="0" w:color="auto"/>
            </w:tcBorders>
            <w:vAlign w:val="center"/>
          </w:tcPr>
          <w:p w:rsidR="00E01639" w:rsidRPr="009346FA" w:rsidRDefault="00E01639" w:rsidP="00B35D88">
            <w:pPr>
              <w:pStyle w:val="Textoindependiente"/>
              <w:ind w:right="107"/>
              <w:jc w:val="center"/>
              <w:rPr>
                <w:sz w:val="20"/>
                <w:szCs w:val="22"/>
                <w:lang w:eastAsia="en-US"/>
              </w:rPr>
            </w:pPr>
            <w:proofErr w:type="spellStart"/>
            <w:r w:rsidRPr="009346FA">
              <w:rPr>
                <w:i/>
                <w:sz w:val="20"/>
                <w:szCs w:val="22"/>
                <w:lang w:eastAsia="en-US"/>
              </w:rPr>
              <w:t>G</w:t>
            </w:r>
            <w:r w:rsidRPr="009346FA">
              <w:rPr>
                <w:i/>
                <w:sz w:val="20"/>
                <w:szCs w:val="22"/>
                <w:vertAlign w:val="subscript"/>
                <w:lang w:eastAsia="en-US"/>
              </w:rPr>
              <w:t>IIc</w:t>
            </w:r>
            <w:proofErr w:type="spellEnd"/>
            <w:r w:rsidRPr="009346FA">
              <w:rPr>
                <w:sz w:val="20"/>
                <w:szCs w:val="22"/>
                <w:lang w:eastAsia="en-US"/>
              </w:rPr>
              <w:t>(CCM)</w:t>
            </w:r>
          </w:p>
        </w:tc>
        <w:tc>
          <w:tcPr>
            <w:tcW w:w="1002" w:type="dxa"/>
            <w:gridSpan w:val="2"/>
            <w:tcBorders>
              <w:top w:val="single" w:sz="8" w:space="0" w:color="auto"/>
              <w:bottom w:val="single" w:sz="4" w:space="0" w:color="auto"/>
            </w:tcBorders>
          </w:tcPr>
          <w:p w:rsidR="00E01639" w:rsidRPr="009346FA" w:rsidRDefault="00E01639" w:rsidP="00B35D88">
            <w:pPr>
              <w:pStyle w:val="Textoindependiente"/>
              <w:ind w:right="108"/>
              <w:jc w:val="center"/>
              <w:rPr>
                <w:i/>
                <w:sz w:val="20"/>
                <w:szCs w:val="22"/>
                <w:lang w:eastAsia="en-US"/>
              </w:rPr>
            </w:pPr>
            <w:proofErr w:type="spellStart"/>
            <w:r w:rsidRPr="009346FA">
              <w:rPr>
                <w:i/>
                <w:sz w:val="20"/>
                <w:szCs w:val="22"/>
                <w:lang w:eastAsia="en-US"/>
              </w:rPr>
              <w:t>G</w:t>
            </w:r>
            <w:r w:rsidRPr="009346FA">
              <w:rPr>
                <w:i/>
                <w:sz w:val="20"/>
                <w:szCs w:val="22"/>
                <w:vertAlign w:val="subscript"/>
                <w:lang w:eastAsia="en-US"/>
              </w:rPr>
              <w:t>IIc</w:t>
            </w:r>
            <w:proofErr w:type="spellEnd"/>
            <w:r w:rsidRPr="009346FA">
              <w:rPr>
                <w:sz w:val="20"/>
                <w:szCs w:val="22"/>
                <w:lang w:eastAsia="en-US"/>
              </w:rPr>
              <w:t>(BT)</w:t>
            </w:r>
          </w:p>
        </w:tc>
        <w:tc>
          <w:tcPr>
            <w:tcW w:w="1135" w:type="dxa"/>
            <w:gridSpan w:val="2"/>
            <w:tcBorders>
              <w:top w:val="single" w:sz="8" w:space="0" w:color="auto"/>
              <w:bottom w:val="single" w:sz="4" w:space="0" w:color="auto"/>
            </w:tcBorders>
          </w:tcPr>
          <w:p w:rsidR="00E01639" w:rsidRPr="009346FA" w:rsidRDefault="00E01639" w:rsidP="00B35D88">
            <w:pPr>
              <w:pStyle w:val="Textoindependiente"/>
              <w:ind w:right="108"/>
              <w:jc w:val="center"/>
              <w:rPr>
                <w:i/>
                <w:sz w:val="20"/>
                <w:szCs w:val="22"/>
                <w:lang w:eastAsia="en-US"/>
              </w:rPr>
            </w:pPr>
            <w:proofErr w:type="spellStart"/>
            <w:r w:rsidRPr="009346FA">
              <w:rPr>
                <w:i/>
                <w:sz w:val="20"/>
                <w:szCs w:val="22"/>
                <w:lang w:eastAsia="en-US"/>
              </w:rPr>
              <w:t>G</w:t>
            </w:r>
            <w:r w:rsidRPr="009346FA">
              <w:rPr>
                <w:i/>
                <w:sz w:val="20"/>
                <w:szCs w:val="22"/>
                <w:vertAlign w:val="subscript"/>
                <w:lang w:eastAsia="en-US"/>
              </w:rPr>
              <w:t>IIc</w:t>
            </w:r>
            <w:proofErr w:type="spellEnd"/>
            <w:r w:rsidRPr="009346FA">
              <w:rPr>
                <w:sz w:val="20"/>
                <w:szCs w:val="22"/>
                <w:lang w:eastAsia="en-US"/>
              </w:rPr>
              <w:t>(CBT)</w:t>
            </w:r>
          </w:p>
        </w:tc>
        <w:tc>
          <w:tcPr>
            <w:tcW w:w="1291" w:type="dxa"/>
            <w:gridSpan w:val="2"/>
            <w:tcBorders>
              <w:top w:val="single" w:sz="8" w:space="0" w:color="auto"/>
              <w:bottom w:val="single" w:sz="4" w:space="0" w:color="auto"/>
            </w:tcBorders>
          </w:tcPr>
          <w:p w:rsidR="00E01639" w:rsidRPr="009346FA" w:rsidRDefault="00E01639" w:rsidP="00B35D88">
            <w:pPr>
              <w:pStyle w:val="Textoindependiente"/>
              <w:ind w:right="108"/>
              <w:jc w:val="center"/>
              <w:rPr>
                <w:sz w:val="20"/>
                <w:szCs w:val="22"/>
                <w:lang w:eastAsia="en-US"/>
              </w:rPr>
            </w:pPr>
            <w:proofErr w:type="spellStart"/>
            <w:r w:rsidRPr="009346FA">
              <w:rPr>
                <w:i/>
                <w:sz w:val="20"/>
                <w:szCs w:val="22"/>
                <w:lang w:eastAsia="en-US"/>
              </w:rPr>
              <w:t>G</w:t>
            </w:r>
            <w:r w:rsidRPr="009346FA">
              <w:rPr>
                <w:i/>
                <w:sz w:val="20"/>
                <w:szCs w:val="22"/>
                <w:vertAlign w:val="subscript"/>
                <w:lang w:eastAsia="en-US"/>
              </w:rPr>
              <w:t>IIc</w:t>
            </w:r>
            <w:proofErr w:type="spellEnd"/>
            <w:r w:rsidRPr="009346FA">
              <w:rPr>
                <w:sz w:val="20"/>
                <w:szCs w:val="22"/>
                <w:lang w:eastAsia="en-US"/>
              </w:rPr>
              <w:t>(AREA)</w:t>
            </w:r>
          </w:p>
        </w:tc>
      </w:tr>
      <w:bookmarkEnd w:id="27"/>
      <w:tr w:rsidR="00E01639" w:rsidRPr="009346FA" w:rsidTr="00E01639">
        <w:trPr>
          <w:gridAfter w:val="1"/>
          <w:wAfter w:w="93" w:type="dxa"/>
          <w:jc w:val="center"/>
        </w:trPr>
        <w:tc>
          <w:tcPr>
            <w:tcW w:w="683" w:type="dxa"/>
            <w:vMerge w:val="restart"/>
            <w:tcBorders>
              <w:top w:val="single" w:sz="4" w:space="0" w:color="auto"/>
            </w:tcBorders>
            <w:vAlign w:val="center"/>
          </w:tcPr>
          <w:p w:rsidR="00E01639" w:rsidRPr="009346FA" w:rsidRDefault="00E01639" w:rsidP="00B35D88">
            <w:pPr>
              <w:pStyle w:val="Textoindependiente"/>
              <w:jc w:val="center"/>
              <w:rPr>
                <w:sz w:val="22"/>
                <w:szCs w:val="22"/>
                <w:lang w:eastAsia="en-US"/>
              </w:rPr>
            </w:pPr>
            <w:r w:rsidRPr="009346FA">
              <w:rPr>
                <w:sz w:val="22"/>
                <w:szCs w:val="22"/>
                <w:lang w:eastAsia="en-US"/>
              </w:rPr>
              <w:t>M1</w:t>
            </w:r>
          </w:p>
        </w:tc>
        <w:tc>
          <w:tcPr>
            <w:tcW w:w="1069" w:type="dxa"/>
            <w:tcBorders>
              <w:top w:val="single" w:sz="4" w:space="0" w:color="auto"/>
            </w:tcBorders>
          </w:tcPr>
          <w:p w:rsidR="00E01639" w:rsidRPr="009346FA" w:rsidRDefault="00E01639" w:rsidP="00B35D88">
            <w:pPr>
              <w:pStyle w:val="Textoindependiente"/>
              <w:ind w:right="107"/>
              <w:jc w:val="center"/>
              <w:rPr>
                <w:sz w:val="22"/>
                <w:szCs w:val="22"/>
                <w:lang w:eastAsia="en-US"/>
              </w:rPr>
            </w:pPr>
            <w:r w:rsidRPr="009346FA">
              <w:rPr>
                <w:sz w:val="22"/>
                <w:szCs w:val="22"/>
                <w:lang w:eastAsia="en-US"/>
              </w:rPr>
              <w:t>Average</w:t>
            </w:r>
          </w:p>
        </w:tc>
        <w:tc>
          <w:tcPr>
            <w:tcW w:w="557" w:type="dxa"/>
            <w:tcBorders>
              <w:top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0.99</w:t>
            </w:r>
          </w:p>
        </w:tc>
        <w:tc>
          <w:tcPr>
            <w:tcW w:w="1108" w:type="dxa"/>
            <w:tcBorders>
              <w:top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1.00</w:t>
            </w:r>
          </w:p>
        </w:tc>
        <w:tc>
          <w:tcPr>
            <w:tcW w:w="1002" w:type="dxa"/>
            <w:gridSpan w:val="2"/>
            <w:tcBorders>
              <w:top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1.23</w:t>
            </w:r>
          </w:p>
        </w:tc>
        <w:tc>
          <w:tcPr>
            <w:tcW w:w="1135" w:type="dxa"/>
            <w:gridSpan w:val="2"/>
            <w:tcBorders>
              <w:top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0.87</w:t>
            </w:r>
          </w:p>
        </w:tc>
        <w:tc>
          <w:tcPr>
            <w:tcW w:w="1291" w:type="dxa"/>
            <w:gridSpan w:val="2"/>
            <w:tcBorders>
              <w:top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1.02</w:t>
            </w:r>
          </w:p>
        </w:tc>
      </w:tr>
      <w:tr w:rsidR="00E01639" w:rsidRPr="009346FA" w:rsidTr="00E01639">
        <w:trPr>
          <w:gridAfter w:val="1"/>
          <w:wAfter w:w="93" w:type="dxa"/>
          <w:jc w:val="center"/>
        </w:trPr>
        <w:tc>
          <w:tcPr>
            <w:tcW w:w="683" w:type="dxa"/>
            <w:vMerge/>
            <w:tcBorders>
              <w:bottom w:val="single" w:sz="4" w:space="0" w:color="auto"/>
            </w:tcBorders>
          </w:tcPr>
          <w:p w:rsidR="00E01639" w:rsidRPr="009346FA" w:rsidRDefault="00E01639" w:rsidP="00B35D88">
            <w:pPr>
              <w:pStyle w:val="Textoindependiente"/>
              <w:jc w:val="center"/>
              <w:rPr>
                <w:sz w:val="22"/>
                <w:szCs w:val="22"/>
                <w:lang w:eastAsia="en-US"/>
              </w:rPr>
            </w:pPr>
          </w:p>
        </w:tc>
        <w:tc>
          <w:tcPr>
            <w:tcW w:w="1069" w:type="dxa"/>
            <w:tcBorders>
              <w:bottom w:val="single" w:sz="4" w:space="0" w:color="auto"/>
            </w:tcBorders>
          </w:tcPr>
          <w:p w:rsidR="00E01639" w:rsidRPr="009346FA" w:rsidRDefault="00E01639" w:rsidP="00B35D88">
            <w:pPr>
              <w:pStyle w:val="Textoindependiente"/>
              <w:ind w:right="107"/>
              <w:jc w:val="center"/>
              <w:rPr>
                <w:sz w:val="22"/>
                <w:szCs w:val="22"/>
                <w:lang w:eastAsia="en-US"/>
              </w:rPr>
            </w:pPr>
            <w:r w:rsidRPr="009346FA">
              <w:rPr>
                <w:sz w:val="22"/>
                <w:szCs w:val="22"/>
                <w:lang w:eastAsia="en-US"/>
              </w:rPr>
              <w:t>SD</w:t>
            </w:r>
          </w:p>
        </w:tc>
        <w:tc>
          <w:tcPr>
            <w:tcW w:w="557" w:type="dxa"/>
            <w:tcBorders>
              <w:bottom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0.17</w:t>
            </w:r>
          </w:p>
        </w:tc>
        <w:tc>
          <w:tcPr>
            <w:tcW w:w="1108" w:type="dxa"/>
            <w:tcBorders>
              <w:bottom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0.15</w:t>
            </w:r>
          </w:p>
        </w:tc>
        <w:tc>
          <w:tcPr>
            <w:tcW w:w="1002" w:type="dxa"/>
            <w:gridSpan w:val="2"/>
            <w:tcBorders>
              <w:bottom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0.21</w:t>
            </w:r>
          </w:p>
        </w:tc>
        <w:tc>
          <w:tcPr>
            <w:tcW w:w="1135" w:type="dxa"/>
            <w:gridSpan w:val="2"/>
            <w:tcBorders>
              <w:bottom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0.18</w:t>
            </w:r>
          </w:p>
        </w:tc>
        <w:tc>
          <w:tcPr>
            <w:tcW w:w="1291" w:type="dxa"/>
            <w:gridSpan w:val="2"/>
            <w:tcBorders>
              <w:bottom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0.11</w:t>
            </w:r>
          </w:p>
        </w:tc>
      </w:tr>
      <w:tr w:rsidR="00E01639" w:rsidRPr="009346FA" w:rsidTr="00E01639">
        <w:trPr>
          <w:gridAfter w:val="1"/>
          <w:wAfter w:w="93" w:type="dxa"/>
          <w:jc w:val="center"/>
        </w:trPr>
        <w:tc>
          <w:tcPr>
            <w:tcW w:w="683" w:type="dxa"/>
            <w:vMerge w:val="restart"/>
            <w:tcBorders>
              <w:top w:val="single" w:sz="4" w:space="0" w:color="auto"/>
            </w:tcBorders>
            <w:vAlign w:val="center"/>
          </w:tcPr>
          <w:p w:rsidR="00E01639" w:rsidRPr="009346FA" w:rsidRDefault="00E01639" w:rsidP="00B35D88">
            <w:pPr>
              <w:pStyle w:val="Textoindependiente"/>
              <w:jc w:val="center"/>
              <w:rPr>
                <w:sz w:val="22"/>
                <w:szCs w:val="22"/>
                <w:lang w:eastAsia="en-US"/>
              </w:rPr>
            </w:pPr>
            <w:r w:rsidRPr="009346FA">
              <w:rPr>
                <w:sz w:val="22"/>
                <w:szCs w:val="22"/>
                <w:lang w:eastAsia="en-US"/>
              </w:rPr>
              <w:t>M2</w:t>
            </w:r>
          </w:p>
        </w:tc>
        <w:tc>
          <w:tcPr>
            <w:tcW w:w="1069" w:type="dxa"/>
            <w:tcBorders>
              <w:top w:val="single" w:sz="4" w:space="0" w:color="auto"/>
            </w:tcBorders>
          </w:tcPr>
          <w:p w:rsidR="00E01639" w:rsidRPr="009346FA" w:rsidRDefault="00E01639" w:rsidP="00B35D88">
            <w:pPr>
              <w:pStyle w:val="Textoindependiente"/>
              <w:ind w:right="107"/>
              <w:jc w:val="center"/>
              <w:rPr>
                <w:sz w:val="22"/>
                <w:szCs w:val="22"/>
                <w:lang w:eastAsia="en-US"/>
              </w:rPr>
            </w:pPr>
            <w:r w:rsidRPr="009346FA">
              <w:rPr>
                <w:sz w:val="22"/>
                <w:szCs w:val="22"/>
                <w:lang w:eastAsia="en-US"/>
              </w:rPr>
              <w:t>Average</w:t>
            </w:r>
          </w:p>
        </w:tc>
        <w:tc>
          <w:tcPr>
            <w:tcW w:w="557" w:type="dxa"/>
            <w:tcBorders>
              <w:top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0.98</w:t>
            </w:r>
          </w:p>
        </w:tc>
        <w:tc>
          <w:tcPr>
            <w:tcW w:w="1108" w:type="dxa"/>
            <w:tcBorders>
              <w:top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1.01</w:t>
            </w:r>
          </w:p>
        </w:tc>
        <w:tc>
          <w:tcPr>
            <w:tcW w:w="1002" w:type="dxa"/>
            <w:gridSpan w:val="2"/>
            <w:tcBorders>
              <w:top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1.41</w:t>
            </w:r>
          </w:p>
        </w:tc>
        <w:tc>
          <w:tcPr>
            <w:tcW w:w="1135" w:type="dxa"/>
            <w:gridSpan w:val="2"/>
            <w:tcBorders>
              <w:top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1.04</w:t>
            </w:r>
          </w:p>
        </w:tc>
        <w:tc>
          <w:tcPr>
            <w:tcW w:w="1291" w:type="dxa"/>
            <w:gridSpan w:val="2"/>
            <w:tcBorders>
              <w:top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0.98</w:t>
            </w:r>
          </w:p>
        </w:tc>
      </w:tr>
      <w:tr w:rsidR="00E01639" w:rsidRPr="009346FA" w:rsidTr="00E01639">
        <w:trPr>
          <w:gridAfter w:val="1"/>
          <w:wAfter w:w="93" w:type="dxa"/>
          <w:jc w:val="center"/>
        </w:trPr>
        <w:tc>
          <w:tcPr>
            <w:tcW w:w="683" w:type="dxa"/>
            <w:vMerge/>
            <w:tcBorders>
              <w:bottom w:val="single" w:sz="4" w:space="0" w:color="auto"/>
            </w:tcBorders>
            <w:vAlign w:val="center"/>
          </w:tcPr>
          <w:p w:rsidR="00E01639" w:rsidRPr="009346FA" w:rsidRDefault="00E01639" w:rsidP="00B35D88">
            <w:pPr>
              <w:pStyle w:val="Textoindependiente"/>
              <w:jc w:val="center"/>
              <w:rPr>
                <w:sz w:val="22"/>
                <w:szCs w:val="22"/>
                <w:lang w:eastAsia="en-US"/>
              </w:rPr>
            </w:pPr>
          </w:p>
        </w:tc>
        <w:tc>
          <w:tcPr>
            <w:tcW w:w="1069" w:type="dxa"/>
            <w:tcBorders>
              <w:bottom w:val="single" w:sz="4" w:space="0" w:color="auto"/>
            </w:tcBorders>
          </w:tcPr>
          <w:p w:rsidR="00E01639" w:rsidRPr="009346FA" w:rsidRDefault="00E01639" w:rsidP="00B35D88">
            <w:pPr>
              <w:pStyle w:val="Textoindependiente"/>
              <w:ind w:right="107"/>
              <w:jc w:val="center"/>
              <w:rPr>
                <w:sz w:val="22"/>
                <w:szCs w:val="22"/>
                <w:lang w:eastAsia="en-US"/>
              </w:rPr>
            </w:pPr>
            <w:r w:rsidRPr="009346FA">
              <w:rPr>
                <w:sz w:val="22"/>
                <w:szCs w:val="22"/>
                <w:lang w:eastAsia="en-US"/>
              </w:rPr>
              <w:t>SD</w:t>
            </w:r>
          </w:p>
        </w:tc>
        <w:tc>
          <w:tcPr>
            <w:tcW w:w="557" w:type="dxa"/>
            <w:tcBorders>
              <w:bottom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0.22</w:t>
            </w:r>
          </w:p>
        </w:tc>
        <w:tc>
          <w:tcPr>
            <w:tcW w:w="1108" w:type="dxa"/>
            <w:tcBorders>
              <w:bottom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0.18</w:t>
            </w:r>
          </w:p>
        </w:tc>
        <w:tc>
          <w:tcPr>
            <w:tcW w:w="1002" w:type="dxa"/>
            <w:gridSpan w:val="2"/>
            <w:tcBorders>
              <w:bottom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0.31</w:t>
            </w:r>
          </w:p>
        </w:tc>
        <w:tc>
          <w:tcPr>
            <w:tcW w:w="1135" w:type="dxa"/>
            <w:gridSpan w:val="2"/>
            <w:tcBorders>
              <w:bottom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0.16</w:t>
            </w:r>
          </w:p>
        </w:tc>
        <w:tc>
          <w:tcPr>
            <w:tcW w:w="1291" w:type="dxa"/>
            <w:gridSpan w:val="2"/>
            <w:tcBorders>
              <w:bottom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0.28</w:t>
            </w:r>
          </w:p>
        </w:tc>
      </w:tr>
    </w:tbl>
    <w:p w:rsidR="00E01639" w:rsidRPr="009346FA" w:rsidRDefault="00E01639" w:rsidP="00E01639">
      <w:pPr>
        <w:pStyle w:val="NormalWCCM"/>
        <w:ind w:firstLine="0"/>
        <w:rPr>
          <w:sz w:val="22"/>
          <w:szCs w:val="22"/>
          <w:lang w:val="en-GB"/>
        </w:rPr>
      </w:pPr>
    </w:p>
    <w:p w:rsidR="00E01639" w:rsidRPr="009346FA" w:rsidRDefault="00E01639" w:rsidP="00E76AF6">
      <w:pPr>
        <w:jc w:val="center"/>
        <w:rPr>
          <w:sz w:val="22"/>
          <w:szCs w:val="22"/>
          <w:lang w:val="en-GB"/>
        </w:rPr>
      </w:pPr>
      <w:r w:rsidRPr="009346FA">
        <w:rPr>
          <w:b/>
          <w:sz w:val="22"/>
          <w:szCs w:val="22"/>
          <w:lang w:val="en-GB"/>
        </w:rPr>
        <w:t xml:space="preserve">Table </w:t>
      </w:r>
      <w:r w:rsidR="00BE7E3F" w:rsidRPr="009346FA">
        <w:rPr>
          <w:b/>
          <w:sz w:val="22"/>
          <w:szCs w:val="22"/>
          <w:lang w:val="en-GB"/>
        </w:rPr>
        <w:t>3</w:t>
      </w:r>
      <w:r w:rsidRPr="009346FA">
        <w:rPr>
          <w:b/>
          <w:sz w:val="22"/>
          <w:szCs w:val="22"/>
          <w:lang w:val="en-GB"/>
        </w:rPr>
        <w:t>.</w:t>
      </w:r>
      <w:r w:rsidRPr="009346FA">
        <w:rPr>
          <w:sz w:val="22"/>
          <w:szCs w:val="22"/>
          <w:lang w:val="en-GB"/>
        </w:rPr>
        <w:t xml:space="preserve"> 4ENF summary of results. All values normalized with respect to the averaged value of </w:t>
      </w:r>
      <w:proofErr w:type="spellStart"/>
      <w:r w:rsidRPr="009346FA">
        <w:rPr>
          <w:i/>
          <w:sz w:val="20"/>
          <w:szCs w:val="22"/>
          <w:lang w:val="en-GB" w:eastAsia="en-US"/>
        </w:rPr>
        <w:t>J</w:t>
      </w:r>
      <w:r w:rsidRPr="009346FA">
        <w:rPr>
          <w:i/>
          <w:sz w:val="20"/>
          <w:szCs w:val="22"/>
          <w:vertAlign w:val="subscript"/>
          <w:lang w:val="en-GB" w:eastAsia="en-US"/>
        </w:rPr>
        <w:t>IIc</w:t>
      </w:r>
      <w:proofErr w:type="spellEnd"/>
      <w:r w:rsidRPr="009346FA">
        <w:rPr>
          <w:sz w:val="22"/>
          <w:szCs w:val="22"/>
          <w:lang w:val="en-GB"/>
        </w:rPr>
        <w:t xml:space="preserve"> from the M1 ELS batch.</w:t>
      </w:r>
    </w:p>
    <w:tbl>
      <w:tblPr>
        <w:tblW w:w="0" w:type="auto"/>
        <w:jc w:val="center"/>
        <w:tblLook w:val="01E0" w:firstRow="1" w:lastRow="1" w:firstColumn="1" w:lastColumn="1" w:noHBand="0" w:noVBand="0"/>
      </w:tblPr>
      <w:tblGrid>
        <w:gridCol w:w="1085"/>
        <w:gridCol w:w="1069"/>
        <w:gridCol w:w="748"/>
        <w:gridCol w:w="1347"/>
        <w:gridCol w:w="1541"/>
        <w:gridCol w:w="1541"/>
        <w:gridCol w:w="1541"/>
      </w:tblGrid>
      <w:tr w:rsidR="00E01639" w:rsidRPr="009346FA" w:rsidTr="00B35D88">
        <w:trPr>
          <w:jc w:val="center"/>
        </w:trPr>
        <w:tc>
          <w:tcPr>
            <w:tcW w:w="1085" w:type="dxa"/>
            <w:tcBorders>
              <w:top w:val="single" w:sz="8" w:space="0" w:color="auto"/>
              <w:bottom w:val="single" w:sz="4" w:space="0" w:color="auto"/>
            </w:tcBorders>
            <w:vAlign w:val="center"/>
          </w:tcPr>
          <w:p w:rsidR="00E01639" w:rsidRPr="009346FA" w:rsidRDefault="00E01639" w:rsidP="00B35D88">
            <w:pPr>
              <w:pStyle w:val="Textoindependiente"/>
              <w:jc w:val="center"/>
              <w:rPr>
                <w:sz w:val="20"/>
                <w:szCs w:val="22"/>
                <w:lang w:eastAsia="en-US"/>
              </w:rPr>
            </w:pPr>
            <w:r w:rsidRPr="009346FA">
              <w:rPr>
                <w:sz w:val="20"/>
                <w:szCs w:val="22"/>
                <w:lang w:eastAsia="en-US"/>
              </w:rPr>
              <w:t>Batch</w:t>
            </w:r>
          </w:p>
        </w:tc>
        <w:tc>
          <w:tcPr>
            <w:tcW w:w="1069" w:type="dxa"/>
            <w:tcBorders>
              <w:top w:val="single" w:sz="8" w:space="0" w:color="auto"/>
              <w:bottom w:val="single" w:sz="4" w:space="0" w:color="auto"/>
            </w:tcBorders>
            <w:vAlign w:val="center"/>
          </w:tcPr>
          <w:p w:rsidR="00E01639" w:rsidRPr="009346FA" w:rsidRDefault="00E01639" w:rsidP="00B35D88">
            <w:pPr>
              <w:pStyle w:val="Textoindependiente"/>
              <w:ind w:right="107"/>
              <w:jc w:val="center"/>
              <w:rPr>
                <w:i/>
                <w:sz w:val="20"/>
                <w:szCs w:val="22"/>
                <w:lang w:eastAsia="en-US"/>
              </w:rPr>
            </w:pPr>
          </w:p>
        </w:tc>
        <w:tc>
          <w:tcPr>
            <w:tcW w:w="748" w:type="dxa"/>
            <w:tcBorders>
              <w:top w:val="single" w:sz="8" w:space="0" w:color="auto"/>
              <w:bottom w:val="single" w:sz="4" w:space="0" w:color="auto"/>
            </w:tcBorders>
            <w:vAlign w:val="center"/>
          </w:tcPr>
          <w:p w:rsidR="00E01639" w:rsidRPr="009346FA" w:rsidRDefault="00E01639" w:rsidP="00B35D88">
            <w:pPr>
              <w:pStyle w:val="Textoindependiente"/>
              <w:ind w:right="107"/>
              <w:jc w:val="center"/>
              <w:rPr>
                <w:i/>
                <w:sz w:val="20"/>
                <w:szCs w:val="22"/>
                <w:lang w:eastAsia="en-US"/>
              </w:rPr>
            </w:pPr>
            <w:bookmarkStart w:id="28" w:name="OLE_LINK85"/>
            <w:bookmarkStart w:id="29" w:name="OLE_LINK86"/>
            <w:bookmarkStart w:id="30" w:name="OLE_LINK87"/>
            <w:proofErr w:type="spellStart"/>
            <w:r w:rsidRPr="009346FA">
              <w:rPr>
                <w:i/>
                <w:sz w:val="20"/>
                <w:szCs w:val="22"/>
                <w:lang w:eastAsia="en-US"/>
              </w:rPr>
              <w:t>J</w:t>
            </w:r>
            <w:r w:rsidRPr="009346FA">
              <w:rPr>
                <w:i/>
                <w:sz w:val="20"/>
                <w:szCs w:val="22"/>
                <w:vertAlign w:val="subscript"/>
                <w:lang w:eastAsia="en-US"/>
              </w:rPr>
              <w:t>IIc</w:t>
            </w:r>
            <w:bookmarkEnd w:id="28"/>
            <w:bookmarkEnd w:id="29"/>
            <w:bookmarkEnd w:id="30"/>
            <w:proofErr w:type="spellEnd"/>
          </w:p>
        </w:tc>
        <w:tc>
          <w:tcPr>
            <w:tcW w:w="1347" w:type="dxa"/>
            <w:tcBorders>
              <w:top w:val="single" w:sz="8" w:space="0" w:color="auto"/>
              <w:bottom w:val="single" w:sz="4" w:space="0" w:color="auto"/>
            </w:tcBorders>
            <w:vAlign w:val="center"/>
          </w:tcPr>
          <w:p w:rsidR="00E01639" w:rsidRPr="009346FA" w:rsidRDefault="00E01639" w:rsidP="00E01639">
            <w:pPr>
              <w:pStyle w:val="Textoindependiente"/>
              <w:ind w:right="107"/>
              <w:jc w:val="center"/>
              <w:rPr>
                <w:sz w:val="20"/>
                <w:szCs w:val="22"/>
                <w:lang w:eastAsia="en-US"/>
              </w:rPr>
            </w:pPr>
            <w:proofErr w:type="spellStart"/>
            <w:r w:rsidRPr="009346FA">
              <w:rPr>
                <w:i/>
                <w:sz w:val="20"/>
                <w:szCs w:val="22"/>
                <w:lang w:eastAsia="en-US"/>
              </w:rPr>
              <w:t>G</w:t>
            </w:r>
            <w:r w:rsidRPr="009346FA">
              <w:rPr>
                <w:i/>
                <w:sz w:val="20"/>
                <w:szCs w:val="22"/>
                <w:vertAlign w:val="subscript"/>
                <w:lang w:eastAsia="en-US"/>
              </w:rPr>
              <w:t>IIc</w:t>
            </w:r>
            <w:proofErr w:type="spellEnd"/>
            <w:r w:rsidRPr="009346FA">
              <w:rPr>
                <w:i/>
                <w:sz w:val="20"/>
                <w:szCs w:val="22"/>
                <w:vertAlign w:val="subscript"/>
                <w:lang w:eastAsia="en-US"/>
              </w:rPr>
              <w:t xml:space="preserve"> </w:t>
            </w:r>
            <w:r w:rsidRPr="009346FA">
              <w:rPr>
                <w:sz w:val="20"/>
                <w:szCs w:val="22"/>
                <w:lang w:eastAsia="en-US"/>
              </w:rPr>
              <w:t>(CCM)</w:t>
            </w:r>
          </w:p>
        </w:tc>
        <w:tc>
          <w:tcPr>
            <w:tcW w:w="1541" w:type="dxa"/>
            <w:tcBorders>
              <w:top w:val="single" w:sz="8" w:space="0" w:color="auto"/>
              <w:bottom w:val="single" w:sz="4" w:space="0" w:color="auto"/>
            </w:tcBorders>
          </w:tcPr>
          <w:p w:rsidR="00E01639" w:rsidRPr="009346FA" w:rsidRDefault="00E01639" w:rsidP="00B35D88">
            <w:pPr>
              <w:pStyle w:val="Textoindependiente"/>
              <w:ind w:right="108"/>
              <w:jc w:val="center"/>
              <w:rPr>
                <w:i/>
                <w:sz w:val="20"/>
                <w:szCs w:val="22"/>
                <w:lang w:eastAsia="en-US"/>
              </w:rPr>
            </w:pPr>
            <w:proofErr w:type="spellStart"/>
            <w:r w:rsidRPr="009346FA">
              <w:rPr>
                <w:i/>
                <w:sz w:val="20"/>
                <w:szCs w:val="22"/>
                <w:lang w:eastAsia="en-US"/>
              </w:rPr>
              <w:t>G</w:t>
            </w:r>
            <w:r w:rsidRPr="009346FA">
              <w:rPr>
                <w:i/>
                <w:sz w:val="20"/>
                <w:szCs w:val="22"/>
                <w:vertAlign w:val="subscript"/>
                <w:lang w:eastAsia="en-US"/>
              </w:rPr>
              <w:t>IIc</w:t>
            </w:r>
            <w:proofErr w:type="spellEnd"/>
            <w:r w:rsidRPr="009346FA">
              <w:rPr>
                <w:i/>
                <w:sz w:val="20"/>
                <w:szCs w:val="22"/>
                <w:vertAlign w:val="subscript"/>
                <w:lang w:eastAsia="en-US"/>
              </w:rPr>
              <w:t xml:space="preserve"> </w:t>
            </w:r>
            <w:r w:rsidRPr="009346FA">
              <w:rPr>
                <w:sz w:val="20"/>
                <w:szCs w:val="22"/>
                <w:lang w:eastAsia="en-US"/>
              </w:rPr>
              <w:t>(ECM)</w:t>
            </w:r>
          </w:p>
        </w:tc>
        <w:tc>
          <w:tcPr>
            <w:tcW w:w="1541" w:type="dxa"/>
            <w:tcBorders>
              <w:top w:val="single" w:sz="8" w:space="0" w:color="auto"/>
              <w:bottom w:val="single" w:sz="4" w:space="0" w:color="auto"/>
            </w:tcBorders>
          </w:tcPr>
          <w:p w:rsidR="00E01639" w:rsidRPr="009346FA" w:rsidRDefault="00E01639" w:rsidP="00E01639">
            <w:pPr>
              <w:pStyle w:val="Textoindependiente"/>
              <w:ind w:right="108"/>
              <w:jc w:val="center"/>
              <w:rPr>
                <w:i/>
                <w:sz w:val="20"/>
                <w:szCs w:val="22"/>
                <w:lang w:eastAsia="en-US"/>
              </w:rPr>
            </w:pPr>
            <w:proofErr w:type="spellStart"/>
            <w:r w:rsidRPr="009346FA">
              <w:rPr>
                <w:i/>
                <w:sz w:val="20"/>
                <w:szCs w:val="22"/>
                <w:lang w:eastAsia="en-US"/>
              </w:rPr>
              <w:t>G</w:t>
            </w:r>
            <w:r w:rsidRPr="009346FA">
              <w:rPr>
                <w:i/>
                <w:sz w:val="20"/>
                <w:szCs w:val="22"/>
                <w:vertAlign w:val="subscript"/>
                <w:lang w:eastAsia="en-US"/>
              </w:rPr>
              <w:t>IIc</w:t>
            </w:r>
            <w:proofErr w:type="spellEnd"/>
            <w:r w:rsidRPr="009346FA">
              <w:rPr>
                <w:i/>
                <w:sz w:val="20"/>
                <w:szCs w:val="22"/>
                <w:vertAlign w:val="subscript"/>
                <w:lang w:eastAsia="en-US"/>
              </w:rPr>
              <w:t xml:space="preserve"> </w:t>
            </w:r>
            <w:r w:rsidRPr="009346FA">
              <w:rPr>
                <w:sz w:val="20"/>
                <w:szCs w:val="22"/>
                <w:lang w:eastAsia="en-US"/>
              </w:rPr>
              <w:t>(BT)</w:t>
            </w:r>
          </w:p>
        </w:tc>
        <w:tc>
          <w:tcPr>
            <w:tcW w:w="1541" w:type="dxa"/>
            <w:tcBorders>
              <w:top w:val="single" w:sz="8" w:space="0" w:color="auto"/>
              <w:bottom w:val="single" w:sz="4" w:space="0" w:color="auto"/>
            </w:tcBorders>
          </w:tcPr>
          <w:p w:rsidR="00E01639" w:rsidRPr="009346FA" w:rsidRDefault="00E01639" w:rsidP="00E01639">
            <w:pPr>
              <w:pStyle w:val="Textoindependiente"/>
              <w:ind w:right="108"/>
              <w:jc w:val="center"/>
              <w:rPr>
                <w:i/>
                <w:sz w:val="20"/>
                <w:szCs w:val="22"/>
                <w:lang w:eastAsia="en-US"/>
              </w:rPr>
            </w:pPr>
            <w:proofErr w:type="spellStart"/>
            <w:r w:rsidRPr="009346FA">
              <w:rPr>
                <w:i/>
                <w:sz w:val="20"/>
                <w:szCs w:val="22"/>
                <w:lang w:eastAsia="en-US"/>
              </w:rPr>
              <w:t>G</w:t>
            </w:r>
            <w:r w:rsidRPr="009346FA">
              <w:rPr>
                <w:i/>
                <w:sz w:val="20"/>
                <w:szCs w:val="22"/>
                <w:vertAlign w:val="subscript"/>
                <w:lang w:eastAsia="en-US"/>
              </w:rPr>
              <w:t>IIc</w:t>
            </w:r>
            <w:proofErr w:type="spellEnd"/>
            <w:r w:rsidRPr="009346FA">
              <w:rPr>
                <w:i/>
                <w:sz w:val="20"/>
                <w:szCs w:val="22"/>
                <w:vertAlign w:val="subscript"/>
                <w:lang w:eastAsia="en-US"/>
              </w:rPr>
              <w:t xml:space="preserve"> </w:t>
            </w:r>
            <w:r w:rsidRPr="009346FA">
              <w:rPr>
                <w:sz w:val="20"/>
                <w:szCs w:val="22"/>
                <w:lang w:eastAsia="en-US"/>
              </w:rPr>
              <w:t>(AREA)</w:t>
            </w:r>
          </w:p>
        </w:tc>
      </w:tr>
      <w:tr w:rsidR="00E01639" w:rsidRPr="009346FA" w:rsidTr="00B35D88">
        <w:trPr>
          <w:jc w:val="center"/>
        </w:trPr>
        <w:tc>
          <w:tcPr>
            <w:tcW w:w="1085" w:type="dxa"/>
            <w:vMerge w:val="restart"/>
            <w:tcBorders>
              <w:top w:val="single" w:sz="4" w:space="0" w:color="auto"/>
            </w:tcBorders>
            <w:vAlign w:val="center"/>
          </w:tcPr>
          <w:p w:rsidR="00E01639" w:rsidRPr="009346FA" w:rsidRDefault="00E01639" w:rsidP="00B35D88">
            <w:pPr>
              <w:pStyle w:val="Textoindependiente"/>
              <w:jc w:val="center"/>
              <w:rPr>
                <w:sz w:val="22"/>
                <w:szCs w:val="22"/>
                <w:lang w:eastAsia="en-US"/>
              </w:rPr>
            </w:pPr>
            <w:r w:rsidRPr="009346FA">
              <w:rPr>
                <w:sz w:val="22"/>
                <w:szCs w:val="22"/>
                <w:lang w:eastAsia="en-US"/>
              </w:rPr>
              <w:t>M1</w:t>
            </w:r>
          </w:p>
        </w:tc>
        <w:tc>
          <w:tcPr>
            <w:tcW w:w="1069" w:type="dxa"/>
            <w:tcBorders>
              <w:top w:val="single" w:sz="4" w:space="0" w:color="auto"/>
            </w:tcBorders>
          </w:tcPr>
          <w:p w:rsidR="00E01639" w:rsidRPr="009346FA" w:rsidRDefault="00E01639" w:rsidP="00B35D88">
            <w:pPr>
              <w:pStyle w:val="Textoindependiente"/>
              <w:ind w:right="107"/>
              <w:jc w:val="center"/>
              <w:rPr>
                <w:sz w:val="22"/>
                <w:szCs w:val="22"/>
                <w:lang w:eastAsia="en-US"/>
              </w:rPr>
            </w:pPr>
            <w:r w:rsidRPr="009346FA">
              <w:rPr>
                <w:sz w:val="22"/>
                <w:szCs w:val="22"/>
                <w:lang w:eastAsia="en-US"/>
              </w:rPr>
              <w:t>Average</w:t>
            </w:r>
          </w:p>
        </w:tc>
        <w:tc>
          <w:tcPr>
            <w:tcW w:w="748" w:type="dxa"/>
            <w:tcBorders>
              <w:top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0.96</w:t>
            </w:r>
          </w:p>
        </w:tc>
        <w:tc>
          <w:tcPr>
            <w:tcW w:w="1347" w:type="dxa"/>
            <w:tcBorders>
              <w:top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1.08</w:t>
            </w:r>
          </w:p>
        </w:tc>
        <w:tc>
          <w:tcPr>
            <w:tcW w:w="1541" w:type="dxa"/>
            <w:tcBorders>
              <w:top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0.93</w:t>
            </w:r>
          </w:p>
        </w:tc>
        <w:tc>
          <w:tcPr>
            <w:tcW w:w="1541" w:type="dxa"/>
            <w:tcBorders>
              <w:top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1.54</w:t>
            </w:r>
          </w:p>
        </w:tc>
        <w:tc>
          <w:tcPr>
            <w:tcW w:w="1541" w:type="dxa"/>
            <w:tcBorders>
              <w:top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1.28</w:t>
            </w:r>
          </w:p>
        </w:tc>
      </w:tr>
      <w:tr w:rsidR="00E01639" w:rsidRPr="009346FA" w:rsidTr="00B35D88">
        <w:trPr>
          <w:jc w:val="center"/>
        </w:trPr>
        <w:tc>
          <w:tcPr>
            <w:tcW w:w="1085" w:type="dxa"/>
            <w:vMerge/>
            <w:tcBorders>
              <w:bottom w:val="single" w:sz="4" w:space="0" w:color="auto"/>
            </w:tcBorders>
          </w:tcPr>
          <w:p w:rsidR="00E01639" w:rsidRPr="009346FA" w:rsidRDefault="00E01639" w:rsidP="00B35D88">
            <w:pPr>
              <w:pStyle w:val="Textoindependiente"/>
              <w:jc w:val="center"/>
              <w:rPr>
                <w:sz w:val="22"/>
                <w:szCs w:val="22"/>
                <w:lang w:eastAsia="en-US"/>
              </w:rPr>
            </w:pPr>
          </w:p>
        </w:tc>
        <w:tc>
          <w:tcPr>
            <w:tcW w:w="1069" w:type="dxa"/>
            <w:tcBorders>
              <w:bottom w:val="single" w:sz="4" w:space="0" w:color="auto"/>
            </w:tcBorders>
          </w:tcPr>
          <w:p w:rsidR="00E01639" w:rsidRPr="009346FA" w:rsidRDefault="00E01639" w:rsidP="00B35D88">
            <w:pPr>
              <w:pStyle w:val="Textoindependiente"/>
              <w:ind w:right="107"/>
              <w:jc w:val="center"/>
              <w:rPr>
                <w:sz w:val="22"/>
                <w:szCs w:val="22"/>
                <w:lang w:eastAsia="en-US"/>
              </w:rPr>
            </w:pPr>
            <w:r w:rsidRPr="009346FA">
              <w:rPr>
                <w:sz w:val="22"/>
                <w:szCs w:val="22"/>
                <w:lang w:eastAsia="en-US"/>
              </w:rPr>
              <w:t>SD</w:t>
            </w:r>
          </w:p>
        </w:tc>
        <w:tc>
          <w:tcPr>
            <w:tcW w:w="748" w:type="dxa"/>
            <w:tcBorders>
              <w:bottom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0.18</w:t>
            </w:r>
          </w:p>
        </w:tc>
        <w:tc>
          <w:tcPr>
            <w:tcW w:w="1347" w:type="dxa"/>
            <w:tcBorders>
              <w:bottom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0.15</w:t>
            </w:r>
          </w:p>
        </w:tc>
        <w:tc>
          <w:tcPr>
            <w:tcW w:w="1541" w:type="dxa"/>
            <w:tcBorders>
              <w:bottom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0.10</w:t>
            </w:r>
          </w:p>
        </w:tc>
        <w:tc>
          <w:tcPr>
            <w:tcW w:w="1541" w:type="dxa"/>
            <w:tcBorders>
              <w:bottom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0.24</w:t>
            </w:r>
          </w:p>
        </w:tc>
        <w:tc>
          <w:tcPr>
            <w:tcW w:w="1541" w:type="dxa"/>
            <w:tcBorders>
              <w:bottom w:val="single" w:sz="4" w:space="0" w:color="auto"/>
            </w:tcBorders>
          </w:tcPr>
          <w:p w:rsidR="00E01639" w:rsidRPr="009346FA" w:rsidRDefault="00EC0D47" w:rsidP="00B35D88">
            <w:pPr>
              <w:pStyle w:val="Textoindependiente"/>
              <w:ind w:right="108"/>
              <w:jc w:val="center"/>
              <w:rPr>
                <w:sz w:val="22"/>
                <w:szCs w:val="22"/>
                <w:lang w:eastAsia="en-US"/>
              </w:rPr>
            </w:pPr>
            <w:r w:rsidRPr="009346FA">
              <w:rPr>
                <w:sz w:val="22"/>
                <w:szCs w:val="22"/>
                <w:lang w:eastAsia="en-US"/>
              </w:rPr>
              <w:t>0.44</w:t>
            </w:r>
          </w:p>
        </w:tc>
      </w:tr>
    </w:tbl>
    <w:p w:rsidR="00E01639" w:rsidRPr="009346FA" w:rsidRDefault="00E01639" w:rsidP="00E01639">
      <w:pPr>
        <w:pStyle w:val="NormalWCCM"/>
        <w:ind w:firstLine="0"/>
        <w:rPr>
          <w:sz w:val="22"/>
          <w:szCs w:val="22"/>
          <w:lang w:val="en-GB"/>
        </w:rPr>
      </w:pPr>
    </w:p>
    <w:p w:rsidR="00E01639" w:rsidRPr="009346FA" w:rsidRDefault="00E01639" w:rsidP="00E76AF6">
      <w:pPr>
        <w:jc w:val="center"/>
        <w:rPr>
          <w:sz w:val="22"/>
          <w:szCs w:val="22"/>
          <w:lang w:val="en-GB"/>
        </w:rPr>
      </w:pPr>
      <w:r w:rsidRPr="009346FA">
        <w:rPr>
          <w:b/>
          <w:sz w:val="22"/>
          <w:szCs w:val="22"/>
          <w:lang w:val="en-GB"/>
        </w:rPr>
        <w:t xml:space="preserve">Table </w:t>
      </w:r>
      <w:r w:rsidR="00BE7E3F" w:rsidRPr="009346FA">
        <w:rPr>
          <w:b/>
          <w:sz w:val="22"/>
          <w:szCs w:val="22"/>
          <w:lang w:val="en-GB"/>
        </w:rPr>
        <w:t>4</w:t>
      </w:r>
      <w:r w:rsidRPr="009346FA">
        <w:rPr>
          <w:b/>
          <w:sz w:val="22"/>
          <w:szCs w:val="22"/>
          <w:lang w:val="en-GB"/>
        </w:rPr>
        <w:t>.</w:t>
      </w:r>
      <w:r w:rsidRPr="009346FA">
        <w:rPr>
          <w:sz w:val="22"/>
          <w:szCs w:val="22"/>
          <w:lang w:val="en-GB"/>
        </w:rPr>
        <w:t xml:space="preserve"> MMB tests summary of results. All values normalized with respect to the averaged value of </w:t>
      </w:r>
      <w:proofErr w:type="spellStart"/>
      <w:r w:rsidRPr="009346FA">
        <w:rPr>
          <w:i/>
          <w:sz w:val="20"/>
          <w:szCs w:val="22"/>
          <w:lang w:val="en-GB" w:eastAsia="en-US"/>
        </w:rPr>
        <w:t>J</w:t>
      </w:r>
      <w:r w:rsidRPr="009346FA">
        <w:rPr>
          <w:i/>
          <w:sz w:val="20"/>
          <w:szCs w:val="22"/>
          <w:vertAlign w:val="subscript"/>
          <w:lang w:val="en-GB" w:eastAsia="en-US"/>
        </w:rPr>
        <w:t>IIc</w:t>
      </w:r>
      <w:proofErr w:type="spellEnd"/>
      <w:r w:rsidRPr="009346FA">
        <w:rPr>
          <w:sz w:val="22"/>
          <w:szCs w:val="22"/>
          <w:lang w:val="en-GB"/>
        </w:rPr>
        <w:t xml:space="preserve"> </w:t>
      </w:r>
      <w:proofErr w:type="gramStart"/>
      <w:r w:rsidRPr="009346FA">
        <w:rPr>
          <w:sz w:val="22"/>
          <w:szCs w:val="22"/>
          <w:lang w:val="en-GB"/>
        </w:rPr>
        <w:t>from  the</w:t>
      </w:r>
      <w:proofErr w:type="gramEnd"/>
      <w:r w:rsidRPr="009346FA">
        <w:rPr>
          <w:sz w:val="22"/>
          <w:szCs w:val="22"/>
          <w:lang w:val="en-GB"/>
        </w:rPr>
        <w:t xml:space="preserve"> M1 ELS batch.</w:t>
      </w:r>
    </w:p>
    <w:tbl>
      <w:tblPr>
        <w:tblW w:w="0" w:type="auto"/>
        <w:jc w:val="center"/>
        <w:tblLook w:val="01E0" w:firstRow="1" w:lastRow="1" w:firstColumn="1" w:lastColumn="1" w:noHBand="0" w:noVBand="0"/>
      </w:tblPr>
      <w:tblGrid>
        <w:gridCol w:w="1085"/>
        <w:gridCol w:w="1069"/>
        <w:gridCol w:w="748"/>
        <w:gridCol w:w="1347"/>
      </w:tblGrid>
      <w:tr w:rsidR="00E01639" w:rsidRPr="009346FA" w:rsidTr="00B35D88">
        <w:trPr>
          <w:jc w:val="center"/>
        </w:trPr>
        <w:tc>
          <w:tcPr>
            <w:tcW w:w="1085" w:type="dxa"/>
            <w:tcBorders>
              <w:top w:val="single" w:sz="8" w:space="0" w:color="auto"/>
              <w:bottom w:val="single" w:sz="4" w:space="0" w:color="auto"/>
            </w:tcBorders>
            <w:vAlign w:val="center"/>
          </w:tcPr>
          <w:p w:rsidR="00E01639" w:rsidRPr="009346FA" w:rsidRDefault="00E01639" w:rsidP="00B35D88">
            <w:pPr>
              <w:pStyle w:val="Textoindependiente"/>
              <w:jc w:val="center"/>
              <w:rPr>
                <w:sz w:val="20"/>
                <w:szCs w:val="22"/>
                <w:lang w:eastAsia="en-US"/>
              </w:rPr>
            </w:pPr>
            <w:bookmarkStart w:id="31" w:name="_Hlk512525790"/>
            <w:r w:rsidRPr="009346FA">
              <w:rPr>
                <w:sz w:val="20"/>
                <w:szCs w:val="22"/>
                <w:lang w:eastAsia="en-US"/>
              </w:rPr>
              <w:t>Batch</w:t>
            </w:r>
          </w:p>
        </w:tc>
        <w:tc>
          <w:tcPr>
            <w:tcW w:w="1069" w:type="dxa"/>
            <w:tcBorders>
              <w:top w:val="single" w:sz="8" w:space="0" w:color="auto"/>
              <w:bottom w:val="single" w:sz="4" w:space="0" w:color="auto"/>
            </w:tcBorders>
            <w:vAlign w:val="center"/>
          </w:tcPr>
          <w:p w:rsidR="00E01639" w:rsidRPr="009346FA" w:rsidRDefault="00E01639" w:rsidP="00B35D88">
            <w:pPr>
              <w:pStyle w:val="Textoindependiente"/>
              <w:ind w:right="107"/>
              <w:jc w:val="center"/>
              <w:rPr>
                <w:i/>
                <w:sz w:val="20"/>
                <w:szCs w:val="22"/>
                <w:lang w:eastAsia="en-US"/>
              </w:rPr>
            </w:pPr>
          </w:p>
        </w:tc>
        <w:tc>
          <w:tcPr>
            <w:tcW w:w="748" w:type="dxa"/>
            <w:tcBorders>
              <w:top w:val="single" w:sz="8" w:space="0" w:color="auto"/>
              <w:bottom w:val="single" w:sz="4" w:space="0" w:color="auto"/>
            </w:tcBorders>
            <w:vAlign w:val="center"/>
          </w:tcPr>
          <w:p w:rsidR="00E01639" w:rsidRPr="009346FA" w:rsidRDefault="00E01639" w:rsidP="00B35D88">
            <w:pPr>
              <w:pStyle w:val="Textoindependiente"/>
              <w:ind w:right="107"/>
              <w:jc w:val="center"/>
              <w:rPr>
                <w:i/>
                <w:sz w:val="20"/>
                <w:szCs w:val="22"/>
                <w:lang w:eastAsia="en-US"/>
              </w:rPr>
            </w:pPr>
            <w:bookmarkStart w:id="32" w:name="OLE_LINK90"/>
            <w:bookmarkStart w:id="33" w:name="OLE_LINK91"/>
            <w:bookmarkStart w:id="34" w:name="OLE_LINK92"/>
            <w:proofErr w:type="spellStart"/>
            <w:r w:rsidRPr="009346FA">
              <w:rPr>
                <w:i/>
                <w:sz w:val="20"/>
                <w:szCs w:val="22"/>
                <w:lang w:eastAsia="en-US"/>
              </w:rPr>
              <w:t>J</w:t>
            </w:r>
            <w:r w:rsidRPr="009346FA">
              <w:rPr>
                <w:i/>
                <w:sz w:val="20"/>
                <w:szCs w:val="22"/>
                <w:vertAlign w:val="subscript"/>
                <w:lang w:eastAsia="en-US"/>
              </w:rPr>
              <w:t>IIc</w:t>
            </w:r>
            <w:bookmarkEnd w:id="32"/>
            <w:bookmarkEnd w:id="33"/>
            <w:bookmarkEnd w:id="34"/>
            <w:proofErr w:type="spellEnd"/>
          </w:p>
        </w:tc>
        <w:tc>
          <w:tcPr>
            <w:tcW w:w="1347" w:type="dxa"/>
            <w:tcBorders>
              <w:top w:val="single" w:sz="8" w:space="0" w:color="auto"/>
              <w:bottom w:val="single" w:sz="4" w:space="0" w:color="auto"/>
            </w:tcBorders>
            <w:vAlign w:val="center"/>
          </w:tcPr>
          <w:p w:rsidR="00E01639" w:rsidRPr="009346FA" w:rsidRDefault="00E01639" w:rsidP="00E01639">
            <w:pPr>
              <w:pStyle w:val="Textoindependiente"/>
              <w:ind w:right="107"/>
              <w:jc w:val="center"/>
              <w:rPr>
                <w:sz w:val="20"/>
                <w:szCs w:val="22"/>
                <w:lang w:eastAsia="en-US"/>
              </w:rPr>
            </w:pPr>
            <w:proofErr w:type="spellStart"/>
            <w:r w:rsidRPr="009346FA">
              <w:rPr>
                <w:i/>
                <w:sz w:val="20"/>
                <w:szCs w:val="22"/>
                <w:lang w:eastAsia="en-US"/>
              </w:rPr>
              <w:t>G</w:t>
            </w:r>
            <w:r w:rsidRPr="009346FA">
              <w:rPr>
                <w:i/>
                <w:sz w:val="20"/>
                <w:szCs w:val="22"/>
                <w:vertAlign w:val="subscript"/>
                <w:lang w:eastAsia="en-US"/>
              </w:rPr>
              <w:t>IIc</w:t>
            </w:r>
            <w:proofErr w:type="spellEnd"/>
          </w:p>
        </w:tc>
      </w:tr>
      <w:bookmarkEnd w:id="31"/>
      <w:tr w:rsidR="00E01639" w:rsidRPr="009346FA" w:rsidTr="00B35D88">
        <w:trPr>
          <w:jc w:val="center"/>
        </w:trPr>
        <w:tc>
          <w:tcPr>
            <w:tcW w:w="1085" w:type="dxa"/>
            <w:vMerge w:val="restart"/>
            <w:tcBorders>
              <w:top w:val="single" w:sz="4" w:space="0" w:color="auto"/>
            </w:tcBorders>
            <w:vAlign w:val="center"/>
          </w:tcPr>
          <w:p w:rsidR="00E01639" w:rsidRPr="009346FA" w:rsidRDefault="00E01639" w:rsidP="00B35D88">
            <w:pPr>
              <w:pStyle w:val="Textoindependiente"/>
              <w:jc w:val="center"/>
              <w:rPr>
                <w:sz w:val="22"/>
                <w:szCs w:val="22"/>
                <w:lang w:eastAsia="en-US"/>
              </w:rPr>
            </w:pPr>
            <w:r w:rsidRPr="009346FA">
              <w:rPr>
                <w:sz w:val="22"/>
                <w:szCs w:val="22"/>
                <w:lang w:eastAsia="en-US"/>
              </w:rPr>
              <w:t>M1</w:t>
            </w:r>
          </w:p>
        </w:tc>
        <w:tc>
          <w:tcPr>
            <w:tcW w:w="1069" w:type="dxa"/>
            <w:tcBorders>
              <w:top w:val="single" w:sz="4" w:space="0" w:color="auto"/>
            </w:tcBorders>
          </w:tcPr>
          <w:p w:rsidR="00E01639" w:rsidRPr="009346FA" w:rsidRDefault="00E01639" w:rsidP="00B35D88">
            <w:pPr>
              <w:pStyle w:val="Textoindependiente"/>
              <w:ind w:right="107"/>
              <w:jc w:val="center"/>
              <w:rPr>
                <w:sz w:val="22"/>
                <w:szCs w:val="22"/>
                <w:lang w:eastAsia="en-US"/>
              </w:rPr>
            </w:pPr>
            <w:r w:rsidRPr="009346FA">
              <w:rPr>
                <w:sz w:val="22"/>
                <w:szCs w:val="22"/>
                <w:lang w:eastAsia="en-US"/>
              </w:rPr>
              <w:t>Average</w:t>
            </w:r>
          </w:p>
        </w:tc>
        <w:tc>
          <w:tcPr>
            <w:tcW w:w="748" w:type="dxa"/>
            <w:tcBorders>
              <w:top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0.9</w:t>
            </w:r>
            <w:r w:rsidR="00F06E54">
              <w:rPr>
                <w:sz w:val="22"/>
                <w:szCs w:val="22"/>
                <w:lang w:eastAsia="en-US"/>
              </w:rPr>
              <w:t>3</w:t>
            </w:r>
          </w:p>
        </w:tc>
        <w:tc>
          <w:tcPr>
            <w:tcW w:w="1347" w:type="dxa"/>
            <w:tcBorders>
              <w:top w:val="single" w:sz="4" w:space="0" w:color="auto"/>
            </w:tcBorders>
          </w:tcPr>
          <w:p w:rsidR="00E01639" w:rsidRPr="009346FA" w:rsidRDefault="00EC0D47" w:rsidP="00B35D88">
            <w:pPr>
              <w:pStyle w:val="Textoindependiente"/>
              <w:ind w:right="107"/>
              <w:jc w:val="center"/>
              <w:rPr>
                <w:sz w:val="22"/>
                <w:szCs w:val="22"/>
                <w:lang w:eastAsia="en-US"/>
              </w:rPr>
            </w:pPr>
            <w:r w:rsidRPr="009346FA">
              <w:rPr>
                <w:sz w:val="22"/>
                <w:szCs w:val="22"/>
                <w:lang w:eastAsia="en-US"/>
              </w:rPr>
              <w:t>1</w:t>
            </w:r>
            <w:r w:rsidR="00F06E54">
              <w:rPr>
                <w:sz w:val="22"/>
                <w:szCs w:val="22"/>
                <w:lang w:eastAsia="en-US"/>
              </w:rPr>
              <w:t>.33</w:t>
            </w:r>
          </w:p>
        </w:tc>
      </w:tr>
      <w:tr w:rsidR="00E01639" w:rsidRPr="009346FA" w:rsidTr="00B35D88">
        <w:trPr>
          <w:jc w:val="center"/>
        </w:trPr>
        <w:tc>
          <w:tcPr>
            <w:tcW w:w="1085" w:type="dxa"/>
            <w:vMerge/>
            <w:tcBorders>
              <w:bottom w:val="single" w:sz="4" w:space="0" w:color="auto"/>
            </w:tcBorders>
            <w:vAlign w:val="center"/>
          </w:tcPr>
          <w:p w:rsidR="00E01639" w:rsidRPr="009346FA" w:rsidRDefault="00E01639" w:rsidP="00B35D88">
            <w:pPr>
              <w:pStyle w:val="Textoindependiente"/>
              <w:jc w:val="center"/>
              <w:rPr>
                <w:sz w:val="22"/>
                <w:szCs w:val="22"/>
                <w:lang w:eastAsia="en-US"/>
              </w:rPr>
            </w:pPr>
          </w:p>
        </w:tc>
        <w:tc>
          <w:tcPr>
            <w:tcW w:w="1069" w:type="dxa"/>
            <w:tcBorders>
              <w:bottom w:val="single" w:sz="4" w:space="0" w:color="auto"/>
            </w:tcBorders>
          </w:tcPr>
          <w:p w:rsidR="00E01639" w:rsidRPr="009346FA" w:rsidRDefault="00E01639" w:rsidP="00B35D88">
            <w:pPr>
              <w:pStyle w:val="Textoindependiente"/>
              <w:ind w:right="107"/>
              <w:jc w:val="center"/>
              <w:rPr>
                <w:sz w:val="22"/>
                <w:szCs w:val="22"/>
                <w:lang w:eastAsia="en-US"/>
              </w:rPr>
            </w:pPr>
            <w:r w:rsidRPr="009346FA">
              <w:rPr>
                <w:sz w:val="22"/>
                <w:szCs w:val="22"/>
                <w:lang w:eastAsia="en-US"/>
              </w:rPr>
              <w:t>SD</w:t>
            </w:r>
          </w:p>
        </w:tc>
        <w:tc>
          <w:tcPr>
            <w:tcW w:w="748" w:type="dxa"/>
            <w:tcBorders>
              <w:bottom w:val="single" w:sz="4" w:space="0" w:color="auto"/>
            </w:tcBorders>
          </w:tcPr>
          <w:p w:rsidR="00E01639" w:rsidRPr="009346FA" w:rsidRDefault="00F06E54" w:rsidP="00F06E54">
            <w:pPr>
              <w:pStyle w:val="Textoindependiente"/>
              <w:ind w:right="107"/>
              <w:jc w:val="center"/>
              <w:rPr>
                <w:sz w:val="22"/>
                <w:szCs w:val="22"/>
                <w:lang w:eastAsia="en-US"/>
              </w:rPr>
            </w:pPr>
            <w:r>
              <w:rPr>
                <w:sz w:val="22"/>
                <w:szCs w:val="22"/>
                <w:lang w:eastAsia="en-US"/>
              </w:rPr>
              <w:t>0.11</w:t>
            </w:r>
          </w:p>
        </w:tc>
        <w:tc>
          <w:tcPr>
            <w:tcW w:w="1347" w:type="dxa"/>
            <w:tcBorders>
              <w:bottom w:val="single" w:sz="4" w:space="0" w:color="auto"/>
            </w:tcBorders>
          </w:tcPr>
          <w:p w:rsidR="00E01639" w:rsidRPr="009346FA" w:rsidRDefault="00F06E54" w:rsidP="00B35D88">
            <w:pPr>
              <w:pStyle w:val="Textoindependiente"/>
              <w:ind w:right="107"/>
              <w:jc w:val="center"/>
              <w:rPr>
                <w:sz w:val="22"/>
                <w:szCs w:val="22"/>
                <w:lang w:eastAsia="en-US"/>
              </w:rPr>
            </w:pPr>
            <w:r>
              <w:rPr>
                <w:sz w:val="22"/>
                <w:szCs w:val="22"/>
                <w:lang w:eastAsia="en-US"/>
              </w:rPr>
              <w:t>0.24</w:t>
            </w:r>
          </w:p>
        </w:tc>
      </w:tr>
    </w:tbl>
    <w:p w:rsidR="00E01639" w:rsidRPr="009346FA" w:rsidRDefault="00E01639" w:rsidP="00E01639">
      <w:pPr>
        <w:pStyle w:val="NormalWCCM"/>
        <w:ind w:firstLine="0"/>
        <w:rPr>
          <w:sz w:val="22"/>
          <w:szCs w:val="22"/>
          <w:lang w:val="en-GB"/>
        </w:rPr>
      </w:pPr>
    </w:p>
    <w:p w:rsidR="00BE7E3F" w:rsidRPr="009346FA" w:rsidRDefault="00DC0B22" w:rsidP="00BE7E3F">
      <w:pPr>
        <w:jc w:val="both"/>
        <w:rPr>
          <w:sz w:val="22"/>
          <w:szCs w:val="22"/>
          <w:lang w:val="en-GB"/>
        </w:rPr>
      </w:pPr>
      <w:r w:rsidRPr="009346FA">
        <w:rPr>
          <w:sz w:val="22"/>
          <w:szCs w:val="22"/>
          <w:lang w:val="en-GB"/>
        </w:rPr>
        <w:t xml:space="preserve">In the ELS </w:t>
      </w:r>
      <w:proofErr w:type="gramStart"/>
      <w:r w:rsidRPr="009346FA">
        <w:rPr>
          <w:sz w:val="22"/>
          <w:szCs w:val="22"/>
          <w:lang w:val="en-GB"/>
        </w:rPr>
        <w:t>test</w:t>
      </w:r>
      <w:proofErr w:type="gramEnd"/>
      <w:r w:rsidRPr="009346FA">
        <w:rPr>
          <w:sz w:val="22"/>
          <w:szCs w:val="22"/>
          <w:lang w:val="en-GB"/>
        </w:rPr>
        <w:t xml:space="preserve"> s</w:t>
      </w:r>
      <w:r w:rsidR="00BE7E3F" w:rsidRPr="009346FA">
        <w:rPr>
          <w:sz w:val="22"/>
          <w:szCs w:val="22"/>
          <w:lang w:val="en-GB"/>
        </w:rPr>
        <w:t>ome of the data reduction methods present large differences with respect to the reference value and between them (</w:t>
      </w:r>
      <w:proofErr w:type="spellStart"/>
      <w:r w:rsidR="00BE7E3F" w:rsidRPr="009346FA">
        <w:rPr>
          <w:sz w:val="22"/>
          <w:szCs w:val="22"/>
          <w:lang w:val="en-GB"/>
        </w:rPr>
        <w:t>i.e</w:t>
      </w:r>
      <w:proofErr w:type="spellEnd"/>
      <w:r w:rsidRPr="009346FA">
        <w:rPr>
          <w:sz w:val="22"/>
          <w:szCs w:val="22"/>
          <w:lang w:val="en-GB"/>
        </w:rPr>
        <w:t xml:space="preserve"> </w:t>
      </w:r>
      <w:proofErr w:type="spellStart"/>
      <w:r w:rsidRPr="009346FA">
        <w:rPr>
          <w:i/>
          <w:sz w:val="22"/>
          <w:szCs w:val="22"/>
          <w:lang w:val="en-GB" w:eastAsia="en-US"/>
        </w:rPr>
        <w:t>G</w:t>
      </w:r>
      <w:r w:rsidRPr="009346FA">
        <w:rPr>
          <w:i/>
          <w:sz w:val="22"/>
          <w:szCs w:val="22"/>
          <w:vertAlign w:val="subscript"/>
          <w:lang w:val="en-GB" w:eastAsia="en-US"/>
        </w:rPr>
        <w:t>IIc</w:t>
      </w:r>
      <w:proofErr w:type="spellEnd"/>
      <w:r w:rsidR="00BE7E3F" w:rsidRPr="009346FA">
        <w:rPr>
          <w:sz w:val="22"/>
          <w:szCs w:val="22"/>
          <w:lang w:val="en-GB"/>
        </w:rPr>
        <w:t xml:space="preserve"> (ECM) and </w:t>
      </w:r>
      <w:proofErr w:type="spellStart"/>
      <w:r w:rsidRPr="009346FA">
        <w:rPr>
          <w:i/>
          <w:sz w:val="22"/>
          <w:szCs w:val="22"/>
          <w:lang w:val="en-GB" w:eastAsia="en-US"/>
        </w:rPr>
        <w:t>G</w:t>
      </w:r>
      <w:r w:rsidRPr="009346FA">
        <w:rPr>
          <w:i/>
          <w:sz w:val="22"/>
          <w:szCs w:val="22"/>
          <w:vertAlign w:val="subscript"/>
          <w:lang w:val="en-GB" w:eastAsia="en-US"/>
        </w:rPr>
        <w:t>IIc</w:t>
      </w:r>
      <w:proofErr w:type="spellEnd"/>
      <w:r w:rsidRPr="009346FA">
        <w:rPr>
          <w:sz w:val="22"/>
          <w:szCs w:val="22"/>
          <w:lang w:val="en-GB"/>
        </w:rPr>
        <w:t xml:space="preserve"> </w:t>
      </w:r>
      <w:r w:rsidR="00BE7E3F" w:rsidRPr="009346FA">
        <w:rPr>
          <w:sz w:val="22"/>
          <w:szCs w:val="22"/>
          <w:lang w:val="en-GB"/>
        </w:rPr>
        <w:t>(SBT), havin</w:t>
      </w:r>
      <w:r w:rsidRPr="009346FA">
        <w:rPr>
          <w:sz w:val="22"/>
          <w:szCs w:val="22"/>
          <w:lang w:val="en-GB"/>
        </w:rPr>
        <w:t>g differences of more than a 20</w:t>
      </w:r>
      <w:r w:rsidR="00BE7E3F" w:rsidRPr="009346FA">
        <w:rPr>
          <w:sz w:val="22"/>
          <w:szCs w:val="22"/>
          <w:lang w:val="en-GB"/>
        </w:rPr>
        <w:t xml:space="preserve">% in the </w:t>
      </w:r>
      <w:r w:rsidR="00005128">
        <w:rPr>
          <w:sz w:val="22"/>
          <w:szCs w:val="22"/>
          <w:lang w:val="en-GB"/>
        </w:rPr>
        <w:t>average</w:t>
      </w:r>
      <w:r w:rsidR="00BE7E3F" w:rsidRPr="009346FA">
        <w:rPr>
          <w:sz w:val="22"/>
          <w:szCs w:val="22"/>
          <w:lang w:val="en-GB"/>
        </w:rPr>
        <w:t xml:space="preserve"> value). Furthermore, the average fracture toughness of each batch results in large SD for all test methods, probably </w:t>
      </w:r>
      <w:proofErr w:type="gramStart"/>
      <w:r w:rsidR="00BE7E3F" w:rsidRPr="009346FA">
        <w:rPr>
          <w:sz w:val="22"/>
          <w:szCs w:val="22"/>
          <w:lang w:val="en-GB"/>
        </w:rPr>
        <w:t>due to the fact that</w:t>
      </w:r>
      <w:proofErr w:type="gramEnd"/>
      <w:r w:rsidR="00BE7E3F" w:rsidRPr="009346FA">
        <w:rPr>
          <w:sz w:val="22"/>
          <w:szCs w:val="22"/>
          <w:lang w:val="en-GB"/>
        </w:rPr>
        <w:t xml:space="preserve"> each batch contains specimens from different panels. However, the discrepancies between the data reduction methods are too large to </w:t>
      </w:r>
      <w:proofErr w:type="gramStart"/>
      <w:r w:rsidR="00BE7E3F" w:rsidRPr="009346FA">
        <w:rPr>
          <w:sz w:val="22"/>
          <w:szCs w:val="22"/>
          <w:lang w:val="en-GB"/>
        </w:rPr>
        <w:t>be considered</w:t>
      </w:r>
      <w:proofErr w:type="gramEnd"/>
      <w:r w:rsidR="00BE7E3F" w:rsidRPr="009346FA">
        <w:rPr>
          <w:sz w:val="22"/>
          <w:szCs w:val="22"/>
          <w:lang w:val="en-GB"/>
        </w:rPr>
        <w:t xml:space="preserve"> as material heterogeneity. Therefore, </w:t>
      </w:r>
      <w:proofErr w:type="gramStart"/>
      <w:r w:rsidR="00BE7E3F" w:rsidRPr="009346FA">
        <w:rPr>
          <w:sz w:val="22"/>
          <w:szCs w:val="22"/>
          <w:lang w:val="en-GB"/>
        </w:rPr>
        <w:t>to a large extent</w:t>
      </w:r>
      <w:proofErr w:type="gramEnd"/>
      <w:r w:rsidR="00005128">
        <w:rPr>
          <w:sz w:val="22"/>
          <w:szCs w:val="22"/>
          <w:lang w:val="en-GB"/>
        </w:rPr>
        <w:t>,</w:t>
      </w:r>
      <w:r w:rsidR="00BE7E3F" w:rsidRPr="009346FA">
        <w:rPr>
          <w:sz w:val="22"/>
          <w:szCs w:val="22"/>
          <w:lang w:val="en-GB"/>
        </w:rPr>
        <w:t xml:space="preserve"> they must be attributed to the data reduction method used. </w:t>
      </w:r>
    </w:p>
    <w:p w:rsidR="00E76AF6" w:rsidRPr="009346FA" w:rsidRDefault="00E76AF6" w:rsidP="00BE7E3F">
      <w:pPr>
        <w:jc w:val="both"/>
        <w:rPr>
          <w:sz w:val="22"/>
          <w:szCs w:val="22"/>
          <w:lang w:val="en-GB"/>
        </w:rPr>
      </w:pPr>
    </w:p>
    <w:p w:rsidR="00BE7E3F" w:rsidRPr="009346FA" w:rsidRDefault="00BE7E3F" w:rsidP="00BE7E3F">
      <w:pPr>
        <w:jc w:val="both"/>
        <w:rPr>
          <w:sz w:val="22"/>
          <w:szCs w:val="22"/>
          <w:lang w:val="en-GB"/>
        </w:rPr>
      </w:pPr>
      <w:r w:rsidRPr="009346FA">
        <w:rPr>
          <w:sz w:val="22"/>
          <w:szCs w:val="22"/>
          <w:lang w:val="en-GB"/>
        </w:rPr>
        <w:t>From the comparison between M1 and M2, the authors expected no changes in the fracture toughness, because the adhesive layer was the same</w:t>
      </w:r>
      <w:r w:rsidR="00005128">
        <w:rPr>
          <w:sz w:val="22"/>
          <w:szCs w:val="22"/>
          <w:lang w:val="en-GB"/>
        </w:rPr>
        <w:t xml:space="preserve">, and the properties between </w:t>
      </w:r>
      <w:proofErr w:type="spellStart"/>
      <w:r w:rsidR="00005128">
        <w:rPr>
          <w:sz w:val="22"/>
          <w:szCs w:val="22"/>
          <w:lang w:val="en-GB"/>
        </w:rPr>
        <w:t>adherends</w:t>
      </w:r>
      <w:proofErr w:type="spellEnd"/>
      <w:r w:rsidR="00005128">
        <w:rPr>
          <w:sz w:val="22"/>
          <w:szCs w:val="22"/>
          <w:lang w:val="en-GB"/>
        </w:rPr>
        <w:t xml:space="preserve"> are similar</w:t>
      </w:r>
      <w:r w:rsidRPr="009346FA">
        <w:rPr>
          <w:sz w:val="22"/>
          <w:szCs w:val="22"/>
          <w:lang w:val="en-GB"/>
        </w:rPr>
        <w:t xml:space="preserve">. In this sense, the </w:t>
      </w:r>
      <w:r w:rsidR="0039779B" w:rsidRPr="009346FA">
        <w:rPr>
          <w:i/>
          <w:sz w:val="22"/>
          <w:szCs w:val="22"/>
          <w:lang w:val="en-GB" w:eastAsia="en-US"/>
        </w:rPr>
        <w:t>J-</w:t>
      </w:r>
      <w:r w:rsidR="0039779B" w:rsidRPr="009346FA">
        <w:rPr>
          <w:sz w:val="22"/>
          <w:szCs w:val="22"/>
          <w:lang w:val="en-GB" w:eastAsia="en-US"/>
        </w:rPr>
        <w:t>integral</w:t>
      </w:r>
      <w:r w:rsidR="00DC0B22" w:rsidRPr="009346FA">
        <w:rPr>
          <w:sz w:val="22"/>
          <w:szCs w:val="22"/>
          <w:lang w:val="en-GB"/>
        </w:rPr>
        <w:t xml:space="preserve"> </w:t>
      </w:r>
      <w:r w:rsidRPr="009346FA">
        <w:rPr>
          <w:sz w:val="22"/>
          <w:szCs w:val="22"/>
          <w:lang w:val="en-GB"/>
        </w:rPr>
        <w:t xml:space="preserve">and the CBTE are the data reduction methods that provide fewer differences between both materials, with </w:t>
      </w:r>
      <w:proofErr w:type="spellStart"/>
      <w:r w:rsidR="00DC0B22" w:rsidRPr="009346FA">
        <w:rPr>
          <w:i/>
          <w:sz w:val="22"/>
          <w:szCs w:val="22"/>
          <w:lang w:val="en-GB" w:eastAsia="en-US"/>
        </w:rPr>
        <w:t>J</w:t>
      </w:r>
      <w:r w:rsidR="00DC0B22" w:rsidRPr="009346FA">
        <w:rPr>
          <w:i/>
          <w:sz w:val="22"/>
          <w:szCs w:val="22"/>
          <w:vertAlign w:val="subscript"/>
          <w:lang w:val="en-GB" w:eastAsia="en-US"/>
        </w:rPr>
        <w:t>IIc</w:t>
      </w:r>
      <w:proofErr w:type="spellEnd"/>
      <w:r w:rsidRPr="009346FA">
        <w:rPr>
          <w:sz w:val="22"/>
          <w:szCs w:val="22"/>
          <w:lang w:val="en-GB"/>
        </w:rPr>
        <w:t xml:space="preserve"> </w:t>
      </w:r>
      <w:r w:rsidR="00005128">
        <w:rPr>
          <w:sz w:val="22"/>
          <w:szCs w:val="22"/>
          <w:lang w:val="en-GB"/>
        </w:rPr>
        <w:t xml:space="preserve">giving the smallest difference. </w:t>
      </w:r>
      <w:r w:rsidRPr="009346FA">
        <w:rPr>
          <w:sz w:val="22"/>
          <w:szCs w:val="22"/>
          <w:lang w:val="en-GB"/>
        </w:rPr>
        <w:t>The relative error between bo</w:t>
      </w:r>
      <w:r w:rsidR="00DC0B22" w:rsidRPr="009346FA">
        <w:rPr>
          <w:sz w:val="22"/>
          <w:szCs w:val="22"/>
          <w:lang w:val="en-GB"/>
        </w:rPr>
        <w:t>th methodologies is less than 6</w:t>
      </w:r>
      <w:r w:rsidRPr="009346FA">
        <w:rPr>
          <w:sz w:val="22"/>
          <w:szCs w:val="22"/>
          <w:lang w:val="en-GB"/>
        </w:rPr>
        <w:t>%.</w:t>
      </w:r>
    </w:p>
    <w:p w:rsidR="00E01639" w:rsidRPr="009346FA" w:rsidRDefault="00BE7E3F" w:rsidP="00BE7E3F">
      <w:pPr>
        <w:jc w:val="both"/>
        <w:rPr>
          <w:sz w:val="22"/>
          <w:szCs w:val="22"/>
          <w:lang w:val="en-GB"/>
        </w:rPr>
      </w:pPr>
      <w:r w:rsidRPr="009346FA">
        <w:rPr>
          <w:sz w:val="22"/>
          <w:szCs w:val="22"/>
          <w:lang w:val="en-GB"/>
        </w:rPr>
        <w:t xml:space="preserve">A discrepancy of </w:t>
      </w:r>
      <w:proofErr w:type="spellStart"/>
      <w:r w:rsidR="00DC0B22" w:rsidRPr="009346FA">
        <w:rPr>
          <w:i/>
          <w:sz w:val="22"/>
          <w:szCs w:val="22"/>
          <w:lang w:val="en-GB" w:eastAsia="en-US"/>
        </w:rPr>
        <w:t>G</w:t>
      </w:r>
      <w:r w:rsidR="00DC0B22" w:rsidRPr="009346FA">
        <w:rPr>
          <w:i/>
          <w:sz w:val="22"/>
          <w:szCs w:val="22"/>
          <w:vertAlign w:val="subscript"/>
          <w:lang w:val="en-GB" w:eastAsia="en-US"/>
        </w:rPr>
        <w:t>IIc</w:t>
      </w:r>
      <w:proofErr w:type="spellEnd"/>
      <w:r w:rsidR="0039779B" w:rsidRPr="009346FA">
        <w:rPr>
          <w:i/>
          <w:sz w:val="22"/>
          <w:szCs w:val="22"/>
          <w:vertAlign w:val="subscript"/>
          <w:lang w:val="en-GB" w:eastAsia="en-US"/>
        </w:rPr>
        <w:t xml:space="preserve"> </w:t>
      </w:r>
      <w:r w:rsidRPr="009346FA">
        <w:rPr>
          <w:sz w:val="22"/>
          <w:szCs w:val="22"/>
          <w:lang w:val="en-GB"/>
        </w:rPr>
        <w:t xml:space="preserve">(ECM) and </w:t>
      </w:r>
      <w:proofErr w:type="spellStart"/>
      <w:r w:rsidR="00DC0B22" w:rsidRPr="009346FA">
        <w:rPr>
          <w:i/>
          <w:sz w:val="22"/>
          <w:szCs w:val="22"/>
          <w:lang w:val="en-GB" w:eastAsia="en-US"/>
        </w:rPr>
        <w:t>G</w:t>
      </w:r>
      <w:r w:rsidR="00DC0B22" w:rsidRPr="009346FA">
        <w:rPr>
          <w:i/>
          <w:sz w:val="22"/>
          <w:szCs w:val="22"/>
          <w:vertAlign w:val="subscript"/>
          <w:lang w:val="en-GB" w:eastAsia="en-US"/>
        </w:rPr>
        <w:t>IIc</w:t>
      </w:r>
      <w:proofErr w:type="spellEnd"/>
      <w:r w:rsidR="00DC0B22" w:rsidRPr="009346FA">
        <w:rPr>
          <w:sz w:val="22"/>
          <w:szCs w:val="22"/>
          <w:lang w:val="en-GB"/>
        </w:rPr>
        <w:t xml:space="preserve"> </w:t>
      </w:r>
      <w:r w:rsidRPr="009346FA">
        <w:rPr>
          <w:sz w:val="22"/>
          <w:szCs w:val="22"/>
          <w:lang w:val="en-GB"/>
        </w:rPr>
        <w:t xml:space="preserve">(SBT) results compared to those obtained with the CBTE method </w:t>
      </w:r>
      <w:proofErr w:type="gramStart"/>
      <w:r w:rsidRPr="009346FA">
        <w:rPr>
          <w:sz w:val="22"/>
          <w:szCs w:val="22"/>
          <w:lang w:val="en-GB"/>
        </w:rPr>
        <w:t>was expected</w:t>
      </w:r>
      <w:proofErr w:type="gramEnd"/>
      <w:r w:rsidRPr="009346FA">
        <w:rPr>
          <w:sz w:val="22"/>
          <w:szCs w:val="22"/>
          <w:lang w:val="en-GB"/>
        </w:rPr>
        <w:t>, as this has been stated in a round-robin study on carbon-fibre ep</w:t>
      </w:r>
      <w:r w:rsidR="004F60C3" w:rsidRPr="009346FA">
        <w:rPr>
          <w:sz w:val="22"/>
          <w:szCs w:val="22"/>
          <w:lang w:val="en-GB"/>
        </w:rPr>
        <w:t>oxy material [2</w:t>
      </w:r>
      <w:r w:rsidR="009346FA">
        <w:rPr>
          <w:sz w:val="22"/>
          <w:szCs w:val="22"/>
          <w:lang w:val="en-GB"/>
        </w:rPr>
        <w:t>8</w:t>
      </w:r>
      <w:r w:rsidR="004F60C3" w:rsidRPr="009346FA">
        <w:rPr>
          <w:sz w:val="22"/>
          <w:szCs w:val="22"/>
          <w:lang w:val="en-GB"/>
        </w:rPr>
        <w:t>]</w:t>
      </w:r>
      <w:r w:rsidRPr="009346FA">
        <w:rPr>
          <w:sz w:val="22"/>
          <w:szCs w:val="22"/>
          <w:lang w:val="en-GB"/>
        </w:rPr>
        <w:t>.</w:t>
      </w:r>
    </w:p>
    <w:p w:rsidR="00E01639" w:rsidRPr="009346FA" w:rsidRDefault="00E01639" w:rsidP="00556716">
      <w:pPr>
        <w:jc w:val="both"/>
        <w:rPr>
          <w:sz w:val="22"/>
          <w:szCs w:val="22"/>
          <w:lang w:val="en-GB"/>
        </w:rPr>
      </w:pPr>
    </w:p>
    <w:p w:rsidR="00DC0B22" w:rsidRPr="009346FA" w:rsidRDefault="00DC0B22" w:rsidP="00DC0B22">
      <w:pPr>
        <w:jc w:val="both"/>
        <w:rPr>
          <w:sz w:val="22"/>
          <w:szCs w:val="22"/>
          <w:lang w:val="en-GB"/>
        </w:rPr>
      </w:pPr>
      <w:r w:rsidRPr="009346FA">
        <w:rPr>
          <w:sz w:val="22"/>
          <w:szCs w:val="22"/>
          <w:lang w:val="en-GB"/>
        </w:rPr>
        <w:t xml:space="preserve">Similarly to what it </w:t>
      </w:r>
      <w:proofErr w:type="gramStart"/>
      <w:r w:rsidRPr="009346FA">
        <w:rPr>
          <w:sz w:val="22"/>
          <w:szCs w:val="22"/>
          <w:lang w:val="en-GB"/>
        </w:rPr>
        <w:t>is observed</w:t>
      </w:r>
      <w:proofErr w:type="gramEnd"/>
      <w:r w:rsidRPr="009346FA">
        <w:rPr>
          <w:sz w:val="22"/>
          <w:szCs w:val="22"/>
          <w:lang w:val="en-GB"/>
        </w:rPr>
        <w:t xml:space="preserve"> in the ELS results, </w:t>
      </w:r>
      <w:r w:rsidR="0039779B" w:rsidRPr="009346FA">
        <w:rPr>
          <w:sz w:val="22"/>
          <w:szCs w:val="22"/>
          <w:lang w:val="en-GB"/>
        </w:rPr>
        <w:t xml:space="preserve">in the ENF test </w:t>
      </w:r>
      <w:r w:rsidRPr="009346FA">
        <w:rPr>
          <w:sz w:val="22"/>
          <w:szCs w:val="22"/>
          <w:lang w:val="en-GB"/>
        </w:rPr>
        <w:t>ther</w:t>
      </w:r>
      <w:r w:rsidR="00E76AF6" w:rsidRPr="009346FA">
        <w:rPr>
          <w:sz w:val="22"/>
          <w:szCs w:val="22"/>
          <w:lang w:val="en-GB"/>
        </w:rPr>
        <w:t>e are significant differences between</w:t>
      </w:r>
      <w:r w:rsidRPr="009346FA">
        <w:rPr>
          <w:sz w:val="22"/>
          <w:szCs w:val="22"/>
          <w:lang w:val="en-GB"/>
        </w:rPr>
        <w:t xml:space="preserve"> some of the methods (of more than 20%). </w:t>
      </w:r>
    </w:p>
    <w:p w:rsidR="00DC0B22" w:rsidRPr="009346FA" w:rsidRDefault="00DC0B22" w:rsidP="00DC0B22">
      <w:pPr>
        <w:jc w:val="both"/>
        <w:rPr>
          <w:sz w:val="22"/>
          <w:szCs w:val="22"/>
          <w:lang w:val="en-GB"/>
        </w:rPr>
      </w:pPr>
      <w:r w:rsidRPr="009346FA">
        <w:rPr>
          <w:sz w:val="22"/>
          <w:szCs w:val="22"/>
          <w:lang w:val="en-GB"/>
        </w:rPr>
        <w:t>Only the</w:t>
      </w:r>
      <w:r w:rsidRPr="009346FA">
        <w:rPr>
          <w:i/>
          <w:sz w:val="22"/>
          <w:szCs w:val="22"/>
          <w:lang w:val="en-GB" w:eastAsia="en-US"/>
        </w:rPr>
        <w:t xml:space="preserve"> </w:t>
      </w:r>
      <w:r w:rsidR="0039779B" w:rsidRPr="009346FA">
        <w:rPr>
          <w:i/>
          <w:sz w:val="22"/>
          <w:szCs w:val="22"/>
          <w:lang w:val="en-GB" w:eastAsia="en-US"/>
        </w:rPr>
        <w:t>J-</w:t>
      </w:r>
      <w:r w:rsidR="0039779B" w:rsidRPr="009346FA">
        <w:rPr>
          <w:sz w:val="22"/>
          <w:szCs w:val="22"/>
          <w:lang w:val="en-GB" w:eastAsia="en-US"/>
        </w:rPr>
        <w:t>integral</w:t>
      </w:r>
      <w:r w:rsidR="0039779B" w:rsidRPr="009346FA">
        <w:rPr>
          <w:sz w:val="22"/>
          <w:szCs w:val="22"/>
          <w:lang w:val="en-GB"/>
        </w:rPr>
        <w:t xml:space="preserve"> </w:t>
      </w:r>
      <w:r w:rsidRPr="009346FA">
        <w:rPr>
          <w:sz w:val="22"/>
          <w:szCs w:val="22"/>
          <w:lang w:val="en-GB"/>
        </w:rPr>
        <w:t xml:space="preserve">and CCM provide values of </w:t>
      </w:r>
      <w:proofErr w:type="spellStart"/>
      <w:r w:rsidRPr="009346FA">
        <w:rPr>
          <w:i/>
          <w:sz w:val="22"/>
          <w:szCs w:val="22"/>
          <w:lang w:val="en-GB" w:eastAsia="en-US"/>
        </w:rPr>
        <w:t>G</w:t>
      </w:r>
      <w:r w:rsidRPr="009346FA">
        <w:rPr>
          <w:i/>
          <w:sz w:val="22"/>
          <w:szCs w:val="22"/>
          <w:vertAlign w:val="subscript"/>
          <w:lang w:val="en-GB" w:eastAsia="en-US"/>
        </w:rPr>
        <w:t>IIc</w:t>
      </w:r>
      <w:proofErr w:type="spellEnd"/>
      <w:r w:rsidRPr="009346FA">
        <w:rPr>
          <w:sz w:val="22"/>
          <w:szCs w:val="22"/>
          <w:lang w:val="en-GB"/>
        </w:rPr>
        <w:t xml:space="preserve"> closer to those obtained from the ELS test. Besides this, both methods are independent of the </w:t>
      </w:r>
      <w:proofErr w:type="spellStart"/>
      <w:r w:rsidRPr="009346FA">
        <w:rPr>
          <w:sz w:val="22"/>
          <w:szCs w:val="22"/>
          <w:lang w:val="en-GB"/>
        </w:rPr>
        <w:t>adherend</w:t>
      </w:r>
      <w:proofErr w:type="spellEnd"/>
      <w:r w:rsidRPr="009346FA">
        <w:rPr>
          <w:sz w:val="22"/>
          <w:szCs w:val="22"/>
          <w:lang w:val="en-GB"/>
        </w:rPr>
        <w:t xml:space="preserve"> used, having small differences, of less than 2%, in the fracture toughness measurement between M1 and M2.</w:t>
      </w:r>
    </w:p>
    <w:p w:rsidR="00DC0B22" w:rsidRPr="009346FA" w:rsidRDefault="00DC0B22" w:rsidP="00DC0B22">
      <w:pPr>
        <w:jc w:val="both"/>
        <w:rPr>
          <w:sz w:val="22"/>
          <w:szCs w:val="22"/>
          <w:lang w:val="en-GB"/>
        </w:rPr>
      </w:pPr>
    </w:p>
    <w:p w:rsidR="00E01639" w:rsidRPr="009346FA" w:rsidRDefault="0039779B" w:rsidP="0039779B">
      <w:pPr>
        <w:jc w:val="both"/>
        <w:rPr>
          <w:sz w:val="22"/>
          <w:szCs w:val="22"/>
          <w:lang w:val="en-GB"/>
        </w:rPr>
      </w:pPr>
      <w:r w:rsidRPr="009346FA">
        <w:rPr>
          <w:sz w:val="22"/>
          <w:szCs w:val="22"/>
          <w:lang w:val="en-GB"/>
        </w:rPr>
        <w:t xml:space="preserve">In the 4ENF test none of the data reduction methods takes into account the friction effects, albeit except for the </w:t>
      </w:r>
      <w:r w:rsidRPr="009346FA">
        <w:rPr>
          <w:i/>
          <w:sz w:val="22"/>
          <w:szCs w:val="22"/>
          <w:lang w:val="en-GB" w:eastAsia="en-US"/>
        </w:rPr>
        <w:t>J-</w:t>
      </w:r>
      <w:r w:rsidRPr="009346FA">
        <w:rPr>
          <w:sz w:val="22"/>
          <w:szCs w:val="22"/>
          <w:lang w:val="en-GB" w:eastAsia="en-US"/>
        </w:rPr>
        <w:t>integral</w:t>
      </w:r>
      <w:r w:rsidRPr="009346FA">
        <w:rPr>
          <w:sz w:val="22"/>
          <w:szCs w:val="22"/>
          <w:lang w:val="en-GB"/>
        </w:rPr>
        <w:t xml:space="preserve">, in which the friction coefficient is defined as </w:t>
      </w:r>
      <w:r w:rsidRPr="009346FA">
        <w:rPr>
          <w:i/>
          <w:sz w:val="22"/>
          <w:szCs w:val="22"/>
          <w:lang w:val="en-GB"/>
        </w:rPr>
        <w:t>µ</w:t>
      </w:r>
      <w:r w:rsidR="00316490" w:rsidRPr="009346FA">
        <w:rPr>
          <w:sz w:val="22"/>
          <w:szCs w:val="22"/>
          <w:lang w:val="en-GB"/>
        </w:rPr>
        <w:t xml:space="preserve"> = 0.345 [5]</w:t>
      </w:r>
      <w:r w:rsidRPr="009346FA">
        <w:rPr>
          <w:sz w:val="22"/>
          <w:szCs w:val="22"/>
          <w:lang w:val="en-GB"/>
        </w:rPr>
        <w:t xml:space="preserve">. The </w:t>
      </w:r>
      <w:r w:rsidRPr="009346FA">
        <w:rPr>
          <w:i/>
          <w:sz w:val="22"/>
          <w:szCs w:val="22"/>
          <w:lang w:val="en-GB" w:eastAsia="en-US"/>
        </w:rPr>
        <w:t>J-</w:t>
      </w:r>
      <w:r w:rsidRPr="009346FA">
        <w:rPr>
          <w:sz w:val="22"/>
          <w:szCs w:val="22"/>
          <w:lang w:val="en-GB" w:eastAsia="en-US"/>
        </w:rPr>
        <w:t>integral</w:t>
      </w:r>
      <w:r w:rsidRPr="009346FA">
        <w:rPr>
          <w:sz w:val="22"/>
          <w:szCs w:val="22"/>
          <w:lang w:val="en-GB"/>
        </w:rPr>
        <w:t xml:space="preserve"> offers similar results to those obtained from the ENF and ELS tests. Results from the CCM are also in </w:t>
      </w:r>
      <w:proofErr w:type="gramStart"/>
      <w:r w:rsidRPr="009346FA">
        <w:rPr>
          <w:sz w:val="22"/>
          <w:szCs w:val="22"/>
          <w:lang w:val="en-GB"/>
        </w:rPr>
        <w:t>fairly good</w:t>
      </w:r>
      <w:proofErr w:type="gramEnd"/>
      <w:r w:rsidRPr="009346FA">
        <w:rPr>
          <w:sz w:val="22"/>
          <w:szCs w:val="22"/>
          <w:lang w:val="en-GB"/>
        </w:rPr>
        <w:t xml:space="preserve"> agreement with those obtained from the other tests. On the other hand, large differences </w:t>
      </w:r>
      <w:proofErr w:type="gramStart"/>
      <w:r w:rsidRPr="009346FA">
        <w:rPr>
          <w:sz w:val="22"/>
          <w:szCs w:val="22"/>
          <w:lang w:val="en-GB"/>
        </w:rPr>
        <w:t>are encountered</w:t>
      </w:r>
      <w:proofErr w:type="gramEnd"/>
      <w:r w:rsidRPr="009346FA">
        <w:rPr>
          <w:sz w:val="22"/>
          <w:szCs w:val="22"/>
          <w:lang w:val="en-GB"/>
        </w:rPr>
        <w:t xml:space="preserve"> in the methods that directly depend on the crack length measurement, i.e. BT and AREA. Despite also depending on the crack length measurements, like the CCM, the ECM provides acceptable results of </w:t>
      </w:r>
      <w:proofErr w:type="spellStart"/>
      <w:r w:rsidRPr="009346FA">
        <w:rPr>
          <w:i/>
          <w:sz w:val="22"/>
          <w:szCs w:val="22"/>
          <w:lang w:val="en-GB" w:eastAsia="en-US"/>
        </w:rPr>
        <w:t>G</w:t>
      </w:r>
      <w:r w:rsidRPr="009346FA">
        <w:rPr>
          <w:i/>
          <w:sz w:val="22"/>
          <w:szCs w:val="22"/>
          <w:vertAlign w:val="subscript"/>
          <w:lang w:val="en-GB" w:eastAsia="en-US"/>
        </w:rPr>
        <w:t>IIc</w:t>
      </w:r>
      <w:proofErr w:type="spellEnd"/>
      <w:r w:rsidRPr="009346FA">
        <w:rPr>
          <w:sz w:val="22"/>
          <w:szCs w:val="22"/>
          <w:lang w:val="en-GB"/>
        </w:rPr>
        <w:t xml:space="preserve"> (less than 10% difference). The </w:t>
      </w:r>
      <w:proofErr w:type="gramStart"/>
      <w:r w:rsidRPr="009346FA">
        <w:rPr>
          <w:sz w:val="22"/>
          <w:szCs w:val="22"/>
          <w:lang w:val="en-GB"/>
        </w:rPr>
        <w:t xml:space="preserve">discrepancies between the </w:t>
      </w:r>
      <w:r w:rsidRPr="009346FA">
        <w:rPr>
          <w:i/>
          <w:sz w:val="22"/>
          <w:szCs w:val="22"/>
          <w:lang w:val="en-GB" w:eastAsia="en-US"/>
        </w:rPr>
        <w:t>J-</w:t>
      </w:r>
      <w:r w:rsidRPr="009346FA">
        <w:rPr>
          <w:sz w:val="22"/>
          <w:szCs w:val="22"/>
          <w:lang w:val="en-GB" w:eastAsia="en-US"/>
        </w:rPr>
        <w:t>integral</w:t>
      </w:r>
      <w:r w:rsidRPr="009346FA">
        <w:rPr>
          <w:sz w:val="22"/>
          <w:szCs w:val="22"/>
          <w:lang w:val="en-GB"/>
        </w:rPr>
        <w:t xml:space="preserve"> and the other methods can be explained by the friction effects</w:t>
      </w:r>
      <w:r w:rsidR="00005128">
        <w:rPr>
          <w:sz w:val="22"/>
          <w:szCs w:val="22"/>
          <w:lang w:val="en-GB"/>
        </w:rPr>
        <w:t xml:space="preserve"> and the difficulties in the</w:t>
      </w:r>
      <w:r w:rsidRPr="009346FA">
        <w:rPr>
          <w:sz w:val="22"/>
          <w:szCs w:val="22"/>
          <w:lang w:val="en-GB"/>
        </w:rPr>
        <w:t xml:space="preserve"> crack length measurement</w:t>
      </w:r>
      <w:proofErr w:type="gramEnd"/>
      <w:r w:rsidRPr="009346FA">
        <w:rPr>
          <w:sz w:val="22"/>
          <w:szCs w:val="22"/>
          <w:lang w:val="en-GB"/>
        </w:rPr>
        <w:t xml:space="preserve">.  </w:t>
      </w:r>
    </w:p>
    <w:p w:rsidR="0039779B" w:rsidRPr="009346FA" w:rsidRDefault="0039779B" w:rsidP="0039779B">
      <w:pPr>
        <w:jc w:val="both"/>
        <w:rPr>
          <w:sz w:val="22"/>
          <w:szCs w:val="22"/>
          <w:lang w:val="en-GB"/>
        </w:rPr>
      </w:pPr>
    </w:p>
    <w:p w:rsidR="003E5F11" w:rsidRPr="009346FA" w:rsidRDefault="0039779B" w:rsidP="0039779B">
      <w:pPr>
        <w:jc w:val="both"/>
        <w:rPr>
          <w:sz w:val="22"/>
          <w:szCs w:val="22"/>
          <w:lang w:val="en-GB"/>
        </w:rPr>
      </w:pPr>
      <w:r w:rsidRPr="009346FA">
        <w:rPr>
          <w:sz w:val="22"/>
          <w:szCs w:val="22"/>
          <w:lang w:val="en-GB"/>
        </w:rPr>
        <w:t>For the MMB specimens, the results obtained following the MMB test standard</w:t>
      </w:r>
      <w:r w:rsidR="00AF4948" w:rsidRPr="009346FA">
        <w:rPr>
          <w:sz w:val="22"/>
          <w:szCs w:val="22"/>
          <w:lang w:val="en-GB"/>
        </w:rPr>
        <w:t xml:space="preserve"> [3]</w:t>
      </w:r>
      <w:r w:rsidRPr="009346FA">
        <w:rPr>
          <w:sz w:val="22"/>
          <w:szCs w:val="22"/>
          <w:lang w:val="en-GB"/>
        </w:rPr>
        <w:t xml:space="preserve"> (</w:t>
      </w:r>
      <w:proofErr w:type="spellStart"/>
      <w:r w:rsidRPr="009346FA">
        <w:rPr>
          <w:i/>
          <w:sz w:val="22"/>
          <w:szCs w:val="22"/>
          <w:lang w:val="en-GB" w:eastAsia="en-US"/>
        </w:rPr>
        <w:t>G</w:t>
      </w:r>
      <w:r w:rsidRPr="009346FA">
        <w:rPr>
          <w:i/>
          <w:sz w:val="22"/>
          <w:szCs w:val="22"/>
          <w:vertAlign w:val="subscript"/>
          <w:lang w:val="en-GB" w:eastAsia="en-US"/>
        </w:rPr>
        <w:t>IIc</w:t>
      </w:r>
      <w:proofErr w:type="spellEnd"/>
      <w:r w:rsidRPr="009346FA">
        <w:rPr>
          <w:sz w:val="22"/>
          <w:szCs w:val="22"/>
          <w:lang w:val="en-GB"/>
        </w:rPr>
        <w:t xml:space="preserve">) are higher than those obtained in the ENF, ELS or 4ENF tests, similar to what occurred in the previous test </w:t>
      </w:r>
      <w:r w:rsidRPr="009346FA">
        <w:rPr>
          <w:sz w:val="22"/>
          <w:szCs w:val="22"/>
          <w:lang w:val="en-GB"/>
        </w:rPr>
        <w:lastRenderedPageBreak/>
        <w:t xml:space="preserve">methodologies that depend on crack length measurements. Again the </w:t>
      </w:r>
      <w:proofErr w:type="spellStart"/>
      <w:r w:rsidRPr="009346FA">
        <w:rPr>
          <w:sz w:val="22"/>
          <w:szCs w:val="22"/>
          <w:lang w:val="en-GB"/>
        </w:rPr>
        <w:t>the</w:t>
      </w:r>
      <w:proofErr w:type="spellEnd"/>
      <w:r w:rsidRPr="009346FA">
        <w:rPr>
          <w:sz w:val="22"/>
          <w:szCs w:val="22"/>
          <w:lang w:val="en-GB"/>
        </w:rPr>
        <w:t xml:space="preserve"> </w:t>
      </w:r>
      <w:r w:rsidRPr="009346FA">
        <w:rPr>
          <w:i/>
          <w:sz w:val="22"/>
          <w:szCs w:val="22"/>
          <w:lang w:val="en-GB" w:eastAsia="en-US"/>
        </w:rPr>
        <w:t>J-</w:t>
      </w:r>
      <w:r w:rsidRPr="009346FA">
        <w:rPr>
          <w:sz w:val="22"/>
          <w:szCs w:val="22"/>
          <w:lang w:val="en-GB" w:eastAsia="en-US"/>
        </w:rPr>
        <w:t>integral</w:t>
      </w:r>
      <w:r w:rsidRPr="009346FA">
        <w:rPr>
          <w:sz w:val="22"/>
          <w:szCs w:val="22"/>
          <w:lang w:val="en-GB"/>
        </w:rPr>
        <w:t xml:space="preserve"> offers close values to the previous tests.</w:t>
      </w:r>
    </w:p>
    <w:p w:rsidR="00D20AD9" w:rsidRPr="009346FA" w:rsidRDefault="0039779B" w:rsidP="0039779B">
      <w:pPr>
        <w:jc w:val="both"/>
        <w:rPr>
          <w:sz w:val="22"/>
          <w:szCs w:val="22"/>
          <w:lang w:val="en-GB"/>
        </w:rPr>
      </w:pPr>
      <w:proofErr w:type="gramStart"/>
      <w:r w:rsidRPr="009346FA">
        <w:rPr>
          <w:sz w:val="22"/>
          <w:szCs w:val="22"/>
          <w:lang w:val="en-GB"/>
        </w:rPr>
        <w:t>To graphically observe</w:t>
      </w:r>
      <w:proofErr w:type="gramEnd"/>
      <w:r w:rsidRPr="009346FA">
        <w:rPr>
          <w:sz w:val="22"/>
          <w:szCs w:val="22"/>
          <w:lang w:val="en-GB"/>
        </w:rPr>
        <w:t xml:space="preserve"> the deviation between the methods, Fig. 2 shows the average results, with their corresponding standard deviation, for the </w:t>
      </w:r>
      <w:proofErr w:type="spellStart"/>
      <w:r w:rsidRPr="009346FA">
        <w:rPr>
          <w:i/>
          <w:sz w:val="22"/>
          <w:szCs w:val="22"/>
          <w:lang w:val="en-GB" w:eastAsia="en-US"/>
        </w:rPr>
        <w:t>J</w:t>
      </w:r>
      <w:r w:rsidRPr="009346FA">
        <w:rPr>
          <w:i/>
          <w:sz w:val="22"/>
          <w:szCs w:val="22"/>
          <w:vertAlign w:val="subscript"/>
          <w:lang w:val="en-GB" w:eastAsia="en-US"/>
        </w:rPr>
        <w:t>IIc</w:t>
      </w:r>
      <w:proofErr w:type="spellEnd"/>
      <w:r w:rsidRPr="009346FA">
        <w:rPr>
          <w:sz w:val="22"/>
          <w:szCs w:val="22"/>
          <w:lang w:val="en-GB"/>
        </w:rPr>
        <w:t xml:space="preserve"> and compliance calibration based methods. </w:t>
      </w:r>
    </w:p>
    <w:p w:rsidR="00B539C5" w:rsidRPr="009346FA" w:rsidRDefault="00B539C5" w:rsidP="0039779B">
      <w:pPr>
        <w:jc w:val="both"/>
        <w:rPr>
          <w:sz w:val="22"/>
          <w:szCs w:val="22"/>
          <w:lang w:val="en-GB"/>
        </w:rPr>
      </w:pPr>
    </w:p>
    <w:p w:rsidR="004B6204" w:rsidRPr="009346FA" w:rsidRDefault="00F06E54" w:rsidP="00D20AD9">
      <w:pPr>
        <w:jc w:val="center"/>
        <w:rPr>
          <w:sz w:val="22"/>
          <w:szCs w:val="22"/>
          <w:lang w:val="en-GB"/>
        </w:rPr>
      </w:pPr>
      <w:r>
        <w:rPr>
          <w:noProof/>
          <w:sz w:val="22"/>
          <w:szCs w:val="22"/>
          <w:lang w:val="es-ES" w:eastAsia="es-ES"/>
        </w:rPr>
        <w:drawing>
          <wp:inline distT="0" distB="0" distL="0" distR="0">
            <wp:extent cx="3099822" cy="2167132"/>
            <wp:effectExtent l="0" t="0" r="571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ll_J-int.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99822" cy="2167132"/>
                    </a:xfrm>
                    <a:prstGeom prst="rect">
                      <a:avLst/>
                    </a:prstGeom>
                  </pic:spPr>
                </pic:pic>
              </a:graphicData>
            </a:graphic>
          </wp:inline>
        </w:drawing>
      </w:r>
    </w:p>
    <w:p w:rsidR="00D20AD9" w:rsidRPr="009346FA" w:rsidRDefault="00D20AD9" w:rsidP="00D20AD9">
      <w:pPr>
        <w:rPr>
          <w:sz w:val="22"/>
          <w:szCs w:val="22"/>
          <w:lang w:val="en-GB"/>
        </w:rPr>
      </w:pPr>
    </w:p>
    <w:p w:rsidR="00D20AD9" w:rsidRPr="009346FA" w:rsidRDefault="00D20AD9" w:rsidP="00D20AD9">
      <w:pPr>
        <w:jc w:val="center"/>
        <w:rPr>
          <w:sz w:val="22"/>
          <w:szCs w:val="22"/>
          <w:lang w:val="en-GB"/>
        </w:rPr>
      </w:pPr>
      <w:r w:rsidRPr="009346FA">
        <w:rPr>
          <w:b/>
          <w:sz w:val="22"/>
          <w:szCs w:val="22"/>
          <w:lang w:val="en-GB"/>
        </w:rPr>
        <w:t>Figure 2.</w:t>
      </w:r>
      <w:r w:rsidRPr="009346FA">
        <w:rPr>
          <w:sz w:val="22"/>
          <w:szCs w:val="22"/>
          <w:lang w:val="en-GB"/>
        </w:rPr>
        <w:t xml:space="preserve"> Summary of </w:t>
      </w:r>
      <w:proofErr w:type="spellStart"/>
      <w:r w:rsidR="00EA62E5" w:rsidRPr="009346FA">
        <w:rPr>
          <w:i/>
          <w:sz w:val="22"/>
          <w:szCs w:val="22"/>
          <w:lang w:val="en-GB" w:eastAsia="en-US"/>
        </w:rPr>
        <w:t>J</w:t>
      </w:r>
      <w:r w:rsidR="00EA62E5" w:rsidRPr="009346FA">
        <w:rPr>
          <w:i/>
          <w:sz w:val="22"/>
          <w:szCs w:val="22"/>
          <w:vertAlign w:val="subscript"/>
          <w:lang w:val="en-GB" w:eastAsia="en-US"/>
        </w:rPr>
        <w:t>IIc</w:t>
      </w:r>
      <w:proofErr w:type="spellEnd"/>
      <w:r w:rsidR="00EA62E5" w:rsidRPr="009346FA">
        <w:rPr>
          <w:sz w:val="22"/>
          <w:szCs w:val="22"/>
          <w:lang w:val="en-GB"/>
        </w:rPr>
        <w:t xml:space="preserve"> </w:t>
      </w:r>
      <w:r w:rsidRPr="009346FA">
        <w:rPr>
          <w:sz w:val="22"/>
          <w:szCs w:val="22"/>
          <w:lang w:val="en-GB"/>
        </w:rPr>
        <w:t xml:space="preserve">results. Batch average and standard deviation of each batch normalized with respect to the </w:t>
      </w:r>
      <w:proofErr w:type="spellStart"/>
      <w:r w:rsidRPr="009346FA">
        <w:rPr>
          <w:i/>
          <w:sz w:val="22"/>
          <w:szCs w:val="22"/>
          <w:lang w:val="en-GB" w:eastAsia="en-US"/>
        </w:rPr>
        <w:t>J</w:t>
      </w:r>
      <w:r w:rsidRPr="009346FA">
        <w:rPr>
          <w:i/>
          <w:sz w:val="22"/>
          <w:szCs w:val="22"/>
          <w:vertAlign w:val="subscript"/>
          <w:lang w:val="en-GB" w:eastAsia="en-US"/>
        </w:rPr>
        <w:t>IIc</w:t>
      </w:r>
      <w:proofErr w:type="spellEnd"/>
      <w:r w:rsidRPr="009346FA">
        <w:rPr>
          <w:sz w:val="22"/>
          <w:szCs w:val="22"/>
          <w:lang w:val="en-GB"/>
        </w:rPr>
        <w:t xml:space="preserve"> average value from </w:t>
      </w:r>
      <w:r w:rsidR="004B6204" w:rsidRPr="009346FA">
        <w:rPr>
          <w:sz w:val="22"/>
          <w:szCs w:val="22"/>
          <w:lang w:val="en-GB"/>
        </w:rPr>
        <w:t>the M1 ELS batch</w:t>
      </w:r>
      <w:r w:rsidRPr="009346FA">
        <w:rPr>
          <w:sz w:val="22"/>
          <w:szCs w:val="22"/>
          <w:lang w:val="en-GB"/>
        </w:rPr>
        <w:t>.</w:t>
      </w:r>
    </w:p>
    <w:p w:rsidR="00D20AD9" w:rsidRPr="009346FA" w:rsidRDefault="00D20AD9" w:rsidP="0039779B">
      <w:pPr>
        <w:jc w:val="both"/>
        <w:rPr>
          <w:sz w:val="22"/>
          <w:szCs w:val="22"/>
          <w:lang w:val="en-GB"/>
        </w:rPr>
      </w:pPr>
    </w:p>
    <w:p w:rsidR="0039779B" w:rsidRPr="009346FA" w:rsidRDefault="0039779B" w:rsidP="0039779B">
      <w:pPr>
        <w:jc w:val="both"/>
        <w:rPr>
          <w:sz w:val="22"/>
          <w:szCs w:val="22"/>
          <w:lang w:val="en-GB"/>
        </w:rPr>
      </w:pPr>
      <w:r w:rsidRPr="009346FA">
        <w:rPr>
          <w:sz w:val="22"/>
          <w:szCs w:val="22"/>
          <w:lang w:val="en-GB"/>
        </w:rPr>
        <w:t xml:space="preserve">A very good agreement between </w:t>
      </w:r>
      <w:r w:rsidRPr="009346FA">
        <w:rPr>
          <w:i/>
          <w:sz w:val="22"/>
          <w:szCs w:val="22"/>
          <w:lang w:val="en-GB" w:eastAsia="en-US"/>
        </w:rPr>
        <w:t>J-</w:t>
      </w:r>
      <w:r w:rsidRPr="009346FA">
        <w:rPr>
          <w:sz w:val="22"/>
          <w:szCs w:val="22"/>
          <w:lang w:val="en-GB" w:eastAsia="en-US"/>
        </w:rPr>
        <w:t>integral</w:t>
      </w:r>
      <w:r w:rsidRPr="009346FA">
        <w:rPr>
          <w:sz w:val="22"/>
          <w:szCs w:val="22"/>
          <w:lang w:val="en-GB"/>
        </w:rPr>
        <w:t xml:space="preserve">-based results </w:t>
      </w:r>
      <w:proofErr w:type="gramStart"/>
      <w:r w:rsidRPr="009346FA">
        <w:rPr>
          <w:sz w:val="22"/>
          <w:szCs w:val="22"/>
          <w:lang w:val="en-GB"/>
        </w:rPr>
        <w:t>is observed</w:t>
      </w:r>
      <w:proofErr w:type="gramEnd"/>
      <w:r w:rsidRPr="009346FA">
        <w:rPr>
          <w:sz w:val="22"/>
          <w:szCs w:val="22"/>
          <w:lang w:val="en-GB"/>
        </w:rPr>
        <w:t xml:space="preserve"> for all test typologies (differences between them below 10%) and mate</w:t>
      </w:r>
      <w:r w:rsidR="00E1779A" w:rsidRPr="009346FA">
        <w:rPr>
          <w:sz w:val="22"/>
          <w:szCs w:val="22"/>
          <w:lang w:val="en-GB"/>
        </w:rPr>
        <w:t>rials (differences below 6</w:t>
      </w:r>
      <w:r w:rsidR="00D20AD9" w:rsidRPr="009346FA">
        <w:rPr>
          <w:sz w:val="22"/>
          <w:szCs w:val="22"/>
          <w:lang w:val="en-GB"/>
        </w:rPr>
        <w:t xml:space="preserve">%). </w:t>
      </w:r>
      <w:r w:rsidRPr="009346FA">
        <w:rPr>
          <w:sz w:val="22"/>
          <w:szCs w:val="22"/>
          <w:lang w:val="en-GB"/>
        </w:rPr>
        <w:t>On the other hand, the CC-based data reduction methods are also providing similar results of fracture toughness regardless of the test used (CBTE in ELS, CCM in ENF and CCM in 4ENF)</w:t>
      </w:r>
      <w:r w:rsidR="002E509D">
        <w:rPr>
          <w:sz w:val="22"/>
          <w:szCs w:val="22"/>
          <w:lang w:val="en-GB"/>
        </w:rPr>
        <w:t xml:space="preserve">. Although they are less accurate than the </w:t>
      </w:r>
      <w:r w:rsidR="002E509D" w:rsidRPr="002E509D">
        <w:rPr>
          <w:i/>
          <w:sz w:val="22"/>
          <w:szCs w:val="22"/>
          <w:lang w:val="en-GB"/>
        </w:rPr>
        <w:t>J</w:t>
      </w:r>
      <w:r w:rsidR="002E509D">
        <w:rPr>
          <w:sz w:val="22"/>
          <w:szCs w:val="22"/>
          <w:lang w:val="en-GB"/>
        </w:rPr>
        <w:t xml:space="preserve">-integral-based methods, they can serve as a good alternative to the </w:t>
      </w:r>
      <w:r w:rsidR="002E509D" w:rsidRPr="002E509D">
        <w:rPr>
          <w:i/>
          <w:sz w:val="22"/>
          <w:szCs w:val="22"/>
          <w:lang w:val="en-GB"/>
        </w:rPr>
        <w:t>J</w:t>
      </w:r>
      <w:r w:rsidR="002E509D">
        <w:rPr>
          <w:sz w:val="22"/>
          <w:szCs w:val="22"/>
          <w:lang w:val="en-GB"/>
        </w:rPr>
        <w:t>-integral.</w:t>
      </w:r>
    </w:p>
    <w:p w:rsidR="0039779B" w:rsidRPr="009346FA" w:rsidRDefault="0039779B" w:rsidP="0039779B">
      <w:pPr>
        <w:jc w:val="both"/>
        <w:rPr>
          <w:sz w:val="22"/>
          <w:szCs w:val="22"/>
          <w:lang w:val="en-GB"/>
        </w:rPr>
      </w:pPr>
    </w:p>
    <w:p w:rsidR="000969DD" w:rsidRPr="009346FA" w:rsidRDefault="000969DD" w:rsidP="0039779B">
      <w:pPr>
        <w:jc w:val="both"/>
        <w:rPr>
          <w:sz w:val="22"/>
          <w:szCs w:val="22"/>
          <w:lang w:val="en-GB"/>
        </w:rPr>
      </w:pPr>
    </w:p>
    <w:p w:rsidR="00BE6E29" w:rsidRPr="009346FA" w:rsidRDefault="00BE6E29" w:rsidP="00BE6E29">
      <w:pPr>
        <w:pStyle w:val="1stTitleWCCM"/>
        <w:tabs>
          <w:tab w:val="clear" w:pos="360"/>
          <w:tab w:val="left" w:pos="284"/>
        </w:tabs>
        <w:spacing w:before="0" w:after="0"/>
        <w:outlineLvl w:val="0"/>
        <w:rPr>
          <w:caps w:val="0"/>
          <w:sz w:val="22"/>
          <w:szCs w:val="22"/>
          <w:lang w:val="en-GB"/>
        </w:rPr>
      </w:pPr>
      <w:r w:rsidRPr="009346FA">
        <w:rPr>
          <w:sz w:val="22"/>
          <w:szCs w:val="22"/>
          <w:lang w:val="en-GB"/>
        </w:rPr>
        <w:t>4.</w:t>
      </w:r>
      <w:r w:rsidRPr="009346FA">
        <w:rPr>
          <w:sz w:val="22"/>
          <w:szCs w:val="22"/>
          <w:lang w:val="en-GB"/>
        </w:rPr>
        <w:tab/>
      </w:r>
      <w:r w:rsidRPr="009346FA">
        <w:rPr>
          <w:caps w:val="0"/>
          <w:sz w:val="22"/>
          <w:szCs w:val="22"/>
          <w:lang w:val="en-GB"/>
        </w:rPr>
        <w:t>Conclusions</w:t>
      </w:r>
    </w:p>
    <w:p w:rsidR="00BE6E29" w:rsidRPr="009346FA" w:rsidRDefault="00BE6E29" w:rsidP="0039779B">
      <w:pPr>
        <w:jc w:val="both"/>
        <w:rPr>
          <w:sz w:val="22"/>
          <w:szCs w:val="22"/>
          <w:lang w:val="en-GB"/>
        </w:rPr>
      </w:pPr>
    </w:p>
    <w:p w:rsidR="00BE6E29" w:rsidRPr="009346FA" w:rsidRDefault="00BE6E29" w:rsidP="00BE6E29">
      <w:pPr>
        <w:jc w:val="both"/>
        <w:rPr>
          <w:sz w:val="22"/>
          <w:szCs w:val="22"/>
          <w:lang w:val="en-GB"/>
        </w:rPr>
      </w:pPr>
      <w:r w:rsidRPr="009346FA">
        <w:rPr>
          <w:sz w:val="22"/>
          <w:szCs w:val="22"/>
          <w:lang w:val="en-GB"/>
        </w:rPr>
        <w:t xml:space="preserve">With the aim of obtaining a reliable mode II fracture toughness test procedure for structural adhesives, four delamination-based mode II test methods (ELS, ENF, 4ENF and MMB) have been compared through an experimental test campaign with bonded joints between CFRP. Additionally, two specimen typologies (M1 and M2) </w:t>
      </w:r>
      <w:proofErr w:type="gramStart"/>
      <w:r w:rsidRPr="009346FA">
        <w:rPr>
          <w:sz w:val="22"/>
          <w:szCs w:val="22"/>
          <w:lang w:val="en-GB"/>
        </w:rPr>
        <w:t>were tested</w:t>
      </w:r>
      <w:proofErr w:type="gramEnd"/>
      <w:r w:rsidRPr="009346FA">
        <w:rPr>
          <w:sz w:val="22"/>
          <w:szCs w:val="22"/>
          <w:lang w:val="en-GB"/>
        </w:rPr>
        <w:t xml:space="preserve">, with the same adhesive but each with a different </w:t>
      </w:r>
      <w:proofErr w:type="spellStart"/>
      <w:r w:rsidRPr="009346FA">
        <w:rPr>
          <w:sz w:val="22"/>
          <w:szCs w:val="22"/>
          <w:lang w:val="en-GB"/>
        </w:rPr>
        <w:t>adherend</w:t>
      </w:r>
      <w:proofErr w:type="spellEnd"/>
      <w:r w:rsidRPr="009346FA">
        <w:rPr>
          <w:sz w:val="22"/>
          <w:szCs w:val="22"/>
          <w:lang w:val="en-GB"/>
        </w:rPr>
        <w:t xml:space="preserve">. </w:t>
      </w:r>
    </w:p>
    <w:p w:rsidR="002E509D" w:rsidRDefault="002E509D" w:rsidP="00BE6E29">
      <w:pPr>
        <w:jc w:val="both"/>
        <w:rPr>
          <w:sz w:val="22"/>
          <w:szCs w:val="22"/>
          <w:lang w:val="en-GB"/>
        </w:rPr>
      </w:pPr>
    </w:p>
    <w:p w:rsidR="00BE6E29" w:rsidRPr="009346FA" w:rsidRDefault="00BE6E29" w:rsidP="00BE6E29">
      <w:pPr>
        <w:jc w:val="both"/>
        <w:rPr>
          <w:sz w:val="22"/>
          <w:szCs w:val="22"/>
          <w:lang w:val="en-GB"/>
        </w:rPr>
      </w:pPr>
      <w:r w:rsidRPr="009346FA">
        <w:rPr>
          <w:sz w:val="22"/>
          <w:szCs w:val="22"/>
          <w:lang w:val="en-GB"/>
        </w:rPr>
        <w:t xml:space="preserve">For each test, different data reduction methods </w:t>
      </w:r>
      <w:proofErr w:type="gramStart"/>
      <w:r w:rsidRPr="009346FA">
        <w:rPr>
          <w:sz w:val="22"/>
          <w:szCs w:val="22"/>
          <w:lang w:val="en-GB"/>
        </w:rPr>
        <w:t>were used</w:t>
      </w:r>
      <w:proofErr w:type="gramEnd"/>
      <w:r w:rsidRPr="009346FA">
        <w:rPr>
          <w:sz w:val="22"/>
          <w:szCs w:val="22"/>
          <w:lang w:val="en-GB"/>
        </w:rPr>
        <w:t xml:space="preserve"> to obtain the fracture toughness, LEFM and </w:t>
      </w:r>
      <w:r w:rsidRPr="009346FA">
        <w:rPr>
          <w:i/>
          <w:sz w:val="22"/>
          <w:szCs w:val="22"/>
          <w:lang w:val="en-GB" w:eastAsia="en-US"/>
        </w:rPr>
        <w:t>J-</w:t>
      </w:r>
      <w:r w:rsidRPr="009346FA">
        <w:rPr>
          <w:sz w:val="22"/>
          <w:szCs w:val="22"/>
          <w:lang w:val="en-GB" w:eastAsia="en-US"/>
        </w:rPr>
        <w:t>integral</w:t>
      </w:r>
      <w:r w:rsidRPr="009346FA">
        <w:rPr>
          <w:sz w:val="22"/>
          <w:szCs w:val="22"/>
          <w:lang w:val="en-GB"/>
        </w:rPr>
        <w:t xml:space="preserve">. For this purpose, a data reduction method based on the </w:t>
      </w:r>
      <w:r w:rsidRPr="009346FA">
        <w:rPr>
          <w:i/>
          <w:sz w:val="22"/>
          <w:szCs w:val="22"/>
          <w:lang w:val="en-GB" w:eastAsia="en-US"/>
        </w:rPr>
        <w:t>J-</w:t>
      </w:r>
      <w:r w:rsidRPr="009346FA">
        <w:rPr>
          <w:sz w:val="22"/>
          <w:szCs w:val="22"/>
          <w:lang w:val="en-GB" w:eastAsia="en-US"/>
        </w:rPr>
        <w:t>integral</w:t>
      </w:r>
      <w:r w:rsidRPr="009346FA">
        <w:rPr>
          <w:sz w:val="22"/>
          <w:szCs w:val="22"/>
          <w:lang w:val="en-GB"/>
        </w:rPr>
        <w:t xml:space="preserve"> </w:t>
      </w:r>
      <w:proofErr w:type="gramStart"/>
      <w:r w:rsidRPr="009346FA">
        <w:rPr>
          <w:sz w:val="22"/>
          <w:szCs w:val="22"/>
          <w:lang w:val="en-GB"/>
        </w:rPr>
        <w:t>was developed</w:t>
      </w:r>
      <w:proofErr w:type="gramEnd"/>
      <w:r w:rsidRPr="009346FA">
        <w:rPr>
          <w:sz w:val="22"/>
          <w:szCs w:val="22"/>
          <w:lang w:val="en-GB"/>
        </w:rPr>
        <w:t xml:space="preserve"> for the 4ENF test.</w:t>
      </w:r>
    </w:p>
    <w:p w:rsidR="00BE6E29" w:rsidRPr="009346FA" w:rsidRDefault="00BE6E29" w:rsidP="00BE6E29">
      <w:pPr>
        <w:jc w:val="both"/>
        <w:rPr>
          <w:sz w:val="22"/>
          <w:szCs w:val="22"/>
          <w:lang w:val="en-GB"/>
        </w:rPr>
      </w:pPr>
    </w:p>
    <w:p w:rsidR="00BE6E29" w:rsidRPr="009346FA" w:rsidRDefault="00BE6E29" w:rsidP="00BE6E29">
      <w:pPr>
        <w:jc w:val="both"/>
        <w:rPr>
          <w:sz w:val="22"/>
          <w:szCs w:val="22"/>
          <w:lang w:val="en-GB"/>
        </w:rPr>
      </w:pPr>
      <w:r w:rsidRPr="009346FA">
        <w:rPr>
          <w:sz w:val="22"/>
          <w:szCs w:val="22"/>
          <w:lang w:val="en-GB"/>
        </w:rPr>
        <w:t>From the analysis of the results, in determining the fracture toughness there were some discrepancies between the tests and the data reduction methods.</w:t>
      </w:r>
      <w:r w:rsidR="00B539C5" w:rsidRPr="009346FA">
        <w:rPr>
          <w:sz w:val="22"/>
          <w:szCs w:val="22"/>
          <w:lang w:val="en-GB"/>
        </w:rPr>
        <w:t xml:space="preserve"> </w:t>
      </w:r>
      <w:r w:rsidRPr="009346FA">
        <w:rPr>
          <w:sz w:val="22"/>
          <w:szCs w:val="22"/>
          <w:lang w:val="en-GB"/>
        </w:rPr>
        <w:t>The methods based on the visual crack length monitoring show differences in the determination of the fracture toughness because they mainly depend on the measurement of the crack length, and a neat crack tip does not exist when testing adhesives under mode II loadings</w:t>
      </w:r>
      <w:r w:rsidR="002E509D">
        <w:rPr>
          <w:sz w:val="22"/>
          <w:szCs w:val="22"/>
          <w:lang w:val="en-GB"/>
        </w:rPr>
        <w:t xml:space="preserve"> because </w:t>
      </w:r>
      <w:r w:rsidR="00E32C3A">
        <w:rPr>
          <w:sz w:val="22"/>
          <w:szCs w:val="22"/>
          <w:lang w:val="en-GB"/>
        </w:rPr>
        <w:t xml:space="preserve">of the </w:t>
      </w:r>
      <w:r w:rsidR="002E509D">
        <w:rPr>
          <w:sz w:val="22"/>
          <w:szCs w:val="22"/>
          <w:lang w:val="en-GB"/>
        </w:rPr>
        <w:t>large FPZ involved</w:t>
      </w:r>
      <w:r w:rsidRPr="009346FA">
        <w:rPr>
          <w:sz w:val="22"/>
          <w:szCs w:val="22"/>
          <w:lang w:val="en-GB"/>
        </w:rPr>
        <w:t xml:space="preserve">. Therefore they are not reliable for </w:t>
      </w:r>
      <w:proofErr w:type="gramStart"/>
      <w:r w:rsidRPr="009346FA">
        <w:rPr>
          <w:sz w:val="22"/>
          <w:szCs w:val="22"/>
          <w:lang w:val="en-GB"/>
        </w:rPr>
        <w:t>measuring  fracture</w:t>
      </w:r>
      <w:proofErr w:type="gramEnd"/>
      <w:r w:rsidRPr="009346FA">
        <w:rPr>
          <w:sz w:val="22"/>
          <w:szCs w:val="22"/>
          <w:lang w:val="en-GB"/>
        </w:rPr>
        <w:t xml:space="preserve"> toughness. On the contrary, methods that are not based on a direct measurement of the crack length, such </w:t>
      </w:r>
      <w:proofErr w:type="gramStart"/>
      <w:r w:rsidRPr="009346FA">
        <w:rPr>
          <w:sz w:val="22"/>
          <w:szCs w:val="22"/>
          <w:lang w:val="en-GB"/>
        </w:rPr>
        <w:t>as  CC</w:t>
      </w:r>
      <w:proofErr w:type="gramEnd"/>
      <w:r w:rsidRPr="009346FA">
        <w:rPr>
          <w:sz w:val="22"/>
          <w:szCs w:val="22"/>
          <w:lang w:val="en-GB"/>
        </w:rPr>
        <w:t>-based (CBTE in ELS, an</w:t>
      </w:r>
      <w:r w:rsidR="000969DD" w:rsidRPr="009346FA">
        <w:rPr>
          <w:sz w:val="22"/>
          <w:szCs w:val="22"/>
          <w:lang w:val="en-GB"/>
        </w:rPr>
        <w:t xml:space="preserve">d CCM in ENF and 4ENF) and the </w:t>
      </w:r>
      <w:r w:rsidR="000969DD" w:rsidRPr="009346FA">
        <w:rPr>
          <w:i/>
          <w:sz w:val="22"/>
          <w:szCs w:val="22"/>
          <w:lang w:val="en-GB"/>
        </w:rPr>
        <w:t>J</w:t>
      </w:r>
      <w:r w:rsidR="000969DD" w:rsidRPr="009346FA">
        <w:rPr>
          <w:sz w:val="22"/>
          <w:szCs w:val="22"/>
          <w:lang w:val="en-GB"/>
        </w:rPr>
        <w:t>-</w:t>
      </w:r>
      <w:r w:rsidRPr="009346FA">
        <w:rPr>
          <w:sz w:val="22"/>
          <w:szCs w:val="22"/>
          <w:lang w:val="en-GB"/>
        </w:rPr>
        <w:t>int</w:t>
      </w:r>
      <w:r w:rsidR="000969DD" w:rsidRPr="009346FA">
        <w:rPr>
          <w:sz w:val="22"/>
          <w:szCs w:val="22"/>
          <w:lang w:val="en-GB"/>
        </w:rPr>
        <w:t>egral</w:t>
      </w:r>
      <w:r w:rsidRPr="009346FA">
        <w:rPr>
          <w:sz w:val="22"/>
          <w:szCs w:val="22"/>
          <w:lang w:val="en-GB"/>
        </w:rPr>
        <w:t xml:space="preserve">, result in small differences between the different test typologies and materials. </w:t>
      </w:r>
    </w:p>
    <w:p w:rsidR="00BE6E29" w:rsidRPr="009346FA" w:rsidRDefault="00BE6E29" w:rsidP="00BE6E29">
      <w:pPr>
        <w:jc w:val="both"/>
        <w:rPr>
          <w:sz w:val="22"/>
          <w:szCs w:val="22"/>
          <w:lang w:val="en-GB"/>
        </w:rPr>
      </w:pPr>
      <w:r w:rsidRPr="009346FA">
        <w:rPr>
          <w:sz w:val="22"/>
          <w:szCs w:val="22"/>
          <w:lang w:val="en-GB"/>
        </w:rPr>
        <w:t xml:space="preserve">Even though the CBTE and CCM methods </w:t>
      </w:r>
      <w:proofErr w:type="gramStart"/>
      <w:r w:rsidRPr="009346FA">
        <w:rPr>
          <w:sz w:val="22"/>
          <w:szCs w:val="22"/>
          <w:lang w:val="en-GB"/>
        </w:rPr>
        <w:t>are based</w:t>
      </w:r>
      <w:proofErr w:type="gramEnd"/>
      <w:r w:rsidRPr="009346FA">
        <w:rPr>
          <w:sz w:val="22"/>
          <w:szCs w:val="22"/>
          <w:lang w:val="en-GB"/>
        </w:rPr>
        <w:t xml:space="preserve"> on LEFM, they rely on calculating an equivalent crack length that somehow takes into account the FPZ length. This is why their results show better agreement with the </w:t>
      </w:r>
      <w:r w:rsidRPr="009346FA">
        <w:rPr>
          <w:i/>
          <w:sz w:val="22"/>
          <w:szCs w:val="22"/>
          <w:lang w:val="en-GB" w:eastAsia="en-US"/>
        </w:rPr>
        <w:t>J-</w:t>
      </w:r>
      <w:r w:rsidRPr="009346FA">
        <w:rPr>
          <w:sz w:val="22"/>
          <w:szCs w:val="22"/>
          <w:lang w:val="en-GB" w:eastAsia="en-US"/>
        </w:rPr>
        <w:t>integral</w:t>
      </w:r>
      <w:r w:rsidRPr="009346FA">
        <w:rPr>
          <w:sz w:val="22"/>
          <w:szCs w:val="22"/>
          <w:lang w:val="en-GB"/>
        </w:rPr>
        <w:t xml:space="preserve"> approach, based entirely on a non-linear fracture mechanics framework.</w:t>
      </w:r>
    </w:p>
    <w:p w:rsidR="00BE6E29" w:rsidRPr="009346FA" w:rsidRDefault="00BE6E29" w:rsidP="00BE6E29">
      <w:pPr>
        <w:jc w:val="both"/>
        <w:rPr>
          <w:sz w:val="22"/>
          <w:szCs w:val="22"/>
          <w:lang w:val="en-GB"/>
        </w:rPr>
      </w:pPr>
    </w:p>
    <w:p w:rsidR="00BE6E29" w:rsidRPr="009346FA" w:rsidRDefault="00BE6E29" w:rsidP="00BE6E29">
      <w:pPr>
        <w:jc w:val="both"/>
        <w:rPr>
          <w:sz w:val="22"/>
          <w:szCs w:val="22"/>
          <w:lang w:val="en-GB"/>
        </w:rPr>
      </w:pPr>
      <w:r w:rsidRPr="009346FA">
        <w:rPr>
          <w:sz w:val="22"/>
          <w:szCs w:val="22"/>
          <w:lang w:val="en-GB"/>
        </w:rPr>
        <w:lastRenderedPageBreak/>
        <w:t xml:space="preserve">In all the tests, the </w:t>
      </w:r>
      <w:r w:rsidRPr="009346FA">
        <w:rPr>
          <w:i/>
          <w:sz w:val="22"/>
          <w:szCs w:val="22"/>
          <w:lang w:val="en-GB" w:eastAsia="en-US"/>
        </w:rPr>
        <w:t>J-</w:t>
      </w:r>
      <w:r w:rsidRPr="009346FA">
        <w:rPr>
          <w:sz w:val="22"/>
          <w:szCs w:val="22"/>
          <w:lang w:val="en-GB" w:eastAsia="en-US"/>
        </w:rPr>
        <w:t>integral</w:t>
      </w:r>
      <w:r w:rsidRPr="009346FA">
        <w:rPr>
          <w:sz w:val="22"/>
          <w:szCs w:val="22"/>
          <w:lang w:val="en-GB"/>
        </w:rPr>
        <w:t xml:space="preserve"> was proven </w:t>
      </w:r>
      <w:proofErr w:type="gramStart"/>
      <w:r w:rsidRPr="009346FA">
        <w:rPr>
          <w:sz w:val="22"/>
          <w:szCs w:val="22"/>
          <w:lang w:val="en-GB"/>
        </w:rPr>
        <w:t>to be independent</w:t>
      </w:r>
      <w:proofErr w:type="gramEnd"/>
      <w:r w:rsidRPr="009346FA">
        <w:rPr>
          <w:sz w:val="22"/>
          <w:szCs w:val="22"/>
          <w:lang w:val="en-GB"/>
        </w:rPr>
        <w:t xml:space="preserve"> of the test typology and material, but the CC-based methods are also in acceptable agreement with those obtained with the </w:t>
      </w:r>
      <w:r w:rsidRPr="009346FA">
        <w:rPr>
          <w:i/>
          <w:sz w:val="22"/>
          <w:szCs w:val="22"/>
          <w:lang w:val="en-GB" w:eastAsia="en-US"/>
        </w:rPr>
        <w:t>J-</w:t>
      </w:r>
      <w:r w:rsidRPr="009346FA">
        <w:rPr>
          <w:sz w:val="22"/>
          <w:szCs w:val="22"/>
          <w:lang w:val="en-GB" w:eastAsia="en-US"/>
        </w:rPr>
        <w:t>integral</w:t>
      </w:r>
      <w:r w:rsidRPr="009346FA">
        <w:rPr>
          <w:sz w:val="22"/>
          <w:szCs w:val="22"/>
          <w:lang w:val="en-GB"/>
        </w:rPr>
        <w:t>.</w:t>
      </w:r>
    </w:p>
    <w:p w:rsidR="00BE6E29" w:rsidRPr="009346FA" w:rsidRDefault="00BE6E29" w:rsidP="00BE6E29">
      <w:pPr>
        <w:jc w:val="both"/>
        <w:rPr>
          <w:sz w:val="22"/>
          <w:szCs w:val="22"/>
          <w:lang w:val="en-GB"/>
        </w:rPr>
      </w:pPr>
    </w:p>
    <w:p w:rsidR="00BE6E29" w:rsidRPr="009346FA" w:rsidRDefault="00BE6E29" w:rsidP="00BE6E29">
      <w:pPr>
        <w:pStyle w:val="NormalWCCM"/>
        <w:ind w:firstLine="0"/>
        <w:rPr>
          <w:rFonts w:ascii="Helvetica" w:hAnsi="Helvetica"/>
          <w:color w:val="000000"/>
          <w:sz w:val="21"/>
          <w:szCs w:val="21"/>
          <w:lang w:val="en-GB"/>
        </w:rPr>
      </w:pPr>
    </w:p>
    <w:p w:rsidR="00BE6E29" w:rsidRPr="009346FA" w:rsidRDefault="00BE6E29" w:rsidP="00BE6E29">
      <w:pPr>
        <w:pStyle w:val="RefTitleWCCM"/>
        <w:spacing w:before="0" w:after="0"/>
        <w:outlineLvl w:val="0"/>
        <w:rPr>
          <w:caps w:val="0"/>
          <w:sz w:val="22"/>
          <w:szCs w:val="22"/>
          <w:lang w:val="en-GB"/>
        </w:rPr>
      </w:pPr>
      <w:r w:rsidRPr="009346FA">
        <w:rPr>
          <w:caps w:val="0"/>
          <w:sz w:val="22"/>
          <w:szCs w:val="22"/>
          <w:lang w:val="en-GB"/>
        </w:rPr>
        <w:t>Acknowledgments</w:t>
      </w:r>
    </w:p>
    <w:p w:rsidR="00BE6E29" w:rsidRPr="009346FA" w:rsidRDefault="00BE6E29" w:rsidP="00BE6E29">
      <w:pPr>
        <w:jc w:val="both"/>
        <w:rPr>
          <w:caps/>
          <w:sz w:val="22"/>
          <w:szCs w:val="22"/>
          <w:lang w:val="en-GB"/>
        </w:rPr>
      </w:pPr>
    </w:p>
    <w:p w:rsidR="00BE6E29" w:rsidRPr="009346FA" w:rsidRDefault="00BE6E29" w:rsidP="00BE6E29">
      <w:pPr>
        <w:jc w:val="both"/>
        <w:rPr>
          <w:sz w:val="22"/>
          <w:szCs w:val="22"/>
          <w:lang w:val="en-GB"/>
        </w:rPr>
      </w:pPr>
      <w:r w:rsidRPr="009346FA">
        <w:rPr>
          <w:sz w:val="22"/>
          <w:szCs w:val="22"/>
          <w:lang w:val="en-GB"/>
        </w:rPr>
        <w:t xml:space="preserve">The authors would like to acknowledge the support of the Spanish Government through the </w:t>
      </w:r>
      <w:proofErr w:type="spellStart"/>
      <w:r w:rsidRPr="009346FA">
        <w:rPr>
          <w:sz w:val="22"/>
          <w:szCs w:val="22"/>
          <w:lang w:val="en-GB"/>
        </w:rPr>
        <w:t>Ministerio</w:t>
      </w:r>
      <w:proofErr w:type="spellEnd"/>
      <w:r w:rsidRPr="009346FA">
        <w:rPr>
          <w:sz w:val="22"/>
          <w:szCs w:val="22"/>
          <w:lang w:val="en-GB"/>
        </w:rPr>
        <w:t xml:space="preserve"> de </w:t>
      </w:r>
      <w:proofErr w:type="spellStart"/>
      <w:r w:rsidRPr="009346FA">
        <w:rPr>
          <w:sz w:val="22"/>
          <w:szCs w:val="22"/>
          <w:lang w:val="en-GB"/>
        </w:rPr>
        <w:t>Economía</w:t>
      </w:r>
      <w:proofErr w:type="spellEnd"/>
      <w:r w:rsidRPr="009346FA">
        <w:rPr>
          <w:sz w:val="22"/>
          <w:szCs w:val="22"/>
          <w:lang w:val="en-GB"/>
        </w:rPr>
        <w:t xml:space="preserve"> y </w:t>
      </w:r>
      <w:proofErr w:type="spellStart"/>
      <w:r w:rsidRPr="009346FA">
        <w:rPr>
          <w:sz w:val="22"/>
          <w:szCs w:val="22"/>
          <w:lang w:val="en-GB"/>
        </w:rPr>
        <w:t>Competitividad</w:t>
      </w:r>
      <w:proofErr w:type="spellEnd"/>
      <w:r w:rsidRPr="009346FA">
        <w:rPr>
          <w:sz w:val="22"/>
          <w:szCs w:val="22"/>
          <w:lang w:val="en-GB"/>
        </w:rPr>
        <w:t xml:space="preserve"> under the contracts TRA2015-71491-R and MAT2015-69491-C3-1-R and the University of Girona </w:t>
      </w:r>
      <w:r w:rsidR="0081767D" w:rsidRPr="009346FA">
        <w:rPr>
          <w:sz w:val="22"/>
          <w:szCs w:val="22"/>
          <w:lang w:val="en-GB"/>
        </w:rPr>
        <w:t xml:space="preserve">for the grant </w:t>
      </w:r>
      <w:r w:rsidR="0081767D" w:rsidRPr="009346FA">
        <w:rPr>
          <w:i/>
          <w:sz w:val="22"/>
          <w:szCs w:val="22"/>
          <w:lang w:val="en-GB"/>
        </w:rPr>
        <w:t>‘</w:t>
      </w:r>
      <w:proofErr w:type="spellStart"/>
      <w:r w:rsidR="0081767D" w:rsidRPr="009346FA">
        <w:rPr>
          <w:i/>
          <w:sz w:val="22"/>
          <w:szCs w:val="22"/>
          <w:lang w:val="en-GB"/>
        </w:rPr>
        <w:t>Ajuts</w:t>
      </w:r>
      <w:proofErr w:type="spellEnd"/>
      <w:r w:rsidR="0081767D" w:rsidRPr="009346FA">
        <w:rPr>
          <w:i/>
          <w:sz w:val="22"/>
          <w:szCs w:val="22"/>
          <w:lang w:val="en-GB"/>
        </w:rPr>
        <w:t xml:space="preserve"> per a </w:t>
      </w:r>
      <w:proofErr w:type="spellStart"/>
      <w:r w:rsidR="0081767D" w:rsidRPr="009346FA">
        <w:rPr>
          <w:i/>
          <w:sz w:val="22"/>
          <w:szCs w:val="22"/>
          <w:lang w:val="en-GB"/>
        </w:rPr>
        <w:t>l’asistència</w:t>
      </w:r>
      <w:proofErr w:type="spellEnd"/>
      <w:r w:rsidR="0081767D" w:rsidRPr="009346FA">
        <w:rPr>
          <w:i/>
          <w:sz w:val="22"/>
          <w:szCs w:val="22"/>
          <w:lang w:val="en-GB"/>
        </w:rPr>
        <w:t xml:space="preserve"> a </w:t>
      </w:r>
      <w:proofErr w:type="spellStart"/>
      <w:r w:rsidR="0081767D" w:rsidRPr="009346FA">
        <w:rPr>
          <w:i/>
          <w:sz w:val="22"/>
          <w:szCs w:val="22"/>
          <w:lang w:val="en-GB"/>
        </w:rPr>
        <w:t>congressos</w:t>
      </w:r>
      <w:proofErr w:type="spellEnd"/>
      <w:r w:rsidR="0081767D" w:rsidRPr="009346FA">
        <w:rPr>
          <w:i/>
          <w:sz w:val="22"/>
          <w:szCs w:val="22"/>
          <w:lang w:val="en-GB"/>
        </w:rPr>
        <w:t xml:space="preserve"> </w:t>
      </w:r>
      <w:proofErr w:type="spellStart"/>
      <w:r w:rsidR="0081767D" w:rsidRPr="009346FA">
        <w:rPr>
          <w:i/>
          <w:sz w:val="22"/>
          <w:szCs w:val="22"/>
          <w:lang w:val="en-GB"/>
        </w:rPr>
        <w:t>internacionals</w:t>
      </w:r>
      <w:proofErr w:type="spellEnd"/>
      <w:r w:rsidR="0081767D" w:rsidRPr="009346FA">
        <w:rPr>
          <w:i/>
          <w:sz w:val="22"/>
          <w:szCs w:val="22"/>
          <w:lang w:val="en-GB"/>
        </w:rPr>
        <w:t xml:space="preserve"> de </w:t>
      </w:r>
      <w:proofErr w:type="spellStart"/>
      <w:r w:rsidR="0081767D" w:rsidRPr="009346FA">
        <w:rPr>
          <w:i/>
          <w:sz w:val="22"/>
          <w:szCs w:val="22"/>
          <w:lang w:val="en-GB"/>
        </w:rPr>
        <w:t>recerca</w:t>
      </w:r>
      <w:proofErr w:type="spellEnd"/>
      <w:r w:rsidR="0081767D" w:rsidRPr="009346FA">
        <w:rPr>
          <w:i/>
          <w:sz w:val="22"/>
          <w:szCs w:val="22"/>
          <w:lang w:val="en-GB"/>
        </w:rPr>
        <w:t xml:space="preserve"> per </w:t>
      </w:r>
      <w:proofErr w:type="spellStart"/>
      <w:r w:rsidR="0081767D" w:rsidRPr="009346FA">
        <w:rPr>
          <w:i/>
          <w:sz w:val="22"/>
          <w:szCs w:val="22"/>
          <w:lang w:val="en-GB"/>
        </w:rPr>
        <w:t>estudiants</w:t>
      </w:r>
      <w:proofErr w:type="spellEnd"/>
      <w:r w:rsidR="0081767D" w:rsidRPr="009346FA">
        <w:rPr>
          <w:i/>
          <w:sz w:val="22"/>
          <w:szCs w:val="22"/>
          <w:lang w:val="en-GB"/>
        </w:rPr>
        <w:t xml:space="preserve"> de </w:t>
      </w:r>
      <w:proofErr w:type="spellStart"/>
      <w:r w:rsidR="0081767D" w:rsidRPr="009346FA">
        <w:rPr>
          <w:i/>
          <w:sz w:val="22"/>
          <w:szCs w:val="22"/>
          <w:lang w:val="en-GB"/>
        </w:rPr>
        <w:t>màster</w:t>
      </w:r>
      <w:proofErr w:type="spellEnd"/>
      <w:r w:rsidR="0081767D" w:rsidRPr="009346FA">
        <w:rPr>
          <w:i/>
          <w:sz w:val="22"/>
          <w:szCs w:val="22"/>
          <w:lang w:val="en-GB"/>
        </w:rPr>
        <w:t xml:space="preserve"> </w:t>
      </w:r>
      <w:proofErr w:type="spellStart"/>
      <w:r w:rsidR="0081767D" w:rsidRPr="009346FA">
        <w:rPr>
          <w:i/>
          <w:sz w:val="22"/>
          <w:szCs w:val="22"/>
          <w:lang w:val="en-GB"/>
        </w:rPr>
        <w:t>i</w:t>
      </w:r>
      <w:proofErr w:type="spellEnd"/>
      <w:r w:rsidR="0081767D" w:rsidRPr="009346FA">
        <w:rPr>
          <w:i/>
          <w:sz w:val="22"/>
          <w:szCs w:val="22"/>
          <w:lang w:val="en-GB"/>
        </w:rPr>
        <w:t xml:space="preserve"> </w:t>
      </w:r>
      <w:proofErr w:type="spellStart"/>
      <w:r w:rsidR="0081767D" w:rsidRPr="009346FA">
        <w:rPr>
          <w:i/>
          <w:sz w:val="22"/>
          <w:szCs w:val="22"/>
          <w:lang w:val="en-GB"/>
        </w:rPr>
        <w:t>doctorat</w:t>
      </w:r>
      <w:proofErr w:type="spellEnd"/>
      <w:r w:rsidR="0081767D" w:rsidRPr="009346FA">
        <w:rPr>
          <w:i/>
          <w:sz w:val="22"/>
          <w:szCs w:val="22"/>
          <w:lang w:val="en-GB"/>
        </w:rPr>
        <w:t xml:space="preserve"> de la </w:t>
      </w:r>
      <w:proofErr w:type="spellStart"/>
      <w:r w:rsidR="0081767D" w:rsidRPr="009346FA">
        <w:rPr>
          <w:i/>
          <w:sz w:val="22"/>
          <w:szCs w:val="22"/>
          <w:lang w:val="en-GB"/>
        </w:rPr>
        <w:t>Universitat</w:t>
      </w:r>
      <w:proofErr w:type="spellEnd"/>
      <w:r w:rsidR="0081767D" w:rsidRPr="009346FA">
        <w:rPr>
          <w:i/>
          <w:sz w:val="22"/>
          <w:szCs w:val="22"/>
          <w:lang w:val="en-GB"/>
        </w:rPr>
        <w:t xml:space="preserve"> de Girona’.</w:t>
      </w:r>
    </w:p>
    <w:p w:rsidR="00E1779A" w:rsidRPr="009346FA" w:rsidRDefault="00E1779A" w:rsidP="0039779B">
      <w:pPr>
        <w:jc w:val="both"/>
        <w:rPr>
          <w:sz w:val="22"/>
          <w:szCs w:val="22"/>
          <w:lang w:val="en-GB"/>
        </w:rPr>
      </w:pPr>
    </w:p>
    <w:p w:rsidR="00704B24" w:rsidRPr="009346FA" w:rsidRDefault="00A14A8C" w:rsidP="006D2BC0">
      <w:pPr>
        <w:pStyle w:val="RefTitleWCCM"/>
        <w:spacing w:before="0" w:after="0"/>
        <w:outlineLvl w:val="0"/>
        <w:rPr>
          <w:caps w:val="0"/>
          <w:sz w:val="22"/>
          <w:szCs w:val="22"/>
          <w:lang w:val="en-GB"/>
        </w:rPr>
      </w:pPr>
      <w:r w:rsidRPr="009346FA">
        <w:rPr>
          <w:caps w:val="0"/>
          <w:sz w:val="22"/>
          <w:szCs w:val="22"/>
          <w:lang w:val="en-GB"/>
        </w:rPr>
        <w:t>References</w:t>
      </w:r>
    </w:p>
    <w:p w:rsidR="006D2BC0" w:rsidRPr="009346FA" w:rsidRDefault="006D2BC0" w:rsidP="006D2BC0">
      <w:pPr>
        <w:jc w:val="both"/>
        <w:rPr>
          <w:caps/>
          <w:sz w:val="22"/>
          <w:szCs w:val="22"/>
          <w:lang w:val="en-GB"/>
        </w:rPr>
      </w:pPr>
    </w:p>
    <w:p w:rsidR="00615C41" w:rsidRPr="009346FA" w:rsidRDefault="00DB17D5" w:rsidP="00615C41">
      <w:pPr>
        <w:spacing w:before="60" w:after="60"/>
        <w:ind w:left="426" w:right="4" w:hanging="426"/>
        <w:jc w:val="both"/>
        <w:rPr>
          <w:iCs/>
          <w:sz w:val="22"/>
          <w:szCs w:val="22"/>
          <w:lang w:val="en-GB"/>
        </w:rPr>
      </w:pPr>
      <w:r w:rsidRPr="009346FA">
        <w:rPr>
          <w:iCs/>
          <w:sz w:val="22"/>
          <w:szCs w:val="22"/>
          <w:lang w:val="en-GB"/>
        </w:rPr>
        <w:t xml:space="preserve"> </w:t>
      </w:r>
      <w:r w:rsidR="00615C41" w:rsidRPr="009346FA">
        <w:rPr>
          <w:iCs/>
          <w:sz w:val="22"/>
          <w:szCs w:val="22"/>
          <w:lang w:val="en-GB"/>
        </w:rPr>
        <w:t>[1] ASTM D7905M-</w:t>
      </w:r>
      <w:proofErr w:type="gramStart"/>
      <w:r w:rsidR="00615C41" w:rsidRPr="009346FA">
        <w:rPr>
          <w:iCs/>
          <w:sz w:val="22"/>
          <w:szCs w:val="22"/>
          <w:lang w:val="en-GB"/>
        </w:rPr>
        <w:t>14 .</w:t>
      </w:r>
      <w:proofErr w:type="gramEnd"/>
      <w:r w:rsidR="00615C41" w:rsidRPr="009346FA">
        <w:rPr>
          <w:iCs/>
          <w:sz w:val="22"/>
          <w:szCs w:val="22"/>
          <w:lang w:val="en-GB"/>
        </w:rPr>
        <w:t xml:space="preserve"> Standard Test Method for Determination of the Mode II </w:t>
      </w:r>
      <w:proofErr w:type="spellStart"/>
      <w:r w:rsidR="00615C41" w:rsidRPr="009346FA">
        <w:rPr>
          <w:iCs/>
          <w:sz w:val="22"/>
          <w:szCs w:val="22"/>
          <w:lang w:val="en-GB"/>
        </w:rPr>
        <w:t>Interlaminar</w:t>
      </w:r>
      <w:proofErr w:type="spellEnd"/>
      <w:r w:rsidR="00615C41" w:rsidRPr="009346FA">
        <w:rPr>
          <w:iCs/>
          <w:sz w:val="22"/>
          <w:szCs w:val="22"/>
          <w:lang w:val="en-GB"/>
        </w:rPr>
        <w:t xml:space="preserve"> Fracture Toughness of Unidirectional </w:t>
      </w:r>
      <w:proofErr w:type="spellStart"/>
      <w:r w:rsidR="00615C41" w:rsidRPr="009346FA">
        <w:rPr>
          <w:iCs/>
          <w:sz w:val="22"/>
          <w:szCs w:val="22"/>
          <w:lang w:val="en-GB"/>
        </w:rPr>
        <w:t>Fiber</w:t>
      </w:r>
      <w:proofErr w:type="spellEnd"/>
      <w:r w:rsidR="00615C41" w:rsidRPr="009346FA">
        <w:rPr>
          <w:iCs/>
          <w:sz w:val="22"/>
          <w:szCs w:val="22"/>
          <w:lang w:val="en-GB"/>
        </w:rPr>
        <w:t>-Reinforced Polymer. American Society for Testing and Materials 2014</w:t>
      </w:r>
      <w:proofErr w:type="gramStart"/>
      <w:r w:rsidR="00615C41" w:rsidRPr="009346FA">
        <w:rPr>
          <w:iCs/>
          <w:sz w:val="22"/>
          <w:szCs w:val="22"/>
          <w:lang w:val="en-GB"/>
        </w:rPr>
        <w:t>;.</w:t>
      </w:r>
      <w:proofErr w:type="gramEnd"/>
    </w:p>
    <w:p w:rsidR="00615C41" w:rsidRPr="009346FA" w:rsidRDefault="00615C41" w:rsidP="00615C41">
      <w:pPr>
        <w:spacing w:before="60" w:after="60"/>
        <w:ind w:left="426" w:right="4" w:hanging="426"/>
        <w:jc w:val="both"/>
        <w:rPr>
          <w:iCs/>
          <w:sz w:val="22"/>
          <w:szCs w:val="22"/>
          <w:lang w:val="en-GB"/>
        </w:rPr>
      </w:pPr>
      <w:r w:rsidRPr="009346FA">
        <w:rPr>
          <w:iCs/>
          <w:sz w:val="22"/>
          <w:szCs w:val="22"/>
          <w:lang w:val="en-GB"/>
        </w:rPr>
        <w:t xml:space="preserve">[2] ISO </w:t>
      </w:r>
      <w:proofErr w:type="gramStart"/>
      <w:r w:rsidRPr="009346FA">
        <w:rPr>
          <w:iCs/>
          <w:sz w:val="22"/>
          <w:szCs w:val="22"/>
          <w:lang w:val="en-GB"/>
        </w:rPr>
        <w:t>15114:2014 .</w:t>
      </w:r>
      <w:proofErr w:type="gramEnd"/>
      <w:r w:rsidRPr="009346FA">
        <w:rPr>
          <w:iCs/>
          <w:sz w:val="22"/>
          <w:szCs w:val="22"/>
          <w:lang w:val="en-GB"/>
        </w:rPr>
        <w:t xml:space="preserve"> Fibre-reinforced plastic composites - Determination of the mode II fracture resistance for </w:t>
      </w:r>
      <w:proofErr w:type="spellStart"/>
      <w:r w:rsidRPr="009346FA">
        <w:rPr>
          <w:iCs/>
          <w:sz w:val="22"/>
          <w:szCs w:val="22"/>
          <w:lang w:val="en-GB"/>
        </w:rPr>
        <w:t>unidirectionally</w:t>
      </w:r>
      <w:proofErr w:type="spellEnd"/>
      <w:r w:rsidRPr="009346FA">
        <w:rPr>
          <w:iCs/>
          <w:sz w:val="22"/>
          <w:szCs w:val="22"/>
          <w:lang w:val="en-GB"/>
        </w:rPr>
        <w:t xml:space="preserve"> reinforced materials using the calibrated end-loaded split (C-ELS</w:t>
      </w:r>
      <w:proofErr w:type="gramStart"/>
      <w:r w:rsidRPr="009346FA">
        <w:rPr>
          <w:iCs/>
          <w:sz w:val="22"/>
          <w:szCs w:val="22"/>
          <w:lang w:val="en-GB"/>
        </w:rPr>
        <w:t>)  test</w:t>
      </w:r>
      <w:proofErr w:type="gramEnd"/>
      <w:r w:rsidRPr="009346FA">
        <w:rPr>
          <w:iCs/>
          <w:sz w:val="22"/>
          <w:szCs w:val="22"/>
          <w:lang w:val="en-GB"/>
        </w:rPr>
        <w:t xml:space="preserve"> and an effective crack length approach. </w:t>
      </w:r>
      <w:r w:rsidRPr="009346FA">
        <w:rPr>
          <w:i/>
          <w:iCs/>
          <w:sz w:val="22"/>
          <w:szCs w:val="22"/>
          <w:lang w:val="en-GB"/>
        </w:rPr>
        <w:t xml:space="preserve">International Standard Organization, Geneva, Switzerland </w:t>
      </w:r>
      <w:proofErr w:type="gramStart"/>
      <w:r w:rsidRPr="009346FA">
        <w:rPr>
          <w:i/>
          <w:iCs/>
          <w:sz w:val="22"/>
          <w:szCs w:val="22"/>
          <w:lang w:val="en-GB"/>
        </w:rPr>
        <w:t>2014</w:t>
      </w:r>
      <w:r w:rsidRPr="009346FA">
        <w:rPr>
          <w:iCs/>
          <w:sz w:val="22"/>
          <w:szCs w:val="22"/>
          <w:lang w:val="en-GB"/>
        </w:rPr>
        <w:t>;</w:t>
      </w:r>
      <w:proofErr w:type="gramEnd"/>
      <w:r w:rsidRPr="009346FA">
        <w:rPr>
          <w:iCs/>
          <w:sz w:val="22"/>
          <w:szCs w:val="22"/>
          <w:lang w:val="en-GB"/>
        </w:rPr>
        <w:t>(1):1{26.</w:t>
      </w:r>
    </w:p>
    <w:p w:rsidR="00615C41" w:rsidRPr="009346FA" w:rsidRDefault="00615C41" w:rsidP="00615C41">
      <w:pPr>
        <w:spacing w:before="60" w:after="60"/>
        <w:ind w:left="426" w:right="4" w:hanging="426"/>
        <w:jc w:val="both"/>
        <w:rPr>
          <w:iCs/>
          <w:sz w:val="22"/>
          <w:szCs w:val="22"/>
          <w:lang w:val="en-GB"/>
        </w:rPr>
      </w:pPr>
      <w:r w:rsidRPr="009346FA">
        <w:rPr>
          <w:iCs/>
          <w:sz w:val="22"/>
          <w:szCs w:val="22"/>
          <w:lang w:val="en-GB"/>
        </w:rPr>
        <w:t>[3] ASTM D6671/</w:t>
      </w:r>
      <w:proofErr w:type="gramStart"/>
      <w:r w:rsidRPr="009346FA">
        <w:rPr>
          <w:iCs/>
          <w:sz w:val="22"/>
          <w:szCs w:val="22"/>
          <w:lang w:val="en-GB"/>
        </w:rPr>
        <w:t>D6671M .</w:t>
      </w:r>
      <w:proofErr w:type="gramEnd"/>
      <w:r w:rsidRPr="009346FA">
        <w:rPr>
          <w:iCs/>
          <w:sz w:val="22"/>
          <w:szCs w:val="22"/>
          <w:lang w:val="en-GB"/>
        </w:rPr>
        <w:t xml:space="preserve"> Standard Test Method for Mixed Mode I-Mode II </w:t>
      </w:r>
      <w:proofErr w:type="spellStart"/>
      <w:r w:rsidRPr="009346FA">
        <w:rPr>
          <w:iCs/>
          <w:sz w:val="22"/>
          <w:szCs w:val="22"/>
          <w:lang w:val="en-GB"/>
        </w:rPr>
        <w:t>Interlaminar</w:t>
      </w:r>
      <w:proofErr w:type="spellEnd"/>
      <w:r w:rsidRPr="009346FA">
        <w:rPr>
          <w:iCs/>
          <w:sz w:val="22"/>
          <w:szCs w:val="22"/>
          <w:lang w:val="en-GB"/>
        </w:rPr>
        <w:t xml:space="preserve"> Fracture Toughness of Unidirectional </w:t>
      </w:r>
      <w:proofErr w:type="spellStart"/>
      <w:r w:rsidRPr="009346FA">
        <w:rPr>
          <w:iCs/>
          <w:sz w:val="22"/>
          <w:szCs w:val="22"/>
          <w:lang w:val="en-GB"/>
        </w:rPr>
        <w:t>Fiber</w:t>
      </w:r>
      <w:proofErr w:type="spellEnd"/>
      <w:r w:rsidRPr="009346FA">
        <w:rPr>
          <w:iCs/>
          <w:sz w:val="22"/>
          <w:szCs w:val="22"/>
          <w:lang w:val="en-GB"/>
        </w:rPr>
        <w:t xml:space="preserve"> Reinforced Polymer Matrix Composites. </w:t>
      </w:r>
      <w:r w:rsidRPr="009346FA">
        <w:rPr>
          <w:i/>
          <w:iCs/>
          <w:sz w:val="22"/>
          <w:szCs w:val="22"/>
          <w:lang w:val="en-GB"/>
        </w:rPr>
        <w:t xml:space="preserve">American 397 Society for Testing and Materials </w:t>
      </w:r>
      <w:r w:rsidRPr="009346FA">
        <w:rPr>
          <w:iCs/>
          <w:sz w:val="22"/>
          <w:szCs w:val="22"/>
          <w:lang w:val="en-GB"/>
        </w:rPr>
        <w:t>2013</w:t>
      </w:r>
      <w:proofErr w:type="gramStart"/>
      <w:r w:rsidRPr="009346FA">
        <w:rPr>
          <w:iCs/>
          <w:sz w:val="22"/>
          <w:szCs w:val="22"/>
          <w:lang w:val="en-GB"/>
        </w:rPr>
        <w:t>;.</w:t>
      </w:r>
      <w:proofErr w:type="gramEnd"/>
    </w:p>
    <w:p w:rsidR="00137669" w:rsidRPr="009346FA" w:rsidRDefault="00137669" w:rsidP="00137669">
      <w:pPr>
        <w:spacing w:before="60" w:after="60"/>
        <w:ind w:left="426" w:right="4" w:hanging="426"/>
        <w:jc w:val="both"/>
        <w:rPr>
          <w:iCs/>
          <w:sz w:val="22"/>
          <w:szCs w:val="22"/>
          <w:lang w:val="en-GB"/>
        </w:rPr>
      </w:pPr>
      <w:r w:rsidRPr="009346FA">
        <w:rPr>
          <w:iCs/>
          <w:sz w:val="22"/>
          <w:szCs w:val="22"/>
          <w:lang w:val="en-GB"/>
        </w:rPr>
        <w:t>[</w:t>
      </w:r>
      <w:r w:rsidR="00AF4948" w:rsidRPr="009346FA">
        <w:rPr>
          <w:iCs/>
          <w:sz w:val="22"/>
          <w:szCs w:val="22"/>
          <w:lang w:val="en-GB"/>
        </w:rPr>
        <w:t>4</w:t>
      </w:r>
      <w:r w:rsidRPr="009346FA">
        <w:rPr>
          <w:iCs/>
          <w:sz w:val="22"/>
          <w:szCs w:val="22"/>
          <w:lang w:val="en-GB"/>
        </w:rPr>
        <w:t xml:space="preserve">] Martin R, Davidson B. Mode II fracture toughness evaluation using four point bend, end </w:t>
      </w:r>
      <w:proofErr w:type="gramStart"/>
      <w:r w:rsidRPr="009346FA">
        <w:rPr>
          <w:iCs/>
          <w:sz w:val="22"/>
          <w:szCs w:val="22"/>
          <w:lang w:val="en-GB"/>
        </w:rPr>
        <w:t xml:space="preserve">notched </w:t>
      </w:r>
      <w:r w:rsidRPr="009346FA">
        <w:rPr>
          <w:iCs/>
          <w:sz w:val="22"/>
          <w:szCs w:val="22"/>
          <w:lang w:val="en-GB"/>
        </w:rPr>
        <w:cr/>
        <w:t>flexure</w:t>
      </w:r>
      <w:proofErr w:type="gramEnd"/>
      <w:r w:rsidRPr="009346FA">
        <w:rPr>
          <w:iCs/>
          <w:sz w:val="22"/>
          <w:szCs w:val="22"/>
          <w:lang w:val="en-GB"/>
        </w:rPr>
        <w:t xml:space="preserve"> test. </w:t>
      </w:r>
      <w:r w:rsidRPr="009346FA">
        <w:rPr>
          <w:i/>
          <w:iCs/>
          <w:sz w:val="22"/>
          <w:szCs w:val="22"/>
          <w:lang w:val="en-GB"/>
        </w:rPr>
        <w:t>Plastics, Rubber and Composites</w:t>
      </w:r>
      <w:r w:rsidRPr="009346FA">
        <w:rPr>
          <w:iCs/>
          <w:sz w:val="22"/>
          <w:szCs w:val="22"/>
          <w:lang w:val="en-GB"/>
        </w:rPr>
        <w:t xml:space="preserve"> 1999</w:t>
      </w:r>
      <w:proofErr w:type="gramStart"/>
      <w:r w:rsidRPr="009346FA">
        <w:rPr>
          <w:iCs/>
          <w:sz w:val="22"/>
          <w:szCs w:val="22"/>
          <w:lang w:val="en-GB"/>
        </w:rPr>
        <w:t>;28</w:t>
      </w:r>
      <w:proofErr w:type="gramEnd"/>
      <w:r w:rsidRPr="009346FA">
        <w:rPr>
          <w:iCs/>
          <w:sz w:val="22"/>
          <w:szCs w:val="22"/>
          <w:lang w:val="en-GB"/>
        </w:rPr>
        <w:t xml:space="preserve">(8):401{6. </w:t>
      </w:r>
    </w:p>
    <w:p w:rsidR="00316490" w:rsidRPr="009346FA" w:rsidRDefault="00316490" w:rsidP="00316490">
      <w:pPr>
        <w:spacing w:before="60" w:after="60"/>
        <w:ind w:left="426" w:right="4" w:hanging="426"/>
        <w:jc w:val="both"/>
        <w:rPr>
          <w:iCs/>
          <w:sz w:val="22"/>
          <w:szCs w:val="22"/>
          <w:lang w:val="en-GB"/>
        </w:rPr>
      </w:pPr>
      <w:r w:rsidRPr="009346FA">
        <w:rPr>
          <w:iCs/>
          <w:sz w:val="22"/>
          <w:szCs w:val="22"/>
          <w:lang w:val="en-GB"/>
        </w:rPr>
        <w:t xml:space="preserve">[5] Davidson B, Sun X, </w:t>
      </w:r>
      <w:proofErr w:type="spellStart"/>
      <w:r w:rsidRPr="009346FA">
        <w:rPr>
          <w:iCs/>
          <w:sz w:val="22"/>
          <w:szCs w:val="22"/>
          <w:lang w:val="en-GB"/>
        </w:rPr>
        <w:t>Vinciquerra</w:t>
      </w:r>
      <w:proofErr w:type="spellEnd"/>
      <w:r w:rsidRPr="009346FA">
        <w:rPr>
          <w:iCs/>
          <w:sz w:val="22"/>
          <w:szCs w:val="22"/>
          <w:lang w:val="en-GB"/>
        </w:rPr>
        <w:t xml:space="preserve"> A. Influences of Friction, Geometric Nonlinearities, and Fixture Compliance on Experimentally Observed </w:t>
      </w:r>
      <w:proofErr w:type="spellStart"/>
      <w:r w:rsidRPr="009346FA">
        <w:rPr>
          <w:iCs/>
          <w:sz w:val="22"/>
          <w:szCs w:val="22"/>
          <w:lang w:val="en-GB"/>
        </w:rPr>
        <w:t>Toughnesses</w:t>
      </w:r>
      <w:proofErr w:type="spellEnd"/>
      <w:r w:rsidRPr="009346FA">
        <w:rPr>
          <w:iCs/>
          <w:sz w:val="22"/>
          <w:szCs w:val="22"/>
          <w:lang w:val="en-GB"/>
        </w:rPr>
        <w:t xml:space="preserve"> from Three and Four-point Bend</w:t>
      </w:r>
      <w:r w:rsidRPr="009346FA">
        <w:rPr>
          <w:lang w:val="en-GB"/>
        </w:rPr>
        <w:t xml:space="preserve"> </w:t>
      </w:r>
      <w:r w:rsidRPr="009346FA">
        <w:rPr>
          <w:iCs/>
          <w:sz w:val="22"/>
          <w:szCs w:val="22"/>
          <w:lang w:val="en-GB"/>
        </w:rPr>
        <w:t xml:space="preserve">End-notched Flexure Tests. </w:t>
      </w:r>
      <w:r w:rsidRPr="009346FA">
        <w:rPr>
          <w:i/>
          <w:iCs/>
          <w:sz w:val="22"/>
          <w:szCs w:val="22"/>
          <w:lang w:val="en-GB"/>
        </w:rPr>
        <w:t>Journal of Composite Materials</w:t>
      </w:r>
      <w:r w:rsidRPr="009346FA">
        <w:rPr>
          <w:iCs/>
          <w:sz w:val="22"/>
          <w:szCs w:val="22"/>
          <w:lang w:val="en-GB"/>
        </w:rPr>
        <w:t xml:space="preserve"> 2007</w:t>
      </w:r>
      <w:proofErr w:type="gramStart"/>
      <w:r w:rsidRPr="009346FA">
        <w:rPr>
          <w:iCs/>
          <w:sz w:val="22"/>
          <w:szCs w:val="22"/>
          <w:lang w:val="en-GB"/>
        </w:rPr>
        <w:t>;41</w:t>
      </w:r>
      <w:proofErr w:type="gramEnd"/>
      <w:r w:rsidRPr="009346FA">
        <w:rPr>
          <w:iCs/>
          <w:sz w:val="22"/>
          <w:szCs w:val="22"/>
          <w:lang w:val="en-GB"/>
        </w:rPr>
        <w:t xml:space="preserve">(10):1177{96. </w:t>
      </w:r>
    </w:p>
    <w:p w:rsidR="00137669" w:rsidRPr="009346FA" w:rsidRDefault="00137669" w:rsidP="00137669">
      <w:pPr>
        <w:spacing w:before="60" w:after="60"/>
        <w:ind w:left="426" w:right="4" w:hanging="426"/>
        <w:jc w:val="both"/>
        <w:rPr>
          <w:iCs/>
          <w:sz w:val="22"/>
          <w:szCs w:val="22"/>
          <w:lang w:val="en-GB"/>
        </w:rPr>
      </w:pPr>
      <w:r w:rsidRPr="009346FA">
        <w:rPr>
          <w:iCs/>
          <w:sz w:val="22"/>
          <w:szCs w:val="22"/>
          <w:lang w:val="en-GB"/>
        </w:rPr>
        <w:t>[</w:t>
      </w:r>
      <w:r w:rsidR="00316490" w:rsidRPr="009346FA">
        <w:rPr>
          <w:iCs/>
          <w:sz w:val="22"/>
          <w:szCs w:val="22"/>
          <w:lang w:val="en-GB"/>
        </w:rPr>
        <w:t>6</w:t>
      </w:r>
      <w:r w:rsidRPr="009346FA">
        <w:rPr>
          <w:iCs/>
          <w:sz w:val="22"/>
          <w:szCs w:val="22"/>
          <w:lang w:val="en-GB"/>
        </w:rPr>
        <w:t xml:space="preserve">] Davidson B, Sun X. Effects of friction, geometry, and fixture compliance on the perceived toughness from three- and four-point bend end-notched </w:t>
      </w:r>
      <w:proofErr w:type="spellStart"/>
      <w:r w:rsidRPr="009346FA">
        <w:rPr>
          <w:iCs/>
          <w:sz w:val="22"/>
          <w:szCs w:val="22"/>
          <w:lang w:val="en-GB"/>
        </w:rPr>
        <w:t>fixure</w:t>
      </w:r>
      <w:proofErr w:type="spellEnd"/>
      <w:r w:rsidRPr="009346FA">
        <w:rPr>
          <w:iCs/>
          <w:sz w:val="22"/>
          <w:szCs w:val="22"/>
          <w:lang w:val="en-GB"/>
        </w:rPr>
        <w:t xml:space="preserve"> tests. </w:t>
      </w:r>
      <w:r w:rsidRPr="009346FA">
        <w:rPr>
          <w:i/>
          <w:iCs/>
          <w:sz w:val="22"/>
          <w:szCs w:val="22"/>
          <w:lang w:val="en-GB"/>
        </w:rPr>
        <w:t>Journal of Reinforced Plastics and Composites</w:t>
      </w:r>
      <w:r w:rsidRPr="009346FA">
        <w:rPr>
          <w:iCs/>
          <w:sz w:val="22"/>
          <w:szCs w:val="22"/>
          <w:lang w:val="en-GB"/>
        </w:rPr>
        <w:t xml:space="preserve"> 2005</w:t>
      </w:r>
      <w:proofErr w:type="gramStart"/>
      <w:r w:rsidRPr="009346FA">
        <w:rPr>
          <w:iCs/>
          <w:sz w:val="22"/>
          <w:szCs w:val="22"/>
          <w:lang w:val="en-GB"/>
        </w:rPr>
        <w:t>;24</w:t>
      </w:r>
      <w:proofErr w:type="gramEnd"/>
      <w:r w:rsidRPr="009346FA">
        <w:rPr>
          <w:iCs/>
          <w:sz w:val="22"/>
          <w:szCs w:val="22"/>
          <w:lang w:val="en-GB"/>
        </w:rPr>
        <w:t>(15):1611{28.</w:t>
      </w:r>
    </w:p>
    <w:p w:rsidR="00137669" w:rsidRPr="009346FA" w:rsidRDefault="00316490" w:rsidP="00137669">
      <w:pPr>
        <w:spacing w:before="60" w:after="60"/>
        <w:ind w:left="426" w:right="4" w:hanging="426"/>
        <w:jc w:val="both"/>
        <w:rPr>
          <w:iCs/>
          <w:sz w:val="22"/>
          <w:szCs w:val="22"/>
          <w:lang w:val="en-GB"/>
        </w:rPr>
      </w:pPr>
      <w:r w:rsidRPr="009346FA">
        <w:rPr>
          <w:iCs/>
          <w:sz w:val="22"/>
          <w:szCs w:val="22"/>
          <w:lang w:val="en-GB"/>
        </w:rPr>
        <w:t>[7</w:t>
      </w:r>
      <w:r w:rsidR="00137669" w:rsidRPr="009346FA">
        <w:rPr>
          <w:iCs/>
          <w:sz w:val="22"/>
          <w:szCs w:val="22"/>
          <w:lang w:val="en-GB"/>
        </w:rPr>
        <w:t xml:space="preserve">] Blackman BRK, Kinloch AJ, Rodriguez-Sanchez FS, </w:t>
      </w:r>
      <w:proofErr w:type="spellStart"/>
      <w:r w:rsidR="00137669" w:rsidRPr="009346FA">
        <w:rPr>
          <w:iCs/>
          <w:sz w:val="22"/>
          <w:szCs w:val="22"/>
          <w:lang w:val="en-GB"/>
        </w:rPr>
        <w:t>Teo</w:t>
      </w:r>
      <w:proofErr w:type="spellEnd"/>
      <w:r w:rsidR="00137669" w:rsidRPr="009346FA">
        <w:rPr>
          <w:iCs/>
          <w:sz w:val="22"/>
          <w:szCs w:val="22"/>
          <w:lang w:val="en-GB"/>
        </w:rPr>
        <w:t xml:space="preserve"> WS. The fracture behaviour of </w:t>
      </w:r>
      <w:proofErr w:type="gramStart"/>
      <w:r w:rsidR="00137669" w:rsidRPr="009346FA">
        <w:rPr>
          <w:iCs/>
          <w:sz w:val="22"/>
          <w:szCs w:val="22"/>
          <w:lang w:val="en-GB"/>
        </w:rPr>
        <w:t>adhesively-bonded</w:t>
      </w:r>
      <w:proofErr w:type="gramEnd"/>
      <w:r w:rsidR="00137669" w:rsidRPr="009346FA">
        <w:rPr>
          <w:iCs/>
          <w:sz w:val="22"/>
          <w:szCs w:val="22"/>
          <w:lang w:val="en-GB"/>
        </w:rPr>
        <w:t xml:space="preserve"> composite joints: Effects of rate of test and mode of loading. </w:t>
      </w:r>
      <w:r w:rsidR="00137669" w:rsidRPr="009346FA">
        <w:rPr>
          <w:i/>
          <w:iCs/>
          <w:sz w:val="22"/>
          <w:szCs w:val="22"/>
          <w:lang w:val="en-GB"/>
        </w:rPr>
        <w:t>International Journal of Solids and Structures</w:t>
      </w:r>
      <w:r w:rsidR="00137669" w:rsidRPr="009346FA">
        <w:rPr>
          <w:iCs/>
          <w:sz w:val="22"/>
          <w:szCs w:val="22"/>
          <w:lang w:val="en-GB"/>
        </w:rPr>
        <w:t xml:space="preserve"> 2012</w:t>
      </w:r>
      <w:proofErr w:type="gramStart"/>
      <w:r w:rsidR="00137669" w:rsidRPr="009346FA">
        <w:rPr>
          <w:iCs/>
          <w:sz w:val="22"/>
          <w:szCs w:val="22"/>
          <w:lang w:val="en-GB"/>
        </w:rPr>
        <w:t>;49</w:t>
      </w:r>
      <w:proofErr w:type="gramEnd"/>
      <w:r w:rsidR="00137669" w:rsidRPr="009346FA">
        <w:rPr>
          <w:iCs/>
          <w:sz w:val="22"/>
          <w:szCs w:val="22"/>
          <w:lang w:val="en-GB"/>
        </w:rPr>
        <w:t xml:space="preserve">(13):1434{52. </w:t>
      </w:r>
    </w:p>
    <w:p w:rsidR="00137669" w:rsidRPr="009346FA" w:rsidRDefault="00137669" w:rsidP="00137669">
      <w:pPr>
        <w:spacing w:before="60" w:after="60"/>
        <w:ind w:left="426" w:right="4" w:hanging="426"/>
        <w:jc w:val="both"/>
        <w:rPr>
          <w:iCs/>
          <w:sz w:val="22"/>
          <w:szCs w:val="22"/>
          <w:lang w:val="en-GB"/>
        </w:rPr>
      </w:pPr>
      <w:r w:rsidRPr="009346FA">
        <w:rPr>
          <w:iCs/>
          <w:sz w:val="22"/>
          <w:szCs w:val="22"/>
          <w:lang w:val="en-GB"/>
        </w:rPr>
        <w:t>[</w:t>
      </w:r>
      <w:r w:rsidR="00316490" w:rsidRPr="009346FA">
        <w:rPr>
          <w:iCs/>
          <w:sz w:val="22"/>
          <w:szCs w:val="22"/>
          <w:lang w:val="en-GB"/>
        </w:rPr>
        <w:t>8</w:t>
      </w:r>
      <w:r w:rsidRPr="009346FA">
        <w:rPr>
          <w:iCs/>
          <w:sz w:val="22"/>
          <w:szCs w:val="22"/>
          <w:lang w:val="en-GB"/>
        </w:rPr>
        <w:t xml:space="preserve">] Davies P, Blackman BRK, Brunner A. Standard test methods for delamination resistance of composite materials: </w:t>
      </w:r>
      <w:proofErr w:type="gramStart"/>
      <w:r w:rsidRPr="009346FA">
        <w:rPr>
          <w:iCs/>
          <w:sz w:val="22"/>
          <w:szCs w:val="22"/>
          <w:lang w:val="en-GB"/>
        </w:rPr>
        <w:t>current status</w:t>
      </w:r>
      <w:proofErr w:type="gramEnd"/>
      <w:r w:rsidRPr="009346FA">
        <w:rPr>
          <w:iCs/>
          <w:sz w:val="22"/>
          <w:szCs w:val="22"/>
          <w:lang w:val="en-GB"/>
        </w:rPr>
        <w:t xml:space="preserve">. </w:t>
      </w:r>
      <w:r w:rsidRPr="009346FA">
        <w:rPr>
          <w:i/>
          <w:iCs/>
          <w:sz w:val="22"/>
          <w:szCs w:val="22"/>
          <w:lang w:val="en-GB"/>
        </w:rPr>
        <w:t>Applied Composite Materials</w:t>
      </w:r>
      <w:r w:rsidRPr="009346FA">
        <w:rPr>
          <w:iCs/>
          <w:sz w:val="22"/>
          <w:szCs w:val="22"/>
          <w:lang w:val="en-GB"/>
        </w:rPr>
        <w:t xml:space="preserve"> 1998</w:t>
      </w:r>
      <w:proofErr w:type="gramStart"/>
      <w:r w:rsidRPr="009346FA">
        <w:rPr>
          <w:iCs/>
          <w:sz w:val="22"/>
          <w:szCs w:val="22"/>
          <w:lang w:val="en-GB"/>
        </w:rPr>
        <w:t>;5</w:t>
      </w:r>
      <w:proofErr w:type="gramEnd"/>
      <w:r w:rsidRPr="009346FA">
        <w:rPr>
          <w:iCs/>
          <w:sz w:val="22"/>
          <w:szCs w:val="22"/>
          <w:lang w:val="en-GB"/>
        </w:rPr>
        <w:t>(</w:t>
      </w:r>
      <w:proofErr w:type="spellStart"/>
      <w:r w:rsidRPr="009346FA">
        <w:rPr>
          <w:iCs/>
          <w:sz w:val="22"/>
          <w:szCs w:val="22"/>
          <w:lang w:val="en-GB"/>
        </w:rPr>
        <w:t>Iso</w:t>
      </w:r>
      <w:proofErr w:type="spellEnd"/>
      <w:r w:rsidRPr="009346FA">
        <w:rPr>
          <w:iCs/>
          <w:sz w:val="22"/>
          <w:szCs w:val="22"/>
          <w:lang w:val="en-GB"/>
        </w:rPr>
        <w:t xml:space="preserve"> 4585):345{64. </w:t>
      </w:r>
    </w:p>
    <w:p w:rsidR="00137669" w:rsidRPr="009346FA" w:rsidRDefault="00137669" w:rsidP="00137669">
      <w:pPr>
        <w:spacing w:before="60" w:after="60"/>
        <w:ind w:left="426" w:right="4" w:hanging="426"/>
        <w:jc w:val="both"/>
        <w:rPr>
          <w:iCs/>
          <w:sz w:val="22"/>
          <w:szCs w:val="22"/>
          <w:lang w:val="en-GB"/>
        </w:rPr>
      </w:pPr>
      <w:r w:rsidRPr="009346FA">
        <w:rPr>
          <w:iCs/>
          <w:sz w:val="22"/>
          <w:szCs w:val="22"/>
          <w:lang w:val="en-GB"/>
        </w:rPr>
        <w:t>[</w:t>
      </w:r>
      <w:r w:rsidR="00316490" w:rsidRPr="009346FA">
        <w:rPr>
          <w:iCs/>
          <w:sz w:val="22"/>
          <w:szCs w:val="22"/>
          <w:lang w:val="en-GB"/>
        </w:rPr>
        <w:t>9</w:t>
      </w:r>
      <w:r w:rsidRPr="009346FA">
        <w:rPr>
          <w:iCs/>
          <w:sz w:val="22"/>
          <w:szCs w:val="22"/>
          <w:lang w:val="en-GB"/>
        </w:rPr>
        <w:t xml:space="preserve">] Davies P, </w:t>
      </w:r>
      <w:proofErr w:type="spellStart"/>
      <w:r w:rsidRPr="009346FA">
        <w:rPr>
          <w:iCs/>
          <w:sz w:val="22"/>
          <w:szCs w:val="22"/>
          <w:lang w:val="en-GB"/>
        </w:rPr>
        <w:t>Kausch</w:t>
      </w:r>
      <w:proofErr w:type="spellEnd"/>
      <w:r w:rsidRPr="009346FA">
        <w:rPr>
          <w:iCs/>
          <w:sz w:val="22"/>
          <w:szCs w:val="22"/>
          <w:lang w:val="en-GB"/>
        </w:rPr>
        <w:t xml:space="preserve"> H, Williams J, Kinloch AJ, </w:t>
      </w:r>
      <w:proofErr w:type="spellStart"/>
      <w:r w:rsidRPr="009346FA">
        <w:rPr>
          <w:iCs/>
          <w:sz w:val="22"/>
          <w:szCs w:val="22"/>
          <w:lang w:val="en-GB"/>
        </w:rPr>
        <w:t>Charalambides</w:t>
      </w:r>
      <w:proofErr w:type="spellEnd"/>
      <w:r w:rsidRPr="009346FA">
        <w:rPr>
          <w:iCs/>
          <w:sz w:val="22"/>
          <w:szCs w:val="22"/>
          <w:lang w:val="en-GB"/>
        </w:rPr>
        <w:t xml:space="preserve"> M, </w:t>
      </w:r>
      <w:proofErr w:type="spellStart"/>
      <w:r w:rsidRPr="009346FA">
        <w:rPr>
          <w:iCs/>
          <w:sz w:val="22"/>
          <w:szCs w:val="22"/>
          <w:lang w:val="en-GB"/>
        </w:rPr>
        <w:t>Pavan</w:t>
      </w:r>
      <w:proofErr w:type="spellEnd"/>
      <w:r w:rsidRPr="009346FA">
        <w:rPr>
          <w:iCs/>
          <w:sz w:val="22"/>
          <w:szCs w:val="22"/>
          <w:lang w:val="en-GB"/>
        </w:rPr>
        <w:t xml:space="preserve"> A, et al. Round-robin  </w:t>
      </w:r>
      <w:proofErr w:type="spellStart"/>
      <w:r w:rsidRPr="009346FA">
        <w:rPr>
          <w:iCs/>
          <w:sz w:val="22"/>
          <w:szCs w:val="22"/>
          <w:lang w:val="en-GB"/>
        </w:rPr>
        <w:t>interlaminar</w:t>
      </w:r>
      <w:proofErr w:type="spellEnd"/>
      <w:r w:rsidRPr="009346FA">
        <w:rPr>
          <w:iCs/>
          <w:sz w:val="22"/>
          <w:szCs w:val="22"/>
          <w:lang w:val="en-GB"/>
        </w:rPr>
        <w:t xml:space="preserve"> fracture testing of carbon-fibre-reinforced epoxy and PEEK </w:t>
      </w:r>
      <w:proofErr w:type="spellStart"/>
      <w:r w:rsidRPr="009346FA">
        <w:rPr>
          <w:iCs/>
          <w:sz w:val="22"/>
          <w:szCs w:val="22"/>
          <w:lang w:val="en-GB"/>
        </w:rPr>
        <w:t>composites.</w:t>
      </w:r>
      <w:r w:rsidRPr="009346FA">
        <w:rPr>
          <w:i/>
          <w:iCs/>
          <w:sz w:val="22"/>
          <w:szCs w:val="22"/>
          <w:lang w:val="en-GB"/>
        </w:rPr>
        <w:t>Composites</w:t>
      </w:r>
      <w:proofErr w:type="spellEnd"/>
      <w:r w:rsidRPr="009346FA">
        <w:rPr>
          <w:i/>
          <w:iCs/>
          <w:sz w:val="22"/>
          <w:szCs w:val="22"/>
          <w:lang w:val="en-GB"/>
        </w:rPr>
        <w:t xml:space="preserve"> Science and Technology</w:t>
      </w:r>
      <w:r w:rsidRPr="009346FA">
        <w:rPr>
          <w:iCs/>
          <w:sz w:val="22"/>
          <w:szCs w:val="22"/>
          <w:lang w:val="en-GB"/>
        </w:rPr>
        <w:t xml:space="preserve"> 1992;43(2):129{36. </w:t>
      </w:r>
    </w:p>
    <w:p w:rsidR="00137669" w:rsidRPr="009346FA" w:rsidRDefault="00137669" w:rsidP="00137669">
      <w:pPr>
        <w:spacing w:before="60" w:after="60"/>
        <w:ind w:left="426" w:right="4" w:hanging="426"/>
        <w:jc w:val="both"/>
        <w:rPr>
          <w:iCs/>
          <w:sz w:val="22"/>
          <w:szCs w:val="22"/>
          <w:lang w:val="en-GB"/>
        </w:rPr>
      </w:pPr>
      <w:r w:rsidRPr="009346FA">
        <w:rPr>
          <w:iCs/>
          <w:sz w:val="22"/>
          <w:szCs w:val="22"/>
          <w:lang w:val="en-GB"/>
        </w:rPr>
        <w:t>[</w:t>
      </w:r>
      <w:r w:rsidR="00316490" w:rsidRPr="009346FA">
        <w:rPr>
          <w:iCs/>
          <w:sz w:val="22"/>
          <w:szCs w:val="22"/>
          <w:lang w:val="en-GB"/>
        </w:rPr>
        <w:t>10</w:t>
      </w:r>
      <w:r w:rsidRPr="009346FA">
        <w:rPr>
          <w:iCs/>
          <w:sz w:val="22"/>
          <w:szCs w:val="22"/>
          <w:lang w:val="en-GB"/>
        </w:rPr>
        <w:t xml:space="preserve">] Davies P, Sims G, Blackman BRK, Brunner A, </w:t>
      </w:r>
      <w:proofErr w:type="spellStart"/>
      <w:r w:rsidRPr="009346FA">
        <w:rPr>
          <w:iCs/>
          <w:sz w:val="22"/>
          <w:szCs w:val="22"/>
          <w:lang w:val="en-GB"/>
        </w:rPr>
        <w:t>Kageyama</w:t>
      </w:r>
      <w:proofErr w:type="spellEnd"/>
      <w:r w:rsidRPr="009346FA">
        <w:rPr>
          <w:iCs/>
          <w:sz w:val="22"/>
          <w:szCs w:val="22"/>
          <w:lang w:val="en-GB"/>
        </w:rPr>
        <w:t xml:space="preserve"> K, </w:t>
      </w:r>
      <w:proofErr w:type="spellStart"/>
      <w:r w:rsidRPr="009346FA">
        <w:rPr>
          <w:iCs/>
          <w:sz w:val="22"/>
          <w:szCs w:val="22"/>
          <w:lang w:val="en-GB"/>
        </w:rPr>
        <w:t>Hojo</w:t>
      </w:r>
      <w:proofErr w:type="spellEnd"/>
      <w:r w:rsidRPr="009346FA">
        <w:rPr>
          <w:iCs/>
          <w:sz w:val="22"/>
          <w:szCs w:val="22"/>
          <w:lang w:val="en-GB"/>
        </w:rPr>
        <w:t xml:space="preserve"> M, et al. Comparison of test </w:t>
      </w:r>
      <w:proofErr w:type="spellStart"/>
      <w:r w:rsidRPr="009346FA">
        <w:rPr>
          <w:iCs/>
          <w:sz w:val="22"/>
          <w:szCs w:val="22"/>
          <w:lang w:val="en-GB"/>
        </w:rPr>
        <w:t>configurarions</w:t>
      </w:r>
      <w:proofErr w:type="spellEnd"/>
      <w:r w:rsidRPr="009346FA">
        <w:rPr>
          <w:iCs/>
          <w:sz w:val="22"/>
          <w:szCs w:val="22"/>
          <w:lang w:val="en-GB"/>
        </w:rPr>
        <w:t xml:space="preserve"> for the determination of GIIC: results from an international round robin. </w:t>
      </w:r>
      <w:r w:rsidRPr="009346FA">
        <w:rPr>
          <w:i/>
          <w:iCs/>
          <w:sz w:val="22"/>
          <w:szCs w:val="22"/>
          <w:lang w:val="en-GB"/>
        </w:rPr>
        <w:t>Plastics, Rubber and Composites</w:t>
      </w:r>
      <w:r w:rsidRPr="009346FA">
        <w:rPr>
          <w:iCs/>
          <w:sz w:val="22"/>
          <w:szCs w:val="22"/>
          <w:lang w:val="en-GB"/>
        </w:rPr>
        <w:t xml:space="preserve"> 1999</w:t>
      </w:r>
      <w:proofErr w:type="gramStart"/>
      <w:r w:rsidRPr="009346FA">
        <w:rPr>
          <w:iCs/>
          <w:sz w:val="22"/>
          <w:szCs w:val="22"/>
          <w:lang w:val="en-GB"/>
        </w:rPr>
        <w:t>;28</w:t>
      </w:r>
      <w:proofErr w:type="gramEnd"/>
      <w:r w:rsidRPr="009346FA">
        <w:rPr>
          <w:iCs/>
          <w:sz w:val="22"/>
          <w:szCs w:val="22"/>
          <w:lang w:val="en-GB"/>
        </w:rPr>
        <w:t>(September):432{7.</w:t>
      </w:r>
    </w:p>
    <w:p w:rsidR="00137669" w:rsidRPr="009346FA" w:rsidRDefault="00137669" w:rsidP="00137669">
      <w:pPr>
        <w:spacing w:before="60" w:after="60"/>
        <w:ind w:left="426" w:right="4" w:hanging="426"/>
        <w:jc w:val="both"/>
        <w:rPr>
          <w:iCs/>
          <w:sz w:val="22"/>
          <w:szCs w:val="22"/>
          <w:lang w:val="en-GB"/>
        </w:rPr>
      </w:pPr>
      <w:r w:rsidRPr="009346FA">
        <w:rPr>
          <w:iCs/>
          <w:sz w:val="22"/>
          <w:szCs w:val="22"/>
          <w:lang w:val="en-GB"/>
        </w:rPr>
        <w:t>[</w:t>
      </w:r>
      <w:r w:rsidR="00316490" w:rsidRPr="009346FA">
        <w:rPr>
          <w:iCs/>
          <w:sz w:val="22"/>
          <w:szCs w:val="22"/>
          <w:lang w:val="en-GB"/>
        </w:rPr>
        <w:t>11</w:t>
      </w:r>
      <w:r w:rsidRPr="009346FA">
        <w:rPr>
          <w:iCs/>
          <w:sz w:val="22"/>
          <w:szCs w:val="22"/>
          <w:lang w:val="en-GB"/>
        </w:rPr>
        <w:t xml:space="preserve">] Davies P. Summary of results from the second VAMAS mode II round robin test exercise using the 4ENF specimen. </w:t>
      </w:r>
      <w:r w:rsidRPr="009346FA">
        <w:rPr>
          <w:i/>
          <w:iCs/>
          <w:sz w:val="22"/>
          <w:szCs w:val="22"/>
          <w:lang w:val="en-GB"/>
        </w:rPr>
        <w:t>IFREMER Report</w:t>
      </w:r>
      <w:r w:rsidRPr="009346FA">
        <w:rPr>
          <w:iCs/>
          <w:sz w:val="22"/>
          <w:szCs w:val="22"/>
          <w:lang w:val="en-GB"/>
        </w:rPr>
        <w:t xml:space="preserve"> TMSI/RED/MS 9982 1999</w:t>
      </w:r>
      <w:proofErr w:type="gramStart"/>
      <w:r w:rsidRPr="009346FA">
        <w:rPr>
          <w:iCs/>
          <w:sz w:val="22"/>
          <w:szCs w:val="22"/>
          <w:lang w:val="en-GB"/>
        </w:rPr>
        <w:t>;.</w:t>
      </w:r>
      <w:proofErr w:type="gramEnd"/>
    </w:p>
    <w:p w:rsidR="00137669" w:rsidRPr="009346FA" w:rsidRDefault="00137669" w:rsidP="00137669">
      <w:pPr>
        <w:spacing w:before="60" w:after="60"/>
        <w:ind w:left="426" w:right="4" w:hanging="426"/>
        <w:jc w:val="both"/>
        <w:rPr>
          <w:iCs/>
          <w:sz w:val="22"/>
          <w:szCs w:val="22"/>
          <w:lang w:val="en-GB"/>
        </w:rPr>
      </w:pPr>
      <w:r w:rsidRPr="009346FA">
        <w:rPr>
          <w:iCs/>
          <w:sz w:val="22"/>
          <w:szCs w:val="22"/>
          <w:lang w:val="en-GB"/>
        </w:rPr>
        <w:t>[</w:t>
      </w:r>
      <w:r w:rsidR="00316490" w:rsidRPr="009346FA">
        <w:rPr>
          <w:iCs/>
          <w:sz w:val="22"/>
          <w:szCs w:val="22"/>
          <w:lang w:val="en-GB"/>
        </w:rPr>
        <w:t>12</w:t>
      </w:r>
      <w:r w:rsidRPr="009346FA">
        <w:rPr>
          <w:iCs/>
          <w:sz w:val="22"/>
          <w:szCs w:val="22"/>
          <w:lang w:val="en-GB"/>
        </w:rPr>
        <w:t xml:space="preserve">] Davies P. Review of standard procedures for delamination resistance testing. In: </w:t>
      </w:r>
      <w:r w:rsidRPr="009346FA">
        <w:rPr>
          <w:i/>
          <w:iCs/>
          <w:sz w:val="22"/>
          <w:szCs w:val="22"/>
          <w:lang w:val="en-GB"/>
        </w:rPr>
        <w:t>Delamination Behaviour of Composites</w:t>
      </w:r>
      <w:r w:rsidRPr="009346FA">
        <w:rPr>
          <w:iCs/>
          <w:sz w:val="22"/>
          <w:szCs w:val="22"/>
          <w:lang w:val="en-GB"/>
        </w:rPr>
        <w:t xml:space="preserve">. </w:t>
      </w:r>
      <w:proofErr w:type="gramStart"/>
      <w:r w:rsidRPr="009346FA">
        <w:rPr>
          <w:iCs/>
          <w:sz w:val="22"/>
          <w:szCs w:val="22"/>
          <w:lang w:val="en-GB"/>
        </w:rPr>
        <w:t>2008</w:t>
      </w:r>
      <w:proofErr w:type="gramEnd"/>
      <w:r w:rsidRPr="009346FA">
        <w:rPr>
          <w:iCs/>
          <w:sz w:val="22"/>
          <w:szCs w:val="22"/>
          <w:lang w:val="en-GB"/>
        </w:rPr>
        <w:t>, p. 65{86.</w:t>
      </w:r>
    </w:p>
    <w:p w:rsidR="00137669" w:rsidRPr="009346FA" w:rsidRDefault="00137669" w:rsidP="00137669">
      <w:pPr>
        <w:spacing w:before="60" w:after="60"/>
        <w:ind w:left="426" w:right="4" w:hanging="426"/>
        <w:jc w:val="both"/>
        <w:rPr>
          <w:iCs/>
          <w:sz w:val="22"/>
          <w:szCs w:val="22"/>
          <w:lang w:val="en-GB"/>
        </w:rPr>
      </w:pPr>
      <w:r w:rsidRPr="009346FA">
        <w:rPr>
          <w:iCs/>
          <w:sz w:val="22"/>
          <w:szCs w:val="22"/>
          <w:lang w:val="en-GB"/>
        </w:rPr>
        <w:t>[</w:t>
      </w:r>
      <w:r w:rsidR="002A4599" w:rsidRPr="009346FA">
        <w:rPr>
          <w:iCs/>
          <w:sz w:val="22"/>
          <w:szCs w:val="22"/>
          <w:lang w:val="en-GB"/>
        </w:rPr>
        <w:t>13</w:t>
      </w:r>
      <w:r w:rsidRPr="009346FA">
        <w:rPr>
          <w:iCs/>
          <w:sz w:val="22"/>
          <w:szCs w:val="22"/>
          <w:lang w:val="en-GB"/>
        </w:rPr>
        <w:t xml:space="preserve">] </w:t>
      </w:r>
      <w:proofErr w:type="spellStart"/>
      <w:r w:rsidRPr="009346FA">
        <w:rPr>
          <w:iCs/>
          <w:sz w:val="22"/>
          <w:szCs w:val="22"/>
          <w:lang w:val="en-GB"/>
        </w:rPr>
        <w:t>Carlsson</w:t>
      </w:r>
      <w:proofErr w:type="spellEnd"/>
      <w:r w:rsidRPr="009346FA">
        <w:rPr>
          <w:iCs/>
          <w:sz w:val="22"/>
          <w:szCs w:val="22"/>
          <w:lang w:val="en-GB"/>
        </w:rPr>
        <w:t xml:space="preserve"> L, Gillespie J. Mode-II </w:t>
      </w:r>
      <w:proofErr w:type="spellStart"/>
      <w:r w:rsidRPr="009346FA">
        <w:rPr>
          <w:iCs/>
          <w:sz w:val="22"/>
          <w:szCs w:val="22"/>
          <w:lang w:val="en-GB"/>
        </w:rPr>
        <w:t>Interlaminar</w:t>
      </w:r>
      <w:proofErr w:type="spellEnd"/>
      <w:r w:rsidRPr="009346FA">
        <w:rPr>
          <w:iCs/>
          <w:sz w:val="22"/>
          <w:szCs w:val="22"/>
          <w:lang w:val="en-GB"/>
        </w:rPr>
        <w:t xml:space="preserve"> Fracture of Composites. In: </w:t>
      </w:r>
      <w:r w:rsidRPr="009346FA">
        <w:rPr>
          <w:i/>
          <w:iCs/>
          <w:sz w:val="22"/>
          <w:szCs w:val="22"/>
          <w:lang w:val="en-GB"/>
        </w:rPr>
        <w:t>Friedrich K, editor. Application of Fracture Mechanics to Composite Materials</w:t>
      </w:r>
      <w:r w:rsidRPr="009346FA">
        <w:rPr>
          <w:iCs/>
          <w:sz w:val="22"/>
          <w:szCs w:val="22"/>
          <w:lang w:val="en-GB"/>
        </w:rPr>
        <w:t xml:space="preserve">; chap. 4. </w:t>
      </w:r>
      <w:proofErr w:type="gramStart"/>
      <w:r w:rsidRPr="009346FA">
        <w:rPr>
          <w:iCs/>
          <w:sz w:val="22"/>
          <w:szCs w:val="22"/>
          <w:lang w:val="en-GB"/>
        </w:rPr>
        <w:t>1989</w:t>
      </w:r>
      <w:proofErr w:type="gramEnd"/>
      <w:r w:rsidRPr="009346FA">
        <w:rPr>
          <w:iCs/>
          <w:sz w:val="22"/>
          <w:szCs w:val="22"/>
          <w:lang w:val="en-GB"/>
        </w:rPr>
        <w:t>, p. 113{57.</w:t>
      </w:r>
    </w:p>
    <w:p w:rsidR="00137669" w:rsidRPr="009346FA" w:rsidRDefault="00137669" w:rsidP="00137669">
      <w:pPr>
        <w:spacing w:before="60" w:after="60"/>
        <w:ind w:left="426" w:right="4" w:hanging="426"/>
        <w:jc w:val="both"/>
        <w:rPr>
          <w:iCs/>
          <w:sz w:val="22"/>
          <w:szCs w:val="22"/>
          <w:lang w:val="en-GB"/>
        </w:rPr>
      </w:pPr>
      <w:r w:rsidRPr="009346FA">
        <w:rPr>
          <w:iCs/>
          <w:sz w:val="22"/>
          <w:szCs w:val="22"/>
          <w:lang w:val="en-GB"/>
        </w:rPr>
        <w:t>[</w:t>
      </w:r>
      <w:r w:rsidR="002A4599" w:rsidRPr="009346FA">
        <w:rPr>
          <w:iCs/>
          <w:sz w:val="22"/>
          <w:szCs w:val="22"/>
          <w:lang w:val="en-GB"/>
        </w:rPr>
        <w:t>14</w:t>
      </w:r>
      <w:r w:rsidRPr="009346FA">
        <w:rPr>
          <w:iCs/>
          <w:sz w:val="22"/>
          <w:szCs w:val="22"/>
          <w:lang w:val="en-GB"/>
        </w:rPr>
        <w:t xml:space="preserve">] Vassilopoulos AP. Fatigue and Fracture of Adhesively-bonded Composite Joints Behaviour, Simulation and Modelling. 2015. </w:t>
      </w:r>
      <w:r w:rsidRPr="009346FA">
        <w:rPr>
          <w:i/>
          <w:iCs/>
          <w:sz w:val="22"/>
          <w:szCs w:val="22"/>
          <w:lang w:val="en-GB"/>
        </w:rPr>
        <w:t>ISBN 9780857092700</w:t>
      </w:r>
      <w:r w:rsidRPr="009346FA">
        <w:rPr>
          <w:iCs/>
          <w:sz w:val="22"/>
          <w:szCs w:val="22"/>
          <w:lang w:val="en-GB"/>
        </w:rPr>
        <w:t xml:space="preserve">. </w:t>
      </w:r>
    </w:p>
    <w:p w:rsidR="00137669" w:rsidRPr="009346FA" w:rsidRDefault="00137669" w:rsidP="00137669">
      <w:pPr>
        <w:spacing w:before="60" w:after="60"/>
        <w:ind w:left="426" w:right="4" w:hanging="426"/>
        <w:jc w:val="both"/>
        <w:rPr>
          <w:iCs/>
          <w:sz w:val="22"/>
          <w:szCs w:val="22"/>
          <w:lang w:val="en-GB"/>
        </w:rPr>
      </w:pPr>
      <w:r w:rsidRPr="009346FA">
        <w:rPr>
          <w:iCs/>
          <w:sz w:val="22"/>
          <w:szCs w:val="22"/>
          <w:lang w:val="en-GB"/>
        </w:rPr>
        <w:lastRenderedPageBreak/>
        <w:t>[</w:t>
      </w:r>
      <w:r w:rsidR="002A4599" w:rsidRPr="009346FA">
        <w:rPr>
          <w:iCs/>
          <w:sz w:val="22"/>
          <w:szCs w:val="22"/>
          <w:lang w:val="en-GB"/>
        </w:rPr>
        <w:t>15</w:t>
      </w:r>
      <w:r w:rsidRPr="009346FA">
        <w:rPr>
          <w:iCs/>
          <w:sz w:val="22"/>
          <w:szCs w:val="22"/>
          <w:lang w:val="en-GB"/>
        </w:rPr>
        <w:t xml:space="preserve">] Blackman BRK, Kinloch A, </w:t>
      </w:r>
      <w:proofErr w:type="spellStart"/>
      <w:r w:rsidRPr="009346FA">
        <w:rPr>
          <w:iCs/>
          <w:sz w:val="22"/>
          <w:szCs w:val="22"/>
          <w:lang w:val="en-GB"/>
        </w:rPr>
        <w:t>Paraschi</w:t>
      </w:r>
      <w:proofErr w:type="spellEnd"/>
      <w:r w:rsidRPr="009346FA">
        <w:rPr>
          <w:iCs/>
          <w:sz w:val="22"/>
          <w:szCs w:val="22"/>
          <w:lang w:val="en-GB"/>
        </w:rPr>
        <w:t xml:space="preserve"> M. The determination of the mode II adhesive fracture resistance, GIIC, of structural adhesive joints: an effective crack length approach. </w:t>
      </w:r>
      <w:r w:rsidRPr="009346FA">
        <w:rPr>
          <w:i/>
          <w:iCs/>
          <w:sz w:val="22"/>
          <w:szCs w:val="22"/>
          <w:lang w:val="en-GB"/>
        </w:rPr>
        <w:t>Engineering Fracture Mechanics</w:t>
      </w:r>
      <w:r w:rsidRPr="009346FA">
        <w:rPr>
          <w:iCs/>
          <w:sz w:val="22"/>
          <w:szCs w:val="22"/>
          <w:lang w:val="en-GB"/>
        </w:rPr>
        <w:t xml:space="preserve"> 2005</w:t>
      </w:r>
      <w:proofErr w:type="gramStart"/>
      <w:r w:rsidRPr="009346FA">
        <w:rPr>
          <w:iCs/>
          <w:sz w:val="22"/>
          <w:szCs w:val="22"/>
          <w:lang w:val="en-GB"/>
        </w:rPr>
        <w:t>;72</w:t>
      </w:r>
      <w:proofErr w:type="gramEnd"/>
      <w:r w:rsidRPr="009346FA">
        <w:rPr>
          <w:iCs/>
          <w:sz w:val="22"/>
          <w:szCs w:val="22"/>
          <w:lang w:val="en-GB"/>
        </w:rPr>
        <w:t xml:space="preserve">(6):877{97. </w:t>
      </w:r>
    </w:p>
    <w:p w:rsidR="00137669" w:rsidRPr="009346FA" w:rsidRDefault="00137669" w:rsidP="00137669">
      <w:pPr>
        <w:spacing w:before="60" w:after="60"/>
        <w:ind w:left="426" w:right="4" w:hanging="426"/>
        <w:jc w:val="both"/>
        <w:rPr>
          <w:iCs/>
          <w:sz w:val="22"/>
          <w:szCs w:val="22"/>
          <w:lang w:val="en-GB"/>
        </w:rPr>
      </w:pPr>
      <w:r w:rsidRPr="009346FA">
        <w:rPr>
          <w:iCs/>
          <w:sz w:val="22"/>
          <w:szCs w:val="22"/>
          <w:lang w:val="en-GB"/>
        </w:rPr>
        <w:t>[</w:t>
      </w:r>
      <w:r w:rsidR="002A4599" w:rsidRPr="009346FA">
        <w:rPr>
          <w:iCs/>
          <w:sz w:val="22"/>
          <w:szCs w:val="22"/>
          <w:lang w:val="en-GB"/>
        </w:rPr>
        <w:t>16</w:t>
      </w:r>
      <w:r w:rsidRPr="009346FA">
        <w:rPr>
          <w:iCs/>
          <w:sz w:val="22"/>
          <w:szCs w:val="22"/>
          <w:lang w:val="en-GB"/>
        </w:rPr>
        <w:t xml:space="preserve">] </w:t>
      </w:r>
      <w:proofErr w:type="spellStart"/>
      <w:r w:rsidRPr="009346FA">
        <w:rPr>
          <w:iCs/>
          <w:sz w:val="22"/>
          <w:szCs w:val="22"/>
          <w:lang w:val="en-GB"/>
        </w:rPr>
        <w:t>Hogberg</w:t>
      </w:r>
      <w:proofErr w:type="spellEnd"/>
      <w:r w:rsidRPr="009346FA">
        <w:rPr>
          <w:iCs/>
          <w:sz w:val="22"/>
          <w:szCs w:val="22"/>
          <w:lang w:val="en-GB"/>
        </w:rPr>
        <w:t xml:space="preserve"> J, Sorensen B, </w:t>
      </w:r>
      <w:proofErr w:type="spellStart"/>
      <w:r w:rsidRPr="009346FA">
        <w:rPr>
          <w:iCs/>
          <w:sz w:val="22"/>
          <w:szCs w:val="22"/>
          <w:lang w:val="en-GB"/>
        </w:rPr>
        <w:t>Stigh</w:t>
      </w:r>
      <w:proofErr w:type="spellEnd"/>
      <w:r w:rsidRPr="009346FA">
        <w:rPr>
          <w:iCs/>
          <w:sz w:val="22"/>
          <w:szCs w:val="22"/>
          <w:lang w:val="en-GB"/>
        </w:rPr>
        <w:t xml:space="preserve"> U. Constitutive behaviour of mixed mode loaded adhesive layer. </w:t>
      </w:r>
      <w:r w:rsidRPr="009346FA">
        <w:rPr>
          <w:i/>
          <w:iCs/>
          <w:sz w:val="22"/>
          <w:szCs w:val="22"/>
          <w:lang w:val="en-GB"/>
        </w:rPr>
        <w:t>International Journal of Solids and Structures</w:t>
      </w:r>
      <w:r w:rsidRPr="009346FA">
        <w:rPr>
          <w:iCs/>
          <w:sz w:val="22"/>
          <w:szCs w:val="22"/>
          <w:lang w:val="en-GB"/>
        </w:rPr>
        <w:t xml:space="preserve"> 2007</w:t>
      </w:r>
      <w:proofErr w:type="gramStart"/>
      <w:r w:rsidRPr="009346FA">
        <w:rPr>
          <w:iCs/>
          <w:sz w:val="22"/>
          <w:szCs w:val="22"/>
          <w:lang w:val="en-GB"/>
        </w:rPr>
        <w:t>;44</w:t>
      </w:r>
      <w:proofErr w:type="gramEnd"/>
      <w:r w:rsidRPr="009346FA">
        <w:rPr>
          <w:iCs/>
          <w:sz w:val="22"/>
          <w:szCs w:val="22"/>
          <w:lang w:val="en-GB"/>
        </w:rPr>
        <w:t>(25-26):8335{54.</w:t>
      </w:r>
    </w:p>
    <w:p w:rsidR="00137669" w:rsidRPr="009346FA" w:rsidRDefault="00137669" w:rsidP="00137669">
      <w:pPr>
        <w:spacing w:before="60" w:after="60"/>
        <w:ind w:left="426" w:right="4" w:hanging="426"/>
        <w:jc w:val="both"/>
        <w:rPr>
          <w:iCs/>
          <w:sz w:val="22"/>
          <w:szCs w:val="22"/>
          <w:lang w:val="en-GB"/>
        </w:rPr>
      </w:pPr>
      <w:r w:rsidRPr="009346FA">
        <w:rPr>
          <w:iCs/>
          <w:sz w:val="22"/>
          <w:szCs w:val="22"/>
          <w:lang w:val="en-GB"/>
        </w:rPr>
        <w:t>[</w:t>
      </w:r>
      <w:r w:rsidR="001277B1" w:rsidRPr="009346FA">
        <w:rPr>
          <w:iCs/>
          <w:sz w:val="22"/>
          <w:szCs w:val="22"/>
          <w:lang w:val="en-GB"/>
        </w:rPr>
        <w:t>17</w:t>
      </w:r>
      <w:r w:rsidRPr="009346FA">
        <w:rPr>
          <w:iCs/>
          <w:sz w:val="22"/>
          <w:szCs w:val="22"/>
          <w:lang w:val="en-GB"/>
        </w:rPr>
        <w:t xml:space="preserve">] Rice J. A Path Independent Integral and the Approximate Analysis of Strain Concentration by Notches and Cracks. </w:t>
      </w:r>
      <w:r w:rsidRPr="009346FA">
        <w:rPr>
          <w:i/>
          <w:iCs/>
          <w:sz w:val="22"/>
          <w:szCs w:val="22"/>
          <w:lang w:val="en-GB"/>
        </w:rPr>
        <w:t>Journal of Applied Mechanics</w:t>
      </w:r>
      <w:r w:rsidRPr="009346FA">
        <w:rPr>
          <w:iCs/>
          <w:sz w:val="22"/>
          <w:szCs w:val="22"/>
          <w:lang w:val="en-GB"/>
        </w:rPr>
        <w:t xml:space="preserve"> 1968</w:t>
      </w:r>
      <w:proofErr w:type="gramStart"/>
      <w:r w:rsidRPr="009346FA">
        <w:rPr>
          <w:iCs/>
          <w:sz w:val="22"/>
          <w:szCs w:val="22"/>
          <w:lang w:val="en-GB"/>
        </w:rPr>
        <w:t>;35:379</w:t>
      </w:r>
      <w:proofErr w:type="gramEnd"/>
      <w:r w:rsidRPr="009346FA">
        <w:rPr>
          <w:iCs/>
          <w:sz w:val="22"/>
          <w:szCs w:val="22"/>
          <w:lang w:val="en-GB"/>
        </w:rPr>
        <w:t xml:space="preserve">{86. </w:t>
      </w:r>
    </w:p>
    <w:p w:rsidR="009148E5" w:rsidRPr="009346FA" w:rsidRDefault="00137669" w:rsidP="00137669">
      <w:pPr>
        <w:spacing w:before="60" w:after="60"/>
        <w:ind w:left="426" w:right="4" w:hanging="426"/>
        <w:jc w:val="both"/>
        <w:rPr>
          <w:iCs/>
          <w:sz w:val="22"/>
          <w:szCs w:val="22"/>
          <w:lang w:val="en-GB"/>
        </w:rPr>
      </w:pPr>
      <w:r w:rsidRPr="009346FA">
        <w:rPr>
          <w:iCs/>
          <w:sz w:val="22"/>
          <w:szCs w:val="22"/>
          <w:lang w:val="en-GB"/>
        </w:rPr>
        <w:t>[</w:t>
      </w:r>
      <w:r w:rsidR="001277B1" w:rsidRPr="009346FA">
        <w:rPr>
          <w:iCs/>
          <w:sz w:val="22"/>
          <w:szCs w:val="22"/>
          <w:lang w:val="en-GB"/>
        </w:rPr>
        <w:t>18</w:t>
      </w:r>
      <w:r w:rsidRPr="009346FA">
        <w:rPr>
          <w:iCs/>
          <w:sz w:val="22"/>
          <w:szCs w:val="22"/>
          <w:lang w:val="en-GB"/>
        </w:rPr>
        <w:t xml:space="preserve">] </w:t>
      </w:r>
      <w:proofErr w:type="spellStart"/>
      <w:r w:rsidRPr="009346FA">
        <w:rPr>
          <w:iCs/>
          <w:sz w:val="22"/>
          <w:szCs w:val="22"/>
          <w:lang w:val="en-GB"/>
        </w:rPr>
        <w:t>Stigh</w:t>
      </w:r>
      <w:proofErr w:type="spellEnd"/>
      <w:r w:rsidRPr="009346FA">
        <w:rPr>
          <w:iCs/>
          <w:sz w:val="22"/>
          <w:szCs w:val="22"/>
          <w:lang w:val="en-GB"/>
        </w:rPr>
        <w:t xml:space="preserve"> U, </w:t>
      </w:r>
      <w:proofErr w:type="spellStart"/>
      <w:r w:rsidRPr="009346FA">
        <w:rPr>
          <w:iCs/>
          <w:sz w:val="22"/>
          <w:szCs w:val="22"/>
          <w:lang w:val="en-GB"/>
        </w:rPr>
        <w:t>Alfredsson</w:t>
      </w:r>
      <w:proofErr w:type="spellEnd"/>
      <w:r w:rsidRPr="009346FA">
        <w:rPr>
          <w:iCs/>
          <w:sz w:val="22"/>
          <w:szCs w:val="22"/>
          <w:lang w:val="en-GB"/>
        </w:rPr>
        <w:t xml:space="preserve"> KS, Biel A. Measurement of cohesive laws and related problems. IMECE2009: </w:t>
      </w:r>
      <w:r w:rsidRPr="009346FA">
        <w:rPr>
          <w:i/>
          <w:iCs/>
          <w:sz w:val="22"/>
          <w:szCs w:val="22"/>
          <w:lang w:val="en-GB"/>
        </w:rPr>
        <w:t xml:space="preserve">Proceedings of the ASME International Mechanical Engineering Congress and Exposition </w:t>
      </w:r>
      <w:proofErr w:type="gramStart"/>
      <w:r w:rsidRPr="009346FA">
        <w:rPr>
          <w:iCs/>
          <w:sz w:val="22"/>
          <w:szCs w:val="22"/>
          <w:lang w:val="en-GB"/>
        </w:rPr>
        <w:t>2009;</w:t>
      </w:r>
      <w:proofErr w:type="gramEnd"/>
      <w:r w:rsidRPr="009346FA">
        <w:rPr>
          <w:iCs/>
          <w:sz w:val="22"/>
          <w:szCs w:val="22"/>
          <w:lang w:val="en-GB"/>
        </w:rPr>
        <w:t>(11):293{8.</w:t>
      </w:r>
    </w:p>
    <w:p w:rsidR="00137669" w:rsidRPr="009346FA" w:rsidRDefault="00137669" w:rsidP="00137669">
      <w:pPr>
        <w:spacing w:before="60" w:after="60"/>
        <w:ind w:left="426" w:right="4" w:hanging="426"/>
        <w:jc w:val="both"/>
        <w:rPr>
          <w:color w:val="000000"/>
          <w:sz w:val="22"/>
          <w:szCs w:val="22"/>
          <w:lang w:val="en-GB"/>
        </w:rPr>
      </w:pPr>
      <w:r w:rsidRPr="009346FA">
        <w:rPr>
          <w:color w:val="000000"/>
          <w:sz w:val="22"/>
          <w:szCs w:val="22"/>
          <w:lang w:val="en-GB"/>
        </w:rPr>
        <w:t>[</w:t>
      </w:r>
      <w:r w:rsidR="001277B1" w:rsidRPr="009346FA">
        <w:rPr>
          <w:color w:val="000000"/>
          <w:sz w:val="22"/>
          <w:szCs w:val="22"/>
          <w:lang w:val="en-GB"/>
        </w:rPr>
        <w:t>19</w:t>
      </w:r>
      <w:r w:rsidR="009346FA">
        <w:rPr>
          <w:color w:val="000000"/>
          <w:sz w:val="22"/>
          <w:szCs w:val="22"/>
          <w:lang w:val="en-GB"/>
        </w:rPr>
        <w:t>] Pérez-</w:t>
      </w:r>
      <w:proofErr w:type="spellStart"/>
      <w:r w:rsidR="009346FA">
        <w:rPr>
          <w:color w:val="000000"/>
          <w:sz w:val="22"/>
          <w:szCs w:val="22"/>
          <w:lang w:val="en-GB"/>
        </w:rPr>
        <w:t>Galmés</w:t>
      </w:r>
      <w:proofErr w:type="spellEnd"/>
      <w:r w:rsidR="009346FA">
        <w:rPr>
          <w:color w:val="000000"/>
          <w:sz w:val="22"/>
          <w:szCs w:val="22"/>
          <w:lang w:val="en-GB"/>
        </w:rPr>
        <w:t xml:space="preserve"> M, </w:t>
      </w:r>
      <w:proofErr w:type="spellStart"/>
      <w:r w:rsidR="009346FA">
        <w:rPr>
          <w:color w:val="000000"/>
          <w:sz w:val="22"/>
          <w:szCs w:val="22"/>
          <w:lang w:val="en-GB"/>
        </w:rPr>
        <w:t>Renart</w:t>
      </w:r>
      <w:proofErr w:type="spellEnd"/>
      <w:r w:rsidR="009346FA">
        <w:rPr>
          <w:color w:val="000000"/>
          <w:sz w:val="22"/>
          <w:szCs w:val="22"/>
          <w:lang w:val="en-GB"/>
        </w:rPr>
        <w:t xml:space="preserve"> J, </w:t>
      </w:r>
      <w:proofErr w:type="spellStart"/>
      <w:r w:rsidR="009346FA">
        <w:rPr>
          <w:color w:val="000000"/>
          <w:sz w:val="22"/>
          <w:szCs w:val="22"/>
          <w:lang w:val="en-GB"/>
        </w:rPr>
        <w:t>Sarrado</w:t>
      </w:r>
      <w:proofErr w:type="spellEnd"/>
      <w:r w:rsidR="009346FA">
        <w:rPr>
          <w:color w:val="000000"/>
          <w:sz w:val="22"/>
          <w:szCs w:val="22"/>
          <w:lang w:val="en-GB"/>
        </w:rPr>
        <w:t xml:space="preserve"> C, Rodrí</w:t>
      </w:r>
      <w:r w:rsidRPr="009346FA">
        <w:rPr>
          <w:color w:val="000000"/>
          <w:sz w:val="22"/>
          <w:szCs w:val="22"/>
          <w:lang w:val="en-GB"/>
        </w:rPr>
        <w:t>guez-</w:t>
      </w:r>
      <w:proofErr w:type="spellStart"/>
      <w:r w:rsidRPr="009346FA">
        <w:rPr>
          <w:color w:val="000000"/>
          <w:sz w:val="22"/>
          <w:szCs w:val="22"/>
          <w:lang w:val="en-GB"/>
        </w:rPr>
        <w:t>Bellido</w:t>
      </w:r>
      <w:proofErr w:type="spellEnd"/>
      <w:r w:rsidRPr="009346FA">
        <w:rPr>
          <w:color w:val="000000"/>
          <w:sz w:val="22"/>
          <w:szCs w:val="22"/>
          <w:lang w:val="en-GB"/>
        </w:rPr>
        <w:t xml:space="preserve"> A, Costa J. A data reduction method based on the J-integral to obtain the </w:t>
      </w:r>
      <w:proofErr w:type="spellStart"/>
      <w:r w:rsidRPr="009346FA">
        <w:rPr>
          <w:color w:val="000000"/>
          <w:sz w:val="22"/>
          <w:szCs w:val="22"/>
          <w:lang w:val="en-GB"/>
        </w:rPr>
        <w:t>interlaminar</w:t>
      </w:r>
      <w:proofErr w:type="spellEnd"/>
      <w:r w:rsidRPr="009346FA">
        <w:rPr>
          <w:color w:val="000000"/>
          <w:sz w:val="22"/>
          <w:szCs w:val="22"/>
          <w:lang w:val="en-GB"/>
        </w:rPr>
        <w:t xml:space="preserve"> fracture toughness in a mode II end-loaded split (ELS) test. </w:t>
      </w:r>
      <w:r w:rsidRPr="009346FA">
        <w:rPr>
          <w:i/>
          <w:color w:val="000000"/>
          <w:sz w:val="22"/>
          <w:szCs w:val="22"/>
          <w:lang w:val="en-GB"/>
        </w:rPr>
        <w:t>Composites Part A: Applied Science and Manufacturing</w:t>
      </w:r>
      <w:r w:rsidRPr="009346FA">
        <w:rPr>
          <w:color w:val="000000"/>
          <w:sz w:val="22"/>
          <w:szCs w:val="22"/>
          <w:lang w:val="en-GB"/>
        </w:rPr>
        <w:t xml:space="preserve"> 2016</w:t>
      </w:r>
      <w:proofErr w:type="gramStart"/>
      <w:r w:rsidRPr="009346FA">
        <w:rPr>
          <w:color w:val="000000"/>
          <w:sz w:val="22"/>
          <w:szCs w:val="22"/>
          <w:lang w:val="en-GB"/>
        </w:rPr>
        <w:t>;90:670</w:t>
      </w:r>
      <w:proofErr w:type="gramEnd"/>
      <w:r w:rsidRPr="009346FA">
        <w:rPr>
          <w:color w:val="000000"/>
          <w:sz w:val="22"/>
          <w:szCs w:val="22"/>
          <w:lang w:val="en-GB"/>
        </w:rPr>
        <w:t>{7.</w:t>
      </w:r>
    </w:p>
    <w:p w:rsidR="00137669" w:rsidRPr="009346FA" w:rsidRDefault="00137669" w:rsidP="00137669">
      <w:pPr>
        <w:spacing w:before="60" w:after="60"/>
        <w:ind w:left="426" w:right="4" w:hanging="426"/>
        <w:jc w:val="both"/>
        <w:rPr>
          <w:color w:val="000000"/>
          <w:sz w:val="22"/>
          <w:szCs w:val="22"/>
          <w:lang w:val="en-GB"/>
        </w:rPr>
      </w:pPr>
      <w:r w:rsidRPr="009346FA">
        <w:rPr>
          <w:color w:val="000000"/>
          <w:sz w:val="22"/>
          <w:szCs w:val="22"/>
          <w:lang w:val="en-GB"/>
        </w:rPr>
        <w:t>[</w:t>
      </w:r>
      <w:r w:rsidR="001277B1" w:rsidRPr="009346FA">
        <w:rPr>
          <w:color w:val="000000"/>
          <w:sz w:val="22"/>
          <w:szCs w:val="22"/>
          <w:lang w:val="en-GB"/>
        </w:rPr>
        <w:t>20</w:t>
      </w:r>
      <w:r w:rsidRPr="009346FA">
        <w:rPr>
          <w:color w:val="000000"/>
          <w:sz w:val="22"/>
          <w:szCs w:val="22"/>
          <w:lang w:val="en-GB"/>
        </w:rPr>
        <w:t xml:space="preserve">] </w:t>
      </w:r>
      <w:proofErr w:type="spellStart"/>
      <w:r w:rsidRPr="009346FA">
        <w:rPr>
          <w:color w:val="000000"/>
          <w:sz w:val="22"/>
          <w:szCs w:val="22"/>
          <w:lang w:val="en-GB"/>
        </w:rPr>
        <w:t>Sarrado</w:t>
      </w:r>
      <w:proofErr w:type="spellEnd"/>
      <w:r w:rsidRPr="009346FA">
        <w:rPr>
          <w:color w:val="000000"/>
          <w:sz w:val="22"/>
          <w:szCs w:val="22"/>
          <w:lang w:val="en-GB"/>
        </w:rPr>
        <w:t xml:space="preserve"> C, </w:t>
      </w:r>
      <w:proofErr w:type="spellStart"/>
      <w:r w:rsidRPr="009346FA">
        <w:rPr>
          <w:color w:val="000000"/>
          <w:sz w:val="22"/>
          <w:szCs w:val="22"/>
          <w:lang w:val="en-GB"/>
        </w:rPr>
        <w:t>Turon</w:t>
      </w:r>
      <w:proofErr w:type="spellEnd"/>
      <w:r w:rsidRPr="009346FA">
        <w:rPr>
          <w:color w:val="000000"/>
          <w:sz w:val="22"/>
          <w:szCs w:val="22"/>
          <w:lang w:val="en-GB"/>
        </w:rPr>
        <w:t xml:space="preserve"> A, </w:t>
      </w:r>
      <w:proofErr w:type="spellStart"/>
      <w:r w:rsidRPr="009346FA">
        <w:rPr>
          <w:color w:val="000000"/>
          <w:sz w:val="22"/>
          <w:szCs w:val="22"/>
          <w:lang w:val="en-GB"/>
        </w:rPr>
        <w:t>Renart</w:t>
      </w:r>
      <w:proofErr w:type="spellEnd"/>
      <w:r w:rsidRPr="009346FA">
        <w:rPr>
          <w:color w:val="000000"/>
          <w:sz w:val="22"/>
          <w:szCs w:val="22"/>
          <w:lang w:val="en-GB"/>
        </w:rPr>
        <w:t xml:space="preserve"> J, Costa J. An experimental data reduction method for the Mixed Mode Bending test based on the J-integral approach. </w:t>
      </w:r>
      <w:r w:rsidRPr="009346FA">
        <w:rPr>
          <w:i/>
          <w:color w:val="000000"/>
          <w:sz w:val="22"/>
          <w:szCs w:val="22"/>
          <w:lang w:val="en-GB"/>
        </w:rPr>
        <w:t>Composites Science and Technology</w:t>
      </w:r>
      <w:r w:rsidRPr="009346FA">
        <w:rPr>
          <w:color w:val="000000"/>
          <w:sz w:val="22"/>
          <w:szCs w:val="22"/>
          <w:lang w:val="en-GB"/>
        </w:rPr>
        <w:t xml:space="preserve"> 2015</w:t>
      </w:r>
      <w:proofErr w:type="gramStart"/>
      <w:r w:rsidRPr="009346FA">
        <w:rPr>
          <w:color w:val="000000"/>
          <w:sz w:val="22"/>
          <w:szCs w:val="22"/>
          <w:lang w:val="en-GB"/>
        </w:rPr>
        <w:t>;117</w:t>
      </w:r>
      <w:proofErr w:type="gramEnd"/>
      <w:r w:rsidRPr="009346FA">
        <w:rPr>
          <w:color w:val="000000"/>
          <w:sz w:val="22"/>
          <w:szCs w:val="22"/>
          <w:lang w:val="en-GB"/>
        </w:rPr>
        <w:t>(117):85{91.</w:t>
      </w:r>
    </w:p>
    <w:p w:rsidR="00137669" w:rsidRPr="009346FA" w:rsidRDefault="00137669" w:rsidP="00137669">
      <w:pPr>
        <w:spacing w:before="60" w:after="60"/>
        <w:ind w:left="426" w:right="4" w:hanging="426"/>
        <w:jc w:val="both"/>
        <w:rPr>
          <w:color w:val="000000"/>
          <w:sz w:val="22"/>
          <w:szCs w:val="22"/>
          <w:lang w:val="en-GB"/>
        </w:rPr>
      </w:pPr>
      <w:r w:rsidRPr="009346FA">
        <w:rPr>
          <w:color w:val="000000"/>
          <w:sz w:val="22"/>
          <w:szCs w:val="22"/>
          <w:lang w:val="en-GB"/>
        </w:rPr>
        <w:t>[2</w:t>
      </w:r>
      <w:r w:rsidR="001277B1" w:rsidRPr="009346FA">
        <w:rPr>
          <w:color w:val="000000"/>
          <w:sz w:val="22"/>
          <w:szCs w:val="22"/>
          <w:lang w:val="en-GB"/>
        </w:rPr>
        <w:t>1</w:t>
      </w:r>
      <w:r w:rsidRPr="009346FA">
        <w:rPr>
          <w:color w:val="000000"/>
          <w:sz w:val="22"/>
          <w:szCs w:val="22"/>
          <w:lang w:val="en-GB"/>
        </w:rPr>
        <w:t xml:space="preserve">] ISO </w:t>
      </w:r>
      <w:proofErr w:type="gramStart"/>
      <w:r w:rsidRPr="009346FA">
        <w:rPr>
          <w:color w:val="000000"/>
          <w:sz w:val="22"/>
          <w:szCs w:val="22"/>
          <w:lang w:val="en-GB"/>
        </w:rPr>
        <w:t>25217:2014 .</w:t>
      </w:r>
      <w:proofErr w:type="gramEnd"/>
      <w:r w:rsidRPr="009346FA">
        <w:rPr>
          <w:color w:val="000000"/>
          <w:sz w:val="22"/>
          <w:szCs w:val="22"/>
          <w:lang w:val="en-GB"/>
        </w:rPr>
        <w:t xml:space="preserve"> Adhesives - Determination of the mode 1 adhesive fracture energy of structural adhesive joints using double cantilever beam and tapered double cantilever beam specimens. International </w:t>
      </w:r>
      <w:r w:rsidRPr="009346FA">
        <w:rPr>
          <w:i/>
          <w:color w:val="000000"/>
          <w:sz w:val="22"/>
          <w:szCs w:val="22"/>
          <w:lang w:val="en-GB"/>
        </w:rPr>
        <w:t>Organization for Standardization, Geneva, Switzerland</w:t>
      </w:r>
      <w:r w:rsidRPr="009346FA">
        <w:rPr>
          <w:color w:val="000000"/>
          <w:sz w:val="22"/>
          <w:szCs w:val="22"/>
          <w:lang w:val="en-GB"/>
        </w:rPr>
        <w:t xml:space="preserve"> 2009</w:t>
      </w:r>
      <w:proofErr w:type="gramStart"/>
      <w:r w:rsidRPr="009346FA">
        <w:rPr>
          <w:color w:val="000000"/>
          <w:sz w:val="22"/>
          <w:szCs w:val="22"/>
          <w:lang w:val="en-GB"/>
        </w:rPr>
        <w:t>;.</w:t>
      </w:r>
      <w:proofErr w:type="gramEnd"/>
    </w:p>
    <w:p w:rsidR="001277B1" w:rsidRPr="009346FA" w:rsidRDefault="001277B1" w:rsidP="00137669">
      <w:pPr>
        <w:spacing w:before="60" w:after="60"/>
        <w:ind w:left="426" w:right="4" w:hanging="426"/>
        <w:jc w:val="both"/>
        <w:rPr>
          <w:color w:val="000000"/>
          <w:sz w:val="22"/>
          <w:szCs w:val="22"/>
          <w:lang w:val="en-GB"/>
        </w:rPr>
      </w:pPr>
      <w:r w:rsidRPr="009346FA">
        <w:rPr>
          <w:iCs/>
          <w:sz w:val="22"/>
          <w:szCs w:val="22"/>
          <w:lang w:val="en-GB"/>
        </w:rPr>
        <w:t xml:space="preserve">[22] </w:t>
      </w:r>
      <w:proofErr w:type="spellStart"/>
      <w:r w:rsidRPr="009346FA">
        <w:rPr>
          <w:iCs/>
          <w:sz w:val="22"/>
          <w:szCs w:val="22"/>
          <w:lang w:val="en-GB"/>
        </w:rPr>
        <w:t>Hashemi</w:t>
      </w:r>
      <w:proofErr w:type="spellEnd"/>
      <w:r w:rsidRPr="009346FA">
        <w:rPr>
          <w:iCs/>
          <w:sz w:val="22"/>
          <w:szCs w:val="22"/>
          <w:lang w:val="en-GB"/>
        </w:rPr>
        <w:t xml:space="preserve"> S, Kinloch A, Williams J. The analysis of </w:t>
      </w:r>
      <w:proofErr w:type="spellStart"/>
      <w:r w:rsidRPr="009346FA">
        <w:rPr>
          <w:iCs/>
          <w:sz w:val="22"/>
          <w:szCs w:val="22"/>
          <w:lang w:val="en-GB"/>
        </w:rPr>
        <w:t>interlaminar</w:t>
      </w:r>
      <w:proofErr w:type="spellEnd"/>
      <w:r w:rsidRPr="009346FA">
        <w:rPr>
          <w:iCs/>
          <w:sz w:val="22"/>
          <w:szCs w:val="22"/>
          <w:lang w:val="en-GB"/>
        </w:rPr>
        <w:t xml:space="preserve"> fracture in uniaxial </w:t>
      </w:r>
      <w:proofErr w:type="spellStart"/>
      <w:r w:rsidRPr="009346FA">
        <w:rPr>
          <w:iCs/>
          <w:sz w:val="22"/>
          <w:szCs w:val="22"/>
          <w:lang w:val="en-GB"/>
        </w:rPr>
        <w:t>fiber</w:t>
      </w:r>
      <w:proofErr w:type="spellEnd"/>
      <w:r w:rsidRPr="009346FA">
        <w:rPr>
          <w:iCs/>
          <w:sz w:val="22"/>
          <w:szCs w:val="22"/>
          <w:lang w:val="en-GB"/>
        </w:rPr>
        <w:t xml:space="preserve">-polymer composites. </w:t>
      </w:r>
      <w:r w:rsidRPr="009346FA">
        <w:rPr>
          <w:i/>
          <w:iCs/>
          <w:sz w:val="22"/>
          <w:szCs w:val="22"/>
          <w:lang w:val="en-GB"/>
        </w:rPr>
        <w:t>Proceedings of the Royal Society A</w:t>
      </w:r>
      <w:r w:rsidRPr="009346FA">
        <w:rPr>
          <w:iCs/>
          <w:sz w:val="22"/>
          <w:szCs w:val="22"/>
          <w:lang w:val="en-GB"/>
        </w:rPr>
        <w:t xml:space="preserve"> 1990</w:t>
      </w:r>
      <w:proofErr w:type="gramStart"/>
      <w:r w:rsidRPr="009346FA">
        <w:rPr>
          <w:iCs/>
          <w:sz w:val="22"/>
          <w:szCs w:val="22"/>
          <w:lang w:val="en-GB"/>
        </w:rPr>
        <w:t>;427:173</w:t>
      </w:r>
      <w:proofErr w:type="gramEnd"/>
      <w:r w:rsidRPr="009346FA">
        <w:rPr>
          <w:iCs/>
          <w:sz w:val="22"/>
          <w:szCs w:val="22"/>
          <w:lang w:val="en-GB"/>
        </w:rPr>
        <w:t>{99.</w:t>
      </w:r>
    </w:p>
    <w:p w:rsidR="00137669" w:rsidRPr="009346FA" w:rsidRDefault="00137669" w:rsidP="00137669">
      <w:pPr>
        <w:spacing w:before="60" w:after="60"/>
        <w:ind w:left="426" w:right="4" w:hanging="426"/>
        <w:jc w:val="both"/>
        <w:rPr>
          <w:color w:val="000000"/>
          <w:sz w:val="22"/>
          <w:szCs w:val="22"/>
          <w:lang w:val="en-GB"/>
        </w:rPr>
      </w:pPr>
      <w:r w:rsidRPr="009346FA">
        <w:rPr>
          <w:color w:val="000000"/>
          <w:sz w:val="22"/>
          <w:szCs w:val="22"/>
          <w:lang w:val="en-GB"/>
        </w:rPr>
        <w:t>[2</w:t>
      </w:r>
      <w:r w:rsidR="0014168E" w:rsidRPr="009346FA">
        <w:rPr>
          <w:color w:val="000000"/>
          <w:sz w:val="22"/>
          <w:szCs w:val="22"/>
          <w:lang w:val="en-GB"/>
        </w:rPr>
        <w:t>3</w:t>
      </w:r>
      <w:r w:rsidRPr="009346FA">
        <w:rPr>
          <w:color w:val="000000"/>
          <w:sz w:val="22"/>
          <w:szCs w:val="22"/>
          <w:lang w:val="en-GB"/>
        </w:rPr>
        <w:t xml:space="preserve">] AITM </w:t>
      </w:r>
      <w:proofErr w:type="gramStart"/>
      <w:r w:rsidRPr="009346FA">
        <w:rPr>
          <w:color w:val="000000"/>
          <w:sz w:val="22"/>
          <w:szCs w:val="22"/>
          <w:lang w:val="en-GB"/>
        </w:rPr>
        <w:t>1.0006:1994 .</w:t>
      </w:r>
      <w:proofErr w:type="gramEnd"/>
      <w:r w:rsidRPr="009346FA">
        <w:rPr>
          <w:color w:val="000000"/>
          <w:sz w:val="22"/>
          <w:szCs w:val="22"/>
          <w:lang w:val="en-GB"/>
        </w:rPr>
        <w:t xml:space="preserve"> Carbon Fibre Reinforced Plastics Determination of </w:t>
      </w:r>
      <w:proofErr w:type="spellStart"/>
      <w:r w:rsidRPr="009346FA">
        <w:rPr>
          <w:color w:val="000000"/>
          <w:sz w:val="22"/>
          <w:szCs w:val="22"/>
          <w:lang w:val="en-GB"/>
        </w:rPr>
        <w:t>interlaminar</w:t>
      </w:r>
      <w:proofErr w:type="spellEnd"/>
      <w:r w:rsidRPr="009346FA">
        <w:rPr>
          <w:color w:val="000000"/>
          <w:sz w:val="22"/>
          <w:szCs w:val="22"/>
          <w:lang w:val="en-GB"/>
        </w:rPr>
        <w:t xml:space="preserve"> fracture toughness energy (Mode II GIIC-TEST). </w:t>
      </w:r>
      <w:r w:rsidRPr="009346FA">
        <w:rPr>
          <w:i/>
          <w:color w:val="000000"/>
          <w:sz w:val="22"/>
          <w:szCs w:val="22"/>
          <w:lang w:val="en-GB"/>
        </w:rPr>
        <w:t>Airbus Industries Test Method</w:t>
      </w:r>
      <w:r w:rsidRPr="009346FA">
        <w:rPr>
          <w:color w:val="000000"/>
          <w:sz w:val="22"/>
          <w:szCs w:val="22"/>
          <w:lang w:val="en-GB"/>
        </w:rPr>
        <w:t xml:space="preserve"> </w:t>
      </w:r>
      <w:proofErr w:type="gramStart"/>
      <w:r w:rsidRPr="009346FA">
        <w:rPr>
          <w:color w:val="000000"/>
          <w:sz w:val="22"/>
          <w:szCs w:val="22"/>
          <w:lang w:val="en-GB"/>
        </w:rPr>
        <w:t>1994;</w:t>
      </w:r>
      <w:proofErr w:type="gramEnd"/>
      <w:r w:rsidRPr="009346FA">
        <w:rPr>
          <w:color w:val="000000"/>
          <w:sz w:val="22"/>
          <w:szCs w:val="22"/>
          <w:lang w:val="en-GB"/>
        </w:rPr>
        <w:t>(2):1{8.</w:t>
      </w:r>
    </w:p>
    <w:p w:rsidR="00137669" w:rsidRPr="009346FA" w:rsidRDefault="00137669" w:rsidP="00137669">
      <w:pPr>
        <w:spacing w:before="60" w:after="60"/>
        <w:ind w:left="426" w:right="4" w:hanging="426"/>
        <w:jc w:val="both"/>
        <w:rPr>
          <w:color w:val="000000"/>
          <w:sz w:val="22"/>
          <w:szCs w:val="22"/>
          <w:lang w:val="en-GB"/>
        </w:rPr>
      </w:pPr>
      <w:r w:rsidRPr="009346FA">
        <w:rPr>
          <w:color w:val="000000"/>
          <w:sz w:val="22"/>
          <w:szCs w:val="22"/>
          <w:lang w:val="en-GB"/>
        </w:rPr>
        <w:t>[</w:t>
      </w:r>
      <w:r w:rsidR="004F60C3" w:rsidRPr="009346FA">
        <w:rPr>
          <w:color w:val="000000"/>
          <w:sz w:val="22"/>
          <w:szCs w:val="22"/>
          <w:lang w:val="en-GB"/>
        </w:rPr>
        <w:t>24</w:t>
      </w:r>
      <w:r w:rsidRPr="009346FA">
        <w:rPr>
          <w:color w:val="000000"/>
          <w:sz w:val="22"/>
          <w:szCs w:val="22"/>
          <w:lang w:val="en-GB"/>
        </w:rPr>
        <w:t xml:space="preserve">] Russell A, Street K. Moisture and Temperature Effects on the Mode </w:t>
      </w:r>
      <w:proofErr w:type="gramStart"/>
      <w:r w:rsidRPr="009346FA">
        <w:rPr>
          <w:color w:val="000000"/>
          <w:sz w:val="22"/>
          <w:szCs w:val="22"/>
          <w:lang w:val="en-GB"/>
        </w:rPr>
        <w:t xml:space="preserve">I and Mode II </w:t>
      </w:r>
      <w:proofErr w:type="spellStart"/>
      <w:r w:rsidRPr="009346FA">
        <w:rPr>
          <w:color w:val="000000"/>
          <w:sz w:val="22"/>
          <w:szCs w:val="22"/>
          <w:lang w:val="en-GB"/>
        </w:rPr>
        <w:t>Interlaminar</w:t>
      </w:r>
      <w:proofErr w:type="spellEnd"/>
      <w:proofErr w:type="gramEnd"/>
      <w:r w:rsidRPr="009346FA">
        <w:rPr>
          <w:color w:val="000000"/>
          <w:sz w:val="22"/>
          <w:szCs w:val="22"/>
          <w:lang w:val="en-GB"/>
        </w:rPr>
        <w:t xml:space="preserve"> Fracture of Graphite/Epoxy Composites. </w:t>
      </w:r>
      <w:r w:rsidRPr="009346FA">
        <w:rPr>
          <w:i/>
          <w:color w:val="000000"/>
          <w:sz w:val="22"/>
          <w:szCs w:val="22"/>
          <w:lang w:val="en-GB"/>
        </w:rPr>
        <w:t>Key Engineering Materials</w:t>
      </w:r>
      <w:r w:rsidRPr="009346FA">
        <w:rPr>
          <w:color w:val="000000"/>
          <w:sz w:val="22"/>
          <w:szCs w:val="22"/>
          <w:lang w:val="en-GB"/>
        </w:rPr>
        <w:t xml:space="preserve"> 1989</w:t>
      </w:r>
      <w:proofErr w:type="gramStart"/>
      <w:r w:rsidRPr="009346FA">
        <w:rPr>
          <w:color w:val="000000"/>
          <w:sz w:val="22"/>
          <w:szCs w:val="22"/>
          <w:lang w:val="en-GB"/>
        </w:rPr>
        <w:t>;37:199</w:t>
      </w:r>
      <w:proofErr w:type="gramEnd"/>
      <w:r w:rsidRPr="009346FA">
        <w:rPr>
          <w:color w:val="000000"/>
          <w:sz w:val="22"/>
          <w:szCs w:val="22"/>
          <w:lang w:val="en-GB"/>
        </w:rPr>
        <w:t>{208.</w:t>
      </w:r>
    </w:p>
    <w:p w:rsidR="00137669" w:rsidRPr="009346FA" w:rsidRDefault="00137669" w:rsidP="00137669">
      <w:pPr>
        <w:spacing w:before="60" w:after="60"/>
        <w:ind w:left="426" w:right="4" w:hanging="426"/>
        <w:jc w:val="both"/>
        <w:rPr>
          <w:color w:val="000000"/>
          <w:sz w:val="22"/>
          <w:szCs w:val="22"/>
          <w:lang w:val="en-GB"/>
        </w:rPr>
      </w:pPr>
      <w:r w:rsidRPr="009346FA">
        <w:rPr>
          <w:color w:val="000000"/>
          <w:sz w:val="22"/>
          <w:szCs w:val="22"/>
          <w:lang w:val="en-GB"/>
        </w:rPr>
        <w:t>[2</w:t>
      </w:r>
      <w:r w:rsidR="004F60C3" w:rsidRPr="009346FA">
        <w:rPr>
          <w:color w:val="000000"/>
          <w:sz w:val="22"/>
          <w:szCs w:val="22"/>
          <w:lang w:val="en-GB"/>
        </w:rPr>
        <w:t>5</w:t>
      </w:r>
      <w:r w:rsidRPr="009346FA">
        <w:rPr>
          <w:color w:val="000000"/>
          <w:sz w:val="22"/>
          <w:szCs w:val="22"/>
          <w:lang w:val="en-GB"/>
        </w:rPr>
        <w:t xml:space="preserve">] </w:t>
      </w:r>
      <w:proofErr w:type="spellStart"/>
      <w:r w:rsidRPr="009346FA">
        <w:rPr>
          <w:color w:val="000000"/>
          <w:sz w:val="22"/>
          <w:szCs w:val="22"/>
          <w:lang w:val="en-GB"/>
        </w:rPr>
        <w:t>Carlsson</w:t>
      </w:r>
      <w:proofErr w:type="spellEnd"/>
      <w:r w:rsidRPr="009346FA">
        <w:rPr>
          <w:color w:val="000000"/>
          <w:sz w:val="22"/>
          <w:szCs w:val="22"/>
          <w:lang w:val="en-GB"/>
        </w:rPr>
        <w:t xml:space="preserve"> LA, Gillespie JW, </w:t>
      </w:r>
      <w:proofErr w:type="spellStart"/>
      <w:r w:rsidRPr="009346FA">
        <w:rPr>
          <w:color w:val="000000"/>
          <w:sz w:val="22"/>
          <w:szCs w:val="22"/>
          <w:lang w:val="en-GB"/>
        </w:rPr>
        <w:t>Trethewey</w:t>
      </w:r>
      <w:proofErr w:type="spellEnd"/>
      <w:r w:rsidRPr="009346FA">
        <w:rPr>
          <w:color w:val="000000"/>
          <w:sz w:val="22"/>
          <w:szCs w:val="22"/>
          <w:lang w:val="en-GB"/>
        </w:rPr>
        <w:t xml:space="preserve"> BR. Mode II </w:t>
      </w:r>
      <w:proofErr w:type="spellStart"/>
      <w:r w:rsidRPr="009346FA">
        <w:rPr>
          <w:color w:val="000000"/>
          <w:sz w:val="22"/>
          <w:szCs w:val="22"/>
          <w:lang w:val="en-GB"/>
        </w:rPr>
        <w:t>Interlaminar</w:t>
      </w:r>
      <w:proofErr w:type="spellEnd"/>
      <w:r w:rsidRPr="009346FA">
        <w:rPr>
          <w:color w:val="000000"/>
          <w:sz w:val="22"/>
          <w:szCs w:val="22"/>
          <w:lang w:val="en-GB"/>
        </w:rPr>
        <w:t xml:space="preserve"> Fracture of Graphite/Epoxy and Graphite/PEEK. </w:t>
      </w:r>
      <w:r w:rsidRPr="009346FA">
        <w:rPr>
          <w:i/>
          <w:color w:val="000000"/>
          <w:sz w:val="22"/>
          <w:szCs w:val="22"/>
          <w:lang w:val="en-GB"/>
        </w:rPr>
        <w:t>Journal of Reinforced Plastics and Composites</w:t>
      </w:r>
      <w:r w:rsidRPr="009346FA">
        <w:rPr>
          <w:color w:val="000000"/>
          <w:sz w:val="22"/>
          <w:szCs w:val="22"/>
          <w:lang w:val="en-GB"/>
        </w:rPr>
        <w:t xml:space="preserve"> 1986</w:t>
      </w:r>
      <w:proofErr w:type="gramStart"/>
      <w:r w:rsidRPr="009346FA">
        <w:rPr>
          <w:color w:val="000000"/>
          <w:sz w:val="22"/>
          <w:szCs w:val="22"/>
          <w:lang w:val="en-GB"/>
        </w:rPr>
        <w:t>;5</w:t>
      </w:r>
      <w:proofErr w:type="gramEnd"/>
      <w:r w:rsidRPr="009346FA">
        <w:rPr>
          <w:color w:val="000000"/>
          <w:sz w:val="22"/>
          <w:szCs w:val="22"/>
          <w:lang w:val="en-GB"/>
        </w:rPr>
        <w:t>(3):170{87.</w:t>
      </w:r>
    </w:p>
    <w:p w:rsidR="00137669" w:rsidRDefault="004F60C3" w:rsidP="00137669">
      <w:pPr>
        <w:spacing w:before="60" w:after="60"/>
        <w:ind w:left="426" w:right="4" w:hanging="426"/>
        <w:jc w:val="both"/>
        <w:rPr>
          <w:color w:val="000000"/>
          <w:sz w:val="22"/>
          <w:szCs w:val="22"/>
          <w:lang w:val="en-GB"/>
        </w:rPr>
      </w:pPr>
      <w:r w:rsidRPr="009346FA">
        <w:rPr>
          <w:color w:val="000000"/>
          <w:sz w:val="22"/>
          <w:szCs w:val="22"/>
          <w:lang w:val="en-GB"/>
        </w:rPr>
        <w:t>[26</w:t>
      </w:r>
      <w:r w:rsidR="00137669" w:rsidRPr="009346FA">
        <w:rPr>
          <w:color w:val="000000"/>
          <w:sz w:val="22"/>
          <w:szCs w:val="22"/>
          <w:lang w:val="en-GB"/>
        </w:rPr>
        <w:t>]</w:t>
      </w:r>
      <w:r w:rsidR="00F52039" w:rsidRPr="009346FA">
        <w:rPr>
          <w:color w:val="000000"/>
          <w:sz w:val="22"/>
          <w:szCs w:val="22"/>
          <w:lang w:val="en-GB"/>
        </w:rPr>
        <w:t xml:space="preserve"> de Moura M, </w:t>
      </w:r>
      <w:proofErr w:type="spellStart"/>
      <w:r w:rsidR="00F52039" w:rsidRPr="009346FA">
        <w:rPr>
          <w:color w:val="000000"/>
          <w:sz w:val="22"/>
          <w:szCs w:val="22"/>
          <w:lang w:val="en-GB"/>
        </w:rPr>
        <w:t>Campilho</w:t>
      </w:r>
      <w:proofErr w:type="spellEnd"/>
      <w:r w:rsidR="00F52039" w:rsidRPr="009346FA">
        <w:rPr>
          <w:color w:val="000000"/>
          <w:sz w:val="22"/>
          <w:szCs w:val="22"/>
          <w:lang w:val="en-GB"/>
        </w:rPr>
        <w:t xml:space="preserve"> RDSG, </w:t>
      </w:r>
      <w:proofErr w:type="spellStart"/>
      <w:r w:rsidR="00F52039" w:rsidRPr="009346FA">
        <w:rPr>
          <w:color w:val="000000"/>
          <w:sz w:val="22"/>
          <w:szCs w:val="22"/>
          <w:lang w:val="en-GB"/>
        </w:rPr>
        <w:t>Gon</w:t>
      </w:r>
      <w:r w:rsidR="00137669" w:rsidRPr="009346FA">
        <w:rPr>
          <w:color w:val="000000"/>
          <w:sz w:val="22"/>
          <w:szCs w:val="22"/>
          <w:lang w:val="en-GB"/>
        </w:rPr>
        <w:t>calves</w:t>
      </w:r>
      <w:proofErr w:type="spellEnd"/>
      <w:r w:rsidR="00137669" w:rsidRPr="009346FA">
        <w:rPr>
          <w:color w:val="000000"/>
          <w:sz w:val="22"/>
          <w:szCs w:val="22"/>
          <w:lang w:val="en-GB"/>
        </w:rPr>
        <w:t xml:space="preserve"> JPM. Pure mode II fracture characterization of composite bonded joints. </w:t>
      </w:r>
      <w:r w:rsidR="00137669" w:rsidRPr="009346FA">
        <w:rPr>
          <w:i/>
          <w:color w:val="000000"/>
          <w:sz w:val="22"/>
          <w:szCs w:val="22"/>
          <w:lang w:val="en-GB"/>
        </w:rPr>
        <w:t>International Journal of Solids and Structures</w:t>
      </w:r>
      <w:r w:rsidR="00137669" w:rsidRPr="009346FA">
        <w:rPr>
          <w:color w:val="000000"/>
          <w:sz w:val="22"/>
          <w:szCs w:val="22"/>
          <w:lang w:val="en-GB"/>
        </w:rPr>
        <w:t xml:space="preserve"> 2009</w:t>
      </w:r>
      <w:proofErr w:type="gramStart"/>
      <w:r w:rsidR="00137669" w:rsidRPr="009346FA">
        <w:rPr>
          <w:color w:val="000000"/>
          <w:sz w:val="22"/>
          <w:szCs w:val="22"/>
          <w:lang w:val="en-GB"/>
        </w:rPr>
        <w:t>;46</w:t>
      </w:r>
      <w:proofErr w:type="gramEnd"/>
      <w:r w:rsidR="00137669" w:rsidRPr="009346FA">
        <w:rPr>
          <w:color w:val="000000"/>
          <w:sz w:val="22"/>
          <w:szCs w:val="22"/>
          <w:lang w:val="en-GB"/>
        </w:rPr>
        <w:t>(6):1589{95.</w:t>
      </w:r>
    </w:p>
    <w:p w:rsidR="009346FA" w:rsidRPr="009346FA" w:rsidRDefault="009346FA" w:rsidP="009346FA">
      <w:pPr>
        <w:spacing w:before="60" w:after="60"/>
        <w:ind w:left="426" w:right="4" w:hanging="426"/>
        <w:jc w:val="both"/>
        <w:rPr>
          <w:color w:val="000000"/>
          <w:sz w:val="22"/>
          <w:szCs w:val="22"/>
          <w:lang w:val="en-GB"/>
        </w:rPr>
      </w:pPr>
      <w:r w:rsidRPr="009346FA">
        <w:rPr>
          <w:color w:val="000000"/>
          <w:sz w:val="22"/>
          <w:szCs w:val="22"/>
          <w:lang w:val="en-GB"/>
        </w:rPr>
        <w:t>[2</w:t>
      </w:r>
      <w:r>
        <w:rPr>
          <w:color w:val="000000"/>
          <w:sz w:val="22"/>
          <w:szCs w:val="22"/>
          <w:lang w:val="en-GB"/>
        </w:rPr>
        <w:t>7</w:t>
      </w:r>
      <w:r w:rsidRPr="009346FA">
        <w:rPr>
          <w:color w:val="000000"/>
          <w:sz w:val="22"/>
          <w:szCs w:val="22"/>
          <w:lang w:val="en-GB"/>
        </w:rPr>
        <w:t xml:space="preserve">] </w:t>
      </w:r>
      <w:r>
        <w:rPr>
          <w:color w:val="000000"/>
          <w:sz w:val="22"/>
          <w:szCs w:val="22"/>
          <w:lang w:val="en-GB"/>
        </w:rPr>
        <w:t>Pérez-</w:t>
      </w:r>
      <w:proofErr w:type="spellStart"/>
      <w:r>
        <w:rPr>
          <w:color w:val="000000"/>
          <w:sz w:val="22"/>
          <w:szCs w:val="22"/>
          <w:lang w:val="en-GB"/>
        </w:rPr>
        <w:t>Galmé</w:t>
      </w:r>
      <w:r w:rsidRPr="009346FA">
        <w:rPr>
          <w:color w:val="000000"/>
          <w:sz w:val="22"/>
          <w:szCs w:val="22"/>
          <w:lang w:val="en-GB"/>
        </w:rPr>
        <w:t>s</w:t>
      </w:r>
      <w:proofErr w:type="spellEnd"/>
      <w:r w:rsidRPr="009346FA">
        <w:rPr>
          <w:color w:val="000000"/>
          <w:sz w:val="22"/>
          <w:szCs w:val="22"/>
          <w:lang w:val="en-GB"/>
        </w:rPr>
        <w:t xml:space="preserve"> M, </w:t>
      </w:r>
      <w:proofErr w:type="spellStart"/>
      <w:r w:rsidRPr="009346FA">
        <w:rPr>
          <w:color w:val="000000"/>
          <w:sz w:val="22"/>
          <w:szCs w:val="22"/>
          <w:lang w:val="en-GB"/>
        </w:rPr>
        <w:t>Renart</w:t>
      </w:r>
      <w:proofErr w:type="spellEnd"/>
      <w:r w:rsidRPr="009346FA">
        <w:rPr>
          <w:color w:val="000000"/>
          <w:sz w:val="22"/>
          <w:szCs w:val="22"/>
          <w:lang w:val="en-GB"/>
        </w:rPr>
        <w:t xml:space="preserve"> J, </w:t>
      </w:r>
      <w:proofErr w:type="spellStart"/>
      <w:r w:rsidRPr="009346FA">
        <w:rPr>
          <w:color w:val="000000"/>
          <w:sz w:val="22"/>
          <w:szCs w:val="22"/>
          <w:lang w:val="en-GB"/>
        </w:rPr>
        <w:t>Sarrado</w:t>
      </w:r>
      <w:proofErr w:type="spellEnd"/>
      <w:r w:rsidRPr="009346FA">
        <w:rPr>
          <w:color w:val="000000"/>
          <w:sz w:val="22"/>
          <w:szCs w:val="22"/>
          <w:lang w:val="en-GB"/>
        </w:rPr>
        <w:t xml:space="preserve"> C, </w:t>
      </w:r>
      <w:r>
        <w:rPr>
          <w:color w:val="000000"/>
          <w:sz w:val="22"/>
          <w:szCs w:val="22"/>
          <w:lang w:val="en-GB"/>
        </w:rPr>
        <w:t>Brunner A J, Rodrí</w:t>
      </w:r>
      <w:r w:rsidRPr="009346FA">
        <w:rPr>
          <w:color w:val="000000"/>
          <w:sz w:val="22"/>
          <w:szCs w:val="22"/>
          <w:lang w:val="en-GB"/>
        </w:rPr>
        <w:t>guez-</w:t>
      </w:r>
      <w:proofErr w:type="spellStart"/>
      <w:r w:rsidRPr="009346FA">
        <w:rPr>
          <w:color w:val="000000"/>
          <w:sz w:val="22"/>
          <w:szCs w:val="22"/>
          <w:lang w:val="en-GB"/>
        </w:rPr>
        <w:t>Bellido</w:t>
      </w:r>
      <w:proofErr w:type="spellEnd"/>
      <w:r w:rsidRPr="009346FA">
        <w:rPr>
          <w:color w:val="000000"/>
          <w:sz w:val="22"/>
          <w:szCs w:val="22"/>
          <w:lang w:val="en-GB"/>
        </w:rPr>
        <w:t xml:space="preserve"> A</w:t>
      </w:r>
      <w:r>
        <w:rPr>
          <w:color w:val="000000"/>
          <w:sz w:val="22"/>
          <w:szCs w:val="22"/>
          <w:lang w:val="en-GB"/>
        </w:rPr>
        <w:t>.</w:t>
      </w:r>
      <w:r w:rsidRPr="009346FA">
        <w:rPr>
          <w:color w:val="000000"/>
          <w:sz w:val="22"/>
          <w:szCs w:val="22"/>
          <w:lang w:val="en-GB"/>
        </w:rPr>
        <w:t xml:space="preserve"> </w:t>
      </w:r>
      <w:r w:rsidRPr="009346FA">
        <w:rPr>
          <w:color w:val="000000"/>
          <w:sz w:val="22"/>
          <w:szCs w:val="22"/>
          <w:lang w:val="en-GB"/>
        </w:rPr>
        <w:t>Towards a consensus on mode II adhesive fracture testing: experimental study.</w:t>
      </w:r>
      <w:r w:rsidRPr="009346FA">
        <w:rPr>
          <w:color w:val="000000"/>
          <w:sz w:val="22"/>
          <w:szCs w:val="22"/>
          <w:lang w:val="en-GB"/>
        </w:rPr>
        <w:t xml:space="preserve"> </w:t>
      </w:r>
      <w:r w:rsidRPr="009346FA">
        <w:rPr>
          <w:i/>
          <w:color w:val="000000"/>
          <w:sz w:val="22"/>
          <w:szCs w:val="22"/>
          <w:lang w:val="en-GB"/>
        </w:rPr>
        <w:t>Submitted to Theoretical and Applied Fracture Mechanics</w:t>
      </w:r>
      <w:bookmarkStart w:id="35" w:name="_GoBack"/>
      <w:bookmarkEnd w:id="35"/>
      <w:r w:rsidR="00D46544">
        <w:rPr>
          <w:color w:val="000000"/>
          <w:sz w:val="22"/>
          <w:szCs w:val="22"/>
          <w:lang w:val="en-GB"/>
        </w:rPr>
        <w:t>, 2018.</w:t>
      </w:r>
    </w:p>
    <w:p w:rsidR="004F60C3" w:rsidRPr="009346FA" w:rsidRDefault="004F60C3" w:rsidP="004F60C3">
      <w:pPr>
        <w:spacing w:before="60" w:after="60"/>
        <w:ind w:left="426" w:right="4" w:hanging="426"/>
        <w:jc w:val="both"/>
        <w:rPr>
          <w:color w:val="000000"/>
          <w:sz w:val="22"/>
          <w:szCs w:val="22"/>
          <w:lang w:val="en-GB"/>
        </w:rPr>
      </w:pPr>
      <w:r w:rsidRPr="009346FA">
        <w:rPr>
          <w:color w:val="000000"/>
          <w:sz w:val="22"/>
          <w:szCs w:val="22"/>
          <w:lang w:val="en-GB"/>
        </w:rPr>
        <w:t>[2</w:t>
      </w:r>
      <w:r w:rsidR="009346FA">
        <w:rPr>
          <w:color w:val="000000"/>
          <w:sz w:val="22"/>
          <w:szCs w:val="22"/>
          <w:lang w:val="en-GB"/>
        </w:rPr>
        <w:t>8</w:t>
      </w:r>
      <w:r w:rsidRPr="009346FA">
        <w:rPr>
          <w:color w:val="000000"/>
          <w:sz w:val="22"/>
          <w:szCs w:val="22"/>
          <w:lang w:val="en-GB"/>
        </w:rPr>
        <w:t xml:space="preserve">] Blackman BRK, Brunner A, Williams J. Mode II fracture testing of composites: a new look at an old problem. </w:t>
      </w:r>
      <w:r w:rsidRPr="009346FA">
        <w:rPr>
          <w:i/>
          <w:color w:val="000000"/>
          <w:sz w:val="22"/>
          <w:szCs w:val="22"/>
          <w:lang w:val="en-GB"/>
        </w:rPr>
        <w:t>Engineering Fracture Mechanics</w:t>
      </w:r>
      <w:r w:rsidRPr="009346FA">
        <w:rPr>
          <w:color w:val="000000"/>
          <w:sz w:val="22"/>
          <w:szCs w:val="22"/>
          <w:lang w:val="en-GB"/>
        </w:rPr>
        <w:t xml:space="preserve"> 2006</w:t>
      </w:r>
      <w:proofErr w:type="gramStart"/>
      <w:r w:rsidRPr="009346FA">
        <w:rPr>
          <w:color w:val="000000"/>
          <w:sz w:val="22"/>
          <w:szCs w:val="22"/>
          <w:lang w:val="en-GB"/>
        </w:rPr>
        <w:t>;73</w:t>
      </w:r>
      <w:proofErr w:type="gramEnd"/>
      <w:r w:rsidRPr="009346FA">
        <w:rPr>
          <w:color w:val="000000"/>
          <w:sz w:val="22"/>
          <w:szCs w:val="22"/>
          <w:lang w:val="en-GB"/>
        </w:rPr>
        <w:t>(16):2443{55.</w:t>
      </w:r>
    </w:p>
    <w:p w:rsidR="00CF4591" w:rsidRPr="009346FA" w:rsidRDefault="00CF4591" w:rsidP="00137669">
      <w:pPr>
        <w:spacing w:before="60" w:after="60"/>
        <w:ind w:left="426" w:right="4" w:hanging="426"/>
        <w:jc w:val="both"/>
        <w:rPr>
          <w:color w:val="000000"/>
          <w:sz w:val="22"/>
          <w:szCs w:val="22"/>
          <w:lang w:val="en-GB"/>
        </w:rPr>
      </w:pPr>
    </w:p>
    <w:sectPr w:rsidR="00CF4591" w:rsidRPr="009346FA" w:rsidSect="003E5F11">
      <w:headerReference w:type="even" r:id="rId16"/>
      <w:headerReference w:type="default" r:id="rId17"/>
      <w:footerReference w:type="default" r:id="rId18"/>
      <w:pgSz w:w="11909" w:h="16834" w:code="9"/>
      <w:pgMar w:top="1701" w:right="1418" w:bottom="1418" w:left="1418" w:header="454"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52F" w:rsidRDefault="009C552F">
      <w:r>
        <w:separator/>
      </w:r>
    </w:p>
  </w:endnote>
  <w:endnote w:type="continuationSeparator" w:id="0">
    <w:p w:rsidR="009C552F" w:rsidRDefault="009C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81B" w:rsidRPr="005A52FC" w:rsidRDefault="005A52FC" w:rsidP="0056281B">
    <w:pPr>
      <w:jc w:val="center"/>
      <w:rPr>
        <w:sz w:val="18"/>
        <w:szCs w:val="18"/>
        <w:lang w:val="es-ES"/>
      </w:rPr>
    </w:pPr>
    <w:r>
      <w:rPr>
        <w:sz w:val="18"/>
        <w:szCs w:val="18"/>
        <w:lang w:val="es-ES"/>
      </w:rPr>
      <w:t>M. Pérez-</w:t>
    </w:r>
    <w:proofErr w:type="spellStart"/>
    <w:r>
      <w:rPr>
        <w:sz w:val="18"/>
        <w:szCs w:val="18"/>
        <w:lang w:val="es-ES"/>
      </w:rPr>
      <w:t>Galmés</w:t>
    </w:r>
    <w:proofErr w:type="spellEnd"/>
    <w:r>
      <w:rPr>
        <w:sz w:val="18"/>
        <w:szCs w:val="18"/>
        <w:lang w:val="es-ES"/>
      </w:rPr>
      <w:t xml:space="preserve">, J. </w:t>
    </w:r>
    <w:proofErr w:type="spellStart"/>
    <w:r>
      <w:rPr>
        <w:sz w:val="18"/>
        <w:szCs w:val="18"/>
        <w:lang w:val="es-ES"/>
      </w:rPr>
      <w:t>Renart</w:t>
    </w:r>
    <w:proofErr w:type="spellEnd"/>
    <w:r w:rsidRPr="005A52FC">
      <w:rPr>
        <w:sz w:val="18"/>
        <w:szCs w:val="18"/>
        <w:lang w:val="es-ES"/>
      </w:rPr>
      <w:t>, C.</w:t>
    </w:r>
    <w:r>
      <w:rPr>
        <w:sz w:val="18"/>
        <w:szCs w:val="18"/>
        <w:lang w:val="es-ES"/>
      </w:rPr>
      <w:t xml:space="preserve"> </w:t>
    </w:r>
    <w:proofErr w:type="spellStart"/>
    <w:r>
      <w:rPr>
        <w:sz w:val="18"/>
        <w:szCs w:val="18"/>
        <w:lang w:val="es-ES"/>
      </w:rPr>
      <w:t>Sarrado</w:t>
    </w:r>
    <w:proofErr w:type="spellEnd"/>
    <w:r>
      <w:rPr>
        <w:sz w:val="18"/>
        <w:szCs w:val="18"/>
        <w:lang w:val="es-ES"/>
      </w:rPr>
      <w:t>, A. Rodríguez-Bellido</w:t>
    </w:r>
  </w:p>
  <w:p w:rsidR="001D492D" w:rsidRPr="005A52FC" w:rsidRDefault="001D492D">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52F" w:rsidRDefault="009C552F">
      <w:r>
        <w:separator/>
      </w:r>
    </w:p>
  </w:footnote>
  <w:footnote w:type="continuationSeparator" w:id="0">
    <w:p w:rsidR="009C552F" w:rsidRDefault="009C5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527" w:rsidRPr="00CF611D" w:rsidRDefault="00704B24">
    <w:pPr>
      <w:pStyle w:val="Encabezado"/>
      <w:rPr>
        <w:sz w:val="18"/>
        <w:szCs w:val="18"/>
      </w:rPr>
    </w:pPr>
    <w:r w:rsidRPr="00CF611D">
      <w:rPr>
        <w:sz w:val="18"/>
        <w:szCs w:val="18"/>
        <w:lang w:val="fr-CH"/>
      </w:rPr>
      <w:tab/>
    </w:r>
    <w:r w:rsidRPr="00CF611D">
      <w:rPr>
        <w:sz w:val="18"/>
        <w:szCs w:val="18"/>
        <w:lang w:val="en-GB"/>
      </w:rPr>
      <w:t>First A. Author, Second B. Author and Third C. Author</w:t>
    </w:r>
    <w:r w:rsidRPr="00CF611D">
      <w:rPr>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8E5" w:rsidRDefault="009148E5" w:rsidP="009148E5">
    <w:pPr>
      <w:pStyle w:val="Encabezado"/>
      <w:tabs>
        <w:tab w:val="clear" w:pos="4320"/>
        <w:tab w:val="clear" w:pos="8640"/>
        <w:tab w:val="right" w:pos="9360"/>
      </w:tabs>
      <w:rPr>
        <w:sz w:val="18"/>
        <w:szCs w:val="18"/>
      </w:rPr>
    </w:pPr>
    <w:r>
      <w:rPr>
        <w:sz w:val="18"/>
        <w:szCs w:val="18"/>
      </w:rPr>
      <w:t>ECCM1</w:t>
    </w:r>
    <w:r w:rsidR="00A32C5B">
      <w:rPr>
        <w:sz w:val="18"/>
        <w:szCs w:val="18"/>
      </w:rPr>
      <w:t>8</w:t>
    </w:r>
    <w:r>
      <w:rPr>
        <w:sz w:val="18"/>
        <w:szCs w:val="18"/>
      </w:rPr>
      <w:t xml:space="preserve"> - 1</w:t>
    </w:r>
    <w:r w:rsidR="00A32C5B">
      <w:rPr>
        <w:sz w:val="18"/>
        <w:szCs w:val="18"/>
      </w:rPr>
      <w:t>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p>
  <w:p w:rsidR="00A84527" w:rsidRPr="00B57AEB" w:rsidRDefault="00A32C5B" w:rsidP="003E5F11">
    <w:pPr>
      <w:pStyle w:val="Encabezado"/>
      <w:tabs>
        <w:tab w:val="clear" w:pos="4320"/>
        <w:tab w:val="clear" w:pos="8640"/>
        <w:tab w:val="left" w:pos="6942"/>
        <w:tab w:val="right" w:pos="9072"/>
      </w:tabs>
      <w:rPr>
        <w:sz w:val="18"/>
        <w:szCs w:val="18"/>
      </w:rPr>
    </w:pPr>
    <w:r>
      <w:rPr>
        <w:sz w:val="18"/>
        <w:szCs w:val="18"/>
      </w:rPr>
      <w:t>Athens, Greece</w:t>
    </w:r>
    <w:r w:rsidR="009148E5">
      <w:rPr>
        <w:sz w:val="18"/>
        <w:szCs w:val="18"/>
      </w:rPr>
      <w:t>, 2</w:t>
    </w:r>
    <w:r>
      <w:rPr>
        <w:sz w:val="18"/>
        <w:szCs w:val="18"/>
      </w:rPr>
      <w:t>4</w:t>
    </w:r>
    <w:r w:rsidR="009148E5">
      <w:rPr>
        <w:sz w:val="18"/>
        <w:szCs w:val="18"/>
      </w:rPr>
      <w:t>-</w:t>
    </w:r>
    <w:r>
      <w:rPr>
        <w:sz w:val="18"/>
        <w:szCs w:val="18"/>
      </w:rPr>
      <w:t>28</w:t>
    </w:r>
    <w:r w:rsidR="009148E5" w:rsidRPr="00AB66DE">
      <w:rPr>
        <w:sz w:val="18"/>
        <w:szCs w:val="18"/>
        <w:vertAlign w:val="superscript"/>
      </w:rPr>
      <w:t>th</w:t>
    </w:r>
    <w:r w:rsidR="009148E5">
      <w:rPr>
        <w:sz w:val="18"/>
        <w:szCs w:val="18"/>
      </w:rPr>
      <w:t xml:space="preserve"> June 201</w:t>
    </w:r>
    <w:r>
      <w:rPr>
        <w:sz w:val="18"/>
        <w:szCs w:val="18"/>
      </w:rPr>
      <w:t>8</w:t>
    </w:r>
    <w:r w:rsidR="00352125">
      <w:rPr>
        <w:sz w:val="18"/>
        <w:szCs w:val="18"/>
      </w:rPr>
      <w:tab/>
    </w:r>
    <w:r w:rsidR="003E5F11">
      <w:rPr>
        <w:sz w:val="18"/>
        <w:szCs w:val="18"/>
      </w:rPr>
      <w:tab/>
    </w:r>
    <w:r w:rsidR="00352125" w:rsidRPr="009148E5">
      <w:rPr>
        <w:sz w:val="18"/>
        <w:szCs w:val="18"/>
      </w:rPr>
      <w:fldChar w:fldCharType="begin"/>
    </w:r>
    <w:r w:rsidR="00352125" w:rsidRPr="009148E5">
      <w:rPr>
        <w:sz w:val="18"/>
        <w:szCs w:val="18"/>
      </w:rPr>
      <w:instrText>PAGE   \* MERGEFORMAT</w:instrText>
    </w:r>
    <w:r w:rsidR="00352125" w:rsidRPr="009148E5">
      <w:rPr>
        <w:sz w:val="18"/>
        <w:szCs w:val="18"/>
      </w:rPr>
      <w:fldChar w:fldCharType="separate"/>
    </w:r>
    <w:r w:rsidR="00D46544">
      <w:rPr>
        <w:noProof/>
        <w:sz w:val="18"/>
        <w:szCs w:val="18"/>
      </w:rPr>
      <w:t>7</w:t>
    </w:r>
    <w:r w:rsidR="00352125" w:rsidRPr="009148E5">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0" w:firstLine="0"/>
      </w:pPr>
    </w:lvl>
    <w:lvl w:ilvl="1">
      <w:start w:val="1"/>
      <w:numFmt w:val="none"/>
      <w:pStyle w:val="Ttulo2"/>
      <w:lvlText w:val=""/>
      <w:lvlJc w:val="left"/>
      <w:pPr>
        <w:tabs>
          <w:tab w:val="num" w:pos="576"/>
        </w:tabs>
        <w:ind w:left="0" w:firstLine="0"/>
      </w:pPr>
    </w:lvl>
    <w:lvl w:ilvl="2">
      <w:start w:val="1"/>
      <w:numFmt w:val="none"/>
      <w:pStyle w:val="Ttulo3"/>
      <w:lvlText w:val=""/>
      <w:lvlJc w:val="left"/>
      <w:pPr>
        <w:tabs>
          <w:tab w:val="num" w:pos="720"/>
        </w:tabs>
        <w:ind w:left="0" w:firstLine="0"/>
      </w:pPr>
    </w:lvl>
    <w:lvl w:ilvl="3">
      <w:start w:val="1"/>
      <w:numFmt w:val="none"/>
      <w:pStyle w:val="Ttulo4"/>
      <w:lvlText w:val=""/>
      <w:lvlJc w:val="left"/>
      <w:pPr>
        <w:tabs>
          <w:tab w:val="num" w:pos="864"/>
        </w:tabs>
        <w:ind w:left="0" w:firstLine="0"/>
      </w:pPr>
    </w:lvl>
    <w:lvl w:ilvl="4">
      <w:start w:val="1"/>
      <w:numFmt w:val="none"/>
      <w:pStyle w:val="Ttulo5"/>
      <w:lvlText w:val=""/>
      <w:lvlJc w:val="left"/>
      <w:pPr>
        <w:tabs>
          <w:tab w:val="num" w:pos="1008"/>
        </w:tabs>
        <w:ind w:left="0" w:firstLine="0"/>
      </w:pPr>
    </w:lvl>
    <w:lvl w:ilvl="5">
      <w:start w:val="1"/>
      <w:numFmt w:val="none"/>
      <w:pStyle w:val="Ttulo6"/>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15:restartNumberingAfterBreak="0">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8A46178"/>
    <w:multiLevelType w:val="hybridMultilevel"/>
    <w:tmpl w:val="62502F16"/>
    <w:lvl w:ilvl="0" w:tplc="0C0A0001">
      <w:start w:val="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15D147D"/>
    <w:multiLevelType w:val="hybridMultilevel"/>
    <w:tmpl w:val="F396525C"/>
    <w:lvl w:ilvl="0" w:tplc="017A144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4CB253F"/>
    <w:multiLevelType w:val="hybridMultilevel"/>
    <w:tmpl w:val="F396525C"/>
    <w:lvl w:ilvl="0" w:tplc="017A1442">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C931188"/>
    <w:multiLevelType w:val="hybridMultilevel"/>
    <w:tmpl w:val="335E2540"/>
    <w:lvl w:ilvl="0" w:tplc="0C0A0001">
      <w:start w:val="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1604DCD"/>
    <w:multiLevelType w:val="singleLevel"/>
    <w:tmpl w:val="9E9AE636"/>
    <w:lvl w:ilvl="0">
      <w:start w:val="1"/>
      <w:numFmt w:val="decimal"/>
      <w:pStyle w:val="Reference"/>
      <w:lvlText w:val="[%1]"/>
      <w:lvlJc w:val="left"/>
      <w:pPr>
        <w:tabs>
          <w:tab w:val="num" w:pos="360"/>
        </w:tabs>
        <w:ind w:left="360" w:hanging="360"/>
      </w:pPr>
      <w:rPr>
        <w:rFonts w:hint="default"/>
      </w:rPr>
    </w:lvl>
  </w:abstractNum>
  <w:num w:numId="1">
    <w:abstractNumId w:val="7"/>
  </w:num>
  <w:num w:numId="2">
    <w:abstractNumId w:val="1"/>
  </w:num>
  <w:num w:numId="3">
    <w:abstractNumId w:val="3"/>
  </w:num>
  <w:num w:numId="4">
    <w:abstractNumId w:val="0"/>
  </w:num>
  <w:num w:numId="5">
    <w:abstractNumId w:val="5"/>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CE7"/>
    <w:rsid w:val="00002667"/>
    <w:rsid w:val="00005128"/>
    <w:rsid w:val="00006A04"/>
    <w:rsid w:val="00007ABC"/>
    <w:rsid w:val="000118EA"/>
    <w:rsid w:val="00044B69"/>
    <w:rsid w:val="000527A1"/>
    <w:rsid w:val="0007274E"/>
    <w:rsid w:val="000806D4"/>
    <w:rsid w:val="00093A3E"/>
    <w:rsid w:val="000969DD"/>
    <w:rsid w:val="000A1EFD"/>
    <w:rsid w:val="000B0B3B"/>
    <w:rsid w:val="000B65AE"/>
    <w:rsid w:val="000C6C7F"/>
    <w:rsid w:val="000D3BBE"/>
    <w:rsid w:val="000E6BB4"/>
    <w:rsid w:val="000E7758"/>
    <w:rsid w:val="0011753B"/>
    <w:rsid w:val="001234CC"/>
    <w:rsid w:val="001277B1"/>
    <w:rsid w:val="00137669"/>
    <w:rsid w:val="0014168E"/>
    <w:rsid w:val="00152D8E"/>
    <w:rsid w:val="00167305"/>
    <w:rsid w:val="00172A18"/>
    <w:rsid w:val="001768DD"/>
    <w:rsid w:val="001A2735"/>
    <w:rsid w:val="001B500D"/>
    <w:rsid w:val="001B5C61"/>
    <w:rsid w:val="001C5DB9"/>
    <w:rsid w:val="001D1123"/>
    <w:rsid w:val="001D492D"/>
    <w:rsid w:val="001E3E2C"/>
    <w:rsid w:val="00206A59"/>
    <w:rsid w:val="00211628"/>
    <w:rsid w:val="00234FB0"/>
    <w:rsid w:val="0025572D"/>
    <w:rsid w:val="002721E0"/>
    <w:rsid w:val="00294B69"/>
    <w:rsid w:val="002A4599"/>
    <w:rsid w:val="002B4784"/>
    <w:rsid w:val="002B7005"/>
    <w:rsid w:val="002C4340"/>
    <w:rsid w:val="002D2E1F"/>
    <w:rsid w:val="002D3DF2"/>
    <w:rsid w:val="002D5FD5"/>
    <w:rsid w:val="002E4EC0"/>
    <w:rsid w:val="002E509D"/>
    <w:rsid w:val="003001CF"/>
    <w:rsid w:val="00302925"/>
    <w:rsid w:val="00316490"/>
    <w:rsid w:val="00323F1F"/>
    <w:rsid w:val="003477ED"/>
    <w:rsid w:val="00351C58"/>
    <w:rsid w:val="00352125"/>
    <w:rsid w:val="00366511"/>
    <w:rsid w:val="00377295"/>
    <w:rsid w:val="0039779B"/>
    <w:rsid w:val="003A054A"/>
    <w:rsid w:val="003A41B5"/>
    <w:rsid w:val="003B6253"/>
    <w:rsid w:val="003B6663"/>
    <w:rsid w:val="003D3BAA"/>
    <w:rsid w:val="003E4FD8"/>
    <w:rsid w:val="003E5F11"/>
    <w:rsid w:val="003F0F69"/>
    <w:rsid w:val="00412A5D"/>
    <w:rsid w:val="00425386"/>
    <w:rsid w:val="00427346"/>
    <w:rsid w:val="00432826"/>
    <w:rsid w:val="0043410B"/>
    <w:rsid w:val="0043532D"/>
    <w:rsid w:val="0044074B"/>
    <w:rsid w:val="00442A07"/>
    <w:rsid w:val="00462CAB"/>
    <w:rsid w:val="0048719B"/>
    <w:rsid w:val="00490E88"/>
    <w:rsid w:val="004A0CA7"/>
    <w:rsid w:val="004A1C1E"/>
    <w:rsid w:val="004A3F6F"/>
    <w:rsid w:val="004A7D90"/>
    <w:rsid w:val="004B5367"/>
    <w:rsid w:val="004B6204"/>
    <w:rsid w:val="004C3B9A"/>
    <w:rsid w:val="004E146C"/>
    <w:rsid w:val="004E18A3"/>
    <w:rsid w:val="004F0F2E"/>
    <w:rsid w:val="004F254A"/>
    <w:rsid w:val="004F5527"/>
    <w:rsid w:val="004F60C3"/>
    <w:rsid w:val="00522270"/>
    <w:rsid w:val="00524FDB"/>
    <w:rsid w:val="00527C82"/>
    <w:rsid w:val="005447CA"/>
    <w:rsid w:val="00547C4C"/>
    <w:rsid w:val="00556716"/>
    <w:rsid w:val="0056281B"/>
    <w:rsid w:val="0058241B"/>
    <w:rsid w:val="005A03E1"/>
    <w:rsid w:val="005A52FC"/>
    <w:rsid w:val="005C0E2D"/>
    <w:rsid w:val="005C392F"/>
    <w:rsid w:val="005D5E9F"/>
    <w:rsid w:val="005E074B"/>
    <w:rsid w:val="005E41EA"/>
    <w:rsid w:val="00615C41"/>
    <w:rsid w:val="0062778E"/>
    <w:rsid w:val="0064062A"/>
    <w:rsid w:val="00655863"/>
    <w:rsid w:val="00656C88"/>
    <w:rsid w:val="00663FD3"/>
    <w:rsid w:val="0067045F"/>
    <w:rsid w:val="006737CB"/>
    <w:rsid w:val="00684C69"/>
    <w:rsid w:val="0069222A"/>
    <w:rsid w:val="006B56EA"/>
    <w:rsid w:val="006C6507"/>
    <w:rsid w:val="006D2BC0"/>
    <w:rsid w:val="006F17BC"/>
    <w:rsid w:val="006F3756"/>
    <w:rsid w:val="006F41B8"/>
    <w:rsid w:val="006F609B"/>
    <w:rsid w:val="00700071"/>
    <w:rsid w:val="0070080E"/>
    <w:rsid w:val="007013C9"/>
    <w:rsid w:val="0070220C"/>
    <w:rsid w:val="00704B24"/>
    <w:rsid w:val="00721D53"/>
    <w:rsid w:val="00725CCF"/>
    <w:rsid w:val="007925D0"/>
    <w:rsid w:val="007A0397"/>
    <w:rsid w:val="007A083D"/>
    <w:rsid w:val="007C46DE"/>
    <w:rsid w:val="007F2B8F"/>
    <w:rsid w:val="00806172"/>
    <w:rsid w:val="0081767D"/>
    <w:rsid w:val="0083599B"/>
    <w:rsid w:val="00866F2B"/>
    <w:rsid w:val="0087430A"/>
    <w:rsid w:val="00892894"/>
    <w:rsid w:val="008929D8"/>
    <w:rsid w:val="008A04FF"/>
    <w:rsid w:val="008B6986"/>
    <w:rsid w:val="008C25B7"/>
    <w:rsid w:val="008C4AFB"/>
    <w:rsid w:val="008E6524"/>
    <w:rsid w:val="008F0428"/>
    <w:rsid w:val="008F2896"/>
    <w:rsid w:val="008F4FC2"/>
    <w:rsid w:val="00904CF1"/>
    <w:rsid w:val="009148E5"/>
    <w:rsid w:val="0091620C"/>
    <w:rsid w:val="00926142"/>
    <w:rsid w:val="009346FA"/>
    <w:rsid w:val="00945048"/>
    <w:rsid w:val="0097115A"/>
    <w:rsid w:val="00992411"/>
    <w:rsid w:val="009B204C"/>
    <w:rsid w:val="009C552F"/>
    <w:rsid w:val="009C7CE7"/>
    <w:rsid w:val="009D7B5A"/>
    <w:rsid w:val="00A11466"/>
    <w:rsid w:val="00A14A8C"/>
    <w:rsid w:val="00A1555A"/>
    <w:rsid w:val="00A276DA"/>
    <w:rsid w:val="00A32C5B"/>
    <w:rsid w:val="00A427ED"/>
    <w:rsid w:val="00A5638A"/>
    <w:rsid w:val="00A65FB7"/>
    <w:rsid w:val="00A71AB9"/>
    <w:rsid w:val="00A815AA"/>
    <w:rsid w:val="00A84527"/>
    <w:rsid w:val="00A96ED1"/>
    <w:rsid w:val="00AA4459"/>
    <w:rsid w:val="00AA6F8A"/>
    <w:rsid w:val="00AB7F54"/>
    <w:rsid w:val="00AC7B93"/>
    <w:rsid w:val="00AE011A"/>
    <w:rsid w:val="00AE4826"/>
    <w:rsid w:val="00AF4948"/>
    <w:rsid w:val="00B05A08"/>
    <w:rsid w:val="00B10C97"/>
    <w:rsid w:val="00B27637"/>
    <w:rsid w:val="00B35D88"/>
    <w:rsid w:val="00B43AF4"/>
    <w:rsid w:val="00B539C5"/>
    <w:rsid w:val="00B635CD"/>
    <w:rsid w:val="00B66287"/>
    <w:rsid w:val="00B81430"/>
    <w:rsid w:val="00BA0676"/>
    <w:rsid w:val="00BA691C"/>
    <w:rsid w:val="00BD23DE"/>
    <w:rsid w:val="00BE6E29"/>
    <w:rsid w:val="00BE7E3F"/>
    <w:rsid w:val="00C12945"/>
    <w:rsid w:val="00C13D08"/>
    <w:rsid w:val="00C173C4"/>
    <w:rsid w:val="00C5281A"/>
    <w:rsid w:val="00C77351"/>
    <w:rsid w:val="00C84FC4"/>
    <w:rsid w:val="00CA3006"/>
    <w:rsid w:val="00CB0360"/>
    <w:rsid w:val="00CE3EDF"/>
    <w:rsid w:val="00CE50EC"/>
    <w:rsid w:val="00CE5B52"/>
    <w:rsid w:val="00CE700F"/>
    <w:rsid w:val="00CF4591"/>
    <w:rsid w:val="00D03E78"/>
    <w:rsid w:val="00D10D76"/>
    <w:rsid w:val="00D13F6A"/>
    <w:rsid w:val="00D20AD9"/>
    <w:rsid w:val="00D333B2"/>
    <w:rsid w:val="00D420AC"/>
    <w:rsid w:val="00D46544"/>
    <w:rsid w:val="00D5226E"/>
    <w:rsid w:val="00D8030A"/>
    <w:rsid w:val="00D9097F"/>
    <w:rsid w:val="00D92B50"/>
    <w:rsid w:val="00DB0E2B"/>
    <w:rsid w:val="00DB17D5"/>
    <w:rsid w:val="00DB312B"/>
    <w:rsid w:val="00DC0B22"/>
    <w:rsid w:val="00DC1241"/>
    <w:rsid w:val="00DD4FD2"/>
    <w:rsid w:val="00DF4AE5"/>
    <w:rsid w:val="00E01639"/>
    <w:rsid w:val="00E126A6"/>
    <w:rsid w:val="00E1779A"/>
    <w:rsid w:val="00E32C3A"/>
    <w:rsid w:val="00E76AF6"/>
    <w:rsid w:val="00E82219"/>
    <w:rsid w:val="00EA62E5"/>
    <w:rsid w:val="00EC0D47"/>
    <w:rsid w:val="00EC0E7B"/>
    <w:rsid w:val="00EC3292"/>
    <w:rsid w:val="00ED2396"/>
    <w:rsid w:val="00ED2947"/>
    <w:rsid w:val="00ED6EEE"/>
    <w:rsid w:val="00EE036A"/>
    <w:rsid w:val="00F06E54"/>
    <w:rsid w:val="00F11948"/>
    <w:rsid w:val="00F24E7F"/>
    <w:rsid w:val="00F26D5C"/>
    <w:rsid w:val="00F52039"/>
    <w:rsid w:val="00F52697"/>
    <w:rsid w:val="00F54B55"/>
    <w:rsid w:val="00FD2CC8"/>
    <w:rsid w:val="00FE2213"/>
    <w:rsid w:val="00FE4B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8FFEE"/>
  <w15:chartTrackingRefBased/>
  <w15:docId w15:val="{CEAF1AF5-96EA-451B-80C0-983941CA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511"/>
    <w:rPr>
      <w:rFonts w:ascii="Times New Roman" w:eastAsia="Times New Roman" w:hAnsi="Times New Roman"/>
      <w:sz w:val="24"/>
      <w:szCs w:val="24"/>
      <w:lang w:val="en-US" w:eastAsia="fr-FR"/>
    </w:rPr>
  </w:style>
  <w:style w:type="paragraph" w:styleId="Ttulo1">
    <w:name w:val="heading 1"/>
    <w:basedOn w:val="Normal"/>
    <w:next w:val="Normal"/>
    <w:link w:val="Ttulo1Car"/>
    <w:qFormat/>
    <w:rsid w:val="009D7B5A"/>
    <w:pPr>
      <w:keepNext/>
      <w:widowControl w:val="0"/>
      <w:numPr>
        <w:numId w:val="4"/>
      </w:numPr>
      <w:suppressAutoHyphens/>
      <w:outlineLvl w:val="0"/>
    </w:pPr>
    <w:rPr>
      <w:b/>
      <w:sz w:val="28"/>
      <w:szCs w:val="20"/>
      <w:lang w:val="es-ES_tradnl" w:eastAsia="ar-SA"/>
    </w:rPr>
  </w:style>
  <w:style w:type="paragraph" w:styleId="Ttulo2">
    <w:name w:val="heading 2"/>
    <w:basedOn w:val="Normal"/>
    <w:next w:val="Normal"/>
    <w:link w:val="Ttulo2Car"/>
    <w:qFormat/>
    <w:rsid w:val="009D7B5A"/>
    <w:pPr>
      <w:keepNext/>
      <w:widowControl w:val="0"/>
      <w:numPr>
        <w:ilvl w:val="1"/>
        <w:numId w:val="4"/>
      </w:numPr>
      <w:suppressAutoHyphens/>
      <w:jc w:val="center"/>
      <w:outlineLvl w:val="1"/>
    </w:pPr>
    <w:rPr>
      <w:b/>
      <w:sz w:val="20"/>
      <w:szCs w:val="20"/>
      <w:lang w:val="es-ES" w:eastAsia="ar-SA"/>
    </w:rPr>
  </w:style>
  <w:style w:type="paragraph" w:styleId="Ttulo3">
    <w:name w:val="heading 3"/>
    <w:basedOn w:val="Normal"/>
    <w:next w:val="Normal"/>
    <w:link w:val="Ttulo3Car"/>
    <w:qFormat/>
    <w:rsid w:val="009D7B5A"/>
    <w:pPr>
      <w:keepNext/>
      <w:widowControl w:val="0"/>
      <w:numPr>
        <w:ilvl w:val="2"/>
        <w:numId w:val="4"/>
      </w:numPr>
      <w:suppressAutoHyphens/>
      <w:jc w:val="both"/>
      <w:outlineLvl w:val="2"/>
    </w:pPr>
    <w:rPr>
      <w:b/>
      <w:i/>
      <w:szCs w:val="20"/>
      <w:u w:val="single"/>
      <w:lang w:val="es-ES_tradnl" w:eastAsia="ar-SA"/>
    </w:rPr>
  </w:style>
  <w:style w:type="paragraph" w:styleId="Ttulo4">
    <w:name w:val="heading 4"/>
    <w:basedOn w:val="Normal"/>
    <w:next w:val="Normal"/>
    <w:link w:val="Ttulo4Car"/>
    <w:qFormat/>
    <w:rsid w:val="009D7B5A"/>
    <w:pPr>
      <w:keepNext/>
      <w:widowControl w:val="0"/>
      <w:numPr>
        <w:ilvl w:val="3"/>
        <w:numId w:val="4"/>
      </w:numPr>
      <w:suppressAutoHyphens/>
      <w:outlineLvl w:val="3"/>
    </w:pPr>
    <w:rPr>
      <w:szCs w:val="20"/>
      <w:lang w:val="es-ES_tradnl" w:eastAsia="ar-SA"/>
    </w:rPr>
  </w:style>
  <w:style w:type="paragraph" w:styleId="Ttulo5">
    <w:name w:val="heading 5"/>
    <w:basedOn w:val="Normal"/>
    <w:next w:val="Normal"/>
    <w:link w:val="Ttulo5Car"/>
    <w:qFormat/>
    <w:rsid w:val="009D7B5A"/>
    <w:pPr>
      <w:keepNext/>
      <w:widowControl w:val="0"/>
      <w:numPr>
        <w:ilvl w:val="4"/>
        <w:numId w:val="4"/>
      </w:numPr>
      <w:suppressAutoHyphens/>
      <w:ind w:left="993" w:hanging="993"/>
      <w:jc w:val="both"/>
      <w:outlineLvl w:val="4"/>
    </w:pPr>
    <w:rPr>
      <w:szCs w:val="20"/>
      <w:lang w:val="es-ES_tradnl" w:eastAsia="ar-SA"/>
    </w:rPr>
  </w:style>
  <w:style w:type="paragraph" w:styleId="Ttulo6">
    <w:name w:val="heading 6"/>
    <w:basedOn w:val="Normal"/>
    <w:next w:val="Normal"/>
    <w:link w:val="Ttulo6Car"/>
    <w:qFormat/>
    <w:rsid w:val="009D7B5A"/>
    <w:pPr>
      <w:keepNext/>
      <w:widowControl w:val="0"/>
      <w:numPr>
        <w:ilvl w:val="5"/>
        <w:numId w:val="4"/>
      </w:numPr>
      <w:suppressAutoHyphens/>
      <w:outlineLvl w:val="5"/>
    </w:pPr>
    <w:rPr>
      <w:sz w:val="28"/>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val="en-US"/>
    </w:rPr>
  </w:style>
  <w:style w:type="paragraph" w:styleId="Textoindependiente">
    <w:name w:val="Body Text"/>
    <w:basedOn w:val="Normal"/>
    <w:link w:val="TextoindependienteCar"/>
    <w:rsid w:val="00704B24"/>
    <w:pPr>
      <w:jc w:val="both"/>
    </w:pPr>
    <w:rPr>
      <w:lang w:val="en-GB" w:eastAsia="x-none"/>
    </w:rPr>
  </w:style>
  <w:style w:type="character" w:customStyle="1" w:styleId="TextoindependienteCar">
    <w:name w:val="Texto independiente Car"/>
    <w:link w:val="Textoindependiente"/>
    <w:rsid w:val="00704B24"/>
    <w:rPr>
      <w:rFonts w:ascii="Times New Roman" w:eastAsia="Times New Roman" w:hAnsi="Times New Roman" w:cs="Times New Roman"/>
      <w:sz w:val="24"/>
      <w:szCs w:val="24"/>
      <w:lang w:val="en-GB"/>
    </w:rPr>
  </w:style>
  <w:style w:type="paragraph" w:styleId="Encabezado">
    <w:name w:val="header"/>
    <w:basedOn w:val="Normal"/>
    <w:link w:val="EncabezadoCar"/>
    <w:uiPriority w:val="99"/>
    <w:rsid w:val="00704B24"/>
    <w:pPr>
      <w:tabs>
        <w:tab w:val="center" w:pos="4320"/>
        <w:tab w:val="right" w:pos="8640"/>
      </w:tabs>
    </w:pPr>
  </w:style>
  <w:style w:type="character" w:customStyle="1" w:styleId="EncabezadoCar">
    <w:name w:val="Encabezado Car"/>
    <w:link w:val="Encabezado"/>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Piedepgina">
    <w:name w:val="footer"/>
    <w:basedOn w:val="Normal"/>
    <w:link w:val="PiedepginaCar"/>
    <w:uiPriority w:val="99"/>
    <w:unhideWhenUsed/>
    <w:rsid w:val="00412A5D"/>
    <w:pPr>
      <w:tabs>
        <w:tab w:val="center" w:pos="4536"/>
        <w:tab w:val="right" w:pos="9072"/>
      </w:tabs>
    </w:pPr>
  </w:style>
  <w:style w:type="character" w:customStyle="1" w:styleId="PiedepginaCar">
    <w:name w:val="Pie de página Car"/>
    <w:link w:val="Piedepgina"/>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Refdecomentario">
    <w:name w:val="annotation reference"/>
    <w:uiPriority w:val="99"/>
    <w:semiHidden/>
    <w:unhideWhenUsed/>
    <w:rsid w:val="002D5FD5"/>
    <w:rPr>
      <w:sz w:val="16"/>
      <w:szCs w:val="16"/>
    </w:rPr>
  </w:style>
  <w:style w:type="paragraph" w:styleId="Textocomentario">
    <w:name w:val="annotation text"/>
    <w:basedOn w:val="Normal"/>
    <w:link w:val="TextocomentarioCar"/>
    <w:uiPriority w:val="99"/>
    <w:semiHidden/>
    <w:unhideWhenUsed/>
    <w:rsid w:val="002D5FD5"/>
    <w:rPr>
      <w:sz w:val="20"/>
      <w:szCs w:val="20"/>
    </w:rPr>
  </w:style>
  <w:style w:type="character" w:customStyle="1" w:styleId="TextocomentarioCar">
    <w:name w:val="Texto comentario Car"/>
    <w:link w:val="Textocomentario"/>
    <w:uiPriority w:val="99"/>
    <w:semiHidden/>
    <w:rsid w:val="002D5FD5"/>
    <w:rPr>
      <w:rFonts w:ascii="Times New Roman" w:eastAsia="Times New Roman" w:hAnsi="Times New Roman"/>
      <w:lang w:val="en-US" w:eastAsia="fr-FR"/>
    </w:rPr>
  </w:style>
  <w:style w:type="paragraph" w:styleId="Asuntodelcomentario">
    <w:name w:val="annotation subject"/>
    <w:basedOn w:val="Textocomentario"/>
    <w:next w:val="Textocomentario"/>
    <w:link w:val="AsuntodelcomentarioCar"/>
    <w:uiPriority w:val="99"/>
    <w:semiHidden/>
    <w:unhideWhenUsed/>
    <w:rsid w:val="002D5FD5"/>
    <w:rPr>
      <w:b/>
      <w:bCs/>
    </w:rPr>
  </w:style>
  <w:style w:type="character" w:customStyle="1" w:styleId="AsuntodelcomentarioCar">
    <w:name w:val="Asunto del comentario Car"/>
    <w:link w:val="Asuntodelcomentario"/>
    <w:uiPriority w:val="99"/>
    <w:semiHidden/>
    <w:rsid w:val="002D5FD5"/>
    <w:rPr>
      <w:rFonts w:ascii="Times New Roman" w:eastAsia="Times New Roman" w:hAnsi="Times New Roman"/>
      <w:b/>
      <w:bCs/>
      <w:lang w:val="en-US" w:eastAsia="fr-FR"/>
    </w:rPr>
  </w:style>
  <w:style w:type="paragraph" w:styleId="Textodeglobo">
    <w:name w:val="Balloon Text"/>
    <w:basedOn w:val="Normal"/>
    <w:link w:val="TextodegloboCar"/>
    <w:uiPriority w:val="99"/>
    <w:semiHidden/>
    <w:unhideWhenUsed/>
    <w:rsid w:val="002D5FD5"/>
    <w:rPr>
      <w:rFonts w:ascii="Segoe UI" w:hAnsi="Segoe UI"/>
      <w:sz w:val="18"/>
      <w:szCs w:val="18"/>
    </w:rPr>
  </w:style>
  <w:style w:type="character" w:customStyle="1" w:styleId="TextodegloboCar">
    <w:name w:val="Texto de globo Car"/>
    <w:link w:val="Textodeglobo"/>
    <w:uiPriority w:val="99"/>
    <w:semiHidden/>
    <w:rsid w:val="002D5FD5"/>
    <w:rPr>
      <w:rFonts w:ascii="Segoe UI" w:eastAsia="Times New Roman" w:hAnsi="Segoe UI" w:cs="Segoe UI"/>
      <w:sz w:val="18"/>
      <w:szCs w:val="18"/>
      <w:lang w:val="en-US" w:eastAsia="fr-FR"/>
    </w:rPr>
  </w:style>
  <w:style w:type="character" w:customStyle="1" w:styleId="UnresolvedMention">
    <w:name w:val="Unresolved Mention"/>
    <w:uiPriority w:val="99"/>
    <w:semiHidden/>
    <w:unhideWhenUsed/>
    <w:rsid w:val="005A03E1"/>
    <w:rPr>
      <w:color w:val="808080"/>
      <w:shd w:val="clear" w:color="auto" w:fill="E6E6E6"/>
    </w:rPr>
  </w:style>
  <w:style w:type="character" w:customStyle="1" w:styleId="Ttulo1Car">
    <w:name w:val="Título 1 Car"/>
    <w:link w:val="Ttulo1"/>
    <w:rsid w:val="009D7B5A"/>
    <w:rPr>
      <w:rFonts w:ascii="Times New Roman" w:eastAsia="Times New Roman" w:hAnsi="Times New Roman"/>
      <w:b/>
      <w:sz w:val="28"/>
      <w:lang w:val="es-ES_tradnl" w:eastAsia="ar-SA"/>
    </w:rPr>
  </w:style>
  <w:style w:type="character" w:customStyle="1" w:styleId="Ttulo2Car">
    <w:name w:val="Título 2 Car"/>
    <w:link w:val="Ttulo2"/>
    <w:rsid w:val="009D7B5A"/>
    <w:rPr>
      <w:rFonts w:ascii="Times New Roman" w:eastAsia="Times New Roman" w:hAnsi="Times New Roman"/>
      <w:b/>
      <w:lang w:eastAsia="ar-SA"/>
    </w:rPr>
  </w:style>
  <w:style w:type="character" w:customStyle="1" w:styleId="Ttulo3Car">
    <w:name w:val="Título 3 Car"/>
    <w:link w:val="Ttulo3"/>
    <w:rsid w:val="009D7B5A"/>
    <w:rPr>
      <w:rFonts w:ascii="Times New Roman" w:eastAsia="Times New Roman" w:hAnsi="Times New Roman"/>
      <w:b/>
      <w:i/>
      <w:sz w:val="24"/>
      <w:u w:val="single"/>
      <w:lang w:val="es-ES_tradnl" w:eastAsia="ar-SA"/>
    </w:rPr>
  </w:style>
  <w:style w:type="character" w:customStyle="1" w:styleId="Ttulo4Car">
    <w:name w:val="Título 4 Car"/>
    <w:link w:val="Ttulo4"/>
    <w:rsid w:val="009D7B5A"/>
    <w:rPr>
      <w:rFonts w:ascii="Times New Roman" w:eastAsia="Times New Roman" w:hAnsi="Times New Roman"/>
      <w:sz w:val="24"/>
      <w:lang w:val="es-ES_tradnl" w:eastAsia="ar-SA"/>
    </w:rPr>
  </w:style>
  <w:style w:type="character" w:customStyle="1" w:styleId="Ttulo5Car">
    <w:name w:val="Título 5 Car"/>
    <w:link w:val="Ttulo5"/>
    <w:rsid w:val="009D7B5A"/>
    <w:rPr>
      <w:rFonts w:ascii="Times New Roman" w:eastAsia="Times New Roman" w:hAnsi="Times New Roman"/>
      <w:sz w:val="24"/>
      <w:lang w:val="es-ES_tradnl" w:eastAsia="ar-SA"/>
    </w:rPr>
  </w:style>
  <w:style w:type="character" w:customStyle="1" w:styleId="Ttulo6Car">
    <w:name w:val="Título 6 Car"/>
    <w:link w:val="Ttulo6"/>
    <w:rsid w:val="009D7B5A"/>
    <w:rPr>
      <w:rFonts w:ascii="Times New Roman" w:eastAsia="Times New Roman" w:hAnsi="Times New Roman"/>
      <w:sz w:val="28"/>
      <w:lang w:val="es-ES_tradnl" w:eastAsia="ar-SA"/>
    </w:rPr>
  </w:style>
  <w:style w:type="table" w:styleId="Tablaconcuadrcula">
    <w:name w:val="Table Grid"/>
    <w:basedOn w:val="Tablanormal"/>
    <w:uiPriority w:val="39"/>
    <w:rsid w:val="004E1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261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63494">
      <w:bodyDiv w:val="1"/>
      <w:marLeft w:val="0"/>
      <w:marRight w:val="0"/>
      <w:marTop w:val="0"/>
      <w:marBottom w:val="0"/>
      <w:divBdr>
        <w:top w:val="none" w:sz="0" w:space="0" w:color="auto"/>
        <w:left w:val="none" w:sz="0" w:space="0" w:color="auto"/>
        <w:bottom w:val="none" w:sz="0" w:space="0" w:color="auto"/>
        <w:right w:val="none" w:sz="0" w:space="0" w:color="auto"/>
      </w:divBdr>
    </w:div>
    <w:div w:id="1631352776">
      <w:bodyDiv w:val="1"/>
      <w:marLeft w:val="0"/>
      <w:marRight w:val="0"/>
      <w:marTop w:val="0"/>
      <w:marBottom w:val="0"/>
      <w:divBdr>
        <w:top w:val="none" w:sz="0" w:space="0" w:color="auto"/>
        <w:left w:val="none" w:sz="0" w:space="0" w:color="auto"/>
        <w:bottom w:val="none" w:sz="0" w:space="0" w:color="auto"/>
        <w:right w:val="none" w:sz="0" w:space="0" w:color="auto"/>
      </w:divBdr>
      <w:divsChild>
        <w:div w:id="542861582">
          <w:marLeft w:val="0"/>
          <w:marRight w:val="0"/>
          <w:marTop w:val="0"/>
          <w:marBottom w:val="0"/>
          <w:divBdr>
            <w:top w:val="none" w:sz="0" w:space="0" w:color="auto"/>
            <w:left w:val="none" w:sz="0" w:space="0" w:color="auto"/>
            <w:bottom w:val="none" w:sz="0" w:space="0" w:color="auto"/>
            <w:right w:val="none" w:sz="0" w:space="0" w:color="auto"/>
          </w:divBdr>
          <w:divsChild>
            <w:div w:id="1414011460">
              <w:marLeft w:val="0"/>
              <w:marRight w:val="0"/>
              <w:marTop w:val="0"/>
              <w:marBottom w:val="0"/>
              <w:divBdr>
                <w:top w:val="none" w:sz="0" w:space="0" w:color="auto"/>
                <w:left w:val="none" w:sz="0" w:space="0" w:color="auto"/>
                <w:bottom w:val="none" w:sz="0" w:space="0" w:color="auto"/>
                <w:right w:val="none" w:sz="0" w:space="0" w:color="auto"/>
              </w:divBdr>
              <w:divsChild>
                <w:div w:id="848565652">
                  <w:marLeft w:val="0"/>
                  <w:marRight w:val="0"/>
                  <w:marTop w:val="0"/>
                  <w:marBottom w:val="0"/>
                  <w:divBdr>
                    <w:top w:val="none" w:sz="0" w:space="0" w:color="auto"/>
                    <w:left w:val="none" w:sz="0" w:space="0" w:color="auto"/>
                    <w:bottom w:val="none" w:sz="0" w:space="0" w:color="auto"/>
                    <w:right w:val="none" w:sz="0" w:space="0" w:color="auto"/>
                  </w:divBdr>
                </w:div>
                <w:div w:id="1547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6260">
          <w:marLeft w:val="0"/>
          <w:marRight w:val="0"/>
          <w:marTop w:val="0"/>
          <w:marBottom w:val="0"/>
          <w:divBdr>
            <w:top w:val="none" w:sz="0" w:space="0" w:color="auto"/>
            <w:left w:val="none" w:sz="0" w:space="0" w:color="auto"/>
            <w:bottom w:val="none" w:sz="0" w:space="0" w:color="auto"/>
            <w:right w:val="none" w:sz="0" w:space="0" w:color="auto"/>
          </w:divBdr>
          <w:divsChild>
            <w:div w:id="556429876">
              <w:marLeft w:val="0"/>
              <w:marRight w:val="0"/>
              <w:marTop w:val="0"/>
              <w:marBottom w:val="0"/>
              <w:divBdr>
                <w:top w:val="none" w:sz="0" w:space="0" w:color="auto"/>
                <w:left w:val="none" w:sz="0" w:space="0" w:color="auto"/>
                <w:bottom w:val="none" w:sz="0" w:space="0" w:color="auto"/>
                <w:right w:val="none" w:sz="0" w:space="0" w:color="auto"/>
              </w:divBdr>
              <w:divsChild>
                <w:div w:id="15992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32">
          <w:marLeft w:val="0"/>
          <w:marRight w:val="0"/>
          <w:marTop w:val="0"/>
          <w:marBottom w:val="0"/>
          <w:divBdr>
            <w:top w:val="none" w:sz="0" w:space="0" w:color="auto"/>
            <w:left w:val="none" w:sz="0" w:space="0" w:color="auto"/>
            <w:bottom w:val="none" w:sz="0" w:space="0" w:color="auto"/>
            <w:right w:val="none" w:sz="0" w:space="0" w:color="auto"/>
          </w:divBdr>
          <w:divsChild>
            <w:div w:id="2095928375">
              <w:marLeft w:val="0"/>
              <w:marRight w:val="0"/>
              <w:marTop w:val="0"/>
              <w:marBottom w:val="0"/>
              <w:divBdr>
                <w:top w:val="none" w:sz="0" w:space="0" w:color="auto"/>
                <w:left w:val="none" w:sz="0" w:space="0" w:color="auto"/>
                <w:bottom w:val="none" w:sz="0" w:space="0" w:color="auto"/>
                <w:right w:val="none" w:sz="0" w:space="0" w:color="auto"/>
              </w:divBdr>
              <w:divsChild>
                <w:div w:id="1690639281">
                  <w:marLeft w:val="0"/>
                  <w:marRight w:val="0"/>
                  <w:marTop w:val="0"/>
                  <w:marBottom w:val="0"/>
                  <w:divBdr>
                    <w:top w:val="none" w:sz="0" w:space="0" w:color="auto"/>
                    <w:left w:val="none" w:sz="0" w:space="0" w:color="auto"/>
                    <w:bottom w:val="none" w:sz="0" w:space="0" w:color="auto"/>
                    <w:right w:val="none" w:sz="0" w:space="0" w:color="auto"/>
                  </w:divBdr>
                </w:div>
                <w:div w:id="17227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dalena.perez@udg.edu"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carlos.sarrado@udg.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rdi.renart@udg.edu"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D5AF0-76C3-48B5-BC9A-CC5F533C5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3177</Words>
  <Characters>17478</Characters>
  <Application>Microsoft Office Word</Application>
  <DocSecurity>0</DocSecurity>
  <Lines>145</Lines>
  <Paragraphs>41</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ECCM17_Paper_Template</vt:lpstr>
      <vt:lpstr>ECCM17_Paper_Template</vt:lpstr>
      <vt:lpstr>ECCM17_Paper_Template</vt:lpstr>
    </vt:vector>
  </TitlesOfParts>
  <Company>Leibniz-Rechenzentrum</Company>
  <LinksUpToDate>false</LinksUpToDate>
  <CharactersWithSpaces>20614</CharactersWithSpaces>
  <SharedDoc>false</SharedDoc>
  <HLinks>
    <vt:vector size="18" baseType="variant">
      <vt:variant>
        <vt:i4>2818124</vt:i4>
      </vt:variant>
      <vt:variant>
        <vt:i4>6</vt:i4>
      </vt:variant>
      <vt:variant>
        <vt:i4>0</vt:i4>
      </vt:variant>
      <vt:variant>
        <vt:i4>5</vt:i4>
      </vt:variant>
      <vt:variant>
        <vt:lpwstr>mailto:carlos.sarrado@udg.edu</vt:lpwstr>
      </vt:variant>
      <vt:variant>
        <vt:lpwstr/>
      </vt:variant>
      <vt:variant>
        <vt:i4>1245288</vt:i4>
      </vt:variant>
      <vt:variant>
        <vt:i4>3</vt:i4>
      </vt:variant>
      <vt:variant>
        <vt:i4>0</vt:i4>
      </vt:variant>
      <vt:variant>
        <vt:i4>5</vt:i4>
      </vt:variant>
      <vt:variant>
        <vt:lpwstr>mailto:jordi.renart@udg.edu</vt:lpwstr>
      </vt:variant>
      <vt:variant>
        <vt:lpwstr/>
      </vt:variant>
      <vt:variant>
        <vt:i4>7798797</vt:i4>
      </vt:variant>
      <vt:variant>
        <vt:i4>0</vt:i4>
      </vt:variant>
      <vt:variant>
        <vt:i4>0</vt:i4>
      </vt:variant>
      <vt:variant>
        <vt:i4>5</vt:i4>
      </vt:variant>
      <vt:variant>
        <vt:lpwstr>mailto:magdalena.perez@udg.edu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ECCM17_Paper_Template</dc:title>
  <dc:subject/>
  <dc:creator>Plöckl, Marina</dc:creator>
  <cp:keywords/>
  <dc:description/>
  <cp:lastModifiedBy>Magda</cp:lastModifiedBy>
  <cp:revision>4</cp:revision>
  <cp:lastPrinted>2016-03-11T12:16:00Z</cp:lastPrinted>
  <dcterms:created xsi:type="dcterms:W3CDTF">2018-05-10T16:50:00Z</dcterms:created>
  <dcterms:modified xsi:type="dcterms:W3CDTF">2018-05-10T16:51:00Z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