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3572651B" w:rsidR="00D32EF0" w:rsidRDefault="00577A0D" w:rsidP="00B32703">
      <w:pPr>
        <w:pStyle w:val="SWCTitle"/>
        <w:rPr>
          <w:sz w:val="28"/>
          <w:szCs w:val="28"/>
        </w:rPr>
      </w:pPr>
      <w:r w:rsidRPr="00577A0D">
        <w:rPr>
          <w:sz w:val="28"/>
          <w:szCs w:val="28"/>
        </w:rPr>
        <w:t>FAÇADE AS HEAT SOURCE IN HEAT PUMP SYSTEMS FOR MULTIFAMILY HOUSES: POTENTIAL ANALYSIS AND IMPLEMENTATION OF TWO DEMONSTRATION BUILDINGS</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7DF909CD" w:rsidR="006B3D49" w:rsidRPr="00114D22" w:rsidRDefault="00E1549A" w:rsidP="00114D22">
      <w:pPr>
        <w:pStyle w:val="SWCTitle"/>
        <w:spacing w:before="0" w:after="0"/>
        <w:rPr>
          <w:rFonts w:ascii="Times New Roman" w:hAnsi="Times New Roman"/>
          <w:b w:val="0"/>
          <w:sz w:val="20"/>
          <w:szCs w:val="20"/>
          <w:vertAlign w:val="superscript"/>
        </w:rPr>
      </w:pPr>
      <w:r>
        <w:rPr>
          <w:rFonts w:ascii="Times New Roman" w:hAnsi="Times New Roman"/>
          <w:b w:val="0"/>
          <w:sz w:val="20"/>
          <w:szCs w:val="20"/>
        </w:rPr>
        <w:t>Federico Giovannetti</w:t>
      </w:r>
      <w:r w:rsidR="00114D22" w:rsidRPr="00114D22">
        <w:rPr>
          <w:rFonts w:ascii="Times New Roman" w:hAnsi="Times New Roman"/>
          <w:b w:val="0"/>
          <w:sz w:val="20"/>
          <w:szCs w:val="20"/>
          <w:vertAlign w:val="superscript"/>
        </w:rPr>
        <w:t>1</w:t>
      </w:r>
      <w:r w:rsidR="0C3545CD" w:rsidRPr="0C3545CD">
        <w:rPr>
          <w:rFonts w:ascii="Times New Roman" w:hAnsi="Times New Roman"/>
          <w:b w:val="0"/>
          <w:sz w:val="20"/>
          <w:szCs w:val="20"/>
        </w:rPr>
        <w:t xml:space="preserve"> (corresponding author), </w:t>
      </w:r>
      <w:r>
        <w:rPr>
          <w:rFonts w:ascii="Times New Roman" w:hAnsi="Times New Roman"/>
          <w:b w:val="0"/>
          <w:sz w:val="20"/>
          <w:szCs w:val="20"/>
        </w:rPr>
        <w:t>Edward Frick</w:t>
      </w:r>
      <w:r w:rsidR="00114D22" w:rsidRPr="00114D22">
        <w:rPr>
          <w:rFonts w:ascii="Times New Roman" w:hAnsi="Times New Roman"/>
          <w:b w:val="0"/>
          <w:sz w:val="20"/>
          <w:szCs w:val="20"/>
          <w:vertAlign w:val="superscript"/>
        </w:rPr>
        <w:t>1</w:t>
      </w:r>
      <w:r>
        <w:rPr>
          <w:rFonts w:ascii="Times New Roman" w:hAnsi="Times New Roman"/>
          <w:b w:val="0"/>
          <w:sz w:val="20"/>
          <w:szCs w:val="20"/>
        </w:rPr>
        <w:t>, Christoph Buettner</w:t>
      </w:r>
      <w:r w:rsidR="00114D22" w:rsidRPr="00114D22">
        <w:rPr>
          <w:rFonts w:ascii="Times New Roman" w:hAnsi="Times New Roman"/>
          <w:b w:val="0"/>
          <w:sz w:val="20"/>
          <w:szCs w:val="20"/>
          <w:vertAlign w:val="superscript"/>
        </w:rPr>
        <w:t>1</w:t>
      </w:r>
      <w:r>
        <w:rPr>
          <w:rFonts w:ascii="Times New Roman" w:hAnsi="Times New Roman"/>
          <w:b w:val="0"/>
          <w:sz w:val="20"/>
          <w:szCs w:val="20"/>
        </w:rPr>
        <w:t>,</w:t>
      </w:r>
      <w:r w:rsidR="008C5EFE">
        <w:rPr>
          <w:rFonts w:ascii="Times New Roman" w:hAnsi="Times New Roman"/>
          <w:b w:val="0"/>
          <w:sz w:val="20"/>
          <w:szCs w:val="20"/>
        </w:rPr>
        <w:br/>
      </w:r>
      <w:r>
        <w:rPr>
          <w:rFonts w:ascii="Times New Roman" w:hAnsi="Times New Roman"/>
          <w:b w:val="0"/>
          <w:sz w:val="20"/>
          <w:szCs w:val="20"/>
        </w:rPr>
        <w:t>Michael Eberl</w:t>
      </w:r>
      <w:r w:rsidR="00114D22" w:rsidRPr="00114D22">
        <w:rPr>
          <w:rFonts w:ascii="Times New Roman" w:hAnsi="Times New Roman"/>
          <w:b w:val="0"/>
          <w:sz w:val="20"/>
          <w:szCs w:val="20"/>
          <w:vertAlign w:val="superscript"/>
        </w:rPr>
        <w:t>2</w:t>
      </w:r>
      <w:r>
        <w:rPr>
          <w:rFonts w:ascii="Times New Roman" w:hAnsi="Times New Roman"/>
          <w:b w:val="0"/>
          <w:sz w:val="20"/>
          <w:szCs w:val="20"/>
        </w:rPr>
        <w:t>,</w:t>
      </w:r>
      <w:r w:rsidR="008C5EFE">
        <w:rPr>
          <w:rFonts w:ascii="Times New Roman" w:hAnsi="Times New Roman"/>
          <w:b w:val="0"/>
          <w:sz w:val="20"/>
          <w:szCs w:val="20"/>
        </w:rPr>
        <w:t xml:space="preserve"> </w:t>
      </w:r>
      <w:r>
        <w:rPr>
          <w:rFonts w:ascii="Times New Roman" w:hAnsi="Times New Roman"/>
          <w:b w:val="0"/>
          <w:sz w:val="20"/>
          <w:szCs w:val="20"/>
        </w:rPr>
        <w:t>Herbert Sinnesbichler</w:t>
      </w:r>
      <w:r w:rsidR="00114D22" w:rsidRPr="00114D22">
        <w:rPr>
          <w:rFonts w:ascii="Times New Roman" w:hAnsi="Times New Roman"/>
          <w:b w:val="0"/>
          <w:sz w:val="20"/>
          <w:szCs w:val="20"/>
          <w:vertAlign w:val="superscript"/>
        </w:rPr>
        <w:t>2</w:t>
      </w:r>
    </w:p>
    <w:p w14:paraId="311CE447" w14:textId="733C8BCF" w:rsidR="006B3D49" w:rsidRDefault="008C5EFE" w:rsidP="00114D22">
      <w:pPr>
        <w:pStyle w:val="SWCTitle"/>
        <w:spacing w:before="0" w:after="0"/>
        <w:rPr>
          <w:rFonts w:ascii="Times New Roman" w:hAnsi="Times New Roman"/>
          <w:b w:val="0"/>
          <w:sz w:val="20"/>
          <w:szCs w:val="22"/>
        </w:rPr>
      </w:pPr>
      <w:r w:rsidRPr="008C5EFE">
        <w:rPr>
          <w:rFonts w:ascii="Times New Roman" w:hAnsi="Times New Roman"/>
          <w:b w:val="0"/>
          <w:sz w:val="20"/>
          <w:szCs w:val="22"/>
          <w:vertAlign w:val="superscript"/>
        </w:rPr>
        <w:t>1</w:t>
      </w:r>
      <w:r w:rsidR="00114D22" w:rsidRPr="00114D22">
        <w:rPr>
          <w:rFonts w:ascii="Times New Roman" w:hAnsi="Times New Roman"/>
          <w:b w:val="0"/>
          <w:sz w:val="20"/>
          <w:szCs w:val="22"/>
        </w:rPr>
        <w:t xml:space="preserve">Institute for Solar Energy Research </w:t>
      </w:r>
      <w:bookmarkStart w:id="0" w:name="_GoBack"/>
      <w:bookmarkEnd w:id="0"/>
      <w:r w:rsidR="00114D22" w:rsidRPr="00114D22">
        <w:rPr>
          <w:rFonts w:ascii="Times New Roman" w:hAnsi="Times New Roman"/>
          <w:b w:val="0"/>
          <w:sz w:val="20"/>
          <w:szCs w:val="22"/>
        </w:rPr>
        <w:t xml:space="preserve">Hamelin (ISFH), </w:t>
      </w:r>
      <w:proofErr w:type="spellStart"/>
      <w:r w:rsidR="00114D22" w:rsidRPr="00114D22">
        <w:rPr>
          <w:rFonts w:ascii="Times New Roman" w:hAnsi="Times New Roman"/>
          <w:b w:val="0"/>
          <w:sz w:val="20"/>
          <w:szCs w:val="22"/>
        </w:rPr>
        <w:t>Emmerthal</w:t>
      </w:r>
      <w:proofErr w:type="spellEnd"/>
      <w:r w:rsidR="00114D22" w:rsidRPr="00114D22">
        <w:rPr>
          <w:rFonts w:ascii="Times New Roman" w:hAnsi="Times New Roman"/>
          <w:b w:val="0"/>
          <w:sz w:val="20"/>
          <w:szCs w:val="22"/>
        </w:rPr>
        <w:t xml:space="preserve"> (Germany)</w:t>
      </w:r>
    </w:p>
    <w:p w14:paraId="77A5D5BA" w14:textId="3CD8A293" w:rsidR="008C5EFE" w:rsidRPr="008C5EFE" w:rsidRDefault="008C5EFE" w:rsidP="00114D22">
      <w:pPr>
        <w:pStyle w:val="SWCTitle"/>
        <w:spacing w:before="0" w:after="0"/>
        <w:rPr>
          <w:rFonts w:ascii="Times New Roman" w:hAnsi="Times New Roman"/>
          <w:b w:val="0"/>
          <w:sz w:val="20"/>
          <w:szCs w:val="22"/>
        </w:rPr>
      </w:pPr>
      <w:r w:rsidRPr="008C5EFE">
        <w:rPr>
          <w:rFonts w:ascii="Times New Roman" w:hAnsi="Times New Roman"/>
          <w:b w:val="0"/>
          <w:sz w:val="20"/>
          <w:szCs w:val="22"/>
          <w:vertAlign w:val="superscript"/>
        </w:rPr>
        <w:t>2</w:t>
      </w:r>
      <w:r w:rsidRPr="008C5EFE">
        <w:rPr>
          <w:rFonts w:ascii="Times New Roman" w:hAnsi="Times New Roman"/>
          <w:b w:val="0"/>
          <w:sz w:val="20"/>
          <w:szCs w:val="22"/>
        </w:rPr>
        <w:t>Fraunhofer Institute for Building P</w:t>
      </w:r>
      <w:r>
        <w:rPr>
          <w:rFonts w:ascii="Times New Roman" w:hAnsi="Times New Roman"/>
          <w:b w:val="0"/>
          <w:sz w:val="20"/>
          <w:szCs w:val="22"/>
        </w:rPr>
        <w:t xml:space="preserve">hysics IBP, </w:t>
      </w:r>
      <w:r w:rsidR="007409A1">
        <w:rPr>
          <w:rFonts w:ascii="Times New Roman" w:hAnsi="Times New Roman"/>
          <w:b w:val="0"/>
          <w:sz w:val="20"/>
          <w:szCs w:val="22"/>
        </w:rPr>
        <w:t xml:space="preserve">Holzkirchen </w:t>
      </w:r>
      <w:r>
        <w:rPr>
          <w:rFonts w:ascii="Times New Roman" w:hAnsi="Times New Roman"/>
          <w:b w:val="0"/>
          <w:sz w:val="20"/>
          <w:szCs w:val="22"/>
        </w:rPr>
        <w:t>(Germany)</w:t>
      </w:r>
    </w:p>
    <w:p w14:paraId="18FA38F1" w14:textId="5AF0BC14" w:rsidR="006B3D49" w:rsidRPr="008E08A6" w:rsidRDefault="008C5EFE" w:rsidP="00114D22">
      <w:pPr>
        <w:pStyle w:val="SWCTitle"/>
        <w:spacing w:before="0" w:after="0"/>
        <w:rPr>
          <w:rFonts w:ascii="Times New Roman" w:hAnsi="Times New Roman"/>
          <w:b w:val="0"/>
          <w:sz w:val="20"/>
          <w:szCs w:val="22"/>
        </w:rPr>
      </w:pPr>
      <w:r w:rsidRPr="008E08A6">
        <w:rPr>
          <w:rFonts w:ascii="Times New Roman" w:hAnsi="Times New Roman"/>
          <w:b w:val="0"/>
          <w:sz w:val="20"/>
          <w:szCs w:val="20"/>
        </w:rPr>
        <w:t>E-Mail:</w:t>
      </w:r>
      <w:r w:rsidRPr="008E08A6">
        <w:t xml:space="preserve"> </w:t>
      </w:r>
      <w:hyperlink r:id="rId8" w:history="1">
        <w:r w:rsidRPr="008E08A6">
          <w:rPr>
            <w:rStyle w:val="Hyperlink"/>
            <w:rFonts w:ascii="Times New Roman" w:hAnsi="Times New Roman"/>
            <w:b w:val="0"/>
            <w:sz w:val="20"/>
            <w:szCs w:val="22"/>
          </w:rPr>
          <w:t>giovannetti@isfh.de</w:t>
        </w:r>
      </w:hyperlink>
    </w:p>
    <w:p w14:paraId="3A7DF4B5" w14:textId="6F51DBA9" w:rsidR="001A775B" w:rsidRPr="008E08A6" w:rsidRDefault="0C3545CD" w:rsidP="0C3545CD">
      <w:pPr>
        <w:pStyle w:val="SWCSummary"/>
        <w:pBdr>
          <w:bottom w:val="single" w:sz="6" w:space="1" w:color="auto"/>
        </w:pBdr>
      </w:pPr>
      <w:r w:rsidRPr="008E08A6">
        <w:t>Summary</w:t>
      </w:r>
    </w:p>
    <w:p w14:paraId="2D9BF0A8" w14:textId="5BB494D3" w:rsidR="0031685E" w:rsidRDefault="00577A0D" w:rsidP="008A0437">
      <w:pPr>
        <w:pStyle w:val="SWCText"/>
        <w:pBdr>
          <w:bottom w:val="single" w:sz="6" w:space="1" w:color="auto"/>
        </w:pBdr>
      </w:pPr>
      <w:r w:rsidRPr="00577A0D">
        <w:t>Heat pumps are expected to almost completely replace fossil-fired boilers in the European building sector in the next two decades. The targeted transformation represents a huge challenge, especially for densely populated urban areas with space, geological or other kind</w:t>
      </w:r>
      <w:r w:rsidR="00B65AE5">
        <w:t>s</w:t>
      </w:r>
      <w:r w:rsidRPr="00577A0D">
        <w:t xml:space="preserve"> of constrain</w:t>
      </w:r>
      <w:r w:rsidR="00B65AE5">
        <w:t>t</w:t>
      </w:r>
      <w:r w:rsidRPr="00577A0D">
        <w:t>s (noise, regulations, general acceptance issues). The energetic use of the building envelope offers a promising alternative to conventional heat sources with untapped potential. The work discusses the use of thermally activated, rear</w:t>
      </w:r>
      <w:r w:rsidR="00016664">
        <w:t>-</w:t>
      </w:r>
      <w:r w:rsidRPr="00577A0D">
        <w:t xml:space="preserve">ventilated façades as additional heat source in heat pump systems for multifamily houses. Our simulation study with the software TRNSYS based on validated models shows, that these new </w:t>
      </w:r>
      <w:r w:rsidR="00B65AE5">
        <w:t>façade</w:t>
      </w:r>
      <w:r w:rsidRPr="00577A0D">
        <w:t xml:space="preserve">s can reduce the size of borehole fields up to </w:t>
      </w:r>
      <w:r w:rsidR="00B65AE5" w:rsidRPr="00577A0D">
        <w:t>3</w:t>
      </w:r>
      <w:r w:rsidR="00B65AE5">
        <w:t>6</w:t>
      </w:r>
      <w:r w:rsidRPr="00577A0D">
        <w:t>% in small buildings</w:t>
      </w:r>
      <w:r w:rsidR="00232814">
        <w:t xml:space="preserve"> with 8 residential units</w:t>
      </w:r>
      <w:r w:rsidRPr="00577A0D">
        <w:t>. After this first theoretical analysis we present heat supply concepts, practical experiences and monitoring results of two demonstration buildings with different active façades, which were implemented in 2023 und 2025 respectively</w:t>
      </w:r>
      <w:r w:rsidR="2B8E5DD9">
        <w:t>.</w:t>
      </w:r>
    </w:p>
    <w:p w14:paraId="5AB3A3E7" w14:textId="78637011" w:rsidR="00DB52E7" w:rsidRDefault="00E1549A" w:rsidP="001A775B">
      <w:pPr>
        <w:pStyle w:val="SWCText"/>
        <w:pBdr>
          <w:bottom w:val="single" w:sz="6" w:space="1" w:color="auto"/>
        </w:pBdr>
        <w:rPr>
          <w:i/>
          <w:iCs/>
        </w:rPr>
      </w:pPr>
      <w:r>
        <w:rPr>
          <w:i/>
          <w:iCs/>
        </w:rPr>
        <w:t xml:space="preserve">Keywords: </w:t>
      </w:r>
      <w:r w:rsidRPr="00E1549A">
        <w:rPr>
          <w:i/>
          <w:iCs/>
        </w:rPr>
        <w:t>solar façade, ground-coupled heat pumps, multifamily houses, solar regeneration</w:t>
      </w:r>
    </w:p>
    <w:p w14:paraId="01458796" w14:textId="03E5A5AE" w:rsidR="00FA4DF8" w:rsidRDefault="002C089D" w:rsidP="001A775B">
      <w:pPr>
        <w:pStyle w:val="SWCText"/>
        <w:pBdr>
          <w:bottom w:val="single" w:sz="6" w:space="1" w:color="auto"/>
        </w:pBdr>
        <w:rPr>
          <w:i/>
          <w:iCs/>
        </w:rPr>
      </w:pPr>
      <w:r>
        <w:rPr>
          <w:i/>
          <w:iCs/>
        </w:rPr>
        <w:t>Field of application for the findings:</w:t>
      </w:r>
      <w:r w:rsidR="00E1549A" w:rsidRPr="00E1549A">
        <w:t xml:space="preserve"> </w:t>
      </w:r>
      <w:r w:rsidR="00E1549A" w:rsidRPr="00E1549A">
        <w:rPr>
          <w:i/>
          <w:iCs/>
        </w:rPr>
        <w:t>energy-efficient building design and renovation</w:t>
      </w:r>
    </w:p>
    <w:p w14:paraId="185A319D" w14:textId="5CAA668B" w:rsidR="002C089D" w:rsidRDefault="00CC3B0C" w:rsidP="001A775B">
      <w:pPr>
        <w:pStyle w:val="SWCText"/>
        <w:pBdr>
          <w:bottom w:val="single" w:sz="6" w:space="1" w:color="auto"/>
        </w:pBdr>
        <w:rPr>
          <w:i/>
          <w:iCs/>
        </w:rPr>
      </w:pPr>
      <w:r>
        <w:rPr>
          <w:i/>
          <w:iCs/>
        </w:rPr>
        <w:t>Addressed audience:</w:t>
      </w:r>
      <w:r w:rsidR="00E1549A" w:rsidRPr="00E1549A">
        <w:t xml:space="preserve"> </w:t>
      </w:r>
      <w:r w:rsidR="00E1549A" w:rsidRPr="00E1549A">
        <w:rPr>
          <w:i/>
          <w:iCs/>
        </w:rPr>
        <w:t>façade and heat pumps manufacturers, housing companies, architects, building system engineers, energy consultants, researchers</w:t>
      </w:r>
    </w:p>
    <w:p w14:paraId="2C6C129D" w14:textId="7BB8D4A5" w:rsidR="00E1549A" w:rsidRDefault="009B6837" w:rsidP="009B6837">
      <w:pPr>
        <w:pStyle w:val="SWCHeading1"/>
        <w:ind w:left="714" w:hanging="357"/>
      </w:pPr>
      <w:r>
        <w:t>Introduction</w:t>
      </w:r>
    </w:p>
    <w:p w14:paraId="2948697D" w14:textId="7DFBE919" w:rsidR="00E1549A" w:rsidRDefault="00E1549A" w:rsidP="00E1549A">
      <w:pPr>
        <w:pStyle w:val="SWCText"/>
      </w:pPr>
      <w:r>
        <w:t xml:space="preserve">Heat pumps are expected to progressively replace fossil-fuel-fired boilers as the primary heat generator in the European building sector. Energy scenarios for achieving Germany’s climate goals project an increase in the </w:t>
      </w:r>
      <w:r w:rsidRPr="0051698D">
        <w:t xml:space="preserve">number of heat pumps from 2 million today to as many as 15 million by </w:t>
      </w:r>
      <w:r w:rsidRPr="00EB7FEC">
        <w:t>2045</w:t>
      </w:r>
      <w:r w:rsidR="00F06B89" w:rsidRPr="00EB7FEC">
        <w:t xml:space="preserve"> (</w:t>
      </w:r>
      <w:r w:rsidR="0051698D" w:rsidRPr="00EB7FEC">
        <w:t>Fraunhofer ISI et al., 2024</w:t>
      </w:r>
      <w:r w:rsidR="00F06B89" w:rsidRPr="00EB7FEC">
        <w:t>)</w:t>
      </w:r>
      <w:r w:rsidRPr="00EB7FEC">
        <w:t>. The targeted market growth represents an enormous challenge, particularly in urban areas</w:t>
      </w:r>
      <w:r w:rsidR="0051698D" w:rsidRPr="00EB7FEC">
        <w:t xml:space="preserve"> (Fraga et al., 2018)</w:t>
      </w:r>
      <w:r w:rsidRPr="00EB7FEC">
        <w:t>. A key</w:t>
      </w:r>
      <w:r>
        <w:t xml:space="preserve"> issue here is accessing the heat source of heat pump systems, as installation conditions are often unfavorable (lack of space, noise emissions, distance regulations as well as general acceptance issues).</w:t>
      </w:r>
    </w:p>
    <w:p w14:paraId="5A039E13" w14:textId="1540867C" w:rsidR="00E1549A" w:rsidRDefault="00E1549A" w:rsidP="00E1549A">
      <w:pPr>
        <w:pStyle w:val="SWCText"/>
      </w:pPr>
      <w:r>
        <w:t xml:space="preserve">Solar thermal collectors can mitigate this challenge by both serving as a direct heat source </w:t>
      </w:r>
      <w:r w:rsidR="00232814">
        <w:t xml:space="preserve">for the heat pump </w:t>
      </w:r>
      <w:r>
        <w:t xml:space="preserve">or regenerating other heat </w:t>
      </w:r>
      <w:r w:rsidRPr="00EB7FEC">
        <w:t>sources like geothermal systems or ice storage</w:t>
      </w:r>
      <w:r w:rsidR="00D2248E">
        <w:t>s</w:t>
      </w:r>
      <w:r w:rsidRPr="00EB7FEC">
        <w:t>. While traditional rooftop installations have long been established for this purpose</w:t>
      </w:r>
      <w:r w:rsidR="00232814" w:rsidRPr="00EB7FEC">
        <w:t xml:space="preserve"> (</w:t>
      </w:r>
      <w:proofErr w:type="spellStart"/>
      <w:r w:rsidR="000F2000" w:rsidRPr="00EB7FEC">
        <w:t>Hadorn</w:t>
      </w:r>
      <w:proofErr w:type="spellEnd"/>
      <w:r w:rsidR="000F2000" w:rsidRPr="00EB7FEC">
        <w:t>, 2015</w:t>
      </w:r>
      <w:r w:rsidR="00B9311D" w:rsidRPr="00EB7FEC">
        <w:t xml:space="preserve">; </w:t>
      </w:r>
      <w:proofErr w:type="spellStart"/>
      <w:r w:rsidR="00B9311D" w:rsidRPr="00EB7FEC">
        <w:t>Carbonell</w:t>
      </w:r>
      <w:proofErr w:type="spellEnd"/>
      <w:r w:rsidR="00B9311D" w:rsidRPr="00EB7FEC">
        <w:t xml:space="preserve"> et al., 2015</w:t>
      </w:r>
      <w:r w:rsidR="00232814" w:rsidRPr="00EB7FEC">
        <w:t>)</w:t>
      </w:r>
      <w:r w:rsidRPr="00EB7FEC">
        <w:t>, the use of the building envelope remains an unconventional alternative that has been tested exclusively in research works or rare pilot projects</w:t>
      </w:r>
      <w:r w:rsidR="008C5EFE" w:rsidRPr="00EB7FEC">
        <w:t xml:space="preserve"> (</w:t>
      </w:r>
      <w:r w:rsidR="0051698D" w:rsidRPr="00EB7FEC">
        <w:t>Giovannetti et al., 201</w:t>
      </w:r>
      <w:r w:rsidR="0001660F" w:rsidRPr="00EB7FEC">
        <w:t>6</w:t>
      </w:r>
      <w:r w:rsidR="0051698D" w:rsidRPr="00EB7FEC">
        <w:t xml:space="preserve">; </w:t>
      </w:r>
      <w:proofErr w:type="spellStart"/>
      <w:r w:rsidR="0051698D" w:rsidRPr="00EB7FEC">
        <w:t>Tanzer</w:t>
      </w:r>
      <w:proofErr w:type="spellEnd"/>
      <w:r w:rsidR="0051698D" w:rsidRPr="00EB7FEC">
        <w:t xml:space="preserve"> et al., 2018; Koch et al., 2020)</w:t>
      </w:r>
      <w:r w:rsidRPr="00EB7FEC">
        <w:t>. A key</w:t>
      </w:r>
      <w:r>
        <w:t xml:space="preserve"> benefit here is the synergy resulting from the combined renovation of the building envelope and </w:t>
      </w:r>
      <w:r w:rsidR="00EB7FEC">
        <w:t xml:space="preserve">the </w:t>
      </w:r>
      <w:r>
        <w:t>building system engineering, which can lead to cost savings.</w:t>
      </w:r>
    </w:p>
    <w:p w14:paraId="2A7E9DD4" w14:textId="542BE7B8" w:rsidR="009F7A4B" w:rsidRPr="00016664" w:rsidRDefault="00E1549A" w:rsidP="00E1549A">
      <w:pPr>
        <w:pStyle w:val="SWCText"/>
      </w:pPr>
      <w:r>
        <w:t xml:space="preserve">In an ongoing research project, a team of facade manufacturers, housing companies, and research institutes is </w:t>
      </w:r>
      <w:r w:rsidR="00503FA5">
        <w:t xml:space="preserve">systematically </w:t>
      </w:r>
      <w:r>
        <w:t>investigating the potential of solar-thermally activated, rear</w:t>
      </w:r>
      <w:r w:rsidR="00EB7FEC">
        <w:t>-</w:t>
      </w:r>
      <w:r>
        <w:t>ventilated fa</w:t>
      </w:r>
      <w:bookmarkStart w:id="1" w:name="_Hlk238464448"/>
      <w:r>
        <w:t>ç</w:t>
      </w:r>
      <w:bookmarkEnd w:id="1"/>
      <w:r>
        <w:t>ades as heat pump sources in apartment buildings. What makes the project approach particularly remarkable is, on the one hand, the use of standard fa</w:t>
      </w:r>
      <w:r w:rsidR="008C5EFE" w:rsidRPr="008C5EFE">
        <w:t>ç</w:t>
      </w:r>
      <w:r>
        <w:t xml:space="preserve">ade claddings as solar absorbers and, on the other hand, the invisible integration of heat exchangers into the ventilation gap, ensuring that the resulting appearance is not distinguishable from that of conventional </w:t>
      </w:r>
      <w:r w:rsidR="00016664">
        <w:lastRenderedPageBreak/>
        <w:t>façade</w:t>
      </w:r>
      <w:r>
        <w:t xml:space="preserve">s. Following the successful development of </w:t>
      </w:r>
      <w:r w:rsidR="00765326">
        <w:t>different</w:t>
      </w:r>
      <w:r>
        <w:t xml:space="preserve"> </w:t>
      </w:r>
      <w:r w:rsidR="00016664">
        <w:t>façade</w:t>
      </w:r>
      <w:r>
        <w:t xml:space="preserve"> and heat supply concepts, the project has moved </w:t>
      </w:r>
      <w:r w:rsidR="00232814">
        <w:t xml:space="preserve">2023 </w:t>
      </w:r>
      <w:r>
        <w:t>into the demonstration phase, aiming at the construction and scientific monitoring of two pilot buildings</w:t>
      </w:r>
      <w:r w:rsidR="003D6941" w:rsidRPr="003D6941">
        <w:t>.</w:t>
      </w:r>
      <w:r w:rsidR="00016664" w:rsidRPr="00016664">
        <w:t xml:space="preserve"> In both cases the </w:t>
      </w:r>
      <w:r w:rsidR="00503FA5">
        <w:t>façade</w:t>
      </w:r>
      <w:r w:rsidR="00016664" w:rsidRPr="00016664">
        <w:t xml:space="preserve"> is </w:t>
      </w:r>
      <w:r w:rsidR="00503FA5">
        <w:t>implemented a</w:t>
      </w:r>
      <w:r w:rsidR="00016664" w:rsidRPr="00016664">
        <w:t xml:space="preserve">s </w:t>
      </w:r>
      <w:r w:rsidR="00B65AE5">
        <w:t xml:space="preserve">an </w:t>
      </w:r>
      <w:r w:rsidR="00016664" w:rsidRPr="00016664">
        <w:t>additi</w:t>
      </w:r>
      <w:r w:rsidR="00503FA5">
        <w:t>onal</w:t>
      </w:r>
      <w:r w:rsidR="00016664" w:rsidRPr="00016664">
        <w:t xml:space="preserve"> heat source an</w:t>
      </w:r>
      <w:r w:rsidR="00016664">
        <w:t>d f</w:t>
      </w:r>
      <w:r w:rsidR="00503FA5">
        <w:t xml:space="preserve">or </w:t>
      </w:r>
      <w:r w:rsidR="00B65AE5">
        <w:t xml:space="preserve">the </w:t>
      </w:r>
      <w:r w:rsidR="00503FA5">
        <w:t>regeneration of borehole heat exchangers (BHE)</w:t>
      </w:r>
      <w:r w:rsidR="00016664" w:rsidRPr="00016664">
        <w:t>.</w:t>
      </w:r>
    </w:p>
    <w:p w14:paraId="08D885B6" w14:textId="5FA585DB" w:rsidR="008C5EFE" w:rsidRDefault="008C5EFE" w:rsidP="00E1549A">
      <w:pPr>
        <w:pStyle w:val="SWCText"/>
      </w:pPr>
      <w:r w:rsidRPr="006F6292">
        <w:t>After a</w:t>
      </w:r>
      <w:r w:rsidR="000A7228" w:rsidRPr="006F6292">
        <w:t xml:space="preserve"> </w:t>
      </w:r>
      <w:r w:rsidRPr="006F6292">
        <w:t>theoretic</w:t>
      </w:r>
      <w:r w:rsidRPr="008C5EFE">
        <w:t xml:space="preserve">al analysis of the potential of the </w:t>
      </w:r>
      <w:r w:rsidR="00503FA5">
        <w:t>façades</w:t>
      </w:r>
      <w:r w:rsidRPr="008C5EFE">
        <w:t xml:space="preserve"> for this specific application based on </w:t>
      </w:r>
      <w:r w:rsidR="00503FA5">
        <w:t xml:space="preserve">system </w:t>
      </w:r>
      <w:r w:rsidRPr="008C5EFE">
        <w:t xml:space="preserve">simulations, the paper presents and discusses the heat supply concepts </w:t>
      </w:r>
      <w:r w:rsidR="00503FA5">
        <w:t>of the</w:t>
      </w:r>
      <w:r w:rsidRPr="008C5EFE">
        <w:t xml:space="preserve"> buildings, focusing on the practical aspects of the implementation, as well as </w:t>
      </w:r>
      <w:r w:rsidR="00503FA5">
        <w:t xml:space="preserve">first </w:t>
      </w:r>
      <w:r w:rsidRPr="008C5EFE">
        <w:t>monitoring results.</w:t>
      </w:r>
    </w:p>
    <w:p w14:paraId="1C776E8E" w14:textId="080BDE7A" w:rsidR="000A7228" w:rsidRDefault="000A7228" w:rsidP="009B6837">
      <w:pPr>
        <w:pStyle w:val="SWCHeading1"/>
      </w:pPr>
      <w:r>
        <w:t>Potential analysis</w:t>
      </w:r>
    </w:p>
    <w:p w14:paraId="4A62B161" w14:textId="571819A9" w:rsidR="000A7228" w:rsidRDefault="00B02E0F" w:rsidP="000A7228">
      <w:pPr>
        <w:pStyle w:val="SWCText"/>
      </w:pPr>
      <w:r w:rsidRPr="00B02E0F">
        <w:t xml:space="preserve">To analyze the energy potential of the </w:t>
      </w:r>
      <w:r w:rsidR="00B65AE5">
        <w:t>façade</w:t>
      </w:r>
      <w:r w:rsidRPr="00B02E0F">
        <w:t xml:space="preserve"> as an additional source in geothermal heat pump systems, </w:t>
      </w:r>
      <w:r w:rsidR="00EB7FEC">
        <w:t xml:space="preserve">we performed </w:t>
      </w:r>
      <w:r w:rsidRPr="00B02E0F">
        <w:t xml:space="preserve">coupled simulations using the </w:t>
      </w:r>
      <w:r w:rsidR="00765326" w:rsidRPr="00B02E0F">
        <w:t xml:space="preserve">programs </w:t>
      </w:r>
      <w:r w:rsidRPr="00B02E0F">
        <w:t>TRNSYS and EED (Earth Energy Designer) on a reference building</w:t>
      </w:r>
      <w:r>
        <w:t>.</w:t>
      </w:r>
      <w:r w:rsidR="002D613D">
        <w:t xml:space="preserve"> </w:t>
      </w:r>
      <w:r w:rsidR="00232814">
        <w:t>Our</w:t>
      </w:r>
      <w:r w:rsidR="002D613D" w:rsidRPr="002D613D">
        <w:t xml:space="preserve"> study examined the influence of the solar </w:t>
      </w:r>
      <w:r w:rsidR="00B65AE5">
        <w:t xml:space="preserve">façade </w:t>
      </w:r>
      <w:r w:rsidR="00B65AE5" w:rsidRPr="002D613D">
        <w:t>on</w:t>
      </w:r>
      <w:r w:rsidR="002D613D" w:rsidRPr="002D613D">
        <w:t xml:space="preserve"> thermal regeneration and, consequently, on the sizing of the ground-source heat exchanger, using TRNSYS to model the building and its associated systems and EED for the long-term analysis of the geothermal boreholes field.</w:t>
      </w:r>
    </w:p>
    <w:p w14:paraId="5C09638D" w14:textId="455DFB8A" w:rsidR="002D613D" w:rsidRDefault="002D613D" w:rsidP="002D613D">
      <w:pPr>
        <w:pStyle w:val="SWCText"/>
      </w:pPr>
      <w:r>
        <w:t xml:space="preserve">The reference building is a detached multifamily </w:t>
      </w:r>
      <w:r w:rsidR="00765326">
        <w:t>house</w:t>
      </w:r>
      <w:r>
        <w:t xml:space="preserve"> consisting of 4 stories, each comprising 2 apartments with 84 m² of living space (see </w:t>
      </w:r>
      <w:r w:rsidRPr="002D613D">
        <w:rPr>
          <w:b/>
        </w:rPr>
        <w:t>Figure 1</w:t>
      </w:r>
      <w:r>
        <w:t xml:space="preserve">). The building’s heat demand is 23.3 MWh/year for space heating and 10.5 MWh/year for domestic hot water </w:t>
      </w:r>
      <w:r w:rsidR="00B65AE5">
        <w:t xml:space="preserve">preparation </w:t>
      </w:r>
      <w:r w:rsidR="00765326">
        <w:t>(DHW)</w:t>
      </w:r>
      <w:r>
        <w:t xml:space="preserve">. The building envelope meets the German </w:t>
      </w:r>
      <w:r w:rsidR="00955EB3">
        <w:t>energy</w:t>
      </w:r>
      <w:r w:rsidR="00E93502">
        <w:t xml:space="preserve"> Standard</w:t>
      </w:r>
      <w:r w:rsidR="00765326">
        <w:t xml:space="preserve"> </w:t>
      </w:r>
      <w:r w:rsidR="004C155C">
        <w:t>“</w:t>
      </w:r>
      <w:proofErr w:type="spellStart"/>
      <w:r w:rsidR="004C155C">
        <w:t>Effizienzhaus</w:t>
      </w:r>
      <w:proofErr w:type="spellEnd"/>
      <w:r>
        <w:t xml:space="preserve"> 55</w:t>
      </w:r>
      <w:r w:rsidR="004C155C">
        <w:t>”</w:t>
      </w:r>
      <w:r>
        <w:t xml:space="preserve">, with rear-ventilated </w:t>
      </w:r>
      <w:r w:rsidR="00B65AE5">
        <w:t>façade</w:t>
      </w:r>
      <w:r>
        <w:t xml:space="preserve"> featuring 18 cm of mineral wool insulation. The domestic hot water profiles for the 8 residential units were generated using the established </w:t>
      </w:r>
      <w:proofErr w:type="spellStart"/>
      <w:r>
        <w:t>DHWCalc</w:t>
      </w:r>
      <w:proofErr w:type="spellEnd"/>
      <w:r>
        <w:t xml:space="preserve"> program</w:t>
      </w:r>
      <w:r w:rsidR="00B9311D">
        <w:t xml:space="preserve"> (</w:t>
      </w:r>
      <w:r w:rsidR="0066150A">
        <w:t>Jordan et al., 2019)</w:t>
      </w:r>
      <w:r>
        <w:t xml:space="preserve"> assuming an average consumption of 89 l/d (65 l/d to 119 l/d</w:t>
      </w:r>
      <w:r w:rsidR="00765326">
        <w:t>) at</w:t>
      </w:r>
      <w:r>
        <w:t xml:space="preserve"> 45 °C</w:t>
      </w:r>
      <w:r w:rsidR="00B9311D">
        <w:t>.</w:t>
      </w:r>
    </w:p>
    <w:p w14:paraId="25E0298B" w14:textId="70BC71BF" w:rsidR="004C155C" w:rsidRDefault="00B479BC" w:rsidP="004C155C">
      <w:pPr>
        <w:pStyle w:val="SWCText"/>
        <w:jc w:val="center"/>
      </w:pPr>
      <w:r w:rsidRPr="00B479BC">
        <w:drawing>
          <wp:inline distT="0" distB="0" distL="0" distR="0" wp14:anchorId="7FFC455A" wp14:editId="58C24B6E">
            <wp:extent cx="3814984" cy="2949544"/>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25654" cy="2957794"/>
                    </a:xfrm>
                    <a:prstGeom prst="rect">
                      <a:avLst/>
                    </a:prstGeom>
                    <a:noFill/>
                    <a:ln>
                      <a:noFill/>
                    </a:ln>
                  </pic:spPr>
                </pic:pic>
              </a:graphicData>
            </a:graphic>
          </wp:inline>
        </w:drawing>
      </w:r>
    </w:p>
    <w:p w14:paraId="477988D5" w14:textId="7E4CBE7C" w:rsidR="004C155C" w:rsidRPr="00E1549A" w:rsidRDefault="004C155C" w:rsidP="004C155C">
      <w:pPr>
        <w:pStyle w:val="SWCTableFigureCaption"/>
      </w:pPr>
      <w:r w:rsidRPr="00E1549A">
        <w:t>Fig. </w:t>
      </w:r>
      <w:r w:rsidRPr="00E1549A">
        <w:fldChar w:fldCharType="begin"/>
      </w:r>
      <w:r w:rsidRPr="00E1549A">
        <w:instrText xml:space="preserve"> SEQ Fig. \* ARABIC </w:instrText>
      </w:r>
      <w:r w:rsidRPr="00E1549A">
        <w:fldChar w:fldCharType="separate"/>
      </w:r>
      <w:r w:rsidR="00F248FA">
        <w:rPr>
          <w:noProof/>
        </w:rPr>
        <w:t>1</w:t>
      </w:r>
      <w:r w:rsidRPr="00E1549A">
        <w:fldChar w:fldCharType="end"/>
      </w:r>
      <w:r w:rsidRPr="00E1549A">
        <w:t xml:space="preserve">: </w:t>
      </w:r>
      <w:r w:rsidR="00EB7FC5" w:rsidRPr="00EB7FC5">
        <w:rPr>
          <w:b w:val="0"/>
        </w:rPr>
        <w:t>Schematic representation of the investigated heat supply concept</w:t>
      </w:r>
      <w:r w:rsidRPr="00E1549A">
        <w:t xml:space="preserve">  </w:t>
      </w:r>
    </w:p>
    <w:p w14:paraId="460237D9" w14:textId="303015E5" w:rsidR="004C155C" w:rsidRPr="00CD58F4" w:rsidRDefault="00EB7FC5" w:rsidP="00EB7FC5">
      <w:pPr>
        <w:pStyle w:val="SWCText"/>
      </w:pPr>
      <w:r w:rsidRPr="00EB7FC5">
        <w:t xml:space="preserve">Heat is generated by a modulating brine-to-water heat pump with a maximum </w:t>
      </w:r>
      <w:r w:rsidR="00232814">
        <w:t>power</w:t>
      </w:r>
      <w:r w:rsidRPr="00EB7FC5">
        <w:t xml:space="preserve"> of 17 </w:t>
      </w:r>
      <w:proofErr w:type="spellStart"/>
      <w:r w:rsidRPr="00EB7FC5">
        <w:t>kW</w:t>
      </w:r>
      <w:r w:rsidRPr="009B6837">
        <w:rPr>
          <w:vertAlign w:val="subscript"/>
        </w:rPr>
        <w:t>th</w:t>
      </w:r>
      <w:proofErr w:type="spellEnd"/>
      <w:r w:rsidRPr="00EB7FC5">
        <w:t>. A buffer</w:t>
      </w:r>
      <w:r w:rsidR="00EB7FEC">
        <w:t xml:space="preserve"> storage</w:t>
      </w:r>
      <w:r w:rsidRPr="00EB7FC5">
        <w:t xml:space="preserve"> tank with a volume of 0.95 m³ supplies the </w:t>
      </w:r>
      <w:r w:rsidR="00232814">
        <w:t>h</w:t>
      </w:r>
      <w:r w:rsidR="0066150A">
        <w:t>eat interface units</w:t>
      </w:r>
      <w:r w:rsidRPr="00EB7FC5">
        <w:t xml:space="preserve"> installed in the individual apartments via a 2-pipe loop system. Heating is provided by underfloor heating (35/30 °C). When outdoor temperatures exceed 15 °C (</w:t>
      </w:r>
      <w:r w:rsidR="00765326">
        <w:t>moving</w:t>
      </w:r>
      <w:r w:rsidRPr="00EB7FC5">
        <w:t xml:space="preserve"> 24-hour average), the space heating is deactivated.</w:t>
      </w:r>
      <w:r>
        <w:t xml:space="preserve"> </w:t>
      </w:r>
      <w:r w:rsidR="00CD58F4" w:rsidRPr="00CD58F4">
        <w:t xml:space="preserve">Depending on the hydraulic configuration, the heat pump can use either the </w:t>
      </w:r>
      <w:r w:rsidR="0066150A">
        <w:t>BHE</w:t>
      </w:r>
      <w:r w:rsidR="00BA6AE8">
        <w:t xml:space="preserve"> </w:t>
      </w:r>
      <w:r w:rsidR="00CD58F4" w:rsidRPr="00CD58F4">
        <w:t xml:space="preserve">or the solar </w:t>
      </w:r>
      <w:r w:rsidR="00CD58F4">
        <w:t xml:space="preserve">façade - </w:t>
      </w:r>
      <w:r w:rsidR="00CD58F4" w:rsidRPr="00CD58F4">
        <w:t>or a combination of both</w:t>
      </w:r>
      <w:r w:rsidR="00CD58F4">
        <w:t xml:space="preserve"> - </w:t>
      </w:r>
      <w:r w:rsidR="00CD58F4" w:rsidRPr="00CD58F4">
        <w:t xml:space="preserve">as heat sources. The two sources are connected to the heat pump’s evaporator via a hydraulic </w:t>
      </w:r>
      <w:r w:rsidR="00B65AE5">
        <w:t>separator</w:t>
      </w:r>
      <w:r w:rsidR="00CD58F4" w:rsidRPr="00CD58F4">
        <w:t xml:space="preserve">. The selected control strategy is crucial for system evaluation: If the </w:t>
      </w:r>
      <w:r w:rsidR="00EB7FEC">
        <w:t xml:space="preserve">façade </w:t>
      </w:r>
      <w:r w:rsidR="00CD58F4" w:rsidRPr="00CD58F4">
        <w:t xml:space="preserve">temperature is above the temperature of the </w:t>
      </w:r>
      <w:r w:rsidR="00BA6AE8">
        <w:t>BHE</w:t>
      </w:r>
      <w:r w:rsidR="00CD58F4" w:rsidRPr="00CD58F4">
        <w:t xml:space="preserve"> (3 K &lt; </w:t>
      </w:r>
      <w:r w:rsidR="00CD58F4" w:rsidRPr="00CD58F4">
        <w:rPr>
          <w:lang w:val="de-DE"/>
        </w:rPr>
        <w:t>Δ</w:t>
      </w:r>
      <w:r w:rsidR="00CD58F4" w:rsidRPr="00CD58F4">
        <w:t xml:space="preserve">T &lt; 5 K), both </w:t>
      </w:r>
      <w:r w:rsidR="0066150A">
        <w:t xml:space="preserve">sources </w:t>
      </w:r>
      <w:r w:rsidR="00CD58F4" w:rsidRPr="00CD58F4">
        <w:t xml:space="preserve">can be operated simultaneously. If the </w:t>
      </w:r>
      <w:r w:rsidR="00EB7FEC">
        <w:t>façade</w:t>
      </w:r>
      <w:r w:rsidR="00CD58F4" w:rsidRPr="00CD58F4">
        <w:t xml:space="preserve"> temperature is significantly above the temperature of the </w:t>
      </w:r>
      <w:r w:rsidR="00BA6AE8">
        <w:t>BHE</w:t>
      </w:r>
      <w:r w:rsidR="00CD58F4" w:rsidRPr="00CD58F4">
        <w:t xml:space="preserve"> (</w:t>
      </w:r>
      <w:r w:rsidR="00CD58F4" w:rsidRPr="00CD58F4">
        <w:rPr>
          <w:lang w:val="de-DE"/>
        </w:rPr>
        <w:t>Δ</w:t>
      </w:r>
      <w:r w:rsidR="00CD58F4" w:rsidRPr="00CD58F4">
        <w:t xml:space="preserve">T </w:t>
      </w:r>
      <w:r w:rsidR="00204DF8">
        <w:sym w:font="Symbol" w:char="F0B3"/>
      </w:r>
      <w:r w:rsidR="00CD58F4" w:rsidRPr="00CD58F4">
        <w:t xml:space="preserve"> 5 K), the </w:t>
      </w:r>
      <w:r w:rsidR="00EB7FEC">
        <w:t xml:space="preserve">façade </w:t>
      </w:r>
      <w:r w:rsidR="00CD58F4" w:rsidRPr="00CD58F4">
        <w:t xml:space="preserve">can also serve as the sole heat source. When the facade temperature is higher than the temperature of the </w:t>
      </w:r>
      <w:r w:rsidR="00BA6AE8">
        <w:t>BHE</w:t>
      </w:r>
      <w:r w:rsidR="00CD58F4" w:rsidRPr="00CD58F4">
        <w:t xml:space="preserve">, and there is no heat demand in the buffer tank, the ground can be actively recharged by the solar </w:t>
      </w:r>
      <w:r w:rsidR="00EB7FEC">
        <w:t>façade</w:t>
      </w:r>
      <w:r w:rsidR="00CD58F4" w:rsidRPr="00CD58F4">
        <w:t xml:space="preserve">. In its standard configuration, the </w:t>
      </w:r>
      <w:r w:rsidR="007B24C2">
        <w:t>field</w:t>
      </w:r>
      <w:r w:rsidR="00CD58F4" w:rsidRPr="00CD58F4">
        <w:t xml:space="preserve"> consists of 4 </w:t>
      </w:r>
      <w:r w:rsidR="007B24C2">
        <w:t>boreholes</w:t>
      </w:r>
      <w:r w:rsidR="00CD58F4" w:rsidRPr="00CD58F4">
        <w:t xml:space="preserve"> arranged in a line, each at a depth of </w:t>
      </w:r>
      <w:r w:rsidR="007B24C2">
        <w:t>95</w:t>
      </w:r>
      <w:r w:rsidR="00CD58F4" w:rsidRPr="00CD58F4">
        <w:t xml:space="preserve"> m and spaced 6 m apart. The array geometry was determined in accordance with </w:t>
      </w:r>
      <w:r w:rsidR="007B24C2">
        <w:t xml:space="preserve">the </w:t>
      </w:r>
      <w:r w:rsidR="00CD58F4" w:rsidRPr="00CD58F4">
        <w:t xml:space="preserve">German Guideline VDI 4640 </w:t>
      </w:r>
      <w:r w:rsidR="00CD58F4" w:rsidRPr="00CD58F4">
        <w:lastRenderedPageBreak/>
        <w:t xml:space="preserve">for systems with a heating </w:t>
      </w:r>
      <w:r w:rsidR="007B24C2">
        <w:t>power</w:t>
      </w:r>
      <w:r w:rsidR="00CD58F4" w:rsidRPr="00CD58F4">
        <w:t xml:space="preserve"> of less than 30 kW </w:t>
      </w:r>
      <w:r w:rsidR="00955EB3">
        <w:t>(VDI, 2019)</w:t>
      </w:r>
      <w:r w:rsidR="00CD58F4" w:rsidRPr="00CD58F4">
        <w:t xml:space="preserve">. The </w:t>
      </w:r>
      <w:r w:rsidR="00BA6AE8">
        <w:t>BHE</w:t>
      </w:r>
      <w:r w:rsidR="00CD58F4" w:rsidRPr="00CD58F4">
        <w:t xml:space="preserve"> length is </w:t>
      </w:r>
      <w:r w:rsidR="00EB7FEC">
        <w:t>defined considering</w:t>
      </w:r>
      <w:r w:rsidR="00CD58F4" w:rsidRPr="00CD58F4">
        <w:t xml:space="preserve"> the German Federal Mining Act, which requires additional permitting procedures for drillings exceeding 100 m </w:t>
      </w:r>
      <w:r w:rsidR="00955EB3" w:rsidRPr="00955EB3">
        <w:t>(Bundestag, 1980)</w:t>
      </w:r>
      <w:r w:rsidR="00CD58F4" w:rsidRPr="00955EB3">
        <w:t>.</w:t>
      </w:r>
      <w:r w:rsidR="00CD58F4" w:rsidRPr="00CD58F4">
        <w:t xml:space="preserve"> </w:t>
      </w:r>
      <w:r w:rsidR="007B24C2" w:rsidRPr="007B24C2">
        <w:t xml:space="preserve">The criterion for designing the </w:t>
      </w:r>
      <w:r w:rsidR="007B24C2">
        <w:t>BHE</w:t>
      </w:r>
      <w:r w:rsidR="007B24C2" w:rsidRPr="007B24C2">
        <w:t xml:space="preserve"> field</w:t>
      </w:r>
      <w:r w:rsidR="007B24C2">
        <w:t xml:space="preserve"> </w:t>
      </w:r>
      <w:r w:rsidR="007B24C2" w:rsidRPr="007B24C2">
        <w:t>is to maintain a monthly average inlet temperature of 0 °C in the field over 50 years of plant operation.</w:t>
      </w:r>
      <w:r w:rsidR="007B24C2">
        <w:t xml:space="preserve"> </w:t>
      </w:r>
      <w:r w:rsidR="00CD58F4" w:rsidRPr="00CD58F4">
        <w:t xml:space="preserve">The simulations are performed using this reference system as an example, with the understanding that regeneration effects become more significant </w:t>
      </w:r>
      <w:r w:rsidR="00EB7FEC" w:rsidRPr="00CD58F4">
        <w:t xml:space="preserve">and the savings in </w:t>
      </w:r>
      <w:r w:rsidR="00EB7FEC">
        <w:t>BHE</w:t>
      </w:r>
      <w:r w:rsidR="00EB7FEC" w:rsidRPr="00CD58F4">
        <w:t xml:space="preserve"> length are </w:t>
      </w:r>
      <w:r w:rsidR="0066150A">
        <w:t>higher</w:t>
      </w:r>
      <w:r w:rsidR="00EB7FEC" w:rsidRPr="00CD58F4">
        <w:t xml:space="preserve"> </w:t>
      </w:r>
      <w:r w:rsidR="00CD58F4" w:rsidRPr="00CD58F4">
        <w:t>as the field size increases.</w:t>
      </w:r>
    </w:p>
    <w:p w14:paraId="16F10FD5" w14:textId="4584163B" w:rsidR="004C155C" w:rsidRPr="00F06B89" w:rsidRDefault="00CD58F4" w:rsidP="00CD58F4">
      <w:pPr>
        <w:pStyle w:val="SWCText"/>
      </w:pPr>
      <w:r w:rsidRPr="00CD58F4">
        <w:t xml:space="preserve">Based on performance data measured at the ISFH for a large-scale metal </w:t>
      </w:r>
      <w:r w:rsidR="0066150A">
        <w:t>façade</w:t>
      </w:r>
      <w:r w:rsidRPr="00955EB3">
        <w:t xml:space="preserve"> </w:t>
      </w:r>
      <w:r w:rsidR="00955EB3" w:rsidRPr="00955EB3">
        <w:t>(Frick, 2022</w:t>
      </w:r>
      <w:r w:rsidR="00D44F76">
        <w:t>; Frick, 2025</w:t>
      </w:r>
      <w:r w:rsidR="00955EB3" w:rsidRPr="00955EB3">
        <w:t>)</w:t>
      </w:r>
      <w:r w:rsidRPr="00955EB3">
        <w:t xml:space="preserve">, the </w:t>
      </w:r>
      <w:r w:rsidR="00B65AE5">
        <w:t>reduction</w:t>
      </w:r>
      <w:r w:rsidR="00B65AE5" w:rsidRPr="00CD58F4">
        <w:t xml:space="preserve"> </w:t>
      </w:r>
      <w:r w:rsidR="0066150A">
        <w:t xml:space="preserve">of </w:t>
      </w:r>
      <w:r w:rsidR="007B24C2">
        <w:t>BHE</w:t>
      </w:r>
      <w:r w:rsidRPr="00CD58F4">
        <w:t xml:space="preserve"> </w:t>
      </w:r>
      <w:r w:rsidR="00B65AE5">
        <w:t>length</w:t>
      </w:r>
      <w:r w:rsidRPr="00CD58F4">
        <w:t xml:space="preserve"> w</w:t>
      </w:r>
      <w:r w:rsidR="00B65AE5">
        <w:t>as</w:t>
      </w:r>
      <w:r w:rsidRPr="00CD58F4">
        <w:t xml:space="preserve"> determined as a function of the </w:t>
      </w:r>
      <w:r w:rsidR="0066150A">
        <w:t>façade</w:t>
      </w:r>
      <w:r w:rsidRPr="00CD58F4">
        <w:t xml:space="preserve"> area, orientation, and color. To contextualize the results, the thermal performance of the </w:t>
      </w:r>
      <w:r w:rsidR="0066150A">
        <w:t>façade</w:t>
      </w:r>
      <w:r w:rsidRPr="00CD58F4">
        <w:t xml:space="preserve"> is compared to that of a commercially available, roof-mounted, uncovered collector (south-facing, 45° tilt), which can be used for the solar regeneration of ground-source</w:t>
      </w:r>
      <w:r>
        <w:t xml:space="preserve">s </w:t>
      </w:r>
      <w:r w:rsidRPr="00CD58F4">
        <w:t xml:space="preserve">or ice storage systems. The area was varied up to 200 m² to analyze the trends in the curves, with the maximum available opaque areas of the reference building being 145 m² for the south and north facades and 131 m² for the east and west facades. </w:t>
      </w:r>
      <w:r w:rsidRPr="00F06B89">
        <w:t xml:space="preserve">The flat roof has an area of 183 m². </w:t>
      </w:r>
      <w:r w:rsidR="003829E7" w:rsidRPr="003829E7">
        <w:t xml:space="preserve">The corresponding performance </w:t>
      </w:r>
      <w:r w:rsidR="003829E7" w:rsidRPr="00955EB3">
        <w:t xml:space="preserve">coefficients according to ISO 9806 </w:t>
      </w:r>
      <w:r w:rsidR="00955EB3">
        <w:t xml:space="preserve">(ISO 9806, 2018) </w:t>
      </w:r>
      <w:r w:rsidR="003829E7" w:rsidRPr="00955EB3">
        <w:t xml:space="preserve">are shown in Table 1. The collector characteristics are also derived from ISFH measurements </w:t>
      </w:r>
      <w:r w:rsidR="00955EB3" w:rsidRPr="00955EB3">
        <w:t>(Rockendorf, 2001)</w:t>
      </w:r>
      <w:r w:rsidR="003829E7" w:rsidRPr="00955EB3">
        <w:t>.</w:t>
      </w:r>
    </w:p>
    <w:p w14:paraId="73D4168B" w14:textId="26A7DB65" w:rsidR="003829E7" w:rsidRDefault="003829E7" w:rsidP="003829E7">
      <w:pPr>
        <w:pStyle w:val="SWCTableFigureCaption"/>
      </w:pPr>
      <w:r>
        <w:t xml:space="preserve">Tab. </w:t>
      </w:r>
      <w:r w:rsidRPr="006309AA">
        <w:t>1</w:t>
      </w:r>
      <w:r>
        <w:t>:</w:t>
      </w:r>
      <w:r w:rsidRPr="006309AA">
        <w:t xml:space="preserve"> </w:t>
      </w:r>
      <w:r w:rsidRPr="003829E7">
        <w:t xml:space="preserve">Performance coefficients according to ISO 9806 for </w:t>
      </w:r>
      <w:r w:rsidR="0066150A">
        <w:t>façade</w:t>
      </w:r>
      <w:r w:rsidRPr="003829E7">
        <w:t xml:space="preserve"> module and roof absorber (swimming pool absorber) </w:t>
      </w:r>
      <w:r>
        <w:br/>
      </w:r>
      <w:r w:rsidRPr="003829E7">
        <w:t>used in the simulation study</w:t>
      </w:r>
    </w:p>
    <w:tbl>
      <w:tblPr>
        <w:tblW w:w="377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left w:w="28" w:type="dxa"/>
          <w:bottom w:w="28" w:type="dxa"/>
          <w:right w:w="28" w:type="dxa"/>
        </w:tblCellMar>
        <w:tblLook w:val="0000" w:firstRow="0" w:lastRow="0" w:firstColumn="0" w:lastColumn="0" w:noHBand="0" w:noVBand="0"/>
      </w:tblPr>
      <w:tblGrid>
        <w:gridCol w:w="1221"/>
        <w:gridCol w:w="1180"/>
        <w:gridCol w:w="2218"/>
        <w:gridCol w:w="2218"/>
      </w:tblGrid>
      <w:tr w:rsidR="003829E7" w:rsidRPr="00A6557D" w14:paraId="50673FA4" w14:textId="77777777" w:rsidTr="003829E7">
        <w:trPr>
          <w:trHeight w:val="397"/>
          <w:jc w:val="center"/>
        </w:trPr>
        <w:tc>
          <w:tcPr>
            <w:tcW w:w="1221" w:type="dxa"/>
            <w:vAlign w:val="center"/>
          </w:tcPr>
          <w:p w14:paraId="0245C6BE" w14:textId="77777777" w:rsidR="003829E7" w:rsidRPr="00A6557D" w:rsidRDefault="003829E7" w:rsidP="003829E7">
            <w:pPr>
              <w:pStyle w:val="SWCTableHeader"/>
            </w:pPr>
            <w:r w:rsidRPr="00A6557D">
              <w:t>P</w:t>
            </w:r>
            <w:r w:rsidRPr="00A6557D">
              <w:rPr>
                <w:spacing w:val="1"/>
              </w:rPr>
              <w:t>a</w:t>
            </w:r>
            <w:r w:rsidRPr="00A6557D">
              <w:t>ra</w:t>
            </w:r>
            <w:r w:rsidRPr="00A6557D">
              <w:rPr>
                <w:spacing w:val="1"/>
              </w:rPr>
              <w:t>me</w:t>
            </w:r>
            <w:r w:rsidRPr="00A6557D">
              <w:t>t</w:t>
            </w:r>
            <w:r w:rsidRPr="00A6557D">
              <w:rPr>
                <w:spacing w:val="1"/>
              </w:rPr>
              <w:t>e</w:t>
            </w:r>
            <w:r w:rsidRPr="00A6557D">
              <w:t>r</w:t>
            </w:r>
          </w:p>
        </w:tc>
        <w:tc>
          <w:tcPr>
            <w:tcW w:w="1180" w:type="dxa"/>
            <w:vAlign w:val="center"/>
          </w:tcPr>
          <w:p w14:paraId="49E60B70" w14:textId="58993F4B" w:rsidR="003829E7" w:rsidRPr="00A6557D" w:rsidRDefault="003829E7" w:rsidP="003829E7">
            <w:pPr>
              <w:pStyle w:val="SWCTableHeader"/>
            </w:pPr>
            <w:r>
              <w:t>Unit</w:t>
            </w:r>
          </w:p>
        </w:tc>
        <w:tc>
          <w:tcPr>
            <w:tcW w:w="2218" w:type="dxa"/>
            <w:vAlign w:val="center"/>
          </w:tcPr>
          <w:p w14:paraId="1951AC2C" w14:textId="29AA3ABE" w:rsidR="003829E7" w:rsidRPr="00A6557D" w:rsidRDefault="003829E7" w:rsidP="003829E7">
            <w:pPr>
              <w:pStyle w:val="SWCTableHeader"/>
            </w:pPr>
            <w:r>
              <w:t xml:space="preserve">Metal façade </w:t>
            </w:r>
          </w:p>
        </w:tc>
        <w:tc>
          <w:tcPr>
            <w:tcW w:w="2218" w:type="dxa"/>
            <w:vAlign w:val="center"/>
          </w:tcPr>
          <w:p w14:paraId="6D46CE5A" w14:textId="0B8F0CA5" w:rsidR="003829E7" w:rsidRPr="00A6557D" w:rsidRDefault="003829E7" w:rsidP="003829E7">
            <w:pPr>
              <w:pStyle w:val="SWCTableHeader"/>
            </w:pPr>
            <w:r>
              <w:t>Rooftop collector</w:t>
            </w:r>
          </w:p>
        </w:tc>
      </w:tr>
      <w:tr w:rsidR="003829E7" w:rsidRPr="00A6557D" w14:paraId="4AD11FB7" w14:textId="77777777" w:rsidTr="003829E7">
        <w:trPr>
          <w:jc w:val="center"/>
        </w:trPr>
        <w:tc>
          <w:tcPr>
            <w:tcW w:w="1221" w:type="dxa"/>
            <w:vAlign w:val="center"/>
          </w:tcPr>
          <w:p w14:paraId="2401549D" w14:textId="77777777" w:rsidR="003829E7" w:rsidRPr="00A6557D" w:rsidRDefault="003829E7" w:rsidP="003829E7">
            <w:pPr>
              <w:pStyle w:val="SWCTableText"/>
            </w:pPr>
            <w:r w:rsidRPr="0000148D">
              <w:t>η</w:t>
            </w:r>
            <w:r w:rsidRPr="00D61B92">
              <w:rPr>
                <w:vertAlign w:val="subscript"/>
              </w:rPr>
              <w:t>0b</w:t>
            </w:r>
          </w:p>
        </w:tc>
        <w:tc>
          <w:tcPr>
            <w:tcW w:w="1180" w:type="dxa"/>
            <w:vAlign w:val="center"/>
          </w:tcPr>
          <w:p w14:paraId="6217E34D" w14:textId="77777777" w:rsidR="003829E7" w:rsidRPr="00A6557D" w:rsidRDefault="003829E7" w:rsidP="003829E7">
            <w:pPr>
              <w:pStyle w:val="SWCTableText"/>
            </w:pPr>
            <w:r w:rsidRPr="00A6557D">
              <w:t>-</w:t>
            </w:r>
          </w:p>
        </w:tc>
        <w:tc>
          <w:tcPr>
            <w:tcW w:w="2218" w:type="dxa"/>
            <w:vAlign w:val="center"/>
          </w:tcPr>
          <w:p w14:paraId="4977D9C3" w14:textId="1FDA59BF" w:rsidR="003829E7" w:rsidRPr="00A6557D" w:rsidRDefault="003829E7" w:rsidP="003829E7">
            <w:pPr>
              <w:pStyle w:val="SWCTableText"/>
            </w:pPr>
            <w:r w:rsidRPr="00A6557D">
              <w:t>0</w:t>
            </w:r>
            <w:r>
              <w:t>.5</w:t>
            </w:r>
            <w:r w:rsidRPr="00A6557D">
              <w:t>9</w:t>
            </w:r>
            <w:r>
              <w:t>0</w:t>
            </w:r>
          </w:p>
        </w:tc>
        <w:tc>
          <w:tcPr>
            <w:tcW w:w="2218" w:type="dxa"/>
          </w:tcPr>
          <w:p w14:paraId="15E9F10C" w14:textId="63717827" w:rsidR="003829E7" w:rsidRPr="00A6557D" w:rsidRDefault="003829E7" w:rsidP="003829E7">
            <w:pPr>
              <w:pStyle w:val="SWCTableText"/>
            </w:pPr>
            <w:r w:rsidRPr="00A6557D">
              <w:t>0</w:t>
            </w:r>
            <w:r>
              <w:t>.</w:t>
            </w:r>
            <w:r w:rsidRPr="00A6557D">
              <w:t>892</w:t>
            </w:r>
          </w:p>
        </w:tc>
      </w:tr>
      <w:tr w:rsidR="003829E7" w:rsidRPr="00A6557D" w14:paraId="7A6FDB9E" w14:textId="77777777" w:rsidTr="003829E7">
        <w:trPr>
          <w:jc w:val="center"/>
        </w:trPr>
        <w:tc>
          <w:tcPr>
            <w:tcW w:w="1221" w:type="dxa"/>
            <w:vAlign w:val="center"/>
          </w:tcPr>
          <w:p w14:paraId="53BA9ED3" w14:textId="77777777" w:rsidR="003829E7" w:rsidRPr="00A6557D" w:rsidRDefault="003829E7" w:rsidP="003829E7">
            <w:pPr>
              <w:pStyle w:val="SWCTableText"/>
            </w:pPr>
            <w:r w:rsidRPr="00A6557D">
              <w:t>b</w:t>
            </w:r>
            <w:r w:rsidRPr="00D61B92">
              <w:rPr>
                <w:vertAlign w:val="subscript"/>
              </w:rPr>
              <w:t>0</w:t>
            </w:r>
          </w:p>
        </w:tc>
        <w:tc>
          <w:tcPr>
            <w:tcW w:w="1180" w:type="dxa"/>
            <w:vAlign w:val="center"/>
          </w:tcPr>
          <w:p w14:paraId="396BDB58" w14:textId="77777777" w:rsidR="003829E7" w:rsidRPr="00A6557D" w:rsidRDefault="003829E7" w:rsidP="003829E7">
            <w:pPr>
              <w:pStyle w:val="SWCTableText"/>
            </w:pPr>
            <w:r w:rsidRPr="00A6557D">
              <w:t>-</w:t>
            </w:r>
          </w:p>
        </w:tc>
        <w:tc>
          <w:tcPr>
            <w:tcW w:w="2218" w:type="dxa"/>
            <w:vAlign w:val="center"/>
          </w:tcPr>
          <w:p w14:paraId="79CA9EE0" w14:textId="3B1F5CD3" w:rsidR="003829E7" w:rsidRPr="00A6557D" w:rsidRDefault="003829E7" w:rsidP="003829E7">
            <w:pPr>
              <w:pStyle w:val="SWCTableText"/>
            </w:pPr>
            <w:r w:rsidRPr="00A6557D">
              <w:t>0</w:t>
            </w:r>
            <w:r>
              <w:t>.</w:t>
            </w:r>
            <w:r w:rsidRPr="00A6557D">
              <w:t>055</w:t>
            </w:r>
          </w:p>
        </w:tc>
        <w:tc>
          <w:tcPr>
            <w:tcW w:w="2218" w:type="dxa"/>
          </w:tcPr>
          <w:p w14:paraId="6D3DE465" w14:textId="050D3A9F" w:rsidR="003829E7" w:rsidRPr="00A6557D" w:rsidRDefault="003829E7" w:rsidP="003829E7">
            <w:pPr>
              <w:pStyle w:val="SWCTableText"/>
            </w:pPr>
            <w:r w:rsidRPr="00A6557D">
              <w:t>0</w:t>
            </w:r>
            <w:r>
              <w:t>.</w:t>
            </w:r>
            <w:r w:rsidRPr="00A6557D">
              <w:t>055</w:t>
            </w:r>
          </w:p>
        </w:tc>
      </w:tr>
      <w:tr w:rsidR="003829E7" w:rsidRPr="00A6557D" w14:paraId="7D7FCFA3" w14:textId="77777777" w:rsidTr="003829E7">
        <w:trPr>
          <w:jc w:val="center"/>
        </w:trPr>
        <w:tc>
          <w:tcPr>
            <w:tcW w:w="1221" w:type="dxa"/>
            <w:vAlign w:val="center"/>
          </w:tcPr>
          <w:p w14:paraId="30493004" w14:textId="77777777" w:rsidR="003829E7" w:rsidRPr="00A6557D" w:rsidRDefault="003829E7" w:rsidP="003829E7">
            <w:pPr>
              <w:pStyle w:val="SWCTableText"/>
            </w:pPr>
            <w:proofErr w:type="spellStart"/>
            <w:r w:rsidRPr="00A6557D">
              <w:t>K</w:t>
            </w:r>
            <w:r w:rsidRPr="00D61B92">
              <w:rPr>
                <w:vertAlign w:val="subscript"/>
              </w:rPr>
              <w:t>d</w:t>
            </w:r>
            <w:proofErr w:type="spellEnd"/>
          </w:p>
        </w:tc>
        <w:tc>
          <w:tcPr>
            <w:tcW w:w="1180" w:type="dxa"/>
            <w:vAlign w:val="center"/>
          </w:tcPr>
          <w:p w14:paraId="02C3C76C" w14:textId="77777777" w:rsidR="003829E7" w:rsidRPr="00A6557D" w:rsidRDefault="003829E7" w:rsidP="003829E7">
            <w:pPr>
              <w:pStyle w:val="SWCTableText"/>
            </w:pPr>
            <w:r w:rsidRPr="00A6557D">
              <w:t>-</w:t>
            </w:r>
          </w:p>
        </w:tc>
        <w:tc>
          <w:tcPr>
            <w:tcW w:w="2218" w:type="dxa"/>
            <w:vAlign w:val="center"/>
          </w:tcPr>
          <w:p w14:paraId="2BC63607" w14:textId="4A662A29" w:rsidR="003829E7" w:rsidRPr="00A6557D" w:rsidRDefault="003829E7" w:rsidP="003829E7">
            <w:pPr>
              <w:pStyle w:val="SWCTableText"/>
            </w:pPr>
            <w:r w:rsidRPr="00A6557D">
              <w:t>0</w:t>
            </w:r>
            <w:r>
              <w:t>.</w:t>
            </w:r>
            <w:r w:rsidRPr="00A6557D">
              <w:t>98</w:t>
            </w:r>
          </w:p>
        </w:tc>
        <w:tc>
          <w:tcPr>
            <w:tcW w:w="2218" w:type="dxa"/>
          </w:tcPr>
          <w:p w14:paraId="6E13826F" w14:textId="5D7A02D2" w:rsidR="003829E7" w:rsidRPr="00A6557D" w:rsidRDefault="003829E7" w:rsidP="003829E7">
            <w:pPr>
              <w:pStyle w:val="SWCTableText"/>
            </w:pPr>
            <w:r w:rsidRPr="00A6557D">
              <w:t>1</w:t>
            </w:r>
            <w:r>
              <w:t>.</w:t>
            </w:r>
            <w:r w:rsidRPr="00A6557D">
              <w:t>00</w:t>
            </w:r>
          </w:p>
        </w:tc>
      </w:tr>
      <w:tr w:rsidR="003829E7" w:rsidRPr="00A6557D" w14:paraId="02A875BA" w14:textId="77777777" w:rsidTr="003829E7">
        <w:trPr>
          <w:jc w:val="center"/>
        </w:trPr>
        <w:tc>
          <w:tcPr>
            <w:tcW w:w="1221" w:type="dxa"/>
            <w:vAlign w:val="center"/>
          </w:tcPr>
          <w:p w14:paraId="2B4D8F09" w14:textId="77777777" w:rsidR="003829E7" w:rsidRPr="00A6557D" w:rsidRDefault="003829E7" w:rsidP="003829E7">
            <w:pPr>
              <w:pStyle w:val="SWCTableText"/>
            </w:pPr>
            <w:r w:rsidRPr="00A6557D">
              <w:rPr>
                <w:spacing w:val="1"/>
              </w:rPr>
              <w:t>a</w:t>
            </w:r>
            <w:r w:rsidRPr="00D61B92">
              <w:rPr>
                <w:vertAlign w:val="subscript"/>
              </w:rPr>
              <w:t>1</w:t>
            </w:r>
          </w:p>
        </w:tc>
        <w:tc>
          <w:tcPr>
            <w:tcW w:w="1180" w:type="dxa"/>
            <w:vAlign w:val="center"/>
          </w:tcPr>
          <w:p w14:paraId="5975189F" w14:textId="77777777" w:rsidR="003829E7" w:rsidRPr="00A6557D" w:rsidRDefault="003829E7" w:rsidP="003829E7">
            <w:pPr>
              <w:pStyle w:val="SWCTableText"/>
            </w:pPr>
            <w:r w:rsidRPr="00A6557D">
              <w:rPr>
                <w:spacing w:val="8"/>
              </w:rPr>
              <w:t>W</w:t>
            </w:r>
            <w:r w:rsidRPr="00A6557D">
              <w:t>/</w:t>
            </w:r>
            <w:r w:rsidRPr="00A6557D">
              <w:rPr>
                <w:spacing w:val="-1"/>
              </w:rPr>
              <w:t>m</w:t>
            </w:r>
            <w:r w:rsidRPr="00A6557D">
              <w:t>²K</w:t>
            </w:r>
          </w:p>
        </w:tc>
        <w:tc>
          <w:tcPr>
            <w:tcW w:w="2218" w:type="dxa"/>
            <w:vAlign w:val="center"/>
          </w:tcPr>
          <w:p w14:paraId="7C3E691E" w14:textId="4F792B38" w:rsidR="003829E7" w:rsidRPr="00A6557D" w:rsidRDefault="003829E7" w:rsidP="003829E7">
            <w:pPr>
              <w:pStyle w:val="SWCTableText"/>
            </w:pPr>
            <w:r w:rsidRPr="00A6557D">
              <w:t>1</w:t>
            </w:r>
            <w:r w:rsidR="00B65AE5">
              <w:t>0</w:t>
            </w:r>
            <w:r>
              <w:t>.</w:t>
            </w:r>
            <w:r w:rsidR="00B65AE5">
              <w:t>96</w:t>
            </w:r>
          </w:p>
        </w:tc>
        <w:tc>
          <w:tcPr>
            <w:tcW w:w="2218" w:type="dxa"/>
          </w:tcPr>
          <w:p w14:paraId="0153B08B" w14:textId="73A1291D" w:rsidR="003829E7" w:rsidRPr="00A6557D" w:rsidRDefault="003829E7" w:rsidP="003829E7">
            <w:pPr>
              <w:pStyle w:val="SWCTableText"/>
            </w:pPr>
            <w:r w:rsidRPr="00A6557D">
              <w:t>13</w:t>
            </w:r>
            <w:r>
              <w:t>.</w:t>
            </w:r>
            <w:r w:rsidRPr="00A6557D">
              <w:t>92</w:t>
            </w:r>
          </w:p>
        </w:tc>
      </w:tr>
      <w:tr w:rsidR="003829E7" w:rsidRPr="00A6557D" w14:paraId="4F8295F5" w14:textId="77777777" w:rsidTr="003829E7">
        <w:trPr>
          <w:jc w:val="center"/>
        </w:trPr>
        <w:tc>
          <w:tcPr>
            <w:tcW w:w="1221" w:type="dxa"/>
            <w:vAlign w:val="center"/>
          </w:tcPr>
          <w:p w14:paraId="13B92103" w14:textId="77777777" w:rsidR="003829E7" w:rsidRPr="00A6557D" w:rsidRDefault="003829E7" w:rsidP="003829E7">
            <w:pPr>
              <w:pStyle w:val="SWCTableText"/>
            </w:pPr>
            <w:r w:rsidRPr="00A6557D">
              <w:rPr>
                <w:spacing w:val="1"/>
              </w:rPr>
              <w:t>a</w:t>
            </w:r>
            <w:r w:rsidRPr="00D61B92">
              <w:rPr>
                <w:vertAlign w:val="subscript"/>
              </w:rPr>
              <w:t>2</w:t>
            </w:r>
          </w:p>
        </w:tc>
        <w:tc>
          <w:tcPr>
            <w:tcW w:w="1180" w:type="dxa"/>
            <w:vAlign w:val="center"/>
          </w:tcPr>
          <w:p w14:paraId="40343728" w14:textId="77777777" w:rsidR="003829E7" w:rsidRPr="00A6557D" w:rsidRDefault="003829E7" w:rsidP="003829E7">
            <w:pPr>
              <w:pStyle w:val="SWCTableText"/>
            </w:pPr>
            <w:r w:rsidRPr="00A6557D">
              <w:rPr>
                <w:spacing w:val="8"/>
              </w:rPr>
              <w:t>W</w:t>
            </w:r>
            <w:r w:rsidRPr="00A6557D">
              <w:t>/</w:t>
            </w:r>
            <w:r w:rsidRPr="00A6557D">
              <w:rPr>
                <w:spacing w:val="-1"/>
              </w:rPr>
              <w:t>m</w:t>
            </w:r>
            <w:r w:rsidRPr="00A6557D">
              <w:t>²K²</w:t>
            </w:r>
          </w:p>
        </w:tc>
        <w:tc>
          <w:tcPr>
            <w:tcW w:w="2218" w:type="dxa"/>
            <w:vAlign w:val="center"/>
          </w:tcPr>
          <w:p w14:paraId="2E34DA87" w14:textId="2E1488C5" w:rsidR="003829E7" w:rsidRPr="00A6557D" w:rsidRDefault="003829E7" w:rsidP="003829E7">
            <w:pPr>
              <w:pStyle w:val="SWCTableText"/>
            </w:pPr>
            <w:r w:rsidRPr="00A6557D">
              <w:t>0</w:t>
            </w:r>
            <w:r>
              <w:t>.00</w:t>
            </w:r>
          </w:p>
        </w:tc>
        <w:tc>
          <w:tcPr>
            <w:tcW w:w="2218" w:type="dxa"/>
          </w:tcPr>
          <w:p w14:paraId="3CB038DF" w14:textId="52277AAF" w:rsidR="003829E7" w:rsidRPr="00A6557D" w:rsidRDefault="003829E7" w:rsidP="003829E7">
            <w:pPr>
              <w:pStyle w:val="SWCTableText"/>
            </w:pPr>
            <w:r w:rsidRPr="00A6557D">
              <w:t>0</w:t>
            </w:r>
            <w:r>
              <w:t>.00</w:t>
            </w:r>
          </w:p>
        </w:tc>
      </w:tr>
      <w:tr w:rsidR="003829E7" w:rsidRPr="00A6557D" w14:paraId="55E3376E" w14:textId="77777777" w:rsidTr="003829E7">
        <w:trPr>
          <w:jc w:val="center"/>
        </w:trPr>
        <w:tc>
          <w:tcPr>
            <w:tcW w:w="1221" w:type="dxa"/>
            <w:vAlign w:val="center"/>
          </w:tcPr>
          <w:p w14:paraId="5FBFB4C3" w14:textId="77777777" w:rsidR="003829E7" w:rsidRPr="00A6557D" w:rsidRDefault="003829E7" w:rsidP="003829E7">
            <w:pPr>
              <w:pStyle w:val="SWCTableText"/>
            </w:pPr>
            <w:r w:rsidRPr="00A6557D">
              <w:t>a</w:t>
            </w:r>
            <w:r w:rsidRPr="00D61B92">
              <w:rPr>
                <w:vertAlign w:val="subscript"/>
              </w:rPr>
              <w:t>3</w:t>
            </w:r>
          </w:p>
        </w:tc>
        <w:tc>
          <w:tcPr>
            <w:tcW w:w="1180" w:type="dxa"/>
            <w:vAlign w:val="center"/>
          </w:tcPr>
          <w:p w14:paraId="58869819" w14:textId="77777777" w:rsidR="003829E7" w:rsidRPr="00A6557D" w:rsidRDefault="003829E7" w:rsidP="003829E7">
            <w:pPr>
              <w:pStyle w:val="SWCTableText"/>
              <w:rPr>
                <w:spacing w:val="8"/>
              </w:rPr>
            </w:pPr>
            <w:r w:rsidRPr="00A6557D">
              <w:rPr>
                <w:spacing w:val="1"/>
              </w:rPr>
              <w:t>J</w:t>
            </w:r>
            <w:r w:rsidRPr="00A6557D">
              <w:t>/</w:t>
            </w:r>
            <w:r w:rsidRPr="00A6557D">
              <w:rPr>
                <w:spacing w:val="1"/>
              </w:rPr>
              <w:t>m</w:t>
            </w:r>
            <w:r w:rsidRPr="00A6557D">
              <w:t>²K</w:t>
            </w:r>
          </w:p>
        </w:tc>
        <w:tc>
          <w:tcPr>
            <w:tcW w:w="2218" w:type="dxa"/>
            <w:vAlign w:val="center"/>
          </w:tcPr>
          <w:p w14:paraId="3E85C934" w14:textId="0F617224" w:rsidR="003829E7" w:rsidRPr="00A6557D" w:rsidRDefault="003829E7" w:rsidP="003829E7">
            <w:pPr>
              <w:pStyle w:val="SWCTableText"/>
            </w:pPr>
            <w:r w:rsidRPr="00A6557D">
              <w:t>1</w:t>
            </w:r>
            <w:r>
              <w:t>.</w:t>
            </w:r>
            <w:r w:rsidRPr="00A6557D">
              <w:t>22</w:t>
            </w:r>
          </w:p>
        </w:tc>
        <w:tc>
          <w:tcPr>
            <w:tcW w:w="2218" w:type="dxa"/>
          </w:tcPr>
          <w:p w14:paraId="2D84ACBA" w14:textId="371CCAA7" w:rsidR="003829E7" w:rsidRPr="00A6557D" w:rsidRDefault="003829E7" w:rsidP="003829E7">
            <w:pPr>
              <w:pStyle w:val="SWCTableText"/>
            </w:pPr>
            <w:r w:rsidRPr="00A6557D">
              <w:t>3</w:t>
            </w:r>
            <w:r>
              <w:t>.</w:t>
            </w:r>
            <w:r w:rsidRPr="00A6557D">
              <w:t>64</w:t>
            </w:r>
          </w:p>
        </w:tc>
      </w:tr>
      <w:tr w:rsidR="003829E7" w:rsidRPr="00A6557D" w14:paraId="551491AF" w14:textId="77777777" w:rsidTr="003829E7">
        <w:trPr>
          <w:jc w:val="center"/>
        </w:trPr>
        <w:tc>
          <w:tcPr>
            <w:tcW w:w="1221" w:type="dxa"/>
            <w:vAlign w:val="center"/>
          </w:tcPr>
          <w:p w14:paraId="08D26B54" w14:textId="77777777" w:rsidR="003829E7" w:rsidRPr="00A6557D" w:rsidRDefault="003829E7" w:rsidP="003829E7">
            <w:pPr>
              <w:pStyle w:val="SWCTableText"/>
            </w:pPr>
            <w:r w:rsidRPr="00A6557D">
              <w:t>a</w:t>
            </w:r>
            <w:r w:rsidRPr="00D61B92">
              <w:rPr>
                <w:vertAlign w:val="subscript"/>
              </w:rPr>
              <w:t>4</w:t>
            </w:r>
          </w:p>
        </w:tc>
        <w:tc>
          <w:tcPr>
            <w:tcW w:w="1180" w:type="dxa"/>
            <w:vAlign w:val="center"/>
          </w:tcPr>
          <w:p w14:paraId="0B6C2C5E" w14:textId="77777777" w:rsidR="003829E7" w:rsidRPr="00A6557D" w:rsidRDefault="003829E7" w:rsidP="003829E7">
            <w:pPr>
              <w:pStyle w:val="SWCTableText"/>
            </w:pPr>
            <w:r w:rsidRPr="00A6557D">
              <w:t>-</w:t>
            </w:r>
          </w:p>
        </w:tc>
        <w:tc>
          <w:tcPr>
            <w:tcW w:w="2218" w:type="dxa"/>
            <w:vAlign w:val="center"/>
          </w:tcPr>
          <w:p w14:paraId="4FEEC420" w14:textId="34B49EF4" w:rsidR="003829E7" w:rsidRPr="00A6557D" w:rsidRDefault="003829E7" w:rsidP="003829E7">
            <w:pPr>
              <w:pStyle w:val="SWCTableText"/>
            </w:pPr>
            <w:r w:rsidRPr="00A6557D">
              <w:t>0</w:t>
            </w:r>
            <w:r>
              <w:t>.</w:t>
            </w:r>
            <w:r w:rsidRPr="00A6557D">
              <w:t>212</w:t>
            </w:r>
          </w:p>
        </w:tc>
        <w:tc>
          <w:tcPr>
            <w:tcW w:w="2218" w:type="dxa"/>
          </w:tcPr>
          <w:p w14:paraId="15E6DF63" w14:textId="3C15C1FB" w:rsidR="003829E7" w:rsidRPr="00A6557D" w:rsidRDefault="003829E7" w:rsidP="003829E7">
            <w:pPr>
              <w:pStyle w:val="SWCTableText"/>
            </w:pPr>
            <w:r w:rsidRPr="00A6557D">
              <w:t>0</w:t>
            </w:r>
            <w:r>
              <w:t>.</w:t>
            </w:r>
            <w:r w:rsidRPr="00A6557D">
              <w:t>782</w:t>
            </w:r>
          </w:p>
        </w:tc>
      </w:tr>
      <w:tr w:rsidR="003829E7" w:rsidRPr="00A6557D" w14:paraId="2A4F00D0" w14:textId="77777777" w:rsidTr="003829E7">
        <w:trPr>
          <w:jc w:val="center"/>
        </w:trPr>
        <w:tc>
          <w:tcPr>
            <w:tcW w:w="1221" w:type="dxa"/>
            <w:vAlign w:val="center"/>
          </w:tcPr>
          <w:p w14:paraId="1125D3AC" w14:textId="77777777" w:rsidR="003829E7" w:rsidRPr="00A6557D" w:rsidRDefault="003829E7" w:rsidP="003829E7">
            <w:pPr>
              <w:pStyle w:val="SWCTableText"/>
            </w:pPr>
            <w:r w:rsidRPr="00A6557D">
              <w:rPr>
                <w:spacing w:val="1"/>
              </w:rPr>
              <w:t>a</w:t>
            </w:r>
            <w:r w:rsidRPr="00D61B92">
              <w:rPr>
                <w:vertAlign w:val="subscript"/>
              </w:rPr>
              <w:t>5</w:t>
            </w:r>
          </w:p>
        </w:tc>
        <w:tc>
          <w:tcPr>
            <w:tcW w:w="1180" w:type="dxa"/>
            <w:vAlign w:val="center"/>
          </w:tcPr>
          <w:p w14:paraId="733632F1" w14:textId="77777777" w:rsidR="003829E7" w:rsidRPr="00A6557D" w:rsidRDefault="003829E7" w:rsidP="003829E7">
            <w:pPr>
              <w:pStyle w:val="SWCTableText"/>
            </w:pPr>
            <w:r w:rsidRPr="00A6557D">
              <w:rPr>
                <w:spacing w:val="1"/>
              </w:rPr>
              <w:t>J</w:t>
            </w:r>
            <w:r w:rsidRPr="00A6557D">
              <w:t>/</w:t>
            </w:r>
            <w:r w:rsidRPr="00A6557D">
              <w:rPr>
                <w:spacing w:val="1"/>
              </w:rPr>
              <w:t>m</w:t>
            </w:r>
            <w:r w:rsidRPr="00A6557D">
              <w:t>²K</w:t>
            </w:r>
          </w:p>
        </w:tc>
        <w:tc>
          <w:tcPr>
            <w:tcW w:w="2218" w:type="dxa"/>
            <w:vAlign w:val="center"/>
          </w:tcPr>
          <w:p w14:paraId="014D3001" w14:textId="77777777" w:rsidR="003829E7" w:rsidRPr="00A6557D" w:rsidRDefault="003829E7" w:rsidP="003829E7">
            <w:pPr>
              <w:pStyle w:val="SWCTableText"/>
            </w:pPr>
            <w:r w:rsidRPr="00A6557D">
              <w:t>22755</w:t>
            </w:r>
          </w:p>
        </w:tc>
        <w:tc>
          <w:tcPr>
            <w:tcW w:w="2218" w:type="dxa"/>
          </w:tcPr>
          <w:p w14:paraId="093751EF" w14:textId="77777777" w:rsidR="003829E7" w:rsidRPr="00A6557D" w:rsidRDefault="003829E7" w:rsidP="003829E7">
            <w:pPr>
              <w:pStyle w:val="SWCTableText"/>
            </w:pPr>
            <w:r w:rsidRPr="00A6557D">
              <w:t>18900</w:t>
            </w:r>
          </w:p>
        </w:tc>
      </w:tr>
      <w:tr w:rsidR="003829E7" w:rsidRPr="00A6557D" w14:paraId="151D2211" w14:textId="77777777" w:rsidTr="003829E7">
        <w:trPr>
          <w:jc w:val="center"/>
        </w:trPr>
        <w:tc>
          <w:tcPr>
            <w:tcW w:w="1221" w:type="dxa"/>
            <w:vAlign w:val="center"/>
          </w:tcPr>
          <w:p w14:paraId="33DEF960" w14:textId="77777777" w:rsidR="003829E7" w:rsidRPr="00A6557D" w:rsidRDefault="003829E7" w:rsidP="003829E7">
            <w:pPr>
              <w:pStyle w:val="SWCTableText"/>
            </w:pPr>
            <w:r w:rsidRPr="00A6557D">
              <w:t>a</w:t>
            </w:r>
            <w:r w:rsidRPr="00D61B92">
              <w:rPr>
                <w:vertAlign w:val="subscript"/>
              </w:rPr>
              <w:t>6</w:t>
            </w:r>
          </w:p>
        </w:tc>
        <w:tc>
          <w:tcPr>
            <w:tcW w:w="1180" w:type="dxa"/>
            <w:vAlign w:val="center"/>
          </w:tcPr>
          <w:p w14:paraId="0C11B6DA" w14:textId="77777777" w:rsidR="003829E7" w:rsidRPr="00A6557D" w:rsidRDefault="003829E7" w:rsidP="003829E7">
            <w:pPr>
              <w:pStyle w:val="SWCTableText"/>
            </w:pPr>
            <w:r w:rsidRPr="00A6557D">
              <w:t>s/m</w:t>
            </w:r>
          </w:p>
        </w:tc>
        <w:tc>
          <w:tcPr>
            <w:tcW w:w="2218" w:type="dxa"/>
            <w:vAlign w:val="center"/>
          </w:tcPr>
          <w:p w14:paraId="1EA0724C" w14:textId="3720606B" w:rsidR="003829E7" w:rsidRPr="00A6557D" w:rsidRDefault="003829E7" w:rsidP="003829E7">
            <w:pPr>
              <w:pStyle w:val="SWCTableText"/>
            </w:pPr>
            <w:r w:rsidRPr="00A6557D">
              <w:t>0</w:t>
            </w:r>
            <w:r>
              <w:t>.</w:t>
            </w:r>
            <w:r w:rsidRPr="00A6557D">
              <w:t>0</w:t>
            </w:r>
            <w:r w:rsidR="0046528E">
              <w:t>39</w:t>
            </w:r>
          </w:p>
        </w:tc>
        <w:tc>
          <w:tcPr>
            <w:tcW w:w="2218" w:type="dxa"/>
          </w:tcPr>
          <w:p w14:paraId="0C4D8612" w14:textId="438422C7" w:rsidR="003829E7" w:rsidRPr="00A6557D" w:rsidRDefault="003829E7" w:rsidP="003829E7">
            <w:pPr>
              <w:pStyle w:val="SWCTableText"/>
            </w:pPr>
            <w:r w:rsidRPr="00A6557D">
              <w:t>0</w:t>
            </w:r>
            <w:r>
              <w:t>.</w:t>
            </w:r>
            <w:r w:rsidRPr="00A6557D">
              <w:t>017</w:t>
            </w:r>
          </w:p>
        </w:tc>
      </w:tr>
    </w:tbl>
    <w:p w14:paraId="5B041FD9" w14:textId="73D159AB" w:rsidR="003829E7" w:rsidRDefault="003829E7" w:rsidP="00CD58F4">
      <w:pPr>
        <w:pStyle w:val="SWCText"/>
        <w:rPr>
          <w:lang w:val="de-DE"/>
        </w:rPr>
      </w:pPr>
    </w:p>
    <w:p w14:paraId="42EF127C" w14:textId="5F439937" w:rsidR="003829E7" w:rsidRPr="003829E7" w:rsidRDefault="003829E7" w:rsidP="003829E7">
      <w:pPr>
        <w:pStyle w:val="SWCText"/>
      </w:pPr>
      <w:r w:rsidRPr="003829E7">
        <w:t xml:space="preserve">The change in </w:t>
      </w:r>
      <w:r w:rsidR="0066150A">
        <w:t xml:space="preserve">façade </w:t>
      </w:r>
      <w:r w:rsidRPr="003829E7">
        <w:t xml:space="preserve">color (dark, medium, and light gray) was implemented by adjusting the conversion factor </w:t>
      </w:r>
      <w:r>
        <w:rPr>
          <w:lang w:val="de-DE"/>
        </w:rPr>
        <w:sym w:font="Symbol" w:char="F068"/>
      </w:r>
      <w:r w:rsidRPr="003829E7">
        <w:rPr>
          <w:vertAlign w:val="subscript"/>
        </w:rPr>
        <w:t>0</w:t>
      </w:r>
      <w:r w:rsidR="0046528E">
        <w:rPr>
          <w:vertAlign w:val="subscript"/>
        </w:rPr>
        <w:t>b</w:t>
      </w:r>
      <w:r w:rsidRPr="003829E7">
        <w:t xml:space="preserve"> (0.</w:t>
      </w:r>
      <w:r w:rsidR="0046528E">
        <w:t>59</w:t>
      </w:r>
      <w:r w:rsidR="0046528E" w:rsidRPr="003829E7">
        <w:t xml:space="preserve"> </w:t>
      </w:r>
      <w:r w:rsidRPr="003829E7">
        <w:t>&gt; 0.4</w:t>
      </w:r>
      <w:r w:rsidR="0046528E">
        <w:t>4</w:t>
      </w:r>
      <w:r w:rsidRPr="003829E7">
        <w:t xml:space="preserve"> &gt; 0.2</w:t>
      </w:r>
      <w:r w:rsidR="0046528E">
        <w:t>4</w:t>
      </w:r>
      <w:r w:rsidRPr="003829E7">
        <w:t xml:space="preserve">) </w:t>
      </w:r>
      <w:r w:rsidR="00E96FAD">
        <w:t>and</w:t>
      </w:r>
      <w:r w:rsidRPr="003829E7">
        <w:t xml:space="preserve"> by a parallel shift of the power curve.</w:t>
      </w:r>
    </w:p>
    <w:p w14:paraId="4169F6BF" w14:textId="4408E2A0" w:rsidR="003829E7" w:rsidRDefault="003829E7" w:rsidP="003829E7">
      <w:pPr>
        <w:pStyle w:val="SWCText"/>
      </w:pPr>
      <w:r w:rsidRPr="003829E7">
        <w:t xml:space="preserve">The results of the simulations are shown in </w:t>
      </w:r>
      <w:r w:rsidRPr="003829E7">
        <w:rPr>
          <w:b/>
        </w:rPr>
        <w:t>Figures 2</w:t>
      </w:r>
      <w:r w:rsidRPr="003829E7">
        <w:t xml:space="preserve"> and </w:t>
      </w:r>
      <w:r w:rsidRPr="003829E7">
        <w:rPr>
          <w:b/>
        </w:rPr>
        <w:t>Figure 3</w:t>
      </w:r>
      <w:r w:rsidRPr="003829E7">
        <w:t xml:space="preserve"> and can be summarized as follows:</w:t>
      </w:r>
    </w:p>
    <w:p w14:paraId="778EE48F" w14:textId="106AC4EC" w:rsidR="003829E7" w:rsidRDefault="00647530" w:rsidP="00BA6AE8">
      <w:pPr>
        <w:pStyle w:val="SWCBulletedList"/>
        <w:tabs>
          <w:tab w:val="clear" w:pos="1654"/>
          <w:tab w:val="num" w:pos="1418"/>
        </w:tabs>
        <w:ind w:left="426" w:hanging="426"/>
        <w:jc w:val="both"/>
      </w:pPr>
      <w:r w:rsidRPr="00137D86">
        <w:t xml:space="preserve">The rooftop collector achieves maximum </w:t>
      </w:r>
      <w:r w:rsidR="0046528E">
        <w:t>reduction</w:t>
      </w:r>
      <w:r w:rsidR="0046528E" w:rsidRPr="00137D86">
        <w:t xml:space="preserve"> </w:t>
      </w:r>
      <w:r w:rsidRPr="00137D86">
        <w:t xml:space="preserve">of 43% starting at 145 m², with a regeneration efficiency of 95%. Larger </w:t>
      </w:r>
      <w:r w:rsidR="00472C5C">
        <w:t>collector field</w:t>
      </w:r>
      <w:r w:rsidRPr="00137D86">
        <w:t xml:space="preserve"> and higher yields do not provide any additional benefits. Significant savings of 30%</w:t>
      </w:r>
      <w:r w:rsidR="00E96FAD">
        <w:t xml:space="preserve"> - </w:t>
      </w:r>
      <w:r w:rsidRPr="00137D86">
        <w:t xml:space="preserve">enough to eliminate </w:t>
      </w:r>
      <w:r w:rsidR="00E96FAD">
        <w:t xml:space="preserve">one of the four BHE and save 36 m² ground area - </w:t>
      </w:r>
      <w:r w:rsidRPr="00137D86">
        <w:t xml:space="preserve">are already achieved </w:t>
      </w:r>
      <w:r w:rsidR="00BA6AE8">
        <w:t>with</w:t>
      </w:r>
      <w:r w:rsidRPr="00137D86">
        <w:t xml:space="preserve"> 45 m²</w:t>
      </w:r>
      <w:r w:rsidR="00BA6AE8">
        <w:t xml:space="preserve"> collector</w:t>
      </w:r>
      <w:r w:rsidR="00137D86">
        <w:t>;</w:t>
      </w:r>
    </w:p>
    <w:p w14:paraId="0FB77AB7" w14:textId="79E390F0" w:rsidR="00D02E44" w:rsidRDefault="00FB58CC" w:rsidP="00D02E44">
      <w:pPr>
        <w:pStyle w:val="SWCBulletedList"/>
        <w:tabs>
          <w:tab w:val="clear" w:pos="1654"/>
          <w:tab w:val="num" w:pos="1418"/>
        </w:tabs>
        <w:ind w:left="426" w:hanging="426"/>
        <w:jc w:val="both"/>
      </w:pPr>
      <w:r w:rsidRPr="00FB58CC">
        <w:t xml:space="preserve">The south-facing reference </w:t>
      </w:r>
      <w:r w:rsidR="00472C5C">
        <w:t>façade</w:t>
      </w:r>
      <w:r w:rsidRPr="00FB58CC">
        <w:t xml:space="preserve"> (dark gray, </w:t>
      </w:r>
      <w:r w:rsidR="00E96FAD">
        <w:sym w:font="Symbol" w:char="F068"/>
      </w:r>
      <w:r w:rsidRPr="00E96FAD">
        <w:rPr>
          <w:vertAlign w:val="subscript"/>
        </w:rPr>
        <w:t>0b</w:t>
      </w:r>
      <w:r w:rsidRPr="00FB58CC">
        <w:t xml:space="preserve"> = 0.59) achieve</w:t>
      </w:r>
      <w:r w:rsidR="00DA0F0D">
        <w:t>s</w:t>
      </w:r>
      <w:r w:rsidRPr="00FB58CC">
        <w:t xml:space="preserve"> a 30% </w:t>
      </w:r>
      <w:r w:rsidR="0046528E">
        <w:t>reduction</w:t>
      </w:r>
      <w:r w:rsidR="0046528E" w:rsidRPr="00FB58CC">
        <w:t xml:space="preserve"> </w:t>
      </w:r>
      <w:r w:rsidRPr="00FB58CC">
        <w:t xml:space="preserve">with a regeneration efficiency of over 60% when the active area is 85 m² or greater (approximately 40% of the total </w:t>
      </w:r>
      <w:r w:rsidR="00E96FAD">
        <w:t xml:space="preserve">façade </w:t>
      </w:r>
      <w:r w:rsidRPr="00FB58CC">
        <w:t xml:space="preserve">area). The total length of the </w:t>
      </w:r>
      <w:r w:rsidR="00E96FAD">
        <w:t>BHE</w:t>
      </w:r>
      <w:r w:rsidRPr="00FB58CC">
        <w:t xml:space="preserve"> can be reduced by up to approximately 36%</w:t>
      </w:r>
      <w:r w:rsidR="003829E7" w:rsidRPr="003829E7">
        <w:t>;</w:t>
      </w:r>
    </w:p>
    <w:p w14:paraId="23EAE8A5" w14:textId="3DF7D11F" w:rsidR="003829E7" w:rsidRDefault="00FB58CC" w:rsidP="00BA6AE8">
      <w:pPr>
        <w:pStyle w:val="SWCBulletedList"/>
        <w:tabs>
          <w:tab w:val="clear" w:pos="1654"/>
          <w:tab w:val="num" w:pos="1418"/>
        </w:tabs>
        <w:ind w:left="426" w:hanging="426"/>
        <w:jc w:val="both"/>
      </w:pPr>
      <w:r w:rsidRPr="00FB58CC">
        <w:t xml:space="preserve">The use of </w:t>
      </w:r>
      <w:r w:rsidR="0046528E">
        <w:t>façade</w:t>
      </w:r>
      <w:r w:rsidRPr="00FB58CC">
        <w:t xml:space="preserve">s with other orientations yields lower </w:t>
      </w:r>
      <w:r w:rsidR="0046528E">
        <w:t>reduction</w:t>
      </w:r>
      <w:r w:rsidRPr="00FB58CC">
        <w:t>; however, due to the low operating temperature and the additional function as an environmental heat exchanger, the influence of orientation (i.e. solar radiation) is less significant than in traditional solar thermal applications: With 85 m², the east and west facades enable savings of approximately 20% and 25%, respectively; even the north facade can achieve savings of up to 15%</w:t>
      </w:r>
      <w:r w:rsidR="00DE360A">
        <w:t>;</w:t>
      </w:r>
    </w:p>
    <w:p w14:paraId="7CD023BC" w14:textId="0953546C" w:rsidR="00FB58CC" w:rsidRDefault="00DE360A" w:rsidP="00BA6AE8">
      <w:pPr>
        <w:pStyle w:val="SWCBulletedList"/>
        <w:tabs>
          <w:tab w:val="clear" w:pos="1654"/>
          <w:tab w:val="num" w:pos="1418"/>
        </w:tabs>
        <w:ind w:left="426" w:hanging="426"/>
        <w:jc w:val="both"/>
      </w:pPr>
      <w:r w:rsidRPr="00DE360A">
        <w:t xml:space="preserve">The change in color is also not as significant as it is with typical solar collectors, as </w:t>
      </w:r>
      <w:r w:rsidR="00BA6AE8">
        <w:t xml:space="preserve">it </w:t>
      </w:r>
      <w:r w:rsidR="0001548C">
        <w:t>can be deduced</w:t>
      </w:r>
      <w:r w:rsidRPr="00DE360A">
        <w:t xml:space="preserve"> from the relationship between the conversion factors and the </w:t>
      </w:r>
      <w:r w:rsidR="0001548C">
        <w:t xml:space="preserve">correspondent </w:t>
      </w:r>
      <w:r w:rsidRPr="00DE360A">
        <w:t xml:space="preserve">savings achieved. </w:t>
      </w:r>
      <w:r w:rsidR="001E41A2" w:rsidRPr="001E41A2">
        <w:t xml:space="preserve">Even light-colored, north-facing solar thermal facades can make a valuable contribution and enable reductions in </w:t>
      </w:r>
      <w:r w:rsidR="0001548C">
        <w:t xml:space="preserve">BHE </w:t>
      </w:r>
      <w:r w:rsidR="001E41A2" w:rsidRPr="001E41A2">
        <w:t>meter</w:t>
      </w:r>
      <w:r w:rsidR="0001548C">
        <w:t>s</w:t>
      </w:r>
      <w:r w:rsidR="001E41A2" w:rsidRPr="001E41A2">
        <w:t xml:space="preserve"> of over 10</w:t>
      </w:r>
      <w:r w:rsidR="0001548C">
        <w:t>%.</w:t>
      </w:r>
    </w:p>
    <w:p w14:paraId="57730758" w14:textId="737C7B16" w:rsidR="00D02E44" w:rsidRDefault="00D02E44" w:rsidP="00B479BC">
      <w:pPr>
        <w:pStyle w:val="SWCBulletedList"/>
        <w:numPr>
          <w:ilvl w:val="0"/>
          <w:numId w:val="0"/>
        </w:numPr>
        <w:jc w:val="both"/>
      </w:pPr>
      <w:r>
        <w:lastRenderedPageBreak/>
        <w:t xml:space="preserve">Based on the simulation results and considering market prices for BHE </w:t>
      </w:r>
      <w:r w:rsidR="0046528E">
        <w:t>in recent</w:t>
      </w:r>
      <w:r>
        <w:t xml:space="preserve"> years, </w:t>
      </w:r>
      <w:r w:rsidRPr="00381590">
        <w:rPr>
          <w:b/>
        </w:rPr>
        <w:t>Figure 2</w:t>
      </w:r>
      <w:r>
        <w:t xml:space="preserve"> also show</w:t>
      </w:r>
      <w:r w:rsidR="00381590">
        <w:t>s</w:t>
      </w:r>
      <w:r>
        <w:t xml:space="preserve"> </w:t>
      </w:r>
      <w:r w:rsidR="00DD419F">
        <w:t xml:space="preserve">exemplary </w:t>
      </w:r>
      <w:r w:rsidR="0046528E">
        <w:t xml:space="preserve">values for </w:t>
      </w:r>
      <w:r>
        <w:t xml:space="preserve">the </w:t>
      </w:r>
      <w:r w:rsidR="00381590">
        <w:t>specific economic savings related to the reduction of the BHE length for the south-oriented façade</w:t>
      </w:r>
      <w:r w:rsidR="00DD419F">
        <w:t>, which have to be taken into consideration for the design and cost assessment of the system</w:t>
      </w:r>
      <w:r w:rsidR="00381590">
        <w:t>.</w:t>
      </w:r>
    </w:p>
    <w:p w14:paraId="098AF820" w14:textId="77777777" w:rsidR="00B479BC" w:rsidRPr="00DE360A" w:rsidRDefault="00B479BC" w:rsidP="00B479BC">
      <w:pPr>
        <w:pStyle w:val="SWCBulletedList"/>
        <w:numPr>
          <w:ilvl w:val="0"/>
          <w:numId w:val="0"/>
        </w:numPr>
        <w:jc w:val="both"/>
      </w:pPr>
    </w:p>
    <w:p w14:paraId="405E047A" w14:textId="516D91BA" w:rsidR="00FB58CC" w:rsidRPr="00E1549A" w:rsidRDefault="00B479BC" w:rsidP="00FB58CC">
      <w:pPr>
        <w:pStyle w:val="SWCTableFigureCaption"/>
      </w:pPr>
      <w:r w:rsidRPr="00B479BC">
        <w:drawing>
          <wp:inline distT="0" distB="0" distL="0" distR="0" wp14:anchorId="6BAACF87" wp14:editId="1887A596">
            <wp:extent cx="5761990" cy="2569326"/>
            <wp:effectExtent l="0" t="0" r="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1990" cy="2569326"/>
                    </a:xfrm>
                    <a:prstGeom prst="rect">
                      <a:avLst/>
                    </a:prstGeom>
                    <a:noFill/>
                    <a:ln>
                      <a:noFill/>
                    </a:ln>
                  </pic:spPr>
                </pic:pic>
              </a:graphicData>
            </a:graphic>
          </wp:inline>
        </w:drawing>
      </w:r>
      <w:r w:rsidR="00FB58CC" w:rsidRPr="00E1549A">
        <w:t>Fig. </w:t>
      </w:r>
      <w:r w:rsidR="00FB58CC">
        <w:t>2</w:t>
      </w:r>
      <w:r w:rsidR="00FB58CC" w:rsidRPr="00E1549A">
        <w:t xml:space="preserve">: </w:t>
      </w:r>
      <w:r w:rsidR="00A96C3F">
        <w:rPr>
          <w:b w:val="0"/>
        </w:rPr>
        <w:t>R</w:t>
      </w:r>
      <w:r w:rsidR="00FB58CC" w:rsidRPr="00FB58CC">
        <w:rPr>
          <w:b w:val="0"/>
        </w:rPr>
        <w:t xml:space="preserve">egeneration </w:t>
      </w:r>
      <w:r w:rsidR="00A96C3F">
        <w:rPr>
          <w:b w:val="0"/>
        </w:rPr>
        <w:t xml:space="preserve">ratio </w:t>
      </w:r>
      <w:r w:rsidR="00FB58CC" w:rsidRPr="00FB58CC">
        <w:rPr>
          <w:b w:val="0"/>
        </w:rPr>
        <w:t xml:space="preserve">and savings in </w:t>
      </w:r>
      <w:r w:rsidR="0001548C">
        <w:rPr>
          <w:b w:val="0"/>
        </w:rPr>
        <w:t>BHE</w:t>
      </w:r>
      <w:r w:rsidR="00FB58CC" w:rsidRPr="00FB58CC">
        <w:rPr>
          <w:b w:val="0"/>
        </w:rPr>
        <w:t xml:space="preserve"> meters for the reference system as a function of the area of the supporting heat source</w:t>
      </w:r>
      <w:r w:rsidR="00A53775">
        <w:rPr>
          <w:b w:val="0"/>
        </w:rPr>
        <w:t xml:space="preserve"> for</w:t>
      </w:r>
      <w:r w:rsidR="00FB58CC" w:rsidRPr="00FB58CC">
        <w:rPr>
          <w:b w:val="0"/>
        </w:rPr>
        <w:t xml:space="preserve"> a dark gray south-facing </w:t>
      </w:r>
      <w:r w:rsidR="00FB58CC">
        <w:rPr>
          <w:b w:val="0"/>
        </w:rPr>
        <w:t xml:space="preserve">façade </w:t>
      </w:r>
      <w:r w:rsidR="00FB58CC" w:rsidRPr="00FB58CC">
        <w:rPr>
          <w:b w:val="0"/>
        </w:rPr>
        <w:t>and a roof-mounted collector (left)</w:t>
      </w:r>
      <w:r w:rsidR="00A53775">
        <w:rPr>
          <w:b w:val="0"/>
        </w:rPr>
        <w:t xml:space="preserve"> as well as specific cost savings related to the reduction of BHE for the </w:t>
      </w:r>
      <w:r w:rsidR="00FB58CC" w:rsidRPr="00FB58CC">
        <w:rPr>
          <w:b w:val="0"/>
        </w:rPr>
        <w:t xml:space="preserve">dark gray </w:t>
      </w:r>
      <w:r w:rsidR="00FB58CC">
        <w:rPr>
          <w:b w:val="0"/>
        </w:rPr>
        <w:t>façade</w:t>
      </w:r>
      <w:r w:rsidR="00FB58CC" w:rsidRPr="00FB58CC">
        <w:rPr>
          <w:b w:val="0"/>
        </w:rPr>
        <w:t xml:space="preserve"> </w:t>
      </w:r>
      <w:r w:rsidR="00A53775">
        <w:rPr>
          <w:b w:val="0"/>
        </w:rPr>
        <w:t>as a function of façade area and BHE costs</w:t>
      </w:r>
      <w:r w:rsidR="00FB58CC" w:rsidRPr="00FB58CC">
        <w:rPr>
          <w:b w:val="0"/>
        </w:rPr>
        <w:t xml:space="preserve"> (right)</w:t>
      </w:r>
      <w:r w:rsidR="00FB58CC" w:rsidRPr="00E1549A">
        <w:t xml:space="preserve">  </w:t>
      </w:r>
    </w:p>
    <w:p w14:paraId="2EB4CBED" w14:textId="61C9EA56" w:rsidR="00FB58CC" w:rsidRDefault="00A53775" w:rsidP="0051698D">
      <w:pPr>
        <w:pStyle w:val="SWCBulletedList"/>
        <w:numPr>
          <w:ilvl w:val="0"/>
          <w:numId w:val="0"/>
        </w:numPr>
        <w:spacing w:line="240" w:lineRule="auto"/>
        <w:jc w:val="center"/>
      </w:pPr>
      <w:r w:rsidRPr="00A53775">
        <w:rPr>
          <w:noProof/>
        </w:rPr>
        <w:drawing>
          <wp:inline distT="0" distB="0" distL="0" distR="0" wp14:anchorId="20561B50" wp14:editId="57CE0939">
            <wp:extent cx="5761990" cy="2607552"/>
            <wp:effectExtent l="0" t="0" r="0" b="254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1990" cy="2607552"/>
                    </a:xfrm>
                    <a:prstGeom prst="rect">
                      <a:avLst/>
                    </a:prstGeom>
                    <a:noFill/>
                    <a:ln>
                      <a:noFill/>
                    </a:ln>
                  </pic:spPr>
                </pic:pic>
              </a:graphicData>
            </a:graphic>
          </wp:inline>
        </w:drawing>
      </w:r>
    </w:p>
    <w:p w14:paraId="5E2C5D39" w14:textId="1050FECD" w:rsidR="00FB58CC" w:rsidRDefault="00FB58CC" w:rsidP="00FB58CC">
      <w:pPr>
        <w:pStyle w:val="SWCTableFigureCaption"/>
        <w:rPr>
          <w:b w:val="0"/>
        </w:rPr>
      </w:pPr>
      <w:r w:rsidRPr="00FB58CC">
        <w:t>Fig. </w:t>
      </w:r>
      <w:r w:rsidR="006F6292">
        <w:t>3</w:t>
      </w:r>
      <w:r w:rsidRPr="00FB58CC">
        <w:t xml:space="preserve">: </w:t>
      </w:r>
      <w:r w:rsidR="0001548C">
        <w:rPr>
          <w:b w:val="0"/>
        </w:rPr>
        <w:t>S</w:t>
      </w:r>
      <w:r w:rsidRPr="00FB58CC">
        <w:rPr>
          <w:b w:val="0"/>
        </w:rPr>
        <w:t xml:space="preserve">avings </w:t>
      </w:r>
      <w:r w:rsidR="0001548C">
        <w:rPr>
          <w:b w:val="0"/>
        </w:rPr>
        <w:t>of BHE meters</w:t>
      </w:r>
      <w:r w:rsidRPr="00FB58CC">
        <w:rPr>
          <w:b w:val="0"/>
        </w:rPr>
        <w:t xml:space="preserve"> for the reference system under consideration, as a function of color (</w:t>
      </w:r>
      <w:r w:rsidR="00A53775">
        <w:rPr>
          <w:b w:val="0"/>
        </w:rPr>
        <w:t>dark</w:t>
      </w:r>
      <w:r w:rsidRPr="00FB58CC">
        <w:rPr>
          <w:b w:val="0"/>
        </w:rPr>
        <w:t xml:space="preserve"> and light gray, with  </w:t>
      </w:r>
      <w:r>
        <w:rPr>
          <w:b w:val="0"/>
          <w:lang w:val="de-DE"/>
        </w:rPr>
        <w:sym w:font="Symbol" w:char="F068"/>
      </w:r>
      <w:r w:rsidRPr="0001548C">
        <w:rPr>
          <w:b w:val="0"/>
          <w:vertAlign w:val="subscript"/>
        </w:rPr>
        <w:t>0</w:t>
      </w:r>
      <w:r w:rsidRPr="00FB58CC">
        <w:rPr>
          <w:b w:val="0"/>
        </w:rPr>
        <w:t>=0.</w:t>
      </w:r>
      <w:r w:rsidR="00A53775">
        <w:rPr>
          <w:b w:val="0"/>
        </w:rPr>
        <w:t>6</w:t>
      </w:r>
      <w:r w:rsidRPr="00FB58CC">
        <w:rPr>
          <w:b w:val="0"/>
        </w:rPr>
        <w:t xml:space="preserve"> </w:t>
      </w:r>
      <w:r>
        <w:rPr>
          <w:b w:val="0"/>
        </w:rPr>
        <w:t>on the</w:t>
      </w:r>
      <w:r w:rsidRPr="00FB58CC">
        <w:rPr>
          <w:b w:val="0"/>
        </w:rPr>
        <w:t xml:space="preserve"> </w:t>
      </w:r>
      <w:r>
        <w:rPr>
          <w:b w:val="0"/>
        </w:rPr>
        <w:t>left and</w:t>
      </w:r>
      <w:r w:rsidRPr="00FB58CC">
        <w:rPr>
          <w:b w:val="0"/>
        </w:rPr>
        <w:t xml:space="preserve"> </w:t>
      </w:r>
      <w:r>
        <w:rPr>
          <w:b w:val="0"/>
          <w:lang w:val="de-DE"/>
        </w:rPr>
        <w:sym w:font="Symbol" w:char="F068"/>
      </w:r>
      <w:r w:rsidRPr="0001548C">
        <w:rPr>
          <w:b w:val="0"/>
          <w:vertAlign w:val="subscript"/>
        </w:rPr>
        <w:t>0</w:t>
      </w:r>
      <w:r w:rsidRPr="00FB58CC">
        <w:rPr>
          <w:b w:val="0"/>
        </w:rPr>
        <w:t xml:space="preserve">=0.2 </w:t>
      </w:r>
      <w:r>
        <w:rPr>
          <w:b w:val="0"/>
        </w:rPr>
        <w:t>on the right</w:t>
      </w:r>
      <w:r w:rsidRPr="00FB58CC">
        <w:rPr>
          <w:b w:val="0"/>
        </w:rPr>
        <w:t xml:space="preserve">) and the orientation of the solar-activated </w:t>
      </w:r>
      <w:r>
        <w:rPr>
          <w:b w:val="0"/>
        </w:rPr>
        <w:t>façade</w:t>
      </w:r>
    </w:p>
    <w:p w14:paraId="39FBBFC8" w14:textId="760009AA" w:rsidR="00FB58CC" w:rsidRPr="00DE360A" w:rsidRDefault="00DE360A" w:rsidP="00DE360A">
      <w:pPr>
        <w:pStyle w:val="SWCText"/>
      </w:pPr>
      <w:r w:rsidRPr="00DE360A">
        <w:t xml:space="preserve">Overall, the study shows that solar-thermally activated rear-ventilated </w:t>
      </w:r>
      <w:r w:rsidR="00472C5C">
        <w:t>façades</w:t>
      </w:r>
      <w:r w:rsidRPr="00DE360A">
        <w:t xml:space="preserve"> in </w:t>
      </w:r>
      <w:r w:rsidR="0001548C">
        <w:t xml:space="preserve">multifamily </w:t>
      </w:r>
      <w:r w:rsidRPr="00DE360A">
        <w:t xml:space="preserve">buildings are well-suited and sufficiently large for the regeneration of </w:t>
      </w:r>
      <w:r w:rsidR="0001548C">
        <w:t>BHE field</w:t>
      </w:r>
      <w:r w:rsidR="00472C5C">
        <w:t>s</w:t>
      </w:r>
      <w:r w:rsidRPr="00DE360A">
        <w:t xml:space="preserve">. Combinations of differently oriented </w:t>
      </w:r>
      <w:r w:rsidR="00472C5C">
        <w:t>façades</w:t>
      </w:r>
      <w:r w:rsidRPr="00DE360A">
        <w:t xml:space="preserve"> with varying colors offer both high potential and a high degree of flexibility and design freedom. In ongoing research, the simulations are being ex</w:t>
      </w:r>
      <w:r>
        <w:t>tended</w:t>
      </w:r>
      <w:r w:rsidRPr="00DE360A">
        <w:t xml:space="preserve"> to include larger buildings or building complexes and correspondingly larger </w:t>
      </w:r>
      <w:r w:rsidR="00E72A4F">
        <w:t>BHE</w:t>
      </w:r>
      <w:r w:rsidRPr="00DE360A">
        <w:t xml:space="preserve"> fields. Based on the results of the ex</w:t>
      </w:r>
      <w:r>
        <w:t>tended</w:t>
      </w:r>
      <w:r w:rsidRPr="00DE360A">
        <w:t xml:space="preserve"> study, the project is developing a practical design tool to assess the suitability and perform rough sizing of solar-thermal </w:t>
      </w:r>
      <w:r w:rsidR="00472C5C">
        <w:t>façades</w:t>
      </w:r>
      <w:r w:rsidRPr="00DE360A">
        <w:t xml:space="preserve"> in multi</w:t>
      </w:r>
      <w:r w:rsidR="00E72A4F">
        <w:t>f</w:t>
      </w:r>
      <w:r w:rsidRPr="00DE360A">
        <w:t xml:space="preserve">amily buildings, </w:t>
      </w:r>
      <w:proofErr w:type="gramStart"/>
      <w:r w:rsidRPr="00DE360A">
        <w:t>taking into account</w:t>
      </w:r>
      <w:proofErr w:type="gramEnd"/>
      <w:r w:rsidRPr="00DE360A">
        <w:t xml:space="preserve"> </w:t>
      </w:r>
      <w:r w:rsidR="00E72A4F">
        <w:t>general information like</w:t>
      </w:r>
      <w:r w:rsidRPr="00DE360A">
        <w:t xml:space="preserve"> building’s heat demand, </w:t>
      </w:r>
      <w:r w:rsidR="00EF446C">
        <w:t>façade</w:t>
      </w:r>
      <w:r w:rsidRPr="00DE360A">
        <w:t xml:space="preserve"> design, and </w:t>
      </w:r>
      <w:r w:rsidR="00472C5C">
        <w:t>façade</w:t>
      </w:r>
      <w:r w:rsidRPr="00DE360A">
        <w:t>’s properties.</w:t>
      </w:r>
    </w:p>
    <w:p w14:paraId="378F0C31" w14:textId="69AB39E4" w:rsidR="00D32EF0" w:rsidRPr="006309AA" w:rsidRDefault="00114D22" w:rsidP="00FB58CC">
      <w:pPr>
        <w:pStyle w:val="SWCHeading1"/>
      </w:pPr>
      <w:r>
        <w:t>Demonstration buildings</w:t>
      </w:r>
    </w:p>
    <w:p w14:paraId="11EBAA2D" w14:textId="2DDBB602" w:rsidR="00DE360A" w:rsidRDefault="00DE360A" w:rsidP="00E1549A">
      <w:pPr>
        <w:pStyle w:val="SWCText"/>
      </w:pPr>
      <w:r w:rsidRPr="00DE360A">
        <w:t xml:space="preserve">The construction of the two demonstration buildings is intended to validate the results of the theoretical study and the experimental investigations of components and subsystems in a practical setting. Key aspects of </w:t>
      </w:r>
      <w:r>
        <w:t>the demonstration</w:t>
      </w:r>
      <w:r w:rsidRPr="00DE360A">
        <w:t xml:space="preserve"> include analyzing the planning and installation processes, evaluating the effort and costs compared </w:t>
      </w:r>
      <w:r w:rsidRPr="00DE360A">
        <w:lastRenderedPageBreak/>
        <w:t>to conventional solutions, and identifying critical steps and potential optimizations.</w:t>
      </w:r>
    </w:p>
    <w:p w14:paraId="60E23AF9" w14:textId="7A7FC480" w:rsidR="00DE360A" w:rsidRDefault="00E93502" w:rsidP="00EC2ED9">
      <w:pPr>
        <w:pStyle w:val="SWCHeading11"/>
        <w:spacing w:before="240"/>
      </w:pPr>
      <w:r>
        <w:t>3.1 Multi</w:t>
      </w:r>
      <w:r w:rsidR="00D6129B">
        <w:t>f</w:t>
      </w:r>
      <w:r>
        <w:t xml:space="preserve">amily </w:t>
      </w:r>
      <w:r w:rsidR="00E72A4F">
        <w:t>building</w:t>
      </w:r>
      <w:r>
        <w:t xml:space="preserve"> in Pforzheim</w:t>
      </w:r>
    </w:p>
    <w:p w14:paraId="69066A18" w14:textId="12A26B8C" w:rsidR="001E41A2" w:rsidRDefault="001E41A2" w:rsidP="001E41A2">
      <w:pPr>
        <w:pStyle w:val="SWCHeading11"/>
      </w:pPr>
      <w:r>
        <w:t>3.</w:t>
      </w:r>
      <w:r w:rsidR="00204DF8">
        <w:t>1</w:t>
      </w:r>
      <w:r>
        <w:t>.1 Overall system</w:t>
      </w:r>
    </w:p>
    <w:p w14:paraId="2E9FA695" w14:textId="295BC0F5" w:rsidR="001E41A2" w:rsidRDefault="001E41A2" w:rsidP="00E1549A">
      <w:pPr>
        <w:pStyle w:val="SWCText"/>
      </w:pPr>
      <w:r w:rsidRPr="001E41A2">
        <w:t>The first pilot project is a newly constructed multi</w:t>
      </w:r>
      <w:r w:rsidR="00E72A4F">
        <w:t>-</w:t>
      </w:r>
      <w:r w:rsidRPr="001E41A2">
        <w:t>story residential building in Pforzheim</w:t>
      </w:r>
      <w:r w:rsidR="00D03C9D">
        <w:t xml:space="preserve"> (Germany)</w:t>
      </w:r>
      <w:r w:rsidRPr="001E41A2">
        <w:t xml:space="preserve"> consisting of 19 residential units, each with 2–3 rooms, which was completed in 2023 (</w:t>
      </w:r>
      <w:r w:rsidRPr="00C41635">
        <w:t xml:space="preserve">see </w:t>
      </w:r>
      <w:r w:rsidRPr="00C41635">
        <w:rPr>
          <w:b/>
        </w:rPr>
        <w:t>Figure 4</w:t>
      </w:r>
      <w:r w:rsidRPr="00C41635">
        <w:t>).</w:t>
      </w:r>
      <w:r w:rsidRPr="001E41A2">
        <w:t xml:space="preserve"> The building was constructed on the site of a former watch factory from the 1950s. Its urban design is modeled after the former structure but allows for significantly better use of the lot and a high-quality residential layout. Innovative concepts </w:t>
      </w:r>
      <w:r>
        <w:t>according to the Germany Energy Standard “</w:t>
      </w:r>
      <w:proofErr w:type="spellStart"/>
      <w:r>
        <w:t>Effizienzhaus</w:t>
      </w:r>
      <w:proofErr w:type="spellEnd"/>
      <w:r>
        <w:t xml:space="preserve"> </w:t>
      </w:r>
      <w:r w:rsidRPr="001E41A2">
        <w:t>55</w:t>
      </w:r>
      <w:r>
        <w:t>”</w:t>
      </w:r>
      <w:r w:rsidRPr="001E41A2">
        <w:t xml:space="preserve"> were implemented for both the </w:t>
      </w:r>
      <w:r w:rsidR="00EF446C">
        <w:t>façade</w:t>
      </w:r>
      <w:r w:rsidRPr="001E41A2">
        <w:t xml:space="preserve"> design and the </w:t>
      </w:r>
      <w:r w:rsidR="00930E7F">
        <w:t>system technology</w:t>
      </w:r>
      <w:r w:rsidRPr="001E41A2">
        <w:t xml:space="preserve">. For the heating system, the housing company </w:t>
      </w:r>
      <w:proofErr w:type="spellStart"/>
      <w:r w:rsidRPr="001E41A2">
        <w:t>Pforzheimer</w:t>
      </w:r>
      <w:proofErr w:type="spellEnd"/>
      <w:r w:rsidRPr="001E41A2">
        <w:t xml:space="preserve"> </w:t>
      </w:r>
      <w:proofErr w:type="spellStart"/>
      <w:r w:rsidRPr="001E41A2">
        <w:t>Bau</w:t>
      </w:r>
      <w:proofErr w:type="spellEnd"/>
      <w:r w:rsidRPr="001E41A2">
        <w:t xml:space="preserve"> und </w:t>
      </w:r>
      <w:proofErr w:type="spellStart"/>
      <w:r w:rsidRPr="001E41A2">
        <w:t>Grund</w:t>
      </w:r>
      <w:proofErr w:type="spellEnd"/>
      <w:r w:rsidRPr="001E41A2">
        <w:t xml:space="preserve"> opted for a highly efficient, single-energy solution featuring </w:t>
      </w:r>
      <w:r w:rsidR="00DA0075">
        <w:t xml:space="preserve">two </w:t>
      </w:r>
      <w:r w:rsidRPr="001E41A2">
        <w:t>brine-</w:t>
      </w:r>
      <w:r w:rsidR="00930E7F">
        <w:t>to-</w:t>
      </w:r>
      <w:r w:rsidRPr="001E41A2">
        <w:t>water heat pump</w:t>
      </w:r>
      <w:r w:rsidR="00DA0075">
        <w:t>s</w:t>
      </w:r>
      <w:r w:rsidRPr="001E41A2">
        <w:t>.</w:t>
      </w:r>
    </w:p>
    <w:p w14:paraId="7E729A18" w14:textId="335DA44A" w:rsidR="001E41A2" w:rsidRDefault="00DA0075" w:rsidP="00E1549A">
      <w:pPr>
        <w:pStyle w:val="SWCText"/>
      </w:pPr>
      <w:r>
        <w:t>A preliminary study in the</w:t>
      </w:r>
      <w:r w:rsidR="00687FF3" w:rsidRPr="00687FF3">
        <w:t xml:space="preserve"> planning phase</w:t>
      </w:r>
      <w:r>
        <w:t xml:space="preserve"> showed</w:t>
      </w:r>
      <w:r w:rsidR="00687FF3" w:rsidRPr="00687FF3">
        <w:t xml:space="preserve"> that the lot area was insufficient for installing the necessary </w:t>
      </w:r>
      <w:r>
        <w:t>BHE</w:t>
      </w:r>
      <w:r w:rsidR="00687FF3" w:rsidRPr="00687FF3">
        <w:t xml:space="preserve">, but that the </w:t>
      </w:r>
      <w:r>
        <w:t>project</w:t>
      </w:r>
      <w:r w:rsidR="00687FF3" w:rsidRPr="00687FF3">
        <w:t xml:space="preserve"> </w:t>
      </w:r>
      <w:r>
        <w:t>offered</w:t>
      </w:r>
      <w:r w:rsidR="00687FF3" w:rsidRPr="00687FF3">
        <w:t xml:space="preserve"> an ideal opportunity to test the facade as a supplementary heat source. The system concept was developed in close collaboration between the housing company, its </w:t>
      </w:r>
      <w:r w:rsidR="00472C5C">
        <w:t>technical</w:t>
      </w:r>
      <w:r w:rsidR="00687FF3" w:rsidRPr="00687FF3">
        <w:t xml:space="preserve"> planners, </w:t>
      </w:r>
      <w:r w:rsidR="003251D2">
        <w:t>the research partner (</w:t>
      </w:r>
      <w:r w:rsidR="00687FF3" w:rsidRPr="00687FF3">
        <w:t>ISFH</w:t>
      </w:r>
      <w:r w:rsidR="003251D2">
        <w:t xml:space="preserve"> and Fraunhofer IBP)</w:t>
      </w:r>
      <w:r w:rsidR="00687FF3" w:rsidRPr="00687FF3">
        <w:t xml:space="preserve">, and GASAG Solution + GmbH. Heating loads and useful energy requirements for space heating and domestic hot water (52 MWh/a and 20 MWh/a, respectively) were determined by the housing company. The focus of the system simulation conducted at ISFH was on the design of the innovative heat sources and the overall system. To this end, based on the reference multifamily building used for the simulation study </w:t>
      </w:r>
      <w:r w:rsidR="00EE4F0B">
        <w:t xml:space="preserve">presented </w:t>
      </w:r>
      <w:r w:rsidR="00687FF3" w:rsidRPr="00687FF3">
        <w:t xml:space="preserve">in Section </w:t>
      </w:r>
      <w:r w:rsidR="003251D2">
        <w:t>1</w:t>
      </w:r>
      <w:r w:rsidR="00687FF3" w:rsidRPr="00687FF3">
        <w:t xml:space="preserve">, the components, the heat distribution, and the weather data were adjusted, and the energy demands were subsequently scaled without </w:t>
      </w:r>
      <w:r w:rsidR="00EE4F0B">
        <w:t>exactly</w:t>
      </w:r>
      <w:r w:rsidR="00687FF3" w:rsidRPr="00687FF3">
        <w:t xml:space="preserve"> modeling the building</w:t>
      </w:r>
      <w:r w:rsidR="00EE4F0B">
        <w:t xml:space="preserve"> geometry</w:t>
      </w:r>
      <w:r w:rsidR="00687FF3" w:rsidRPr="00687FF3">
        <w:t>.</w:t>
      </w:r>
    </w:p>
    <w:p w14:paraId="479FEA2C" w14:textId="5BDE11CB" w:rsidR="00C95160" w:rsidRDefault="003E311B" w:rsidP="00E1549A">
      <w:pPr>
        <w:pStyle w:val="SWCText"/>
      </w:pPr>
      <w:r>
        <w:rPr>
          <w:noProof/>
        </w:rPr>
        <w:drawing>
          <wp:inline distT="0" distB="0" distL="0" distR="0" wp14:anchorId="77DA292A" wp14:editId="00203523">
            <wp:extent cx="2678372" cy="1980000"/>
            <wp:effectExtent l="0" t="0" r="8255" b="1270"/>
            <wp:docPr id="16" name="Grafik 15">
              <a:extLst xmlns:a="http://schemas.openxmlformats.org/drawingml/2006/main">
                <a:ext uri="{FF2B5EF4-FFF2-40B4-BE49-F238E27FC236}">
                  <a16:creationId xmlns:a16="http://schemas.microsoft.com/office/drawing/2014/main" id="{5D3B77C7-3B16-A95F-3CBB-232C1F36FA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5D3B77C7-3B16-A95F-3CBB-232C1F36FAE7}"/>
                        </a:ext>
                      </a:extLst>
                    </pic:cNvPr>
                    <pic:cNvPicPr>
                      <a:picLocks noChangeAspect="1"/>
                    </pic:cNvPicPr>
                  </pic:nvPicPr>
                  <pic:blipFill>
                    <a:blip r:embed="rId12"/>
                    <a:srcRect l="1642" t="5985" r="10857" b="3737"/>
                    <a:stretch>
                      <a:fillRect/>
                    </a:stretch>
                  </pic:blipFill>
                  <pic:spPr>
                    <a:xfrm>
                      <a:off x="0" y="0"/>
                      <a:ext cx="2678372" cy="1980000"/>
                    </a:xfrm>
                    <a:prstGeom prst="rect">
                      <a:avLst/>
                    </a:prstGeom>
                  </pic:spPr>
                </pic:pic>
              </a:graphicData>
            </a:graphic>
          </wp:inline>
        </w:drawing>
      </w:r>
      <w:r w:rsidRPr="00A5426D">
        <w:rPr>
          <w:noProof/>
        </w:rPr>
        <w:t xml:space="preserve"> </w:t>
      </w:r>
      <w:r>
        <w:rPr>
          <w:noProof/>
        </w:rPr>
        <w:t xml:space="preserve">   </w:t>
      </w:r>
      <w:r w:rsidR="00687FF3" w:rsidRPr="00A5426D">
        <w:rPr>
          <w:noProof/>
        </w:rPr>
        <w:drawing>
          <wp:inline distT="0" distB="0" distL="0" distR="0" wp14:anchorId="1741AE73" wp14:editId="77DEC43B">
            <wp:extent cx="2956230" cy="1980000"/>
            <wp:effectExtent l="0" t="0" r="0" b="127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3" cstate="print">
                      <a:extLst>
                        <a:ext uri="{28A0092B-C50C-407E-A947-70E740481C1C}">
                          <a14:useLocalDpi xmlns:a14="http://schemas.microsoft.com/office/drawing/2010/main"/>
                        </a:ext>
                      </a:extLst>
                    </a:blip>
                    <a:srcRect l="42279"/>
                    <a:stretch>
                      <a:fillRect/>
                    </a:stretch>
                  </pic:blipFill>
                  <pic:spPr bwMode="auto">
                    <a:xfrm>
                      <a:off x="0" y="0"/>
                      <a:ext cx="2956230" cy="1980000"/>
                    </a:xfrm>
                    <a:prstGeom prst="rect">
                      <a:avLst/>
                    </a:prstGeom>
                    <a:noFill/>
                    <a:ln>
                      <a:noFill/>
                    </a:ln>
                    <a:extLst>
                      <a:ext uri="{53640926-AAD7-44D8-BBD7-CCE9431645EC}">
                        <a14:shadowObscured xmlns:a14="http://schemas.microsoft.com/office/drawing/2010/main"/>
                      </a:ext>
                    </a:extLst>
                  </pic:spPr>
                </pic:pic>
              </a:graphicData>
            </a:graphic>
          </wp:inline>
        </w:drawing>
      </w:r>
    </w:p>
    <w:p w14:paraId="15B17E44" w14:textId="03D74E7B" w:rsidR="001E41A2" w:rsidRDefault="00687FF3" w:rsidP="00687FF3">
      <w:pPr>
        <w:pStyle w:val="SWCTableFigureCaption"/>
      </w:pPr>
      <w:r>
        <w:t xml:space="preserve">Figure 4: </w:t>
      </w:r>
      <w:r w:rsidRPr="00687FF3">
        <w:t xml:space="preserve">Location of the four installed </w:t>
      </w:r>
      <w:r w:rsidR="00DA0075">
        <w:t>BHE</w:t>
      </w:r>
      <w:r w:rsidRPr="00687FF3">
        <w:t xml:space="preserve"> (left) and the completed apartment building with a solar-thermal concrete facade in Pforzheim (right)</w:t>
      </w:r>
    </w:p>
    <w:p w14:paraId="44E560AA" w14:textId="2B3E2D2A" w:rsidR="00C83AA7" w:rsidRDefault="00687FF3" w:rsidP="00E1549A">
      <w:pPr>
        <w:pStyle w:val="SWCText"/>
      </w:pPr>
      <w:r w:rsidRPr="00687FF3">
        <w:t xml:space="preserve">For the </w:t>
      </w:r>
      <w:r w:rsidR="00DA0075">
        <w:t>BHE</w:t>
      </w:r>
      <w:r w:rsidRPr="00687FF3">
        <w:t xml:space="preserve"> field, two different configurations with double-U probes were </w:t>
      </w:r>
      <w:r w:rsidR="00EE4F0B">
        <w:t>investigated</w:t>
      </w:r>
      <w:r w:rsidRPr="00687FF3">
        <w:t>, at depths of 100 m and 150 m, respectively. For both variants, the coupled simulations using TRNSYS and EED show that 1</w:t>
      </w:r>
      <w:r w:rsidR="00DA6892">
        <w:t>00</w:t>
      </w:r>
      <w:r w:rsidRPr="00687FF3">
        <w:t xml:space="preserve"> m² of solar-thermally activated modules </w:t>
      </w:r>
      <w:r w:rsidR="00DA0F0D">
        <w:t>of</w:t>
      </w:r>
      <w:r w:rsidRPr="00687FF3">
        <w:t xml:space="preserve"> the planned concrete </w:t>
      </w:r>
      <w:r w:rsidR="00EE4F0B">
        <w:t>façade</w:t>
      </w:r>
      <w:r w:rsidRPr="00687FF3">
        <w:t xml:space="preserve"> (13% of the total opaque </w:t>
      </w:r>
      <w:r w:rsidR="00EE4F0B">
        <w:t xml:space="preserve">façade </w:t>
      </w:r>
      <w:r w:rsidRPr="00687FF3">
        <w:t xml:space="preserve">area) enable a 25% reduction in the total length or number of </w:t>
      </w:r>
      <w:r w:rsidR="00DA0F0D">
        <w:t>BHE</w:t>
      </w:r>
      <w:r w:rsidRPr="00687FF3">
        <w:t xml:space="preserve">, thereby facilitating easier integration into the property: From 8 to 6 </w:t>
      </w:r>
      <w:r w:rsidR="00DA0075">
        <w:t>BHE</w:t>
      </w:r>
      <w:r w:rsidRPr="00687FF3">
        <w:t xml:space="preserve"> at a depth of 100 m, and from 4 to 3 </w:t>
      </w:r>
      <w:r w:rsidR="00DA0075">
        <w:t>BHE</w:t>
      </w:r>
      <w:r w:rsidRPr="00687FF3">
        <w:t xml:space="preserve"> at a depth of 150 m. In total, the </w:t>
      </w:r>
      <w:r w:rsidR="00EE4F0B">
        <w:t>façade</w:t>
      </w:r>
      <w:r w:rsidRPr="00687FF3">
        <w:t xml:space="preserve"> </w:t>
      </w:r>
      <w:r w:rsidR="003B06E2">
        <w:t>supplies</w:t>
      </w:r>
      <w:r w:rsidRPr="00687FF3">
        <w:t xml:space="preserve"> </w:t>
      </w:r>
      <w:r w:rsidR="004E24B7" w:rsidRPr="00687FF3">
        <w:t>2</w:t>
      </w:r>
      <w:r w:rsidR="00DA6892">
        <w:t>4</w:t>
      </w:r>
      <w:r w:rsidR="004E24B7" w:rsidRPr="00687FF3">
        <w:t xml:space="preserve"> </w:t>
      </w:r>
      <w:r w:rsidRPr="00687FF3">
        <w:t xml:space="preserve">MWh/a through the activation of </w:t>
      </w:r>
      <w:r w:rsidR="003B06E2">
        <w:t>75</w:t>
      </w:r>
      <w:r w:rsidR="00EF446C" w:rsidRPr="00687FF3">
        <w:t xml:space="preserve"> </w:t>
      </w:r>
      <w:r w:rsidRPr="00687FF3">
        <w:t>m² of the east facade (</w:t>
      </w:r>
      <w:r w:rsidR="003B06E2">
        <w:t>3</w:t>
      </w:r>
      <w:r w:rsidRPr="00687FF3">
        <w:t xml:space="preserve">4% of the corresponding opaque area) and </w:t>
      </w:r>
      <w:r w:rsidR="003B06E2">
        <w:t>25</w:t>
      </w:r>
      <w:r w:rsidRPr="00687FF3">
        <w:t xml:space="preserve"> m² of the west facade (1</w:t>
      </w:r>
      <w:r w:rsidR="003B06E2">
        <w:t>0</w:t>
      </w:r>
      <w:r w:rsidRPr="00687FF3">
        <w:t>% of the corresponding opaque area). The system efficiency remains unchanged: The seasonal performance factor (SPF) is 4.5 for the heat pump (SPF</w:t>
      </w:r>
      <w:r w:rsidRPr="00687FF3">
        <w:rPr>
          <w:vertAlign w:val="subscript"/>
        </w:rPr>
        <w:t>HP</w:t>
      </w:r>
      <w:r w:rsidRPr="00687FF3">
        <w:t>) and 3.2 for the entire system up to the heat output (SPF</w:t>
      </w:r>
      <w:r w:rsidRPr="00687FF3">
        <w:rPr>
          <w:vertAlign w:val="subscript"/>
        </w:rPr>
        <w:t>SYS</w:t>
      </w:r>
      <w:r w:rsidRPr="00687FF3">
        <w:t>).</w:t>
      </w:r>
      <w:r>
        <w:t xml:space="preserve"> </w:t>
      </w:r>
    </w:p>
    <w:p w14:paraId="16A5C9E0" w14:textId="2F7FABAD" w:rsidR="001E41A2" w:rsidRDefault="00754DE2" w:rsidP="00E1549A">
      <w:pPr>
        <w:pStyle w:val="SWCText"/>
      </w:pPr>
      <w:r w:rsidRPr="00754DE2">
        <w:t xml:space="preserve">For space-saving and economic reasons, </w:t>
      </w:r>
      <w:r w:rsidR="00595585">
        <w:t>o</w:t>
      </w:r>
      <w:r w:rsidR="00595585" w:rsidRPr="00595585">
        <w:t xml:space="preserve">n the actual building </w:t>
      </w:r>
      <w:r w:rsidRPr="00754DE2">
        <w:t xml:space="preserve">the smaller array of 4 </w:t>
      </w:r>
      <w:r w:rsidR="00DA0075">
        <w:t>BHE</w:t>
      </w:r>
      <w:r w:rsidRPr="00754DE2">
        <w:t xml:space="preserve"> was installed at a spacing of approximately 6</w:t>
      </w:r>
      <w:r w:rsidR="00C83AA7">
        <w:t> </w:t>
      </w:r>
      <w:r w:rsidRPr="00754DE2">
        <w:t xml:space="preserve">m. The experimental setup was designed so that one </w:t>
      </w:r>
      <w:r w:rsidR="00DA0075">
        <w:t>BHE</w:t>
      </w:r>
      <w:r w:rsidRPr="00754DE2">
        <w:t xml:space="preserve"> can be shut off, allowing the system behavior to be investigated and compared with both 4 and 3 </w:t>
      </w:r>
      <w:r w:rsidR="00DA0075">
        <w:t>BHE</w:t>
      </w:r>
      <w:r w:rsidRPr="00754DE2">
        <w:t xml:space="preserve"> over two consecutive operating years. The heating system consists of two non-modulating heat pumps (</w:t>
      </w:r>
      <w:r w:rsidR="00DA0075">
        <w:t>power</w:t>
      </w:r>
      <w:r w:rsidRPr="00754DE2">
        <w:t xml:space="preserve"> = 19.6 </w:t>
      </w:r>
      <w:proofErr w:type="spellStart"/>
      <w:r w:rsidRPr="00754DE2">
        <w:t>kWth</w:t>
      </w:r>
      <w:proofErr w:type="spellEnd"/>
      <w:r w:rsidRPr="00754DE2">
        <w:t xml:space="preserve">, COP = 4.54 at B0/W35), which can be operated individually or in parallel, and three thermal storage tanks, each with a volume of 0.95 m³. A hydraulic </w:t>
      </w:r>
      <w:r w:rsidR="004E24B7">
        <w:t>separator</w:t>
      </w:r>
      <w:r w:rsidR="004E24B7" w:rsidRPr="00754DE2">
        <w:t xml:space="preserve"> </w:t>
      </w:r>
      <w:r w:rsidRPr="00754DE2">
        <w:t>was installed to ensure optimal management of the various heat sources (ground, west and east facades).</w:t>
      </w:r>
      <w:r>
        <w:t xml:space="preserve"> </w:t>
      </w:r>
      <w:r w:rsidRPr="00754DE2">
        <w:t xml:space="preserve">For heat distribution, the storage tanks are connected to the </w:t>
      </w:r>
      <w:r w:rsidR="00865523">
        <w:t>heat interface units</w:t>
      </w:r>
      <w:r w:rsidRPr="00754DE2">
        <w:t xml:space="preserve"> in each apartment via a 2-pipe system. The </w:t>
      </w:r>
      <w:r w:rsidR="00C83AA7">
        <w:t xml:space="preserve">central flow </w:t>
      </w:r>
      <w:r w:rsidRPr="00754DE2">
        <w:t xml:space="preserve">temperature is </w:t>
      </w:r>
      <w:r w:rsidR="00C83AA7">
        <w:t>4</w:t>
      </w:r>
      <w:r w:rsidR="00595585">
        <w:t>2</w:t>
      </w:r>
      <w:r w:rsidR="00C83AA7" w:rsidRPr="00754DE2">
        <w:t xml:space="preserve"> </w:t>
      </w:r>
      <w:r w:rsidRPr="00754DE2">
        <w:t xml:space="preserve">°C </w:t>
      </w:r>
      <w:r w:rsidR="00C83AA7">
        <w:t xml:space="preserve">to preheat the domestic hot water </w:t>
      </w:r>
      <w:r w:rsidR="00495F65">
        <w:t xml:space="preserve">(post-heating via </w:t>
      </w:r>
      <w:r w:rsidR="00495F65">
        <w:lastRenderedPageBreak/>
        <w:t>electric instantaneous water heaters)</w:t>
      </w:r>
      <w:r w:rsidRPr="00754DE2">
        <w:t>.</w:t>
      </w:r>
    </w:p>
    <w:p w14:paraId="063E3123" w14:textId="4837EC30" w:rsidR="00900C3B" w:rsidRDefault="00754DE2" w:rsidP="00E1549A">
      <w:pPr>
        <w:pStyle w:val="SWCText"/>
      </w:pPr>
      <w:r w:rsidRPr="00754DE2">
        <w:t xml:space="preserve">The complete system, including measurement and data acquisition technology, was commissioned in the summer of 2024 and has since then been scientifically monitored by the Fraunhofer Institute for Building Physics IBP. </w:t>
      </w:r>
      <w:r w:rsidRPr="0051698D">
        <w:rPr>
          <w:b/>
        </w:rPr>
        <w:t>Figure 5</w:t>
      </w:r>
      <w:r w:rsidRPr="00754DE2">
        <w:t xml:space="preserve"> shows the </w:t>
      </w:r>
      <w:r>
        <w:t>average monthly seasonal</w:t>
      </w:r>
      <w:r w:rsidRPr="00754DE2">
        <w:t xml:space="preserve"> performance</w:t>
      </w:r>
      <w:r>
        <w:t xml:space="preserve"> factors</w:t>
      </w:r>
      <w:r w:rsidRPr="00754DE2">
        <w:t xml:space="preserve"> </w:t>
      </w:r>
      <w:r>
        <w:t xml:space="preserve">(MPF) </w:t>
      </w:r>
      <w:r w:rsidRPr="00754DE2">
        <w:t>for the heat pump (</w:t>
      </w:r>
      <w:r>
        <w:t>MPF</w:t>
      </w:r>
      <w:r w:rsidRPr="00754DE2">
        <w:rPr>
          <w:vertAlign w:val="subscript"/>
        </w:rPr>
        <w:t>HP</w:t>
      </w:r>
      <w:r w:rsidRPr="00754DE2">
        <w:t xml:space="preserve">) and the entire system up to heat </w:t>
      </w:r>
      <w:r w:rsidR="00EE4F0B">
        <w:t>distribution</w:t>
      </w:r>
      <w:r w:rsidRPr="00754DE2">
        <w:t xml:space="preserve"> (</w:t>
      </w:r>
      <w:r>
        <w:t>MPF</w:t>
      </w:r>
      <w:r w:rsidRPr="00754DE2">
        <w:rPr>
          <w:vertAlign w:val="subscript"/>
        </w:rPr>
        <w:t>SYS</w:t>
      </w:r>
      <w:r w:rsidRPr="00754DE2">
        <w:t xml:space="preserve">), as well as the contributions of the facades during the </w:t>
      </w:r>
      <w:r w:rsidR="003B06E2">
        <w:t>second operation</w:t>
      </w:r>
      <w:r w:rsidR="00D57017">
        <w:t xml:space="preserve"> year with 4 BHE (second year with 3 BHE </w:t>
      </w:r>
      <w:r w:rsidR="0063651C">
        <w:t>started in August 2026</w:t>
      </w:r>
      <w:r w:rsidR="00D57017">
        <w:t>)</w:t>
      </w:r>
      <w:r w:rsidRPr="00754DE2">
        <w:t xml:space="preserve">. </w:t>
      </w:r>
      <w:r w:rsidR="00654791">
        <w:t>T</w:t>
      </w:r>
      <w:r w:rsidRPr="00754DE2">
        <w:t xml:space="preserve">he </w:t>
      </w:r>
      <w:r w:rsidR="00315B17">
        <w:t>S</w:t>
      </w:r>
      <w:r>
        <w:t>PF</w:t>
      </w:r>
      <w:r w:rsidRPr="00DA0075">
        <w:rPr>
          <w:vertAlign w:val="subscript"/>
        </w:rPr>
        <w:t>HP</w:t>
      </w:r>
      <w:r w:rsidRPr="00754DE2">
        <w:t xml:space="preserve"> </w:t>
      </w:r>
      <w:r w:rsidR="00315B17">
        <w:t xml:space="preserve">of 4.5 </w:t>
      </w:r>
      <w:r w:rsidRPr="00754DE2">
        <w:t xml:space="preserve">is </w:t>
      </w:r>
      <w:r w:rsidR="00315B17">
        <w:t>nearly identical with</w:t>
      </w:r>
      <w:r w:rsidR="00595585">
        <w:t xml:space="preserve"> the</w:t>
      </w:r>
      <w:r w:rsidR="00930E7F">
        <w:t xml:space="preserve"> </w:t>
      </w:r>
      <w:r w:rsidRPr="00754DE2">
        <w:t>simulation expectations</w:t>
      </w:r>
      <w:r w:rsidR="00595585">
        <w:t>.</w:t>
      </w:r>
      <w:r w:rsidRPr="00754DE2">
        <w:t xml:space="preserve"> </w:t>
      </w:r>
      <w:r w:rsidR="00694647">
        <w:t>The increase of MPF</w:t>
      </w:r>
      <w:r w:rsidR="00654791" w:rsidRPr="008E08A6">
        <w:rPr>
          <w:vertAlign w:val="subscript"/>
        </w:rPr>
        <w:t>HP</w:t>
      </w:r>
      <w:r w:rsidR="00694647">
        <w:t xml:space="preserve"> </w:t>
      </w:r>
      <w:r w:rsidR="00654791">
        <w:t xml:space="preserve">in November and December </w:t>
      </w:r>
      <w:r w:rsidR="00694647">
        <w:t xml:space="preserve">was achieved </w:t>
      </w:r>
      <w:r w:rsidR="00595585">
        <w:t>by</w:t>
      </w:r>
      <w:r w:rsidR="00694647">
        <w:t xml:space="preserve"> optimization of volume flows </w:t>
      </w:r>
      <w:r w:rsidR="00595585">
        <w:t>at</w:t>
      </w:r>
      <w:r w:rsidR="00654791">
        <w:t xml:space="preserve"> the </w:t>
      </w:r>
      <w:r w:rsidR="00595585" w:rsidRPr="00595585">
        <w:t xml:space="preserve">hydraulic </w:t>
      </w:r>
      <w:r w:rsidR="00CD4962">
        <w:t>separator</w:t>
      </w:r>
      <w:r w:rsidR="00654791">
        <w:t>. T</w:t>
      </w:r>
      <w:r w:rsidRPr="00754DE2">
        <w:t xml:space="preserve">he low </w:t>
      </w:r>
      <w:r>
        <w:t>MPF</w:t>
      </w:r>
      <w:r w:rsidRPr="00DA0075">
        <w:rPr>
          <w:vertAlign w:val="subscript"/>
        </w:rPr>
        <w:t>SYS</w:t>
      </w:r>
      <w:r w:rsidRPr="00754DE2">
        <w:t xml:space="preserve"> and its pronounced </w:t>
      </w:r>
      <w:r w:rsidR="00AF762D">
        <w:t>progression</w:t>
      </w:r>
      <w:r w:rsidRPr="00754DE2">
        <w:t xml:space="preserve"> are particularly striking. The lower efficiency is attributable, on the one hand, to the decentralized electric DHW heating and, on the other hand, to distribution and storage losses in the system, which are currently being investigated. Over the entire measurement period, the </w:t>
      </w:r>
      <w:r w:rsidR="00AF762D">
        <w:t xml:space="preserve">seasonal performance factor </w:t>
      </w:r>
      <w:r>
        <w:t>SPF</w:t>
      </w:r>
      <w:r w:rsidRPr="00AF762D">
        <w:rPr>
          <w:vertAlign w:val="subscript"/>
        </w:rPr>
        <w:t>SYS</w:t>
      </w:r>
      <w:r w:rsidRPr="00754DE2">
        <w:t xml:space="preserve"> is </w:t>
      </w:r>
      <w:r w:rsidRPr="005C59B6">
        <w:t>2.</w:t>
      </w:r>
      <w:r w:rsidR="00315B17" w:rsidRPr="005C59B6">
        <w:t>6</w:t>
      </w:r>
      <w:r w:rsidRPr="005C59B6">
        <w:t>.</w:t>
      </w:r>
      <w:r>
        <w:t xml:space="preserve"> </w:t>
      </w:r>
    </w:p>
    <w:p w14:paraId="52B325A2" w14:textId="623CE0C0" w:rsidR="00754DE2" w:rsidRDefault="00754DE2" w:rsidP="00E1549A">
      <w:pPr>
        <w:pStyle w:val="SWCText"/>
      </w:pPr>
      <w:r w:rsidRPr="00754DE2">
        <w:t xml:space="preserve">The solar </w:t>
      </w:r>
      <w:r w:rsidR="00AF762D">
        <w:t xml:space="preserve">façade </w:t>
      </w:r>
      <w:r w:rsidRPr="00754DE2">
        <w:t xml:space="preserve">has generated </w:t>
      </w:r>
      <w:r w:rsidR="00900C3B">
        <w:t xml:space="preserve">around </w:t>
      </w:r>
      <w:r w:rsidR="00315B17">
        <w:t>23.3</w:t>
      </w:r>
      <w:r w:rsidRPr="00754DE2">
        <w:t xml:space="preserve"> MWh over its operational period (east facade: </w:t>
      </w:r>
      <w:r w:rsidR="00315B17" w:rsidRPr="00754DE2">
        <w:t>1</w:t>
      </w:r>
      <w:r w:rsidR="00315B17">
        <w:t>8.9</w:t>
      </w:r>
      <w:r w:rsidRPr="00754DE2">
        <w:t xml:space="preserve"> MWh, west facade: </w:t>
      </w:r>
      <w:r w:rsidR="00315B17">
        <w:t>4.4</w:t>
      </w:r>
      <w:r w:rsidRPr="00754DE2">
        <w:t xml:space="preserve"> MWh). Of this, </w:t>
      </w:r>
      <w:r w:rsidR="00315B17">
        <w:t>15.</w:t>
      </w:r>
      <w:r w:rsidR="00126D4F">
        <w:t>7</w:t>
      </w:r>
      <w:r w:rsidRPr="00754DE2">
        <w:t xml:space="preserve"> MWh is used for ground-source </w:t>
      </w:r>
      <w:r w:rsidR="00AF762D">
        <w:t>regeneration</w:t>
      </w:r>
      <w:r w:rsidRPr="00754DE2">
        <w:t xml:space="preserve"> and 7.</w:t>
      </w:r>
      <w:r w:rsidR="00126D4F">
        <w:t>6</w:t>
      </w:r>
      <w:r w:rsidRPr="00754DE2">
        <w:t xml:space="preserve"> MWh for directly powering the heat pump.</w:t>
      </w:r>
      <w:r w:rsidR="0063651C">
        <w:t xml:space="preserve"> The specific yields of</w:t>
      </w:r>
      <w:r w:rsidR="0063651C" w:rsidRPr="0063651C">
        <w:t xml:space="preserve"> </w:t>
      </w:r>
      <w:r w:rsidR="00126D4F">
        <w:t xml:space="preserve">the </w:t>
      </w:r>
      <w:r w:rsidR="0063651C" w:rsidRPr="0063651C">
        <w:t>solar façade</w:t>
      </w:r>
      <w:r w:rsidR="00B071FA">
        <w:t>s</w:t>
      </w:r>
      <w:r w:rsidR="0063651C">
        <w:t xml:space="preserve"> are </w:t>
      </w:r>
      <w:r w:rsidR="003B06E2">
        <w:t xml:space="preserve">in good agreement with </w:t>
      </w:r>
      <w:r w:rsidR="00126D4F">
        <w:t xml:space="preserve">the </w:t>
      </w:r>
      <w:r w:rsidR="003B06E2">
        <w:t xml:space="preserve">expected </w:t>
      </w:r>
      <w:r w:rsidR="00B071FA">
        <w:t>values</w:t>
      </w:r>
      <w:r w:rsidR="003B06E2">
        <w:t xml:space="preserve"> based on the simulation study</w:t>
      </w:r>
      <w:r w:rsidR="00B071FA">
        <w:t>.</w:t>
      </w:r>
      <w:r w:rsidRPr="00754DE2">
        <w:t xml:space="preserve"> According to the latest analysis, th</w:t>
      </w:r>
      <w:r w:rsidR="003B06E2">
        <w:t>e slightly lower production</w:t>
      </w:r>
      <w:r w:rsidR="00CD4962">
        <w:t xml:space="preserve"> </w:t>
      </w:r>
      <w:r w:rsidRPr="00754DE2">
        <w:t xml:space="preserve">is attributable to the system being oversized in its configuration with four </w:t>
      </w:r>
      <w:r w:rsidR="00AF762D">
        <w:t>BHE</w:t>
      </w:r>
      <w:r w:rsidRPr="00754DE2">
        <w:t xml:space="preserve">, </w:t>
      </w:r>
      <w:r w:rsidR="00AF762D">
        <w:t xml:space="preserve">which requires less regeneration, </w:t>
      </w:r>
      <w:r w:rsidRPr="00754DE2">
        <w:t>as well as to suboptimal control algorithms</w:t>
      </w:r>
      <w:r w:rsidR="00AF762D">
        <w:t>, which differ from those used for the simulation</w:t>
      </w:r>
      <w:r w:rsidR="003B06E2">
        <w:t>s</w:t>
      </w:r>
      <w:r w:rsidRPr="00754DE2">
        <w:t xml:space="preserve">. Once the errors have been corrected and the optimizations implemented, the system is to be operated and monitored </w:t>
      </w:r>
      <w:r w:rsidR="00865523">
        <w:t>in the</w:t>
      </w:r>
      <w:r w:rsidRPr="00754DE2">
        <w:t xml:space="preserve"> target configuration with a reduced </w:t>
      </w:r>
      <w:r w:rsidR="00AF762D">
        <w:t>BHE field</w:t>
      </w:r>
      <w:r w:rsidRPr="00754DE2">
        <w:t>.</w:t>
      </w:r>
    </w:p>
    <w:p w14:paraId="0B8AAE48" w14:textId="2918DA0E" w:rsidR="00754DE2" w:rsidRDefault="00BE3DF8" w:rsidP="00BE3DF8">
      <w:pPr>
        <w:pStyle w:val="SWCTableFigureCaption"/>
      </w:pPr>
      <w:r w:rsidRPr="00BE3DF8">
        <w:drawing>
          <wp:inline distT="0" distB="0" distL="0" distR="0" wp14:anchorId="77D52A19" wp14:editId="373B8EBF">
            <wp:extent cx="5761068" cy="2542309"/>
            <wp:effectExtent l="0" t="0" r="0"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053" b="3502"/>
                    <a:stretch/>
                  </pic:blipFill>
                  <pic:spPr bwMode="auto">
                    <a:xfrm>
                      <a:off x="0" y="0"/>
                      <a:ext cx="5761990" cy="2542716"/>
                    </a:xfrm>
                    <a:prstGeom prst="rect">
                      <a:avLst/>
                    </a:prstGeom>
                    <a:noFill/>
                    <a:ln>
                      <a:noFill/>
                    </a:ln>
                    <a:extLst>
                      <a:ext uri="{53640926-AAD7-44D8-BBD7-CCE9431645EC}">
                        <a14:shadowObscured xmlns:a14="http://schemas.microsoft.com/office/drawing/2010/main"/>
                      </a:ext>
                    </a:extLst>
                  </pic:spPr>
                </pic:pic>
              </a:graphicData>
            </a:graphic>
          </wp:inline>
        </w:drawing>
      </w:r>
      <w:r w:rsidR="00B90BCA">
        <w:t xml:space="preserve">Figure </w:t>
      </w:r>
      <w:r w:rsidR="006F6292">
        <w:t>5</w:t>
      </w:r>
      <w:r w:rsidR="00B90BCA">
        <w:t xml:space="preserve">: </w:t>
      </w:r>
      <w:r w:rsidR="00B90BCA" w:rsidRPr="00B90BCA">
        <w:t xml:space="preserve">Thermal output of the heat pumps and monthly performance </w:t>
      </w:r>
      <w:r w:rsidR="002A6923">
        <w:t xml:space="preserve">factors </w:t>
      </w:r>
      <w:r w:rsidR="00B90BCA" w:rsidRPr="00B90BCA">
        <w:t xml:space="preserve">for the heat pump and the entire system (left), as well as facade yields (right). </w:t>
      </w:r>
      <w:r w:rsidR="00250028">
        <w:t>Results of the monitoring by Fraunhofer IBP</w:t>
      </w:r>
      <w:r w:rsidR="00C00138">
        <w:t xml:space="preserve"> (August 2025 to July 2026)</w:t>
      </w:r>
    </w:p>
    <w:p w14:paraId="34AE4276" w14:textId="030D33E7" w:rsidR="00B90BCA" w:rsidRDefault="00B90BCA" w:rsidP="00B90BCA">
      <w:pPr>
        <w:pStyle w:val="SWCText"/>
      </w:pPr>
      <w:r>
        <w:t>In addition to the monitoring results, the following general findings from the planning, implementation, and operation are to be highlighted:</w:t>
      </w:r>
    </w:p>
    <w:p w14:paraId="1C3876B8" w14:textId="6A6E46E4" w:rsidR="00B90BCA" w:rsidRDefault="00B90BCA" w:rsidP="00B7445D">
      <w:pPr>
        <w:pStyle w:val="SWCBulletedList"/>
        <w:tabs>
          <w:tab w:val="clear" w:pos="1654"/>
          <w:tab w:val="num" w:pos="1418"/>
        </w:tabs>
        <w:ind w:left="426" w:hanging="426"/>
        <w:jc w:val="both"/>
      </w:pPr>
      <w:r>
        <w:t xml:space="preserve">In multi-source heat pump systems such as this one, source management represents the </w:t>
      </w:r>
      <w:r w:rsidR="0087638C">
        <w:t>main</w:t>
      </w:r>
      <w:r>
        <w:t xml:space="preserve"> challenge for the system engineering. In this regard, building </w:t>
      </w:r>
      <w:r w:rsidR="0087638C">
        <w:t>façade</w:t>
      </w:r>
      <w:r>
        <w:t xml:space="preserve">s do not differ significantly from other heat pump or regeneration sources. During the </w:t>
      </w:r>
      <w:r w:rsidR="00865523">
        <w:t xml:space="preserve">considered </w:t>
      </w:r>
      <w:r w:rsidR="00B7445D">
        <w:t>monitoring</w:t>
      </w:r>
      <w:r>
        <w:t xml:space="preserve"> period, </w:t>
      </w:r>
      <w:r w:rsidR="00865523">
        <w:t>typical</w:t>
      </w:r>
      <w:r>
        <w:t xml:space="preserve"> errors occurred: incorrectly sized pumps, incorrect positioning of sensors for the control system, or imprecise settings for control and regulation criteria. The effort required and the risk of errors increase with the growing number of sources</w:t>
      </w:r>
      <w:r w:rsidR="00B7445D">
        <w:t xml:space="preserve"> - </w:t>
      </w:r>
      <w:r>
        <w:t>in this case, the thermally activated facades of a building (here, the west and east facades);</w:t>
      </w:r>
    </w:p>
    <w:p w14:paraId="0818437E" w14:textId="2F5A8790" w:rsidR="00687FF3" w:rsidRDefault="00B90BCA" w:rsidP="00B7445D">
      <w:pPr>
        <w:pStyle w:val="SWCBulletedList"/>
        <w:tabs>
          <w:tab w:val="clear" w:pos="1654"/>
          <w:tab w:val="num" w:pos="1418"/>
        </w:tabs>
        <w:ind w:left="426" w:hanging="426"/>
        <w:jc w:val="both"/>
      </w:pPr>
      <w:r>
        <w:t xml:space="preserve">Due to the novelty and complexity of these systems, clear communication and efficient collaboration throughout the entire planning and construction process between housing companies, </w:t>
      </w:r>
      <w:r w:rsidR="002A6923">
        <w:t>technical</w:t>
      </w:r>
      <w:r>
        <w:t xml:space="preserve"> planners, contractors, and manufacturers are significantly more critical than in standard practice. To ensure that systems of this </w:t>
      </w:r>
      <w:r w:rsidR="00B7445D">
        <w:t>kind</w:t>
      </w:r>
      <w:r>
        <w:t xml:space="preserve"> can enter the market after the scientifically supervised monitoring period, a pragmatic reduction in complexity and the </w:t>
      </w:r>
      <w:r w:rsidR="00EC2ED9">
        <w:t>development</w:t>
      </w:r>
      <w:r>
        <w:t xml:space="preserve"> of a practical guide</w:t>
      </w:r>
      <w:r w:rsidR="00B7445D">
        <w:t>line</w:t>
      </w:r>
      <w:r>
        <w:t xml:space="preserve"> for planning, installation, and operation—based on project experience</w:t>
      </w:r>
      <w:r w:rsidR="00B7445D">
        <w:t xml:space="preserve"> - </w:t>
      </w:r>
      <w:r>
        <w:t>are essential and have been planned for in the project;</w:t>
      </w:r>
    </w:p>
    <w:p w14:paraId="3EF835CB" w14:textId="6978F441" w:rsidR="00B90BCA" w:rsidRPr="00204DF8" w:rsidRDefault="00204DF8" w:rsidP="00B7445D">
      <w:pPr>
        <w:pStyle w:val="SWCBulletedList"/>
        <w:tabs>
          <w:tab w:val="clear" w:pos="1654"/>
          <w:tab w:val="num" w:pos="1418"/>
        </w:tabs>
        <w:ind w:left="426" w:hanging="426"/>
        <w:jc w:val="both"/>
      </w:pPr>
      <w:r w:rsidRPr="00204DF8">
        <w:t>The ongoing cost analysis shows that, despite synergy effects and savings on borehole meters (€130/m), the new system</w:t>
      </w:r>
      <w:r>
        <w:t xml:space="preserve"> </w:t>
      </w:r>
      <w:r w:rsidRPr="00204DF8">
        <w:t>in its prototype stage</w:t>
      </w:r>
      <w:r>
        <w:t xml:space="preserve"> </w:t>
      </w:r>
      <w:r w:rsidRPr="00204DF8">
        <w:t xml:space="preserve">is significantly more expensive than conventional solutions. However, it is </w:t>
      </w:r>
      <w:r w:rsidRPr="00204DF8">
        <w:lastRenderedPageBreak/>
        <w:t xml:space="preserve">not the </w:t>
      </w:r>
      <w:r w:rsidR="0087638C">
        <w:t>façade</w:t>
      </w:r>
      <w:r w:rsidRPr="00204DF8">
        <w:t xml:space="preserve"> modules themselves but rather the peripheral components and the additional </w:t>
      </w:r>
      <w:r w:rsidR="00E32BFB">
        <w:t>effort</w:t>
      </w:r>
      <w:r w:rsidRPr="00204DF8">
        <w:t>s for planning and installation (</w:t>
      </w:r>
      <w:r w:rsidR="00E32BFB">
        <w:t>personnel</w:t>
      </w:r>
      <w:r w:rsidRPr="00204DF8">
        <w:t xml:space="preserve"> costs) that play the decisive role. It is expected that simplifying and standardizing concepts and processes </w:t>
      </w:r>
      <w:r w:rsidR="00E32BFB">
        <w:t>can</w:t>
      </w:r>
      <w:r w:rsidRPr="00204DF8">
        <w:t xml:space="preserve"> significant</w:t>
      </w:r>
      <w:r w:rsidR="00E32BFB">
        <w:t>ly improve the c</w:t>
      </w:r>
      <w:r w:rsidRPr="00204DF8">
        <w:t>ost-effectiveness</w:t>
      </w:r>
      <w:r w:rsidR="00E32BFB">
        <w:t xml:space="preserve"> of the system</w:t>
      </w:r>
      <w:r w:rsidRPr="00204DF8">
        <w:t>. The aforementioned guide</w:t>
      </w:r>
      <w:r w:rsidR="00B7445D">
        <w:t>line</w:t>
      </w:r>
      <w:r w:rsidRPr="00204DF8">
        <w:t xml:space="preserve"> </w:t>
      </w:r>
      <w:r w:rsidR="00E32BFB">
        <w:t xml:space="preserve">will </w:t>
      </w:r>
      <w:r w:rsidRPr="00204DF8">
        <w:t>also make an important contribution in this regard.</w:t>
      </w:r>
    </w:p>
    <w:p w14:paraId="7F0591F5" w14:textId="18E60288" w:rsidR="001E41A2" w:rsidRDefault="00204DF8" w:rsidP="00204DF8">
      <w:pPr>
        <w:pStyle w:val="SWCHeading11"/>
        <w:spacing w:before="240"/>
      </w:pPr>
      <w:r>
        <w:t xml:space="preserve">3.1.2 Solar-active concrete façade </w:t>
      </w:r>
    </w:p>
    <w:p w14:paraId="6B8B4374" w14:textId="7CD2D7FB" w:rsidR="00204DF8" w:rsidRDefault="00204DF8" w:rsidP="00204DF8">
      <w:pPr>
        <w:pStyle w:val="SWCText"/>
      </w:pPr>
      <w:r w:rsidRPr="00204DF8">
        <w:t xml:space="preserve">The rear-ventilated facade consists of load-bearing limestone masonry (20 cm), </w:t>
      </w:r>
      <w:r w:rsidR="00B7445D">
        <w:t>thermal</w:t>
      </w:r>
      <w:r w:rsidRPr="00204DF8">
        <w:t xml:space="preserve"> insulation (18 cm</w:t>
      </w:r>
      <w:r w:rsidR="00DF423D">
        <w:t xml:space="preserve"> mineral wool</w:t>
      </w:r>
      <w:r w:rsidRPr="00204DF8">
        <w:t xml:space="preserve">), ventilation </w:t>
      </w:r>
      <w:r w:rsidR="00EC2ED9">
        <w:t xml:space="preserve">gap </w:t>
      </w:r>
      <w:r w:rsidRPr="00204DF8">
        <w:t>(4</w:t>
      </w:r>
      <w:r w:rsidR="00EC2ED9">
        <w:t xml:space="preserve"> to </w:t>
      </w:r>
      <w:r w:rsidRPr="00204DF8">
        <w:t xml:space="preserve">5 cm), and precast concrete cladding </w:t>
      </w:r>
      <w:r w:rsidR="00E32BFB">
        <w:t xml:space="preserve">panels </w:t>
      </w:r>
      <w:r w:rsidRPr="00204DF8">
        <w:t>(12 cm</w:t>
      </w:r>
      <w:r w:rsidR="00E32BFB">
        <w:t xml:space="preserve"> thickness</w:t>
      </w:r>
      <w:r w:rsidRPr="00204DF8">
        <w:t xml:space="preserve">). Thermal activation is achieved by integrating polypropylene capillary tube mats during the manufacture of the concrete elements (see </w:t>
      </w:r>
      <w:r w:rsidRPr="00B7445D">
        <w:rPr>
          <w:b/>
        </w:rPr>
        <w:t>Figure 6</w:t>
      </w:r>
      <w:r w:rsidRPr="00204DF8">
        <w:t>).</w:t>
      </w:r>
    </w:p>
    <w:p w14:paraId="3B9DEA5B" w14:textId="6A8DA2B9" w:rsidR="00204DF8" w:rsidRDefault="00204DF8" w:rsidP="00204DF8">
      <w:pPr>
        <w:rPr>
          <w:lang w:val="en-GB"/>
        </w:rPr>
      </w:pPr>
      <w:r w:rsidRPr="0063002C">
        <w:rPr>
          <w:noProof/>
        </w:rPr>
        <w:drawing>
          <wp:inline distT="0" distB="0" distL="0" distR="0" wp14:anchorId="56A87249" wp14:editId="17353FFA">
            <wp:extent cx="5760085" cy="2288034"/>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5760085" cy="2288034"/>
                    </a:xfrm>
                    <a:prstGeom prst="rect">
                      <a:avLst/>
                    </a:prstGeom>
                    <a:noFill/>
                    <a:ln>
                      <a:noFill/>
                    </a:ln>
                  </pic:spPr>
                </pic:pic>
              </a:graphicData>
            </a:graphic>
          </wp:inline>
        </w:drawing>
      </w:r>
    </w:p>
    <w:p w14:paraId="5E314100" w14:textId="1F58D592" w:rsidR="00204DF8" w:rsidRDefault="00204DF8" w:rsidP="00204DF8">
      <w:pPr>
        <w:pStyle w:val="SWCTableFigureCaption"/>
      </w:pPr>
      <w:r>
        <w:t xml:space="preserve">Figure </w:t>
      </w:r>
      <w:r w:rsidR="006F6292">
        <w:t>6</w:t>
      </w:r>
      <w:r>
        <w:t xml:space="preserve">: </w:t>
      </w:r>
      <w:r w:rsidRPr="00204DF8">
        <w:t xml:space="preserve">Manufacture of a solar-active concrete element for the </w:t>
      </w:r>
      <w:r w:rsidR="002C368F">
        <w:t>façade</w:t>
      </w:r>
      <w:r w:rsidRPr="00204DF8">
        <w:t xml:space="preserve"> of the building in Pforzheim (left) and the back of a finished module with hydraulic connections (right)</w:t>
      </w:r>
    </w:p>
    <w:p w14:paraId="177D8671" w14:textId="69B3761C" w:rsidR="00250028" w:rsidRDefault="00250028" w:rsidP="00087CD7">
      <w:pPr>
        <w:pStyle w:val="SWCText"/>
      </w:pPr>
      <w:r w:rsidRPr="00250028">
        <w:t xml:space="preserve">Solar-active </w:t>
      </w:r>
      <w:r w:rsidR="002C368F">
        <w:t xml:space="preserve">façade </w:t>
      </w:r>
      <w:r w:rsidRPr="00250028">
        <w:t xml:space="preserve">modules with different properties were developed and </w:t>
      </w:r>
      <w:r w:rsidR="00EE6053">
        <w:t>investigated</w:t>
      </w:r>
      <w:r w:rsidRPr="00250028">
        <w:t xml:space="preserve"> during the first phase of the project, as the material composition, structure, and surface color, as well as the arrangement of the capillary tubes within the panels, have a significant impact on their energy performance. Double-reinforced beige modules with heat exchangers embedded close to the </w:t>
      </w:r>
      <w:r w:rsidR="00712CA3">
        <w:t xml:space="preserve">outer </w:t>
      </w:r>
      <w:r w:rsidRPr="00250028">
        <w:t>surface were used for the building.</w:t>
      </w:r>
      <w:r>
        <w:t xml:space="preserve"> </w:t>
      </w:r>
      <w:r w:rsidR="00EE6053" w:rsidRPr="00EE6053">
        <w:t xml:space="preserve">On the </w:t>
      </w:r>
      <w:r w:rsidR="002C368F">
        <w:t>east</w:t>
      </w:r>
      <w:r w:rsidR="00EE6053" w:rsidRPr="00EE6053">
        <w:t xml:space="preserve"> side, </w:t>
      </w:r>
      <w:r w:rsidR="00712CA3">
        <w:t>9</w:t>
      </w:r>
      <w:r w:rsidR="00712CA3" w:rsidRPr="00EE6053">
        <w:t xml:space="preserve"> </w:t>
      </w:r>
      <w:r w:rsidR="00EE6053" w:rsidRPr="00EE6053">
        <w:t xml:space="preserve">concrete modules with a total area of </w:t>
      </w:r>
      <w:r w:rsidR="00BA1092">
        <w:t>89</w:t>
      </w:r>
      <w:r w:rsidR="00BA1092" w:rsidRPr="00EE6053">
        <w:t xml:space="preserve"> </w:t>
      </w:r>
      <w:r w:rsidR="00EE6053" w:rsidRPr="00EE6053">
        <w:t>m² have been installed</w:t>
      </w:r>
      <w:r w:rsidR="002C368F" w:rsidRPr="002C368F">
        <w:t xml:space="preserve"> </w:t>
      </w:r>
      <w:r w:rsidR="002C368F">
        <w:t xml:space="preserve">and </w:t>
      </w:r>
      <w:r w:rsidR="002C368F" w:rsidRPr="00EE6053">
        <w:t>fixed to the floor slabs using facade anchors</w:t>
      </w:r>
      <w:r w:rsidR="002C368F">
        <w:t>. The west side features</w:t>
      </w:r>
      <w:r w:rsidR="00EE6053" w:rsidRPr="00EE6053">
        <w:t xml:space="preserve"> </w:t>
      </w:r>
      <w:r w:rsidR="002C368F">
        <w:t>3</w:t>
      </w:r>
      <w:r w:rsidR="00EE6053" w:rsidRPr="00EE6053">
        <w:t xml:space="preserve"> modules with a total area of </w:t>
      </w:r>
      <w:r w:rsidR="002C368F">
        <w:t>30</w:t>
      </w:r>
      <w:r w:rsidR="00EE6053" w:rsidRPr="00EE6053">
        <w:t xml:space="preserve"> m²</w:t>
      </w:r>
      <w:r w:rsidR="002C368F">
        <w:t>.</w:t>
      </w:r>
      <w:r w:rsidRPr="00250028">
        <w:t xml:space="preserve"> All active </w:t>
      </w:r>
      <w:r w:rsidR="002C368F">
        <w:t>façade</w:t>
      </w:r>
      <w:r w:rsidRPr="00250028">
        <w:t xml:space="preserve"> elements are connected to the supply and return lines via flexible hoses with </w:t>
      </w:r>
      <w:r w:rsidR="00B7445D">
        <w:t>plug-in</w:t>
      </w:r>
      <w:r w:rsidRPr="00250028">
        <w:t xml:space="preserve"> fittings, following the </w:t>
      </w:r>
      <w:proofErr w:type="spellStart"/>
      <w:r w:rsidRPr="00250028">
        <w:t>Tichelmann</w:t>
      </w:r>
      <w:proofErr w:type="spellEnd"/>
      <w:r w:rsidRPr="00250028">
        <w:t xml:space="preserve"> principle.</w:t>
      </w:r>
      <w:r>
        <w:t xml:space="preserve"> </w:t>
      </w:r>
      <w:r w:rsidR="00EE6053" w:rsidRPr="00EE6053">
        <w:t xml:space="preserve">From the various phases leading up to the </w:t>
      </w:r>
      <w:r w:rsidR="00EE6053">
        <w:t>commissioning</w:t>
      </w:r>
      <w:r w:rsidR="00EE6053" w:rsidRPr="00EE6053">
        <w:t xml:space="preserve"> of the </w:t>
      </w:r>
      <w:r w:rsidR="002C368F">
        <w:t>façade</w:t>
      </w:r>
      <w:r w:rsidR="00EE6053" w:rsidRPr="00EE6053">
        <w:t>, the following key insights and differences from conventional processes can be identified</w:t>
      </w:r>
      <w:r>
        <w:t>:</w:t>
      </w:r>
    </w:p>
    <w:p w14:paraId="459B4A62" w14:textId="18204939" w:rsidR="00250028" w:rsidRDefault="00250028" w:rsidP="00087CD7">
      <w:pPr>
        <w:pStyle w:val="SWCBulletedList"/>
        <w:tabs>
          <w:tab w:val="clear" w:pos="1654"/>
          <w:tab w:val="num" w:pos="1418"/>
        </w:tabs>
        <w:ind w:left="426" w:hanging="426"/>
        <w:jc w:val="both"/>
      </w:pPr>
      <w:r>
        <w:t xml:space="preserve">Planning: </w:t>
      </w:r>
      <w:r w:rsidR="00EE6053" w:rsidRPr="00EE6053">
        <w:t>Due to the different skills required</w:t>
      </w:r>
      <w:r w:rsidR="002C368F">
        <w:t xml:space="preserve"> for the task</w:t>
      </w:r>
      <w:r w:rsidR="00EE6053" w:rsidRPr="00EE6053">
        <w:t xml:space="preserve">, the </w:t>
      </w:r>
      <w:r w:rsidR="002C368F">
        <w:t>façade</w:t>
      </w:r>
      <w:r w:rsidR="00EE6053" w:rsidRPr="00EE6053">
        <w:t xml:space="preserve"> design called for close collaboration among manufacturers (concrete </w:t>
      </w:r>
      <w:r w:rsidR="002C368F">
        <w:t>façade</w:t>
      </w:r>
      <w:r w:rsidR="00EE6053" w:rsidRPr="00EE6053">
        <w:t xml:space="preserve"> and heat exchanger), the housing company’s </w:t>
      </w:r>
      <w:r w:rsidR="002A6923">
        <w:t>technical</w:t>
      </w:r>
      <w:r w:rsidR="00EE6053" w:rsidRPr="00EE6053">
        <w:t xml:space="preserve"> planners, and researchers.</w:t>
      </w:r>
      <w:r>
        <w:t xml:space="preserve"> </w:t>
      </w:r>
      <w:r w:rsidR="003E030F" w:rsidRPr="003E030F">
        <w:t xml:space="preserve">For future applications, the </w:t>
      </w:r>
      <w:r w:rsidR="003E030F">
        <w:t xml:space="preserve">mentioned </w:t>
      </w:r>
      <w:r w:rsidR="003E030F" w:rsidRPr="003E030F">
        <w:t xml:space="preserve">guidelines and planning tool are aimed at empowering </w:t>
      </w:r>
      <w:r w:rsidR="002C368F">
        <w:t>façade</w:t>
      </w:r>
      <w:r w:rsidR="003E030F" w:rsidRPr="003E030F">
        <w:t xml:space="preserve"> manufacturers to independently design projects using their innovative solar-active products</w:t>
      </w:r>
      <w:r w:rsidR="009059FD">
        <w:t>;</w:t>
      </w:r>
    </w:p>
    <w:p w14:paraId="71816751" w14:textId="764A61DF" w:rsidR="00250028" w:rsidRDefault="00250028" w:rsidP="00087CD7">
      <w:pPr>
        <w:pStyle w:val="SWCBulletedList"/>
        <w:tabs>
          <w:tab w:val="clear" w:pos="1654"/>
          <w:tab w:val="num" w:pos="1418"/>
        </w:tabs>
        <w:ind w:left="426" w:hanging="426"/>
        <w:jc w:val="both"/>
      </w:pPr>
      <w:r>
        <w:t xml:space="preserve">Manufacturing: </w:t>
      </w:r>
      <w:r w:rsidR="003E030F" w:rsidRPr="003E030F">
        <w:t xml:space="preserve">Production at </w:t>
      </w:r>
      <w:proofErr w:type="spellStart"/>
      <w:r w:rsidR="003E030F" w:rsidRPr="003E030F">
        <w:t>Hemmerlein</w:t>
      </w:r>
      <w:proofErr w:type="spellEnd"/>
      <w:r w:rsidR="003E030F" w:rsidRPr="003E030F">
        <w:t xml:space="preserve"> Company proceeded as planned.</w:t>
      </w:r>
      <w:r>
        <w:t xml:space="preserve"> </w:t>
      </w:r>
      <w:r w:rsidR="003E030F" w:rsidRPr="003E030F">
        <w:t xml:space="preserve">In addition to integrating the capillary tube mats by fixing them to the reinforcement, another important step is to perform </w:t>
      </w:r>
      <w:r w:rsidR="00D03C9D">
        <w:t xml:space="preserve">an air </w:t>
      </w:r>
      <w:r w:rsidR="003E030F" w:rsidRPr="003E030F">
        <w:t xml:space="preserve">pressure test on the mats before </w:t>
      </w:r>
      <w:r w:rsidR="003E030F">
        <w:t>embedding</w:t>
      </w:r>
      <w:r w:rsidR="003E030F" w:rsidRPr="003E030F">
        <w:t xml:space="preserve"> them in concrete</w:t>
      </w:r>
      <w:r w:rsidR="003E030F">
        <w:t>.</w:t>
      </w:r>
      <w:r>
        <w:t xml:space="preserve"> This</w:t>
      </w:r>
      <w:r w:rsidR="003E030F">
        <w:t xml:space="preserve"> </w:t>
      </w:r>
      <w:r>
        <w:t xml:space="preserve">process allowed the project team to detect damage to individual capillary tubes that would otherwise have resulted in leaks. The damaged mats were simply replaced, although repair options </w:t>
      </w:r>
      <w:r w:rsidR="00087CD7">
        <w:t xml:space="preserve">on-site </w:t>
      </w:r>
      <w:r>
        <w:t>are also conceivable</w:t>
      </w:r>
      <w:r w:rsidR="002C368F">
        <w:t xml:space="preserve"> and can be taken into consideration in future projects</w:t>
      </w:r>
      <w:r w:rsidR="009059FD">
        <w:t>;</w:t>
      </w:r>
    </w:p>
    <w:p w14:paraId="7CEF5ADB" w14:textId="4F9BD49D" w:rsidR="009059FD" w:rsidRDefault="009059FD" w:rsidP="00087CD7">
      <w:pPr>
        <w:pStyle w:val="SWCBulletedList"/>
        <w:tabs>
          <w:tab w:val="clear" w:pos="1654"/>
          <w:tab w:val="num" w:pos="1418"/>
        </w:tabs>
        <w:ind w:left="426" w:hanging="426"/>
        <w:jc w:val="both"/>
      </w:pPr>
      <w:r>
        <w:t xml:space="preserve">Transport: Compared to standard concrete elements, special care must be taken during the transport of active modules to protect the connection supports protruding from the concrete. </w:t>
      </w:r>
      <w:r w:rsidR="002C368F">
        <w:t>In</w:t>
      </w:r>
      <w:r w:rsidR="003E030F" w:rsidRPr="003E030F">
        <w:t xml:space="preserve"> the project, the connections on two modules were damaged and had to be repaired on</w:t>
      </w:r>
      <w:r w:rsidR="002C368F">
        <w:t>-</w:t>
      </w:r>
      <w:r w:rsidR="003E030F" w:rsidRPr="003E030F">
        <w:t>site at considerable time and expense. Optimization approaches should be developed in the future to both protect the connection fittings of the capillary tube mats and facilitate repairs</w:t>
      </w:r>
      <w:r>
        <w:t>;</w:t>
      </w:r>
    </w:p>
    <w:p w14:paraId="22D1AE9D" w14:textId="7A91A053" w:rsidR="009059FD" w:rsidRDefault="009059FD" w:rsidP="00087CD7">
      <w:pPr>
        <w:pStyle w:val="SWCBulletedList"/>
        <w:tabs>
          <w:tab w:val="clear" w:pos="1654"/>
          <w:tab w:val="num" w:pos="1418"/>
        </w:tabs>
        <w:ind w:left="426" w:hanging="426"/>
        <w:jc w:val="both"/>
      </w:pPr>
      <w:r>
        <w:t xml:space="preserve">Installation: Due to the shallow ventilation </w:t>
      </w:r>
      <w:r w:rsidR="003E030F">
        <w:t xml:space="preserve">gap </w:t>
      </w:r>
      <w:r>
        <w:t>of 4</w:t>
      </w:r>
      <w:r w:rsidR="00087CD7">
        <w:t xml:space="preserve"> to 5</w:t>
      </w:r>
      <w:r>
        <w:t xml:space="preserve"> cm, the hydraulic design and pipe </w:t>
      </w:r>
      <w:r w:rsidR="00C855FC">
        <w:t>layout</w:t>
      </w:r>
      <w:r w:rsidR="00087CD7">
        <w:t xml:space="preserve"> - </w:t>
      </w:r>
      <w:r>
        <w:t xml:space="preserve">while complying with the minimum building physics requirements for rear-ventilated facades (cavity depth &gt; 2 cm) </w:t>
      </w:r>
      <w:r w:rsidR="001F4FCC">
        <w:t xml:space="preserve">- </w:t>
      </w:r>
      <w:r>
        <w:t xml:space="preserve">proved to be major challenges during both planning and installation. </w:t>
      </w:r>
      <w:r w:rsidR="001F4FCC" w:rsidRPr="001F4FCC">
        <w:t xml:space="preserve">In this project, horizontal pipe </w:t>
      </w:r>
      <w:r w:rsidR="001F4FCC" w:rsidRPr="001F4FCC">
        <w:lastRenderedPageBreak/>
        <w:t xml:space="preserve">installation was avoided </w:t>
      </w:r>
      <w:r w:rsidR="00C855FC">
        <w:t>if feasible</w:t>
      </w:r>
      <w:r w:rsidR="001F4FCC" w:rsidRPr="001F4FCC">
        <w:t xml:space="preserve">; for future applications, </w:t>
      </w:r>
      <w:r w:rsidR="00C855FC">
        <w:t xml:space="preserve">a </w:t>
      </w:r>
      <w:r w:rsidR="001F4FCC" w:rsidRPr="001F4FCC">
        <w:t xml:space="preserve">larger gap and the use of </w:t>
      </w:r>
      <w:r w:rsidR="001F4FCC">
        <w:t>not-</w:t>
      </w:r>
      <w:r w:rsidR="001F4FCC" w:rsidRPr="001F4FCC">
        <w:t>insulated pipes are recommended</w:t>
      </w:r>
      <w:r>
        <w:t xml:space="preserve">. Prior to installation and hydraulic connection, additional </w:t>
      </w:r>
      <w:r w:rsidR="00D03C9D">
        <w:t>ai</w:t>
      </w:r>
      <w:r w:rsidR="00DF3B8A">
        <w:t xml:space="preserve">r </w:t>
      </w:r>
      <w:r>
        <w:t xml:space="preserve">pressure tests were conducted to </w:t>
      </w:r>
      <w:r w:rsidR="00C855FC">
        <w:t xml:space="preserve">identify </w:t>
      </w:r>
      <w:r>
        <w:t xml:space="preserve">potential leaks, </w:t>
      </w:r>
      <w:r w:rsidR="00C855FC">
        <w:t xml:space="preserve">which could have occurred during transport, </w:t>
      </w:r>
      <w:r>
        <w:t xml:space="preserve">followed by the </w:t>
      </w:r>
      <w:r w:rsidR="00DF3B8A">
        <w:t>deairing</w:t>
      </w:r>
      <w:r>
        <w:t xml:space="preserve"> of the modules. Thermographic images of the </w:t>
      </w:r>
      <w:r w:rsidR="00D03C9D">
        <w:t>façade</w:t>
      </w:r>
      <w:r>
        <w:t xml:space="preserve"> have proven to be a practical means </w:t>
      </w:r>
      <w:r w:rsidR="00C024E2">
        <w:t xml:space="preserve">of </w:t>
      </w:r>
      <w:r w:rsidR="00126D4F">
        <w:t>verifying</w:t>
      </w:r>
      <w:r w:rsidR="00C024E2">
        <w:t xml:space="preserve"> the correct flow through the individual elements</w:t>
      </w:r>
      <w:r>
        <w:t>;</w:t>
      </w:r>
    </w:p>
    <w:p w14:paraId="3236DC7B" w14:textId="494A02C4" w:rsidR="00204DF8" w:rsidRDefault="009059FD" w:rsidP="00087CD7">
      <w:pPr>
        <w:pStyle w:val="SWCBulletedList"/>
        <w:tabs>
          <w:tab w:val="clear" w:pos="1654"/>
          <w:tab w:val="num" w:pos="1418"/>
        </w:tabs>
        <w:ind w:left="426" w:hanging="426"/>
        <w:jc w:val="both"/>
      </w:pPr>
      <w:r w:rsidRPr="009059FD">
        <w:t xml:space="preserve">Operation: An inherent advantage of rear-ventilated </w:t>
      </w:r>
      <w:r w:rsidR="00D03C9D">
        <w:t>façade</w:t>
      </w:r>
      <w:r w:rsidRPr="009059FD">
        <w:t xml:space="preserve">s with regard to maintenance, repair, and potential replacement of modules is the ease with which the </w:t>
      </w:r>
      <w:r w:rsidR="00D03C9D">
        <w:t>façade</w:t>
      </w:r>
      <w:r w:rsidRPr="009059FD">
        <w:t xml:space="preserve"> can be inspected. However, in the case of the unique </w:t>
      </w:r>
      <w:r w:rsidR="00D03C9D">
        <w:t>façade</w:t>
      </w:r>
      <w:r w:rsidRPr="009059FD">
        <w:t xml:space="preserve"> of the building in Pforzheim, </w:t>
      </w:r>
      <w:r w:rsidR="00DF3B8A">
        <w:t>removing</w:t>
      </w:r>
      <w:r w:rsidRPr="009059FD">
        <w:t xml:space="preserve"> the concrete elements</w:t>
      </w:r>
      <w:r w:rsidR="00DF3B8A">
        <w:t xml:space="preserve"> -</w:t>
      </w:r>
      <w:r w:rsidR="00087CD7">
        <w:t xml:space="preserve"> </w:t>
      </w:r>
      <w:r w:rsidRPr="009059FD">
        <w:t>which weigh several metric tons</w:t>
      </w:r>
      <w:r w:rsidR="00087CD7">
        <w:t xml:space="preserve"> - </w:t>
      </w:r>
      <w:r w:rsidRPr="009059FD">
        <w:t>would be possible only with considerable effort.</w:t>
      </w:r>
    </w:p>
    <w:p w14:paraId="57591EE6" w14:textId="3FC097D9" w:rsidR="00D6129B" w:rsidRDefault="00D6129B" w:rsidP="0072658C">
      <w:pPr>
        <w:pStyle w:val="SWCHeading11"/>
        <w:spacing w:before="240"/>
      </w:pPr>
      <w:r>
        <w:t>3.2.</w:t>
      </w:r>
      <w:r>
        <w:tab/>
        <w:t xml:space="preserve">Multifamily </w:t>
      </w:r>
      <w:r w:rsidR="00087CD7">
        <w:t>building</w:t>
      </w:r>
      <w:r>
        <w:t xml:space="preserve"> in Hannover</w:t>
      </w:r>
    </w:p>
    <w:p w14:paraId="17304AAB" w14:textId="7CCDE38B" w:rsidR="00250028" w:rsidRDefault="00A11C3E" w:rsidP="00D6129B">
      <w:pPr>
        <w:pStyle w:val="SWCHeading11"/>
      </w:pPr>
      <w:r>
        <w:t>3</w:t>
      </w:r>
      <w:r w:rsidR="00D6129B">
        <w:t>.2.1.</w:t>
      </w:r>
      <w:r w:rsidR="00D6129B">
        <w:tab/>
        <w:t>Overall system</w:t>
      </w:r>
    </w:p>
    <w:p w14:paraId="48BDE454" w14:textId="6251E7B8" w:rsidR="00D6129B" w:rsidRDefault="00D6129B" w:rsidP="00D6129B">
      <w:pPr>
        <w:pStyle w:val="SWCText"/>
      </w:pPr>
      <w:r w:rsidRPr="00D6129B">
        <w:t xml:space="preserve">The second pilot plant is located in a residential </w:t>
      </w:r>
      <w:r w:rsidR="00D03C9D">
        <w:t xml:space="preserve">district </w:t>
      </w:r>
      <w:r w:rsidRPr="00D6129B">
        <w:t xml:space="preserve">in Hanover </w:t>
      </w:r>
      <w:r w:rsidR="00DF3B8A">
        <w:t xml:space="preserve">(Germany) </w:t>
      </w:r>
      <w:r w:rsidRPr="00D6129B">
        <w:t>and consists of 4-story building wings with 1</w:t>
      </w:r>
      <w:r w:rsidR="00A11C3E">
        <w:t>1</w:t>
      </w:r>
      <w:r w:rsidRPr="00D6129B">
        <w:t xml:space="preserve"> apartment buildings and over 100 residential units, as well as </w:t>
      </w:r>
      <w:r w:rsidR="00A11C3E">
        <w:t xml:space="preserve">12 </w:t>
      </w:r>
      <w:r w:rsidRPr="00D6129B">
        <w:t xml:space="preserve">additional commercial units that are currently undergoing energy-efficiency </w:t>
      </w:r>
      <w:r w:rsidRPr="0051698D">
        <w:t xml:space="preserve">renovations (see </w:t>
      </w:r>
      <w:r w:rsidRPr="0051698D">
        <w:rPr>
          <w:b/>
        </w:rPr>
        <w:t>Figure 7</w:t>
      </w:r>
      <w:r w:rsidRPr="0051698D">
        <w:t>). The</w:t>
      </w:r>
      <w:r w:rsidRPr="00D6129B">
        <w:t xml:space="preserve"> renovated buildings are being gradually connected to a new 2-pipe local heating network. The original heat supply </w:t>
      </w:r>
      <w:r w:rsidR="00DF3B8A">
        <w:t xml:space="preserve">solution </w:t>
      </w:r>
      <w:r w:rsidRPr="00D6129B">
        <w:t xml:space="preserve">via gas-fired individual heating systems is being replaced by a centralized, trivalent system comprising a brine-to-water heat pump, a cogeneration unit (CHP) partially powered by biogas, and a gas-fired peak-load boiler also partially powered by biogas. Domestic hot water </w:t>
      </w:r>
      <w:r w:rsidR="00087CD7">
        <w:t>is</w:t>
      </w:r>
      <w:r w:rsidRPr="00D6129B">
        <w:t xml:space="preserve"> </w:t>
      </w:r>
      <w:r>
        <w:t>provided</w:t>
      </w:r>
      <w:r w:rsidRPr="00D6129B">
        <w:t xml:space="preserve"> via </w:t>
      </w:r>
      <w:r w:rsidR="00DF3B8A">
        <w:t>h</w:t>
      </w:r>
      <w:r w:rsidR="00D03C9D">
        <w:t>eat interface units</w:t>
      </w:r>
      <w:r w:rsidRPr="00D6129B">
        <w:t>. The heat pump (</w:t>
      </w:r>
      <w:r w:rsidR="00087CD7">
        <w:t>power =</w:t>
      </w:r>
      <w:r w:rsidRPr="00D6129B">
        <w:t xml:space="preserve"> 38 </w:t>
      </w:r>
      <w:proofErr w:type="spellStart"/>
      <w:r w:rsidRPr="00D6129B">
        <w:t>kW</w:t>
      </w:r>
      <w:r w:rsidRPr="00A11C3E">
        <w:rPr>
          <w:vertAlign w:val="subscript"/>
        </w:rPr>
        <w:t>th</w:t>
      </w:r>
      <w:proofErr w:type="spellEnd"/>
      <w:r w:rsidRPr="00D6129B">
        <w:t xml:space="preserve"> and COP </w:t>
      </w:r>
      <w:r w:rsidR="00087CD7">
        <w:t xml:space="preserve">= </w:t>
      </w:r>
      <w:r w:rsidRPr="00D6129B">
        <w:t>4.8 at B0/W35, 2-stage) handles the preheating to 50 °C, while the power-controlled CHP unit (</w:t>
      </w:r>
      <w:r w:rsidR="00087CD7">
        <w:t>power</w:t>
      </w:r>
      <w:r w:rsidRPr="00D6129B">
        <w:t xml:space="preserve"> 33</w:t>
      </w:r>
      <w:r>
        <w:t xml:space="preserve"> </w:t>
      </w:r>
      <w:r w:rsidR="00087CD7">
        <w:t>to</w:t>
      </w:r>
      <w:r>
        <w:t xml:space="preserve"> </w:t>
      </w:r>
      <w:r w:rsidRPr="00D6129B">
        <w:t xml:space="preserve">51 </w:t>
      </w:r>
      <w:proofErr w:type="spellStart"/>
      <w:r w:rsidRPr="00D6129B">
        <w:t>kW</w:t>
      </w:r>
      <w:r w:rsidRPr="00A11C3E">
        <w:rPr>
          <w:vertAlign w:val="subscript"/>
        </w:rPr>
        <w:t>th</w:t>
      </w:r>
      <w:proofErr w:type="spellEnd"/>
      <w:r w:rsidRPr="00D6129B">
        <w:t xml:space="preserve">) </w:t>
      </w:r>
      <w:r w:rsidR="00DF3B8A">
        <w:t>provides</w:t>
      </w:r>
      <w:r w:rsidRPr="00D6129B">
        <w:t xml:space="preserve"> the </w:t>
      </w:r>
      <w:r w:rsidR="00C878E6">
        <w:t xml:space="preserve">final </w:t>
      </w:r>
      <w:r w:rsidRPr="00D6129B">
        <w:t>heating to the supply temperature</w:t>
      </w:r>
      <w:r w:rsidR="00C878E6">
        <w:t xml:space="preserve"> of the local heating network</w:t>
      </w:r>
      <w:r w:rsidRPr="00D6129B">
        <w:t>. This ambitious renovation is expected to reduce the heating load by 70%, resulting in a total annual heat demand of 38</w:t>
      </w:r>
      <w:r w:rsidR="00A82A93">
        <w:t>4</w:t>
      </w:r>
      <w:r w:rsidRPr="00D6129B">
        <w:t xml:space="preserve"> MWh.</w:t>
      </w:r>
    </w:p>
    <w:p w14:paraId="3B82CF68" w14:textId="4031ED34" w:rsidR="00D6129B" w:rsidRDefault="00D6129B" w:rsidP="00D6129B">
      <w:pPr>
        <w:rPr>
          <w:lang w:val="en-GB"/>
        </w:rPr>
      </w:pPr>
      <w:r w:rsidRPr="00766123">
        <w:rPr>
          <w:noProof/>
        </w:rPr>
        <w:drawing>
          <wp:inline distT="0" distB="0" distL="0" distR="0" wp14:anchorId="5665AA79" wp14:editId="1549C1D8">
            <wp:extent cx="5760085" cy="2583311"/>
            <wp:effectExtent l="0" t="0" r="0" b="762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760085" cy="2583311"/>
                    </a:xfrm>
                    <a:prstGeom prst="rect">
                      <a:avLst/>
                    </a:prstGeom>
                    <a:noFill/>
                    <a:ln>
                      <a:noFill/>
                    </a:ln>
                  </pic:spPr>
                </pic:pic>
              </a:graphicData>
            </a:graphic>
          </wp:inline>
        </w:drawing>
      </w:r>
    </w:p>
    <w:p w14:paraId="37520ACA" w14:textId="503E0448" w:rsidR="00D6129B" w:rsidRDefault="00CE1795" w:rsidP="00CE1795">
      <w:pPr>
        <w:pStyle w:val="SWCTableFigureCaption"/>
      </w:pPr>
      <w:r w:rsidRPr="00CE1795">
        <w:t>Figure 7: Building complex (left</w:t>
      </w:r>
      <w:r w:rsidR="0094553A">
        <w:t xml:space="preserve">, </w:t>
      </w:r>
      <w:proofErr w:type="spellStart"/>
      <w:r w:rsidR="00A82A93">
        <w:t>Foto</w:t>
      </w:r>
      <w:proofErr w:type="spellEnd"/>
      <w:r w:rsidR="00A82A93">
        <w:t xml:space="preserve">: </w:t>
      </w:r>
      <w:r w:rsidR="0094553A">
        <w:t>Google Maps</w:t>
      </w:r>
      <w:r w:rsidRPr="00CE1795">
        <w:t xml:space="preserve">) and south </w:t>
      </w:r>
      <w:r w:rsidR="001E4925">
        <w:t xml:space="preserve">façade </w:t>
      </w:r>
      <w:r w:rsidRPr="00CE1795">
        <w:t xml:space="preserve">of the demonstration building </w:t>
      </w:r>
      <w:r w:rsidR="00087CD7">
        <w:t xml:space="preserve">(right) </w:t>
      </w:r>
      <w:r w:rsidRPr="00CE1795">
        <w:t xml:space="preserve">before the </w:t>
      </w:r>
      <w:r w:rsidR="00DF3B8A">
        <w:t>energetic</w:t>
      </w:r>
      <w:r w:rsidRPr="00CE1795">
        <w:t xml:space="preserve"> renovation</w:t>
      </w:r>
    </w:p>
    <w:p w14:paraId="48F7D482" w14:textId="697C67C7" w:rsidR="00CE1795" w:rsidRDefault="00CE1795" w:rsidP="00CE1795">
      <w:pPr>
        <w:pStyle w:val="SWCText"/>
      </w:pPr>
      <w:r w:rsidRPr="00CE1795">
        <w:t xml:space="preserve">As with the demonstration building in Pforzheim, </w:t>
      </w:r>
      <w:r w:rsidR="00087CD7">
        <w:t>a preliminary analysis in</w:t>
      </w:r>
      <w:r w:rsidRPr="00CE1795">
        <w:t xml:space="preserve"> the planning phase </w:t>
      </w:r>
      <w:r w:rsidR="00087CD7">
        <w:t>revealed</w:t>
      </w:r>
      <w:r w:rsidR="00024ED5">
        <w:t xml:space="preserve"> </w:t>
      </w:r>
      <w:r w:rsidR="00087CD7">
        <w:t>that the</w:t>
      </w:r>
      <w:r w:rsidRPr="00CE1795">
        <w:t xml:space="preserve"> </w:t>
      </w:r>
      <w:r w:rsidR="00024ED5">
        <w:t xml:space="preserve">available </w:t>
      </w:r>
      <w:r w:rsidRPr="00CE1795">
        <w:t xml:space="preserve">space in the inner courtyard was a critical factor for the </w:t>
      </w:r>
      <w:r w:rsidR="00024ED5">
        <w:t>necessary size of the</w:t>
      </w:r>
      <w:r w:rsidRPr="00CE1795">
        <w:t xml:space="preserve"> </w:t>
      </w:r>
      <w:r w:rsidR="00087CD7">
        <w:t>BHE</w:t>
      </w:r>
      <w:r w:rsidRPr="00CE1795">
        <w:t xml:space="preserve"> field</w:t>
      </w:r>
      <w:r w:rsidR="00C878E6">
        <w:t xml:space="preserve"> to supply the heat pump system</w:t>
      </w:r>
      <w:r w:rsidRPr="00CE1795">
        <w:t xml:space="preserve">, and that the property was ideally suited for testing alternative heat and </w:t>
      </w:r>
      <w:r w:rsidR="00F52A80">
        <w:t>regeneration</w:t>
      </w:r>
      <w:r w:rsidRPr="00CE1795">
        <w:t xml:space="preserve"> sources. Here, too, the design was the result of a collaboration between the housing company Gundlach</w:t>
      </w:r>
      <w:r w:rsidR="00024ED5">
        <w:t xml:space="preserve"> GmbH</w:t>
      </w:r>
      <w:r w:rsidRPr="00CE1795">
        <w:t xml:space="preserve">, its </w:t>
      </w:r>
      <w:r w:rsidR="001E4925">
        <w:t>technical</w:t>
      </w:r>
      <w:r w:rsidRPr="00CE1795">
        <w:t xml:space="preserve"> planners, and the ISFH, with the ISFH focusing on the detailed design of the building services </w:t>
      </w:r>
      <w:r w:rsidR="00024ED5">
        <w:t xml:space="preserve">engineering </w:t>
      </w:r>
      <w:r w:rsidRPr="00CE1795">
        <w:t xml:space="preserve">using </w:t>
      </w:r>
      <w:r w:rsidR="00C878E6">
        <w:t xml:space="preserve">system simulations with </w:t>
      </w:r>
      <w:r w:rsidRPr="00CE1795">
        <w:t>TRNSYS.</w:t>
      </w:r>
      <w:r>
        <w:t xml:space="preserve"> </w:t>
      </w:r>
    </w:p>
    <w:p w14:paraId="57E88424" w14:textId="3112D1EA" w:rsidR="00D6129B" w:rsidRDefault="00CE1795" w:rsidP="00CE1795">
      <w:pPr>
        <w:pStyle w:val="SWCText"/>
      </w:pPr>
      <w:r w:rsidRPr="00CE1795">
        <w:t xml:space="preserve">After conducting comparative studies of various solutions, the housing company selected a combination of a thermally activated metal </w:t>
      </w:r>
      <w:r w:rsidR="00024ED5">
        <w:t xml:space="preserve">façade </w:t>
      </w:r>
      <w:r w:rsidRPr="00CE1795">
        <w:t xml:space="preserve">and a solar air absorber </w:t>
      </w:r>
      <w:r w:rsidR="00F52A80">
        <w:t>field</w:t>
      </w:r>
      <w:r w:rsidRPr="00CE1795">
        <w:t xml:space="preserve"> from the company Viessmann as supplementary heat source</w:t>
      </w:r>
      <w:r w:rsidR="00C878E6">
        <w:t>s</w:t>
      </w:r>
      <w:r w:rsidR="00024ED5">
        <w:t xml:space="preserve"> for the heat pump system</w:t>
      </w:r>
      <w:r w:rsidRPr="00CE1795">
        <w:t xml:space="preserve">. </w:t>
      </w:r>
      <w:r w:rsidR="001E4925">
        <w:t>Our</w:t>
      </w:r>
      <w:r w:rsidRPr="00CE1795">
        <w:t xml:space="preserve"> simulations show that 85 m² of south-facing </w:t>
      </w:r>
      <w:r w:rsidR="00F52A80">
        <w:t xml:space="preserve">façade </w:t>
      </w:r>
      <w:r w:rsidRPr="00CE1795">
        <w:t xml:space="preserve">and 43 m² of solar air absorbers, by directly reducing the load on </w:t>
      </w:r>
      <w:r w:rsidR="00F52A80">
        <w:t xml:space="preserve">the ground source </w:t>
      </w:r>
      <w:r w:rsidRPr="00CE1795">
        <w:t xml:space="preserve">and regenerating </w:t>
      </w:r>
      <w:r w:rsidR="00F52A80">
        <w:t>it</w:t>
      </w:r>
      <w:r w:rsidRPr="00CE1795">
        <w:t xml:space="preserve">, can reduce the number of </w:t>
      </w:r>
      <w:r w:rsidR="00024ED5">
        <w:t>BHE</w:t>
      </w:r>
      <w:r w:rsidRPr="00CE1795">
        <w:t xml:space="preserve"> by 42%</w:t>
      </w:r>
      <w:r w:rsidR="00024ED5">
        <w:t xml:space="preserve"> - </w:t>
      </w:r>
      <w:r w:rsidRPr="00CE1795">
        <w:t>from 24 to 14 (</w:t>
      </w:r>
      <w:r w:rsidR="00024ED5">
        <w:t xml:space="preserve">BHE </w:t>
      </w:r>
      <w:r w:rsidRPr="00CE1795">
        <w:t>length 66 m)</w:t>
      </w:r>
      <w:r w:rsidR="00024ED5">
        <w:t xml:space="preserve"> - </w:t>
      </w:r>
      <w:r w:rsidRPr="00CE1795">
        <w:t xml:space="preserve">thereby enabling the system to be installed in the inner courtyard of the building complex. The design </w:t>
      </w:r>
      <w:r w:rsidR="00C878E6">
        <w:t>is</w:t>
      </w:r>
      <w:r w:rsidRPr="00CE1795">
        <w:t xml:space="preserve"> conservative, </w:t>
      </w:r>
      <w:proofErr w:type="gramStart"/>
      <w:r w:rsidRPr="00CE1795">
        <w:t>taking into account</w:t>
      </w:r>
      <w:proofErr w:type="gramEnd"/>
      <w:r w:rsidRPr="00CE1795">
        <w:t xml:space="preserve"> significant shading of the facade and roof. The sensitivity analysis conducted shows that the metal facade can deliver </w:t>
      </w:r>
      <w:r w:rsidR="00414EA7">
        <w:t>in average 25</w:t>
      </w:r>
      <w:r w:rsidRPr="00CE1795">
        <w:t xml:space="preserve"> MWh/a, and the solar air </w:t>
      </w:r>
      <w:r w:rsidRPr="00CE1795">
        <w:lastRenderedPageBreak/>
        <w:t>absorber 4</w:t>
      </w:r>
      <w:r w:rsidR="00414EA7">
        <w:t>2</w:t>
      </w:r>
      <w:r w:rsidRPr="00CE1795">
        <w:t xml:space="preserve"> MWh/a.</w:t>
      </w:r>
    </w:p>
    <w:p w14:paraId="4DFAD872" w14:textId="278D41C7" w:rsidR="00CE1795" w:rsidRDefault="00CE1795" w:rsidP="00CE1795">
      <w:pPr>
        <w:pStyle w:val="SWCText"/>
      </w:pPr>
      <w:r>
        <w:t xml:space="preserve">Based on the simulation results, the system was implemented and completed in December 2024. </w:t>
      </w:r>
      <w:r w:rsidR="001E4925">
        <w:t>Differently from</w:t>
      </w:r>
      <w:r>
        <w:t xml:space="preserve"> the original design, 17 </w:t>
      </w:r>
      <w:r w:rsidR="001E4925">
        <w:t>BHE</w:t>
      </w:r>
      <w:r>
        <w:t xml:space="preserve"> were installed because the planned depth could not be reached in all boreholes. The </w:t>
      </w:r>
      <w:r w:rsidR="005244D4">
        <w:t>size</w:t>
      </w:r>
      <w:r>
        <w:t xml:space="preserve"> of the solar </w:t>
      </w:r>
      <w:r w:rsidR="005244D4">
        <w:t xml:space="preserve">façade </w:t>
      </w:r>
      <w:r>
        <w:t>was also reduced to 6</w:t>
      </w:r>
      <w:r w:rsidR="00F52A80">
        <w:t>0</w:t>
      </w:r>
      <w:r>
        <w:t xml:space="preserve"> m² for </w:t>
      </w:r>
      <w:r w:rsidR="00024ED5">
        <w:t>constructive</w:t>
      </w:r>
      <w:r>
        <w:t xml:space="preserve"> reasons. The ISFH conducted a</w:t>
      </w:r>
      <w:r w:rsidR="00C878E6">
        <w:t xml:space="preserve">n </w:t>
      </w:r>
      <w:r w:rsidR="00024ED5">
        <w:t>additional</w:t>
      </w:r>
      <w:r>
        <w:t xml:space="preserve"> </w:t>
      </w:r>
      <w:r w:rsidRPr="00A535DD">
        <w:t xml:space="preserve">simulation-based assessment of the sustainable operation of the final configuration. Commissioning, including measurement and data acquisition technology, took place in March 2025. </w:t>
      </w:r>
      <w:r w:rsidR="001C6787" w:rsidRPr="00A535DD">
        <w:t>Due to technical problems with the hydraulics of both additional heat sources</w:t>
      </w:r>
      <w:r w:rsidR="005B35FF" w:rsidRPr="00A535DD">
        <w:t xml:space="preserve"> and</w:t>
      </w:r>
      <w:r w:rsidR="001C6787" w:rsidRPr="00A535DD">
        <w:t xml:space="preserve"> the </w:t>
      </w:r>
      <w:r w:rsidR="005B35FF" w:rsidRPr="00A535DD">
        <w:t xml:space="preserve">overall </w:t>
      </w:r>
      <w:r w:rsidR="001C6787" w:rsidRPr="00A535DD">
        <w:t xml:space="preserve">system controlling </w:t>
      </w:r>
      <w:r w:rsidR="005B35FF" w:rsidRPr="00A535DD">
        <w:t xml:space="preserve">as well as </w:t>
      </w:r>
      <w:r w:rsidR="00A535DD">
        <w:t xml:space="preserve">to </w:t>
      </w:r>
      <w:r w:rsidR="005B35FF" w:rsidRPr="00A535DD">
        <w:t xml:space="preserve">the failure of </w:t>
      </w:r>
      <w:r w:rsidR="001C6787" w:rsidRPr="00A535DD">
        <w:t xml:space="preserve">the heat interface units </w:t>
      </w:r>
      <w:r w:rsidR="005B35FF" w:rsidRPr="00A535DD">
        <w:t xml:space="preserve">in </w:t>
      </w:r>
      <w:r w:rsidR="001C6787" w:rsidRPr="00A535DD">
        <w:t>several apartments, the heat pump system hasn’t operated long enough to enable a feasible performance assessment</w:t>
      </w:r>
      <w:r w:rsidR="00BE37FA" w:rsidRPr="00A535DD">
        <w:t xml:space="preserve"> so far</w:t>
      </w:r>
      <w:r w:rsidR="001C6787" w:rsidRPr="00A535DD">
        <w:t xml:space="preserve">. </w:t>
      </w:r>
      <w:r w:rsidR="00BE37FA" w:rsidRPr="00A535DD">
        <w:t xml:space="preserve">The scientific </w:t>
      </w:r>
      <w:r w:rsidRPr="00A535DD">
        <w:t xml:space="preserve">monitoring </w:t>
      </w:r>
      <w:r w:rsidR="005B35FF" w:rsidRPr="00A535DD">
        <w:t xml:space="preserve">has nevertheless proved to be a valuable means to </w:t>
      </w:r>
      <w:r w:rsidR="00BE37FA" w:rsidRPr="00A535DD">
        <w:t>verify the correct functionality of the components</w:t>
      </w:r>
      <w:r w:rsidR="005B35FF" w:rsidRPr="00A535DD">
        <w:t xml:space="preserve"> and</w:t>
      </w:r>
      <w:r w:rsidR="00BE37FA" w:rsidRPr="00A535DD">
        <w:t xml:space="preserve"> will carry on till the</w:t>
      </w:r>
      <w:r w:rsidR="00F52A80" w:rsidRPr="00A535DD">
        <w:t xml:space="preserve"> </w:t>
      </w:r>
      <w:r w:rsidR="00DF423D" w:rsidRPr="00A535DD">
        <w:t>s</w:t>
      </w:r>
      <w:r w:rsidR="00F52A80" w:rsidRPr="00A535DD">
        <w:t xml:space="preserve">ummer </w:t>
      </w:r>
      <w:r w:rsidR="00BE37FA" w:rsidRPr="00A535DD">
        <w:t xml:space="preserve">of </w:t>
      </w:r>
      <w:r w:rsidR="00F52A80" w:rsidRPr="00A535DD">
        <w:t>2027</w:t>
      </w:r>
      <w:r w:rsidRPr="00A535DD">
        <w:t xml:space="preserve">, </w:t>
      </w:r>
      <w:r w:rsidR="00A535DD">
        <w:t xml:space="preserve">with the aim of evaluating the system and specifically the </w:t>
      </w:r>
      <w:r w:rsidRPr="00A535DD">
        <w:t>two regeneration sources</w:t>
      </w:r>
      <w:r w:rsidR="00A535DD">
        <w:t xml:space="preserve"> as well as to identify optimization potential</w:t>
      </w:r>
      <w:r w:rsidRPr="00A535DD">
        <w:t>.</w:t>
      </w:r>
      <w:r w:rsidR="00DF423D">
        <w:t xml:space="preserve"> </w:t>
      </w:r>
    </w:p>
    <w:p w14:paraId="02EAF4BC" w14:textId="1146AEE9" w:rsidR="00CE1795" w:rsidRDefault="00024ED5" w:rsidP="00CE1795">
      <w:pPr>
        <w:pStyle w:val="SWCText"/>
      </w:pPr>
      <w:r w:rsidRPr="00024ED5">
        <w:t xml:space="preserve">As with the demonstration building in Pforzheim, the planning and construction phases </w:t>
      </w:r>
      <w:r w:rsidR="00A11C3E">
        <w:t>nevertheless</w:t>
      </w:r>
      <w:r w:rsidR="00A11C3E" w:rsidRPr="00024ED5">
        <w:t xml:space="preserve"> </w:t>
      </w:r>
      <w:r w:rsidRPr="00024ED5">
        <w:t>provide valuable insights, particularly regarding the complexity of the system and source management, as well as costs and optimization strategies.</w:t>
      </w:r>
    </w:p>
    <w:p w14:paraId="5252C42B" w14:textId="5FB0ED25" w:rsidR="00D6129B" w:rsidRDefault="00CE1795" w:rsidP="00CE1795">
      <w:pPr>
        <w:pStyle w:val="SWCHeading11"/>
      </w:pPr>
      <w:r w:rsidRPr="00CE1795">
        <w:t>3.2.2.</w:t>
      </w:r>
      <w:r w:rsidRPr="00CE1795">
        <w:tab/>
      </w:r>
      <w:r>
        <w:t>Solar-active metal façade</w:t>
      </w:r>
    </w:p>
    <w:p w14:paraId="25778824" w14:textId="642CBB60" w:rsidR="00CE1795" w:rsidRDefault="00CE1795" w:rsidP="00CE1795">
      <w:pPr>
        <w:pStyle w:val="SWCText"/>
      </w:pPr>
      <w:r w:rsidRPr="00CE1795">
        <w:t xml:space="preserve">The </w:t>
      </w:r>
      <w:r>
        <w:t>r</w:t>
      </w:r>
      <w:r w:rsidRPr="00CE1795">
        <w:t>ear</w:t>
      </w:r>
      <w:r>
        <w:t>-</w:t>
      </w:r>
      <w:r w:rsidRPr="00CE1795">
        <w:t>ventilat</w:t>
      </w:r>
      <w:r>
        <w:t xml:space="preserve">ed façade </w:t>
      </w:r>
      <w:r w:rsidRPr="00CE1795">
        <w:t>on the south side of the renovated building consists of limestone masonry (24 cm), insulation (18 cm</w:t>
      </w:r>
      <w:r w:rsidR="00DF423D">
        <w:t xml:space="preserve"> mineral wool</w:t>
      </w:r>
      <w:r w:rsidRPr="00CE1795">
        <w:t xml:space="preserve">), ventilation </w:t>
      </w:r>
      <w:r w:rsidR="00F4586A">
        <w:t xml:space="preserve">gap </w:t>
      </w:r>
      <w:r w:rsidRPr="00CE1795">
        <w:t xml:space="preserve">(7 cm), and of powder-coated aluminum </w:t>
      </w:r>
      <w:r w:rsidR="00A11C3E">
        <w:t xml:space="preserve">panels </w:t>
      </w:r>
      <w:r w:rsidRPr="00CE1795">
        <w:t>(3 mm). Of the total 120 m², 6</w:t>
      </w:r>
      <w:r>
        <w:t>0</w:t>
      </w:r>
      <w:r w:rsidRPr="00CE1795">
        <w:t xml:space="preserve"> m² have been equipped with solar </w:t>
      </w:r>
      <w:r w:rsidR="003F5EC2">
        <w:t xml:space="preserve">active </w:t>
      </w:r>
      <w:r w:rsidRPr="00CE1795">
        <w:t xml:space="preserve">modules, with heat transfer achieved via a mechanically fastened metal heat exchanger mounted on the back of the modules. Here, too, various </w:t>
      </w:r>
      <w:r w:rsidR="003F5EC2">
        <w:t>façade</w:t>
      </w:r>
      <w:r w:rsidRPr="00CE1795">
        <w:t xml:space="preserve"> configurations</w:t>
      </w:r>
      <w:r>
        <w:t xml:space="preserve"> - </w:t>
      </w:r>
      <w:r w:rsidRPr="00CE1795">
        <w:t>particularly heat exchangers and corresponding mounting systems</w:t>
      </w:r>
      <w:r>
        <w:t xml:space="preserve"> - </w:t>
      </w:r>
      <w:r w:rsidRPr="00CE1795">
        <w:t xml:space="preserve">were examined during the first phase of the </w:t>
      </w:r>
      <w:r w:rsidRPr="005244D4">
        <w:t>project (</w:t>
      </w:r>
      <w:r w:rsidR="005244D4" w:rsidRPr="005244D4">
        <w:t>Frick, 2022</w:t>
      </w:r>
      <w:r w:rsidRPr="005244D4">
        <w:t>).</w:t>
      </w:r>
      <w:r w:rsidRPr="00CE1795">
        <w:t xml:space="preserve"> The implemented anthracite-gray variant corresponds to the </w:t>
      </w:r>
      <w:r w:rsidR="003F5EC2">
        <w:t xml:space="preserve">façade </w:t>
      </w:r>
      <w:r w:rsidRPr="00CE1795">
        <w:t xml:space="preserve">that </w:t>
      </w:r>
      <w:r w:rsidR="005B428C">
        <w:t xml:space="preserve">has been </w:t>
      </w:r>
      <w:r w:rsidRPr="00CE1795">
        <w:t xml:space="preserve">exposed to long-term testing at ISFH. The energy performance data correspond to the performance values used in the simulation study from Section 2. The active modules are hydraulically connected to the manifold pipes via flexible hoses with plug-in </w:t>
      </w:r>
      <w:r w:rsidR="0076482F">
        <w:t>fittings</w:t>
      </w:r>
      <w:r w:rsidRPr="00CE1795">
        <w:t xml:space="preserve">. The </w:t>
      </w:r>
      <w:r w:rsidR="003F5EC2">
        <w:t xml:space="preserve">façade </w:t>
      </w:r>
      <w:r w:rsidRPr="00CE1795">
        <w:t xml:space="preserve">layout and </w:t>
      </w:r>
      <w:r w:rsidR="005B428C">
        <w:t>hydraulic</w:t>
      </w:r>
      <w:r w:rsidRPr="00CE1795">
        <w:t xml:space="preserve"> </w:t>
      </w:r>
      <w:r w:rsidR="005B428C">
        <w:t>schema</w:t>
      </w:r>
      <w:r w:rsidRPr="00CE1795">
        <w:t xml:space="preserve"> are shown in </w:t>
      </w:r>
      <w:r w:rsidRPr="005B428C">
        <w:rPr>
          <w:b/>
        </w:rPr>
        <w:t>Figure 8</w:t>
      </w:r>
      <w:r w:rsidRPr="00CE1795">
        <w:t>.</w:t>
      </w:r>
    </w:p>
    <w:p w14:paraId="79E96D97" w14:textId="646EEFE8" w:rsidR="00CE1795" w:rsidRDefault="00D02E44" w:rsidP="00D6129B">
      <w:pPr>
        <w:rPr>
          <w:lang w:val="en-GB"/>
        </w:rPr>
      </w:pPr>
      <w:r w:rsidRPr="00D02E44">
        <w:rPr>
          <w:noProof/>
        </w:rPr>
        <w:drawing>
          <wp:inline distT="0" distB="0" distL="0" distR="0" wp14:anchorId="1D2060C8" wp14:editId="56B8641F">
            <wp:extent cx="5761990" cy="207915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1990" cy="2079158"/>
                    </a:xfrm>
                    <a:prstGeom prst="rect">
                      <a:avLst/>
                    </a:prstGeom>
                    <a:noFill/>
                    <a:ln>
                      <a:noFill/>
                    </a:ln>
                  </pic:spPr>
                </pic:pic>
              </a:graphicData>
            </a:graphic>
          </wp:inline>
        </w:drawing>
      </w:r>
    </w:p>
    <w:p w14:paraId="20BB2C02" w14:textId="0552DD23" w:rsidR="005B428C" w:rsidRDefault="005B428C" w:rsidP="0072658C">
      <w:pPr>
        <w:pStyle w:val="SWCTableFigureCaption"/>
        <w:spacing w:before="120"/>
      </w:pPr>
      <w:r w:rsidRPr="005B428C">
        <w:t xml:space="preserve">Figure 8: Renovated south </w:t>
      </w:r>
      <w:r w:rsidR="00D02E44">
        <w:t>façade</w:t>
      </w:r>
      <w:r w:rsidRPr="005B428C">
        <w:t xml:space="preserve"> of the demonstration building (left), hydraulic system (center), and a close-up of the solar-thermal </w:t>
      </w:r>
      <w:r w:rsidR="00D02E44">
        <w:t>façade</w:t>
      </w:r>
      <w:r w:rsidRPr="005B428C">
        <w:t xml:space="preserve"> modules (right)</w:t>
      </w:r>
    </w:p>
    <w:p w14:paraId="52A891AA" w14:textId="6B100224" w:rsidR="005B428C" w:rsidRPr="005B428C" w:rsidRDefault="005B428C" w:rsidP="005B428C">
      <w:pPr>
        <w:pStyle w:val="SWCText"/>
      </w:pPr>
      <w:r w:rsidRPr="005B428C">
        <w:t xml:space="preserve">In addition to the aspects already mentioned for the demonstration building in Pforzheim, the following findings should be noted regarding the </w:t>
      </w:r>
      <w:r w:rsidR="002855EC">
        <w:t xml:space="preserve">façade </w:t>
      </w:r>
      <w:r w:rsidRPr="005B428C">
        <w:t>in Hanover:</w:t>
      </w:r>
    </w:p>
    <w:p w14:paraId="27E8FD9A" w14:textId="2898FB65" w:rsidR="005B428C" w:rsidRPr="005B428C" w:rsidRDefault="005B428C" w:rsidP="00A95499">
      <w:pPr>
        <w:pStyle w:val="SWCBulletedList"/>
        <w:tabs>
          <w:tab w:val="clear" w:pos="1654"/>
          <w:tab w:val="num" w:pos="1418"/>
        </w:tabs>
        <w:ind w:left="426" w:hanging="426"/>
        <w:jc w:val="both"/>
      </w:pPr>
      <w:r w:rsidRPr="005B428C">
        <w:t xml:space="preserve">Planning: </w:t>
      </w:r>
      <w:r w:rsidR="003F5EC2">
        <w:t>Compared to</w:t>
      </w:r>
      <w:r w:rsidR="003F5EC2" w:rsidRPr="005B428C">
        <w:t xml:space="preserve"> conventional projects</w:t>
      </w:r>
      <w:r w:rsidR="003F5EC2">
        <w:t>, th</w:t>
      </w:r>
      <w:r w:rsidRPr="005B428C">
        <w:t xml:space="preserve">e planning process proved to be more complex for the facade manufacturer. </w:t>
      </w:r>
      <w:r w:rsidR="00381554" w:rsidRPr="00381554">
        <w:t>A critical factor here was the high degree of detail in the facade, which was primarily due to the building’s structural characteristics (</w:t>
      </w:r>
      <w:r w:rsidR="0076482F">
        <w:t>front gable and</w:t>
      </w:r>
      <w:r w:rsidR="00381554" w:rsidRPr="00381554">
        <w:t xml:space="preserve"> chimney) but also to the need to ensure that selected cladding elements could be inspected.</w:t>
      </w:r>
      <w:r w:rsidR="00381554">
        <w:t xml:space="preserve"> </w:t>
      </w:r>
      <w:r w:rsidRPr="005B428C">
        <w:t xml:space="preserve">The solar-thermal activation of the </w:t>
      </w:r>
      <w:r w:rsidR="002855EC">
        <w:t xml:space="preserve">façade </w:t>
      </w:r>
      <w:r w:rsidRPr="005B428C">
        <w:t>elements resulted in only a slight increase in system complexity;</w:t>
      </w:r>
    </w:p>
    <w:p w14:paraId="3055C46E" w14:textId="42C64C12" w:rsidR="005B428C" w:rsidRPr="005B428C" w:rsidRDefault="005B428C" w:rsidP="00A95499">
      <w:pPr>
        <w:pStyle w:val="SWCBulletedList"/>
        <w:tabs>
          <w:tab w:val="clear" w:pos="1654"/>
          <w:tab w:val="num" w:pos="1418"/>
        </w:tabs>
        <w:ind w:left="426" w:hanging="426"/>
        <w:jc w:val="both"/>
      </w:pPr>
      <w:r w:rsidRPr="005B428C">
        <w:t xml:space="preserve">Manufacturing: The production of the active modules proceeded without </w:t>
      </w:r>
      <w:r w:rsidR="00381554">
        <w:t>any problems</w:t>
      </w:r>
      <w:r w:rsidRPr="005B428C">
        <w:t xml:space="preserve">. The heat exchangers </w:t>
      </w:r>
      <w:r w:rsidR="0076482F">
        <w:t xml:space="preserve">of the prototypes </w:t>
      </w:r>
      <w:r w:rsidRPr="005B428C">
        <w:t xml:space="preserve">were </w:t>
      </w:r>
      <w:r w:rsidR="003F5EC2">
        <w:t>attached</w:t>
      </w:r>
      <w:r w:rsidRPr="005B428C">
        <w:t xml:space="preserve"> manually; for larger-scale production, streamlining of processes and automation of individual steps are feasible;</w:t>
      </w:r>
    </w:p>
    <w:p w14:paraId="655D6E60" w14:textId="78ADE68D" w:rsidR="005B428C" w:rsidRPr="005B428C" w:rsidRDefault="005B428C" w:rsidP="00A95499">
      <w:pPr>
        <w:pStyle w:val="SWCBulletedList"/>
        <w:tabs>
          <w:tab w:val="clear" w:pos="1654"/>
          <w:tab w:val="num" w:pos="1418"/>
        </w:tabs>
        <w:ind w:left="426" w:hanging="426"/>
        <w:jc w:val="both"/>
      </w:pPr>
      <w:r w:rsidRPr="005B428C">
        <w:t xml:space="preserve">Transport: </w:t>
      </w:r>
      <w:r w:rsidR="00381554" w:rsidRPr="00381554">
        <w:t xml:space="preserve">No particularly complex measures were required during transport compared to conventional </w:t>
      </w:r>
      <w:r w:rsidR="002855EC">
        <w:t>façades</w:t>
      </w:r>
      <w:r w:rsidR="00381554" w:rsidRPr="00381554">
        <w:t xml:space="preserve">, and no damage or other issues were </w:t>
      </w:r>
      <w:r w:rsidR="0076482F">
        <w:t>reported</w:t>
      </w:r>
      <w:r w:rsidRPr="005B428C">
        <w:t>;</w:t>
      </w:r>
    </w:p>
    <w:p w14:paraId="53FF37B3" w14:textId="1AC867E8" w:rsidR="005B428C" w:rsidRDefault="005B428C" w:rsidP="00A95499">
      <w:pPr>
        <w:pStyle w:val="SWCBulletedList"/>
        <w:tabs>
          <w:tab w:val="clear" w:pos="1654"/>
          <w:tab w:val="num" w:pos="1418"/>
        </w:tabs>
        <w:ind w:left="426" w:hanging="426"/>
        <w:jc w:val="both"/>
      </w:pPr>
      <w:r>
        <w:lastRenderedPageBreak/>
        <w:t xml:space="preserve">Installation: </w:t>
      </w:r>
      <w:r w:rsidR="00381554" w:rsidRPr="00381554">
        <w:t xml:space="preserve">By ensuring sufficient depth for the ventilation gap (7 cm) and omitting pipe insulation, </w:t>
      </w:r>
      <w:r w:rsidR="00AA0F1F">
        <w:t xml:space="preserve">the </w:t>
      </w:r>
      <w:r w:rsidR="00381554" w:rsidRPr="00381554">
        <w:t xml:space="preserve">building physics requirements for rear-ventilated </w:t>
      </w:r>
      <w:r w:rsidR="002855EC">
        <w:t>façade</w:t>
      </w:r>
      <w:r w:rsidR="00381554" w:rsidRPr="00381554">
        <w:t xml:space="preserve">s </w:t>
      </w:r>
      <w:r w:rsidR="00AA0F1F">
        <w:t xml:space="preserve">could be </w:t>
      </w:r>
      <w:r w:rsidR="00381554" w:rsidRPr="00381554">
        <w:t>met</w:t>
      </w:r>
      <w:r w:rsidR="00381554">
        <w:t xml:space="preserve"> without</w:t>
      </w:r>
      <w:r w:rsidR="00AA0F1F">
        <w:t xml:space="preserve"> any problems</w:t>
      </w:r>
      <w:r w:rsidR="00381554" w:rsidRPr="00381554">
        <w:t>.</w:t>
      </w:r>
      <w:r>
        <w:t xml:space="preserve"> Due to the small diameters of the prototype heat exchanger</w:t>
      </w:r>
      <w:r w:rsidR="00AA0F1F">
        <w:t xml:space="preserve"> pipes</w:t>
      </w:r>
      <w:r>
        <w:t>, all modules were connected in parallel to minimize pressure loss, which resulted in a higher</w:t>
      </w:r>
      <w:r w:rsidR="00C92734">
        <w:t xml:space="preserve"> complexity of</w:t>
      </w:r>
      <w:r>
        <w:t xml:space="preserve"> the hydraulic system. However, the use of larger pipe diameters is possible for future production</w:t>
      </w:r>
      <w:r w:rsidR="00AA0F1F">
        <w:t>s</w:t>
      </w:r>
      <w:r>
        <w:t>;</w:t>
      </w:r>
    </w:p>
    <w:p w14:paraId="4796FEEF" w14:textId="0EB2A470" w:rsidR="00CE1795" w:rsidRPr="005B428C" w:rsidRDefault="005B428C" w:rsidP="00A95499">
      <w:pPr>
        <w:pStyle w:val="SWCBulletedList"/>
        <w:tabs>
          <w:tab w:val="clear" w:pos="1654"/>
          <w:tab w:val="num" w:pos="1418"/>
        </w:tabs>
        <w:ind w:left="426" w:hanging="426"/>
        <w:jc w:val="both"/>
      </w:pPr>
      <w:r>
        <w:t>Operation: Compared to the project in Pforzheim, the construction in Hanover more closely resembles a traditional rear</w:t>
      </w:r>
      <w:r w:rsidR="00AA0F1F">
        <w:t>-</w:t>
      </w:r>
      <w:r>
        <w:t>ventilat</w:t>
      </w:r>
      <w:r w:rsidR="00AA0F1F">
        <w:t>ed facade</w:t>
      </w:r>
      <w:r>
        <w:t xml:space="preserve">, featuring a standard substructure and lighter, more manageable cladding elements. </w:t>
      </w:r>
      <w:r w:rsidR="00A95499" w:rsidRPr="00A95499">
        <w:t xml:space="preserve">At critical points, accessible modules were integrated to facilitate easy maintenance during operation. While all modules can be made accessible using </w:t>
      </w:r>
      <w:r w:rsidR="00A95499">
        <w:t xml:space="preserve">commercially </w:t>
      </w:r>
      <w:r w:rsidR="00A95499" w:rsidRPr="00A95499">
        <w:t xml:space="preserve">available </w:t>
      </w:r>
      <w:r w:rsidR="00A95499">
        <w:t>mounting elements</w:t>
      </w:r>
      <w:r w:rsidR="00A95499" w:rsidRPr="00A95499">
        <w:t xml:space="preserve">, this is not always intended in practice and was </w:t>
      </w:r>
      <w:r w:rsidR="0076482F">
        <w:t xml:space="preserve">also </w:t>
      </w:r>
      <w:r w:rsidR="00A95499" w:rsidRPr="00A95499">
        <w:t>not implemented in this project.</w:t>
      </w:r>
    </w:p>
    <w:p w14:paraId="3A350FB5" w14:textId="0285E812" w:rsidR="005B428C" w:rsidRDefault="00F1685C" w:rsidP="00A8754D">
      <w:pPr>
        <w:pStyle w:val="SWCHeading1"/>
      </w:pPr>
      <w:r>
        <w:t>Summary</w:t>
      </w:r>
      <w:r w:rsidR="00A8754D">
        <w:t xml:space="preserve"> </w:t>
      </w:r>
    </w:p>
    <w:p w14:paraId="4563B12B" w14:textId="34FC6D1D" w:rsidR="00A8754D" w:rsidRDefault="00A8754D" w:rsidP="00A8754D">
      <w:pPr>
        <w:pStyle w:val="SWCText"/>
      </w:pPr>
      <w:r>
        <w:t xml:space="preserve">Accessing heat sources for retrofitting </w:t>
      </w:r>
      <w:r w:rsidR="00A95499">
        <w:t xml:space="preserve">multifamily </w:t>
      </w:r>
      <w:r>
        <w:t xml:space="preserve">buildings with heat pump systems poses a major challenge, especially in densely built-up urban areas. Solar thermal energy offers an alternative to conventional </w:t>
      </w:r>
      <w:r w:rsidR="00CF460F">
        <w:t>solutions</w:t>
      </w:r>
      <w:r>
        <w:t xml:space="preserve"> such as air or g</w:t>
      </w:r>
      <w:r w:rsidR="00FE71E8">
        <w:t>eothermal energy</w:t>
      </w:r>
      <w:r>
        <w:t xml:space="preserve">, both as a standalone and as a supplementary source. This paper analyzes the potential of </w:t>
      </w:r>
      <w:r w:rsidR="00CF460F">
        <w:t>solar-active façade</w:t>
      </w:r>
      <w:r>
        <w:t>s</w:t>
      </w:r>
      <w:r w:rsidR="00CF460F">
        <w:t xml:space="preserve"> </w:t>
      </w:r>
      <w:r>
        <w:t xml:space="preserve">in combination with </w:t>
      </w:r>
      <w:r w:rsidR="00A95499">
        <w:t>BHE</w:t>
      </w:r>
      <w:r>
        <w:t xml:space="preserve"> systems based on a theoretical </w:t>
      </w:r>
      <w:r w:rsidR="00F1685C">
        <w:t xml:space="preserve">simulation </w:t>
      </w:r>
      <w:r>
        <w:t>study and two completed demonstration buildings.</w:t>
      </w:r>
    </w:p>
    <w:p w14:paraId="1C909504" w14:textId="77777777" w:rsidR="00A8754D" w:rsidRDefault="00A8754D" w:rsidP="00A8754D">
      <w:pPr>
        <w:pStyle w:val="SWCText"/>
      </w:pPr>
      <w:r>
        <w:t>The following findings can be summarized from the theoretical analysis:</w:t>
      </w:r>
    </w:p>
    <w:p w14:paraId="493D91B5" w14:textId="084A80D7" w:rsidR="00A8754D" w:rsidRDefault="002855EC" w:rsidP="00F1685C">
      <w:pPr>
        <w:pStyle w:val="SWCBulletedList"/>
        <w:tabs>
          <w:tab w:val="clear" w:pos="1654"/>
          <w:tab w:val="num" w:pos="1418"/>
        </w:tabs>
        <w:ind w:left="426" w:hanging="426"/>
        <w:jc w:val="both"/>
      </w:pPr>
      <w:r>
        <w:t>Façades</w:t>
      </w:r>
      <w:r w:rsidR="00A8754D">
        <w:t xml:space="preserve"> offer enough area to sustainably regenerate </w:t>
      </w:r>
      <w:r w:rsidR="00A95499">
        <w:t>BHE</w:t>
      </w:r>
      <w:r w:rsidR="00A8754D">
        <w:t xml:space="preserve"> fields and </w:t>
      </w:r>
      <w:r w:rsidR="00FE71E8">
        <w:t xml:space="preserve">can </w:t>
      </w:r>
      <w:r w:rsidR="00A8754D">
        <w:t xml:space="preserve">reduce the </w:t>
      </w:r>
      <w:r w:rsidR="00FE71E8">
        <w:t>size</w:t>
      </w:r>
      <w:r w:rsidR="00A8754D">
        <w:t xml:space="preserve"> required </w:t>
      </w:r>
      <w:r w:rsidR="00FE71E8">
        <w:t xml:space="preserve">to supply a building of 8 residential units </w:t>
      </w:r>
      <w:r w:rsidR="00A8754D">
        <w:t xml:space="preserve">by </w:t>
      </w:r>
      <w:r w:rsidR="00FE71E8">
        <w:t xml:space="preserve">up to </w:t>
      </w:r>
      <w:r w:rsidR="00A11C3E">
        <w:t>36</w:t>
      </w:r>
      <w:r w:rsidR="00FE71E8">
        <w:t>%.</w:t>
      </w:r>
      <w:r w:rsidR="00A8754D">
        <w:t xml:space="preserve"> This </w:t>
      </w:r>
      <w:r w:rsidR="00F1685C">
        <w:t xml:space="preserve">approach </w:t>
      </w:r>
      <w:r w:rsidR="00A8754D">
        <w:t>increases the implementation potential of these highly efficient heat pump systems;</w:t>
      </w:r>
    </w:p>
    <w:p w14:paraId="0D6FF678" w14:textId="7086936C" w:rsidR="00A8754D" w:rsidRDefault="00A8754D" w:rsidP="00F1685C">
      <w:pPr>
        <w:pStyle w:val="SWCBulletedList"/>
        <w:tabs>
          <w:tab w:val="clear" w:pos="1654"/>
          <w:tab w:val="num" w:pos="1418"/>
        </w:tabs>
        <w:ind w:left="426" w:hanging="426"/>
        <w:jc w:val="both"/>
      </w:pPr>
      <w:r>
        <w:t xml:space="preserve">Since </w:t>
      </w:r>
      <w:r w:rsidR="00FE71E8">
        <w:t xml:space="preserve">this kind of </w:t>
      </w:r>
      <w:r>
        <w:t xml:space="preserve">facades primarily operate at low temperatures (&lt; 30 °C) and largely utilize ambient heat, shading, orientation, and color play a less significant role than in </w:t>
      </w:r>
      <w:r w:rsidR="00CF460F">
        <w:t>common</w:t>
      </w:r>
      <w:r>
        <w:t xml:space="preserve"> solar thermal </w:t>
      </w:r>
      <w:r w:rsidR="00A95499">
        <w:t>applications</w:t>
      </w:r>
      <w:r>
        <w:t>;</w:t>
      </w:r>
    </w:p>
    <w:p w14:paraId="3A988E62" w14:textId="576848D0" w:rsidR="00A8754D" w:rsidRDefault="00A8754D" w:rsidP="00F1685C">
      <w:pPr>
        <w:pStyle w:val="SWCBulletedList"/>
        <w:tabs>
          <w:tab w:val="clear" w:pos="1654"/>
          <w:tab w:val="num" w:pos="1418"/>
        </w:tabs>
        <w:ind w:left="426" w:hanging="426"/>
        <w:jc w:val="both"/>
      </w:pPr>
      <w:r>
        <w:t xml:space="preserve">This greater flexibility meets the aesthetic and design </w:t>
      </w:r>
      <w:r w:rsidR="00F1685C">
        <w:t>demands</w:t>
      </w:r>
      <w:r>
        <w:t xml:space="preserve"> of architects and building owners</w:t>
      </w:r>
      <w:r w:rsidR="00F1685C">
        <w:t>, thus</w:t>
      </w:r>
      <w:r>
        <w:t xml:space="preserve"> </w:t>
      </w:r>
      <w:r w:rsidR="00A95499">
        <w:t>provid</w:t>
      </w:r>
      <w:r w:rsidR="00F1685C">
        <w:t>ing</w:t>
      </w:r>
      <w:r w:rsidR="00A95499">
        <w:t xml:space="preserve"> a convincing argument for t</w:t>
      </w:r>
      <w:r>
        <w:t xml:space="preserve">he energy retrofitting of </w:t>
      </w:r>
      <w:r w:rsidR="00F1685C">
        <w:t>façade</w:t>
      </w:r>
      <w:r>
        <w:t xml:space="preserve">s in multifamily </w:t>
      </w:r>
      <w:r w:rsidR="00CF460F">
        <w:t>houses</w:t>
      </w:r>
      <w:r>
        <w:t>.</w:t>
      </w:r>
    </w:p>
    <w:p w14:paraId="5E590075" w14:textId="18054A09" w:rsidR="00A8754D" w:rsidRDefault="00A8754D" w:rsidP="00A8754D">
      <w:pPr>
        <w:pStyle w:val="SWCText"/>
      </w:pPr>
      <w:r>
        <w:t xml:space="preserve">Based on practical experience with the two completed buildings in Pforzheim and Hanover, the following conclusions can </w:t>
      </w:r>
      <w:r w:rsidR="00B12C53">
        <w:t xml:space="preserve">be </w:t>
      </w:r>
      <w:r>
        <w:t>drawn:</w:t>
      </w:r>
    </w:p>
    <w:p w14:paraId="17738304" w14:textId="37214691" w:rsidR="00A8754D" w:rsidRDefault="00A8754D" w:rsidP="00DF431A">
      <w:pPr>
        <w:pStyle w:val="SWCBulletedList"/>
        <w:tabs>
          <w:tab w:val="clear" w:pos="1654"/>
          <w:tab w:val="num" w:pos="1418"/>
        </w:tabs>
        <w:ind w:left="426" w:hanging="426"/>
        <w:jc w:val="both"/>
      </w:pPr>
      <w:r>
        <w:t xml:space="preserve">Lack of space is a real problem when implementing geothermal heat pump systems in urban areas. </w:t>
      </w:r>
      <w:r w:rsidR="00A95499" w:rsidRPr="00A95499">
        <w:t xml:space="preserve">Even a </w:t>
      </w:r>
      <w:r w:rsidR="002855EC">
        <w:t>25</w:t>
      </w:r>
      <w:r w:rsidR="00A95499" w:rsidRPr="00A95499">
        <w:t xml:space="preserve">% reduction in the required space </w:t>
      </w:r>
      <w:r w:rsidR="002855EC">
        <w:t xml:space="preserve">for the heat sources </w:t>
      </w:r>
      <w:r w:rsidR="00A95499" w:rsidRPr="00A95499">
        <w:t>can increase the chances of implementation</w:t>
      </w:r>
      <w:r>
        <w:t>;</w:t>
      </w:r>
    </w:p>
    <w:p w14:paraId="4575E341" w14:textId="7EB6FE24" w:rsidR="00A8754D" w:rsidRDefault="00A8754D" w:rsidP="00DF431A">
      <w:pPr>
        <w:pStyle w:val="SWCBulletedList"/>
        <w:tabs>
          <w:tab w:val="clear" w:pos="1654"/>
          <w:tab w:val="num" w:pos="1418"/>
        </w:tabs>
        <w:ind w:left="426" w:hanging="426"/>
        <w:jc w:val="both"/>
      </w:pPr>
      <w:r>
        <w:t>Innovative systems such as th</w:t>
      </w:r>
      <w:r w:rsidR="00497940">
        <w:t>os</w:t>
      </w:r>
      <w:r>
        <w:t xml:space="preserve">e </w:t>
      </w:r>
      <w:r w:rsidR="00497940">
        <w:t xml:space="preserve">investigated in this work </w:t>
      </w:r>
      <w:r>
        <w:t xml:space="preserve">require cross-trade collaboration, for which no trade is currently prepared. </w:t>
      </w:r>
      <w:r w:rsidR="00A95499">
        <w:t>T</w:t>
      </w:r>
      <w:r w:rsidR="00A95499" w:rsidRPr="00A95499">
        <w:t>his results in significantly more time and higher costs compared to standard solutions</w:t>
      </w:r>
      <w:r>
        <w:t xml:space="preserve">. </w:t>
      </w:r>
      <w:r w:rsidR="00CF460F">
        <w:t>T</w:t>
      </w:r>
      <w:r>
        <w:t xml:space="preserve">his problem </w:t>
      </w:r>
      <w:r w:rsidR="00CF460F">
        <w:t xml:space="preserve">is not new, but </w:t>
      </w:r>
      <w:r>
        <w:t>has long been re</w:t>
      </w:r>
      <w:r w:rsidR="00DF431A">
        <w:t>ported</w:t>
      </w:r>
      <w:r>
        <w:t xml:space="preserve"> in the context of building-integrated solar technologies (solar thermal</w:t>
      </w:r>
      <w:r w:rsidR="00CF460F">
        <w:t xml:space="preserve"> as well as</w:t>
      </w:r>
      <w:r>
        <w:t xml:space="preserve"> photovoltaics</w:t>
      </w:r>
      <w:r w:rsidR="0072658C">
        <w:t xml:space="preserve">, s. </w:t>
      </w:r>
      <w:proofErr w:type="spellStart"/>
      <w:r w:rsidR="0072658C">
        <w:t>Cappel</w:t>
      </w:r>
      <w:proofErr w:type="spellEnd"/>
      <w:r w:rsidR="0072658C">
        <w:t xml:space="preserve"> et al., 2014</w:t>
      </w:r>
      <w:r>
        <w:t>);</w:t>
      </w:r>
    </w:p>
    <w:p w14:paraId="569C144C" w14:textId="1E9078AC" w:rsidR="00A8754D" w:rsidRDefault="00DF431A" w:rsidP="00DF431A">
      <w:pPr>
        <w:pStyle w:val="SWCBulletedList"/>
        <w:tabs>
          <w:tab w:val="clear" w:pos="1654"/>
          <w:tab w:val="num" w:pos="1418"/>
        </w:tabs>
        <w:ind w:left="426" w:hanging="426"/>
        <w:jc w:val="both"/>
      </w:pPr>
      <w:r w:rsidRPr="00DF431A">
        <w:t xml:space="preserve">A </w:t>
      </w:r>
      <w:r w:rsidR="002855EC">
        <w:t xml:space="preserve">first </w:t>
      </w:r>
      <w:r w:rsidRPr="00DF431A">
        <w:t xml:space="preserve">key challenge is the planning and installation of the solar-active </w:t>
      </w:r>
      <w:r w:rsidR="002855EC">
        <w:t>façade</w:t>
      </w:r>
      <w:r w:rsidRPr="00DF431A">
        <w:t>, since neither manufacturers nor specialized designers currently possess the necessary expertise</w:t>
      </w:r>
      <w:r w:rsidR="00CF460F">
        <w:t xml:space="preserve"> for this task</w:t>
      </w:r>
      <w:r w:rsidRPr="00DF431A">
        <w:t>;</w:t>
      </w:r>
    </w:p>
    <w:p w14:paraId="4DD32E79" w14:textId="4A593D95" w:rsidR="001B14BA" w:rsidRDefault="00DF431A" w:rsidP="00DF431A">
      <w:pPr>
        <w:pStyle w:val="SWCBulletedList"/>
        <w:tabs>
          <w:tab w:val="clear" w:pos="1654"/>
          <w:tab w:val="num" w:pos="1418"/>
        </w:tabs>
        <w:ind w:left="426" w:hanging="426"/>
        <w:jc w:val="both"/>
      </w:pPr>
      <w:r w:rsidRPr="00DF431A">
        <w:t xml:space="preserve">A second critical point is the </w:t>
      </w:r>
      <w:r w:rsidR="00CF460F">
        <w:t>overall</w:t>
      </w:r>
      <w:r w:rsidRPr="00DF431A">
        <w:t xml:space="preserve"> system control, since commercially available solutions from system providers are generally not flexible and allow only limited extensions</w:t>
      </w:r>
      <w:r w:rsidR="00A8754D">
        <w:t>;</w:t>
      </w:r>
    </w:p>
    <w:p w14:paraId="7857F504" w14:textId="15394AC0" w:rsidR="005B428C" w:rsidRDefault="001B14BA" w:rsidP="00DF431A">
      <w:pPr>
        <w:pStyle w:val="SWCBulletedList"/>
        <w:tabs>
          <w:tab w:val="clear" w:pos="1654"/>
          <w:tab w:val="num" w:pos="1418"/>
        </w:tabs>
        <w:ind w:left="426" w:hanging="426"/>
        <w:jc w:val="both"/>
      </w:pPr>
      <w:r w:rsidRPr="001B14BA">
        <w:t xml:space="preserve">For these systems to gain a foothold in the market, detailed information is needed for all trades involved </w:t>
      </w:r>
      <w:r w:rsidR="0022277C">
        <w:t xml:space="preserve">in the process </w:t>
      </w:r>
      <w:r w:rsidRPr="001B14BA">
        <w:t>regarding the sizing of components and systems (</w:t>
      </w:r>
      <w:r w:rsidR="0022277C">
        <w:t>façade</w:t>
      </w:r>
      <w:r w:rsidRPr="001B14BA">
        <w:t xml:space="preserve"> area, hydraulic connections, interfaces, etc.) as well as the installation procedures and </w:t>
      </w:r>
      <w:r w:rsidR="0022277C">
        <w:t xml:space="preserve">specific </w:t>
      </w:r>
      <w:r w:rsidRPr="001B14BA">
        <w:t xml:space="preserve">responsibilities. </w:t>
      </w:r>
      <w:r w:rsidR="0022277C">
        <w:t>For this purpose</w:t>
      </w:r>
      <w:r w:rsidRPr="001B14BA">
        <w:t xml:space="preserve">, </w:t>
      </w:r>
      <w:r w:rsidR="00DF431A">
        <w:t xml:space="preserve">we are preparing </w:t>
      </w:r>
      <w:r w:rsidRPr="001B14BA">
        <w:t>a guide</w:t>
      </w:r>
      <w:r w:rsidR="00DF431A">
        <w:t>line</w:t>
      </w:r>
      <w:r w:rsidRPr="001B14BA">
        <w:t xml:space="preserve"> with </w:t>
      </w:r>
      <w:r w:rsidR="0022277C">
        <w:t xml:space="preserve">detailed </w:t>
      </w:r>
      <w:r w:rsidRPr="001B14BA">
        <w:t>instructions for each construction phase</w:t>
      </w:r>
      <w:r w:rsidR="00DF431A">
        <w:t>,</w:t>
      </w:r>
      <w:r w:rsidRPr="001B14BA">
        <w:t xml:space="preserve"> and </w:t>
      </w:r>
      <w:r w:rsidR="00DF431A">
        <w:t xml:space="preserve">developing </w:t>
      </w:r>
      <w:r w:rsidRPr="001B14BA">
        <w:t>a practical, freely available design tool</w:t>
      </w:r>
      <w:r w:rsidR="00B12C53">
        <w:t xml:space="preserve"> </w:t>
      </w:r>
      <w:r w:rsidR="00DF431A">
        <w:t xml:space="preserve">- </w:t>
      </w:r>
      <w:r w:rsidRPr="001B14BA">
        <w:t xml:space="preserve">based on the results of </w:t>
      </w:r>
      <w:r w:rsidR="0022277C">
        <w:t>our</w:t>
      </w:r>
      <w:r w:rsidRPr="001B14BA">
        <w:t xml:space="preserve"> coupled simulations with TRNSYS/E</w:t>
      </w:r>
      <w:r w:rsidR="00DF431A">
        <w:t>ED</w:t>
      </w:r>
      <w:r w:rsidR="0022277C">
        <w:t>-.</w:t>
      </w:r>
    </w:p>
    <w:p w14:paraId="2170D247" w14:textId="39746A19" w:rsidR="00497940" w:rsidRDefault="00497940" w:rsidP="00497940">
      <w:pPr>
        <w:pStyle w:val="SWCText"/>
      </w:pPr>
      <w:r w:rsidRPr="00497940">
        <w:t xml:space="preserve">The results to date for use </w:t>
      </w:r>
      <w:r w:rsidR="00DF431A">
        <w:t>of solar-active façade</w:t>
      </w:r>
      <w:r w:rsidR="00CF460F">
        <w:t>s</w:t>
      </w:r>
      <w:r w:rsidR="00DF431A">
        <w:t xml:space="preserve"> </w:t>
      </w:r>
      <w:r w:rsidRPr="00497940">
        <w:t xml:space="preserve">in combination with </w:t>
      </w:r>
      <w:r w:rsidR="00DF431A">
        <w:t>BHE systems</w:t>
      </w:r>
      <w:r w:rsidRPr="00497940">
        <w:t xml:space="preserve"> </w:t>
      </w:r>
      <w:r w:rsidR="00B12C53">
        <w:t>are</w:t>
      </w:r>
      <w:r w:rsidRPr="00497940">
        <w:t xml:space="preserve"> promising. However, future operational experience and the analysis of effort and costs</w:t>
      </w:r>
      <w:r w:rsidR="00DF431A">
        <w:t xml:space="preserve"> - </w:t>
      </w:r>
      <w:proofErr w:type="gramStart"/>
      <w:r w:rsidRPr="00497940">
        <w:t>taking into account</w:t>
      </w:r>
      <w:proofErr w:type="gramEnd"/>
      <w:r w:rsidRPr="00497940">
        <w:t xml:space="preserve"> feasible optimizations</w:t>
      </w:r>
      <w:r w:rsidR="00DF431A">
        <w:t xml:space="preserve"> - </w:t>
      </w:r>
      <w:r w:rsidRPr="00497940">
        <w:t xml:space="preserve">will be decisive for the </w:t>
      </w:r>
      <w:r w:rsidR="0022277C">
        <w:t xml:space="preserve">final </w:t>
      </w:r>
      <w:r w:rsidRPr="00497940">
        <w:t xml:space="preserve">evaluation. Other </w:t>
      </w:r>
      <w:r w:rsidR="0022277C">
        <w:t>heat supply concepts</w:t>
      </w:r>
      <w:r w:rsidRPr="00497940">
        <w:t xml:space="preserve"> </w:t>
      </w:r>
      <w:r w:rsidR="0022277C">
        <w:t>with active</w:t>
      </w:r>
      <w:r w:rsidRPr="00497940">
        <w:t xml:space="preserve"> </w:t>
      </w:r>
      <w:r w:rsidR="002855EC">
        <w:t>façade</w:t>
      </w:r>
      <w:r w:rsidRPr="00497940">
        <w:t>s</w:t>
      </w:r>
      <w:r w:rsidR="002855EC">
        <w:t xml:space="preserve"> </w:t>
      </w:r>
      <w:r w:rsidRPr="00497940">
        <w:t>are possible and being investigated in the project. In particular, their use as the sole heat pump source offers significant economic potential and could represent a very attractive solution for the market.</w:t>
      </w:r>
    </w:p>
    <w:p w14:paraId="358E6F7F" w14:textId="31BE2BB2" w:rsidR="001B14BA" w:rsidRDefault="001B14BA" w:rsidP="001B14BA">
      <w:pPr>
        <w:pStyle w:val="SWCHeading1"/>
      </w:pPr>
      <w:r>
        <w:t>Acknowledgment</w:t>
      </w:r>
    </w:p>
    <w:p w14:paraId="34582877" w14:textId="54D6DDDA" w:rsidR="001B14BA" w:rsidRDefault="001B14BA" w:rsidP="00497940">
      <w:pPr>
        <w:pStyle w:val="SWCText"/>
      </w:pPr>
      <w:r>
        <w:t xml:space="preserve">The work is based on the results of the project "Solar-VHF”, funded by the Lower Saxony Ministry of Science and </w:t>
      </w:r>
      <w:r>
        <w:lastRenderedPageBreak/>
        <w:t>Culture and by the German Federal Ministry of Economy and Energy (BMW</w:t>
      </w:r>
      <w:r w:rsidR="00497940">
        <w:t>E</w:t>
      </w:r>
      <w:r>
        <w:t>, reference number 03ETW013A-I), following a decision of the German Parliament. The investigations are carried out in cooperation with the Fraunhofer-</w:t>
      </w:r>
      <w:proofErr w:type="spellStart"/>
      <w:r>
        <w:t>Institut</w:t>
      </w:r>
      <w:proofErr w:type="spellEnd"/>
      <w:r>
        <w:t xml:space="preserve"> </w:t>
      </w:r>
      <w:proofErr w:type="spellStart"/>
      <w:r>
        <w:t>für</w:t>
      </w:r>
      <w:proofErr w:type="spellEnd"/>
      <w:r>
        <w:t xml:space="preserve"> </w:t>
      </w:r>
      <w:proofErr w:type="spellStart"/>
      <w:r>
        <w:t>Bauphysik</w:t>
      </w:r>
      <w:proofErr w:type="spellEnd"/>
      <w:r>
        <w:t xml:space="preserve"> </w:t>
      </w:r>
      <w:r w:rsidR="00E446C3">
        <w:t xml:space="preserve">IBP </w:t>
      </w:r>
      <w:r>
        <w:t xml:space="preserve">and the German companies </w:t>
      </w:r>
      <w:proofErr w:type="spellStart"/>
      <w:r>
        <w:t>Konvortec</w:t>
      </w:r>
      <w:proofErr w:type="spellEnd"/>
      <w:r>
        <w:t xml:space="preserve"> GmbH &amp; Co. </w:t>
      </w:r>
      <w:r w:rsidRPr="001B14BA">
        <w:rPr>
          <w:lang w:val="de-DE"/>
        </w:rPr>
        <w:t xml:space="preserve">KG, </w:t>
      </w:r>
      <w:proofErr w:type="spellStart"/>
      <w:r w:rsidRPr="001B14BA">
        <w:rPr>
          <w:lang w:val="de-DE"/>
        </w:rPr>
        <w:t>Systea</w:t>
      </w:r>
      <w:proofErr w:type="spellEnd"/>
      <w:r w:rsidRPr="001B14BA">
        <w:rPr>
          <w:lang w:val="de-DE"/>
        </w:rPr>
        <w:t xml:space="preserve"> GmbH, Gundlach GmbH &amp; Co. KG Wohnungsunternehmen, Pforzheimer Bau und Grund GmbH and </w:t>
      </w:r>
      <w:proofErr w:type="spellStart"/>
      <w:r w:rsidRPr="001B14BA">
        <w:rPr>
          <w:lang w:val="de-DE"/>
        </w:rPr>
        <w:t>Clina</w:t>
      </w:r>
      <w:proofErr w:type="spellEnd"/>
      <w:r w:rsidRPr="001B14BA">
        <w:rPr>
          <w:lang w:val="de-DE"/>
        </w:rPr>
        <w:t xml:space="preserve"> Heiz- und Kühlelemente GmbH. </w:t>
      </w:r>
      <w:r>
        <w:t>The authors are grateful for the support and responsible for the content of the publication.</w:t>
      </w:r>
    </w:p>
    <w:p w14:paraId="35152217" w14:textId="21702AB4" w:rsidR="001B14BA" w:rsidRDefault="001B14BA" w:rsidP="00497940">
      <w:pPr>
        <w:pStyle w:val="SWCHeading1"/>
      </w:pPr>
      <w:r>
        <w:t>References</w:t>
      </w:r>
    </w:p>
    <w:p w14:paraId="69D3A58D" w14:textId="1FBE5300" w:rsidR="00955EB3" w:rsidRPr="0051698D" w:rsidRDefault="00955EB3" w:rsidP="0051698D">
      <w:pPr>
        <w:pStyle w:val="SWCText"/>
        <w:rPr>
          <w:lang w:val="de-DE"/>
        </w:rPr>
      </w:pPr>
      <w:r w:rsidRPr="0051698D">
        <w:rPr>
          <w:lang w:val="de-DE"/>
        </w:rPr>
        <w:t>Bundestag, 1980. Bundesberggesetz (BBergG)</w:t>
      </w:r>
      <w:r w:rsidR="0072658C">
        <w:rPr>
          <w:lang w:val="de-DE"/>
        </w:rPr>
        <w:t>.</w:t>
      </w:r>
    </w:p>
    <w:p w14:paraId="77830828" w14:textId="4768EFA4" w:rsidR="00955EB3" w:rsidRPr="00DE60A0" w:rsidRDefault="00955EB3" w:rsidP="00DE60A0">
      <w:pPr>
        <w:pStyle w:val="SWCText"/>
        <w:rPr>
          <w:lang w:val="de-DE"/>
        </w:rPr>
      </w:pPr>
      <w:r w:rsidRPr="000F5D49">
        <w:rPr>
          <w:lang w:val="de-DE"/>
        </w:rPr>
        <w:t xml:space="preserve">Cappel, C., Streicher W., Lichtblau, F., Maurer, C., 2014. </w:t>
      </w:r>
      <w:r w:rsidRPr="00232814">
        <w:t xml:space="preserve">Barriers to the Market Penetration of Façade-integrated Solar Thermal Systems, Energy Procedia 48. </w:t>
      </w:r>
      <w:r w:rsidRPr="00983B55">
        <w:rPr>
          <w:lang w:val="de-DE"/>
        </w:rPr>
        <w:t xml:space="preserve">Internet: </w:t>
      </w:r>
      <w:hyperlink r:id="rId18" w:history="1">
        <w:r w:rsidRPr="00067847">
          <w:rPr>
            <w:rStyle w:val="Hyperlink"/>
            <w:lang w:val="de-DE"/>
          </w:rPr>
          <w:t>https://doi.org/10.1016/j.egypro.2014.02.151</w:t>
        </w:r>
      </w:hyperlink>
      <w:r w:rsidR="0072658C">
        <w:rPr>
          <w:rStyle w:val="Hyperlink"/>
          <w:lang w:val="de-DE"/>
        </w:rPr>
        <w:t>.</w:t>
      </w:r>
    </w:p>
    <w:p w14:paraId="78DCE2FC" w14:textId="1C9CD375" w:rsidR="00955EB3" w:rsidRPr="00955EB3" w:rsidRDefault="00955EB3" w:rsidP="00497940">
      <w:pPr>
        <w:pStyle w:val="SWCText"/>
      </w:pPr>
      <w:r w:rsidRPr="00983B55">
        <w:rPr>
          <w:lang w:val="de-DE"/>
        </w:rPr>
        <w:t xml:space="preserve">Carbonell, D., Schubert, M., Neugebauer, M., 2021. </w:t>
      </w:r>
      <w:r>
        <w:t xml:space="preserve">Assessment of solar ice systems for multifamily and tertiary buildings. </w:t>
      </w:r>
      <w:proofErr w:type="spellStart"/>
      <w:r w:rsidRPr="00955EB3">
        <w:t>Schlussbericht</w:t>
      </w:r>
      <w:proofErr w:type="spellEnd"/>
      <w:r w:rsidRPr="00955EB3">
        <w:t xml:space="preserve"> </w:t>
      </w:r>
      <w:proofErr w:type="spellStart"/>
      <w:r w:rsidRPr="00955EB3">
        <w:t>zum</w:t>
      </w:r>
      <w:proofErr w:type="spellEnd"/>
      <w:r w:rsidRPr="00955EB3">
        <w:t xml:space="preserve"> BFE-</w:t>
      </w:r>
      <w:proofErr w:type="spellStart"/>
      <w:r w:rsidRPr="00955EB3">
        <w:t>Projekt</w:t>
      </w:r>
      <w:proofErr w:type="spellEnd"/>
      <w:r w:rsidRPr="00955EB3">
        <w:t xml:space="preserve"> „Big </w:t>
      </w:r>
      <w:proofErr w:type="gramStart"/>
      <w:r w:rsidRPr="00955EB3">
        <w:t>Ice“ (</w:t>
      </w:r>
      <w:proofErr w:type="gramEnd"/>
      <w:r w:rsidRPr="00955EB3">
        <w:t>SI/501726-01)</w:t>
      </w:r>
      <w:r w:rsidR="0072658C">
        <w:t>.</w:t>
      </w:r>
    </w:p>
    <w:p w14:paraId="4CFCD282" w14:textId="7FB88213" w:rsidR="00955EB3" w:rsidRPr="00633313" w:rsidRDefault="00955EB3" w:rsidP="00497940">
      <w:pPr>
        <w:pStyle w:val="SWCText"/>
      </w:pPr>
      <w:r w:rsidRPr="00633313">
        <w:t>ISO 9806:2018-04, Solar energy - Solar thermal collectors - Test methods.</w:t>
      </w:r>
    </w:p>
    <w:p w14:paraId="1A24B3E6" w14:textId="42CF0FC5" w:rsidR="00955EB3" w:rsidRPr="00955EB3" w:rsidRDefault="00955EB3" w:rsidP="00DE60A0">
      <w:pPr>
        <w:pStyle w:val="SWCText"/>
        <w:rPr>
          <w:lang w:val="de-DE"/>
        </w:rPr>
      </w:pPr>
      <w:r w:rsidRPr="00DE60A0">
        <w:t xml:space="preserve">F. Weiland, M. Kirchner, V. </w:t>
      </w:r>
      <w:proofErr w:type="spellStart"/>
      <w:r w:rsidRPr="00DE60A0">
        <w:t>Rensinghoff</w:t>
      </w:r>
      <w:proofErr w:type="spellEnd"/>
      <w:r w:rsidRPr="00DE60A0">
        <w:t xml:space="preserve">, F. Giovannetti, O. Kastner, D. Ridder, Y. </w:t>
      </w:r>
      <w:proofErr w:type="spellStart"/>
      <w:r w:rsidRPr="00DE60A0">
        <w:t>Tekinbas</w:t>
      </w:r>
      <w:proofErr w:type="spellEnd"/>
      <w:r w:rsidRPr="00DE60A0">
        <w:t xml:space="preserve">, H. </w:t>
      </w:r>
      <w:proofErr w:type="spellStart"/>
      <w:r w:rsidRPr="00DE60A0">
        <w:t>Hachul</w:t>
      </w:r>
      <w:proofErr w:type="spellEnd"/>
      <w:r w:rsidRPr="00DE60A0">
        <w:t xml:space="preserve">, Performance assessment of solar thermally activated steel sandwich panels with mineral wool core for industrial and commercial buildings, J. Phys. </w:t>
      </w:r>
      <w:proofErr w:type="spellStart"/>
      <w:r w:rsidRPr="00955EB3">
        <w:rPr>
          <w:lang w:val="de-DE"/>
        </w:rPr>
        <w:t>Conf</w:t>
      </w:r>
      <w:proofErr w:type="spellEnd"/>
      <w:r w:rsidRPr="00955EB3">
        <w:rPr>
          <w:lang w:val="de-DE"/>
        </w:rPr>
        <w:t xml:space="preserve">. </w:t>
      </w:r>
      <w:proofErr w:type="spellStart"/>
      <w:r w:rsidRPr="00955EB3">
        <w:rPr>
          <w:lang w:val="de-DE"/>
        </w:rPr>
        <w:t>Ser</w:t>
      </w:r>
      <w:proofErr w:type="spellEnd"/>
      <w:r w:rsidRPr="00955EB3">
        <w:rPr>
          <w:lang w:val="de-DE"/>
        </w:rPr>
        <w:t>. 1343 (2019) 12098, https://doi.org/10.1088/1742-6596/1343/ 1/012098</w:t>
      </w:r>
      <w:r w:rsidR="0072658C">
        <w:rPr>
          <w:lang w:val="de-DE"/>
        </w:rPr>
        <w:t>.</w:t>
      </w:r>
    </w:p>
    <w:p w14:paraId="0D163CE6" w14:textId="14D8C514" w:rsidR="00955EB3" w:rsidRDefault="00955EB3" w:rsidP="0051698D">
      <w:pPr>
        <w:pStyle w:val="SWCText"/>
      </w:pPr>
      <w:r w:rsidRPr="00983B55">
        <w:rPr>
          <w:lang w:val="de-DE"/>
        </w:rPr>
        <w:t xml:space="preserve">Fraga, C., </w:t>
      </w:r>
      <w:proofErr w:type="spellStart"/>
      <w:r w:rsidRPr="00983B55">
        <w:rPr>
          <w:lang w:val="de-DE"/>
        </w:rPr>
        <w:t>Hollmuller</w:t>
      </w:r>
      <w:proofErr w:type="spellEnd"/>
      <w:r w:rsidRPr="00983B55">
        <w:rPr>
          <w:lang w:val="de-DE"/>
        </w:rPr>
        <w:t xml:space="preserve">, P., Schneider, L., </w:t>
      </w:r>
      <w:proofErr w:type="spellStart"/>
      <w:r w:rsidRPr="00983B55">
        <w:rPr>
          <w:lang w:val="de-DE"/>
        </w:rPr>
        <w:t>Lachal</w:t>
      </w:r>
      <w:proofErr w:type="spellEnd"/>
      <w:r w:rsidRPr="00983B55">
        <w:rPr>
          <w:lang w:val="de-DE"/>
        </w:rPr>
        <w:t xml:space="preserve">, B., 2018. </w:t>
      </w:r>
      <w:r>
        <w:t xml:space="preserve">Heat pump systems for multifamily buildings: Potential and constraints of several heat sources for diverse building demands, Applied Energy </w:t>
      </w:r>
      <w:hyperlink r:id="rId19" w:history="1">
        <w:r w:rsidRPr="003610B2">
          <w:rPr>
            <w:rStyle w:val="Hyperlink"/>
          </w:rPr>
          <w:t>https://doi.org/10.1016/j.apenergy.2018.05.004</w:t>
        </w:r>
      </w:hyperlink>
      <w:r w:rsidR="0072658C">
        <w:t>.</w:t>
      </w:r>
    </w:p>
    <w:p w14:paraId="292AFBD4" w14:textId="47DDA930" w:rsidR="00955EB3" w:rsidRPr="00BE3DF8" w:rsidRDefault="00955EB3" w:rsidP="0051698D">
      <w:pPr>
        <w:pStyle w:val="SWCText"/>
      </w:pPr>
      <w:r w:rsidRPr="008E08A6">
        <w:rPr>
          <w:lang w:val="fr-FR"/>
        </w:rPr>
        <w:t xml:space="preserve">Fraunhofer ISI, </w:t>
      </w:r>
      <w:proofErr w:type="spellStart"/>
      <w:r w:rsidRPr="008E08A6">
        <w:rPr>
          <w:lang w:val="fr-FR"/>
        </w:rPr>
        <w:t>Consentec</w:t>
      </w:r>
      <w:proofErr w:type="spellEnd"/>
      <w:r w:rsidRPr="008E08A6">
        <w:rPr>
          <w:lang w:val="fr-FR"/>
        </w:rPr>
        <w:t xml:space="preserve">, </w:t>
      </w:r>
      <w:proofErr w:type="spellStart"/>
      <w:r w:rsidRPr="008E08A6">
        <w:rPr>
          <w:lang w:val="fr-FR"/>
        </w:rPr>
        <w:t>Ifeu</w:t>
      </w:r>
      <w:proofErr w:type="spellEnd"/>
      <w:r w:rsidRPr="008E08A6">
        <w:rPr>
          <w:lang w:val="fr-FR"/>
        </w:rPr>
        <w:t xml:space="preserve">, TU Berlin, 2024. </w:t>
      </w:r>
      <w:r w:rsidRPr="00633313">
        <w:t>Long-term Scenarios 3, Presentation of the new BMWK l</w:t>
      </w:r>
      <w:r>
        <w:t>ong-term scenarios</w:t>
      </w:r>
      <w:r w:rsidRPr="00633313">
        <w:t xml:space="preserve"> </w:t>
      </w:r>
      <w:r>
        <w:t>–</w:t>
      </w:r>
      <w:r w:rsidRPr="00633313">
        <w:t xml:space="preserve"> Orient</w:t>
      </w:r>
      <w:r>
        <w:t>ation scenarios</w:t>
      </w:r>
      <w:r w:rsidRPr="00633313">
        <w:t>, Webinar 02.07.2024</w:t>
      </w:r>
      <w:r>
        <w:t xml:space="preserve"> (German language)</w:t>
      </w:r>
      <w:r w:rsidRPr="00633313">
        <w:t xml:space="preserve">. </w:t>
      </w:r>
      <w:r w:rsidRPr="00BE3DF8">
        <w:t xml:space="preserve">Internet: </w:t>
      </w:r>
      <w:hyperlink r:id="rId20" w:history="1">
        <w:r w:rsidRPr="00BE3DF8">
          <w:rPr>
            <w:rStyle w:val="Hyperlink"/>
          </w:rPr>
          <w:t>https://langfristszenarien.de</w:t>
        </w:r>
      </w:hyperlink>
      <w:r w:rsidRPr="00BE3DF8">
        <w:t xml:space="preserve"> (last access: 20.08.2026)</w:t>
      </w:r>
      <w:r w:rsidR="0072658C" w:rsidRPr="00BE3DF8">
        <w:t>.</w:t>
      </w:r>
    </w:p>
    <w:p w14:paraId="710BB74C" w14:textId="2168ADBB" w:rsidR="00955EB3" w:rsidRPr="00BE3DF8" w:rsidRDefault="00955EB3" w:rsidP="00497940">
      <w:pPr>
        <w:pStyle w:val="SWCText"/>
        <w:rPr>
          <w:lang w:val="de-DE"/>
        </w:rPr>
      </w:pPr>
      <w:r w:rsidRPr="00BE3DF8">
        <w:t xml:space="preserve">Frick, E., Buettner, C., Kirchner, M., Giovannetti, F., 2022. </w:t>
      </w:r>
      <w:r>
        <w:t>Solar thermal, rear-ventilated façades as heat pump sources in multi-</w:t>
      </w:r>
      <w:proofErr w:type="spellStart"/>
      <w:r>
        <w:t>storey</w:t>
      </w:r>
      <w:proofErr w:type="spellEnd"/>
      <w:r>
        <w:t xml:space="preserve"> buildings. </w:t>
      </w:r>
      <w:r w:rsidRPr="00BE3DF8">
        <w:rPr>
          <w:lang w:val="de-DE"/>
        </w:rPr>
        <w:t>Proceedings EuroSun 2021. DOI: 10.18086/swc.2021.43.01</w:t>
      </w:r>
      <w:r w:rsidR="0072658C" w:rsidRPr="00BE3DF8">
        <w:rPr>
          <w:lang w:val="de-DE"/>
        </w:rPr>
        <w:t>.</w:t>
      </w:r>
    </w:p>
    <w:p w14:paraId="6983E328" w14:textId="0C841263" w:rsidR="00955EB3" w:rsidRPr="00DE60A0" w:rsidRDefault="00955EB3" w:rsidP="000F2000">
      <w:pPr>
        <w:pStyle w:val="SWCText"/>
      </w:pPr>
      <w:r w:rsidRPr="00BE3DF8">
        <w:rPr>
          <w:lang w:val="de-DE"/>
        </w:rPr>
        <w:t xml:space="preserve">Frick, E., Kirchner, M., </w:t>
      </w:r>
      <w:proofErr w:type="spellStart"/>
      <w:r w:rsidRPr="00BE3DF8">
        <w:rPr>
          <w:lang w:val="de-DE"/>
        </w:rPr>
        <w:t>Kabelac</w:t>
      </w:r>
      <w:proofErr w:type="spellEnd"/>
      <w:r w:rsidRPr="00BE3DF8">
        <w:rPr>
          <w:lang w:val="de-DE"/>
        </w:rPr>
        <w:t xml:space="preserve">, S., Giovannetti, F., 2025. </w:t>
      </w:r>
      <w:r w:rsidRPr="00DE60A0">
        <w:t>Thermally active rear-ventilated façades: Numerical modelling and</w:t>
      </w:r>
      <w:r>
        <w:t xml:space="preserve"> </w:t>
      </w:r>
      <w:r w:rsidRPr="00DE60A0">
        <w:t xml:space="preserve">experimental validation. </w:t>
      </w:r>
      <w:r>
        <w:t xml:space="preserve">Energy and Buildings, Volume 347, Part A, 116293, ISSN 0378-7788, </w:t>
      </w:r>
      <w:hyperlink r:id="rId21" w:history="1">
        <w:r w:rsidRPr="003610B2">
          <w:rPr>
            <w:rStyle w:val="Hyperlink"/>
          </w:rPr>
          <w:t>https://doi.org/10.1016/j.enbuild.2025.116293</w:t>
        </w:r>
      </w:hyperlink>
      <w:r w:rsidR="0072658C">
        <w:rPr>
          <w:rStyle w:val="Hyperlink"/>
        </w:rPr>
        <w:t>.</w:t>
      </w:r>
    </w:p>
    <w:p w14:paraId="03AE5BD0" w14:textId="3AA0E95B" w:rsidR="00955EB3" w:rsidRPr="0001660F" w:rsidRDefault="00955EB3" w:rsidP="0051698D">
      <w:pPr>
        <w:pStyle w:val="SWCText"/>
      </w:pPr>
      <w:r w:rsidRPr="0051698D">
        <w:rPr>
          <w:lang w:val="de-DE"/>
        </w:rPr>
        <w:t xml:space="preserve">Giovannetti F., Kirchner M., </w:t>
      </w:r>
      <w:proofErr w:type="spellStart"/>
      <w:r w:rsidRPr="0051698D">
        <w:rPr>
          <w:lang w:val="de-DE"/>
        </w:rPr>
        <w:t>Sass</w:t>
      </w:r>
      <w:proofErr w:type="spellEnd"/>
      <w:r w:rsidRPr="0051698D">
        <w:rPr>
          <w:lang w:val="de-DE"/>
        </w:rPr>
        <w:t xml:space="preserve"> R., Rockendorf G., 2016. </w:t>
      </w:r>
      <w:r w:rsidRPr="0051698D">
        <w:t xml:space="preserve">Enameled glass panels for solar thermal building envelopes. </w:t>
      </w:r>
      <w:r w:rsidRPr="0001660F">
        <w:t>Energy Procedia 91, 49 – 55</w:t>
      </w:r>
      <w:r w:rsidR="0072658C">
        <w:t>.</w:t>
      </w:r>
    </w:p>
    <w:p w14:paraId="5304EBB7" w14:textId="0890EB56" w:rsidR="00955EB3" w:rsidRPr="0051698D" w:rsidRDefault="00955EB3" w:rsidP="0051698D">
      <w:pPr>
        <w:pStyle w:val="SWCText"/>
      </w:pPr>
      <w:proofErr w:type="spellStart"/>
      <w:r w:rsidRPr="0051698D">
        <w:t>Hadorn</w:t>
      </w:r>
      <w:proofErr w:type="spellEnd"/>
      <w:r w:rsidRPr="0051698D">
        <w:t>, J.-C. (</w:t>
      </w:r>
      <w:proofErr w:type="spellStart"/>
      <w:r w:rsidRPr="0051698D">
        <w:t>Hrsg</w:t>
      </w:r>
      <w:proofErr w:type="spellEnd"/>
      <w:r w:rsidRPr="0051698D">
        <w:t>.), 2015. Solar Heat Pumps, IEA SHC TASK 44</w:t>
      </w:r>
      <w:r w:rsidR="0072658C">
        <w:t>.</w:t>
      </w:r>
    </w:p>
    <w:p w14:paraId="7ED3AB4F" w14:textId="5B0FCF4F" w:rsidR="00955EB3" w:rsidRPr="00BE3DF8" w:rsidRDefault="00955EB3" w:rsidP="0051698D">
      <w:pPr>
        <w:pStyle w:val="SWCText"/>
        <w:rPr>
          <w:lang w:val="de-DE"/>
        </w:rPr>
      </w:pPr>
      <w:r w:rsidRPr="00BE3DF8">
        <w:rPr>
          <w:lang w:val="de-DE"/>
        </w:rPr>
        <w:t xml:space="preserve">Jordan, U., Braas, H., Best, I., </w:t>
      </w:r>
      <w:proofErr w:type="spellStart"/>
      <w:r w:rsidRPr="00BE3DF8">
        <w:rPr>
          <w:lang w:val="de-DE"/>
        </w:rPr>
        <w:t>Orozaliev</w:t>
      </w:r>
      <w:proofErr w:type="spellEnd"/>
      <w:r w:rsidRPr="00BE3DF8">
        <w:rPr>
          <w:lang w:val="de-DE"/>
        </w:rPr>
        <w:t xml:space="preserve">, J., Vajen, K. and Kassel, U., 2019. </w:t>
      </w:r>
      <w:proofErr w:type="spellStart"/>
      <w:r w:rsidRPr="00BE3DF8">
        <w:rPr>
          <w:lang w:val="de-DE"/>
        </w:rPr>
        <w:t>DHWcalc</w:t>
      </w:r>
      <w:proofErr w:type="spellEnd"/>
      <w:r w:rsidRPr="00BE3DF8">
        <w:rPr>
          <w:lang w:val="de-DE"/>
        </w:rPr>
        <w:t xml:space="preserve"> Update 2.02: Programm zur Generierung von Trinkwasser-Zapfprofilen auf statistischer Basis, Kloster Banz, Bad Staffelstein, </w:t>
      </w:r>
      <w:proofErr w:type="spellStart"/>
      <w:r w:rsidRPr="00BE3DF8">
        <w:rPr>
          <w:lang w:val="de-DE"/>
        </w:rPr>
        <w:t>Conexio</w:t>
      </w:r>
      <w:proofErr w:type="spellEnd"/>
      <w:r w:rsidRPr="00BE3DF8">
        <w:rPr>
          <w:lang w:val="de-DE"/>
        </w:rPr>
        <w:t xml:space="preserve"> GmbH</w:t>
      </w:r>
      <w:r w:rsidR="0072658C" w:rsidRPr="00BE3DF8">
        <w:rPr>
          <w:lang w:val="de-DE"/>
        </w:rPr>
        <w:t>.</w:t>
      </w:r>
    </w:p>
    <w:p w14:paraId="1960021E" w14:textId="77777777" w:rsidR="00955EB3" w:rsidRPr="00DE60A0" w:rsidRDefault="00955EB3" w:rsidP="00DE60A0">
      <w:pPr>
        <w:pStyle w:val="SWCText"/>
      </w:pPr>
      <w:r w:rsidRPr="00DE60A0">
        <w:t>L.M. Koch, Energy performance and ecological potential of solar thermal collectors made of ultra-</w:t>
      </w:r>
      <w:proofErr w:type="gramStart"/>
      <w:r w:rsidRPr="00DE60A0">
        <w:t>high performance</w:t>
      </w:r>
      <w:proofErr w:type="gramEnd"/>
      <w:r w:rsidRPr="00DE60A0">
        <w:t xml:space="preserve"> concrete (UHPC) for a CO2 neutral heat supply.</w:t>
      </w:r>
      <w:r>
        <w:t xml:space="preserve"> </w:t>
      </w:r>
      <w:r w:rsidRPr="000F2000">
        <w:t>Dissertation, TUM School of Engineering and Design.</w:t>
      </w:r>
    </w:p>
    <w:p w14:paraId="133DFBAA" w14:textId="4A199BC9" w:rsidR="00955EB3" w:rsidRDefault="00955EB3" w:rsidP="0051698D">
      <w:pPr>
        <w:pStyle w:val="SWCText"/>
        <w:rPr>
          <w:lang w:val="de-DE"/>
        </w:rPr>
      </w:pPr>
      <w:r w:rsidRPr="00955EB3">
        <w:t xml:space="preserve">Rockendorf, G., </w:t>
      </w:r>
      <w:proofErr w:type="spellStart"/>
      <w:r w:rsidRPr="00955EB3">
        <w:t>Sillman</w:t>
      </w:r>
      <w:proofErr w:type="spellEnd"/>
      <w:r w:rsidRPr="00955EB3">
        <w:t xml:space="preserve">, R., Bethe, T., Köln, H., 2001. </w:t>
      </w:r>
      <w:r w:rsidRPr="0051698D">
        <w:rPr>
          <w:lang w:val="de-DE"/>
        </w:rPr>
        <w:t xml:space="preserve">Solare Freibadheizung - </w:t>
      </w:r>
      <w:proofErr w:type="spellStart"/>
      <w:r w:rsidRPr="0051698D">
        <w:rPr>
          <w:lang w:val="de-DE"/>
        </w:rPr>
        <w:t>Absorberprüfung</w:t>
      </w:r>
      <w:proofErr w:type="spellEnd"/>
      <w:r w:rsidRPr="0051698D">
        <w:rPr>
          <w:lang w:val="de-DE"/>
        </w:rPr>
        <w:t xml:space="preserve"> und Testergebnisse. ist Energieplan GmbH, </w:t>
      </w:r>
      <w:proofErr w:type="spellStart"/>
      <w:r w:rsidRPr="0051698D">
        <w:rPr>
          <w:lang w:val="de-DE"/>
        </w:rPr>
        <w:t>Kanden</w:t>
      </w:r>
      <w:proofErr w:type="spellEnd"/>
      <w:r w:rsidR="0072658C">
        <w:rPr>
          <w:lang w:val="de-DE"/>
        </w:rPr>
        <w:t>.</w:t>
      </w:r>
    </w:p>
    <w:p w14:paraId="4BEC562A" w14:textId="1ED41AEC" w:rsidR="00955EB3" w:rsidRDefault="00955EB3" w:rsidP="000F2000">
      <w:pPr>
        <w:pStyle w:val="SWCText"/>
      </w:pPr>
      <w:proofErr w:type="spellStart"/>
      <w:r w:rsidRPr="00DE60A0">
        <w:t>Tanzer</w:t>
      </w:r>
      <w:proofErr w:type="spellEnd"/>
      <w:r w:rsidRPr="00DE60A0">
        <w:t xml:space="preserve">, </w:t>
      </w:r>
      <w:r>
        <w:t xml:space="preserve">B., </w:t>
      </w:r>
      <w:proofErr w:type="spellStart"/>
      <w:r>
        <w:t>S</w:t>
      </w:r>
      <w:r w:rsidRPr="00DE60A0">
        <w:t>chweigler</w:t>
      </w:r>
      <w:proofErr w:type="spellEnd"/>
      <w:r w:rsidRPr="00DE60A0">
        <w:t xml:space="preserve">, </w:t>
      </w:r>
      <w:r>
        <w:t xml:space="preserve">C., 2016. </w:t>
      </w:r>
      <w:r w:rsidRPr="00DE60A0">
        <w:t>Façade-integrated massive solar-thermal collectors combined with long-term underground heat storage for space heating, Energy Procedia 91</w:t>
      </w:r>
      <w:r>
        <w:t xml:space="preserve">, </w:t>
      </w:r>
      <w:r w:rsidRPr="00DE60A0">
        <w:t xml:space="preserve">505–516, </w:t>
      </w:r>
      <w:hyperlink r:id="rId22" w:history="1">
        <w:r w:rsidRPr="003610B2">
          <w:rPr>
            <w:rStyle w:val="Hyperlink"/>
          </w:rPr>
          <w:t>https://doi.org/10.1016/j.egypro.2016.06.188</w:t>
        </w:r>
      </w:hyperlink>
      <w:r w:rsidRPr="00DE60A0">
        <w:t>.</w:t>
      </w:r>
    </w:p>
    <w:p w14:paraId="391E2D48" w14:textId="15AE2D48" w:rsidR="00D53F31" w:rsidRDefault="00955EB3" w:rsidP="00D53F31">
      <w:pPr>
        <w:pStyle w:val="SWCText"/>
      </w:pPr>
      <w:r w:rsidRPr="00633313">
        <w:t>VDI, 2019. VDI 4640 – Blatt 2, Thermal use of the underground - Ground source heat pump systems</w:t>
      </w:r>
      <w:r w:rsidR="0072658C">
        <w:t>.</w:t>
      </w:r>
    </w:p>
    <w:sectPr w:rsidR="00D53F31" w:rsidSect="0072658C">
      <w:footnotePr>
        <w:numRestart w:val="eachPage"/>
      </w:footnotePr>
      <w:pgSz w:w="11908" w:h="16838" w:code="9"/>
      <w:pgMar w:top="1417" w:right="1417" w:bottom="1134" w:left="1417" w:header="284" w:footer="284" w:gutter="0"/>
      <w:pgNumType w:start="1"/>
      <w:cols w:space="720"/>
      <w:noEndnote/>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C49AE1" w16cex:dateUtc="2026-09-09T09:04:00Z"/>
  <w16cex:commentExtensible w16cex:durableId="11DC2EE4" w16cex:dateUtc="2026-09-09T08:43:00Z"/>
  <w16cex:commentExtensible w16cex:durableId="10887644" w16cex:dateUtc="2026-09-09T14:23:00Z"/>
  <w16cex:commentExtensible w16cex:durableId="14288403" w16cex:dateUtc="2026-09-09T15:25:00Z"/>
  <w16cex:commentExtensible w16cex:durableId="04CC85C5" w16cex:dateUtc="2026-09-09T09:2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CE9B7" w14:textId="77777777" w:rsidR="000E53AD" w:rsidRDefault="000E53AD">
      <w:r>
        <w:separator/>
      </w:r>
    </w:p>
  </w:endnote>
  <w:endnote w:type="continuationSeparator" w:id="0">
    <w:p w14:paraId="1E5BC3FA" w14:textId="77777777" w:rsidR="000E53AD" w:rsidRDefault="000E5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90E33" w14:textId="77777777" w:rsidR="000E53AD" w:rsidRDefault="000E53AD">
      <w:r>
        <w:separator/>
      </w:r>
    </w:p>
  </w:footnote>
  <w:footnote w:type="continuationSeparator" w:id="0">
    <w:p w14:paraId="2F325AF4" w14:textId="77777777" w:rsidR="000E53AD" w:rsidRDefault="000E53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980BA0"/>
    <w:multiLevelType w:val="hybridMultilevel"/>
    <w:tmpl w:val="3768030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40279AF"/>
    <w:multiLevelType w:val="multilevel"/>
    <w:tmpl w:val="35B27DDC"/>
    <w:lvl w:ilvl="0">
      <w:start w:val="1"/>
      <w:numFmt w:val="decimal"/>
      <w:pStyle w:val="SWCHeading1"/>
      <w:lvlText w:val="%1."/>
      <w:lvlJc w:val="left"/>
      <w:pPr>
        <w:tabs>
          <w:tab w:val="num" w:pos="720"/>
        </w:tabs>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3"/>
  </w:num>
  <w:num w:numId="5">
    <w:abstractNumId w:val="4"/>
  </w:num>
  <w:num w:numId="6">
    <w:abstractNumId w:val="3"/>
  </w:num>
  <w:num w:numId="7">
    <w:abstractNumId w:val="0"/>
  </w:num>
  <w:num w:numId="8">
    <w:abstractNumId w:val="2"/>
  </w:num>
  <w:num w:numId="9">
    <w:abstractNumId w:val="1"/>
  </w:num>
  <w:num w:numId="10">
    <w:abstractNumId w:val="6"/>
  </w:num>
  <w:num w:numId="11">
    <w:abstractNumId w:val="19"/>
  </w:num>
  <w:num w:numId="12">
    <w:abstractNumId w:val="14"/>
  </w:num>
  <w:num w:numId="13">
    <w:abstractNumId w:val="6"/>
    <w:lvlOverride w:ilvl="0">
      <w:startOverride w:val="1"/>
    </w:lvlOverride>
  </w:num>
  <w:num w:numId="14">
    <w:abstractNumId w:val="18"/>
  </w:num>
  <w:num w:numId="15">
    <w:abstractNumId w:val="7"/>
  </w:num>
  <w:num w:numId="16">
    <w:abstractNumId w:val="13"/>
  </w:num>
  <w:num w:numId="17">
    <w:abstractNumId w:val="17"/>
  </w:num>
  <w:num w:numId="18">
    <w:abstractNumId w:val="21"/>
  </w:num>
  <w:num w:numId="19">
    <w:abstractNumId w:val="9"/>
  </w:num>
  <w:num w:numId="20">
    <w:abstractNumId w:val="8"/>
  </w:num>
  <w:num w:numId="21">
    <w:abstractNumId w:val="12"/>
  </w:num>
  <w:num w:numId="22">
    <w:abstractNumId w:val="20"/>
  </w:num>
  <w:num w:numId="23">
    <w:abstractNumId w:val="16"/>
  </w:num>
  <w:num w:numId="24">
    <w:abstractNumId w:val="22"/>
  </w:num>
  <w:num w:numId="25">
    <w:abstractNumId w:val="19"/>
    <w:lvlOverride w:ilvl="0">
      <w:startOverride w:val="1"/>
    </w:lvlOverride>
  </w:num>
  <w:num w:numId="26">
    <w:abstractNumId w:val="19"/>
  </w:num>
  <w:num w:numId="27">
    <w:abstractNumId w:val="19"/>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9"/>
  </w:num>
  <w:num w:numId="43">
    <w:abstractNumId w:val="15"/>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263"/>
    <w:rsid w:val="00005037"/>
    <w:rsid w:val="000067DB"/>
    <w:rsid w:val="00010262"/>
    <w:rsid w:val="0001548C"/>
    <w:rsid w:val="0001660F"/>
    <w:rsid w:val="00016664"/>
    <w:rsid w:val="0002379F"/>
    <w:rsid w:val="00024ED5"/>
    <w:rsid w:val="00031F13"/>
    <w:rsid w:val="0004235D"/>
    <w:rsid w:val="0005003E"/>
    <w:rsid w:val="000533E4"/>
    <w:rsid w:val="000534F5"/>
    <w:rsid w:val="00053E02"/>
    <w:rsid w:val="00055DB9"/>
    <w:rsid w:val="00057B5E"/>
    <w:rsid w:val="00066B26"/>
    <w:rsid w:val="00066F72"/>
    <w:rsid w:val="000678AC"/>
    <w:rsid w:val="000712A1"/>
    <w:rsid w:val="00074DBF"/>
    <w:rsid w:val="000816FB"/>
    <w:rsid w:val="00086E8D"/>
    <w:rsid w:val="00087CD7"/>
    <w:rsid w:val="00092ED5"/>
    <w:rsid w:val="000931B2"/>
    <w:rsid w:val="000A0ADB"/>
    <w:rsid w:val="000A1CC8"/>
    <w:rsid w:val="000A30A5"/>
    <w:rsid w:val="000A36B5"/>
    <w:rsid w:val="000A52A1"/>
    <w:rsid w:val="000A7228"/>
    <w:rsid w:val="000B04BE"/>
    <w:rsid w:val="000B09B5"/>
    <w:rsid w:val="000B1F4D"/>
    <w:rsid w:val="000C2344"/>
    <w:rsid w:val="000D5389"/>
    <w:rsid w:val="000D58C3"/>
    <w:rsid w:val="000D64B9"/>
    <w:rsid w:val="000D6E1A"/>
    <w:rsid w:val="000D7BDC"/>
    <w:rsid w:val="000E1855"/>
    <w:rsid w:val="000E53AD"/>
    <w:rsid w:val="000E6CBA"/>
    <w:rsid w:val="000F2000"/>
    <w:rsid w:val="000F560C"/>
    <w:rsid w:val="000F5D49"/>
    <w:rsid w:val="000F739B"/>
    <w:rsid w:val="0010501A"/>
    <w:rsid w:val="00114D22"/>
    <w:rsid w:val="00115D3B"/>
    <w:rsid w:val="00126D4F"/>
    <w:rsid w:val="0013222F"/>
    <w:rsid w:val="00136177"/>
    <w:rsid w:val="00137D86"/>
    <w:rsid w:val="0015090D"/>
    <w:rsid w:val="00150B42"/>
    <w:rsid w:val="00155FB8"/>
    <w:rsid w:val="00157CE5"/>
    <w:rsid w:val="001647D2"/>
    <w:rsid w:val="00166C42"/>
    <w:rsid w:val="00176EF6"/>
    <w:rsid w:val="001904A7"/>
    <w:rsid w:val="0019232E"/>
    <w:rsid w:val="00194E9A"/>
    <w:rsid w:val="001968B5"/>
    <w:rsid w:val="001969B9"/>
    <w:rsid w:val="001A117A"/>
    <w:rsid w:val="001A5C59"/>
    <w:rsid w:val="001A775B"/>
    <w:rsid w:val="001A7F40"/>
    <w:rsid w:val="001B13D6"/>
    <w:rsid w:val="001B14BA"/>
    <w:rsid w:val="001B58AF"/>
    <w:rsid w:val="001B6BCF"/>
    <w:rsid w:val="001B7B01"/>
    <w:rsid w:val="001C3A3D"/>
    <w:rsid w:val="001C63A2"/>
    <w:rsid w:val="001C6787"/>
    <w:rsid w:val="001D0384"/>
    <w:rsid w:val="001D4912"/>
    <w:rsid w:val="001E2B93"/>
    <w:rsid w:val="001E41A2"/>
    <w:rsid w:val="001E4925"/>
    <w:rsid w:val="001F1AAA"/>
    <w:rsid w:val="001F2881"/>
    <w:rsid w:val="001F4FCC"/>
    <w:rsid w:val="00204DF8"/>
    <w:rsid w:val="00205626"/>
    <w:rsid w:val="00206116"/>
    <w:rsid w:val="00212628"/>
    <w:rsid w:val="0022277C"/>
    <w:rsid w:val="0022299B"/>
    <w:rsid w:val="00225724"/>
    <w:rsid w:val="00232814"/>
    <w:rsid w:val="002331FE"/>
    <w:rsid w:val="00243214"/>
    <w:rsid w:val="00243B34"/>
    <w:rsid w:val="002449E6"/>
    <w:rsid w:val="002470B2"/>
    <w:rsid w:val="00247A55"/>
    <w:rsid w:val="00250028"/>
    <w:rsid w:val="002647A0"/>
    <w:rsid w:val="00266E47"/>
    <w:rsid w:val="00270E75"/>
    <w:rsid w:val="0027288C"/>
    <w:rsid w:val="00273341"/>
    <w:rsid w:val="00281D0B"/>
    <w:rsid w:val="002855EC"/>
    <w:rsid w:val="002972D1"/>
    <w:rsid w:val="002A04A9"/>
    <w:rsid w:val="002A39BB"/>
    <w:rsid w:val="002A6923"/>
    <w:rsid w:val="002B417A"/>
    <w:rsid w:val="002C089D"/>
    <w:rsid w:val="002C101B"/>
    <w:rsid w:val="002C368F"/>
    <w:rsid w:val="002C68AD"/>
    <w:rsid w:val="002D322C"/>
    <w:rsid w:val="002D4864"/>
    <w:rsid w:val="002D613D"/>
    <w:rsid w:val="002E5D62"/>
    <w:rsid w:val="002F1386"/>
    <w:rsid w:val="002F1D87"/>
    <w:rsid w:val="002F6B87"/>
    <w:rsid w:val="002F749E"/>
    <w:rsid w:val="00303345"/>
    <w:rsid w:val="00314E5B"/>
    <w:rsid w:val="00315B17"/>
    <w:rsid w:val="0031685E"/>
    <w:rsid w:val="003251D2"/>
    <w:rsid w:val="0033510A"/>
    <w:rsid w:val="003357AC"/>
    <w:rsid w:val="0035638A"/>
    <w:rsid w:val="003605B9"/>
    <w:rsid w:val="00361364"/>
    <w:rsid w:val="00362122"/>
    <w:rsid w:val="00364A52"/>
    <w:rsid w:val="00373F97"/>
    <w:rsid w:val="0037406D"/>
    <w:rsid w:val="00374216"/>
    <w:rsid w:val="00381554"/>
    <w:rsid w:val="00381590"/>
    <w:rsid w:val="003829E7"/>
    <w:rsid w:val="0038545D"/>
    <w:rsid w:val="003869E8"/>
    <w:rsid w:val="003879F9"/>
    <w:rsid w:val="00391288"/>
    <w:rsid w:val="00393777"/>
    <w:rsid w:val="0039582A"/>
    <w:rsid w:val="00395E5A"/>
    <w:rsid w:val="00395F5E"/>
    <w:rsid w:val="0039742D"/>
    <w:rsid w:val="003A3A38"/>
    <w:rsid w:val="003A7DB9"/>
    <w:rsid w:val="003B06E2"/>
    <w:rsid w:val="003B2055"/>
    <w:rsid w:val="003C0806"/>
    <w:rsid w:val="003C18DE"/>
    <w:rsid w:val="003C1B31"/>
    <w:rsid w:val="003C2B1A"/>
    <w:rsid w:val="003C39C6"/>
    <w:rsid w:val="003C7E95"/>
    <w:rsid w:val="003D0C22"/>
    <w:rsid w:val="003D6941"/>
    <w:rsid w:val="003E030F"/>
    <w:rsid w:val="003E1E1C"/>
    <w:rsid w:val="003E311B"/>
    <w:rsid w:val="003F0403"/>
    <w:rsid w:val="003F5B99"/>
    <w:rsid w:val="003F5EC2"/>
    <w:rsid w:val="004019FD"/>
    <w:rsid w:val="00403E6A"/>
    <w:rsid w:val="004053B5"/>
    <w:rsid w:val="0040615A"/>
    <w:rsid w:val="00411E29"/>
    <w:rsid w:val="004127FA"/>
    <w:rsid w:val="00414EA7"/>
    <w:rsid w:val="0042033E"/>
    <w:rsid w:val="004357AD"/>
    <w:rsid w:val="00453296"/>
    <w:rsid w:val="0046528E"/>
    <w:rsid w:val="00467DFD"/>
    <w:rsid w:val="00472C5C"/>
    <w:rsid w:val="004765ED"/>
    <w:rsid w:val="00476879"/>
    <w:rsid w:val="00490F10"/>
    <w:rsid w:val="00493C81"/>
    <w:rsid w:val="00494006"/>
    <w:rsid w:val="00495EBD"/>
    <w:rsid w:val="00495F65"/>
    <w:rsid w:val="00497940"/>
    <w:rsid w:val="004A14C9"/>
    <w:rsid w:val="004A3506"/>
    <w:rsid w:val="004A63E4"/>
    <w:rsid w:val="004B0CD4"/>
    <w:rsid w:val="004C155C"/>
    <w:rsid w:val="004C39AD"/>
    <w:rsid w:val="004C4EE9"/>
    <w:rsid w:val="004E24B7"/>
    <w:rsid w:val="004E5D79"/>
    <w:rsid w:val="004F4904"/>
    <w:rsid w:val="004F5FF9"/>
    <w:rsid w:val="00500640"/>
    <w:rsid w:val="00500D7D"/>
    <w:rsid w:val="00503FA5"/>
    <w:rsid w:val="005067AC"/>
    <w:rsid w:val="00514890"/>
    <w:rsid w:val="0051584D"/>
    <w:rsid w:val="0051698D"/>
    <w:rsid w:val="00521A24"/>
    <w:rsid w:val="005244D4"/>
    <w:rsid w:val="0052501D"/>
    <w:rsid w:val="00527E88"/>
    <w:rsid w:val="0053048D"/>
    <w:rsid w:val="00532138"/>
    <w:rsid w:val="0053532A"/>
    <w:rsid w:val="005404F1"/>
    <w:rsid w:val="00544D85"/>
    <w:rsid w:val="00550776"/>
    <w:rsid w:val="00552009"/>
    <w:rsid w:val="00552530"/>
    <w:rsid w:val="00556004"/>
    <w:rsid w:val="0055683E"/>
    <w:rsid w:val="00566460"/>
    <w:rsid w:val="0057075C"/>
    <w:rsid w:val="005721F8"/>
    <w:rsid w:val="00577A0D"/>
    <w:rsid w:val="005836C7"/>
    <w:rsid w:val="00587B8A"/>
    <w:rsid w:val="00595585"/>
    <w:rsid w:val="005B35FF"/>
    <w:rsid w:val="005B3E86"/>
    <w:rsid w:val="005B428C"/>
    <w:rsid w:val="005B6F55"/>
    <w:rsid w:val="005C3BCA"/>
    <w:rsid w:val="005C59B6"/>
    <w:rsid w:val="005D1066"/>
    <w:rsid w:val="005D5CF6"/>
    <w:rsid w:val="005E04EA"/>
    <w:rsid w:val="005E0D7D"/>
    <w:rsid w:val="005E7208"/>
    <w:rsid w:val="005F106F"/>
    <w:rsid w:val="00607C4E"/>
    <w:rsid w:val="00613AF9"/>
    <w:rsid w:val="0061732F"/>
    <w:rsid w:val="00622478"/>
    <w:rsid w:val="0062257E"/>
    <w:rsid w:val="00625BC2"/>
    <w:rsid w:val="00627E34"/>
    <w:rsid w:val="006309AA"/>
    <w:rsid w:val="00633313"/>
    <w:rsid w:val="00633473"/>
    <w:rsid w:val="0063651C"/>
    <w:rsid w:val="006379BD"/>
    <w:rsid w:val="0064403B"/>
    <w:rsid w:val="00646C0B"/>
    <w:rsid w:val="00647530"/>
    <w:rsid w:val="006500EC"/>
    <w:rsid w:val="00652071"/>
    <w:rsid w:val="00652D7E"/>
    <w:rsid w:val="00653551"/>
    <w:rsid w:val="00654791"/>
    <w:rsid w:val="0065563B"/>
    <w:rsid w:val="00655D89"/>
    <w:rsid w:val="0066150A"/>
    <w:rsid w:val="00665471"/>
    <w:rsid w:val="006722C6"/>
    <w:rsid w:val="00687FF3"/>
    <w:rsid w:val="00692D7F"/>
    <w:rsid w:val="00694647"/>
    <w:rsid w:val="006A0AE2"/>
    <w:rsid w:val="006A2DF9"/>
    <w:rsid w:val="006A2F10"/>
    <w:rsid w:val="006A77D0"/>
    <w:rsid w:val="006B3D49"/>
    <w:rsid w:val="006B4C9F"/>
    <w:rsid w:val="006C756C"/>
    <w:rsid w:val="006D19D7"/>
    <w:rsid w:val="006D19E1"/>
    <w:rsid w:val="006D4A96"/>
    <w:rsid w:val="006F10BD"/>
    <w:rsid w:val="006F3259"/>
    <w:rsid w:val="006F5B85"/>
    <w:rsid w:val="006F6292"/>
    <w:rsid w:val="00702AE0"/>
    <w:rsid w:val="00705C05"/>
    <w:rsid w:val="00712CA3"/>
    <w:rsid w:val="007174DA"/>
    <w:rsid w:val="00722B51"/>
    <w:rsid w:val="00725ED2"/>
    <w:rsid w:val="0072658C"/>
    <w:rsid w:val="007400DF"/>
    <w:rsid w:val="007409A1"/>
    <w:rsid w:val="007535ED"/>
    <w:rsid w:val="0075406E"/>
    <w:rsid w:val="00754DE2"/>
    <w:rsid w:val="00756702"/>
    <w:rsid w:val="00762EA3"/>
    <w:rsid w:val="0076482F"/>
    <w:rsid w:val="00765326"/>
    <w:rsid w:val="007763CB"/>
    <w:rsid w:val="007804A7"/>
    <w:rsid w:val="007908F6"/>
    <w:rsid w:val="007954D9"/>
    <w:rsid w:val="007A0195"/>
    <w:rsid w:val="007A7952"/>
    <w:rsid w:val="007B0BDB"/>
    <w:rsid w:val="007B24C2"/>
    <w:rsid w:val="007B33DF"/>
    <w:rsid w:val="007C1632"/>
    <w:rsid w:val="007C36EF"/>
    <w:rsid w:val="007C40AB"/>
    <w:rsid w:val="007C6BDE"/>
    <w:rsid w:val="007D0678"/>
    <w:rsid w:val="007D1C2C"/>
    <w:rsid w:val="007E7634"/>
    <w:rsid w:val="007F386B"/>
    <w:rsid w:val="00800E25"/>
    <w:rsid w:val="00801634"/>
    <w:rsid w:val="0080537B"/>
    <w:rsid w:val="008219CF"/>
    <w:rsid w:val="008314FC"/>
    <w:rsid w:val="00834062"/>
    <w:rsid w:val="00837104"/>
    <w:rsid w:val="00840A54"/>
    <w:rsid w:val="00840E8F"/>
    <w:rsid w:val="0084100F"/>
    <w:rsid w:val="00844F36"/>
    <w:rsid w:val="00845AE3"/>
    <w:rsid w:val="0086399D"/>
    <w:rsid w:val="00865523"/>
    <w:rsid w:val="0087241B"/>
    <w:rsid w:val="0087638C"/>
    <w:rsid w:val="00884A7A"/>
    <w:rsid w:val="00893500"/>
    <w:rsid w:val="008A0437"/>
    <w:rsid w:val="008B618F"/>
    <w:rsid w:val="008C5EFE"/>
    <w:rsid w:val="008D44C5"/>
    <w:rsid w:val="008D7E85"/>
    <w:rsid w:val="008E08A6"/>
    <w:rsid w:val="008E19FF"/>
    <w:rsid w:val="008E24F8"/>
    <w:rsid w:val="008E53FF"/>
    <w:rsid w:val="008F249D"/>
    <w:rsid w:val="008F54F8"/>
    <w:rsid w:val="00900C3B"/>
    <w:rsid w:val="009011AA"/>
    <w:rsid w:val="009015EF"/>
    <w:rsid w:val="00904774"/>
    <w:rsid w:val="009059FD"/>
    <w:rsid w:val="00906CC3"/>
    <w:rsid w:val="00917D56"/>
    <w:rsid w:val="00930E7F"/>
    <w:rsid w:val="00931C9D"/>
    <w:rsid w:val="0093308A"/>
    <w:rsid w:val="00933A00"/>
    <w:rsid w:val="00933BFD"/>
    <w:rsid w:val="00941691"/>
    <w:rsid w:val="00942AED"/>
    <w:rsid w:val="00944E25"/>
    <w:rsid w:val="0094553A"/>
    <w:rsid w:val="00953F15"/>
    <w:rsid w:val="00955EB3"/>
    <w:rsid w:val="009579FC"/>
    <w:rsid w:val="00961226"/>
    <w:rsid w:val="009642AB"/>
    <w:rsid w:val="00976A7F"/>
    <w:rsid w:val="00982BCB"/>
    <w:rsid w:val="00983B55"/>
    <w:rsid w:val="00993F03"/>
    <w:rsid w:val="0099435F"/>
    <w:rsid w:val="00996BC5"/>
    <w:rsid w:val="009A6D34"/>
    <w:rsid w:val="009B4816"/>
    <w:rsid w:val="009B6837"/>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11C3E"/>
    <w:rsid w:val="00A26153"/>
    <w:rsid w:val="00A31DC5"/>
    <w:rsid w:val="00A40C81"/>
    <w:rsid w:val="00A436CD"/>
    <w:rsid w:val="00A5180B"/>
    <w:rsid w:val="00A535DD"/>
    <w:rsid w:val="00A53775"/>
    <w:rsid w:val="00A55E36"/>
    <w:rsid w:val="00A6457C"/>
    <w:rsid w:val="00A81AC7"/>
    <w:rsid w:val="00A8223C"/>
    <w:rsid w:val="00A82A93"/>
    <w:rsid w:val="00A8754D"/>
    <w:rsid w:val="00A8757B"/>
    <w:rsid w:val="00A92044"/>
    <w:rsid w:val="00A95499"/>
    <w:rsid w:val="00A96C3F"/>
    <w:rsid w:val="00A9727D"/>
    <w:rsid w:val="00AA0F1F"/>
    <w:rsid w:val="00AA16B9"/>
    <w:rsid w:val="00AA47DC"/>
    <w:rsid w:val="00AB624E"/>
    <w:rsid w:val="00AC2C09"/>
    <w:rsid w:val="00AC6B6F"/>
    <w:rsid w:val="00AE0558"/>
    <w:rsid w:val="00AE11FC"/>
    <w:rsid w:val="00AE6354"/>
    <w:rsid w:val="00AF15AF"/>
    <w:rsid w:val="00AF6EB4"/>
    <w:rsid w:val="00AF762D"/>
    <w:rsid w:val="00B01141"/>
    <w:rsid w:val="00B02E0F"/>
    <w:rsid w:val="00B02E33"/>
    <w:rsid w:val="00B04CF2"/>
    <w:rsid w:val="00B071FA"/>
    <w:rsid w:val="00B12803"/>
    <w:rsid w:val="00B12C53"/>
    <w:rsid w:val="00B214A1"/>
    <w:rsid w:val="00B22D5C"/>
    <w:rsid w:val="00B263F0"/>
    <w:rsid w:val="00B2716E"/>
    <w:rsid w:val="00B275AA"/>
    <w:rsid w:val="00B31661"/>
    <w:rsid w:val="00B32703"/>
    <w:rsid w:val="00B47522"/>
    <w:rsid w:val="00B479BC"/>
    <w:rsid w:val="00B5097B"/>
    <w:rsid w:val="00B54313"/>
    <w:rsid w:val="00B60B5F"/>
    <w:rsid w:val="00B6496F"/>
    <w:rsid w:val="00B65AE5"/>
    <w:rsid w:val="00B7445D"/>
    <w:rsid w:val="00B8064D"/>
    <w:rsid w:val="00B80F06"/>
    <w:rsid w:val="00B827C6"/>
    <w:rsid w:val="00B84CEB"/>
    <w:rsid w:val="00B86327"/>
    <w:rsid w:val="00B90BCA"/>
    <w:rsid w:val="00B9311D"/>
    <w:rsid w:val="00B93F09"/>
    <w:rsid w:val="00BA1092"/>
    <w:rsid w:val="00BA23FC"/>
    <w:rsid w:val="00BA6AE8"/>
    <w:rsid w:val="00BB1390"/>
    <w:rsid w:val="00BC738E"/>
    <w:rsid w:val="00BD0576"/>
    <w:rsid w:val="00BE37FA"/>
    <w:rsid w:val="00BE3DF8"/>
    <w:rsid w:val="00BE50D0"/>
    <w:rsid w:val="00BF16FE"/>
    <w:rsid w:val="00C00138"/>
    <w:rsid w:val="00C012F5"/>
    <w:rsid w:val="00C024E2"/>
    <w:rsid w:val="00C05A07"/>
    <w:rsid w:val="00C068BC"/>
    <w:rsid w:val="00C17081"/>
    <w:rsid w:val="00C20A85"/>
    <w:rsid w:val="00C27FD4"/>
    <w:rsid w:val="00C365E2"/>
    <w:rsid w:val="00C41635"/>
    <w:rsid w:val="00C44EFB"/>
    <w:rsid w:val="00C55264"/>
    <w:rsid w:val="00C6695C"/>
    <w:rsid w:val="00C83AA7"/>
    <w:rsid w:val="00C855FC"/>
    <w:rsid w:val="00C878E6"/>
    <w:rsid w:val="00C92734"/>
    <w:rsid w:val="00C95160"/>
    <w:rsid w:val="00C9624B"/>
    <w:rsid w:val="00C97946"/>
    <w:rsid w:val="00CA4F91"/>
    <w:rsid w:val="00CA7ABB"/>
    <w:rsid w:val="00CB57E5"/>
    <w:rsid w:val="00CB7EE8"/>
    <w:rsid w:val="00CC0BDA"/>
    <w:rsid w:val="00CC3B0C"/>
    <w:rsid w:val="00CC445A"/>
    <w:rsid w:val="00CD4962"/>
    <w:rsid w:val="00CD4EFC"/>
    <w:rsid w:val="00CD58F4"/>
    <w:rsid w:val="00CE1795"/>
    <w:rsid w:val="00CE432C"/>
    <w:rsid w:val="00CE6DBB"/>
    <w:rsid w:val="00CF460F"/>
    <w:rsid w:val="00D02E44"/>
    <w:rsid w:val="00D03C9D"/>
    <w:rsid w:val="00D0520C"/>
    <w:rsid w:val="00D14555"/>
    <w:rsid w:val="00D17DCC"/>
    <w:rsid w:val="00D2248E"/>
    <w:rsid w:val="00D31359"/>
    <w:rsid w:val="00D32EF0"/>
    <w:rsid w:val="00D34665"/>
    <w:rsid w:val="00D35E52"/>
    <w:rsid w:val="00D36FA6"/>
    <w:rsid w:val="00D41E9A"/>
    <w:rsid w:val="00D4236B"/>
    <w:rsid w:val="00D44F76"/>
    <w:rsid w:val="00D53F31"/>
    <w:rsid w:val="00D5584D"/>
    <w:rsid w:val="00D57017"/>
    <w:rsid w:val="00D6129B"/>
    <w:rsid w:val="00D62269"/>
    <w:rsid w:val="00D62EDC"/>
    <w:rsid w:val="00D63D44"/>
    <w:rsid w:val="00D976DC"/>
    <w:rsid w:val="00DA0075"/>
    <w:rsid w:val="00DA0F0D"/>
    <w:rsid w:val="00DA244B"/>
    <w:rsid w:val="00DA6892"/>
    <w:rsid w:val="00DA7F88"/>
    <w:rsid w:val="00DB52E7"/>
    <w:rsid w:val="00DB6D35"/>
    <w:rsid w:val="00DC0318"/>
    <w:rsid w:val="00DD1D5F"/>
    <w:rsid w:val="00DD419F"/>
    <w:rsid w:val="00DE0269"/>
    <w:rsid w:val="00DE360A"/>
    <w:rsid w:val="00DE60A0"/>
    <w:rsid w:val="00DF3B8A"/>
    <w:rsid w:val="00DF423D"/>
    <w:rsid w:val="00DF431A"/>
    <w:rsid w:val="00E012C5"/>
    <w:rsid w:val="00E023A9"/>
    <w:rsid w:val="00E0700C"/>
    <w:rsid w:val="00E07D1B"/>
    <w:rsid w:val="00E1006D"/>
    <w:rsid w:val="00E1549A"/>
    <w:rsid w:val="00E218E2"/>
    <w:rsid w:val="00E23FEE"/>
    <w:rsid w:val="00E32BFB"/>
    <w:rsid w:val="00E446C3"/>
    <w:rsid w:val="00E53F82"/>
    <w:rsid w:val="00E548A7"/>
    <w:rsid w:val="00E57E49"/>
    <w:rsid w:val="00E61C50"/>
    <w:rsid w:val="00E65D4A"/>
    <w:rsid w:val="00E7237D"/>
    <w:rsid w:val="00E72A4F"/>
    <w:rsid w:val="00E83397"/>
    <w:rsid w:val="00E917F8"/>
    <w:rsid w:val="00E9249A"/>
    <w:rsid w:val="00E93502"/>
    <w:rsid w:val="00E9608F"/>
    <w:rsid w:val="00E96FAD"/>
    <w:rsid w:val="00EA106F"/>
    <w:rsid w:val="00EA34C6"/>
    <w:rsid w:val="00EA50D7"/>
    <w:rsid w:val="00EA56BF"/>
    <w:rsid w:val="00EB0779"/>
    <w:rsid w:val="00EB7FC5"/>
    <w:rsid w:val="00EB7FEC"/>
    <w:rsid w:val="00EC2ED9"/>
    <w:rsid w:val="00EC3533"/>
    <w:rsid w:val="00ED7123"/>
    <w:rsid w:val="00EE40FA"/>
    <w:rsid w:val="00EE4F0B"/>
    <w:rsid w:val="00EE6053"/>
    <w:rsid w:val="00EF2F33"/>
    <w:rsid w:val="00EF446C"/>
    <w:rsid w:val="00EF596C"/>
    <w:rsid w:val="00F0298C"/>
    <w:rsid w:val="00F02B3B"/>
    <w:rsid w:val="00F06B89"/>
    <w:rsid w:val="00F07750"/>
    <w:rsid w:val="00F10047"/>
    <w:rsid w:val="00F1685C"/>
    <w:rsid w:val="00F248FA"/>
    <w:rsid w:val="00F30A77"/>
    <w:rsid w:val="00F4393F"/>
    <w:rsid w:val="00F44A7E"/>
    <w:rsid w:val="00F4586A"/>
    <w:rsid w:val="00F46A3A"/>
    <w:rsid w:val="00F52A80"/>
    <w:rsid w:val="00F5375D"/>
    <w:rsid w:val="00F5454E"/>
    <w:rsid w:val="00F7079A"/>
    <w:rsid w:val="00F715C3"/>
    <w:rsid w:val="00F718BD"/>
    <w:rsid w:val="00F753DF"/>
    <w:rsid w:val="00F77BAC"/>
    <w:rsid w:val="00F77F3D"/>
    <w:rsid w:val="00F80507"/>
    <w:rsid w:val="00F83CD3"/>
    <w:rsid w:val="00F85F61"/>
    <w:rsid w:val="00F919CD"/>
    <w:rsid w:val="00F95487"/>
    <w:rsid w:val="00F95DEF"/>
    <w:rsid w:val="00FA1553"/>
    <w:rsid w:val="00FA4DF8"/>
    <w:rsid w:val="00FB45FB"/>
    <w:rsid w:val="00FB58CC"/>
    <w:rsid w:val="00FC09A1"/>
    <w:rsid w:val="00FC1374"/>
    <w:rsid w:val="00FC1781"/>
    <w:rsid w:val="00FC23C9"/>
    <w:rsid w:val="00FC244F"/>
    <w:rsid w:val="00FD79DA"/>
    <w:rsid w:val="00FE2ADC"/>
    <w:rsid w:val="00FE2F0C"/>
    <w:rsid w:val="00FE5997"/>
    <w:rsid w:val="00FE71E8"/>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unhideWhenUsed/>
    <w:rsid w:val="00FC1374"/>
    <w:pPr>
      <w:tabs>
        <w:tab w:val="center" w:pos="4536"/>
        <w:tab w:val="right" w:pos="9072"/>
      </w:tabs>
    </w:pPr>
  </w:style>
  <w:style w:type="character" w:customStyle="1" w:styleId="KopfzeileZchn">
    <w:name w:val="Kopfzeile Zchn"/>
    <w:basedOn w:val="Absatz-Standardschriftart"/>
    <w:link w:val="Kopfzeile"/>
    <w:uiPriority w:val="99"/>
    <w:rsid w:val="00FC1374"/>
    <w:rPr>
      <w:sz w:val="24"/>
      <w:szCs w:val="24"/>
      <w:lang w:val="de-DE" w:eastAsia="de-DE"/>
    </w:rPr>
  </w:style>
  <w:style w:type="paragraph" w:styleId="Fuzeile">
    <w:name w:val="footer"/>
    <w:basedOn w:val="Standard"/>
    <w:link w:val="FuzeileZchn"/>
    <w:uiPriority w:val="99"/>
    <w:unhideWhenUsed/>
    <w:rsid w:val="00FC1374"/>
    <w:pPr>
      <w:tabs>
        <w:tab w:val="center" w:pos="4536"/>
        <w:tab w:val="right" w:pos="9072"/>
      </w:tabs>
    </w:pPr>
  </w:style>
  <w:style w:type="character" w:customStyle="1" w:styleId="FuzeileZchn">
    <w:name w:val="Fußzeile Zchn"/>
    <w:basedOn w:val="Absatz-Standardschriftart"/>
    <w:link w:val="Fuzeile"/>
    <w:uiPriority w:val="99"/>
    <w:rsid w:val="00FC1374"/>
    <w:rPr>
      <w:sz w:val="24"/>
      <w:szCs w:val="24"/>
      <w:lang w:val="de-DE" w:eastAsia="de-DE"/>
    </w:rPr>
  </w:style>
  <w:style w:type="character" w:styleId="NichtaufgelsteErwhnung">
    <w:name w:val="Unresolved Mention"/>
    <w:basedOn w:val="Absatz-Standardschriftart"/>
    <w:uiPriority w:val="99"/>
    <w:semiHidden/>
    <w:unhideWhenUsed/>
    <w:rsid w:val="00E1549A"/>
    <w:rPr>
      <w:color w:val="605E5C"/>
      <w:shd w:val="clear" w:color="auto" w:fill="E1DFDD"/>
    </w:rPr>
  </w:style>
  <w:style w:type="paragraph" w:customStyle="1" w:styleId="TabelleText">
    <w:name w:val="Tabelle_Text"/>
    <w:basedOn w:val="Standard"/>
    <w:qFormat/>
    <w:rsid w:val="003829E7"/>
    <w:pPr>
      <w:jc w:val="both"/>
    </w:pPr>
    <w:rPr>
      <w:rFonts w:ascii="Arial" w:eastAsiaTheme="minorHAnsi" w:hAnsi="Arial" w:cs="Arial"/>
      <w:color w:val="000000"/>
      <w:sz w:val="16"/>
      <w:szCs w:val="16"/>
      <w:lang w:eastAsia="en-US"/>
    </w:rPr>
  </w:style>
  <w:style w:type="paragraph" w:customStyle="1" w:styleId="Tabelleberschrift">
    <w:name w:val="Tabelle_Überschrift"/>
    <w:basedOn w:val="TabelleText"/>
    <w:qFormat/>
    <w:rsid w:val="003829E7"/>
    <w:rPr>
      <w:b/>
      <w:sz w:val="18"/>
    </w:rPr>
  </w:style>
  <w:style w:type="character" w:styleId="BesuchterLink">
    <w:name w:val="FollowedHyperlink"/>
    <w:basedOn w:val="Absatz-Standardschriftart"/>
    <w:uiPriority w:val="99"/>
    <w:semiHidden/>
    <w:unhideWhenUsed/>
    <w:rsid w:val="0063331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ovannetti@isfh.de" TargetMode="External"/><Relationship Id="rId13" Type="http://schemas.openxmlformats.org/officeDocument/2006/relationships/image" Target="media/image5.emf"/><Relationship Id="rId18" Type="http://schemas.openxmlformats.org/officeDocument/2006/relationships/hyperlink" Target="https://doi.org/10.1016/j.egypro.2014.02.151" TargetMode="External"/><Relationship Id="rId3" Type="http://schemas.openxmlformats.org/officeDocument/2006/relationships/styles" Target="styles.xml"/><Relationship Id="rId21" Type="http://schemas.openxmlformats.org/officeDocument/2006/relationships/hyperlink" Target="https://doi.org/10.1016/j.enbuild.2025.116293"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s://langfristszenarien.de" TargetMode="Externa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yperlink" Target="https://doi.org/10.1016/j.apenergy.2018.05.004"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https://doi.org/10.1016/j.egypro.2016.06.18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A1B3CF-9D11-46A1-A0AB-92EF3A23D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5355</Words>
  <Characters>33741</Characters>
  <Application>Microsoft Office Word</Application>
  <DocSecurity>0</DocSecurity>
  <Lines>281</Lines>
  <Paragraphs>78</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Federico Giovannetti</cp:lastModifiedBy>
  <cp:revision>5</cp:revision>
  <cp:lastPrinted>2026-09-10T21:50:00Z</cp:lastPrinted>
  <dcterms:created xsi:type="dcterms:W3CDTF">2026-09-10T21:33:00Z</dcterms:created>
  <dcterms:modified xsi:type="dcterms:W3CDTF">2026-09-10T22:04:00Z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