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22" w:rsidRPr="00CB3033" w:rsidRDefault="00277222" w:rsidP="00CB3033">
      <w:pPr>
        <w:jc w:val="center"/>
        <w:rPr>
          <w:rFonts w:cs="Times New Roman"/>
          <w:b/>
          <w:sz w:val="28"/>
          <w:szCs w:val="28"/>
        </w:rPr>
      </w:pPr>
      <w:r w:rsidRPr="00CB3033">
        <w:rPr>
          <w:b/>
          <w:sz w:val="28"/>
          <w:szCs w:val="28"/>
        </w:rPr>
        <w:t>Strength and fracture toughness of oxide-fibre/molybdenum-matrix composites</w:t>
      </w:r>
    </w:p>
    <w:p w:rsidR="00277222" w:rsidRDefault="00B95BEB" w:rsidP="00B95BEB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S.T. Mileiko</w:t>
      </w:r>
    </w:p>
    <w:p w:rsidR="00B95BEB" w:rsidRDefault="00B95BEB" w:rsidP="00B95BEB">
      <w:pPr>
        <w:jc w:val="center"/>
        <w:rPr>
          <w:rFonts w:cs="Times New Roman"/>
          <w:i/>
          <w:szCs w:val="24"/>
        </w:rPr>
      </w:pPr>
      <w:r w:rsidRPr="00B95BEB">
        <w:rPr>
          <w:rFonts w:cs="Times New Roman"/>
          <w:i/>
          <w:szCs w:val="24"/>
        </w:rPr>
        <w:t xml:space="preserve">Institute of Solid State Physics of Russian Academy of Science, Chernogolovka Moscow distr., Russian Federation, </w:t>
      </w:r>
      <w:hyperlink r:id="rId9" w:history="1">
        <w:r w:rsidR="00EF76D7" w:rsidRPr="00227BFB">
          <w:rPr>
            <w:rStyle w:val="a9"/>
            <w:rFonts w:cs="Times New Roman"/>
            <w:i/>
            <w:szCs w:val="24"/>
          </w:rPr>
          <w:t>mileiko@issp.ac.ru</w:t>
        </w:r>
      </w:hyperlink>
    </w:p>
    <w:p w:rsidR="00EF76D7" w:rsidRDefault="00EF76D7" w:rsidP="00B95BEB">
      <w:pPr>
        <w:jc w:val="center"/>
        <w:rPr>
          <w:rFonts w:cs="Times New Roman"/>
          <w:i/>
          <w:szCs w:val="24"/>
        </w:rPr>
      </w:pPr>
    </w:p>
    <w:p w:rsidR="00EF76D7" w:rsidRPr="00EF76D7" w:rsidRDefault="00EF76D7" w:rsidP="00EF76D7">
      <w:pPr>
        <w:ind w:left="288" w:firstLine="0"/>
        <w:rPr>
          <w:rFonts w:cs="Times New Roman"/>
          <w:color w:val="222222"/>
          <w:sz w:val="20"/>
          <w:szCs w:val="20"/>
        </w:rPr>
      </w:pPr>
      <w:r w:rsidRPr="00EF76D7">
        <w:rPr>
          <w:sz w:val="20"/>
          <w:szCs w:val="20"/>
        </w:rPr>
        <w:t>C</w:t>
      </w:r>
      <w:r w:rsidRPr="00EF76D7">
        <w:rPr>
          <w:sz w:val="20"/>
          <w:szCs w:val="20"/>
        </w:rPr>
        <w:t>omposites with molybdenum matrix and three types of oxide fibres in the Al</w:t>
      </w:r>
      <w:r w:rsidRPr="00EF76D7">
        <w:rPr>
          <w:sz w:val="20"/>
          <w:szCs w:val="20"/>
          <w:vertAlign w:val="subscript"/>
        </w:rPr>
        <w:t>2</w:t>
      </w:r>
      <w:r w:rsidRPr="00EF76D7">
        <w:rPr>
          <w:sz w:val="20"/>
          <w:szCs w:val="20"/>
        </w:rPr>
        <w:t>O</w:t>
      </w:r>
      <w:r w:rsidRPr="00EF76D7">
        <w:rPr>
          <w:sz w:val="20"/>
          <w:szCs w:val="20"/>
          <w:vertAlign w:val="subscript"/>
        </w:rPr>
        <w:t>3</w:t>
      </w:r>
      <w:r w:rsidRPr="00EF76D7">
        <w:rPr>
          <w:sz w:val="20"/>
          <w:szCs w:val="20"/>
        </w:rPr>
        <w:t>-Y</w:t>
      </w:r>
      <w:r w:rsidRPr="00EF76D7">
        <w:rPr>
          <w:sz w:val="20"/>
          <w:szCs w:val="20"/>
          <w:vertAlign w:val="subscript"/>
        </w:rPr>
        <w:t>2</w:t>
      </w:r>
      <w:r w:rsidRPr="00EF76D7">
        <w:rPr>
          <w:sz w:val="20"/>
          <w:szCs w:val="20"/>
        </w:rPr>
        <w:t>O</w:t>
      </w:r>
      <w:r w:rsidRPr="00EF76D7">
        <w:rPr>
          <w:sz w:val="20"/>
          <w:szCs w:val="20"/>
          <w:vertAlign w:val="subscript"/>
        </w:rPr>
        <w:t>3</w:t>
      </w:r>
      <w:r w:rsidRPr="00EF76D7">
        <w:rPr>
          <w:sz w:val="20"/>
          <w:szCs w:val="20"/>
        </w:rPr>
        <w:t xml:space="preserve"> system are obtained. Those fibres are yttrium </w:t>
      </w:r>
      <w:proofErr w:type="spellStart"/>
      <w:r w:rsidRPr="00EF76D7">
        <w:rPr>
          <w:sz w:val="20"/>
          <w:szCs w:val="20"/>
        </w:rPr>
        <w:t>aluminim</w:t>
      </w:r>
      <w:proofErr w:type="spellEnd"/>
      <w:r w:rsidRPr="00EF76D7">
        <w:rPr>
          <w:sz w:val="20"/>
          <w:szCs w:val="20"/>
        </w:rPr>
        <w:t xml:space="preserve"> </w:t>
      </w:r>
      <w:proofErr w:type="spellStart"/>
      <w:r w:rsidRPr="00EF76D7">
        <w:rPr>
          <w:sz w:val="20"/>
          <w:szCs w:val="20"/>
        </w:rPr>
        <w:t>perovsckite</w:t>
      </w:r>
      <w:proofErr w:type="spellEnd"/>
      <w:r w:rsidRPr="00EF76D7">
        <w:rPr>
          <w:sz w:val="20"/>
          <w:szCs w:val="20"/>
        </w:rPr>
        <w:t xml:space="preserve"> </w:t>
      </w:r>
      <w:proofErr w:type="gramStart"/>
      <w:r w:rsidRPr="00EF76D7">
        <w:rPr>
          <w:sz w:val="20"/>
          <w:szCs w:val="20"/>
        </w:rPr>
        <w:t>YAlO</w:t>
      </w:r>
      <w:r w:rsidRPr="00EF76D7">
        <w:rPr>
          <w:sz w:val="20"/>
          <w:szCs w:val="20"/>
          <w:vertAlign w:val="subscript"/>
        </w:rPr>
        <w:t>3</w:t>
      </w:r>
      <w:r w:rsidRPr="00EF76D7">
        <w:rPr>
          <w:sz w:val="20"/>
          <w:szCs w:val="20"/>
        </w:rPr>
        <w:t xml:space="preserve">  (</w:t>
      </w:r>
      <w:proofErr w:type="gramEnd"/>
      <w:r w:rsidRPr="00EF76D7">
        <w:rPr>
          <w:sz w:val="20"/>
          <w:szCs w:val="20"/>
        </w:rPr>
        <w:t>YAP), y</w:t>
      </w:r>
      <w:r w:rsidRPr="00EF76D7">
        <w:rPr>
          <w:rFonts w:cs="Times New Roman"/>
          <w:color w:val="222222"/>
          <w:sz w:val="20"/>
          <w:szCs w:val="20"/>
        </w:rPr>
        <w:t>ttrium aluminium monoclinic Y</w:t>
      </w:r>
      <w:r w:rsidRPr="00EF76D7">
        <w:rPr>
          <w:rFonts w:cs="Times New Roman"/>
          <w:color w:val="222222"/>
          <w:sz w:val="20"/>
          <w:szCs w:val="20"/>
          <w:vertAlign w:val="subscript"/>
        </w:rPr>
        <w:t>4</w:t>
      </w:r>
      <w:r w:rsidRPr="00EF76D7">
        <w:rPr>
          <w:rFonts w:cs="Times New Roman"/>
          <w:color w:val="222222"/>
          <w:sz w:val="20"/>
          <w:szCs w:val="20"/>
        </w:rPr>
        <w:t>Al</w:t>
      </w:r>
      <w:r w:rsidRPr="00EF76D7">
        <w:rPr>
          <w:rFonts w:cs="Times New Roman"/>
          <w:color w:val="222222"/>
          <w:sz w:val="20"/>
          <w:szCs w:val="20"/>
          <w:vertAlign w:val="subscript"/>
        </w:rPr>
        <w:t>2</w:t>
      </w:r>
      <w:r w:rsidRPr="00EF76D7">
        <w:rPr>
          <w:rFonts w:cs="Times New Roman"/>
          <w:color w:val="222222"/>
          <w:sz w:val="20"/>
          <w:szCs w:val="20"/>
        </w:rPr>
        <w:t>O</w:t>
      </w:r>
      <w:r w:rsidRPr="00EF76D7">
        <w:rPr>
          <w:rFonts w:cs="Times New Roman"/>
          <w:color w:val="222222"/>
          <w:sz w:val="20"/>
          <w:szCs w:val="20"/>
          <w:vertAlign w:val="subscript"/>
        </w:rPr>
        <w:t xml:space="preserve">9 </w:t>
      </w:r>
      <w:r w:rsidRPr="00EF76D7">
        <w:rPr>
          <w:rFonts w:cs="Times New Roman"/>
          <w:color w:val="222222"/>
          <w:sz w:val="20"/>
          <w:szCs w:val="20"/>
        </w:rPr>
        <w:t>(YAM), and YAG-YAM eutectic.</w:t>
      </w:r>
      <w:r w:rsidRPr="00EF76D7">
        <w:rPr>
          <w:rFonts w:cs="Times New Roman"/>
          <w:color w:val="222222"/>
          <w:sz w:val="20"/>
          <w:szCs w:val="20"/>
        </w:rPr>
        <w:t xml:space="preserve"> Mechanical </w:t>
      </w:r>
      <w:proofErr w:type="spellStart"/>
      <w:r w:rsidRPr="00EF76D7">
        <w:rPr>
          <w:rFonts w:cs="Times New Roman"/>
          <w:color w:val="222222"/>
          <w:sz w:val="20"/>
          <w:szCs w:val="20"/>
        </w:rPr>
        <w:t>testings</w:t>
      </w:r>
      <w:proofErr w:type="spellEnd"/>
      <w:r w:rsidRPr="00EF76D7">
        <w:rPr>
          <w:rFonts w:cs="Times New Roman"/>
          <w:color w:val="222222"/>
          <w:sz w:val="20"/>
          <w:szCs w:val="20"/>
        </w:rPr>
        <w:t xml:space="preserve"> of the composites have shown that (</w:t>
      </w:r>
      <w:proofErr w:type="spellStart"/>
      <w:r w:rsidRPr="00EF76D7">
        <w:rPr>
          <w:rFonts w:cs="Times New Roman"/>
          <w:color w:val="222222"/>
          <w:sz w:val="20"/>
          <w:szCs w:val="20"/>
        </w:rPr>
        <w:t>i</w:t>
      </w:r>
      <w:proofErr w:type="spellEnd"/>
      <w:r w:rsidRPr="00EF76D7">
        <w:rPr>
          <w:rFonts w:cs="Times New Roman"/>
          <w:color w:val="222222"/>
          <w:sz w:val="20"/>
          <w:szCs w:val="20"/>
        </w:rPr>
        <w:t>) t</w:t>
      </w:r>
      <w:r w:rsidRPr="00EF76D7">
        <w:rPr>
          <w:rFonts w:cs="Times New Roman"/>
          <w:color w:val="222222"/>
          <w:sz w:val="20"/>
          <w:szCs w:val="20"/>
        </w:rPr>
        <w:t>he composites are sufficiently strong at high temperature, up to 1400</w:t>
      </w:r>
      <w:r w:rsidRPr="00EF76D7">
        <w:rPr>
          <w:rFonts w:cs="Times New Roman"/>
          <w:color w:val="222222"/>
          <w:sz w:val="20"/>
          <w:szCs w:val="20"/>
          <w:vertAlign w:val="superscript"/>
        </w:rPr>
        <w:t>o</w:t>
      </w:r>
      <w:r w:rsidRPr="00EF76D7">
        <w:rPr>
          <w:rFonts w:cs="Times New Roman"/>
          <w:color w:val="222222"/>
          <w:sz w:val="20"/>
          <w:szCs w:val="20"/>
        </w:rPr>
        <w:t>C</w:t>
      </w:r>
      <w:r w:rsidRPr="00EF76D7">
        <w:rPr>
          <w:rFonts w:cs="Times New Roman"/>
          <w:color w:val="222222"/>
          <w:sz w:val="20"/>
          <w:szCs w:val="20"/>
        </w:rPr>
        <w:t>; (ii) c</w:t>
      </w:r>
      <w:r w:rsidRPr="00EF76D7">
        <w:rPr>
          <w:rFonts w:cs="Times New Roman"/>
          <w:color w:val="222222"/>
          <w:sz w:val="20"/>
          <w:szCs w:val="20"/>
        </w:rPr>
        <w:t>ritical strength intensity factor measured for all the composites is reaching values 25 – 30 MPa∙m</w:t>
      </w:r>
      <w:r w:rsidRPr="00EF76D7">
        <w:rPr>
          <w:rFonts w:cs="Times New Roman"/>
          <w:color w:val="222222"/>
          <w:sz w:val="20"/>
          <w:szCs w:val="20"/>
          <w:vertAlign w:val="superscript"/>
        </w:rPr>
        <w:t>½</w:t>
      </w:r>
      <w:r w:rsidRPr="00EF76D7">
        <w:rPr>
          <w:rFonts w:cs="Times New Roman"/>
          <w:color w:val="222222"/>
          <w:sz w:val="20"/>
          <w:szCs w:val="20"/>
        </w:rPr>
        <w:t xml:space="preserve"> ; (iii) </w:t>
      </w:r>
      <w:r w:rsidRPr="00EF76D7">
        <w:rPr>
          <w:sz w:val="20"/>
          <w:szCs w:val="20"/>
        </w:rPr>
        <w:t>The average values of notch sensitivity is about 0.7. Obviously, it is possible to enhance fracture properties of the composites by using for the matrix appropriate molybdenum alloys.</w:t>
      </w:r>
    </w:p>
    <w:p w:rsidR="00CB3033" w:rsidRDefault="00CB3033" w:rsidP="005056AD">
      <w:pPr>
        <w:pStyle w:val="1"/>
      </w:pPr>
      <w:r>
        <w:t>Introduction</w:t>
      </w:r>
    </w:p>
    <w:p w:rsidR="00CE0445" w:rsidRDefault="00F235E7" w:rsidP="00CE0445">
      <w:pPr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="00CE0445" w:rsidRPr="00382161">
        <w:rPr>
          <w:rFonts w:cs="Times New Roman"/>
          <w:szCs w:val="24"/>
        </w:rPr>
        <w:t>he present high temperature alloys used in severe conditions of loading in detrimental environments are based on nickel and this sets a limit for the use temperature of about 1100</w:t>
      </w:r>
      <w:r w:rsidR="00CE0445" w:rsidRPr="00382161">
        <w:rPr>
          <w:rFonts w:cs="Times New Roman"/>
          <w:szCs w:val="24"/>
          <w:vertAlign w:val="superscript"/>
        </w:rPr>
        <w:t>о</w:t>
      </w:r>
      <w:r w:rsidR="00CE0445" w:rsidRPr="00382161">
        <w:rPr>
          <w:rFonts w:cs="Times New Roman"/>
          <w:szCs w:val="24"/>
        </w:rPr>
        <w:t xml:space="preserve">С.  Aerospace and energy technologies of near future require urgently </w:t>
      </w:r>
      <w:proofErr w:type="gramStart"/>
      <w:r w:rsidR="00CE0445" w:rsidRPr="00382161">
        <w:rPr>
          <w:rFonts w:cs="Times New Roman"/>
          <w:szCs w:val="24"/>
        </w:rPr>
        <w:t>an</w:t>
      </w:r>
      <w:r w:rsidR="008B5EEC">
        <w:rPr>
          <w:rFonts w:cs="Times New Roman"/>
          <w:szCs w:val="24"/>
        </w:rPr>
        <w:t xml:space="preserve"> </w:t>
      </w:r>
      <w:r w:rsidR="00CE0445" w:rsidRPr="00382161">
        <w:rPr>
          <w:rFonts w:cs="Times New Roman"/>
          <w:szCs w:val="24"/>
        </w:rPr>
        <w:t>enhance</w:t>
      </w:r>
      <w:proofErr w:type="gramEnd"/>
      <w:r w:rsidR="00CE0445" w:rsidRPr="00382161">
        <w:rPr>
          <w:rFonts w:cs="Times New Roman"/>
          <w:szCs w:val="24"/>
        </w:rPr>
        <w:t xml:space="preserve"> </w:t>
      </w:r>
      <w:r w:rsidR="00CE0445">
        <w:rPr>
          <w:rFonts w:cs="Times New Roman"/>
          <w:szCs w:val="24"/>
        </w:rPr>
        <w:t>in</w:t>
      </w:r>
      <w:r w:rsidR="00CE0445" w:rsidRPr="00382161">
        <w:rPr>
          <w:rFonts w:cs="Times New Roman"/>
          <w:szCs w:val="24"/>
        </w:rPr>
        <w:t xml:space="preserve"> the use temperature of materials up to, at least, 1300</w:t>
      </w:r>
      <w:r w:rsidR="00CE0445" w:rsidRPr="00382161">
        <w:rPr>
          <w:rFonts w:cs="Times New Roman"/>
          <w:szCs w:val="24"/>
          <w:vertAlign w:val="superscript"/>
        </w:rPr>
        <w:t>о</w:t>
      </w:r>
      <w:r w:rsidR="00CE0445" w:rsidRPr="00382161">
        <w:rPr>
          <w:rFonts w:cs="Times New Roman"/>
          <w:szCs w:val="24"/>
        </w:rPr>
        <w:t xml:space="preserve">С. </w:t>
      </w:r>
      <w:r>
        <w:rPr>
          <w:rFonts w:cs="Times New Roman"/>
          <w:szCs w:val="24"/>
        </w:rPr>
        <w:t>N</w:t>
      </w:r>
      <w:r w:rsidR="00CE0445" w:rsidRPr="00382161">
        <w:rPr>
          <w:rFonts w:cs="Times New Roman"/>
          <w:szCs w:val="24"/>
        </w:rPr>
        <w:t>iobium and molybdenum alloys to satisfy this requirement have been developing on the base of known fundamental knowledge on alloys strengthening and this makes limitations caused by a rather low fracture toughness of high strength alloys</w:t>
      </w:r>
      <w:r w:rsidR="00C50E2A">
        <w:rPr>
          <w:rFonts w:cs="Times New Roman"/>
          <w:szCs w:val="24"/>
        </w:rPr>
        <w:t xml:space="preserve"> [</w:t>
      </w:r>
      <w:r w:rsidR="00286D2D">
        <w:rPr>
          <w:rStyle w:val="a4"/>
          <w:rFonts w:cs="Times New Roman"/>
          <w:szCs w:val="24"/>
        </w:rPr>
        <w:endnoteReference w:id="1"/>
      </w:r>
      <w:r w:rsidR="00286D2D">
        <w:rPr>
          <w:rFonts w:cs="Times New Roman"/>
          <w:szCs w:val="24"/>
        </w:rPr>
        <w:t>,</w:t>
      </w:r>
      <w:r w:rsidR="00C50E2A">
        <w:rPr>
          <w:rStyle w:val="a4"/>
          <w:rFonts w:cs="Times New Roman"/>
          <w:szCs w:val="24"/>
        </w:rPr>
        <w:endnoteReference w:id="2"/>
      </w:r>
      <w:r w:rsidR="00C50E2A">
        <w:rPr>
          <w:rFonts w:cs="Times New Roman"/>
          <w:szCs w:val="24"/>
        </w:rPr>
        <w:t>,</w:t>
      </w:r>
      <w:r w:rsidR="00C50E2A">
        <w:rPr>
          <w:rStyle w:val="a4"/>
          <w:rFonts w:cs="Times New Roman"/>
          <w:szCs w:val="24"/>
        </w:rPr>
        <w:endnoteReference w:id="3"/>
      </w:r>
      <w:r w:rsidR="00C50E2A">
        <w:rPr>
          <w:rFonts w:cs="Times New Roman"/>
          <w:szCs w:val="24"/>
        </w:rPr>
        <w:t>]</w:t>
      </w:r>
      <w:r w:rsidR="00CE0445" w:rsidRPr="00382161">
        <w:rPr>
          <w:rFonts w:cs="Times New Roman"/>
          <w:szCs w:val="24"/>
        </w:rPr>
        <w:t xml:space="preserve">. </w:t>
      </w:r>
      <w:r w:rsidR="00A571D8">
        <w:rPr>
          <w:rFonts w:cs="Times New Roman"/>
          <w:szCs w:val="24"/>
        </w:rPr>
        <w:t>The</w:t>
      </w:r>
      <w:r w:rsidR="00CE0445" w:rsidRPr="00382161">
        <w:rPr>
          <w:rFonts w:cs="Times New Roman"/>
          <w:szCs w:val="24"/>
        </w:rPr>
        <w:t xml:space="preserve"> result is a limit to a strengthening degree and, finally, to the use temperature. </w:t>
      </w:r>
      <w:r w:rsidR="00286D2D">
        <w:rPr>
          <w:rFonts w:cs="Times New Roman"/>
          <w:szCs w:val="24"/>
        </w:rPr>
        <w:t>This is a usual correlation between strength and fracture toughness of metal alloys [</w:t>
      </w:r>
      <w:bookmarkStart w:id="0" w:name="_Ref503617872"/>
      <w:r w:rsidR="00286D2D">
        <w:rPr>
          <w:rStyle w:val="a4"/>
          <w:rFonts w:cs="Times New Roman"/>
          <w:szCs w:val="24"/>
        </w:rPr>
        <w:endnoteReference w:id="4"/>
      </w:r>
      <w:bookmarkEnd w:id="0"/>
      <w:r w:rsidR="00286D2D">
        <w:rPr>
          <w:rFonts w:cs="Times New Roman"/>
          <w:szCs w:val="24"/>
        </w:rPr>
        <w:t>,</w:t>
      </w:r>
      <w:r w:rsidR="00286D2D">
        <w:rPr>
          <w:rStyle w:val="a4"/>
          <w:rFonts w:cs="Times New Roman"/>
          <w:szCs w:val="24"/>
        </w:rPr>
        <w:endnoteReference w:id="5"/>
      </w:r>
      <w:r w:rsidR="00286D2D">
        <w:rPr>
          <w:rFonts w:cs="Times New Roman"/>
          <w:szCs w:val="24"/>
        </w:rPr>
        <w:t>].</w:t>
      </w:r>
    </w:p>
    <w:p w:rsidR="003179A7" w:rsidRDefault="00286D2D" w:rsidP="00CE0445">
      <w:pPr>
        <w:rPr>
          <w:noProof/>
        </w:rPr>
      </w:pPr>
      <w:r>
        <w:rPr>
          <w:rFonts w:cs="Times New Roman"/>
          <w:szCs w:val="24"/>
        </w:rPr>
        <w:t>Metal matrix composites reinforc</w:t>
      </w:r>
      <w:r w:rsidR="00A571D8">
        <w:rPr>
          <w:rFonts w:cs="Times New Roman"/>
          <w:szCs w:val="24"/>
        </w:rPr>
        <w:t>ed with stro</w:t>
      </w:r>
      <w:r>
        <w:rPr>
          <w:rFonts w:cs="Times New Roman"/>
          <w:szCs w:val="24"/>
        </w:rPr>
        <w:t xml:space="preserve">ng </w:t>
      </w:r>
      <w:r w:rsidR="00A571D8">
        <w:rPr>
          <w:rFonts w:cs="Times New Roman"/>
          <w:szCs w:val="24"/>
        </w:rPr>
        <w:t xml:space="preserve">and </w:t>
      </w:r>
      <w:r>
        <w:rPr>
          <w:rFonts w:cs="Times New Roman"/>
          <w:szCs w:val="24"/>
        </w:rPr>
        <w:t>brittle fibres are characterised by simultaneous increase in their strength and fracture toughness with an increase in fibre volume fraction provided they are designed in an appropriate way [</w:t>
      </w: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NOTEREF _Ref503617872 \h </w:instrText>
      </w:r>
      <w:r>
        <w:rPr>
          <w:rFonts w:cs="Times New Roman"/>
          <w:szCs w:val="24"/>
        </w:rPr>
      </w:r>
      <w:r>
        <w:rPr>
          <w:rFonts w:cs="Times New Roman"/>
          <w:szCs w:val="24"/>
        </w:rPr>
        <w:fldChar w:fldCharType="separate"/>
      </w:r>
      <w:r w:rsidR="00EF76D7">
        <w:rPr>
          <w:rFonts w:cs="Times New Roman"/>
          <w:szCs w:val="24"/>
        </w:rPr>
        <w:t>4</w:t>
      </w:r>
      <w:r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>,</w:t>
      </w:r>
      <w:bookmarkStart w:id="1" w:name="_Ref514957309"/>
      <w:r>
        <w:rPr>
          <w:rStyle w:val="a4"/>
          <w:rFonts w:cs="Times New Roman"/>
          <w:szCs w:val="24"/>
        </w:rPr>
        <w:endnoteReference w:id="6"/>
      </w:r>
      <w:bookmarkEnd w:id="1"/>
      <w:r>
        <w:rPr>
          <w:rFonts w:cs="Times New Roman"/>
          <w:szCs w:val="24"/>
        </w:rPr>
        <w:t>]</w:t>
      </w:r>
      <w:r w:rsidR="00563477">
        <w:rPr>
          <w:rFonts w:cs="Times New Roman"/>
          <w:szCs w:val="24"/>
        </w:rPr>
        <w:t xml:space="preserve">. </w:t>
      </w:r>
      <w:r w:rsidR="00B639FA">
        <w:rPr>
          <w:rFonts w:cs="Times New Roman"/>
          <w:szCs w:val="24"/>
        </w:rPr>
        <w:t>Real composites demonstrate synergetic effects</w:t>
      </w:r>
      <w:r w:rsidR="00EA4A7A">
        <w:rPr>
          <w:rFonts w:cs="Times New Roman"/>
          <w:szCs w:val="24"/>
        </w:rPr>
        <w:t xml:space="preserve"> [</w:t>
      </w:r>
      <w:r w:rsidR="00EA4A7A">
        <w:rPr>
          <w:rStyle w:val="a4"/>
          <w:rFonts w:cs="Times New Roman"/>
          <w:szCs w:val="24"/>
        </w:rPr>
        <w:endnoteReference w:id="7"/>
      </w:r>
      <w:r w:rsidR="00EA4A7A">
        <w:rPr>
          <w:rFonts w:cs="Times New Roman"/>
          <w:szCs w:val="24"/>
        </w:rPr>
        <w:t>]</w:t>
      </w:r>
      <w:r w:rsidR="00B639FA">
        <w:rPr>
          <w:rFonts w:cs="Times New Roman"/>
          <w:szCs w:val="24"/>
        </w:rPr>
        <w:t xml:space="preserve">, one of which is an effect of reinforcing fibres of special chemical compositions on </w:t>
      </w:r>
      <w:r w:rsidR="00EA4A7A">
        <w:rPr>
          <w:rFonts w:cs="Times New Roman"/>
          <w:szCs w:val="24"/>
        </w:rPr>
        <w:t>the oxidation resistance of molybdenum matrix. In fact, the fibres containing, for example, yttrium decrease the oxidation rate of the molybdenum matrix by orders of the magnitudes [</w:t>
      </w:r>
      <w:bookmarkStart w:id="2" w:name="_Ref514863134"/>
      <w:r w:rsidR="00EA4A7A">
        <w:rPr>
          <w:rStyle w:val="a4"/>
          <w:rFonts w:cs="Times New Roman"/>
          <w:szCs w:val="24"/>
        </w:rPr>
        <w:endnoteReference w:id="8"/>
      </w:r>
      <w:bookmarkEnd w:id="2"/>
      <w:r w:rsidR="00EA4A7A">
        <w:rPr>
          <w:rFonts w:cs="Times New Roman"/>
          <w:szCs w:val="24"/>
        </w:rPr>
        <w:t>,</w:t>
      </w:r>
      <w:bookmarkStart w:id="3" w:name="_Ref514863137"/>
      <w:r w:rsidR="00EA4A7A">
        <w:rPr>
          <w:rStyle w:val="a4"/>
          <w:rFonts w:cs="Times New Roman"/>
          <w:szCs w:val="24"/>
        </w:rPr>
        <w:endnoteReference w:id="9"/>
      </w:r>
      <w:bookmarkEnd w:id="3"/>
      <w:r w:rsidR="00EA4A7A">
        <w:rPr>
          <w:rFonts w:cs="Times New Roman"/>
          <w:szCs w:val="24"/>
        </w:rPr>
        <w:t>]</w:t>
      </w:r>
      <w:r w:rsidR="00A571D8">
        <w:rPr>
          <w:rFonts w:cs="Times New Roman"/>
          <w:szCs w:val="24"/>
        </w:rPr>
        <w:t xml:space="preserve"> as a result of the formation of yttrium molybdates on the surface of a composite specimen</w:t>
      </w:r>
      <w:r w:rsidR="00EA4A7A">
        <w:rPr>
          <w:rFonts w:cs="Times New Roman"/>
          <w:szCs w:val="24"/>
        </w:rPr>
        <w:t xml:space="preserve">. Hence, a study of high temperature strength and fracture toughness of </w:t>
      </w:r>
      <w:r w:rsidR="00EA4A7A">
        <w:rPr>
          <w:noProof/>
        </w:rPr>
        <w:t xml:space="preserve">oxide-fibre/molybdenum-matrix composites </w:t>
      </w:r>
      <w:r w:rsidR="00A571D8">
        <w:rPr>
          <w:noProof/>
        </w:rPr>
        <w:t xml:space="preserve">becomes that </w:t>
      </w:r>
      <w:r w:rsidR="00EA4A7A">
        <w:rPr>
          <w:noProof/>
        </w:rPr>
        <w:t>of a practical importance.</w:t>
      </w:r>
      <w:r w:rsidR="00CB3033">
        <w:rPr>
          <w:noProof/>
        </w:rPr>
        <w:t xml:space="preserve"> In the present paper, </w:t>
      </w:r>
      <w:r w:rsidR="00EA4A7A">
        <w:rPr>
          <w:noProof/>
        </w:rPr>
        <w:t>we present some results of this study obtained in the last two years</w:t>
      </w:r>
      <w:r w:rsidR="00EB6598">
        <w:rPr>
          <w:noProof/>
        </w:rPr>
        <w:t xml:space="preserve"> in deatls</w:t>
      </w:r>
      <w:r w:rsidR="00EA4A7A">
        <w:rPr>
          <w:noProof/>
        </w:rPr>
        <w:t>.</w:t>
      </w:r>
      <w:r w:rsidR="00EB6598">
        <w:rPr>
          <w:noProof/>
        </w:rPr>
        <w:t xml:space="preserve"> </w:t>
      </w:r>
    </w:p>
    <w:p w:rsidR="003179A7" w:rsidRDefault="003179A7" w:rsidP="005056AD">
      <w:pPr>
        <w:pStyle w:val="1"/>
        <w:rPr>
          <w:noProof/>
        </w:rPr>
      </w:pPr>
      <w:r>
        <w:rPr>
          <w:noProof/>
        </w:rPr>
        <w:t>Fabrication of composite specimens</w:t>
      </w:r>
    </w:p>
    <w:p w:rsidR="00FA2C1F" w:rsidRDefault="004463CC" w:rsidP="00FA2C1F">
      <w:pPr>
        <w:rPr>
          <w:lang w:val="en-GB"/>
        </w:rPr>
      </w:pPr>
      <w:r>
        <w:rPr>
          <w:noProof/>
        </w:rPr>
        <w:t xml:space="preserve">Composite specimens were obtained by the internal crystallisation method </w:t>
      </w:r>
      <w:r w:rsidR="00FA2C1F">
        <w:rPr>
          <w:noProof/>
        </w:rPr>
        <w:t xml:space="preserve">(ICM) </w:t>
      </w:r>
      <w:r>
        <w:rPr>
          <w:noProof/>
        </w:rPr>
        <w:t>[</w:t>
      </w:r>
      <w:r>
        <w:rPr>
          <w:noProof/>
        </w:rPr>
        <w:fldChar w:fldCharType="begin"/>
      </w:r>
      <w:r>
        <w:rPr>
          <w:noProof/>
        </w:rPr>
        <w:instrText xml:space="preserve"> NOTEREF _Ref503617872 \h </w:instrText>
      </w:r>
      <w:r>
        <w:rPr>
          <w:noProof/>
        </w:rPr>
      </w:r>
      <w:r>
        <w:rPr>
          <w:noProof/>
        </w:rPr>
        <w:fldChar w:fldCharType="separate"/>
      </w:r>
      <w:r w:rsidR="00EF76D7">
        <w:rPr>
          <w:noProof/>
        </w:rPr>
        <w:t>4</w:t>
      </w:r>
      <w:r>
        <w:rPr>
          <w:noProof/>
        </w:rPr>
        <w:fldChar w:fldCharType="end"/>
      </w:r>
      <w:r>
        <w:rPr>
          <w:noProof/>
        </w:rPr>
        <w:t>,</w:t>
      </w:r>
      <w:bookmarkStart w:id="4" w:name="_Ref515032341"/>
      <w:r>
        <w:rPr>
          <w:rStyle w:val="a4"/>
          <w:noProof/>
        </w:rPr>
        <w:endnoteReference w:id="10"/>
      </w:r>
      <w:bookmarkEnd w:id="4"/>
      <w:r>
        <w:rPr>
          <w:noProof/>
        </w:rPr>
        <w:t>].</w:t>
      </w:r>
      <w:r w:rsidR="00FA2C1F">
        <w:rPr>
          <w:noProof/>
        </w:rPr>
        <w:t xml:space="preserve"> </w:t>
      </w:r>
      <w:r w:rsidR="00FA2C1F" w:rsidRPr="00201507">
        <w:rPr>
          <w:lang w:val="en-GB"/>
        </w:rPr>
        <w:t>The ICM for producing oxide-fibre/molybdenum-matrix composites consists of three main steps. First, a molybdenum carcass with continuous channels is prepared by the diffusion bonding of an assembly of molybdenum wire and foil. The process is performed in such a way as to prevent the gaps between neighbouring fibres being filled with the foil material. Consequently, the channel cross-section is formed by two planar and two concave lines; this is the shape of the resulting fibres. Then, the carcass is infiltrated with an oxide melt driven by capillary force. The 3</w:t>
      </w:r>
      <w:r w:rsidR="00FA2C1F" w:rsidRPr="00201507">
        <w:rPr>
          <w:vertAlign w:val="superscript"/>
          <w:lang w:val="en-GB"/>
        </w:rPr>
        <w:t>rd</w:t>
      </w:r>
      <w:r w:rsidR="00FA2C1F" w:rsidRPr="00201507">
        <w:rPr>
          <w:lang w:val="en-GB"/>
        </w:rPr>
        <w:t xml:space="preserve"> step is crystallising the melt to form fibres in the channels of the molybdenum carcass by pulling the block up into the cold zone of the </w:t>
      </w:r>
      <w:r w:rsidR="00FA2C1F">
        <w:rPr>
          <w:lang w:val="en-GB"/>
        </w:rPr>
        <w:t>furnace</w:t>
      </w:r>
      <w:r w:rsidR="00FA2C1F" w:rsidRPr="00201507">
        <w:rPr>
          <w:lang w:val="en-GB"/>
        </w:rPr>
        <w:t>.</w:t>
      </w:r>
      <w:r w:rsidR="00FA2C1F">
        <w:rPr>
          <w:lang w:val="en-GB"/>
        </w:rPr>
        <w:t xml:space="preserve"> An example of the microstructure of the composites obtained by the ICM is presented in</w:t>
      </w:r>
      <w:r w:rsidR="00036C83">
        <w:rPr>
          <w:lang w:val="en-GB"/>
        </w:rPr>
        <w:t xml:space="preserve"> </w:t>
      </w:r>
      <w:r w:rsidR="00036C83">
        <w:rPr>
          <w:lang w:val="en-GB"/>
        </w:rPr>
        <w:fldChar w:fldCharType="begin"/>
      </w:r>
      <w:r w:rsidR="00036C83">
        <w:rPr>
          <w:lang w:val="en-GB"/>
        </w:rPr>
        <w:instrText xml:space="preserve"> REF _Ref514831323 \h </w:instrText>
      </w:r>
      <w:r w:rsidR="00036C83">
        <w:rPr>
          <w:lang w:val="en-GB"/>
        </w:rPr>
      </w:r>
      <w:r w:rsidR="00036C83">
        <w:rPr>
          <w:lang w:val="en-GB"/>
        </w:rPr>
        <w:fldChar w:fldCharType="separate"/>
      </w:r>
      <w:r w:rsidR="00EF76D7">
        <w:t xml:space="preserve">Figure </w:t>
      </w:r>
      <w:r w:rsidR="00EF76D7">
        <w:rPr>
          <w:noProof/>
        </w:rPr>
        <w:t>1</w:t>
      </w:r>
      <w:r w:rsidR="00036C83">
        <w:rPr>
          <w:lang w:val="en-GB"/>
        </w:rPr>
        <w:fldChar w:fldCharType="end"/>
      </w:r>
      <w:r w:rsidR="00036C83">
        <w:rPr>
          <w:lang w:val="en-GB"/>
        </w:rPr>
        <w:t>.</w:t>
      </w:r>
    </w:p>
    <w:p w:rsidR="00D8246D" w:rsidRDefault="00D8246D" w:rsidP="00D8246D">
      <w:pPr>
        <w:pStyle w:val="1"/>
        <w:numPr>
          <w:ilvl w:val="0"/>
          <w:numId w:val="11"/>
        </w:numPr>
        <w:rPr>
          <w:noProof/>
        </w:rPr>
      </w:pPr>
      <w:r>
        <w:rPr>
          <w:noProof/>
        </w:rPr>
        <w:t>Method of testing composites</w:t>
      </w:r>
    </w:p>
    <w:p w:rsidR="00D8246D" w:rsidRPr="00201507" w:rsidRDefault="00D8246D" w:rsidP="00D8246D">
      <w:pPr>
        <w:rPr>
          <w:lang w:val="en-GB"/>
        </w:rPr>
      </w:pPr>
      <w:r w:rsidRPr="00201507">
        <w:rPr>
          <w:lang w:val="en-GB"/>
        </w:rPr>
        <w:t xml:space="preserve">Original composite specimens were produced with a shape shown schematically in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_Ref514832403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t xml:space="preserve">Figure </w:t>
      </w:r>
      <w:r>
        <w:rPr>
          <w:noProof/>
        </w:rPr>
        <w:t>2</w:t>
      </w:r>
      <w:r>
        <w:rPr>
          <w:lang w:val="en-GB"/>
        </w:rPr>
        <w:fldChar w:fldCharType="end"/>
      </w:r>
      <w:r>
        <w:rPr>
          <w:lang w:val="en-GB"/>
        </w:rPr>
        <w:t>a</w:t>
      </w:r>
      <w:r w:rsidRPr="00201507">
        <w:rPr>
          <w:lang w:val="en-GB"/>
        </w:rPr>
        <w:t>. Their size was ~5</w:t>
      </w:r>
      <w:r>
        <w:rPr>
          <w:lang w:val="en-GB"/>
        </w:rPr>
        <w:t xml:space="preserve"> </w:t>
      </w:r>
      <w:r w:rsidRPr="00201507">
        <w:rPr>
          <w:lang w:val="en-GB"/>
        </w:rPr>
        <w:sym w:font="Symbol" w:char="F043"/>
      </w:r>
      <w:r>
        <w:rPr>
          <w:lang w:val="en-GB"/>
        </w:rPr>
        <w:t xml:space="preserve"> </w:t>
      </w:r>
      <w:r w:rsidRPr="00201507">
        <w:rPr>
          <w:lang w:val="en-GB"/>
        </w:rPr>
        <w:t>15</w:t>
      </w:r>
      <w:r>
        <w:rPr>
          <w:lang w:val="en-GB"/>
        </w:rPr>
        <w:t xml:space="preserve"> </w:t>
      </w:r>
      <w:r w:rsidRPr="00201507">
        <w:rPr>
          <w:lang w:val="en-GB"/>
        </w:rPr>
        <w:sym w:font="Symbol" w:char="F043"/>
      </w:r>
      <w:r>
        <w:rPr>
          <w:lang w:val="en-GB"/>
        </w:rPr>
        <w:t xml:space="preserve"> </w:t>
      </w:r>
      <w:r w:rsidRPr="00201507">
        <w:rPr>
          <w:lang w:val="en-GB"/>
        </w:rPr>
        <w:t>65 mm</w:t>
      </w:r>
      <w:r w:rsidRPr="00201507">
        <w:rPr>
          <w:vertAlign w:val="superscript"/>
          <w:lang w:val="en-GB"/>
        </w:rPr>
        <w:t>3</w:t>
      </w:r>
      <w:r w:rsidRPr="00201507">
        <w:rPr>
          <w:lang w:val="en-GB"/>
        </w:rPr>
        <w:t xml:space="preserve">. The specimens were used at first for measuring values of critical stress intensity factor </w:t>
      </w:r>
      <w:r w:rsidRPr="00201507">
        <w:rPr>
          <w:i/>
          <w:lang w:val="en-GB"/>
        </w:rPr>
        <w:t>K</w:t>
      </w:r>
      <w:r w:rsidRPr="00201507">
        <w:rPr>
          <w:lang w:val="en-GB"/>
        </w:rPr>
        <w:t xml:space="preserve">*. Two parts of a specimen obtained as a result of fracture test were cut </w:t>
      </w:r>
      <w:r w:rsidRPr="00201507">
        <w:rPr>
          <w:lang w:val="en-GB"/>
        </w:rPr>
        <w:lastRenderedPageBreak/>
        <w:t xml:space="preserve">along their length as shown in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_Ref514832403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t xml:space="preserve">Figure </w:t>
      </w:r>
      <w:r>
        <w:rPr>
          <w:noProof/>
        </w:rPr>
        <w:t>2</w:t>
      </w:r>
      <w:r>
        <w:rPr>
          <w:lang w:val="en-GB"/>
        </w:rPr>
        <w:fldChar w:fldCharType="end"/>
      </w:r>
      <w:r>
        <w:rPr>
          <w:lang w:val="en-GB"/>
        </w:rPr>
        <w:t xml:space="preserve">b </w:t>
      </w:r>
      <w:r w:rsidRPr="00201507">
        <w:rPr>
          <w:lang w:val="en-GB"/>
        </w:rPr>
        <w:t>to make 6 sub-specimens to be used in testing to measur</w:t>
      </w:r>
      <w:r>
        <w:rPr>
          <w:lang w:val="en-GB"/>
        </w:rPr>
        <w:t>e</w:t>
      </w:r>
      <w:r w:rsidRPr="00201507">
        <w:rPr>
          <w:lang w:val="en-GB"/>
        </w:rPr>
        <w:t xml:space="preserve"> the bending strength</w:t>
      </w:r>
      <w:r>
        <w:rPr>
          <w:lang w:val="en-GB"/>
        </w:rPr>
        <w:t xml:space="preserve"> at room and high temperatures</w:t>
      </w:r>
      <w:r w:rsidRPr="00201507">
        <w:rPr>
          <w:lang w:val="en-GB"/>
        </w:rPr>
        <w:t xml:space="preserve">. </w:t>
      </w:r>
    </w:p>
    <w:p w:rsidR="00D8246D" w:rsidRDefault="00D8246D" w:rsidP="00FA2C1F">
      <w:pPr>
        <w:rPr>
          <w:lang w:val="en-GB"/>
        </w:rPr>
      </w:pPr>
    </w:p>
    <w:p w:rsidR="00FA2C1F" w:rsidRDefault="00FA2C1F" w:rsidP="00FA2C1F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673AEEC4" wp14:editId="5AE6D2B5">
            <wp:extent cx="2094177" cy="2097463"/>
            <wp:effectExtent l="0" t="0" r="1905" b="0"/>
            <wp:docPr id="1" name="Рисунок 1" descr="E:\2Mileiko\PAPERS\2018\2018_Coating\Fig.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Mileiko\PAPERS\2018\2018_Coating\Fig. 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58" cy="209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C1F" w:rsidRDefault="00FA2C1F" w:rsidP="00D92B5F">
      <w:pPr>
        <w:pStyle w:val="a3"/>
        <w:rPr>
          <w:lang w:val="en-GB"/>
        </w:rPr>
      </w:pPr>
      <w:bookmarkStart w:id="5" w:name="_Ref514831323"/>
      <w:proofErr w:type="gramStart"/>
      <w:r>
        <w:t xml:space="preserve">Figure </w:t>
      </w:r>
      <w:proofErr w:type="gramEnd"/>
      <w:r>
        <w:fldChar w:fldCharType="begin"/>
      </w:r>
      <w:r>
        <w:instrText xml:space="preserve"> SEQ Figure \* ARABIC </w:instrText>
      </w:r>
      <w:r>
        <w:fldChar w:fldCharType="separate"/>
      </w:r>
      <w:r w:rsidR="00EF76D7">
        <w:rPr>
          <w:noProof/>
        </w:rPr>
        <w:t>1</w:t>
      </w:r>
      <w:r>
        <w:fldChar w:fldCharType="end"/>
      </w:r>
      <w:bookmarkEnd w:id="5"/>
      <w:proofErr w:type="gramStart"/>
      <w:r>
        <w:t>.</w:t>
      </w:r>
      <w:proofErr w:type="gramEnd"/>
      <w:r>
        <w:t xml:space="preserve"> </w:t>
      </w:r>
      <w:proofErr w:type="gramStart"/>
      <w:r w:rsidRPr="000F0DA0">
        <w:rPr>
          <w:lang w:val="en-GB"/>
        </w:rPr>
        <w:t>SEM micrograph of a cross-section of the composite.</w:t>
      </w:r>
      <w:proofErr w:type="gramEnd"/>
      <w:r w:rsidRPr="000F0DA0">
        <w:rPr>
          <w:lang w:val="en-GB"/>
        </w:rPr>
        <w:t xml:space="preserve"> The “black” phase is </w:t>
      </w:r>
      <w:r>
        <w:rPr>
          <w:lang w:val="en-GB"/>
        </w:rPr>
        <w:t xml:space="preserve">yttrium aluminium </w:t>
      </w:r>
      <w:proofErr w:type="spellStart"/>
      <w:r>
        <w:rPr>
          <w:lang w:val="en-GB"/>
        </w:rPr>
        <w:t>perovskite</w:t>
      </w:r>
      <w:proofErr w:type="spellEnd"/>
      <w:r>
        <w:rPr>
          <w:lang w:val="en-GB"/>
        </w:rPr>
        <w:t xml:space="preserve"> </w:t>
      </w:r>
      <w:r w:rsidRPr="000F0DA0">
        <w:rPr>
          <w:lang w:val="en-GB"/>
        </w:rPr>
        <w:t>YAlO</w:t>
      </w:r>
      <w:r>
        <w:rPr>
          <w:vertAlign w:val="subscript"/>
          <w:lang w:val="en-GB"/>
        </w:rPr>
        <w:t xml:space="preserve">3 </w:t>
      </w:r>
      <w:r>
        <w:rPr>
          <w:lang w:val="en-GB"/>
        </w:rPr>
        <w:t>(</w:t>
      </w:r>
      <w:r w:rsidRPr="000F0DA0">
        <w:rPr>
          <w:lang w:val="en-GB"/>
        </w:rPr>
        <w:t>YAP</w:t>
      </w:r>
      <w:r>
        <w:rPr>
          <w:lang w:val="en-GB"/>
        </w:rPr>
        <w:t>)</w:t>
      </w:r>
      <w:r w:rsidRPr="000F0DA0">
        <w:rPr>
          <w:lang w:val="en-GB"/>
        </w:rPr>
        <w:t>, the “grey” one is Y</w:t>
      </w:r>
      <w:r w:rsidRPr="00FA2C1F">
        <w:rPr>
          <w:vertAlign w:val="subscript"/>
          <w:lang w:val="en-GB"/>
        </w:rPr>
        <w:t>4</w:t>
      </w:r>
      <w:r w:rsidRPr="000F0DA0">
        <w:rPr>
          <w:lang w:val="en-GB"/>
        </w:rPr>
        <w:t>Al</w:t>
      </w:r>
      <w:r w:rsidRPr="00FA2C1F">
        <w:rPr>
          <w:vertAlign w:val="subscript"/>
          <w:lang w:val="en-GB"/>
        </w:rPr>
        <w:t>2</w:t>
      </w:r>
      <w:r w:rsidRPr="000F0DA0">
        <w:rPr>
          <w:lang w:val="en-GB"/>
        </w:rPr>
        <w:t>O</w:t>
      </w:r>
      <w:r w:rsidRPr="00FA2C1F">
        <w:rPr>
          <w:vertAlign w:val="subscript"/>
          <w:lang w:val="en-GB"/>
        </w:rPr>
        <w:t>9</w:t>
      </w:r>
      <w:r>
        <w:rPr>
          <w:lang w:val="en-GB"/>
        </w:rPr>
        <w:t>.</w:t>
      </w:r>
    </w:p>
    <w:p w:rsidR="00712EF2" w:rsidRDefault="00712EF2" w:rsidP="00712EF2">
      <w:pPr>
        <w:rPr>
          <w:rStyle w:val="gt-baf-back"/>
          <w:lang w:val="en-GB"/>
        </w:rPr>
      </w:pPr>
      <w:bookmarkStart w:id="6" w:name="_Ref496802288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90"/>
      </w:tblGrid>
      <w:tr w:rsidR="00712EF2" w:rsidTr="00C6266C">
        <w:tc>
          <w:tcPr>
            <w:tcW w:w="4785" w:type="dxa"/>
            <w:vAlign w:val="center"/>
          </w:tcPr>
          <w:p w:rsidR="00712EF2" w:rsidRDefault="00712EF2" w:rsidP="00C6266C">
            <w:pPr>
              <w:jc w:val="center"/>
            </w:pPr>
            <w:r w:rsidRPr="00B359AA">
              <w:rPr>
                <w:noProof/>
              </w:rPr>
              <w:drawing>
                <wp:inline distT="0" distB="0" distL="0" distR="0" wp14:anchorId="0F85CEB4" wp14:editId="1B57789B">
                  <wp:extent cx="2509245" cy="2047214"/>
                  <wp:effectExtent l="19050" t="0" r="5355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0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5435" t="15444" r="35217" b="6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48" cy="2056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  <w:vAlign w:val="center"/>
          </w:tcPr>
          <w:p w:rsidR="00712EF2" w:rsidRDefault="00712EF2" w:rsidP="00C6266C">
            <w:pPr>
              <w:jc w:val="center"/>
            </w:pPr>
            <w:r w:rsidRPr="00062C7C">
              <w:rPr>
                <w:rFonts w:eastAsia="Times New Roman"/>
              </w:rPr>
              <w:object w:dxaOrig="4320" w:dyaOrig="26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8.8pt;height:182.15pt" o:ole="">
                  <v:imagedata r:id="rId12" o:title="" croptop="5977f" cropbottom="7969f" cropleft="11779f" cropright="25240f"/>
                </v:shape>
                <o:OLEObject Type="Embed" ProgID="AutoCAD.Drawing.16" ShapeID="_x0000_i1025" DrawAspect="Content" ObjectID="_1588781816" r:id="rId13"/>
              </w:object>
            </w:r>
          </w:p>
        </w:tc>
      </w:tr>
      <w:tr w:rsidR="00712EF2" w:rsidTr="00C6266C">
        <w:tc>
          <w:tcPr>
            <w:tcW w:w="4785" w:type="dxa"/>
            <w:vAlign w:val="center"/>
          </w:tcPr>
          <w:p w:rsidR="00712EF2" w:rsidRPr="00B446D7" w:rsidRDefault="00712EF2" w:rsidP="00C6266C">
            <w:pPr>
              <w:jc w:val="center"/>
              <w:rPr>
                <w:rFonts w:cs="Times New Roman"/>
                <w:szCs w:val="24"/>
              </w:rPr>
            </w:pPr>
            <w:r w:rsidRPr="00B446D7">
              <w:rPr>
                <w:rFonts w:cs="Times New Roman"/>
                <w:szCs w:val="24"/>
              </w:rPr>
              <w:t>(a)</w:t>
            </w:r>
          </w:p>
        </w:tc>
        <w:tc>
          <w:tcPr>
            <w:tcW w:w="4990" w:type="dxa"/>
            <w:vAlign w:val="center"/>
          </w:tcPr>
          <w:p w:rsidR="00712EF2" w:rsidRPr="00B446D7" w:rsidRDefault="00712EF2" w:rsidP="00C6266C">
            <w:pPr>
              <w:jc w:val="center"/>
              <w:rPr>
                <w:rFonts w:cs="Times New Roman"/>
                <w:szCs w:val="24"/>
              </w:rPr>
            </w:pPr>
            <w:r w:rsidRPr="00B446D7">
              <w:rPr>
                <w:rFonts w:cs="Times New Roman"/>
                <w:szCs w:val="24"/>
              </w:rPr>
              <w:t>(b)</w:t>
            </w:r>
          </w:p>
        </w:tc>
      </w:tr>
    </w:tbl>
    <w:p w:rsidR="00712EF2" w:rsidRDefault="00712EF2" w:rsidP="00D92B5F">
      <w:pPr>
        <w:pStyle w:val="a3"/>
      </w:pPr>
      <w:bookmarkStart w:id="7" w:name="_Ref514832403"/>
      <w:proofErr w:type="gramStart"/>
      <w:r>
        <w:t xml:space="preserve">Figure </w:t>
      </w:r>
      <w:proofErr w:type="gramEnd"/>
      <w:r>
        <w:fldChar w:fldCharType="begin"/>
      </w:r>
      <w:r>
        <w:instrText xml:space="preserve"> SEQ Figure \* ARABIC </w:instrText>
      </w:r>
      <w:r>
        <w:fldChar w:fldCharType="separate"/>
      </w:r>
      <w:r w:rsidR="00EF76D7">
        <w:rPr>
          <w:noProof/>
        </w:rPr>
        <w:t>2</w:t>
      </w:r>
      <w:r>
        <w:fldChar w:fldCharType="end"/>
      </w:r>
      <w:bookmarkEnd w:id="7"/>
      <w:proofErr w:type="gramStart"/>
      <w:r w:rsidRPr="00201507">
        <w:rPr>
          <w:lang w:val="en-GB"/>
        </w:rPr>
        <w:t>.</w:t>
      </w:r>
      <w:proofErr w:type="gramEnd"/>
      <w:r w:rsidRPr="00B446D7">
        <w:t xml:space="preserve"> (a) A specimen for measuring </w:t>
      </w:r>
      <w:r>
        <w:t xml:space="preserve">the value of the </w:t>
      </w:r>
      <w:r w:rsidRPr="00B446D7">
        <w:t>critical stress intensity factor</w:t>
      </w:r>
      <w:r>
        <w:t xml:space="preserve"> and strength of the notched specimen</w:t>
      </w:r>
      <w:r w:rsidR="00B95BEB">
        <w:t>.</w:t>
      </w:r>
      <w:r w:rsidRPr="00B446D7">
        <w:t xml:space="preserve"> </w:t>
      </w:r>
      <w:proofErr w:type="gramStart"/>
      <w:r w:rsidRPr="00B446D7">
        <w:t>(</w:t>
      </w:r>
      <w:r>
        <w:t>b</w:t>
      </w:r>
      <w:r w:rsidRPr="00B446D7">
        <w:t xml:space="preserve">) Schematic of cutting the specimen shown at the left side to make six </w:t>
      </w:r>
      <w:r>
        <w:t>sub-</w:t>
      </w:r>
      <w:r w:rsidRPr="00B446D7">
        <w:t>specimens for measuring composite strength</w:t>
      </w:r>
      <w:r>
        <w:t xml:space="preserve"> (unnotched specimens).</w:t>
      </w:r>
      <w:proofErr w:type="gramEnd"/>
    </w:p>
    <w:bookmarkEnd w:id="6"/>
    <w:p w:rsidR="00712EF2" w:rsidRDefault="00712EF2" w:rsidP="00712EF2">
      <w:r>
        <w:t>The value of c</w:t>
      </w:r>
      <w:r w:rsidRPr="002E630B">
        <w:t xml:space="preserve">ritical stress intensity factor </w:t>
      </w:r>
      <w:r w:rsidRPr="00176868">
        <w:rPr>
          <w:i/>
        </w:rPr>
        <w:t>K</w:t>
      </w:r>
      <w:r w:rsidRPr="002E630B">
        <w:t>* w</w:t>
      </w:r>
      <w:r>
        <w:t>ere</w:t>
      </w:r>
      <w:r w:rsidRPr="002E630B">
        <w:t xml:space="preserve"> measured by testing </w:t>
      </w:r>
      <w:r w:rsidRPr="00176868">
        <w:rPr>
          <w:lang w:val="en-GB"/>
        </w:rPr>
        <w:t>single-edge notched bend (SENB) specimens</w:t>
      </w:r>
      <w:r w:rsidRPr="002E630B">
        <w:t xml:space="preserve"> shown </w:t>
      </w:r>
      <w:r>
        <w:t xml:space="preserve">schematically </w:t>
      </w:r>
      <w:r w:rsidRPr="002E630B">
        <w:t xml:space="preserve">in </w:t>
      </w:r>
      <w:r>
        <w:fldChar w:fldCharType="begin"/>
      </w:r>
      <w:r>
        <w:instrText xml:space="preserve"> REF _Ref514832403 \h </w:instrText>
      </w:r>
      <w:r>
        <w:fldChar w:fldCharType="separate"/>
      </w:r>
      <w:r w:rsidR="00EF76D7">
        <w:t xml:space="preserve">Figure </w:t>
      </w:r>
      <w:r w:rsidR="00EF76D7">
        <w:rPr>
          <w:noProof/>
        </w:rPr>
        <w:t>2</w:t>
      </w:r>
      <w:r>
        <w:fldChar w:fldCharType="end"/>
      </w:r>
      <w:r>
        <w:t>a</w:t>
      </w:r>
      <w:r w:rsidRPr="002E630B">
        <w:t xml:space="preserve"> similar to those developed for meta</w:t>
      </w:r>
      <w:r>
        <w:t>l alloys according to ASTM-399. The</w:t>
      </w:r>
      <w:r w:rsidRPr="002E630B">
        <w:t xml:space="preserve"> value</w:t>
      </w:r>
      <w:r>
        <w:t>s</w:t>
      </w:r>
      <w:r w:rsidRPr="002E630B">
        <w:t xml:space="preserve"> of </w:t>
      </w:r>
      <w:r w:rsidRPr="00176868">
        <w:rPr>
          <w:i/>
        </w:rPr>
        <w:t>K</w:t>
      </w:r>
      <w:r w:rsidRPr="002E630B">
        <w:t xml:space="preserve">* </w:t>
      </w:r>
      <w:r>
        <w:t>were</w:t>
      </w:r>
      <w:r w:rsidRPr="002E630B">
        <w:t xml:space="preserve"> calculated by using the approximation recommended by ASTM-399: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12EF2" w:rsidTr="00C6266C">
        <w:tc>
          <w:tcPr>
            <w:tcW w:w="4927" w:type="dxa"/>
            <w:vAlign w:val="center"/>
          </w:tcPr>
          <w:p w:rsidR="00712EF2" w:rsidRPr="001B5A45" w:rsidRDefault="00712EF2" w:rsidP="00712EF2">
            <w:pPr>
              <w:rPr>
                <w:rFonts w:cs="Times New Roman"/>
                <w:i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cs="Times New Roman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4"/>
                      </w:rPr>
                      <m:t>*</m:t>
                    </m:r>
                  </m:sup>
                </m:sSup>
                <m:r>
                  <w:rPr>
                    <w:rFonts w:asci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cs="Times New Roman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Cs w:val="24"/>
                      </w:rPr>
                      <m:t>3</m:t>
                    </m:r>
                    <m:r>
                      <w:rPr>
                        <w:rFonts w:ascii="Cambria Math" w:hAnsi="Cambria Math" w:cs="Times New Roman"/>
                        <w:szCs w:val="24"/>
                      </w:rPr>
                      <m:t>QL</m:t>
                    </m:r>
                    <m:sSup>
                      <m:sSupPr>
                        <m:ctrlPr>
                          <w:rPr>
                            <w:rFonts w:ascii="Cambria Math" w:cs="Times New Roman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c</m:t>
                        </m:r>
                      </m:e>
                      <m:sup>
                        <m:f>
                          <m:fPr>
                            <m:type m:val="lin"/>
                            <m:ctrlPr>
                              <w:rPr>
                                <w:rFonts w:ascii="Cambria Math" w:cs="Times New Roman"/>
                                <w:i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cs="Times New Roman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cs="Times New Roman"/>
                                <w:szCs w:val="24"/>
                              </w:rPr>
                              <m:t>2</m:t>
                            </m:r>
                          </m:den>
                        </m:f>
                      </m:sup>
                    </m:sSup>
                  </m:num>
                  <m:den>
                    <m:r>
                      <w:rPr>
                        <w:rFonts w:ascii="Cambria Math" w:cs="Times New Roman"/>
                        <w:szCs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cs="Times New Roman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cs="Times New Roman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Cs w:val="24"/>
                      </w:rPr>
                      <m:t>w</m:t>
                    </m:r>
                  </m:den>
                </m:f>
                <m:r>
                  <w:rPr>
                    <w:rFonts w:ascii="Cambria Math" w:hAnsi="Cambria Math" w:cs="Times New Roman"/>
                    <w:szCs w:val="24"/>
                  </w:rPr>
                  <m:t>Y</m:t>
                </m:r>
                <m:d>
                  <m:dPr>
                    <m:ctrlPr>
                      <w:rPr>
                        <w:rFonts w:ascii="Cambria Math" w:cs="Times New Roman"/>
                        <w:i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cs="Times New Roman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cs="Times New Roman"/>
                            <w:szCs w:val="24"/>
                          </w:rPr>
                          <m:t>c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zCs w:val="24"/>
                          </w:rPr>
                          <m:t>h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4927" w:type="dxa"/>
            <w:vAlign w:val="center"/>
          </w:tcPr>
          <w:p w:rsidR="00712EF2" w:rsidRPr="001B5A45" w:rsidRDefault="00712EF2" w:rsidP="00D92B5F">
            <w:pPr>
              <w:pStyle w:val="a3"/>
            </w:pPr>
          </w:p>
        </w:tc>
      </w:tr>
    </w:tbl>
    <w:p w:rsidR="00712EF2" w:rsidRPr="001B5A45" w:rsidRDefault="00712EF2" w:rsidP="00712EF2">
      <w:pPr>
        <w:ind w:firstLine="0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where</w:t>
      </w:r>
      <w:proofErr w:type="gramEnd"/>
      <w:r>
        <w:rPr>
          <w:rFonts w:cs="Times New Roman"/>
          <w:szCs w:val="24"/>
        </w:rPr>
        <w:t xml:space="preserve"> </w:t>
      </w:r>
    </w:p>
    <w:p w:rsidR="00712EF2" w:rsidRPr="001C3742" w:rsidRDefault="00712EF2" w:rsidP="00712EF2">
      <w:pPr>
        <w:rPr>
          <w:rFonts w:cs="Times New Roman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Cs w:val="24"/>
            </w:rPr>
            <m:t>Y</m:t>
          </m:r>
          <m:r>
            <w:rPr>
              <w:rFonts w:ascii="Cambria Math" w:cs="Times New Roman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dPr>
            <m:e>
              <m:r>
                <w:rPr>
                  <w:rFonts w:ascii="Cambria Math" w:cs="Times New Roman"/>
                  <w:szCs w:val="24"/>
                </w:rPr>
                <m:t>1.96</m:t>
              </m:r>
              <m:r>
                <w:rPr>
                  <w:rFonts w:ascii="Cambria Math" w:cs="Times New Roman"/>
                  <w:szCs w:val="24"/>
                </w:rPr>
                <m:t>-</m:t>
              </m:r>
              <m:r>
                <w:rPr>
                  <w:rFonts w:ascii="Cambria Math" w:cs="Times New Roman"/>
                  <w:szCs w:val="24"/>
                </w:rPr>
                <m:t>2.75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h</m:t>
                  </m:r>
                </m:den>
              </m:f>
              <m:r>
                <w:rPr>
                  <w:rFonts w:ascii="Cambria Math" w:cs="Times New Roman"/>
                  <w:szCs w:val="24"/>
                </w:rPr>
                <m:t>+13.66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Cs w:val="24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Cs w:val="24"/>
                            </w:rPr>
                            <m:t>h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cs="Times New Roman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-</m:t>
              </m:r>
              <m:r>
                <w:rPr>
                  <w:rFonts w:ascii="Cambria Math" w:cs="Times New Roman"/>
                  <w:szCs w:val="24"/>
                </w:rPr>
                <m:t>23.98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Cs w:val="24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Cs w:val="24"/>
                            </w:rPr>
                            <m:t>h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cs="Times New Roman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cs="Times New Roman"/>
                  <w:szCs w:val="24"/>
                </w:rPr>
                <m:t>+25.22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Cs w:val="24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Cs w:val="24"/>
                            </w:rPr>
                            <m:t>h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sup>
              </m:sSup>
            </m:e>
          </m:d>
          <m:r>
            <w:rPr>
              <w:rFonts w:ascii="Cambria Math" w:cs="Times New Roman"/>
              <w:szCs w:val="24"/>
            </w:rPr>
            <m:t>.</m:t>
          </m:r>
        </m:oMath>
      </m:oMathPara>
    </w:p>
    <w:p w:rsidR="00712EF2" w:rsidRDefault="00712EF2" w:rsidP="00B95BEB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Here </w:t>
      </w:r>
      <w:r w:rsidRPr="002E630B">
        <w:rPr>
          <w:rFonts w:cs="Times New Roman"/>
          <w:i/>
          <w:szCs w:val="24"/>
        </w:rPr>
        <w:t>L</w:t>
      </w:r>
      <w:r w:rsidRPr="002E630B">
        <w:rPr>
          <w:rFonts w:cs="Times New Roman"/>
          <w:szCs w:val="24"/>
        </w:rPr>
        <w:t xml:space="preserve"> is distance between the supports, </w:t>
      </w:r>
      <w:r>
        <w:rPr>
          <w:rFonts w:cs="Times New Roman"/>
          <w:i/>
          <w:szCs w:val="24"/>
        </w:rPr>
        <w:t>c</w:t>
      </w:r>
      <w:r w:rsidRPr="002E630B">
        <w:rPr>
          <w:rFonts w:cs="Times New Roman"/>
          <w:szCs w:val="24"/>
        </w:rPr>
        <w:t xml:space="preserve"> is notch length, </w:t>
      </w:r>
      <w:r w:rsidRPr="00692F5C">
        <w:rPr>
          <w:rFonts w:cs="Times New Roman"/>
          <w:i/>
          <w:szCs w:val="24"/>
        </w:rPr>
        <w:t>h</w:t>
      </w:r>
      <w:r w:rsidRPr="002E630B">
        <w:rPr>
          <w:rFonts w:cs="Times New Roman"/>
          <w:szCs w:val="24"/>
        </w:rPr>
        <w:t xml:space="preserve"> and </w:t>
      </w:r>
      <w:proofErr w:type="spellStart"/>
      <w:r w:rsidRPr="00692F5C">
        <w:rPr>
          <w:rFonts w:cs="Times New Roman"/>
          <w:szCs w:val="24"/>
        </w:rPr>
        <w:t>w</w:t>
      </w:r>
      <w:r w:rsidRPr="002E630B">
        <w:rPr>
          <w:rFonts w:cs="Times New Roman"/>
          <w:szCs w:val="24"/>
        </w:rPr>
        <w:t xml:space="preserve"> are</w:t>
      </w:r>
      <w:proofErr w:type="spellEnd"/>
      <w:r w:rsidRPr="002E630B">
        <w:rPr>
          <w:rFonts w:cs="Times New Roman"/>
          <w:szCs w:val="24"/>
        </w:rPr>
        <w:t xml:space="preserve"> height and width of the specimen, respectively.</w:t>
      </w:r>
      <w:r>
        <w:rPr>
          <w:rFonts w:cs="Times New Roman"/>
          <w:szCs w:val="24"/>
        </w:rPr>
        <w:t xml:space="preserve"> </w:t>
      </w:r>
      <w:r w:rsidRPr="002E630B">
        <w:rPr>
          <w:rFonts w:cs="Times New Roman"/>
          <w:szCs w:val="24"/>
        </w:rPr>
        <w:t xml:space="preserve">These sizes </w:t>
      </w:r>
      <w:r>
        <w:rPr>
          <w:rFonts w:cs="Times New Roman"/>
          <w:szCs w:val="24"/>
        </w:rPr>
        <w:t xml:space="preserve">in the present experiments </w:t>
      </w:r>
      <w:r w:rsidRPr="002E630B">
        <w:rPr>
          <w:rFonts w:cs="Times New Roman"/>
          <w:szCs w:val="24"/>
        </w:rPr>
        <w:t xml:space="preserve">are </w:t>
      </w:r>
      <w:r w:rsidRPr="002E630B">
        <w:rPr>
          <w:rFonts w:cs="Times New Roman"/>
          <w:i/>
          <w:szCs w:val="24"/>
        </w:rPr>
        <w:t>L</w:t>
      </w:r>
      <w:r w:rsidRPr="002E630B">
        <w:rPr>
          <w:rFonts w:cs="Times New Roman"/>
          <w:szCs w:val="24"/>
        </w:rPr>
        <w:t xml:space="preserve"> ≈ 60</w:t>
      </w:r>
      <w:r>
        <w:rPr>
          <w:rFonts w:cs="Times New Roman"/>
          <w:szCs w:val="24"/>
        </w:rPr>
        <w:t xml:space="preserve"> </w:t>
      </w:r>
      <w:r w:rsidRPr="002E630B">
        <w:rPr>
          <w:rFonts w:cs="Times New Roman"/>
          <w:szCs w:val="24"/>
        </w:rPr>
        <w:t xml:space="preserve">mm, </w:t>
      </w:r>
      <w:r w:rsidRPr="002E630B">
        <w:rPr>
          <w:rFonts w:cs="Times New Roman"/>
          <w:i/>
          <w:szCs w:val="24"/>
        </w:rPr>
        <w:t>h</w:t>
      </w:r>
      <w:r w:rsidRPr="002E630B">
        <w:rPr>
          <w:rFonts w:cs="Times New Roman"/>
          <w:szCs w:val="24"/>
        </w:rPr>
        <w:t xml:space="preserve"> ≈ 15 mm, </w:t>
      </w:r>
      <w:r w:rsidRPr="002E630B">
        <w:rPr>
          <w:rFonts w:cs="Times New Roman"/>
          <w:i/>
          <w:szCs w:val="24"/>
        </w:rPr>
        <w:t>w</w:t>
      </w:r>
      <w:r w:rsidRPr="002E630B">
        <w:rPr>
          <w:rFonts w:cs="Times New Roman"/>
          <w:szCs w:val="24"/>
        </w:rPr>
        <w:t xml:space="preserve"> ≈ 5 mm, </w:t>
      </w:r>
      <w:r w:rsidRPr="002E630B">
        <w:rPr>
          <w:rFonts w:cs="Times New Roman"/>
          <w:i/>
          <w:szCs w:val="24"/>
        </w:rPr>
        <w:t>c</w:t>
      </w:r>
      <w:r w:rsidRPr="002E630B">
        <w:rPr>
          <w:rFonts w:cs="Times New Roman"/>
          <w:szCs w:val="24"/>
        </w:rPr>
        <w:t xml:space="preserve"> ≈ (0.45 – 0.55)</w:t>
      </w:r>
      <w:r w:rsidRPr="00E1306D">
        <w:rPr>
          <w:rFonts w:cs="Times New Roman"/>
          <w:i/>
          <w:szCs w:val="24"/>
        </w:rPr>
        <w:t>h</w:t>
      </w:r>
      <w:r w:rsidRPr="002E630B">
        <w:rPr>
          <w:rFonts w:cs="Times New Roman"/>
          <w:szCs w:val="24"/>
        </w:rPr>
        <w:t xml:space="preserve">. The value of </w:t>
      </w:r>
      <w:r w:rsidRPr="002E630B">
        <w:rPr>
          <w:rFonts w:cs="Times New Roman"/>
          <w:i/>
          <w:szCs w:val="24"/>
        </w:rPr>
        <w:t>Q</w:t>
      </w:r>
      <w:r w:rsidRPr="002E630B">
        <w:rPr>
          <w:rFonts w:cs="Times New Roman"/>
          <w:szCs w:val="24"/>
        </w:rPr>
        <w:t xml:space="preserve"> corresponds to a maximum load.</w:t>
      </w:r>
      <w:r>
        <w:rPr>
          <w:rFonts w:cs="Times New Roman"/>
          <w:szCs w:val="24"/>
        </w:rPr>
        <w:t xml:space="preserve"> </w:t>
      </w:r>
    </w:p>
    <w:p w:rsidR="00712EF2" w:rsidRPr="00167D4D" w:rsidRDefault="00712EF2" w:rsidP="00712EF2">
      <w:pPr>
        <w:rPr>
          <w:lang w:val="en-GB"/>
        </w:rPr>
      </w:pPr>
      <w:r>
        <w:rPr>
          <w:rFonts w:cs="Times New Roman"/>
          <w:szCs w:val="24"/>
        </w:rPr>
        <w:lastRenderedPageBreak/>
        <w:t>This test gives also the strength value of a notched specimen</w:t>
      </w:r>
      <w:proofErr w:type="gramStart"/>
      <w:r w:rsidR="00167D4D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proofErr w:type="gramEnd"/>
      <m:oMath>
        <m:sSubSup>
          <m:sSubSupPr>
            <m:ctrlPr>
              <w:rPr>
                <w:rFonts w:ascii="Cambria Math" w:hAnsi="Cambria Math" w:cs="Times New Roman"/>
                <w:i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szCs w:val="24"/>
              </w:rPr>
              <m:t>*</m:t>
            </m:r>
          </m:sup>
        </m:sSubSup>
      </m:oMath>
      <w:r w:rsidR="00167D4D">
        <w:rPr>
          <w:rFonts w:eastAsiaTheme="minorEastAsia" w:cs="Times New Roman"/>
          <w:szCs w:val="24"/>
        </w:rPr>
        <w:t xml:space="preserve">. </w:t>
      </w:r>
      <w:r>
        <w:rPr>
          <w:lang w:val="en-GB"/>
        </w:rPr>
        <w:t>Normally, sub-specimens 2 and 5 were tested at room temperature to obtain the value of</w:t>
      </w:r>
      <w:r w:rsidR="00167D4D">
        <w:rPr>
          <w:lang w:val="en-GB"/>
        </w:rPr>
        <w:t xml:space="preserve"> </w:t>
      </w:r>
      <w:r w:rsidR="00B95BEB">
        <w:rPr>
          <w:lang w:val="en-GB"/>
        </w:rPr>
        <w:t>strength of un-notched specimen</w:t>
      </w:r>
      <w:r w:rsidR="00167D4D">
        <w:rPr>
          <w:rFonts w:eastAsiaTheme="minorEastAsia"/>
          <w:lang w:val="en-GB"/>
        </w:rPr>
        <w:t xml:space="preserve">. </w:t>
      </w:r>
      <w:r w:rsidR="00B95BEB">
        <w:rPr>
          <w:rFonts w:eastAsiaTheme="minorEastAsia"/>
          <w:lang w:val="en-GB"/>
        </w:rPr>
        <w:t>Since the microstructure and strength of the fibres can change along the length of the original specimen, in what follows</w:t>
      </w:r>
      <w:r w:rsidR="00167D4D">
        <w:rPr>
          <w:rFonts w:eastAsiaTheme="minorEastAsia"/>
          <w:lang w:val="en-GB"/>
        </w:rPr>
        <w:t xml:space="preserve"> the average of the strength values of sub-specimens 2 and 5</w:t>
      </w:r>
      <w:r w:rsidR="00B95BEB">
        <w:rPr>
          <w:rFonts w:eastAsiaTheme="minorEastAsia"/>
          <w:lang w:val="en-GB"/>
        </w:rPr>
        <w:t xml:space="preserve"> will be used as the strength </w:t>
      </w:r>
      <m:oMath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lang w:val="en-GB"/>
              </w:rPr>
              <m:t>σ</m:t>
            </m:r>
          </m:e>
          <m:sub>
            <m:r>
              <w:rPr>
                <w:rFonts w:ascii="Cambria Math" w:hAnsi="Cambria Math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lang w:val="en-GB"/>
              </w:rPr>
              <m:t>*</m:t>
            </m:r>
          </m:sup>
        </m:sSubSup>
      </m:oMath>
      <w:r w:rsidR="00167D4D">
        <w:rPr>
          <w:rFonts w:eastAsiaTheme="minorEastAsia"/>
          <w:lang w:val="en-GB"/>
        </w:rPr>
        <w:t xml:space="preserve"> </w:t>
      </w:r>
      <w:r w:rsidR="00B95BEB">
        <w:rPr>
          <w:rFonts w:eastAsiaTheme="minorEastAsia"/>
          <w:lang w:val="en-GB"/>
        </w:rPr>
        <w:t xml:space="preserve">of un-notched specimen. </w:t>
      </w:r>
      <w:r w:rsidR="00167D4D">
        <w:rPr>
          <w:rFonts w:eastAsiaTheme="minorEastAsia"/>
          <w:lang w:val="en-GB"/>
        </w:rPr>
        <w:t xml:space="preserve">Hence, ratio </w:t>
      </w:r>
      <m:oMath>
        <m:f>
          <m:fPr>
            <m:type m:val="lin"/>
            <m:ctrlPr>
              <w:rPr>
                <w:rFonts w:ascii="Cambria Math" w:eastAsiaTheme="minorEastAsia" w:hAnsi="Cambria Math"/>
                <w:i/>
                <w:lang w:val="en-GB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lang w:val="en-GB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val="en-GB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/>
                    <w:lang w:val="en-GB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/>
                    <w:lang w:val="en-GB"/>
                  </w:rPr>
                  <m:t>*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/>
                    <w:i/>
                    <w:lang w:val="en-GB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val="en-GB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/>
                    <w:lang w:val="en-GB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  <w:lang w:val="en-GB"/>
                  </w:rPr>
                  <m:t>*</m:t>
                </m:r>
              </m:sup>
            </m:sSubSup>
          </m:den>
        </m:f>
      </m:oMath>
      <w:r w:rsidR="00167D4D">
        <w:rPr>
          <w:rFonts w:eastAsiaTheme="minorEastAsia"/>
          <w:lang w:val="en-GB"/>
        </w:rPr>
        <w:t xml:space="preserve"> is the notch sensitivity of a composite. Note that </w:t>
      </w:r>
      <w:r w:rsidR="00F622AA">
        <w:rPr>
          <w:rFonts w:eastAsiaTheme="minorEastAsia"/>
          <w:lang w:val="en-GB"/>
        </w:rPr>
        <w:t xml:space="preserve">the value of </w:t>
      </w:r>
      <w:r w:rsidR="00F622AA" w:rsidRPr="00F622AA">
        <w:rPr>
          <w:rFonts w:eastAsiaTheme="minorEastAsia"/>
          <w:i/>
          <w:lang w:val="en-GB"/>
        </w:rPr>
        <w:t>K</w:t>
      </w:r>
      <w:r w:rsidR="00F622AA">
        <w:rPr>
          <w:rFonts w:eastAsiaTheme="minorEastAsia"/>
          <w:lang w:val="en-GB"/>
        </w:rPr>
        <w:t xml:space="preserve">* for really tough composites can hardly be used in calculations of ultimate loading of a composite structural element containing a defect following procedures of linear fracture mechanics </w:t>
      </w:r>
      <w:r w:rsidR="00F13ED0">
        <w:rPr>
          <w:rFonts w:eastAsiaTheme="minorEastAsia"/>
          <w:lang w:val="en-GB"/>
        </w:rPr>
        <w:t xml:space="preserve">(LFM) </w:t>
      </w:r>
      <w:r w:rsidR="00F622AA">
        <w:rPr>
          <w:rFonts w:eastAsiaTheme="minorEastAsia"/>
          <w:lang w:val="en-GB"/>
        </w:rPr>
        <w:t xml:space="preserve">since fracture processes in such composites do not localised in a small volume at the front of the crack tip as it happens in metallic elements. </w:t>
      </w:r>
      <w:r w:rsidR="00F13ED0">
        <w:rPr>
          <w:rFonts w:eastAsiaTheme="minorEastAsia"/>
          <w:lang w:val="en-GB"/>
        </w:rPr>
        <w:t>Fracture zone in composites can be too large to accept hypothesis</w:t>
      </w:r>
      <w:r w:rsidR="00B95BEB">
        <w:rPr>
          <w:rFonts w:eastAsiaTheme="minorEastAsia"/>
          <w:lang w:val="en-GB"/>
        </w:rPr>
        <w:t>es</w:t>
      </w:r>
      <w:r w:rsidR="00F13ED0">
        <w:rPr>
          <w:rFonts w:eastAsiaTheme="minorEastAsia"/>
          <w:lang w:val="en-GB"/>
        </w:rPr>
        <w:t xml:space="preserve"> of LFM [</w:t>
      </w:r>
      <w:r w:rsidR="00F13ED0">
        <w:rPr>
          <w:rFonts w:eastAsiaTheme="minorEastAsia"/>
          <w:lang w:val="en-GB"/>
        </w:rPr>
        <w:fldChar w:fldCharType="begin"/>
      </w:r>
      <w:r w:rsidR="00F13ED0">
        <w:rPr>
          <w:rFonts w:eastAsiaTheme="minorEastAsia"/>
          <w:lang w:val="en-GB"/>
        </w:rPr>
        <w:instrText xml:space="preserve"> NOTEREF _Ref503617872 \h </w:instrText>
      </w:r>
      <w:r w:rsidR="00F13ED0">
        <w:rPr>
          <w:rFonts w:eastAsiaTheme="minorEastAsia"/>
          <w:lang w:val="en-GB"/>
        </w:rPr>
      </w:r>
      <w:r w:rsidR="00F13ED0">
        <w:rPr>
          <w:rFonts w:eastAsiaTheme="minorEastAsia"/>
          <w:lang w:val="en-GB"/>
        </w:rPr>
        <w:fldChar w:fldCharType="separate"/>
      </w:r>
      <w:r w:rsidR="00EF76D7">
        <w:rPr>
          <w:rFonts w:eastAsiaTheme="minorEastAsia"/>
          <w:lang w:val="en-GB"/>
        </w:rPr>
        <w:t>4</w:t>
      </w:r>
      <w:r w:rsidR="00F13ED0">
        <w:rPr>
          <w:rFonts w:eastAsiaTheme="minorEastAsia"/>
          <w:lang w:val="en-GB"/>
        </w:rPr>
        <w:fldChar w:fldCharType="end"/>
      </w:r>
      <w:proofErr w:type="gramStart"/>
      <w:r w:rsidR="00F13ED0">
        <w:rPr>
          <w:rFonts w:eastAsiaTheme="minorEastAsia"/>
          <w:lang w:val="en-GB"/>
        </w:rPr>
        <w:t>,</w:t>
      </w:r>
      <w:proofErr w:type="gramEnd"/>
      <w:r w:rsidR="00F13ED0">
        <w:rPr>
          <w:rFonts w:eastAsiaTheme="minorEastAsia"/>
          <w:lang w:val="en-GB"/>
        </w:rPr>
        <w:fldChar w:fldCharType="begin"/>
      </w:r>
      <w:r w:rsidR="00F13ED0">
        <w:rPr>
          <w:rFonts w:eastAsiaTheme="minorEastAsia"/>
          <w:lang w:val="en-GB"/>
        </w:rPr>
        <w:instrText xml:space="preserve"> NOTEREF _Ref514957309 \h </w:instrText>
      </w:r>
      <w:r w:rsidR="00F13ED0">
        <w:rPr>
          <w:rFonts w:eastAsiaTheme="minorEastAsia"/>
          <w:lang w:val="en-GB"/>
        </w:rPr>
      </w:r>
      <w:r w:rsidR="00F13ED0">
        <w:rPr>
          <w:rFonts w:eastAsiaTheme="minorEastAsia"/>
          <w:lang w:val="en-GB"/>
        </w:rPr>
        <w:fldChar w:fldCharType="separate"/>
      </w:r>
      <w:r w:rsidR="00EF76D7">
        <w:rPr>
          <w:rFonts w:eastAsiaTheme="minorEastAsia"/>
          <w:lang w:val="en-GB"/>
        </w:rPr>
        <w:t>6</w:t>
      </w:r>
      <w:r w:rsidR="00F13ED0">
        <w:rPr>
          <w:rFonts w:eastAsiaTheme="minorEastAsia"/>
          <w:lang w:val="en-GB"/>
        </w:rPr>
        <w:fldChar w:fldCharType="end"/>
      </w:r>
      <w:r w:rsidR="00F13ED0">
        <w:rPr>
          <w:rFonts w:eastAsiaTheme="minorEastAsia"/>
          <w:lang w:val="en-GB"/>
        </w:rPr>
        <w:t>].</w:t>
      </w:r>
      <w:r w:rsidR="00B95BEB">
        <w:rPr>
          <w:rFonts w:eastAsiaTheme="minorEastAsia"/>
          <w:lang w:val="en-GB"/>
        </w:rPr>
        <w:t xml:space="preserve"> So it would be appropriate to call the value </w:t>
      </w:r>
      <w:proofErr w:type="gramStart"/>
      <w:r w:rsidR="00B95BEB">
        <w:rPr>
          <w:rFonts w:eastAsiaTheme="minorEastAsia"/>
          <w:lang w:val="en-GB"/>
        </w:rPr>
        <w:t xml:space="preserve">of </w:t>
      </w:r>
      <w:r w:rsidR="00F13ED0">
        <w:rPr>
          <w:rFonts w:eastAsiaTheme="minorEastAsia"/>
          <w:lang w:val="en-GB"/>
        </w:rPr>
        <w:t xml:space="preserve"> </w:t>
      </w:r>
      <w:r w:rsidR="00B95BEB" w:rsidRPr="00F622AA">
        <w:rPr>
          <w:rFonts w:eastAsiaTheme="minorEastAsia"/>
          <w:i/>
          <w:lang w:val="en-GB"/>
        </w:rPr>
        <w:t>K</w:t>
      </w:r>
      <w:proofErr w:type="gramEnd"/>
      <w:r w:rsidR="00B95BEB">
        <w:rPr>
          <w:rFonts w:eastAsiaTheme="minorEastAsia"/>
          <w:lang w:val="en-GB"/>
        </w:rPr>
        <w:t xml:space="preserve">* determined by the method described above as apparent critical stress intensity factor. </w:t>
      </w:r>
      <w:r w:rsidR="00F13ED0">
        <w:rPr>
          <w:rFonts w:eastAsiaTheme="minorEastAsia"/>
          <w:lang w:val="en-GB"/>
        </w:rPr>
        <w:t>On the other hand, the value of notch sensitivity can be used for comparison of various composite materials only.</w:t>
      </w:r>
    </w:p>
    <w:p w:rsidR="003179A7" w:rsidRDefault="003179A7" w:rsidP="005056AD">
      <w:pPr>
        <w:pStyle w:val="1"/>
        <w:rPr>
          <w:noProof/>
        </w:rPr>
      </w:pPr>
      <w:r>
        <w:rPr>
          <w:noProof/>
        </w:rPr>
        <w:t>Results and discussion</w:t>
      </w:r>
    </w:p>
    <w:p w:rsidR="004463CC" w:rsidRDefault="00AB6683" w:rsidP="004463CC">
      <w:r>
        <w:t>We choose for these tests composites reinforced with some complex oxides in the Al</w:t>
      </w:r>
      <w:r w:rsidRPr="00AB6683">
        <w:rPr>
          <w:vertAlign w:val="subscript"/>
        </w:rPr>
        <w:t>2</w:t>
      </w:r>
      <w:r>
        <w:t>O</w:t>
      </w:r>
      <w:r w:rsidRPr="00AB6683">
        <w:rPr>
          <w:vertAlign w:val="subscript"/>
        </w:rPr>
        <w:t>3</w:t>
      </w:r>
      <w:r>
        <w:t>-Y</w:t>
      </w:r>
      <w:r w:rsidRPr="00AB6683">
        <w:rPr>
          <w:vertAlign w:val="subscript"/>
        </w:rPr>
        <w:t>2</w:t>
      </w:r>
      <w:r>
        <w:t>O</w:t>
      </w:r>
      <w:r w:rsidRPr="00AB6683">
        <w:rPr>
          <w:vertAlign w:val="subscript"/>
        </w:rPr>
        <w:t>3</w:t>
      </w:r>
      <w:r>
        <w:t xml:space="preserve"> system. At least two reasons make this choice sensible. First, the presence of yttrium can provide an enhanced oxidation resistance of the composites [</w:t>
      </w:r>
      <w:r>
        <w:fldChar w:fldCharType="begin"/>
      </w:r>
      <w:r>
        <w:instrText xml:space="preserve"> NOTEREF _Ref514863134 \h </w:instrText>
      </w:r>
      <w:r>
        <w:fldChar w:fldCharType="separate"/>
      </w:r>
      <w:r w:rsidR="00EF76D7">
        <w:t>8</w:t>
      </w:r>
      <w:r>
        <w:fldChar w:fldCharType="end"/>
      </w:r>
      <w:proofErr w:type="gramStart"/>
      <w:r>
        <w:t>,</w:t>
      </w:r>
      <w:proofErr w:type="gramEnd"/>
      <w:r>
        <w:fldChar w:fldCharType="begin"/>
      </w:r>
      <w:r>
        <w:instrText xml:space="preserve"> NOTEREF _Ref514863137 \h </w:instrText>
      </w:r>
      <w:r>
        <w:fldChar w:fldCharType="separate"/>
      </w:r>
      <w:r w:rsidR="00EF76D7">
        <w:t>9</w:t>
      </w:r>
      <w:r>
        <w:fldChar w:fldCharType="end"/>
      </w:r>
      <w:r>
        <w:t>]. Secondly,</w:t>
      </w:r>
      <w:r w:rsidR="00F13ED0">
        <w:t xml:space="preserve"> the system contains a number of the oxides and only sapphire and garnet fibres as well as their eutectic have been studied in the fibrous form</w:t>
      </w:r>
      <w:r w:rsidR="005056AD">
        <w:t>. Special features of the composite fabrication process and microstructure of the composites will be publishes elsewhere, her</w:t>
      </w:r>
      <w:r w:rsidR="00A513EE">
        <w:t>e</w:t>
      </w:r>
      <w:r w:rsidR="005056AD">
        <w:t xml:space="preserve"> we present results of mechanical testing.</w:t>
      </w:r>
    </w:p>
    <w:p w:rsidR="00A513EE" w:rsidRDefault="00A513EE" w:rsidP="005056AD">
      <w:r>
        <w:t>Four</w:t>
      </w:r>
      <w:r w:rsidR="005056AD">
        <w:t xml:space="preserve"> types of the fibres </w:t>
      </w:r>
      <w:r>
        <w:t xml:space="preserve">to </w:t>
      </w:r>
      <w:r w:rsidR="00C8449C">
        <w:t>reinforce the molybdenum matrix</w:t>
      </w:r>
      <w:r>
        <w:t xml:space="preserve"> were used: </w:t>
      </w:r>
    </w:p>
    <w:p w:rsidR="005056AD" w:rsidRDefault="00A513EE" w:rsidP="007F32F3">
      <w:pPr>
        <w:pStyle w:val="ab"/>
        <w:numPr>
          <w:ilvl w:val="0"/>
          <w:numId w:val="8"/>
        </w:numPr>
      </w:pPr>
      <w:r>
        <w:t xml:space="preserve">Yttrium </w:t>
      </w:r>
      <w:proofErr w:type="spellStart"/>
      <w:r>
        <w:t>aluminim</w:t>
      </w:r>
      <w:proofErr w:type="spellEnd"/>
      <w:r>
        <w:t xml:space="preserve"> garnet Y</w:t>
      </w:r>
      <w:r w:rsidRPr="007F32F3">
        <w:rPr>
          <w:vertAlign w:val="subscript"/>
        </w:rPr>
        <w:t>3</w:t>
      </w:r>
      <w:r>
        <w:t>Al</w:t>
      </w:r>
      <w:r w:rsidRPr="007F32F3">
        <w:rPr>
          <w:vertAlign w:val="subscript"/>
        </w:rPr>
        <w:t>5</w:t>
      </w:r>
      <w:r>
        <w:t>O</w:t>
      </w:r>
      <w:r w:rsidRPr="007F32F3">
        <w:rPr>
          <w:vertAlign w:val="subscript"/>
        </w:rPr>
        <w:t>12</w:t>
      </w:r>
      <w:r>
        <w:t xml:space="preserve">  (YAG)</w:t>
      </w:r>
    </w:p>
    <w:p w:rsidR="00A513EE" w:rsidRDefault="00A513EE" w:rsidP="007F32F3">
      <w:pPr>
        <w:pStyle w:val="ab"/>
        <w:numPr>
          <w:ilvl w:val="0"/>
          <w:numId w:val="8"/>
        </w:numPr>
      </w:pPr>
      <w:r>
        <w:t xml:space="preserve">Yttrium </w:t>
      </w:r>
      <w:proofErr w:type="spellStart"/>
      <w:r>
        <w:t>aluminim</w:t>
      </w:r>
      <w:proofErr w:type="spellEnd"/>
      <w:r>
        <w:t xml:space="preserve"> </w:t>
      </w:r>
      <w:proofErr w:type="spellStart"/>
      <w:r>
        <w:t>perovsckite</w:t>
      </w:r>
      <w:proofErr w:type="spellEnd"/>
      <w:r>
        <w:t xml:space="preserve"> YAlO</w:t>
      </w:r>
      <w:r w:rsidRPr="007F32F3">
        <w:rPr>
          <w:vertAlign w:val="subscript"/>
        </w:rPr>
        <w:t>3</w:t>
      </w:r>
      <w:r>
        <w:t xml:space="preserve">  (YAP)</w:t>
      </w:r>
    </w:p>
    <w:p w:rsidR="007F32F3" w:rsidRPr="007F32F3" w:rsidRDefault="007F32F3" w:rsidP="007F32F3">
      <w:pPr>
        <w:pStyle w:val="ab"/>
        <w:numPr>
          <w:ilvl w:val="0"/>
          <w:numId w:val="8"/>
        </w:numPr>
        <w:rPr>
          <w:rFonts w:cs="Times New Roman"/>
          <w:color w:val="222222"/>
          <w:szCs w:val="24"/>
        </w:rPr>
      </w:pPr>
      <w:r w:rsidRPr="007F32F3">
        <w:rPr>
          <w:rFonts w:cs="Times New Roman"/>
          <w:color w:val="222222"/>
          <w:szCs w:val="24"/>
        </w:rPr>
        <w:t>Yttrium aluminium monoclinic Y</w:t>
      </w:r>
      <w:r w:rsidRPr="007F32F3">
        <w:rPr>
          <w:rFonts w:cs="Times New Roman"/>
          <w:color w:val="222222"/>
          <w:szCs w:val="24"/>
          <w:vertAlign w:val="subscript"/>
        </w:rPr>
        <w:t>4</w:t>
      </w:r>
      <w:r w:rsidRPr="007F32F3">
        <w:rPr>
          <w:rFonts w:cs="Times New Roman"/>
          <w:color w:val="222222"/>
          <w:szCs w:val="24"/>
        </w:rPr>
        <w:t>Al</w:t>
      </w:r>
      <w:r w:rsidRPr="007F32F3">
        <w:rPr>
          <w:rFonts w:cs="Times New Roman"/>
          <w:color w:val="222222"/>
          <w:szCs w:val="24"/>
          <w:vertAlign w:val="subscript"/>
        </w:rPr>
        <w:t>2</w:t>
      </w:r>
      <w:r w:rsidRPr="007F32F3">
        <w:rPr>
          <w:rFonts w:cs="Times New Roman"/>
          <w:color w:val="222222"/>
          <w:szCs w:val="24"/>
        </w:rPr>
        <w:t>O</w:t>
      </w:r>
      <w:r w:rsidRPr="007F32F3">
        <w:rPr>
          <w:rFonts w:cs="Times New Roman"/>
          <w:color w:val="222222"/>
          <w:szCs w:val="24"/>
          <w:vertAlign w:val="subscript"/>
        </w:rPr>
        <w:t xml:space="preserve">9 </w:t>
      </w:r>
      <w:r w:rsidRPr="007F32F3">
        <w:rPr>
          <w:rFonts w:cs="Times New Roman"/>
          <w:color w:val="222222"/>
          <w:szCs w:val="24"/>
        </w:rPr>
        <w:t>(YAM)</w:t>
      </w:r>
    </w:p>
    <w:p w:rsidR="007F32F3" w:rsidRPr="007F32F3" w:rsidRDefault="007F32F3" w:rsidP="007F32F3">
      <w:pPr>
        <w:pStyle w:val="ab"/>
        <w:numPr>
          <w:ilvl w:val="0"/>
          <w:numId w:val="8"/>
        </w:numPr>
        <w:rPr>
          <w:rFonts w:cs="Times New Roman"/>
          <w:color w:val="222222"/>
          <w:szCs w:val="24"/>
        </w:rPr>
      </w:pPr>
      <w:r w:rsidRPr="007F32F3">
        <w:rPr>
          <w:rFonts w:cs="Times New Roman"/>
          <w:color w:val="222222"/>
          <w:szCs w:val="24"/>
        </w:rPr>
        <w:t>YAG-YAM eutectic.</w:t>
      </w:r>
    </w:p>
    <w:p w:rsidR="007F32F3" w:rsidRDefault="007F32F3" w:rsidP="005056AD">
      <w:pPr>
        <w:rPr>
          <w:rFonts w:cs="Times New Roman"/>
          <w:szCs w:val="24"/>
        </w:rPr>
      </w:pPr>
      <w:r w:rsidRPr="007F32F3"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</w:rPr>
        <w:t xml:space="preserve">YAG fibres are rather well-known, all other oxides as fibres were obtained and studied </w:t>
      </w:r>
      <w:r w:rsidR="00A52C44">
        <w:rPr>
          <w:rFonts w:cs="Times New Roman"/>
          <w:szCs w:val="24"/>
        </w:rPr>
        <w:t>for</w:t>
      </w:r>
      <w:r>
        <w:rPr>
          <w:rFonts w:cs="Times New Roman"/>
          <w:szCs w:val="24"/>
        </w:rPr>
        <w:t xml:space="preserve"> the reinforcements for the first time, at least for the author’s knowledge.</w:t>
      </w:r>
    </w:p>
    <w:p w:rsidR="00D5233B" w:rsidRDefault="00D5233B" w:rsidP="00D5233B">
      <w:pPr>
        <w:rPr>
          <w:noProof/>
        </w:rPr>
      </w:pPr>
      <w:r>
        <w:rPr>
          <w:noProof/>
        </w:rPr>
        <w:t>First of all, it should be noted that the composite specimens were obtained by the internal crystallisation method [</w:t>
      </w:r>
      <w:r>
        <w:rPr>
          <w:noProof/>
        </w:rPr>
        <w:fldChar w:fldCharType="begin"/>
      </w:r>
      <w:r>
        <w:rPr>
          <w:noProof/>
        </w:rPr>
        <w:instrText xml:space="preserve"> NOTEREF _Ref503617872 \h </w:instrText>
      </w:r>
      <w:r>
        <w:rPr>
          <w:noProof/>
        </w:rPr>
      </w:r>
      <w:r>
        <w:rPr>
          <w:noProof/>
        </w:rPr>
        <w:fldChar w:fldCharType="separate"/>
      </w:r>
      <w:r w:rsidR="00EF76D7">
        <w:rPr>
          <w:noProof/>
        </w:rPr>
        <w:t>4</w:t>
      </w:r>
      <w:r>
        <w:rPr>
          <w:noProof/>
        </w:rPr>
        <w:fldChar w:fldCharType="end"/>
      </w:r>
      <w:r>
        <w:rPr>
          <w:noProof/>
        </w:rPr>
        <w:t>]</w:t>
      </w:r>
      <w:r w:rsidR="00A52C44">
        <w:rPr>
          <w:noProof/>
        </w:rPr>
        <w:t>, in which t</w:t>
      </w:r>
      <w:r>
        <w:rPr>
          <w:noProof/>
        </w:rPr>
        <w:t xml:space="preserve">he matrix was undergone to heating </w:t>
      </w:r>
      <w:r w:rsidR="00A52C44">
        <w:rPr>
          <w:noProof/>
        </w:rPr>
        <w:t>above</w:t>
      </w:r>
      <w:r>
        <w:rPr>
          <w:noProof/>
        </w:rPr>
        <w:t xml:space="preserve"> the melting </w:t>
      </w:r>
      <w:r w:rsidR="00A52C44">
        <w:rPr>
          <w:noProof/>
        </w:rPr>
        <w:t>point</w:t>
      </w:r>
      <w:r>
        <w:rPr>
          <w:noProof/>
        </w:rPr>
        <w:t xml:space="preserve"> of </w:t>
      </w:r>
      <w:r w:rsidR="00A52C44">
        <w:rPr>
          <w:noProof/>
        </w:rPr>
        <w:t xml:space="preserve">an </w:t>
      </w:r>
      <w:r>
        <w:rPr>
          <w:noProof/>
        </w:rPr>
        <w:t xml:space="preserve">oxide; hence, molybdenum </w:t>
      </w:r>
      <w:r w:rsidR="00A52C44">
        <w:rPr>
          <w:noProof/>
        </w:rPr>
        <w:t>occurred to be</w:t>
      </w:r>
      <w:r>
        <w:rPr>
          <w:noProof/>
        </w:rPr>
        <w:t xml:space="preserve"> fully recrystallised</w:t>
      </w:r>
      <w:r w:rsidR="00A52C44">
        <w:rPr>
          <w:noProof/>
        </w:rPr>
        <w:t xml:space="preserve"> in the process</w:t>
      </w:r>
      <w:r>
        <w:rPr>
          <w:noProof/>
        </w:rPr>
        <w:t xml:space="preserve">. The temperature dependence of the matrix strength is presented in </w:t>
      </w:r>
      <w:r>
        <w:rPr>
          <w:noProof/>
        </w:rPr>
        <w:fldChar w:fldCharType="begin"/>
      </w:r>
      <w:r>
        <w:rPr>
          <w:noProof/>
        </w:rPr>
        <w:instrText xml:space="preserve"> REF _Ref515006486 \h </w:instrText>
      </w:r>
      <w:r>
        <w:rPr>
          <w:noProof/>
        </w:rPr>
      </w:r>
      <w:r>
        <w:rPr>
          <w:noProof/>
        </w:rPr>
        <w:fldChar w:fldCharType="separate"/>
      </w:r>
      <w:r w:rsidR="00EF76D7">
        <w:t xml:space="preserve">Figure </w:t>
      </w:r>
      <w:r w:rsidR="00EF76D7">
        <w:rPr>
          <w:noProof/>
        </w:rPr>
        <w:t>3</w:t>
      </w:r>
      <w:r>
        <w:rPr>
          <w:noProof/>
        </w:rPr>
        <w:fldChar w:fldCharType="end"/>
      </w:r>
      <w:r>
        <w:rPr>
          <w:noProof/>
        </w:rPr>
        <w:t>. Recrystallisation causes embrittleness of molybdenum, the value of critical strength intensity factor of the matrix is very low, less than 10 MPa</w:t>
      </w:r>
      <w:r>
        <w:rPr>
          <w:rFonts w:cs="Times New Roman"/>
          <w:noProof/>
        </w:rPr>
        <w:t>·</w:t>
      </w:r>
      <w:r>
        <w:rPr>
          <w:noProof/>
        </w:rPr>
        <w:t>m</w:t>
      </w:r>
      <w:r w:rsidRPr="00CB13FD">
        <w:rPr>
          <w:noProof/>
          <w:vertAlign w:val="superscript"/>
        </w:rPr>
        <w:t>½</w:t>
      </w:r>
      <w:r>
        <w:rPr>
          <w:noProof/>
        </w:rPr>
        <w:t xml:space="preserve">. </w:t>
      </w:r>
      <w:r w:rsidR="001E2455">
        <w:t xml:space="preserve">A dependence of mechanical properties of composites on fibre crystallisation rate is to be expected, so in the present experiments crystallisation rate was 2 – 10 50 – 250 mm/min. </w:t>
      </w:r>
      <w:r>
        <w:rPr>
          <w:noProof/>
        </w:rPr>
        <w:t>Fibre volume fraction in the composites was 0.35 – 0.40.</w:t>
      </w:r>
    </w:p>
    <w:p w:rsidR="00D8246D" w:rsidRPr="00A52C44" w:rsidRDefault="00D8246D" w:rsidP="00D8246D">
      <w:pPr>
        <w:pStyle w:val="ab"/>
        <w:numPr>
          <w:ilvl w:val="1"/>
          <w:numId w:val="8"/>
        </w:numPr>
        <w:rPr>
          <w:i/>
          <w:noProof/>
        </w:rPr>
      </w:pPr>
      <w:r w:rsidRPr="00A52C44">
        <w:rPr>
          <w:i/>
          <w:noProof/>
        </w:rPr>
        <w:t>Strength properties</w:t>
      </w:r>
    </w:p>
    <w:p w:rsidR="00D8246D" w:rsidRDefault="00D8246D" w:rsidP="00D8246D">
      <w:pPr>
        <w:rPr>
          <w:noProof/>
        </w:rPr>
      </w:pPr>
      <w:r>
        <w:rPr>
          <w:noProof/>
        </w:rPr>
        <w:t>All experimental points obtained in testing YAP-based-fibre/Mo-matrix composites at temperatures up to 1400</w:t>
      </w:r>
      <w:r w:rsidRPr="002536E5">
        <w:rPr>
          <w:noProof/>
          <w:vertAlign w:val="superscript"/>
        </w:rPr>
        <w:t>o</w:t>
      </w:r>
      <w:r>
        <w:rPr>
          <w:noProof/>
        </w:rPr>
        <w:t xml:space="preserve">C are plotted in </w:t>
      </w:r>
      <w:r>
        <w:rPr>
          <w:noProof/>
        </w:rPr>
        <w:fldChar w:fldCharType="begin"/>
      </w:r>
      <w:r>
        <w:rPr>
          <w:noProof/>
        </w:rPr>
        <w:instrText xml:space="preserve"> REF _Ref515031949 \h </w:instrText>
      </w:r>
      <w:r>
        <w:rPr>
          <w:noProof/>
        </w:rPr>
      </w:r>
      <w:r>
        <w:rPr>
          <w:noProof/>
        </w:rPr>
        <w:fldChar w:fldCharType="separate"/>
      </w:r>
      <w:r>
        <w:t xml:space="preserve">Figure </w:t>
      </w:r>
      <w:r>
        <w:rPr>
          <w:noProof/>
        </w:rPr>
        <w:t>4</w:t>
      </w:r>
      <w:r>
        <w:rPr>
          <w:noProof/>
        </w:rPr>
        <w:fldChar w:fldCharType="end"/>
      </w:r>
      <w:r>
        <w:rPr>
          <w:noProof/>
        </w:rPr>
        <w:t>a. Comparing these data with the temperature dependence of the matrix strength of (</w:t>
      </w:r>
      <w:r>
        <w:rPr>
          <w:noProof/>
        </w:rPr>
        <w:fldChar w:fldCharType="begin"/>
      </w:r>
      <w:r>
        <w:rPr>
          <w:noProof/>
        </w:rPr>
        <w:instrText xml:space="preserve"> REF _Ref515006486 \h </w:instrText>
      </w:r>
      <w:r>
        <w:rPr>
          <w:noProof/>
        </w:rPr>
      </w:r>
      <w:r>
        <w:rPr>
          <w:noProof/>
        </w:rPr>
        <w:fldChar w:fldCharType="separate"/>
      </w:r>
      <w:r>
        <w:t xml:space="preserve">Figure </w:t>
      </w:r>
      <w:r>
        <w:rPr>
          <w:noProof/>
        </w:rPr>
        <w:t>3</w:t>
      </w:r>
      <w:r>
        <w:rPr>
          <w:noProof/>
        </w:rPr>
        <w:fldChar w:fldCharType="end"/>
      </w:r>
      <w:r>
        <w:rPr>
          <w:noProof/>
        </w:rPr>
        <w:t>) one can see that the contribution of the fibre into the composite strength at room temperature is not essential. A reason for that is a combination of a strong scale dependence of the ICM-fibre strength [</w:t>
      </w:r>
      <w:r>
        <w:rPr>
          <w:noProof/>
        </w:rPr>
        <w:fldChar w:fldCharType="begin"/>
      </w:r>
      <w:r>
        <w:rPr>
          <w:noProof/>
        </w:rPr>
        <w:instrText xml:space="preserve"> NOTEREF _Ref515032341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  <w:r>
        <w:rPr>
          <w:noProof/>
        </w:rPr>
        <w:t xml:space="preserve">] and low matrix strength that </w:t>
      </w:r>
      <w:r w:rsidRPr="00344751">
        <w:rPr>
          <w:noProof/>
          <w:lang w:val="en-GB"/>
        </w:rPr>
        <w:t>yiel</w:t>
      </w:r>
      <w:r>
        <w:rPr>
          <w:noProof/>
          <w:lang w:val="en-GB"/>
        </w:rPr>
        <w:t>d</w:t>
      </w:r>
      <w:r w:rsidRPr="00344751">
        <w:rPr>
          <w:noProof/>
          <w:lang w:val="en-GB"/>
        </w:rPr>
        <w:t>s</w:t>
      </w:r>
      <w:r>
        <w:rPr>
          <w:noProof/>
        </w:rPr>
        <w:t xml:space="preserve"> a large critical fibre length and rather low effective fibre strength in the composites [</w:t>
      </w:r>
      <w:r>
        <w:rPr>
          <w:noProof/>
        </w:rPr>
        <w:fldChar w:fldCharType="begin"/>
      </w:r>
      <w:r>
        <w:rPr>
          <w:noProof/>
        </w:rPr>
        <w:instrText xml:space="preserve"> NOTEREF _Ref503617872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rPr>
          <w:noProof/>
        </w:rPr>
        <w:t xml:space="preserve">]. To reveal a possible dependence of the fibre strength on its crystallisation rate the data presented in </w:t>
      </w:r>
      <w:r>
        <w:rPr>
          <w:noProof/>
        </w:rPr>
        <w:fldChar w:fldCharType="begin"/>
      </w:r>
      <w:r>
        <w:rPr>
          <w:noProof/>
        </w:rPr>
        <w:instrText xml:space="preserve"> REF _Ref515031949 \h </w:instrText>
      </w:r>
      <w:r>
        <w:rPr>
          <w:noProof/>
        </w:rPr>
      </w:r>
      <w:r>
        <w:rPr>
          <w:noProof/>
        </w:rPr>
        <w:fldChar w:fldCharType="separate"/>
      </w:r>
      <w:r>
        <w:t xml:space="preserve">Figure </w:t>
      </w:r>
      <w:r>
        <w:rPr>
          <w:noProof/>
        </w:rPr>
        <w:t>4</w:t>
      </w:r>
      <w:r>
        <w:rPr>
          <w:noProof/>
        </w:rPr>
        <w:fldChar w:fldCharType="end"/>
      </w:r>
      <w:r>
        <w:rPr>
          <w:noProof/>
        </w:rPr>
        <w:t xml:space="preserve">a are replotted in </w:t>
      </w:r>
      <w:r>
        <w:rPr>
          <w:noProof/>
        </w:rPr>
        <w:fldChar w:fldCharType="begin"/>
      </w:r>
      <w:r>
        <w:rPr>
          <w:noProof/>
        </w:rPr>
        <w:instrText xml:space="preserve"> REF _Ref515031949 \h </w:instrText>
      </w:r>
      <w:r>
        <w:rPr>
          <w:noProof/>
        </w:rPr>
      </w:r>
      <w:r>
        <w:rPr>
          <w:noProof/>
        </w:rPr>
        <w:fldChar w:fldCharType="separate"/>
      </w:r>
      <w:r>
        <w:t xml:space="preserve">Figure </w:t>
      </w:r>
      <w:r>
        <w:rPr>
          <w:noProof/>
        </w:rPr>
        <w:t>4</w:t>
      </w:r>
      <w:r>
        <w:rPr>
          <w:noProof/>
        </w:rPr>
        <w:fldChar w:fldCharType="end"/>
      </w:r>
      <w:r>
        <w:rPr>
          <w:noProof/>
        </w:rPr>
        <w:t xml:space="preserve">b. No noticable dependence of the composite strength on crystallisation rate of the reinforcing fibre can be seen. The same is true with regard to the YAG-fibre/Mo-matrix composites, </w:t>
      </w:r>
      <w:r>
        <w:rPr>
          <w:noProof/>
        </w:rPr>
        <w:fldChar w:fldCharType="begin"/>
      </w:r>
      <w:r>
        <w:rPr>
          <w:noProof/>
        </w:rPr>
        <w:instrText xml:space="preserve"> REF _Ref515032747 \h </w:instrText>
      </w:r>
      <w:r>
        <w:rPr>
          <w:noProof/>
        </w:rPr>
      </w:r>
      <w:r>
        <w:rPr>
          <w:noProof/>
        </w:rPr>
        <w:fldChar w:fldCharType="separate"/>
      </w:r>
      <w:r>
        <w:t xml:space="preserve">Figure </w:t>
      </w:r>
      <w:r>
        <w:rPr>
          <w:noProof/>
        </w:rPr>
        <w:t>5</w:t>
      </w:r>
      <w:r>
        <w:rPr>
          <w:noProof/>
        </w:rPr>
        <w:fldChar w:fldCharType="end"/>
      </w:r>
      <w:r>
        <w:rPr>
          <w:noProof/>
        </w:rPr>
        <w:t xml:space="preserve">. </w:t>
      </w:r>
    </w:p>
    <w:p w:rsidR="00D8246D" w:rsidRDefault="00D8246D" w:rsidP="00D5233B">
      <w:pPr>
        <w:rPr>
          <w:noProof/>
        </w:rPr>
      </w:pPr>
    </w:p>
    <w:p w:rsidR="00D5233B" w:rsidRDefault="00D5233B" w:rsidP="00D5233B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1655F55" wp14:editId="69071751">
            <wp:extent cx="3657600" cy="2670048"/>
            <wp:effectExtent l="0" t="0" r="0" b="0"/>
            <wp:docPr id="6" name="Рисунок 6" descr="D:\_Admin\Pictures\1-Mo-matrix atreng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_Admin\Pictures\1-Mo-matrix atrength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67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33B" w:rsidRDefault="00D5233B" w:rsidP="00D92B5F">
      <w:pPr>
        <w:pStyle w:val="a3"/>
        <w:rPr>
          <w:noProof/>
        </w:rPr>
      </w:pPr>
      <w:bookmarkStart w:id="8" w:name="_Ref515006486"/>
      <w:proofErr w:type="gramStart"/>
      <w:r>
        <w:t xml:space="preserve">Figure </w:t>
      </w:r>
      <w:proofErr w:type="gramEnd"/>
      <w:r>
        <w:fldChar w:fldCharType="begin"/>
      </w:r>
      <w:r>
        <w:instrText xml:space="preserve"> SEQ Figure \* ARABIC </w:instrText>
      </w:r>
      <w:r>
        <w:fldChar w:fldCharType="separate"/>
      </w:r>
      <w:r w:rsidR="00EF76D7">
        <w:rPr>
          <w:noProof/>
        </w:rPr>
        <w:t>3</w:t>
      </w:r>
      <w:r>
        <w:fldChar w:fldCharType="end"/>
      </w:r>
      <w:bookmarkEnd w:id="8"/>
      <w:proofErr w:type="gramStart"/>
      <w:r>
        <w:t>.</w:t>
      </w:r>
      <w:proofErr w:type="gramEnd"/>
      <w:r>
        <w:t xml:space="preserve"> </w:t>
      </w:r>
      <w:proofErr w:type="gramStart"/>
      <w:r>
        <w:t>T</w:t>
      </w:r>
      <w:r>
        <w:rPr>
          <w:noProof/>
        </w:rPr>
        <w:t>emperature dependence of the molybdenum matrix strength.</w:t>
      </w:r>
      <w:proofErr w:type="gramEnd"/>
    </w:p>
    <w:p w:rsidR="001E2455" w:rsidRDefault="007F2693" w:rsidP="001E2455">
      <w:pPr>
        <w:rPr>
          <w:noProof/>
        </w:rPr>
      </w:pPr>
      <w:r>
        <w:rPr>
          <w:noProof/>
        </w:rPr>
        <w:t xml:space="preserve">Room temperature strength of </w:t>
      </w:r>
      <w:r w:rsidR="00FA0679">
        <w:rPr>
          <w:noProof/>
        </w:rPr>
        <w:t>YAM-fobre/Mo-matrix composites is low than that of the composites just mentioned (</w:t>
      </w:r>
      <w:r w:rsidR="00FA0679">
        <w:rPr>
          <w:noProof/>
        </w:rPr>
        <w:fldChar w:fldCharType="begin"/>
      </w:r>
      <w:r w:rsidR="00FA0679">
        <w:rPr>
          <w:noProof/>
        </w:rPr>
        <w:instrText xml:space="preserve"> REF _Ref515034755 \h </w:instrText>
      </w:r>
      <w:r w:rsidR="00FA0679">
        <w:rPr>
          <w:noProof/>
        </w:rPr>
      </w:r>
      <w:r w:rsidR="00FA0679">
        <w:rPr>
          <w:noProof/>
        </w:rPr>
        <w:fldChar w:fldCharType="separate"/>
      </w:r>
      <w:r w:rsidR="00EF76D7">
        <w:t xml:space="preserve">Figure </w:t>
      </w:r>
      <w:r w:rsidR="00EF76D7">
        <w:rPr>
          <w:noProof/>
        </w:rPr>
        <w:t>6</w:t>
      </w:r>
      <w:r w:rsidR="00FA0679">
        <w:rPr>
          <w:noProof/>
        </w:rPr>
        <w:fldChar w:fldCharType="end"/>
      </w:r>
      <w:r w:rsidR="00FA0679">
        <w:rPr>
          <w:noProof/>
        </w:rPr>
        <w:t xml:space="preserve">). However, adding YAG-component to YAM to crystallise the eutectic fibre (actually, the fibre has a nealy eutectic composition as the eutectic point on the published phase diagrams is determined just approximately) increases the composite strength essentially. Taking into account all the data in </w:t>
      </w:r>
      <w:r w:rsidR="00FA0679">
        <w:rPr>
          <w:noProof/>
        </w:rPr>
        <w:fldChar w:fldCharType="begin"/>
      </w:r>
      <w:r w:rsidR="00FA0679">
        <w:rPr>
          <w:noProof/>
        </w:rPr>
        <w:instrText xml:space="preserve"> REF _Ref515034755 \h </w:instrText>
      </w:r>
      <w:r w:rsidR="00FA0679">
        <w:rPr>
          <w:noProof/>
        </w:rPr>
      </w:r>
      <w:r w:rsidR="00FA0679">
        <w:rPr>
          <w:noProof/>
        </w:rPr>
        <w:fldChar w:fldCharType="separate"/>
      </w:r>
      <w:r w:rsidR="00EF76D7">
        <w:t xml:space="preserve">Figure </w:t>
      </w:r>
      <w:r w:rsidR="00EF76D7">
        <w:rPr>
          <w:noProof/>
        </w:rPr>
        <w:t>6</w:t>
      </w:r>
      <w:r w:rsidR="00FA0679">
        <w:rPr>
          <w:noProof/>
        </w:rPr>
        <w:fldChar w:fldCharType="end"/>
      </w:r>
      <w:r w:rsidR="00FA0679">
        <w:rPr>
          <w:noProof/>
        </w:rPr>
        <w:t xml:space="preserve"> gives the composite strength equal to 600</w:t>
      </w:r>
      <w:r w:rsidR="00FA0679">
        <w:rPr>
          <w:rFonts w:cs="Times New Roman"/>
          <w:noProof/>
        </w:rPr>
        <w:t>±</w:t>
      </w:r>
      <w:r w:rsidR="00FA0679">
        <w:rPr>
          <w:noProof/>
        </w:rPr>
        <w:t>63 MPa, a value a bit higher than those obtained in</w:t>
      </w:r>
      <w:r w:rsidR="00344751">
        <w:rPr>
          <w:noProof/>
        </w:rPr>
        <w:t xml:space="preserve"> </w:t>
      </w:r>
      <w:r w:rsidR="00FA0679">
        <w:rPr>
          <w:noProof/>
        </w:rPr>
        <w:t xml:space="preserve">testing </w:t>
      </w:r>
      <w:r w:rsidR="00B444EB">
        <w:rPr>
          <w:noProof/>
        </w:rPr>
        <w:t>composite of the three other types listed above.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8F3E11" w:rsidTr="00793C80">
        <w:trPr>
          <w:jc w:val="center"/>
        </w:trPr>
        <w:tc>
          <w:tcPr>
            <w:tcW w:w="4952" w:type="dxa"/>
            <w:vAlign w:val="center"/>
          </w:tcPr>
          <w:p w:rsidR="008F3E11" w:rsidRDefault="008F3E11" w:rsidP="008F3E1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823766" wp14:editId="2A944F33">
                  <wp:extent cx="2971800" cy="2176272"/>
                  <wp:effectExtent l="0" t="0" r="0" b="0"/>
                  <wp:docPr id="7" name="Рисунок 7" descr="C:\Users\S.Mileiko\AppData\Local\Microsoft\Windows\INetCache\Content.Word\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.Mileiko\AppData\Local\Microsoft\Windows\INetCache\Content.Word\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176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3" w:type="dxa"/>
            <w:vAlign w:val="center"/>
          </w:tcPr>
          <w:p w:rsidR="008F3E11" w:rsidRDefault="008F3E11" w:rsidP="008F3E1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AF16D8" wp14:editId="560C229A">
                  <wp:extent cx="2971800" cy="2176272"/>
                  <wp:effectExtent l="0" t="0" r="0" b="0"/>
                  <wp:docPr id="8" name="Рисунок 8" descr="C:\Users\S.Mileiko\AppData\Local\Microsoft\Windows\INetCache\Content.Word\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.Mileiko\AppData\Local\Microsoft\Windows\INetCache\Content.Word\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176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E11" w:rsidTr="00793C80">
        <w:trPr>
          <w:jc w:val="center"/>
        </w:trPr>
        <w:tc>
          <w:tcPr>
            <w:tcW w:w="4952" w:type="dxa"/>
            <w:vAlign w:val="center"/>
          </w:tcPr>
          <w:p w:rsidR="008F3E11" w:rsidRDefault="008F3E11" w:rsidP="008F3E1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(a)</w:t>
            </w:r>
          </w:p>
        </w:tc>
        <w:tc>
          <w:tcPr>
            <w:tcW w:w="4953" w:type="dxa"/>
            <w:vAlign w:val="center"/>
          </w:tcPr>
          <w:p w:rsidR="008F3E11" w:rsidRDefault="008F3E11" w:rsidP="008F3E1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(b)</w:t>
            </w:r>
          </w:p>
        </w:tc>
      </w:tr>
    </w:tbl>
    <w:p w:rsidR="008F3E11" w:rsidRDefault="008F3E11" w:rsidP="00D92B5F">
      <w:pPr>
        <w:pStyle w:val="a3"/>
      </w:pPr>
      <w:bookmarkStart w:id="9" w:name="_Ref515031949"/>
      <w:proofErr w:type="gramStart"/>
      <w:r>
        <w:t xml:space="preserve">Figure </w:t>
      </w:r>
      <w:proofErr w:type="gramEnd"/>
      <w:r>
        <w:fldChar w:fldCharType="begin"/>
      </w:r>
      <w:r>
        <w:instrText xml:space="preserve"> SEQ Figure \* ARABIC </w:instrText>
      </w:r>
      <w:r>
        <w:fldChar w:fldCharType="separate"/>
      </w:r>
      <w:r w:rsidR="00EF76D7">
        <w:rPr>
          <w:noProof/>
        </w:rPr>
        <w:t>4</w:t>
      </w:r>
      <w:r>
        <w:fldChar w:fldCharType="end"/>
      </w:r>
      <w:bookmarkEnd w:id="9"/>
      <w:proofErr w:type="gramStart"/>
      <w:r>
        <w:t>.</w:t>
      </w:r>
      <w:proofErr w:type="gramEnd"/>
      <w:r w:rsidR="00D92B5F">
        <w:t xml:space="preserve"> (a) Temperature dependence of strength of YAP-based-fibre/Mo-matrix composites. (b) Composite strength versus crystallisation rate of the reinforcing fibres.</w:t>
      </w:r>
    </w:p>
    <w:p w:rsidR="00D8246D" w:rsidRDefault="00D8246D" w:rsidP="00D8246D">
      <w:r>
        <w:t xml:space="preserve">The values of the apparent critical stress intensity factor correlate with notch sensitivity of the composites, </w:t>
      </w:r>
      <w:r>
        <w:fldChar w:fldCharType="begin"/>
      </w:r>
      <w:r>
        <w:instrText xml:space="preserve"> REF _Ref515036372 \h </w:instrText>
      </w:r>
      <w:r>
        <w:fldChar w:fldCharType="separate"/>
      </w:r>
      <w:r>
        <w:t xml:space="preserve">Figure </w:t>
      </w:r>
      <w:r>
        <w:rPr>
          <w:noProof/>
        </w:rPr>
        <w:t>8</w:t>
      </w:r>
      <w:r>
        <w:fldChar w:fldCharType="end"/>
      </w:r>
      <w:r>
        <w:t xml:space="preserve">. The notch sensitivity of three types of the composites determined on the bases of all data presented in </w:t>
      </w:r>
      <w:r>
        <w:fldChar w:fldCharType="begin"/>
      </w:r>
      <w:r>
        <w:instrText xml:space="preserve"> REF _Ref515036372 \h </w:instrText>
      </w:r>
      <w:r>
        <w:fldChar w:fldCharType="separate"/>
      </w:r>
      <w:r>
        <w:t xml:space="preserve">Figure </w:t>
      </w:r>
      <w:r>
        <w:rPr>
          <w:noProof/>
        </w:rPr>
        <w:t>8</w:t>
      </w:r>
      <w:r>
        <w:fldChar w:fldCharType="end"/>
      </w:r>
      <w:r>
        <w:t xml:space="preserve"> is described in </w:t>
      </w:r>
      <w:r>
        <w:fldChar w:fldCharType="begin"/>
      </w:r>
      <w:r>
        <w:instrText xml:space="preserve"> REF _Ref515036811 \h </w:instrText>
      </w:r>
      <w:r>
        <w:fldChar w:fldCharType="separate"/>
      </w:r>
      <w:r>
        <w:t xml:space="preserve">Table </w:t>
      </w:r>
      <w:r>
        <w:rPr>
          <w:noProof/>
        </w:rPr>
        <w:t>1</w:t>
      </w:r>
      <w:r>
        <w:fldChar w:fldCharType="end"/>
      </w:r>
      <w:r>
        <w:t>. It can be seen that (</w:t>
      </w:r>
      <w:proofErr w:type="spellStart"/>
      <w:r>
        <w:t>i</w:t>
      </w:r>
      <w:proofErr w:type="spellEnd"/>
      <w:r>
        <w:t>) the data are characterised by large scatter caused by various fabrication parameter of the composites and, perhaps some other factors; (ii) the average values of notch sensitivity is about 0.7. Still, it is possible to enhance fracture properties of the composites by using for the matrix appropriate molybdenum alloys.</w:t>
      </w:r>
    </w:p>
    <w:p w:rsidR="00D8246D" w:rsidRPr="00A52C44" w:rsidRDefault="00D8246D" w:rsidP="00D8246D">
      <w:pPr>
        <w:pStyle w:val="ab"/>
        <w:numPr>
          <w:ilvl w:val="1"/>
          <w:numId w:val="12"/>
        </w:numPr>
        <w:rPr>
          <w:i/>
        </w:rPr>
      </w:pPr>
      <w:r w:rsidRPr="00A52C44">
        <w:rPr>
          <w:i/>
        </w:rPr>
        <w:t>Fracture toughness and notch sensitivity</w:t>
      </w:r>
    </w:p>
    <w:p w:rsidR="00D8246D" w:rsidRDefault="00D8246D" w:rsidP="00D8246D">
      <w:r>
        <w:t xml:space="preserve">Much more interesting data were obtained in measuring fracture characteristics of the composites. The dependence of apparent critical stress intensity factor </w:t>
      </w:r>
      <w:r w:rsidRPr="005E44BB">
        <w:rPr>
          <w:i/>
        </w:rPr>
        <w:t>K</w:t>
      </w:r>
      <w:r>
        <w:t xml:space="preserve">* on the fibre crystallisation </w:t>
      </w:r>
      <w:r>
        <w:lastRenderedPageBreak/>
        <w:t xml:space="preserve">rate is presented in </w:t>
      </w:r>
      <w:r>
        <w:fldChar w:fldCharType="begin"/>
      </w:r>
      <w:r>
        <w:instrText xml:space="preserve"> REF _Ref515035800 \h </w:instrText>
      </w:r>
      <w:r>
        <w:fldChar w:fldCharType="separate"/>
      </w:r>
      <w:r>
        <w:t xml:space="preserve">Figure </w:t>
      </w:r>
      <w:r>
        <w:rPr>
          <w:noProof/>
        </w:rPr>
        <w:t>7</w:t>
      </w:r>
      <w:r>
        <w:fldChar w:fldCharType="end"/>
      </w:r>
      <w:r>
        <w:t xml:space="preserve">. It can be seen that introducing brittle fibres into metal matrix of low fracture toughness leads an essential increase in the value of </w:t>
      </w:r>
      <w:r w:rsidRPr="00B30DDE">
        <w:rPr>
          <w:i/>
        </w:rPr>
        <w:t>K</w:t>
      </w:r>
      <w:r>
        <w:t xml:space="preserve">*. The largest increase is observed in the case of composites with YAP and YAM-YAG fibres. The latter can be determined by a composite microstructure of the fibre. It is also important to note that the dependence of </w:t>
      </w:r>
      <w:r w:rsidRPr="00C6266C">
        <w:rPr>
          <w:i/>
        </w:rPr>
        <w:t>K</w:t>
      </w:r>
      <w:r>
        <w:t>* on the eutectic fibre crystallisation rate has a maximum corresponding to the rate of about 10 mm/min.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800C10" w:rsidTr="00793C80">
        <w:trPr>
          <w:jc w:val="center"/>
        </w:trPr>
        <w:tc>
          <w:tcPr>
            <w:tcW w:w="4952" w:type="dxa"/>
            <w:vAlign w:val="center"/>
          </w:tcPr>
          <w:p w:rsidR="00800C10" w:rsidRDefault="00D1792D" w:rsidP="00D1792D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329B038" wp14:editId="315A1DA0">
                  <wp:extent cx="2743200" cy="2075688"/>
                  <wp:effectExtent l="0" t="0" r="0" b="1270"/>
                  <wp:docPr id="9" name="Рисунок 9" descr="C:\Users\S.Mileiko\AppData\Local\Microsoft\Windows\INetCache\Content.Word\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.Mileiko\AppData\Local\Microsoft\Windows\INetCache\Content.Word\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075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3" w:type="dxa"/>
            <w:vAlign w:val="center"/>
          </w:tcPr>
          <w:p w:rsidR="00800C10" w:rsidRDefault="00D1792D" w:rsidP="00D1792D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692F4F53" wp14:editId="570318F0">
                  <wp:extent cx="2743200" cy="2057400"/>
                  <wp:effectExtent l="0" t="0" r="0" b="0"/>
                  <wp:docPr id="10" name="Рисунок 10" descr="C:\Users\S.Mileiko\AppData\Local\Microsoft\Windows\INetCache\Content.Word\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.Mileiko\AppData\Local\Microsoft\Windows\INetCache\Content.Word\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C10" w:rsidTr="00793C80">
        <w:trPr>
          <w:jc w:val="center"/>
        </w:trPr>
        <w:tc>
          <w:tcPr>
            <w:tcW w:w="4952" w:type="dxa"/>
            <w:vAlign w:val="center"/>
          </w:tcPr>
          <w:p w:rsidR="00800C10" w:rsidRDefault="00D1792D" w:rsidP="00D92B5F">
            <w:pPr>
              <w:pStyle w:val="a3"/>
            </w:pPr>
            <w:bookmarkStart w:id="10" w:name="_Ref515032747"/>
            <w:r>
              <w:t xml:space="preserve">Figure </w:t>
            </w:r>
            <w:r>
              <w:fldChar w:fldCharType="begin"/>
            </w:r>
            <w:r>
              <w:instrText xml:space="preserve"> SEQ Figure \* ARABIC </w:instrText>
            </w:r>
            <w:r>
              <w:fldChar w:fldCharType="separate"/>
            </w:r>
            <w:r w:rsidR="00EF76D7">
              <w:rPr>
                <w:noProof/>
              </w:rPr>
              <w:t>5</w:t>
            </w:r>
            <w:r>
              <w:fldChar w:fldCharType="end"/>
            </w:r>
            <w:bookmarkEnd w:id="10"/>
            <w:r w:rsidR="00D92B5F">
              <w:t xml:space="preserve">. Room and high temperature strength of YAG-fibre/Mo-matrix composites versus crystallisation rate of the reinforcing fibres. </w:t>
            </w:r>
          </w:p>
        </w:tc>
        <w:tc>
          <w:tcPr>
            <w:tcW w:w="4953" w:type="dxa"/>
            <w:vAlign w:val="center"/>
          </w:tcPr>
          <w:p w:rsidR="00800C10" w:rsidRDefault="00D1792D" w:rsidP="00D92B5F">
            <w:pPr>
              <w:pStyle w:val="a3"/>
            </w:pPr>
            <w:bookmarkStart w:id="11" w:name="_Ref515034755"/>
            <w:r>
              <w:t xml:space="preserve">Figure </w:t>
            </w:r>
            <w:r>
              <w:fldChar w:fldCharType="begin"/>
            </w:r>
            <w:r>
              <w:instrText xml:space="preserve"> SEQ Figure \* ARABIC </w:instrText>
            </w:r>
            <w:r>
              <w:fldChar w:fldCharType="separate"/>
            </w:r>
            <w:r w:rsidR="00EF76D7">
              <w:rPr>
                <w:noProof/>
              </w:rPr>
              <w:t>6</w:t>
            </w:r>
            <w:r>
              <w:fldChar w:fldCharType="end"/>
            </w:r>
            <w:bookmarkEnd w:id="11"/>
            <w:r w:rsidR="00D92B5F">
              <w:t>. Room and high temperature strength of YAM-fibre/Mo-matrix and YAM-YAG-eutectic fibre/Mo-matrix composites versus crystallisation rate of the reinforcing fibres.</w:t>
            </w:r>
          </w:p>
        </w:tc>
      </w:tr>
      <w:tr w:rsidR="008554D3" w:rsidTr="00793C80">
        <w:trPr>
          <w:jc w:val="center"/>
        </w:trPr>
        <w:tc>
          <w:tcPr>
            <w:tcW w:w="4952" w:type="dxa"/>
            <w:vAlign w:val="center"/>
          </w:tcPr>
          <w:p w:rsidR="008554D3" w:rsidRDefault="008554D3" w:rsidP="008554D3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741B246D" wp14:editId="50516CA6">
                  <wp:extent cx="2743200" cy="2121408"/>
                  <wp:effectExtent l="0" t="0" r="0" b="0"/>
                  <wp:docPr id="13" name="Рисунок 13" descr="C:\Users\S.Mileiko\AppData\Local\Microsoft\Windows\INetCache\Content.Word\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S.Mileiko\AppData\Local\Microsoft\Windows\INetCache\Content.Word\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121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3" w:type="dxa"/>
            <w:vAlign w:val="center"/>
          </w:tcPr>
          <w:p w:rsidR="008554D3" w:rsidRDefault="008554D3" w:rsidP="008554D3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5EC1EA4E" wp14:editId="50468F8C">
                  <wp:extent cx="2743200" cy="2093976"/>
                  <wp:effectExtent l="0" t="0" r="0" b="1905"/>
                  <wp:docPr id="11" name="Рисунок 11" descr="C:\Users\S.Mileiko\AppData\Local\Microsoft\Windows\INetCache\Content.Word\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S.Mileiko\AppData\Local\Microsoft\Windows\INetCache\Content.Word\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093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4D3" w:rsidTr="00793C80">
        <w:trPr>
          <w:jc w:val="center"/>
        </w:trPr>
        <w:tc>
          <w:tcPr>
            <w:tcW w:w="4952" w:type="dxa"/>
            <w:vAlign w:val="center"/>
          </w:tcPr>
          <w:p w:rsidR="008554D3" w:rsidRDefault="008554D3" w:rsidP="008554D3">
            <w:pPr>
              <w:ind w:firstLine="0"/>
              <w:jc w:val="center"/>
            </w:pPr>
            <w:r>
              <w:t>(a)</w:t>
            </w:r>
          </w:p>
        </w:tc>
        <w:tc>
          <w:tcPr>
            <w:tcW w:w="4953" w:type="dxa"/>
            <w:vAlign w:val="center"/>
          </w:tcPr>
          <w:p w:rsidR="008554D3" w:rsidRDefault="008554D3" w:rsidP="008554D3">
            <w:pPr>
              <w:ind w:firstLine="0"/>
              <w:jc w:val="center"/>
            </w:pPr>
            <w:r>
              <w:t>(b)</w:t>
            </w:r>
          </w:p>
        </w:tc>
      </w:tr>
      <w:tr w:rsidR="008554D3" w:rsidTr="00793C80">
        <w:trPr>
          <w:jc w:val="center"/>
        </w:trPr>
        <w:tc>
          <w:tcPr>
            <w:tcW w:w="4952" w:type="dxa"/>
            <w:vAlign w:val="center"/>
          </w:tcPr>
          <w:p w:rsidR="008554D3" w:rsidRDefault="008554D3" w:rsidP="008554D3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323CF5A3" wp14:editId="67A849A0">
                  <wp:extent cx="2743200" cy="2084832"/>
                  <wp:effectExtent l="0" t="0" r="0" b="0"/>
                  <wp:docPr id="12" name="Рисунок 12" descr="C:\Users\S.Mileiko\AppData\Local\Microsoft\Windows\INetCache\Content.Word\1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S.Mileiko\AppData\Local\Microsoft\Windows\INetCache\Content.Word\1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084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3" w:type="dxa"/>
            <w:vAlign w:val="center"/>
          </w:tcPr>
          <w:p w:rsidR="008554D3" w:rsidRDefault="008554D3" w:rsidP="008554D3">
            <w:pPr>
              <w:ind w:firstLine="0"/>
              <w:jc w:val="center"/>
            </w:pPr>
          </w:p>
        </w:tc>
      </w:tr>
      <w:tr w:rsidR="008554D3" w:rsidTr="00793C80">
        <w:trPr>
          <w:jc w:val="center"/>
        </w:trPr>
        <w:tc>
          <w:tcPr>
            <w:tcW w:w="4952" w:type="dxa"/>
            <w:vAlign w:val="center"/>
          </w:tcPr>
          <w:p w:rsidR="008554D3" w:rsidRDefault="008554D3" w:rsidP="008554D3">
            <w:pPr>
              <w:ind w:firstLine="0"/>
              <w:jc w:val="center"/>
            </w:pPr>
            <w:r>
              <w:t>(c)</w:t>
            </w:r>
          </w:p>
        </w:tc>
        <w:tc>
          <w:tcPr>
            <w:tcW w:w="4953" w:type="dxa"/>
            <w:vAlign w:val="center"/>
          </w:tcPr>
          <w:p w:rsidR="008554D3" w:rsidRDefault="008554D3" w:rsidP="008554D3">
            <w:pPr>
              <w:ind w:firstLine="0"/>
              <w:jc w:val="center"/>
            </w:pPr>
          </w:p>
        </w:tc>
      </w:tr>
    </w:tbl>
    <w:p w:rsidR="008554D3" w:rsidRDefault="008554D3" w:rsidP="00D92B5F">
      <w:pPr>
        <w:pStyle w:val="a3"/>
      </w:pPr>
      <w:bookmarkStart w:id="12" w:name="_Ref515035800"/>
      <w:proofErr w:type="gramStart"/>
      <w:r>
        <w:t xml:space="preserve">Figure </w:t>
      </w:r>
      <w:proofErr w:type="gramEnd"/>
      <w:r>
        <w:fldChar w:fldCharType="begin"/>
      </w:r>
      <w:r>
        <w:instrText xml:space="preserve"> SEQ Figure \* ARABIC </w:instrText>
      </w:r>
      <w:r>
        <w:fldChar w:fldCharType="separate"/>
      </w:r>
      <w:r w:rsidR="00EF76D7">
        <w:rPr>
          <w:noProof/>
        </w:rPr>
        <w:t>7</w:t>
      </w:r>
      <w:r>
        <w:fldChar w:fldCharType="end"/>
      </w:r>
      <w:bookmarkEnd w:id="12"/>
      <w:proofErr w:type="gramStart"/>
      <w:r>
        <w:t>.</w:t>
      </w:r>
      <w:proofErr w:type="gramEnd"/>
      <w:r w:rsidR="00031111">
        <w:t xml:space="preserve"> </w:t>
      </w:r>
      <w:proofErr w:type="gramStart"/>
      <w:r w:rsidR="00031111">
        <w:t>Apparent critical stress intensity factor of the composites versus crystallisation rate of the reinforcing fibres.</w:t>
      </w:r>
      <w:proofErr w:type="gramEnd"/>
    </w:p>
    <w:p w:rsidR="00054AC3" w:rsidRDefault="00054AC3" w:rsidP="00054AC3"/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054AC3" w:rsidTr="00793C80">
        <w:trPr>
          <w:jc w:val="center"/>
        </w:trPr>
        <w:tc>
          <w:tcPr>
            <w:tcW w:w="4952" w:type="dxa"/>
            <w:vAlign w:val="center"/>
          </w:tcPr>
          <w:p w:rsidR="00054AC3" w:rsidRDefault="00054AC3" w:rsidP="00054AC3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5A28BEFB" wp14:editId="6833997E">
                  <wp:extent cx="2971800" cy="2185416"/>
                  <wp:effectExtent l="0" t="0" r="0" b="5715"/>
                  <wp:docPr id="14" name="Рисунок 14" descr="C:\Users\S.Mileiko\AppData\Local\Microsoft\Windows\INetCache\Content.Word\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S.Mileiko\AppData\Local\Microsoft\Windows\INetCache\Content.Word\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18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3" w:type="dxa"/>
            <w:vAlign w:val="center"/>
          </w:tcPr>
          <w:p w:rsidR="00054AC3" w:rsidRDefault="00054AC3" w:rsidP="00054AC3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1E946FB6" wp14:editId="3F8E530A">
                  <wp:extent cx="2971800" cy="2240280"/>
                  <wp:effectExtent l="0" t="0" r="0" b="7620"/>
                  <wp:docPr id="15" name="Рисунок 15" descr="C:\Users\S.Mileiko\AppData\Local\Microsoft\Windows\INetCache\Content.Word\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S.Mileiko\AppData\Local\Microsoft\Windows\INetCache\Content.Word\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4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AC3" w:rsidTr="00793C80">
        <w:trPr>
          <w:jc w:val="center"/>
        </w:trPr>
        <w:tc>
          <w:tcPr>
            <w:tcW w:w="4952" w:type="dxa"/>
            <w:vAlign w:val="center"/>
          </w:tcPr>
          <w:p w:rsidR="00054AC3" w:rsidRDefault="00054AC3" w:rsidP="00054AC3">
            <w:pPr>
              <w:ind w:firstLine="0"/>
              <w:jc w:val="center"/>
            </w:pPr>
            <w:r>
              <w:t>(a)</w:t>
            </w:r>
          </w:p>
        </w:tc>
        <w:tc>
          <w:tcPr>
            <w:tcW w:w="4953" w:type="dxa"/>
            <w:vAlign w:val="center"/>
          </w:tcPr>
          <w:p w:rsidR="00054AC3" w:rsidRDefault="00054AC3" w:rsidP="00054AC3">
            <w:pPr>
              <w:ind w:firstLine="0"/>
              <w:jc w:val="center"/>
            </w:pPr>
            <w:r>
              <w:t>(b)</w:t>
            </w:r>
          </w:p>
        </w:tc>
      </w:tr>
    </w:tbl>
    <w:p w:rsidR="00054AC3" w:rsidRDefault="00031111" w:rsidP="00031111">
      <w:pPr>
        <w:pStyle w:val="a3"/>
      </w:pPr>
      <w:bookmarkStart w:id="13" w:name="_Ref515036372"/>
      <w:proofErr w:type="gramStart"/>
      <w:r>
        <w:t xml:space="preserve">Figure </w:t>
      </w:r>
      <w:proofErr w:type="gramEnd"/>
      <w:r>
        <w:fldChar w:fldCharType="begin"/>
      </w:r>
      <w:r>
        <w:instrText xml:space="preserve"> SEQ Figure \* ARABIC </w:instrText>
      </w:r>
      <w:r>
        <w:fldChar w:fldCharType="separate"/>
      </w:r>
      <w:r w:rsidR="00EF76D7">
        <w:rPr>
          <w:noProof/>
        </w:rPr>
        <w:t>8</w:t>
      </w:r>
      <w:r>
        <w:fldChar w:fldCharType="end"/>
      </w:r>
      <w:bookmarkEnd w:id="13"/>
      <w:proofErr w:type="gramStart"/>
      <w:r>
        <w:t>.</w:t>
      </w:r>
      <w:proofErr w:type="gramEnd"/>
      <w:r>
        <w:t xml:space="preserve"> </w:t>
      </w:r>
      <w:proofErr w:type="gramStart"/>
      <w:r>
        <w:t>Correlation between apparent critical stress intensity factor and notch sensitivity of the composites.</w:t>
      </w:r>
      <w:proofErr w:type="gramEnd"/>
    </w:p>
    <w:p w:rsidR="005874C7" w:rsidRDefault="005874C7" w:rsidP="005874C7">
      <w:pPr>
        <w:pStyle w:val="a3"/>
      </w:pPr>
      <w:bookmarkStart w:id="14" w:name="_Ref515036811"/>
      <w:proofErr w:type="gramStart"/>
      <w:r>
        <w:t xml:space="preserve">Table </w:t>
      </w:r>
      <w:proofErr w:type="gramEnd"/>
      <w:r>
        <w:fldChar w:fldCharType="begin"/>
      </w:r>
      <w:r>
        <w:instrText xml:space="preserve"> SEQ Table \* ARABIC </w:instrText>
      </w:r>
      <w:r>
        <w:fldChar w:fldCharType="separate"/>
      </w:r>
      <w:r w:rsidR="00EF76D7">
        <w:rPr>
          <w:noProof/>
        </w:rPr>
        <w:t>1</w:t>
      </w:r>
      <w:r>
        <w:fldChar w:fldCharType="end"/>
      </w:r>
      <w:bookmarkEnd w:id="14"/>
      <w:proofErr w:type="gramStart"/>
      <w:r>
        <w:t>.</w:t>
      </w:r>
      <w:proofErr w:type="gramEnd"/>
      <w:r>
        <w:t xml:space="preserve"> Characteristics of the notch sensitivity of the composites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113"/>
        <w:gridCol w:w="1397"/>
        <w:gridCol w:w="2070"/>
      </w:tblGrid>
      <w:tr w:rsidR="005874C7" w:rsidTr="005874C7">
        <w:trPr>
          <w:jc w:val="center"/>
        </w:trPr>
        <w:tc>
          <w:tcPr>
            <w:tcW w:w="2113" w:type="dxa"/>
            <w:vMerge w:val="restart"/>
            <w:vAlign w:val="center"/>
          </w:tcPr>
          <w:p w:rsidR="005874C7" w:rsidRDefault="005874C7" w:rsidP="005874C7">
            <w:pPr>
              <w:ind w:firstLine="0"/>
              <w:jc w:val="center"/>
            </w:pPr>
            <w:r>
              <w:t>Reinforcing fibre</w:t>
            </w:r>
          </w:p>
        </w:tc>
        <w:tc>
          <w:tcPr>
            <w:tcW w:w="3467" w:type="dxa"/>
            <w:gridSpan w:val="2"/>
            <w:vAlign w:val="center"/>
          </w:tcPr>
          <w:p w:rsidR="005874C7" w:rsidRDefault="005874C7" w:rsidP="005874C7">
            <w:pPr>
              <w:ind w:firstLine="0"/>
              <w:jc w:val="center"/>
            </w:pPr>
            <w:r>
              <w:t>Notch sensitivity</w:t>
            </w:r>
          </w:p>
        </w:tc>
      </w:tr>
      <w:tr w:rsidR="005874C7" w:rsidTr="005874C7">
        <w:trPr>
          <w:jc w:val="center"/>
        </w:trPr>
        <w:tc>
          <w:tcPr>
            <w:tcW w:w="2113" w:type="dxa"/>
            <w:vMerge/>
            <w:vAlign w:val="center"/>
          </w:tcPr>
          <w:p w:rsidR="005874C7" w:rsidRDefault="005874C7" w:rsidP="005874C7">
            <w:pPr>
              <w:ind w:firstLine="0"/>
              <w:jc w:val="center"/>
            </w:pPr>
          </w:p>
        </w:tc>
        <w:tc>
          <w:tcPr>
            <w:tcW w:w="1397" w:type="dxa"/>
            <w:vAlign w:val="center"/>
          </w:tcPr>
          <w:p w:rsidR="005874C7" w:rsidRDefault="005874C7" w:rsidP="005874C7">
            <w:pPr>
              <w:ind w:firstLine="0"/>
              <w:jc w:val="center"/>
            </w:pPr>
            <w:r>
              <w:t>Mean value</w:t>
            </w:r>
          </w:p>
        </w:tc>
        <w:tc>
          <w:tcPr>
            <w:tcW w:w="2070" w:type="dxa"/>
            <w:vAlign w:val="center"/>
          </w:tcPr>
          <w:p w:rsidR="005874C7" w:rsidRDefault="005874C7" w:rsidP="005874C7">
            <w:pPr>
              <w:ind w:firstLine="0"/>
              <w:jc w:val="center"/>
            </w:pPr>
            <w:r>
              <w:t>S</w:t>
            </w:r>
            <w:r w:rsidRPr="00C5685D">
              <w:t>tandard deviation</w:t>
            </w:r>
          </w:p>
        </w:tc>
      </w:tr>
      <w:tr w:rsidR="005874C7" w:rsidTr="005874C7">
        <w:trPr>
          <w:jc w:val="center"/>
        </w:trPr>
        <w:tc>
          <w:tcPr>
            <w:tcW w:w="2113" w:type="dxa"/>
            <w:vAlign w:val="center"/>
          </w:tcPr>
          <w:p w:rsidR="005874C7" w:rsidRDefault="005874C7" w:rsidP="00C53E1C">
            <w:pPr>
              <w:ind w:firstLine="0"/>
            </w:pPr>
            <w:r>
              <w:t>YAP</w:t>
            </w:r>
          </w:p>
        </w:tc>
        <w:tc>
          <w:tcPr>
            <w:tcW w:w="1397" w:type="dxa"/>
            <w:vAlign w:val="center"/>
          </w:tcPr>
          <w:p w:rsidR="005874C7" w:rsidRDefault="005874C7" w:rsidP="005874C7">
            <w:pPr>
              <w:ind w:firstLine="0"/>
              <w:jc w:val="center"/>
            </w:pPr>
            <w:r>
              <w:t>0.777</w:t>
            </w:r>
          </w:p>
        </w:tc>
        <w:tc>
          <w:tcPr>
            <w:tcW w:w="2070" w:type="dxa"/>
            <w:vAlign w:val="center"/>
          </w:tcPr>
          <w:p w:rsidR="005874C7" w:rsidRDefault="005874C7" w:rsidP="005874C7">
            <w:pPr>
              <w:ind w:firstLine="0"/>
              <w:jc w:val="center"/>
            </w:pPr>
            <w:r>
              <w:t>0.218</w:t>
            </w:r>
          </w:p>
        </w:tc>
      </w:tr>
      <w:tr w:rsidR="005874C7" w:rsidTr="005874C7">
        <w:trPr>
          <w:jc w:val="center"/>
        </w:trPr>
        <w:tc>
          <w:tcPr>
            <w:tcW w:w="2113" w:type="dxa"/>
            <w:vAlign w:val="center"/>
          </w:tcPr>
          <w:p w:rsidR="005874C7" w:rsidRDefault="005874C7" w:rsidP="00C53E1C">
            <w:pPr>
              <w:ind w:firstLine="0"/>
            </w:pPr>
            <w:r>
              <w:t>YAG</w:t>
            </w:r>
          </w:p>
        </w:tc>
        <w:tc>
          <w:tcPr>
            <w:tcW w:w="1397" w:type="dxa"/>
            <w:vAlign w:val="center"/>
          </w:tcPr>
          <w:p w:rsidR="005874C7" w:rsidRDefault="005874C7" w:rsidP="005874C7">
            <w:pPr>
              <w:ind w:firstLine="0"/>
              <w:jc w:val="center"/>
            </w:pPr>
            <w:r>
              <w:t>0.751</w:t>
            </w:r>
          </w:p>
        </w:tc>
        <w:tc>
          <w:tcPr>
            <w:tcW w:w="2070" w:type="dxa"/>
            <w:vAlign w:val="center"/>
          </w:tcPr>
          <w:p w:rsidR="005874C7" w:rsidRDefault="005874C7" w:rsidP="005874C7">
            <w:pPr>
              <w:ind w:firstLine="0"/>
              <w:jc w:val="center"/>
            </w:pPr>
            <w:r>
              <w:t>0.203</w:t>
            </w:r>
          </w:p>
        </w:tc>
      </w:tr>
      <w:tr w:rsidR="005874C7" w:rsidTr="005874C7">
        <w:trPr>
          <w:jc w:val="center"/>
        </w:trPr>
        <w:tc>
          <w:tcPr>
            <w:tcW w:w="2113" w:type="dxa"/>
            <w:vAlign w:val="center"/>
          </w:tcPr>
          <w:p w:rsidR="005874C7" w:rsidRDefault="005874C7" w:rsidP="00C53E1C">
            <w:pPr>
              <w:ind w:firstLine="0"/>
            </w:pPr>
            <w:r>
              <w:t>YAM-YAG</w:t>
            </w:r>
          </w:p>
        </w:tc>
        <w:tc>
          <w:tcPr>
            <w:tcW w:w="1397" w:type="dxa"/>
            <w:vAlign w:val="center"/>
          </w:tcPr>
          <w:p w:rsidR="005874C7" w:rsidRDefault="005874C7" w:rsidP="005874C7">
            <w:pPr>
              <w:ind w:firstLine="0"/>
              <w:jc w:val="center"/>
            </w:pPr>
            <w:r>
              <w:t>0.647</w:t>
            </w:r>
          </w:p>
        </w:tc>
        <w:tc>
          <w:tcPr>
            <w:tcW w:w="2070" w:type="dxa"/>
            <w:vAlign w:val="center"/>
          </w:tcPr>
          <w:p w:rsidR="005874C7" w:rsidRDefault="005874C7" w:rsidP="005874C7">
            <w:pPr>
              <w:ind w:firstLine="0"/>
              <w:jc w:val="center"/>
            </w:pPr>
            <w:r>
              <w:t>0.080</w:t>
            </w:r>
          </w:p>
        </w:tc>
      </w:tr>
    </w:tbl>
    <w:p w:rsidR="004463CC" w:rsidRDefault="004463CC" w:rsidP="005056AD">
      <w:pPr>
        <w:pStyle w:val="1"/>
      </w:pPr>
      <w:r w:rsidRPr="00AB6683">
        <w:t>Conclusions</w:t>
      </w:r>
    </w:p>
    <w:p w:rsidR="004463CC" w:rsidRPr="00EF76D7" w:rsidRDefault="005874C7" w:rsidP="00EF76D7">
      <w:pPr>
        <w:pStyle w:val="ab"/>
        <w:numPr>
          <w:ilvl w:val="0"/>
          <w:numId w:val="10"/>
        </w:numPr>
        <w:rPr>
          <w:rFonts w:cs="Times New Roman"/>
          <w:color w:val="222222"/>
          <w:szCs w:val="24"/>
        </w:rPr>
      </w:pPr>
      <w:r>
        <w:t>For the first time, composites with molybdenum matrix and three types of oxide fibres in the Al</w:t>
      </w:r>
      <w:r w:rsidRPr="00EF76D7">
        <w:rPr>
          <w:vertAlign w:val="subscript"/>
        </w:rPr>
        <w:t>2</w:t>
      </w:r>
      <w:r>
        <w:t>O</w:t>
      </w:r>
      <w:r w:rsidRPr="00EF76D7">
        <w:rPr>
          <w:vertAlign w:val="subscript"/>
        </w:rPr>
        <w:t>3</w:t>
      </w:r>
      <w:r>
        <w:t>-Y</w:t>
      </w:r>
      <w:r w:rsidRPr="00EF76D7">
        <w:rPr>
          <w:vertAlign w:val="subscript"/>
        </w:rPr>
        <w:t>2</w:t>
      </w:r>
      <w:r>
        <w:t>O</w:t>
      </w:r>
      <w:r w:rsidRPr="00EF76D7">
        <w:rPr>
          <w:vertAlign w:val="subscript"/>
        </w:rPr>
        <w:t>3</w:t>
      </w:r>
      <w:r>
        <w:t xml:space="preserve"> system are obtained. Those fibres are y</w:t>
      </w:r>
      <w:r>
        <w:t xml:space="preserve">ttrium </w:t>
      </w:r>
      <w:proofErr w:type="spellStart"/>
      <w:r>
        <w:t>aluminim</w:t>
      </w:r>
      <w:proofErr w:type="spellEnd"/>
      <w:r>
        <w:t xml:space="preserve"> </w:t>
      </w:r>
      <w:proofErr w:type="spellStart"/>
      <w:r>
        <w:t>perovsckite</w:t>
      </w:r>
      <w:proofErr w:type="spellEnd"/>
      <w:r>
        <w:t xml:space="preserve"> </w:t>
      </w:r>
      <w:proofErr w:type="gramStart"/>
      <w:r>
        <w:t>YAlO</w:t>
      </w:r>
      <w:r w:rsidRPr="00EF76D7">
        <w:rPr>
          <w:vertAlign w:val="subscript"/>
        </w:rPr>
        <w:t>3</w:t>
      </w:r>
      <w:r>
        <w:t xml:space="preserve">  (</w:t>
      </w:r>
      <w:proofErr w:type="gramEnd"/>
      <w:r>
        <w:t>YAP)</w:t>
      </w:r>
      <w:r>
        <w:t>, y</w:t>
      </w:r>
      <w:r w:rsidRPr="00EF76D7">
        <w:rPr>
          <w:rFonts w:cs="Times New Roman"/>
          <w:color w:val="222222"/>
          <w:szCs w:val="24"/>
        </w:rPr>
        <w:t>ttrium aluminium monoclinic Y</w:t>
      </w:r>
      <w:r w:rsidRPr="00EF76D7">
        <w:rPr>
          <w:rFonts w:cs="Times New Roman"/>
          <w:color w:val="222222"/>
          <w:szCs w:val="24"/>
          <w:vertAlign w:val="subscript"/>
        </w:rPr>
        <w:t>4</w:t>
      </w:r>
      <w:r w:rsidRPr="00EF76D7">
        <w:rPr>
          <w:rFonts w:cs="Times New Roman"/>
          <w:color w:val="222222"/>
          <w:szCs w:val="24"/>
        </w:rPr>
        <w:t>Al</w:t>
      </w:r>
      <w:r w:rsidRPr="00EF76D7">
        <w:rPr>
          <w:rFonts w:cs="Times New Roman"/>
          <w:color w:val="222222"/>
          <w:szCs w:val="24"/>
          <w:vertAlign w:val="subscript"/>
        </w:rPr>
        <w:t>2</w:t>
      </w:r>
      <w:r w:rsidRPr="00EF76D7">
        <w:rPr>
          <w:rFonts w:cs="Times New Roman"/>
          <w:color w:val="222222"/>
          <w:szCs w:val="24"/>
        </w:rPr>
        <w:t>O</w:t>
      </w:r>
      <w:r w:rsidRPr="00EF76D7">
        <w:rPr>
          <w:rFonts w:cs="Times New Roman"/>
          <w:color w:val="222222"/>
          <w:szCs w:val="24"/>
          <w:vertAlign w:val="subscript"/>
        </w:rPr>
        <w:t xml:space="preserve">9 </w:t>
      </w:r>
      <w:r w:rsidRPr="00EF76D7">
        <w:rPr>
          <w:rFonts w:cs="Times New Roman"/>
          <w:color w:val="222222"/>
          <w:szCs w:val="24"/>
        </w:rPr>
        <w:t>(YAM)</w:t>
      </w:r>
      <w:r w:rsidRPr="00EF76D7">
        <w:rPr>
          <w:rFonts w:cs="Times New Roman"/>
          <w:color w:val="222222"/>
          <w:szCs w:val="24"/>
        </w:rPr>
        <w:t xml:space="preserve">, and </w:t>
      </w:r>
      <w:r w:rsidRPr="00EF76D7">
        <w:rPr>
          <w:rFonts w:cs="Times New Roman"/>
          <w:color w:val="222222"/>
          <w:szCs w:val="24"/>
        </w:rPr>
        <w:t>YAG-YAM eutectic</w:t>
      </w:r>
      <w:r w:rsidRPr="00EF76D7">
        <w:rPr>
          <w:rFonts w:cs="Times New Roman"/>
          <w:color w:val="222222"/>
          <w:szCs w:val="24"/>
        </w:rPr>
        <w:t>.</w:t>
      </w:r>
    </w:p>
    <w:p w:rsidR="005874C7" w:rsidRPr="00EF76D7" w:rsidRDefault="005874C7" w:rsidP="00EF76D7">
      <w:pPr>
        <w:pStyle w:val="ab"/>
        <w:numPr>
          <w:ilvl w:val="0"/>
          <w:numId w:val="10"/>
        </w:numPr>
        <w:rPr>
          <w:rFonts w:cs="Times New Roman"/>
          <w:color w:val="222222"/>
          <w:szCs w:val="24"/>
        </w:rPr>
      </w:pPr>
      <w:r w:rsidRPr="00EF76D7">
        <w:rPr>
          <w:rFonts w:cs="Times New Roman"/>
          <w:color w:val="222222"/>
          <w:szCs w:val="24"/>
        </w:rPr>
        <w:t>The composites are sufficiently strong at high temperature, up to 1400</w:t>
      </w:r>
      <w:r w:rsidRPr="00EF76D7">
        <w:rPr>
          <w:rFonts w:cs="Times New Roman"/>
          <w:color w:val="222222"/>
          <w:szCs w:val="24"/>
          <w:vertAlign w:val="superscript"/>
        </w:rPr>
        <w:t>o</w:t>
      </w:r>
      <w:r w:rsidRPr="00EF76D7">
        <w:rPr>
          <w:rFonts w:cs="Times New Roman"/>
          <w:color w:val="222222"/>
          <w:szCs w:val="24"/>
        </w:rPr>
        <w:t xml:space="preserve">C. </w:t>
      </w:r>
    </w:p>
    <w:p w:rsidR="005874C7" w:rsidRPr="00EF76D7" w:rsidRDefault="005874C7" w:rsidP="00EF76D7">
      <w:pPr>
        <w:pStyle w:val="ab"/>
        <w:numPr>
          <w:ilvl w:val="0"/>
          <w:numId w:val="10"/>
        </w:numPr>
        <w:rPr>
          <w:rFonts w:cs="Times New Roman"/>
          <w:color w:val="222222"/>
          <w:szCs w:val="24"/>
        </w:rPr>
      </w:pPr>
      <w:r w:rsidRPr="00EF76D7">
        <w:rPr>
          <w:rFonts w:cs="Times New Roman"/>
          <w:color w:val="222222"/>
          <w:szCs w:val="24"/>
        </w:rPr>
        <w:t>Critical strength intensity factor measured for all the composites is reaching values 25 – 30 MPa∙</w:t>
      </w:r>
      <w:r w:rsidR="00EF76D7" w:rsidRPr="00EF76D7">
        <w:rPr>
          <w:rFonts w:cs="Times New Roman"/>
          <w:color w:val="222222"/>
          <w:szCs w:val="24"/>
        </w:rPr>
        <w:t>m</w:t>
      </w:r>
      <w:r w:rsidR="00EF76D7" w:rsidRPr="00EF76D7">
        <w:rPr>
          <w:rFonts w:cs="Times New Roman"/>
          <w:color w:val="222222"/>
          <w:szCs w:val="24"/>
          <w:vertAlign w:val="superscript"/>
        </w:rPr>
        <w:t>½</w:t>
      </w:r>
      <w:r w:rsidR="00EF76D7">
        <w:rPr>
          <w:rFonts w:cs="Times New Roman"/>
          <w:color w:val="222222"/>
          <w:szCs w:val="24"/>
        </w:rPr>
        <w:t>,</w:t>
      </w:r>
      <w:r w:rsidR="00EF76D7" w:rsidRPr="00EF76D7">
        <w:rPr>
          <w:rFonts w:cs="Times New Roman"/>
          <w:color w:val="222222"/>
          <w:szCs w:val="24"/>
        </w:rPr>
        <w:t xml:space="preserve">which is much higher than </w:t>
      </w:r>
      <w:r w:rsidR="006F2773">
        <w:rPr>
          <w:rFonts w:cs="Times New Roman"/>
          <w:color w:val="222222"/>
          <w:szCs w:val="24"/>
        </w:rPr>
        <w:t>those</w:t>
      </w:r>
      <w:r w:rsidR="00EF76D7" w:rsidRPr="00EF76D7">
        <w:rPr>
          <w:rFonts w:cs="Times New Roman"/>
          <w:color w:val="222222"/>
          <w:szCs w:val="24"/>
        </w:rPr>
        <w:t xml:space="preserve"> for high temperature molybdenum alloys </w:t>
      </w:r>
      <w:r w:rsidR="006F2773">
        <w:rPr>
          <w:rFonts w:cs="Times New Roman"/>
          <w:color w:val="222222"/>
          <w:szCs w:val="24"/>
        </w:rPr>
        <w:t xml:space="preserve">now </w:t>
      </w:r>
      <w:r w:rsidR="00EF76D7" w:rsidRPr="00EF76D7">
        <w:rPr>
          <w:rFonts w:cs="Times New Roman"/>
          <w:color w:val="222222"/>
          <w:szCs w:val="24"/>
        </w:rPr>
        <w:t>under development</w:t>
      </w:r>
      <w:r w:rsidR="00EF76D7">
        <w:rPr>
          <w:rFonts w:cs="Times New Roman"/>
          <w:color w:val="222222"/>
          <w:szCs w:val="24"/>
        </w:rPr>
        <w:t>.</w:t>
      </w:r>
    </w:p>
    <w:p w:rsidR="00EF76D7" w:rsidRDefault="00EF76D7" w:rsidP="00EF76D7">
      <w:pPr>
        <w:pStyle w:val="ab"/>
        <w:numPr>
          <w:ilvl w:val="0"/>
          <w:numId w:val="10"/>
        </w:numPr>
      </w:pPr>
      <w:r>
        <w:t>T</w:t>
      </w:r>
      <w:r>
        <w:t xml:space="preserve">he average value of notch sensitivity is about 0.7. </w:t>
      </w:r>
      <w:bookmarkStart w:id="15" w:name="_GoBack"/>
      <w:bookmarkEnd w:id="15"/>
    </w:p>
    <w:p w:rsidR="00EF76D7" w:rsidRPr="00EF76D7" w:rsidRDefault="00EF76D7" w:rsidP="00EF76D7">
      <w:pPr>
        <w:pStyle w:val="ab"/>
        <w:numPr>
          <w:ilvl w:val="0"/>
          <w:numId w:val="10"/>
        </w:numPr>
        <w:rPr>
          <w:rFonts w:cs="Times New Roman"/>
          <w:color w:val="222222"/>
          <w:szCs w:val="24"/>
        </w:rPr>
      </w:pPr>
      <w:r>
        <w:t>Obviously</w:t>
      </w:r>
      <w:r>
        <w:t>, it is possible to enhance fracture properties of the composites by using for the matrix appropriate molybdenum alloys.</w:t>
      </w:r>
      <w:r>
        <w:t xml:space="preserve"> The author’s team is </w:t>
      </w:r>
      <w:r w:rsidR="006F2773">
        <w:t xml:space="preserve">now </w:t>
      </w:r>
      <w:r>
        <w:t xml:space="preserve">working </w:t>
      </w:r>
      <w:r w:rsidR="006F2773">
        <w:t>in this direction</w:t>
      </w:r>
      <w:r>
        <w:t>.</w:t>
      </w:r>
    </w:p>
    <w:p w:rsidR="003179A7" w:rsidRPr="004463CC" w:rsidRDefault="004463CC" w:rsidP="00CE0445">
      <w:pPr>
        <w:rPr>
          <w:b/>
        </w:rPr>
      </w:pPr>
      <w:proofErr w:type="spellStart"/>
      <w:r w:rsidRPr="004463CC">
        <w:rPr>
          <w:b/>
        </w:rPr>
        <w:t>Aknowledgements</w:t>
      </w:r>
      <w:proofErr w:type="spellEnd"/>
    </w:p>
    <w:p w:rsidR="002D4D9C" w:rsidRDefault="002D4D9C" w:rsidP="006C471D">
      <w:pPr>
        <w:rPr>
          <w:noProof/>
        </w:rPr>
      </w:pPr>
      <w:r w:rsidRPr="00AC78DB">
        <w:t>The author gratefully acknowledge</w:t>
      </w:r>
      <w:r>
        <w:t>s</w:t>
      </w:r>
      <w:r w:rsidRPr="00AC78DB">
        <w:t xml:space="preserve"> the funding by </w:t>
      </w:r>
      <w:r>
        <w:t xml:space="preserve">Russian Science Foundation, Project # </w:t>
      </w:r>
      <w:r w:rsidRPr="008C4891">
        <w:t>16-19-10624</w:t>
      </w:r>
      <w:r>
        <w:t>.</w:t>
      </w:r>
      <w:r w:rsidR="00031111">
        <w:t xml:space="preserve"> Special thanks to the author’s colleagues participating actively in the fabrication and testing the composites, N. A. Prokopenko, A.A. Kolchin, </w:t>
      </w:r>
      <w:proofErr w:type="spellStart"/>
      <w:r w:rsidR="00031111">
        <w:t>A.Ya</w:t>
      </w:r>
      <w:proofErr w:type="spellEnd"/>
      <w:r w:rsidR="00031111">
        <w:t xml:space="preserve">. </w:t>
      </w:r>
      <w:proofErr w:type="gramStart"/>
      <w:r w:rsidR="00031111">
        <w:t xml:space="preserve">Mizkevich, V.A. </w:t>
      </w:r>
      <w:proofErr w:type="spellStart"/>
      <w:r w:rsidR="00031111">
        <w:t>Chumichev</w:t>
      </w:r>
      <w:proofErr w:type="spellEnd"/>
      <w:r w:rsidR="00031111">
        <w:t xml:space="preserve">, and S.A. </w:t>
      </w:r>
      <w:proofErr w:type="spellStart"/>
      <w:r w:rsidR="00031111">
        <w:t>Abashkin</w:t>
      </w:r>
      <w:proofErr w:type="spellEnd"/>
      <w:r w:rsidR="00031111">
        <w:t>.</w:t>
      </w:r>
      <w:proofErr w:type="gramEnd"/>
    </w:p>
    <w:sectPr w:rsidR="002D4D9C">
      <w:endnotePr>
        <w:numFmt w:val="decimal"/>
      </w:end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2E4" w:rsidRDefault="000242E4" w:rsidP="00C50E2A">
      <w:r>
        <w:separator/>
      </w:r>
    </w:p>
  </w:endnote>
  <w:endnote w:type="continuationSeparator" w:id="0">
    <w:p w:rsidR="000242E4" w:rsidRDefault="000242E4" w:rsidP="00C50E2A">
      <w:r>
        <w:continuationSeparator/>
      </w:r>
    </w:p>
  </w:endnote>
  <w:endnote w:id="1">
    <w:p w:rsidR="00C6266C" w:rsidRPr="00D8246D" w:rsidRDefault="00C6266C" w:rsidP="00D8246D">
      <w:pPr>
        <w:autoSpaceDE w:val="0"/>
        <w:autoSpaceDN w:val="0"/>
        <w:adjustRightInd w:val="0"/>
        <w:ind w:firstLine="0"/>
        <w:contextualSpacing w:val="0"/>
        <w:jc w:val="left"/>
        <w:rPr>
          <w:rFonts w:cs="Times New Roman"/>
          <w:szCs w:val="24"/>
        </w:rPr>
      </w:pPr>
      <w:r w:rsidRPr="00D8246D">
        <w:rPr>
          <w:rStyle w:val="a4"/>
          <w:rFonts w:cs="Times New Roman"/>
          <w:sz w:val="24"/>
          <w:szCs w:val="24"/>
        </w:rPr>
        <w:endnoteRef/>
      </w:r>
      <w:r w:rsidRPr="00D8246D">
        <w:rPr>
          <w:rFonts w:cs="Times New Roman"/>
          <w:szCs w:val="24"/>
        </w:rPr>
        <w:t xml:space="preserve"> R. Tanaka at al., </w:t>
      </w:r>
      <w:r w:rsidRPr="00D8246D">
        <w:rPr>
          <w:rFonts w:cs="Times New Roman"/>
          <w:bCs/>
          <w:szCs w:val="24"/>
        </w:rPr>
        <w:t xml:space="preserve">Research and development of niobium-based superalloys for hot components of gas turbines, In </w:t>
      </w:r>
      <w:r w:rsidRPr="00D8246D">
        <w:rPr>
          <w:rFonts w:cs="Times New Roman"/>
          <w:i/>
          <w:szCs w:val="24"/>
        </w:rPr>
        <w:t>Proceedings of the International Gas Turbine Congress</w:t>
      </w:r>
      <w:r w:rsidRPr="00D8246D">
        <w:rPr>
          <w:rFonts w:cs="Times New Roman"/>
          <w:szCs w:val="24"/>
        </w:rPr>
        <w:t xml:space="preserve">  2003, Tokyo</w:t>
      </w:r>
    </w:p>
  </w:endnote>
  <w:endnote w:id="2">
    <w:p w:rsidR="00C6266C" w:rsidRPr="00D8246D" w:rsidRDefault="00C6266C" w:rsidP="00D8246D">
      <w:pPr>
        <w:pStyle w:val="a7"/>
        <w:ind w:firstLine="0"/>
        <w:jc w:val="left"/>
        <w:rPr>
          <w:rFonts w:cs="Times New Roman"/>
          <w:sz w:val="24"/>
          <w:szCs w:val="24"/>
        </w:rPr>
      </w:pPr>
      <w:r w:rsidRPr="00D8246D">
        <w:rPr>
          <w:rStyle w:val="a4"/>
          <w:rFonts w:cs="Times New Roman"/>
          <w:sz w:val="24"/>
          <w:szCs w:val="24"/>
        </w:rPr>
        <w:endnoteRef/>
      </w:r>
      <w:r w:rsidRPr="00D8246D">
        <w:rPr>
          <w:rFonts w:cs="Times New Roman"/>
          <w:sz w:val="24"/>
          <w:szCs w:val="24"/>
        </w:rPr>
        <w:t xml:space="preserve"> </w:t>
      </w:r>
      <w:r w:rsidR="00D8246D" w:rsidRPr="00D8246D">
        <w:rPr>
          <w:rFonts w:cs="Times New Roman"/>
          <w:sz w:val="24"/>
          <w:szCs w:val="24"/>
        </w:rPr>
        <w:t xml:space="preserve">J.A. </w:t>
      </w:r>
      <w:proofErr w:type="spellStart"/>
      <w:r w:rsidRPr="00D8246D">
        <w:rPr>
          <w:rFonts w:cs="Times New Roman"/>
          <w:sz w:val="24"/>
          <w:szCs w:val="24"/>
          <w:lang w:val="en-GB"/>
        </w:rPr>
        <w:t>Lemberg</w:t>
      </w:r>
      <w:proofErr w:type="spellEnd"/>
      <w:r w:rsidRPr="00D8246D">
        <w:rPr>
          <w:rFonts w:cs="Times New Roman"/>
          <w:sz w:val="24"/>
          <w:szCs w:val="24"/>
          <w:lang w:val="en-GB"/>
        </w:rPr>
        <w:t xml:space="preserve"> et al., </w:t>
      </w:r>
      <w:proofErr w:type="spellStart"/>
      <w:r w:rsidRPr="00D8246D">
        <w:rPr>
          <w:rFonts w:cs="Times New Roman"/>
          <w:i/>
          <w:sz w:val="24"/>
          <w:szCs w:val="24"/>
          <w:lang w:val="en-GB"/>
        </w:rPr>
        <w:t>Intermetallics</w:t>
      </w:r>
      <w:proofErr w:type="spellEnd"/>
      <w:r w:rsidRPr="00D8246D">
        <w:rPr>
          <w:rFonts w:cs="Times New Roman"/>
          <w:sz w:val="24"/>
          <w:szCs w:val="24"/>
          <w:lang w:val="en-GB"/>
        </w:rPr>
        <w:t xml:space="preserve">, </w:t>
      </w:r>
      <w:r w:rsidRPr="00D8246D">
        <w:rPr>
          <w:rFonts w:cs="Times New Roman"/>
          <w:b/>
          <w:sz w:val="24"/>
          <w:szCs w:val="24"/>
          <w:lang w:val="en-GB"/>
        </w:rPr>
        <w:t>20</w:t>
      </w:r>
      <w:r w:rsidRPr="00D8246D">
        <w:rPr>
          <w:rFonts w:cs="Times New Roman"/>
          <w:sz w:val="24"/>
          <w:szCs w:val="24"/>
          <w:lang w:val="en-GB"/>
        </w:rPr>
        <w:t xml:space="preserve"> </w:t>
      </w:r>
      <w:r w:rsidR="00D8246D">
        <w:rPr>
          <w:rFonts w:cs="Times New Roman"/>
          <w:sz w:val="24"/>
          <w:szCs w:val="24"/>
          <w:lang w:val="en-GB"/>
        </w:rPr>
        <w:t>(</w:t>
      </w:r>
      <w:r w:rsidRPr="00D8246D">
        <w:rPr>
          <w:rFonts w:cs="Times New Roman"/>
          <w:sz w:val="24"/>
          <w:szCs w:val="24"/>
          <w:lang w:val="en-GB"/>
        </w:rPr>
        <w:t>2012</w:t>
      </w:r>
      <w:r w:rsidR="00D8246D">
        <w:rPr>
          <w:rFonts w:cs="Times New Roman"/>
          <w:sz w:val="24"/>
          <w:szCs w:val="24"/>
          <w:lang w:val="en-GB"/>
        </w:rPr>
        <w:t>)</w:t>
      </w:r>
      <w:r w:rsidRPr="00D8246D">
        <w:rPr>
          <w:rFonts w:cs="Times New Roman"/>
          <w:sz w:val="24"/>
          <w:szCs w:val="24"/>
          <w:lang w:val="en-GB"/>
        </w:rPr>
        <w:t xml:space="preserve"> 141-154</w:t>
      </w:r>
      <w:r w:rsidR="00D8246D">
        <w:rPr>
          <w:rFonts w:cs="Times New Roman"/>
          <w:sz w:val="24"/>
          <w:szCs w:val="24"/>
          <w:lang w:val="en-GB"/>
        </w:rPr>
        <w:t>.</w:t>
      </w:r>
    </w:p>
  </w:endnote>
  <w:endnote w:id="3">
    <w:p w:rsidR="00C6266C" w:rsidRPr="00D8246D" w:rsidRDefault="00C6266C" w:rsidP="00D8246D">
      <w:pPr>
        <w:pStyle w:val="a7"/>
        <w:ind w:firstLine="0"/>
        <w:jc w:val="left"/>
        <w:rPr>
          <w:rFonts w:cs="Times New Roman"/>
          <w:sz w:val="24"/>
          <w:szCs w:val="24"/>
        </w:rPr>
      </w:pPr>
      <w:r w:rsidRPr="00D8246D">
        <w:rPr>
          <w:rStyle w:val="a4"/>
          <w:rFonts w:cs="Times New Roman"/>
          <w:sz w:val="24"/>
          <w:szCs w:val="24"/>
        </w:rPr>
        <w:endnoteRef/>
      </w:r>
      <w:r w:rsidRPr="00D8246D">
        <w:rPr>
          <w:rFonts w:cs="Times New Roman"/>
          <w:sz w:val="24"/>
          <w:szCs w:val="24"/>
        </w:rPr>
        <w:t xml:space="preserve"> M. </w:t>
      </w:r>
      <w:proofErr w:type="spellStart"/>
      <w:r w:rsidRPr="00D8246D">
        <w:rPr>
          <w:rFonts w:cs="Times New Roman"/>
          <w:sz w:val="24"/>
          <w:szCs w:val="24"/>
        </w:rPr>
        <w:t>Krüger</w:t>
      </w:r>
      <w:proofErr w:type="spellEnd"/>
      <w:r w:rsidRPr="00D8246D">
        <w:rPr>
          <w:rFonts w:cs="Times New Roman"/>
          <w:sz w:val="24"/>
          <w:szCs w:val="24"/>
        </w:rPr>
        <w:t xml:space="preserve"> et al., </w:t>
      </w:r>
      <w:proofErr w:type="spellStart"/>
      <w:r w:rsidRPr="00D8246D">
        <w:rPr>
          <w:rFonts w:cs="Times New Roman"/>
          <w:i/>
          <w:iCs/>
          <w:sz w:val="24"/>
          <w:szCs w:val="24"/>
        </w:rPr>
        <w:t>Intermetallics</w:t>
      </w:r>
      <w:proofErr w:type="spellEnd"/>
      <w:r w:rsidRPr="00D8246D">
        <w:rPr>
          <w:rFonts w:cs="Times New Roman"/>
          <w:sz w:val="24"/>
          <w:szCs w:val="24"/>
        </w:rPr>
        <w:t xml:space="preserve"> </w:t>
      </w:r>
      <w:r w:rsidRPr="00D8246D">
        <w:rPr>
          <w:rFonts w:cs="Times New Roman"/>
          <w:b/>
          <w:bCs/>
          <w:sz w:val="24"/>
          <w:szCs w:val="24"/>
        </w:rPr>
        <w:t>48</w:t>
      </w:r>
      <w:r w:rsidRPr="00D8246D">
        <w:rPr>
          <w:rFonts w:cs="Times New Roman"/>
          <w:sz w:val="24"/>
          <w:szCs w:val="24"/>
        </w:rPr>
        <w:t xml:space="preserve"> (2014) 10-18</w:t>
      </w:r>
      <w:r w:rsidR="00D8246D">
        <w:rPr>
          <w:rFonts w:cs="Times New Roman"/>
          <w:sz w:val="24"/>
          <w:szCs w:val="24"/>
        </w:rPr>
        <w:t>.</w:t>
      </w:r>
    </w:p>
  </w:endnote>
  <w:endnote w:id="4">
    <w:p w:rsidR="00C6266C" w:rsidRPr="00D8246D" w:rsidRDefault="00C6266C" w:rsidP="00D8246D">
      <w:pPr>
        <w:pStyle w:val="a7"/>
        <w:ind w:firstLine="0"/>
        <w:jc w:val="left"/>
        <w:rPr>
          <w:rFonts w:cs="Times New Roman"/>
          <w:sz w:val="24"/>
          <w:szCs w:val="24"/>
        </w:rPr>
      </w:pPr>
      <w:r w:rsidRPr="00D8246D">
        <w:rPr>
          <w:rStyle w:val="a4"/>
          <w:rFonts w:cs="Times New Roman"/>
          <w:sz w:val="24"/>
          <w:szCs w:val="24"/>
        </w:rPr>
        <w:endnoteRef/>
      </w:r>
      <w:r w:rsidRPr="00D8246D">
        <w:rPr>
          <w:rFonts w:cs="Times New Roman"/>
          <w:sz w:val="24"/>
          <w:szCs w:val="24"/>
        </w:rPr>
        <w:t xml:space="preserve"> </w:t>
      </w:r>
      <w:proofErr w:type="gramStart"/>
      <w:r w:rsidRPr="00D8246D">
        <w:rPr>
          <w:rFonts w:cs="Times New Roman"/>
          <w:sz w:val="24"/>
          <w:szCs w:val="24"/>
          <w:lang w:val="en-GB"/>
        </w:rPr>
        <w:t xml:space="preserve">S.T. Mileiko, </w:t>
      </w:r>
      <w:r w:rsidRPr="00D8246D">
        <w:rPr>
          <w:rFonts w:cs="Times New Roman"/>
          <w:i/>
          <w:sz w:val="24"/>
          <w:szCs w:val="24"/>
          <w:lang w:val="en-GB"/>
        </w:rPr>
        <w:t>Metal and Ceramic Based Composites</w:t>
      </w:r>
      <w:r w:rsidRPr="00D8246D">
        <w:rPr>
          <w:rFonts w:cs="Times New Roman"/>
          <w:sz w:val="24"/>
          <w:szCs w:val="24"/>
          <w:lang w:val="en-GB"/>
        </w:rPr>
        <w:t>, Elsevier, Amsterdam, 1997</w:t>
      </w:r>
      <w:r w:rsidR="00D8246D">
        <w:rPr>
          <w:rFonts w:cs="Times New Roman"/>
          <w:sz w:val="24"/>
          <w:szCs w:val="24"/>
          <w:lang w:val="en-GB"/>
        </w:rPr>
        <w:t>.</w:t>
      </w:r>
      <w:proofErr w:type="gramEnd"/>
    </w:p>
  </w:endnote>
  <w:endnote w:id="5">
    <w:p w:rsidR="00C6266C" w:rsidRPr="00D8246D" w:rsidRDefault="00C6266C" w:rsidP="00D8246D">
      <w:pPr>
        <w:pStyle w:val="Default"/>
        <w:rPr>
          <w:rFonts w:ascii="Times New Roman" w:hAnsi="Times New Roman" w:cs="Times New Roman"/>
          <w:color w:val="auto"/>
        </w:rPr>
      </w:pPr>
      <w:r w:rsidRPr="00D8246D">
        <w:rPr>
          <w:rStyle w:val="a4"/>
          <w:rFonts w:cs="Times New Roman"/>
          <w:color w:val="auto"/>
          <w:sz w:val="24"/>
        </w:rPr>
        <w:endnoteRef/>
      </w:r>
      <w:r w:rsidRPr="00D8246D">
        <w:rPr>
          <w:rFonts w:ascii="Times New Roman" w:hAnsi="Times New Roman" w:cs="Times New Roman"/>
          <w:color w:val="auto"/>
        </w:rPr>
        <w:t xml:space="preserve"> R.O. Ritchie, </w:t>
      </w:r>
      <w:r w:rsidRPr="00D8246D">
        <w:rPr>
          <w:rStyle w:val="A00"/>
          <w:rFonts w:ascii="Times New Roman" w:hAnsi="Times New Roman" w:cs="Times New Roman"/>
          <w:i/>
          <w:color w:val="auto"/>
          <w:sz w:val="24"/>
          <w:szCs w:val="24"/>
        </w:rPr>
        <w:t>Nature Materials</w:t>
      </w:r>
      <w:proofErr w:type="gramStart"/>
      <w:r w:rsidRPr="00D8246D">
        <w:rPr>
          <w:rStyle w:val="A00"/>
          <w:rFonts w:ascii="Times New Roman" w:hAnsi="Times New Roman" w:cs="Times New Roman"/>
          <w:color w:val="auto"/>
          <w:sz w:val="24"/>
          <w:szCs w:val="24"/>
        </w:rPr>
        <w:t>,</w:t>
      </w:r>
      <w:r w:rsidRPr="00D8246D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t>10</w:t>
      </w:r>
      <w:proofErr w:type="gramEnd"/>
      <w:r w:rsidRPr="00D8246D">
        <w:rPr>
          <w:rStyle w:val="A00"/>
          <w:rFonts w:ascii="Times New Roman" w:hAnsi="Times New Roman" w:cs="Times New Roman"/>
          <w:color w:val="auto"/>
          <w:sz w:val="24"/>
          <w:szCs w:val="24"/>
        </w:rPr>
        <w:t xml:space="preserve"> (2011) 811-822.</w:t>
      </w:r>
    </w:p>
  </w:endnote>
  <w:endnote w:id="6">
    <w:p w:rsidR="00C6266C" w:rsidRPr="00D8246D" w:rsidRDefault="00C6266C" w:rsidP="00D8246D">
      <w:pPr>
        <w:pStyle w:val="a7"/>
        <w:ind w:firstLine="0"/>
        <w:jc w:val="left"/>
        <w:rPr>
          <w:rFonts w:cs="Times New Roman"/>
          <w:sz w:val="24"/>
          <w:szCs w:val="24"/>
        </w:rPr>
      </w:pPr>
      <w:r w:rsidRPr="00D8246D">
        <w:rPr>
          <w:rStyle w:val="a4"/>
          <w:rFonts w:cs="Times New Roman"/>
          <w:sz w:val="24"/>
          <w:szCs w:val="24"/>
        </w:rPr>
        <w:endnoteRef/>
      </w:r>
      <w:r w:rsidRPr="00D8246D">
        <w:rPr>
          <w:rFonts w:cs="Times New Roman"/>
          <w:sz w:val="24"/>
          <w:szCs w:val="24"/>
        </w:rPr>
        <w:t xml:space="preserve"> S.T. Mileiko, </w:t>
      </w:r>
      <w:r w:rsidRPr="00D8246D">
        <w:rPr>
          <w:rFonts w:cs="Times New Roman"/>
          <w:i/>
          <w:sz w:val="24"/>
          <w:szCs w:val="24"/>
        </w:rPr>
        <w:t>Composites Part B</w:t>
      </w:r>
      <w:r w:rsidRPr="00D8246D">
        <w:rPr>
          <w:rFonts w:cs="Times New Roman"/>
          <w:sz w:val="24"/>
          <w:szCs w:val="24"/>
        </w:rPr>
        <w:t xml:space="preserve"> </w:t>
      </w:r>
      <w:r w:rsidRPr="00D8246D">
        <w:rPr>
          <w:rFonts w:cs="Times New Roman"/>
          <w:b/>
          <w:sz w:val="24"/>
          <w:szCs w:val="24"/>
        </w:rPr>
        <w:t>116</w:t>
      </w:r>
      <w:r w:rsidRPr="00D8246D">
        <w:rPr>
          <w:rFonts w:cs="Times New Roman"/>
          <w:sz w:val="24"/>
          <w:szCs w:val="24"/>
        </w:rPr>
        <w:t xml:space="preserve"> (2017) 1-6</w:t>
      </w:r>
      <w:r w:rsidR="00D8246D">
        <w:rPr>
          <w:rFonts w:cs="Times New Roman"/>
          <w:sz w:val="24"/>
          <w:szCs w:val="24"/>
        </w:rPr>
        <w:t>.</w:t>
      </w:r>
    </w:p>
  </w:endnote>
  <w:endnote w:id="7">
    <w:p w:rsidR="00C6266C" w:rsidRPr="00D8246D" w:rsidRDefault="00C6266C" w:rsidP="00D8246D">
      <w:pPr>
        <w:pStyle w:val="a7"/>
        <w:ind w:firstLine="0"/>
        <w:jc w:val="left"/>
        <w:rPr>
          <w:rFonts w:cs="Times New Roman"/>
          <w:sz w:val="24"/>
          <w:szCs w:val="24"/>
        </w:rPr>
      </w:pPr>
      <w:r w:rsidRPr="00D8246D">
        <w:rPr>
          <w:rStyle w:val="a4"/>
          <w:rFonts w:cs="Times New Roman"/>
          <w:sz w:val="24"/>
          <w:szCs w:val="24"/>
        </w:rPr>
        <w:endnoteRef/>
      </w:r>
      <w:r w:rsidRPr="00D8246D">
        <w:rPr>
          <w:rFonts w:cs="Times New Roman"/>
          <w:sz w:val="24"/>
          <w:szCs w:val="24"/>
        </w:rPr>
        <w:t xml:space="preserve"> </w:t>
      </w:r>
      <w:r w:rsidR="00D8246D" w:rsidRPr="00D8246D">
        <w:rPr>
          <w:rFonts w:cs="Times New Roman"/>
          <w:sz w:val="24"/>
          <w:szCs w:val="24"/>
        </w:rPr>
        <w:t xml:space="preserve">S.T. </w:t>
      </w:r>
      <w:r w:rsidRPr="00D8246D">
        <w:rPr>
          <w:rFonts w:cs="Times New Roman"/>
          <w:sz w:val="24"/>
          <w:szCs w:val="24"/>
        </w:rPr>
        <w:t xml:space="preserve">Mileiko, </w:t>
      </w:r>
      <w:r w:rsidRPr="00D8246D">
        <w:rPr>
          <w:rFonts w:cs="Times New Roman"/>
          <w:i/>
          <w:sz w:val="24"/>
          <w:szCs w:val="24"/>
        </w:rPr>
        <w:t>Composites and Nanostructures</w:t>
      </w:r>
      <w:r w:rsidRPr="00D8246D">
        <w:rPr>
          <w:rFonts w:cs="Times New Roman"/>
          <w:sz w:val="24"/>
          <w:szCs w:val="24"/>
        </w:rPr>
        <w:t xml:space="preserve">, 2015, </w:t>
      </w:r>
      <w:r w:rsidRPr="00D8246D">
        <w:rPr>
          <w:rFonts w:cs="Times New Roman"/>
          <w:b/>
          <w:sz w:val="24"/>
          <w:szCs w:val="24"/>
        </w:rPr>
        <w:t>7</w:t>
      </w:r>
      <w:r w:rsidRPr="00D8246D">
        <w:rPr>
          <w:rFonts w:cs="Times New Roman"/>
          <w:sz w:val="24"/>
          <w:szCs w:val="24"/>
        </w:rPr>
        <w:t>, 191-206 (in Russian)</w:t>
      </w:r>
    </w:p>
  </w:endnote>
  <w:endnote w:id="8">
    <w:p w:rsidR="00C6266C" w:rsidRPr="00D8246D" w:rsidRDefault="00C6266C" w:rsidP="00D8246D">
      <w:pPr>
        <w:pStyle w:val="a7"/>
        <w:ind w:firstLine="0"/>
        <w:jc w:val="left"/>
        <w:rPr>
          <w:rFonts w:cs="Times New Roman"/>
          <w:sz w:val="24"/>
          <w:szCs w:val="24"/>
        </w:rPr>
      </w:pPr>
      <w:r w:rsidRPr="00D8246D">
        <w:rPr>
          <w:rStyle w:val="a4"/>
          <w:rFonts w:cs="Times New Roman"/>
          <w:sz w:val="24"/>
          <w:szCs w:val="24"/>
        </w:rPr>
        <w:endnoteRef/>
      </w:r>
      <w:r w:rsidRPr="00D8246D">
        <w:rPr>
          <w:rFonts w:cs="Times New Roman"/>
          <w:sz w:val="24"/>
          <w:szCs w:val="24"/>
        </w:rPr>
        <w:t xml:space="preserve"> </w:t>
      </w:r>
      <w:proofErr w:type="gramStart"/>
      <w:r w:rsidRPr="00D8246D">
        <w:rPr>
          <w:rFonts w:cs="Times New Roman"/>
          <w:iCs/>
          <w:sz w:val="24"/>
          <w:szCs w:val="24"/>
          <w:lang w:val="en-GB"/>
        </w:rPr>
        <w:t xml:space="preserve">S.T. Mileiko and N.I. Novokhatskaya, </w:t>
      </w:r>
      <w:r w:rsidRPr="00D8246D">
        <w:rPr>
          <w:rFonts w:cs="Times New Roman"/>
          <w:bCs/>
          <w:i/>
          <w:sz w:val="24"/>
          <w:szCs w:val="24"/>
          <w:lang w:val="en-GB"/>
        </w:rPr>
        <w:t>Composites and Nanostructures</w:t>
      </w:r>
      <w:r w:rsidRPr="00D8246D">
        <w:rPr>
          <w:rFonts w:cs="Times New Roman"/>
          <w:bCs/>
          <w:sz w:val="24"/>
          <w:szCs w:val="24"/>
          <w:lang w:val="en-GB"/>
        </w:rPr>
        <w:t>, 2012, # 4, 5-14 (in Russian)</w:t>
      </w:r>
      <w:r w:rsidR="00D8246D">
        <w:rPr>
          <w:rFonts w:cs="Times New Roman"/>
          <w:bCs/>
          <w:sz w:val="24"/>
          <w:szCs w:val="24"/>
          <w:lang w:val="en-GB"/>
        </w:rPr>
        <w:t>.</w:t>
      </w:r>
      <w:proofErr w:type="gramEnd"/>
    </w:p>
  </w:endnote>
  <w:endnote w:id="9">
    <w:p w:rsidR="00C6266C" w:rsidRPr="00D8246D" w:rsidRDefault="00C6266C" w:rsidP="00D8246D">
      <w:pPr>
        <w:pStyle w:val="a7"/>
        <w:ind w:firstLine="0"/>
        <w:jc w:val="left"/>
        <w:rPr>
          <w:rFonts w:cs="Times New Roman"/>
          <w:sz w:val="24"/>
          <w:szCs w:val="24"/>
        </w:rPr>
      </w:pPr>
      <w:r w:rsidRPr="00D8246D">
        <w:rPr>
          <w:rStyle w:val="a4"/>
          <w:rFonts w:cs="Times New Roman"/>
          <w:sz w:val="24"/>
          <w:szCs w:val="24"/>
        </w:rPr>
        <w:endnoteRef/>
      </w:r>
      <w:r w:rsidRPr="00D8246D">
        <w:rPr>
          <w:rFonts w:cs="Times New Roman"/>
          <w:sz w:val="24"/>
          <w:szCs w:val="24"/>
        </w:rPr>
        <w:t xml:space="preserve"> </w:t>
      </w:r>
      <w:r w:rsidR="00D8246D" w:rsidRPr="00D8246D">
        <w:rPr>
          <w:rFonts w:cs="Times New Roman"/>
          <w:iCs/>
          <w:sz w:val="24"/>
          <w:szCs w:val="24"/>
          <w:lang w:val="en-GB"/>
        </w:rPr>
        <w:t>S.T. Mileiko and N.I. Novokhatskaya</w:t>
      </w:r>
      <w:r w:rsidRPr="00D8246D">
        <w:rPr>
          <w:rFonts w:cs="Times New Roman"/>
          <w:sz w:val="24"/>
          <w:szCs w:val="24"/>
          <w:lang w:val="en-GB"/>
        </w:rPr>
        <w:t>,</w:t>
      </w:r>
      <w:r w:rsidRPr="00D8246D">
        <w:rPr>
          <w:rFonts w:cs="Times New Roman"/>
          <w:sz w:val="24"/>
          <w:szCs w:val="24"/>
        </w:rPr>
        <w:t xml:space="preserve"> </w:t>
      </w:r>
      <w:hyperlink r:id="rId1" w:history="1">
        <w:r w:rsidRPr="00D8246D">
          <w:rPr>
            <w:rStyle w:val="a9"/>
            <w:rFonts w:cs="Times New Roman"/>
            <w:color w:val="auto"/>
            <w:sz w:val="24"/>
            <w:szCs w:val="24"/>
            <w:u w:val="none"/>
            <w:lang w:val="en-GB"/>
          </w:rPr>
          <w:t xml:space="preserve"> </w:t>
        </w:r>
      </w:hyperlink>
      <w:r w:rsidRPr="00D8246D">
        <w:rPr>
          <w:rFonts w:cs="Times New Roman"/>
          <w:i/>
          <w:sz w:val="24"/>
          <w:szCs w:val="24"/>
          <w:lang w:val="en-GB"/>
        </w:rPr>
        <w:t>J. Mater. Eng. Perform.</w:t>
      </w:r>
      <w:r w:rsidRPr="00D8246D">
        <w:rPr>
          <w:rFonts w:cs="Times New Roman"/>
          <w:sz w:val="24"/>
          <w:szCs w:val="24"/>
          <w:lang w:val="en-GB"/>
        </w:rPr>
        <w:t xml:space="preserve">  </w:t>
      </w:r>
      <w:proofErr w:type="gramStart"/>
      <w:r w:rsidRPr="00D8246D">
        <w:rPr>
          <w:rStyle w:val="databold"/>
          <w:rFonts w:cs="Times New Roman"/>
          <w:b/>
          <w:sz w:val="24"/>
          <w:szCs w:val="24"/>
          <w:lang w:val="en-GB"/>
        </w:rPr>
        <w:t>24</w:t>
      </w:r>
      <w:r w:rsidRPr="00D8246D">
        <w:rPr>
          <w:rFonts w:cs="Times New Roman"/>
          <w:sz w:val="24"/>
          <w:szCs w:val="24"/>
          <w:lang w:val="en-GB"/>
        </w:rPr>
        <w:t xml:space="preserve">  (</w:t>
      </w:r>
      <w:proofErr w:type="gramEnd"/>
      <w:r w:rsidRPr="00D8246D">
        <w:rPr>
          <w:rFonts w:cs="Times New Roman"/>
          <w:sz w:val="24"/>
          <w:szCs w:val="24"/>
          <w:lang w:val="en-GB"/>
        </w:rPr>
        <w:t xml:space="preserve">2015)  </w:t>
      </w:r>
      <w:r w:rsidRPr="00D8246D">
        <w:rPr>
          <w:rStyle w:val="databold"/>
          <w:rFonts w:cs="Times New Roman"/>
          <w:sz w:val="24"/>
          <w:szCs w:val="24"/>
          <w:lang w:val="en-GB"/>
        </w:rPr>
        <w:t>2836-2840</w:t>
      </w:r>
      <w:r w:rsidR="00D8246D">
        <w:rPr>
          <w:rStyle w:val="databold"/>
          <w:rFonts w:cs="Times New Roman"/>
          <w:sz w:val="24"/>
          <w:szCs w:val="24"/>
          <w:lang w:val="en-GB"/>
        </w:rPr>
        <w:t>.</w:t>
      </w:r>
    </w:p>
  </w:endnote>
  <w:endnote w:id="10">
    <w:p w:rsidR="00C6266C" w:rsidRPr="00D8246D" w:rsidRDefault="00C6266C" w:rsidP="00D8246D">
      <w:pPr>
        <w:pStyle w:val="a7"/>
        <w:ind w:firstLine="0"/>
        <w:rPr>
          <w:sz w:val="24"/>
          <w:szCs w:val="24"/>
        </w:rPr>
      </w:pPr>
      <w:r w:rsidRPr="00D8246D">
        <w:rPr>
          <w:rStyle w:val="a4"/>
          <w:sz w:val="24"/>
          <w:szCs w:val="24"/>
        </w:rPr>
        <w:endnoteRef/>
      </w:r>
      <w:r w:rsidRPr="00D8246D">
        <w:rPr>
          <w:sz w:val="24"/>
          <w:szCs w:val="24"/>
        </w:rPr>
        <w:t xml:space="preserve"> </w:t>
      </w:r>
      <w:r w:rsidR="00D8246D" w:rsidRPr="00D8246D">
        <w:rPr>
          <w:sz w:val="24"/>
          <w:szCs w:val="24"/>
        </w:rPr>
        <w:t xml:space="preserve">S.T. </w:t>
      </w:r>
      <w:r w:rsidRPr="00D8246D">
        <w:rPr>
          <w:sz w:val="24"/>
          <w:szCs w:val="24"/>
        </w:rPr>
        <w:t xml:space="preserve">Mileiko ST, </w:t>
      </w:r>
      <w:r w:rsidRPr="00D8246D">
        <w:rPr>
          <w:i/>
          <w:sz w:val="24"/>
          <w:szCs w:val="24"/>
        </w:rPr>
        <w:t>Composites and Nanostructures</w:t>
      </w:r>
      <w:r w:rsidR="00D8246D">
        <w:rPr>
          <w:sz w:val="24"/>
          <w:szCs w:val="24"/>
        </w:rPr>
        <w:t>,</w:t>
      </w:r>
      <w:r w:rsidRPr="00D8246D">
        <w:rPr>
          <w:sz w:val="24"/>
          <w:szCs w:val="24"/>
        </w:rPr>
        <w:t xml:space="preserve"> 2009</w:t>
      </w:r>
      <w:r w:rsidR="00D8246D">
        <w:rPr>
          <w:sz w:val="24"/>
          <w:szCs w:val="24"/>
        </w:rPr>
        <w:t>, #1</w:t>
      </w:r>
      <w:proofErr w:type="gramStart"/>
      <w:r w:rsidR="00D8246D">
        <w:rPr>
          <w:sz w:val="24"/>
          <w:szCs w:val="24"/>
        </w:rPr>
        <w:t>,</w:t>
      </w:r>
      <w:r w:rsidRPr="00D8246D">
        <w:rPr>
          <w:sz w:val="24"/>
          <w:szCs w:val="24"/>
        </w:rPr>
        <w:t>6</w:t>
      </w:r>
      <w:proofErr w:type="gramEnd"/>
      <w:r w:rsidRPr="00D8246D">
        <w:rPr>
          <w:sz w:val="24"/>
          <w:szCs w:val="24"/>
        </w:rPr>
        <w:t>-37 (in Russian)</w:t>
      </w:r>
      <w:r w:rsidR="00D8246D">
        <w:rPr>
          <w:sz w:val="24"/>
          <w:szCs w:val="24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hitney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2E4" w:rsidRDefault="000242E4" w:rsidP="00C50E2A">
      <w:r>
        <w:separator/>
      </w:r>
    </w:p>
  </w:footnote>
  <w:footnote w:type="continuationSeparator" w:id="0">
    <w:p w:rsidR="000242E4" w:rsidRDefault="000242E4" w:rsidP="00C50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2C88"/>
    <w:multiLevelType w:val="multilevel"/>
    <w:tmpl w:val="5B32E116"/>
    <w:lvl w:ilvl="0">
      <w:start w:val="1"/>
      <w:numFmt w:val="decimal"/>
      <w:lvlText w:val="%1."/>
      <w:lvlJc w:val="left"/>
      <w:pPr>
        <w:ind w:left="1008" w:hanging="360"/>
      </w:pPr>
    </w:lvl>
    <w:lvl w:ilvl="1">
      <w:start w:val="1"/>
      <w:numFmt w:val="decimal"/>
      <w:isLgl/>
      <w:lvlText w:val="%1.%2."/>
      <w:lvlJc w:val="left"/>
      <w:pPr>
        <w:ind w:left="10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8" w:hanging="1800"/>
      </w:pPr>
      <w:rPr>
        <w:rFonts w:hint="default"/>
      </w:rPr>
    </w:lvl>
  </w:abstractNum>
  <w:abstractNum w:abstractNumId="1">
    <w:nsid w:val="0EE64308"/>
    <w:multiLevelType w:val="multilevel"/>
    <w:tmpl w:val="5B32E116"/>
    <w:lvl w:ilvl="0">
      <w:start w:val="1"/>
      <w:numFmt w:val="decimal"/>
      <w:lvlText w:val="%1."/>
      <w:lvlJc w:val="left"/>
      <w:pPr>
        <w:ind w:left="1008" w:hanging="360"/>
      </w:pPr>
    </w:lvl>
    <w:lvl w:ilvl="1">
      <w:start w:val="1"/>
      <w:numFmt w:val="decimal"/>
      <w:isLgl/>
      <w:lvlText w:val="%1.%2."/>
      <w:lvlJc w:val="left"/>
      <w:pPr>
        <w:ind w:left="10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8" w:hanging="1800"/>
      </w:pPr>
      <w:rPr>
        <w:rFonts w:hint="default"/>
      </w:rPr>
    </w:lvl>
  </w:abstractNum>
  <w:abstractNum w:abstractNumId="2">
    <w:nsid w:val="20E06E9A"/>
    <w:multiLevelType w:val="hybridMultilevel"/>
    <w:tmpl w:val="A9EC69BE"/>
    <w:lvl w:ilvl="0" w:tplc="9F82BF5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E076A"/>
    <w:multiLevelType w:val="multilevel"/>
    <w:tmpl w:val="5B32E116"/>
    <w:lvl w:ilvl="0">
      <w:start w:val="1"/>
      <w:numFmt w:val="decimal"/>
      <w:lvlText w:val="%1."/>
      <w:lvlJc w:val="left"/>
      <w:pPr>
        <w:ind w:left="1008" w:hanging="360"/>
      </w:pPr>
    </w:lvl>
    <w:lvl w:ilvl="1">
      <w:start w:val="1"/>
      <w:numFmt w:val="decimal"/>
      <w:isLgl/>
      <w:lvlText w:val="%1.%2."/>
      <w:lvlJc w:val="left"/>
      <w:pPr>
        <w:ind w:left="10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8" w:hanging="1800"/>
      </w:pPr>
      <w:rPr>
        <w:rFonts w:hint="default"/>
      </w:rPr>
    </w:lvl>
  </w:abstractNum>
  <w:abstractNum w:abstractNumId="4">
    <w:nsid w:val="35E60306"/>
    <w:multiLevelType w:val="hybridMultilevel"/>
    <w:tmpl w:val="3DE86C82"/>
    <w:lvl w:ilvl="0" w:tplc="F6BAFF86">
      <w:start w:val="1"/>
      <w:numFmt w:val="lowerLetter"/>
      <w:pStyle w:val="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C6ED0"/>
    <w:multiLevelType w:val="hybridMultilevel"/>
    <w:tmpl w:val="0244422C"/>
    <w:lvl w:ilvl="0" w:tplc="04090011">
      <w:start w:val="1"/>
      <w:numFmt w:val="decimal"/>
      <w:lvlText w:val="%1)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555A3411"/>
    <w:multiLevelType w:val="hybridMultilevel"/>
    <w:tmpl w:val="5A94451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775844DB"/>
    <w:multiLevelType w:val="multilevel"/>
    <w:tmpl w:val="41084914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4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41"/>
    <w:rsid w:val="000242E4"/>
    <w:rsid w:val="00031111"/>
    <w:rsid w:val="00036C83"/>
    <w:rsid w:val="00054AC3"/>
    <w:rsid w:val="000E44BC"/>
    <w:rsid w:val="00167D4D"/>
    <w:rsid w:val="001A2CEC"/>
    <w:rsid w:val="001C1150"/>
    <w:rsid w:val="001E08D6"/>
    <w:rsid w:val="001E2455"/>
    <w:rsid w:val="002201A9"/>
    <w:rsid w:val="00231371"/>
    <w:rsid w:val="00233637"/>
    <w:rsid w:val="002536E5"/>
    <w:rsid w:val="00277222"/>
    <w:rsid w:val="00286D2D"/>
    <w:rsid w:val="00290303"/>
    <w:rsid w:val="00290913"/>
    <w:rsid w:val="002D4D9C"/>
    <w:rsid w:val="003179A7"/>
    <w:rsid w:val="00343B7B"/>
    <w:rsid w:val="00344751"/>
    <w:rsid w:val="00356A23"/>
    <w:rsid w:val="004463CC"/>
    <w:rsid w:val="00483157"/>
    <w:rsid w:val="004D457C"/>
    <w:rsid w:val="004D7C4E"/>
    <w:rsid w:val="005056AD"/>
    <w:rsid w:val="005225B3"/>
    <w:rsid w:val="00563477"/>
    <w:rsid w:val="005874C7"/>
    <w:rsid w:val="005E44BB"/>
    <w:rsid w:val="006371AB"/>
    <w:rsid w:val="006C471D"/>
    <w:rsid w:val="006F2773"/>
    <w:rsid w:val="006F623A"/>
    <w:rsid w:val="00712EF2"/>
    <w:rsid w:val="00793C80"/>
    <w:rsid w:val="007F2693"/>
    <w:rsid w:val="007F32F3"/>
    <w:rsid w:val="00800C10"/>
    <w:rsid w:val="008554D3"/>
    <w:rsid w:val="00861E87"/>
    <w:rsid w:val="008752EA"/>
    <w:rsid w:val="008779DF"/>
    <w:rsid w:val="008B5EEC"/>
    <w:rsid w:val="008D45CC"/>
    <w:rsid w:val="008F3E11"/>
    <w:rsid w:val="009F03D5"/>
    <w:rsid w:val="00A513EE"/>
    <w:rsid w:val="00A52C44"/>
    <w:rsid w:val="00A571D8"/>
    <w:rsid w:val="00AB03E3"/>
    <w:rsid w:val="00AB6683"/>
    <w:rsid w:val="00AE2ABC"/>
    <w:rsid w:val="00B15B2E"/>
    <w:rsid w:val="00B2696A"/>
    <w:rsid w:val="00B30DDE"/>
    <w:rsid w:val="00B34867"/>
    <w:rsid w:val="00B444EB"/>
    <w:rsid w:val="00B639FA"/>
    <w:rsid w:val="00B95BEB"/>
    <w:rsid w:val="00BA69D6"/>
    <w:rsid w:val="00BE00FF"/>
    <w:rsid w:val="00BF365A"/>
    <w:rsid w:val="00C1290A"/>
    <w:rsid w:val="00C50E2A"/>
    <w:rsid w:val="00C5685D"/>
    <w:rsid w:val="00C6266C"/>
    <w:rsid w:val="00C8449C"/>
    <w:rsid w:val="00C9407D"/>
    <w:rsid w:val="00CB13FD"/>
    <w:rsid w:val="00CB3033"/>
    <w:rsid w:val="00CC5460"/>
    <w:rsid w:val="00CE0445"/>
    <w:rsid w:val="00D1792D"/>
    <w:rsid w:val="00D5233B"/>
    <w:rsid w:val="00D8246D"/>
    <w:rsid w:val="00D92B5F"/>
    <w:rsid w:val="00DC1A7D"/>
    <w:rsid w:val="00DE21E2"/>
    <w:rsid w:val="00DF3741"/>
    <w:rsid w:val="00EA4A7A"/>
    <w:rsid w:val="00EB6598"/>
    <w:rsid w:val="00EF76D7"/>
    <w:rsid w:val="00F13ED0"/>
    <w:rsid w:val="00F235E7"/>
    <w:rsid w:val="00F622AA"/>
    <w:rsid w:val="00FA0679"/>
    <w:rsid w:val="00FA2C1F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FD"/>
    <w:pPr>
      <w:spacing w:after="0" w:line="240" w:lineRule="auto"/>
      <w:ind w:firstLine="288"/>
      <w:contextualSpacing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056AD"/>
    <w:pPr>
      <w:keepNext/>
      <w:keepLines/>
      <w:numPr>
        <w:numId w:val="2"/>
      </w:numPr>
      <w:spacing w:before="120" w:after="6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9407D"/>
    <w:pPr>
      <w:keepNext/>
      <w:keepLines/>
      <w:numPr>
        <w:numId w:val="4"/>
      </w:numPr>
      <w:outlineLvl w:val="1"/>
    </w:pPr>
    <w:rPr>
      <w:rFonts w:eastAsiaTheme="majorEastAsia" w:cstheme="majorBidi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Quote"/>
    <w:basedOn w:val="a"/>
    <w:next w:val="a"/>
    <w:link w:val="22"/>
    <w:autoRedefine/>
    <w:uiPriority w:val="29"/>
    <w:qFormat/>
    <w:rsid w:val="001A2CEC"/>
    <w:rPr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A2CEC"/>
    <w:rPr>
      <w:rFonts w:ascii="Times New Roman" w:hAnsi="Times New Roman"/>
      <w:i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5056AD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a3">
    <w:name w:val="caption"/>
    <w:basedOn w:val="a"/>
    <w:next w:val="a"/>
    <w:autoRedefine/>
    <w:unhideWhenUsed/>
    <w:qFormat/>
    <w:rsid w:val="00D92B5F"/>
    <w:pPr>
      <w:jc w:val="center"/>
    </w:pPr>
    <w:rPr>
      <w:bCs/>
      <w:szCs w:val="18"/>
    </w:rPr>
  </w:style>
  <w:style w:type="character" w:customStyle="1" w:styleId="20">
    <w:name w:val="Заголовок 2 Знак"/>
    <w:basedOn w:val="a0"/>
    <w:link w:val="2"/>
    <w:uiPriority w:val="9"/>
    <w:rsid w:val="00C9407D"/>
    <w:rPr>
      <w:rFonts w:ascii="Times New Roman" w:eastAsiaTheme="majorEastAsia" w:hAnsi="Times New Roman" w:cstheme="majorBidi"/>
      <w:bCs/>
      <w:i/>
      <w:sz w:val="24"/>
      <w:szCs w:val="26"/>
    </w:rPr>
  </w:style>
  <w:style w:type="character" w:styleId="a4">
    <w:name w:val="endnote reference"/>
    <w:basedOn w:val="a0"/>
    <w:uiPriority w:val="99"/>
    <w:unhideWhenUsed/>
    <w:rsid w:val="00C1290A"/>
    <w:rPr>
      <w:rFonts w:ascii="Times New Roman" w:hAnsi="Times New Roman"/>
      <w:strike w:val="0"/>
      <w:dstrike w:val="0"/>
      <w:sz w:val="22"/>
      <w:vertAlign w:val="baseline"/>
    </w:rPr>
  </w:style>
  <w:style w:type="paragraph" w:styleId="a5">
    <w:name w:val="Balloon Text"/>
    <w:basedOn w:val="a"/>
    <w:link w:val="a6"/>
    <w:uiPriority w:val="99"/>
    <w:semiHidden/>
    <w:unhideWhenUsed/>
    <w:rsid w:val="00DF37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741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C50E2A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50E2A"/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286D2D"/>
    <w:pPr>
      <w:autoSpaceDE w:val="0"/>
      <w:autoSpaceDN w:val="0"/>
      <w:adjustRightInd w:val="0"/>
      <w:spacing w:after="0" w:line="240" w:lineRule="auto"/>
    </w:pPr>
    <w:rPr>
      <w:rFonts w:ascii="Whitney Semibold" w:hAnsi="Whitney Semibold" w:cs="Whitney Semibold"/>
      <w:color w:val="000000"/>
      <w:sz w:val="24"/>
      <w:szCs w:val="24"/>
    </w:rPr>
  </w:style>
  <w:style w:type="character" w:customStyle="1" w:styleId="A00">
    <w:name w:val="A0"/>
    <w:uiPriority w:val="99"/>
    <w:rsid w:val="00286D2D"/>
    <w:rPr>
      <w:rFonts w:cs="Whitney Semibold"/>
      <w:color w:val="000000"/>
      <w:sz w:val="13"/>
      <w:szCs w:val="13"/>
    </w:rPr>
  </w:style>
  <w:style w:type="character" w:styleId="a9">
    <w:name w:val="Hyperlink"/>
    <w:basedOn w:val="a0"/>
    <w:uiPriority w:val="99"/>
    <w:unhideWhenUsed/>
    <w:rsid w:val="00EA4A7A"/>
    <w:rPr>
      <w:color w:val="0000FF"/>
      <w:u w:val="single"/>
    </w:rPr>
  </w:style>
  <w:style w:type="character" w:customStyle="1" w:styleId="label">
    <w:name w:val="label"/>
    <w:basedOn w:val="a0"/>
    <w:rsid w:val="00EA4A7A"/>
  </w:style>
  <w:style w:type="character" w:customStyle="1" w:styleId="databold">
    <w:name w:val="data_bold"/>
    <w:basedOn w:val="a0"/>
    <w:rsid w:val="00EA4A7A"/>
  </w:style>
  <w:style w:type="table" w:styleId="aa">
    <w:name w:val="Table Grid"/>
    <w:basedOn w:val="a1"/>
    <w:uiPriority w:val="59"/>
    <w:rsid w:val="00233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B13FD"/>
    <w:pPr>
      <w:ind w:left="720"/>
    </w:pPr>
  </w:style>
  <w:style w:type="character" w:customStyle="1" w:styleId="gt-baf-back">
    <w:name w:val="gt-baf-back"/>
    <w:basedOn w:val="a0"/>
    <w:rsid w:val="00712EF2"/>
  </w:style>
  <w:style w:type="character" w:styleId="ac">
    <w:name w:val="Placeholder Text"/>
    <w:basedOn w:val="a0"/>
    <w:uiPriority w:val="99"/>
    <w:semiHidden/>
    <w:rsid w:val="00712E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FD"/>
    <w:pPr>
      <w:spacing w:after="0" w:line="240" w:lineRule="auto"/>
      <w:ind w:firstLine="288"/>
      <w:contextualSpacing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056AD"/>
    <w:pPr>
      <w:keepNext/>
      <w:keepLines/>
      <w:numPr>
        <w:numId w:val="2"/>
      </w:numPr>
      <w:spacing w:before="120" w:after="6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9407D"/>
    <w:pPr>
      <w:keepNext/>
      <w:keepLines/>
      <w:numPr>
        <w:numId w:val="4"/>
      </w:numPr>
      <w:outlineLvl w:val="1"/>
    </w:pPr>
    <w:rPr>
      <w:rFonts w:eastAsiaTheme="majorEastAsia" w:cstheme="majorBidi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Quote"/>
    <w:basedOn w:val="a"/>
    <w:next w:val="a"/>
    <w:link w:val="22"/>
    <w:autoRedefine/>
    <w:uiPriority w:val="29"/>
    <w:qFormat/>
    <w:rsid w:val="001A2CEC"/>
    <w:rPr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A2CEC"/>
    <w:rPr>
      <w:rFonts w:ascii="Times New Roman" w:hAnsi="Times New Roman"/>
      <w:i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5056AD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a3">
    <w:name w:val="caption"/>
    <w:basedOn w:val="a"/>
    <w:next w:val="a"/>
    <w:autoRedefine/>
    <w:unhideWhenUsed/>
    <w:qFormat/>
    <w:rsid w:val="00D92B5F"/>
    <w:pPr>
      <w:jc w:val="center"/>
    </w:pPr>
    <w:rPr>
      <w:bCs/>
      <w:szCs w:val="18"/>
    </w:rPr>
  </w:style>
  <w:style w:type="character" w:customStyle="1" w:styleId="20">
    <w:name w:val="Заголовок 2 Знак"/>
    <w:basedOn w:val="a0"/>
    <w:link w:val="2"/>
    <w:uiPriority w:val="9"/>
    <w:rsid w:val="00C9407D"/>
    <w:rPr>
      <w:rFonts w:ascii="Times New Roman" w:eastAsiaTheme="majorEastAsia" w:hAnsi="Times New Roman" w:cstheme="majorBidi"/>
      <w:bCs/>
      <w:i/>
      <w:sz w:val="24"/>
      <w:szCs w:val="26"/>
    </w:rPr>
  </w:style>
  <w:style w:type="character" w:styleId="a4">
    <w:name w:val="endnote reference"/>
    <w:basedOn w:val="a0"/>
    <w:uiPriority w:val="99"/>
    <w:unhideWhenUsed/>
    <w:rsid w:val="00C1290A"/>
    <w:rPr>
      <w:rFonts w:ascii="Times New Roman" w:hAnsi="Times New Roman"/>
      <w:strike w:val="0"/>
      <w:dstrike w:val="0"/>
      <w:sz w:val="22"/>
      <w:vertAlign w:val="baseline"/>
    </w:rPr>
  </w:style>
  <w:style w:type="paragraph" w:styleId="a5">
    <w:name w:val="Balloon Text"/>
    <w:basedOn w:val="a"/>
    <w:link w:val="a6"/>
    <w:uiPriority w:val="99"/>
    <w:semiHidden/>
    <w:unhideWhenUsed/>
    <w:rsid w:val="00DF37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741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C50E2A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50E2A"/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286D2D"/>
    <w:pPr>
      <w:autoSpaceDE w:val="0"/>
      <w:autoSpaceDN w:val="0"/>
      <w:adjustRightInd w:val="0"/>
      <w:spacing w:after="0" w:line="240" w:lineRule="auto"/>
    </w:pPr>
    <w:rPr>
      <w:rFonts w:ascii="Whitney Semibold" w:hAnsi="Whitney Semibold" w:cs="Whitney Semibold"/>
      <w:color w:val="000000"/>
      <w:sz w:val="24"/>
      <w:szCs w:val="24"/>
    </w:rPr>
  </w:style>
  <w:style w:type="character" w:customStyle="1" w:styleId="A00">
    <w:name w:val="A0"/>
    <w:uiPriority w:val="99"/>
    <w:rsid w:val="00286D2D"/>
    <w:rPr>
      <w:rFonts w:cs="Whitney Semibold"/>
      <w:color w:val="000000"/>
      <w:sz w:val="13"/>
      <w:szCs w:val="13"/>
    </w:rPr>
  </w:style>
  <w:style w:type="character" w:styleId="a9">
    <w:name w:val="Hyperlink"/>
    <w:basedOn w:val="a0"/>
    <w:uiPriority w:val="99"/>
    <w:unhideWhenUsed/>
    <w:rsid w:val="00EA4A7A"/>
    <w:rPr>
      <w:color w:val="0000FF"/>
      <w:u w:val="single"/>
    </w:rPr>
  </w:style>
  <w:style w:type="character" w:customStyle="1" w:styleId="label">
    <w:name w:val="label"/>
    <w:basedOn w:val="a0"/>
    <w:rsid w:val="00EA4A7A"/>
  </w:style>
  <w:style w:type="character" w:customStyle="1" w:styleId="databold">
    <w:name w:val="data_bold"/>
    <w:basedOn w:val="a0"/>
    <w:rsid w:val="00EA4A7A"/>
  </w:style>
  <w:style w:type="table" w:styleId="aa">
    <w:name w:val="Table Grid"/>
    <w:basedOn w:val="a1"/>
    <w:uiPriority w:val="59"/>
    <w:rsid w:val="00233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B13FD"/>
    <w:pPr>
      <w:ind w:left="720"/>
    </w:pPr>
  </w:style>
  <w:style w:type="character" w:customStyle="1" w:styleId="gt-baf-back">
    <w:name w:val="gt-baf-back"/>
    <w:basedOn w:val="a0"/>
    <w:rsid w:val="00712EF2"/>
  </w:style>
  <w:style w:type="character" w:styleId="ac">
    <w:name w:val="Placeholder Text"/>
    <w:basedOn w:val="a0"/>
    <w:uiPriority w:val="99"/>
    <w:semiHidden/>
    <w:rsid w:val="00712E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10" Type="http://schemas.openxmlformats.org/officeDocument/2006/relationships/image" Target="media/image1.tiff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hyperlink" Target="mailto:mileiko@issp.ac.ru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pps.webofknowledge.com/full_record.do?product=UA&amp;search_mode=GeneralSearch&amp;qid=1&amp;SID=V2Rkd9yidfrRzQv6ZIy&amp;page=1&amp;doc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5E444-60D3-4451-A3BF-8CBB1B4A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3329</TotalTime>
  <Pages>7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S.Mileiko</dc:creator>
  <cp:lastModifiedBy>S.Mileiko</cp:lastModifiedBy>
  <cp:revision>28</cp:revision>
  <cp:lastPrinted>2018-05-25T16:06:00Z</cp:lastPrinted>
  <dcterms:created xsi:type="dcterms:W3CDTF">2018-05-22T12:01:00Z</dcterms:created>
  <dcterms:modified xsi:type="dcterms:W3CDTF">2018-05-25T16:30:00Z</dcterms:modified>
</cp:coreProperties>
</file>