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F11F8" w14:textId="77777777" w:rsidR="006D7E6D" w:rsidRDefault="006D7E6D" w:rsidP="006D7E6D">
      <w:pPr>
        <w:jc w:val="center"/>
        <w:rPr>
          <w:b/>
          <w:caps/>
          <w:sz w:val="28"/>
          <w:szCs w:val="28"/>
        </w:rPr>
      </w:pPr>
      <w:r>
        <w:rPr>
          <w:b/>
          <w:caps/>
          <w:sz w:val="28"/>
          <w:szCs w:val="28"/>
        </w:rPr>
        <w:t>Utiliza</w:t>
      </w:r>
      <w:bookmarkStart w:id="0" w:name="_GoBack"/>
      <w:bookmarkEnd w:id="0"/>
      <w:r>
        <w:rPr>
          <w:b/>
          <w:caps/>
          <w:sz w:val="28"/>
          <w:szCs w:val="28"/>
        </w:rPr>
        <w:t>tion of Spent Sulf</w:t>
      </w:r>
      <w:r w:rsidRPr="006D7E6D">
        <w:rPr>
          <w:b/>
          <w:caps/>
          <w:sz w:val="28"/>
          <w:szCs w:val="28"/>
        </w:rPr>
        <w:t>ite Liquor in Combination with Wheat Flour for particleboards manufacture</w:t>
      </w:r>
    </w:p>
    <w:p w14:paraId="78B1320E" w14:textId="77777777" w:rsidR="006D7E6D" w:rsidRPr="006D7E6D" w:rsidRDefault="006D7E6D" w:rsidP="006D7E6D">
      <w:pPr>
        <w:jc w:val="center"/>
        <w:rPr>
          <w:caps/>
          <w:sz w:val="22"/>
          <w:szCs w:val="22"/>
        </w:rPr>
      </w:pPr>
    </w:p>
    <w:p w14:paraId="40DA308E" w14:textId="77777777" w:rsidR="006D7E6D" w:rsidRPr="006D7E6D" w:rsidRDefault="006D7E6D" w:rsidP="006D7E6D">
      <w:pPr>
        <w:pStyle w:val="Subttulo"/>
        <w:numPr>
          <w:ilvl w:val="0"/>
          <w:numId w:val="0"/>
        </w:numPr>
        <w:spacing w:after="0" w:line="240" w:lineRule="auto"/>
        <w:ind w:left="720"/>
        <w:jc w:val="center"/>
        <w:rPr>
          <w:b w:val="0"/>
          <w:i w:val="0"/>
          <w:sz w:val="22"/>
        </w:rPr>
      </w:pPr>
      <w:r>
        <w:rPr>
          <w:b w:val="0"/>
          <w:i w:val="0"/>
          <w:sz w:val="22"/>
        </w:rPr>
        <w:t>A.</w:t>
      </w:r>
      <w:r w:rsidRPr="006D7E6D">
        <w:rPr>
          <w:b w:val="0"/>
          <w:i w:val="0"/>
          <w:sz w:val="22"/>
        </w:rPr>
        <w:t>M. Ferreira</w:t>
      </w:r>
      <w:r w:rsidRPr="006D7E6D">
        <w:rPr>
          <w:b w:val="0"/>
          <w:i w:val="0"/>
          <w:sz w:val="22"/>
          <w:vertAlign w:val="superscript"/>
        </w:rPr>
        <w:t>1</w:t>
      </w:r>
      <w:r w:rsidRPr="006D7E6D">
        <w:rPr>
          <w:b w:val="0"/>
          <w:i w:val="0"/>
          <w:sz w:val="22"/>
        </w:rPr>
        <w:t>, J. Pereira</w:t>
      </w:r>
      <w:r w:rsidRPr="006D7E6D">
        <w:rPr>
          <w:b w:val="0"/>
          <w:i w:val="0"/>
          <w:sz w:val="22"/>
          <w:vertAlign w:val="superscript"/>
        </w:rPr>
        <w:t>2</w:t>
      </w:r>
      <w:r w:rsidRPr="006D7E6D">
        <w:rPr>
          <w:b w:val="0"/>
          <w:i w:val="0"/>
          <w:sz w:val="22"/>
        </w:rPr>
        <w:t>, M. Almeida</w:t>
      </w:r>
      <w:r w:rsidRPr="006D7E6D">
        <w:rPr>
          <w:b w:val="0"/>
          <w:i w:val="0"/>
          <w:sz w:val="22"/>
          <w:vertAlign w:val="superscript"/>
        </w:rPr>
        <w:t>1</w:t>
      </w:r>
      <w:r w:rsidRPr="006D7E6D">
        <w:rPr>
          <w:b w:val="0"/>
          <w:i w:val="0"/>
          <w:sz w:val="22"/>
        </w:rPr>
        <w:t>, J. Ferra</w:t>
      </w:r>
      <w:r w:rsidRPr="006D7E6D">
        <w:rPr>
          <w:b w:val="0"/>
          <w:i w:val="0"/>
          <w:sz w:val="22"/>
          <w:vertAlign w:val="superscript"/>
        </w:rPr>
        <w:t>3</w:t>
      </w:r>
      <w:r w:rsidRPr="006D7E6D">
        <w:rPr>
          <w:b w:val="0"/>
          <w:i w:val="0"/>
          <w:sz w:val="22"/>
        </w:rPr>
        <w:t>, N. Paiva</w:t>
      </w:r>
      <w:r w:rsidRPr="006D7E6D">
        <w:rPr>
          <w:b w:val="0"/>
          <w:i w:val="0"/>
          <w:sz w:val="22"/>
          <w:vertAlign w:val="superscript"/>
        </w:rPr>
        <w:t>3</w:t>
      </w:r>
      <w:r w:rsidRPr="006D7E6D">
        <w:rPr>
          <w:b w:val="0"/>
          <w:i w:val="0"/>
          <w:sz w:val="22"/>
        </w:rPr>
        <w:t>, J. Martins</w:t>
      </w:r>
      <w:r w:rsidRPr="006D7E6D">
        <w:rPr>
          <w:b w:val="0"/>
          <w:i w:val="0"/>
          <w:sz w:val="22"/>
          <w:vertAlign w:val="superscript"/>
        </w:rPr>
        <w:t>1,4</w:t>
      </w:r>
      <w:r w:rsidRPr="006D7E6D">
        <w:rPr>
          <w:b w:val="0"/>
          <w:i w:val="0"/>
          <w:sz w:val="22"/>
        </w:rPr>
        <w:t>, L. H. Carvalho</w:t>
      </w:r>
      <w:r w:rsidRPr="006D7E6D">
        <w:rPr>
          <w:b w:val="0"/>
          <w:i w:val="0"/>
          <w:sz w:val="22"/>
          <w:vertAlign w:val="superscript"/>
        </w:rPr>
        <w:t>1,4</w:t>
      </w:r>
      <w:r w:rsidRPr="006D7E6D">
        <w:rPr>
          <w:b w:val="0"/>
          <w:i w:val="0"/>
          <w:sz w:val="22"/>
        </w:rPr>
        <w:t>, F. D. Magalhães</w:t>
      </w:r>
      <w:r w:rsidRPr="006D7E6D">
        <w:rPr>
          <w:b w:val="0"/>
          <w:i w:val="0"/>
          <w:sz w:val="22"/>
          <w:vertAlign w:val="superscript"/>
        </w:rPr>
        <w:t>1*</w:t>
      </w:r>
    </w:p>
    <w:p w14:paraId="0D859FF7" w14:textId="77777777" w:rsidR="006D7E6D" w:rsidRPr="006D7E6D" w:rsidRDefault="006D7E6D" w:rsidP="006D7E6D">
      <w:pPr>
        <w:jc w:val="center"/>
        <w:rPr>
          <w:sz w:val="22"/>
          <w:szCs w:val="22"/>
          <w:lang w:val="pt-PT"/>
        </w:rPr>
      </w:pPr>
    </w:p>
    <w:p w14:paraId="5A567B2E" w14:textId="77777777" w:rsidR="006D7E6D" w:rsidRPr="006D7E6D" w:rsidRDefault="006D7E6D" w:rsidP="006D7E6D">
      <w:pPr>
        <w:jc w:val="center"/>
        <w:rPr>
          <w:sz w:val="22"/>
          <w:szCs w:val="22"/>
          <w:lang w:val="pt-PT"/>
        </w:rPr>
      </w:pPr>
      <w:r>
        <w:rPr>
          <w:sz w:val="22"/>
          <w:szCs w:val="22"/>
          <w:vertAlign w:val="superscript"/>
          <w:lang w:val="pt-PT"/>
        </w:rPr>
        <w:t>1</w:t>
      </w:r>
      <w:r w:rsidRPr="006D7E6D">
        <w:rPr>
          <w:sz w:val="22"/>
          <w:szCs w:val="22"/>
          <w:lang w:val="pt-PT"/>
        </w:rPr>
        <w:t>LEPABE – Faculdade de Engenharia da Universidade do Porto, Rua Dr. Roberto Frias, 4200-465 Porto, Portugal. E-mail: A. M. Ferreira: amf@fe.up.pt; M. Almeida: malmeida@fe.up.pt.</w:t>
      </w:r>
    </w:p>
    <w:p w14:paraId="42C0733F" w14:textId="77777777" w:rsidR="006D7E6D" w:rsidRPr="006D7E6D" w:rsidRDefault="006D7E6D" w:rsidP="006D7E6D">
      <w:pPr>
        <w:jc w:val="center"/>
        <w:rPr>
          <w:sz w:val="22"/>
          <w:szCs w:val="22"/>
          <w:lang w:val="pt-PT"/>
        </w:rPr>
      </w:pPr>
      <w:r w:rsidRPr="006D7E6D">
        <w:rPr>
          <w:sz w:val="22"/>
          <w:szCs w:val="22"/>
          <w:vertAlign w:val="superscript"/>
          <w:lang w:val="pt-PT"/>
        </w:rPr>
        <w:t>2</w:t>
      </w:r>
      <w:r w:rsidRPr="006D7E6D">
        <w:rPr>
          <w:sz w:val="22"/>
          <w:szCs w:val="22"/>
          <w:lang w:val="pt-PT"/>
        </w:rPr>
        <w:t>ARCP – Associação Rede de Competência em Polímeros, Rua Júlio de Matos, 828 4200-455 Porto, Portugal. E-mail: J. Pereira: jamp@fe.up.pt.</w:t>
      </w:r>
    </w:p>
    <w:p w14:paraId="6C120210" w14:textId="77777777" w:rsidR="006D7E6D" w:rsidRPr="006D7E6D" w:rsidRDefault="006D7E6D" w:rsidP="006D7E6D">
      <w:pPr>
        <w:jc w:val="center"/>
        <w:rPr>
          <w:sz w:val="22"/>
          <w:szCs w:val="22"/>
          <w:lang w:val="pt-PT"/>
        </w:rPr>
      </w:pPr>
      <w:r w:rsidRPr="006D7E6D">
        <w:rPr>
          <w:sz w:val="22"/>
          <w:szCs w:val="22"/>
          <w:vertAlign w:val="superscript"/>
          <w:lang w:val="pt-PT"/>
        </w:rPr>
        <w:t>3</w:t>
      </w:r>
      <w:r w:rsidRPr="006D7E6D">
        <w:rPr>
          <w:sz w:val="22"/>
          <w:szCs w:val="22"/>
          <w:lang w:val="pt-PT"/>
        </w:rPr>
        <w:t>Euroresinas – Industrias Químicas S.A., Plataforma Industrial de Sines, 7520-064 Sines, Portugal. E-mail: J. Ferra: joao.ferra@sonaearauco.com; N. Paiva: nadia.paiva@sonaearauco.com.</w:t>
      </w:r>
    </w:p>
    <w:p w14:paraId="09E61946" w14:textId="77777777" w:rsidR="006D7E6D" w:rsidRPr="006D7E6D" w:rsidRDefault="006D7E6D" w:rsidP="006D7E6D">
      <w:pPr>
        <w:jc w:val="center"/>
        <w:rPr>
          <w:sz w:val="22"/>
          <w:szCs w:val="22"/>
          <w:lang w:val="pt-PT"/>
        </w:rPr>
      </w:pPr>
      <w:r w:rsidRPr="006D7E6D">
        <w:rPr>
          <w:sz w:val="22"/>
          <w:szCs w:val="22"/>
          <w:vertAlign w:val="superscript"/>
          <w:lang w:val="pt-PT"/>
        </w:rPr>
        <w:t>4</w:t>
      </w:r>
      <w:r w:rsidRPr="006D7E6D">
        <w:rPr>
          <w:sz w:val="22"/>
          <w:szCs w:val="22"/>
          <w:lang w:val="pt-PT"/>
        </w:rPr>
        <w:t>DEMad- Departamento de Engenharia de Madeiras, Instituto Politécnico de Viseu, Campus Politécnico de Repeses, 3504-510 Viseu, Portugal. E-mail: J. Martins: jmmartins@demad.estv.ipv.pt; L. H. Carvalho: lhcarvalho@demad.estv.ipv.pt.</w:t>
      </w:r>
    </w:p>
    <w:p w14:paraId="5B6456D6" w14:textId="77777777" w:rsidR="006D7E6D" w:rsidRPr="006D7E6D" w:rsidRDefault="006D7E6D" w:rsidP="006D7E6D">
      <w:pPr>
        <w:jc w:val="center"/>
        <w:rPr>
          <w:sz w:val="22"/>
          <w:szCs w:val="22"/>
        </w:rPr>
      </w:pPr>
      <w:r w:rsidRPr="006D7E6D">
        <w:rPr>
          <w:sz w:val="22"/>
          <w:szCs w:val="22"/>
        </w:rPr>
        <w:t>Corresponding author e-mail: fdmagalh@fe.up.pt</w:t>
      </w:r>
    </w:p>
    <w:p w14:paraId="336449BA" w14:textId="77777777" w:rsidR="006D7E6D" w:rsidRPr="006D7E6D" w:rsidRDefault="006D7E6D" w:rsidP="006D7E6D">
      <w:pPr>
        <w:pStyle w:val="Corpodetexto"/>
        <w:jc w:val="center"/>
        <w:rPr>
          <w:i/>
          <w:sz w:val="22"/>
          <w:szCs w:val="22"/>
        </w:rPr>
      </w:pPr>
    </w:p>
    <w:p w14:paraId="296D3352" w14:textId="77777777" w:rsidR="00DB312B" w:rsidRDefault="00DB312B" w:rsidP="006D7E6D">
      <w:pPr>
        <w:rPr>
          <w:sz w:val="22"/>
          <w:szCs w:val="22"/>
        </w:rPr>
      </w:pPr>
    </w:p>
    <w:p w14:paraId="5D56A6F5" w14:textId="77777777" w:rsidR="00704B24" w:rsidRPr="00F35C8A" w:rsidRDefault="00704B24" w:rsidP="00704B24">
      <w:pPr>
        <w:jc w:val="center"/>
        <w:rPr>
          <w:sz w:val="22"/>
          <w:szCs w:val="22"/>
        </w:rPr>
      </w:pPr>
    </w:p>
    <w:p w14:paraId="604FDA7F" w14:textId="77777777" w:rsidR="00704B24" w:rsidRPr="00F35C8A" w:rsidRDefault="00704B24" w:rsidP="00C84FC4">
      <w:pPr>
        <w:rPr>
          <w:sz w:val="22"/>
          <w:szCs w:val="22"/>
        </w:rPr>
      </w:pPr>
      <w:r w:rsidRPr="00F35C8A">
        <w:rPr>
          <w:b/>
          <w:sz w:val="22"/>
          <w:szCs w:val="22"/>
        </w:rPr>
        <w:t>Keywords:</w:t>
      </w:r>
      <w:r w:rsidRPr="00F35C8A">
        <w:rPr>
          <w:sz w:val="22"/>
          <w:szCs w:val="22"/>
        </w:rPr>
        <w:t xml:space="preserve"> </w:t>
      </w:r>
      <w:r w:rsidR="006D7E6D">
        <w:rPr>
          <w:color w:val="000000"/>
          <w:sz w:val="22"/>
          <w:szCs w:val="22"/>
        </w:rPr>
        <w:t xml:space="preserve">Bioadhesive, Wood Composite, Spent </w:t>
      </w:r>
      <w:r w:rsidR="00981BC2">
        <w:rPr>
          <w:color w:val="000000"/>
          <w:sz w:val="22"/>
          <w:szCs w:val="22"/>
        </w:rPr>
        <w:t>Sulfite Liquor</w:t>
      </w:r>
      <w:r w:rsidR="006D7E6D">
        <w:rPr>
          <w:color w:val="000000"/>
          <w:sz w:val="22"/>
          <w:szCs w:val="22"/>
        </w:rPr>
        <w:t>, Wheat Flour</w:t>
      </w:r>
    </w:p>
    <w:p w14:paraId="727E1DA4" w14:textId="77777777" w:rsidR="00704B24" w:rsidRDefault="00704B24" w:rsidP="00704B24">
      <w:pPr>
        <w:rPr>
          <w:sz w:val="22"/>
          <w:szCs w:val="22"/>
        </w:rPr>
      </w:pPr>
      <w:r w:rsidRPr="00F35C8A">
        <w:rPr>
          <w:sz w:val="22"/>
          <w:szCs w:val="22"/>
        </w:rPr>
        <w:t xml:space="preserve"> </w:t>
      </w:r>
    </w:p>
    <w:p w14:paraId="6B43FECF" w14:textId="77777777" w:rsidR="00656C88" w:rsidRPr="00F35C8A" w:rsidRDefault="00656C88" w:rsidP="00704B24">
      <w:pPr>
        <w:rPr>
          <w:b/>
          <w:sz w:val="22"/>
          <w:szCs w:val="22"/>
        </w:rPr>
      </w:pPr>
    </w:p>
    <w:p w14:paraId="2A932A23" w14:textId="77777777" w:rsidR="00704B24" w:rsidRDefault="00704B24" w:rsidP="006D2BC0">
      <w:pPr>
        <w:rPr>
          <w:b/>
          <w:sz w:val="22"/>
          <w:szCs w:val="22"/>
        </w:rPr>
      </w:pPr>
      <w:r w:rsidRPr="00C84FC4">
        <w:rPr>
          <w:b/>
          <w:sz w:val="22"/>
          <w:szCs w:val="22"/>
        </w:rPr>
        <w:t>Abstract</w:t>
      </w:r>
    </w:p>
    <w:p w14:paraId="6AC43995" w14:textId="77777777" w:rsidR="007E4D47" w:rsidRDefault="006D7E6D" w:rsidP="00704B24">
      <w:pPr>
        <w:jc w:val="both"/>
        <w:rPr>
          <w:sz w:val="22"/>
          <w:szCs w:val="22"/>
        </w:rPr>
      </w:pPr>
      <w:r w:rsidRPr="006D7E6D">
        <w:rPr>
          <w:sz w:val="22"/>
          <w:szCs w:val="22"/>
        </w:rPr>
        <w:t xml:space="preserve">Nowadays, the majority of adhesives used in particleboards manufacture </w:t>
      </w:r>
      <w:r w:rsidR="00BA5E22">
        <w:rPr>
          <w:sz w:val="22"/>
          <w:szCs w:val="22"/>
        </w:rPr>
        <w:t>are</w:t>
      </w:r>
      <w:r w:rsidRPr="006D7E6D">
        <w:rPr>
          <w:sz w:val="22"/>
          <w:szCs w:val="22"/>
        </w:rPr>
        <w:t xml:space="preserve"> </w:t>
      </w:r>
      <w:r w:rsidR="007E4D47">
        <w:rPr>
          <w:sz w:val="22"/>
          <w:szCs w:val="22"/>
        </w:rPr>
        <w:t>formaldehyde</w:t>
      </w:r>
      <w:r w:rsidRPr="006D7E6D">
        <w:rPr>
          <w:sz w:val="22"/>
          <w:szCs w:val="22"/>
        </w:rPr>
        <w:t>-based</w:t>
      </w:r>
      <w:r w:rsidR="007E4D47">
        <w:rPr>
          <w:sz w:val="22"/>
          <w:szCs w:val="22"/>
        </w:rPr>
        <w:t xml:space="preserve">, a compound classified as </w:t>
      </w:r>
      <w:r w:rsidR="002A2139">
        <w:rPr>
          <w:sz w:val="22"/>
          <w:szCs w:val="22"/>
        </w:rPr>
        <w:t>human carci</w:t>
      </w:r>
      <w:r w:rsidR="00BA5E22">
        <w:rPr>
          <w:sz w:val="22"/>
          <w:szCs w:val="22"/>
        </w:rPr>
        <w:t>noge</w:t>
      </w:r>
      <w:r w:rsidR="002A2139">
        <w:rPr>
          <w:sz w:val="22"/>
          <w:szCs w:val="22"/>
        </w:rPr>
        <w:t>n</w:t>
      </w:r>
      <w:r w:rsidR="007E4D47">
        <w:rPr>
          <w:sz w:val="22"/>
          <w:szCs w:val="22"/>
        </w:rPr>
        <w:t xml:space="preserve">. Due </w:t>
      </w:r>
      <w:r w:rsidR="008608A7">
        <w:rPr>
          <w:sz w:val="22"/>
          <w:szCs w:val="22"/>
        </w:rPr>
        <w:t>to health concerns, there is an increasing demand for</w:t>
      </w:r>
      <w:r w:rsidR="007E4D47">
        <w:rPr>
          <w:sz w:val="22"/>
          <w:szCs w:val="22"/>
        </w:rPr>
        <w:t xml:space="preserve"> safer and eco-friendly adhesives.</w:t>
      </w:r>
      <w:r w:rsidR="002A2139">
        <w:rPr>
          <w:sz w:val="22"/>
          <w:szCs w:val="22"/>
        </w:rPr>
        <w:t xml:space="preserve"> </w:t>
      </w:r>
      <w:r w:rsidR="00D31263">
        <w:rPr>
          <w:sz w:val="22"/>
          <w:szCs w:val="22"/>
        </w:rPr>
        <w:t xml:space="preserve"> </w:t>
      </w:r>
    </w:p>
    <w:p w14:paraId="04E2042A" w14:textId="77777777" w:rsidR="008608A7" w:rsidRPr="007E4D47" w:rsidRDefault="007E4D47" w:rsidP="008608A7">
      <w:pPr>
        <w:jc w:val="both"/>
        <w:rPr>
          <w:sz w:val="22"/>
          <w:szCs w:val="22"/>
        </w:rPr>
      </w:pPr>
      <w:r>
        <w:rPr>
          <w:sz w:val="22"/>
          <w:szCs w:val="22"/>
        </w:rPr>
        <w:t xml:space="preserve">In this </w:t>
      </w:r>
      <w:r w:rsidR="00981BC2">
        <w:rPr>
          <w:sz w:val="22"/>
          <w:szCs w:val="22"/>
        </w:rPr>
        <w:t>work a</w:t>
      </w:r>
      <w:r w:rsidR="008608A7">
        <w:rPr>
          <w:sz w:val="22"/>
          <w:szCs w:val="22"/>
        </w:rPr>
        <w:t xml:space="preserve"> low-cost formulation based on </w:t>
      </w:r>
      <w:r w:rsidR="000C7C69">
        <w:rPr>
          <w:sz w:val="22"/>
          <w:szCs w:val="22"/>
        </w:rPr>
        <w:t xml:space="preserve">thick </w:t>
      </w:r>
      <w:r w:rsidR="008608A7">
        <w:rPr>
          <w:sz w:val="22"/>
          <w:szCs w:val="22"/>
        </w:rPr>
        <w:t>spent sulf</w:t>
      </w:r>
      <w:r w:rsidRPr="007E4D47">
        <w:rPr>
          <w:sz w:val="22"/>
          <w:szCs w:val="22"/>
        </w:rPr>
        <w:t>ite</w:t>
      </w:r>
      <w:r w:rsidR="008608A7">
        <w:rPr>
          <w:sz w:val="22"/>
          <w:szCs w:val="22"/>
        </w:rPr>
        <w:t xml:space="preserve"> liquor</w:t>
      </w:r>
      <w:r w:rsidR="000C7C69">
        <w:rPr>
          <w:sz w:val="22"/>
          <w:szCs w:val="22"/>
        </w:rPr>
        <w:t xml:space="preserve"> (TSSL)</w:t>
      </w:r>
      <w:r w:rsidR="008608A7">
        <w:rPr>
          <w:sz w:val="22"/>
          <w:szCs w:val="22"/>
        </w:rPr>
        <w:t xml:space="preserve">, </w:t>
      </w:r>
      <w:r w:rsidRPr="007E4D47">
        <w:rPr>
          <w:sz w:val="22"/>
          <w:szCs w:val="22"/>
        </w:rPr>
        <w:t>a byproduct from the acidi</w:t>
      </w:r>
      <w:r w:rsidR="008608A7">
        <w:rPr>
          <w:sz w:val="22"/>
          <w:szCs w:val="22"/>
        </w:rPr>
        <w:t xml:space="preserve">c sulfite wood pulping </w:t>
      </w:r>
      <w:r w:rsidR="00981BC2">
        <w:rPr>
          <w:sz w:val="22"/>
          <w:szCs w:val="22"/>
        </w:rPr>
        <w:t>process, and</w:t>
      </w:r>
      <w:r w:rsidR="008608A7">
        <w:rPr>
          <w:sz w:val="22"/>
          <w:szCs w:val="22"/>
        </w:rPr>
        <w:t xml:space="preserve"> w</w:t>
      </w:r>
      <w:r w:rsidRPr="007E4D47">
        <w:rPr>
          <w:sz w:val="22"/>
          <w:szCs w:val="22"/>
        </w:rPr>
        <w:t>heat flour (WF)</w:t>
      </w:r>
      <w:r w:rsidR="00D31263">
        <w:rPr>
          <w:sz w:val="22"/>
          <w:szCs w:val="22"/>
        </w:rPr>
        <w:t>,</w:t>
      </w:r>
      <w:r w:rsidR="008608A7">
        <w:rPr>
          <w:sz w:val="22"/>
          <w:szCs w:val="22"/>
        </w:rPr>
        <w:t xml:space="preserve"> was developed. </w:t>
      </w:r>
    </w:p>
    <w:p w14:paraId="6DC67C79" w14:textId="77777777" w:rsidR="00152D8E" w:rsidRDefault="007E4D47" w:rsidP="008608A7">
      <w:pPr>
        <w:jc w:val="both"/>
        <w:rPr>
          <w:sz w:val="22"/>
          <w:szCs w:val="22"/>
        </w:rPr>
      </w:pPr>
      <w:r w:rsidRPr="007E4D47">
        <w:rPr>
          <w:sz w:val="22"/>
          <w:szCs w:val="22"/>
        </w:rPr>
        <w:t>This combination was tested for the production of three-layer particl</w:t>
      </w:r>
      <w:r w:rsidR="008608A7">
        <w:rPr>
          <w:sz w:val="22"/>
          <w:szCs w:val="22"/>
        </w:rPr>
        <w:t>eboards, 15</w:t>
      </w:r>
      <w:r w:rsidRPr="007E4D47">
        <w:rPr>
          <w:sz w:val="22"/>
          <w:szCs w:val="22"/>
        </w:rPr>
        <w:t xml:space="preserve"> mm thick and </w:t>
      </w:r>
      <w:r w:rsidR="00D31263">
        <w:rPr>
          <w:sz w:val="22"/>
          <w:szCs w:val="22"/>
        </w:rPr>
        <w:t xml:space="preserve">density of </w:t>
      </w:r>
      <w:r w:rsidRPr="007E4D47">
        <w:rPr>
          <w:sz w:val="22"/>
          <w:szCs w:val="22"/>
        </w:rPr>
        <w:t>(650 ± 20) kg m</w:t>
      </w:r>
      <w:r w:rsidRPr="008608A7">
        <w:rPr>
          <w:sz w:val="22"/>
          <w:szCs w:val="22"/>
          <w:vertAlign w:val="superscript"/>
        </w:rPr>
        <w:t>−3</w:t>
      </w:r>
      <w:r w:rsidRPr="007E4D47">
        <w:rPr>
          <w:sz w:val="22"/>
          <w:szCs w:val="22"/>
        </w:rPr>
        <w:t xml:space="preserve">, at different manufacturing conditions. The </w:t>
      </w:r>
      <w:r w:rsidR="000C7C69">
        <w:rPr>
          <w:sz w:val="22"/>
          <w:szCs w:val="22"/>
        </w:rPr>
        <w:t xml:space="preserve">produced </w:t>
      </w:r>
      <w:r w:rsidRPr="007E4D47">
        <w:rPr>
          <w:sz w:val="22"/>
          <w:szCs w:val="22"/>
        </w:rPr>
        <w:t>particleboards presented better performance than th</w:t>
      </w:r>
      <w:r w:rsidR="000C7C69">
        <w:rPr>
          <w:sz w:val="22"/>
          <w:szCs w:val="22"/>
        </w:rPr>
        <w:t>ose manufactured solely with TSSL</w:t>
      </w:r>
      <w:r w:rsidRPr="007E4D47">
        <w:rPr>
          <w:sz w:val="22"/>
          <w:szCs w:val="22"/>
        </w:rPr>
        <w:t>, with internal bond strength (0.46 N∙mm</w:t>
      </w:r>
      <w:r w:rsidRPr="008608A7">
        <w:rPr>
          <w:sz w:val="22"/>
          <w:szCs w:val="22"/>
          <w:vertAlign w:val="superscript"/>
        </w:rPr>
        <w:t>-2</w:t>
      </w:r>
      <w:r w:rsidRPr="007E4D47">
        <w:rPr>
          <w:sz w:val="22"/>
          <w:szCs w:val="22"/>
        </w:rPr>
        <w:t>) above the requirements of the standard EN 312 for standard particleboards type P2 (0.35 N∙mm</w:t>
      </w:r>
      <w:r w:rsidRPr="008608A7">
        <w:rPr>
          <w:sz w:val="22"/>
          <w:szCs w:val="22"/>
          <w:vertAlign w:val="superscript"/>
        </w:rPr>
        <w:t>-2</w:t>
      </w:r>
      <w:r w:rsidRPr="007E4D47">
        <w:rPr>
          <w:sz w:val="22"/>
          <w:szCs w:val="22"/>
        </w:rPr>
        <w:t xml:space="preserve">). </w:t>
      </w:r>
    </w:p>
    <w:p w14:paraId="72A21727" w14:textId="77777777" w:rsidR="00152D8E" w:rsidRPr="00F35C8A" w:rsidRDefault="00152D8E" w:rsidP="00704B24">
      <w:pPr>
        <w:jc w:val="both"/>
        <w:rPr>
          <w:sz w:val="22"/>
          <w:szCs w:val="22"/>
        </w:rPr>
      </w:pPr>
    </w:p>
    <w:p w14:paraId="4F5F3445" w14:textId="77777777"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14:paraId="126513B6" w14:textId="77777777" w:rsidR="006D2BC0" w:rsidRPr="00F35C8A" w:rsidRDefault="006D2BC0" w:rsidP="006D2BC0">
      <w:pPr>
        <w:jc w:val="both"/>
        <w:rPr>
          <w:sz w:val="22"/>
          <w:szCs w:val="22"/>
        </w:rPr>
      </w:pPr>
    </w:p>
    <w:p w14:paraId="4AB1DC06" w14:textId="77777777" w:rsidR="004234F2" w:rsidRDefault="001E4A12" w:rsidP="001E4A12">
      <w:pPr>
        <w:jc w:val="both"/>
        <w:rPr>
          <w:sz w:val="22"/>
          <w:szCs w:val="22"/>
        </w:rPr>
      </w:pPr>
      <w:r w:rsidRPr="001E4A12">
        <w:rPr>
          <w:sz w:val="22"/>
          <w:szCs w:val="22"/>
        </w:rPr>
        <w:t>Europe produces about 29 million m</w:t>
      </w:r>
      <w:r w:rsidRPr="004234F2">
        <w:rPr>
          <w:sz w:val="22"/>
          <w:szCs w:val="22"/>
          <w:vertAlign w:val="superscript"/>
        </w:rPr>
        <w:t>3</w:t>
      </w:r>
      <w:r w:rsidRPr="001E4A12">
        <w:rPr>
          <w:sz w:val="22"/>
          <w:szCs w:val="22"/>
        </w:rPr>
        <w:t xml:space="preserve"> of particleboards per year, and this value is expected to continue growing</w:t>
      </w:r>
      <w:r w:rsidR="001D0089">
        <w:rPr>
          <w:sz w:val="22"/>
          <w:szCs w:val="22"/>
        </w:rPr>
        <w:t xml:space="preserve"> </w:t>
      </w:r>
      <w:r w:rsidR="001E0455" w:rsidRPr="001E0455">
        <w:rPr>
          <w:noProof/>
          <w:sz w:val="22"/>
          <w:szCs w:val="22"/>
        </w:rPr>
        <w:t>[1</w:t>
      </w:r>
      <w:r w:rsidR="00D31263" w:rsidRPr="001E0455">
        <w:rPr>
          <w:noProof/>
          <w:sz w:val="22"/>
          <w:szCs w:val="22"/>
        </w:rPr>
        <w:t>]</w:t>
      </w:r>
      <w:r w:rsidR="00D31263">
        <w:rPr>
          <w:sz w:val="22"/>
          <w:szCs w:val="22"/>
        </w:rPr>
        <w:t>.</w:t>
      </w:r>
      <w:r w:rsidRPr="001E4A12">
        <w:rPr>
          <w:sz w:val="22"/>
          <w:szCs w:val="22"/>
        </w:rPr>
        <w:t xml:space="preserve">  Nowadays, the majority of adhesives used </w:t>
      </w:r>
      <w:r w:rsidR="00D31263">
        <w:rPr>
          <w:sz w:val="22"/>
          <w:szCs w:val="22"/>
        </w:rPr>
        <w:t>in particleboards manufacture are</w:t>
      </w:r>
      <w:r w:rsidRPr="001E4A12">
        <w:rPr>
          <w:sz w:val="22"/>
          <w:szCs w:val="22"/>
        </w:rPr>
        <w:t xml:space="preserve"> synthetic, mainly formaldehyde-based, due to their high reactivity, good binding strength and low prices</w:t>
      </w:r>
      <w:r w:rsidR="004234F2">
        <w:rPr>
          <w:sz w:val="22"/>
          <w:szCs w:val="22"/>
        </w:rPr>
        <w:t xml:space="preserve"> </w:t>
      </w:r>
      <w:r w:rsidR="001E0455" w:rsidRPr="001E0455">
        <w:rPr>
          <w:noProof/>
          <w:sz w:val="22"/>
          <w:szCs w:val="22"/>
        </w:rPr>
        <w:t>[2]</w:t>
      </w:r>
      <w:r w:rsidRPr="001E4A12">
        <w:rPr>
          <w:sz w:val="22"/>
          <w:szCs w:val="22"/>
        </w:rPr>
        <w:t xml:space="preserve">. Nevertheless, they release formaldehyde, a toxic chemical compound obtained from non-renewable resources and classified as human carcinogen. </w:t>
      </w:r>
      <w:r w:rsidR="004234F2">
        <w:rPr>
          <w:sz w:val="22"/>
          <w:szCs w:val="22"/>
        </w:rPr>
        <w:t>Due to health concerns, there is an increasing demand for safer and eco-friendly adhesives.</w:t>
      </w:r>
    </w:p>
    <w:p w14:paraId="2452A0C8" w14:textId="77777777" w:rsidR="004234F2" w:rsidRDefault="004234F2" w:rsidP="001E4A12">
      <w:pPr>
        <w:jc w:val="both"/>
        <w:rPr>
          <w:sz w:val="22"/>
          <w:szCs w:val="22"/>
        </w:rPr>
      </w:pPr>
    </w:p>
    <w:p w14:paraId="10EEE0E4" w14:textId="77777777" w:rsidR="00632848" w:rsidRDefault="004234F2" w:rsidP="001E4A12">
      <w:pPr>
        <w:jc w:val="both"/>
        <w:rPr>
          <w:sz w:val="22"/>
          <w:szCs w:val="22"/>
        </w:rPr>
      </w:pPr>
      <w:r>
        <w:rPr>
          <w:sz w:val="22"/>
          <w:szCs w:val="22"/>
        </w:rPr>
        <w:t>S</w:t>
      </w:r>
      <w:r w:rsidR="001E4A12" w:rsidRPr="001E4A12">
        <w:rPr>
          <w:sz w:val="22"/>
          <w:szCs w:val="22"/>
        </w:rPr>
        <w:t xml:space="preserve">pent </w:t>
      </w:r>
      <w:r>
        <w:rPr>
          <w:sz w:val="22"/>
          <w:szCs w:val="22"/>
        </w:rPr>
        <w:t xml:space="preserve">sulfite </w:t>
      </w:r>
      <w:r w:rsidR="001E4A12" w:rsidRPr="001E4A12">
        <w:rPr>
          <w:sz w:val="22"/>
          <w:szCs w:val="22"/>
        </w:rPr>
        <w:t xml:space="preserve">liquor is a byproduct from the acidic sulfite wood pulping </w:t>
      </w:r>
      <w:r w:rsidR="00D31263" w:rsidRPr="001E4A12">
        <w:rPr>
          <w:sz w:val="22"/>
          <w:szCs w:val="22"/>
        </w:rPr>
        <w:t>process and is</w:t>
      </w:r>
      <w:r w:rsidR="001E4A12" w:rsidRPr="001E4A12">
        <w:rPr>
          <w:sz w:val="22"/>
          <w:szCs w:val="22"/>
        </w:rPr>
        <w:t xml:space="preserve"> majorly burnt for energy production and regeneration of the pulping chemicals, being only 2 % </w:t>
      </w:r>
      <w:r w:rsidR="001D0089">
        <w:rPr>
          <w:sz w:val="22"/>
          <w:szCs w:val="22"/>
        </w:rPr>
        <w:t xml:space="preserve">used in industrial processes </w:t>
      </w:r>
      <w:r w:rsidR="001E0455" w:rsidRPr="001E0455">
        <w:rPr>
          <w:noProof/>
          <w:sz w:val="22"/>
          <w:szCs w:val="22"/>
        </w:rPr>
        <w:t>[3]</w:t>
      </w:r>
      <w:r w:rsidR="00A223B2">
        <w:rPr>
          <w:sz w:val="22"/>
          <w:szCs w:val="22"/>
        </w:rPr>
        <w:t xml:space="preserve">. These liquors are </w:t>
      </w:r>
      <w:r w:rsidR="00D31263">
        <w:rPr>
          <w:sz w:val="22"/>
          <w:szCs w:val="22"/>
        </w:rPr>
        <w:t>usually concentrated</w:t>
      </w:r>
      <w:r w:rsidR="00A223B2">
        <w:rPr>
          <w:sz w:val="22"/>
          <w:szCs w:val="22"/>
        </w:rPr>
        <w:t xml:space="preserve"> </w:t>
      </w:r>
      <w:r w:rsidR="00D31263">
        <w:rPr>
          <w:sz w:val="22"/>
          <w:szCs w:val="22"/>
        </w:rPr>
        <w:t>using</w:t>
      </w:r>
      <w:r w:rsidR="00A223B2">
        <w:rPr>
          <w:sz w:val="22"/>
          <w:szCs w:val="22"/>
        </w:rPr>
        <w:t xml:space="preserve"> multiple </w:t>
      </w:r>
      <w:r w:rsidR="00D31263">
        <w:rPr>
          <w:sz w:val="22"/>
          <w:szCs w:val="22"/>
        </w:rPr>
        <w:t>evaporators resulting</w:t>
      </w:r>
      <w:r w:rsidR="00A223B2">
        <w:rPr>
          <w:sz w:val="22"/>
          <w:szCs w:val="22"/>
        </w:rPr>
        <w:t xml:space="preserve"> in thick spent sulfite liquor (TSSL) </w:t>
      </w:r>
      <w:r w:rsidR="001E0455" w:rsidRPr="001E0455">
        <w:rPr>
          <w:noProof/>
          <w:sz w:val="22"/>
          <w:szCs w:val="22"/>
        </w:rPr>
        <w:t>[4]</w:t>
      </w:r>
      <w:r w:rsidR="001E4A12" w:rsidRPr="001E4A12">
        <w:rPr>
          <w:sz w:val="22"/>
          <w:szCs w:val="22"/>
        </w:rPr>
        <w:t xml:space="preserve">. </w:t>
      </w:r>
      <w:r w:rsidR="00632848">
        <w:rPr>
          <w:sz w:val="22"/>
          <w:szCs w:val="22"/>
        </w:rPr>
        <w:t xml:space="preserve">The </w:t>
      </w:r>
      <w:r w:rsidR="00632848" w:rsidRPr="00632848">
        <w:rPr>
          <w:sz w:val="22"/>
          <w:szCs w:val="22"/>
        </w:rPr>
        <w:t>major components of TSSL</w:t>
      </w:r>
      <w:r w:rsidR="002009CA">
        <w:rPr>
          <w:sz w:val="22"/>
          <w:szCs w:val="22"/>
        </w:rPr>
        <w:t xml:space="preserve"> obtained </w:t>
      </w:r>
      <w:r w:rsidR="002009CA" w:rsidRPr="004A27C8">
        <w:rPr>
          <w:sz w:val="22"/>
          <w:szCs w:val="22"/>
        </w:rPr>
        <w:t xml:space="preserve">from </w:t>
      </w:r>
      <w:r w:rsidR="002009CA" w:rsidRPr="004A27C8">
        <w:rPr>
          <w:rStyle w:val="nlmarticle-title"/>
          <w:sz w:val="22"/>
          <w:szCs w:val="22"/>
        </w:rPr>
        <w:t>the acidic magnesium-based sulfite pulping of</w:t>
      </w:r>
      <w:r w:rsidR="002009CA" w:rsidRPr="004A27C8">
        <w:rPr>
          <w:rStyle w:val="apple-converted-space"/>
          <w:color w:val="000000"/>
          <w:sz w:val="22"/>
          <w:szCs w:val="22"/>
        </w:rPr>
        <w:t> </w:t>
      </w:r>
      <w:r w:rsidR="002009CA" w:rsidRPr="004A27C8">
        <w:rPr>
          <w:rStyle w:val="nlmarticle-title"/>
          <w:i/>
          <w:iCs/>
          <w:sz w:val="22"/>
          <w:szCs w:val="22"/>
        </w:rPr>
        <w:t>Eucalyptus globulus</w:t>
      </w:r>
      <w:r w:rsidR="002009CA">
        <w:rPr>
          <w:sz w:val="22"/>
          <w:szCs w:val="22"/>
        </w:rPr>
        <w:t xml:space="preserve"> </w:t>
      </w:r>
      <w:r w:rsidR="00632848" w:rsidRPr="00632848">
        <w:rPr>
          <w:sz w:val="22"/>
          <w:szCs w:val="22"/>
        </w:rPr>
        <w:t>are lignosulfonate lignin (58</w:t>
      </w:r>
      <w:r w:rsidR="004A27C8">
        <w:rPr>
          <w:sz w:val="22"/>
          <w:szCs w:val="22"/>
        </w:rPr>
        <w:t xml:space="preserve"> </w:t>
      </w:r>
      <w:r w:rsidR="00632848" w:rsidRPr="00632848">
        <w:rPr>
          <w:sz w:val="22"/>
          <w:szCs w:val="22"/>
        </w:rPr>
        <w:t>% of dry solids), ashes (24</w:t>
      </w:r>
      <w:r w:rsidR="004A27C8">
        <w:rPr>
          <w:sz w:val="22"/>
          <w:szCs w:val="22"/>
        </w:rPr>
        <w:t xml:space="preserve"> </w:t>
      </w:r>
      <w:r w:rsidR="00632848" w:rsidRPr="00632848">
        <w:rPr>
          <w:sz w:val="22"/>
          <w:szCs w:val="22"/>
        </w:rPr>
        <w:t>% of dry solids) and sugars (16</w:t>
      </w:r>
      <w:r w:rsidR="004A27C8">
        <w:rPr>
          <w:sz w:val="22"/>
          <w:szCs w:val="22"/>
        </w:rPr>
        <w:t xml:space="preserve"> </w:t>
      </w:r>
      <w:r w:rsidR="00632848" w:rsidRPr="00632848">
        <w:rPr>
          <w:sz w:val="22"/>
          <w:szCs w:val="22"/>
        </w:rPr>
        <w:t>% of dry solids)</w:t>
      </w:r>
      <w:r w:rsidR="002009CA">
        <w:rPr>
          <w:sz w:val="22"/>
          <w:szCs w:val="22"/>
        </w:rPr>
        <w:t xml:space="preserve"> </w:t>
      </w:r>
      <w:r w:rsidR="001E0455" w:rsidRPr="001E0455">
        <w:rPr>
          <w:noProof/>
          <w:sz w:val="22"/>
          <w:szCs w:val="22"/>
        </w:rPr>
        <w:t>[4]</w:t>
      </w:r>
      <w:r w:rsidR="00632848" w:rsidRPr="00632848">
        <w:rPr>
          <w:sz w:val="22"/>
          <w:szCs w:val="22"/>
        </w:rPr>
        <w:t xml:space="preserve">. </w:t>
      </w:r>
    </w:p>
    <w:p w14:paraId="37364233" w14:textId="77777777" w:rsidR="00632848" w:rsidRDefault="00632848" w:rsidP="001E4A12">
      <w:pPr>
        <w:jc w:val="both"/>
        <w:rPr>
          <w:sz w:val="22"/>
          <w:szCs w:val="22"/>
        </w:rPr>
      </w:pPr>
    </w:p>
    <w:p w14:paraId="37968149" w14:textId="77777777" w:rsidR="001E4A12" w:rsidRDefault="001E4A12" w:rsidP="001E4A12">
      <w:pPr>
        <w:jc w:val="both"/>
        <w:rPr>
          <w:sz w:val="22"/>
          <w:szCs w:val="22"/>
        </w:rPr>
      </w:pPr>
      <w:r w:rsidRPr="001E4A12">
        <w:rPr>
          <w:sz w:val="22"/>
          <w:szCs w:val="22"/>
        </w:rPr>
        <w:t xml:space="preserve">There is a high amount of works reporting the application of spent sulfite liquor (SSL) as adhesive, but its industrial application is reduced, mainly due to the longer pressing times and lower performance when compared to synthetic resins. To improve the properties of SSL as adhesive, various studies </w:t>
      </w:r>
      <w:r w:rsidRPr="001E4A12">
        <w:rPr>
          <w:sz w:val="22"/>
          <w:szCs w:val="22"/>
        </w:rPr>
        <w:lastRenderedPageBreak/>
        <w:t>reported combination with synthetic resins, such as phenol-formaldeh</w:t>
      </w:r>
      <w:r w:rsidR="00D31263">
        <w:rPr>
          <w:sz w:val="22"/>
          <w:szCs w:val="22"/>
        </w:rPr>
        <w:t>yde and urea-formaldehyde</w:t>
      </w:r>
      <w:r w:rsidRPr="001E4A12">
        <w:rPr>
          <w:sz w:val="22"/>
          <w:szCs w:val="22"/>
        </w:rPr>
        <w:t>. However, information on its association with other natural products is scarce.</w:t>
      </w:r>
    </w:p>
    <w:p w14:paraId="23EA906F" w14:textId="77777777" w:rsidR="00D31263" w:rsidRPr="001E4A12" w:rsidRDefault="00D31263" w:rsidP="001E4A12">
      <w:pPr>
        <w:jc w:val="both"/>
        <w:rPr>
          <w:sz w:val="22"/>
          <w:szCs w:val="22"/>
        </w:rPr>
      </w:pPr>
    </w:p>
    <w:p w14:paraId="78B3ADAA" w14:textId="77777777" w:rsidR="004234F2" w:rsidRDefault="001E4A12" w:rsidP="004234F2">
      <w:pPr>
        <w:jc w:val="both"/>
        <w:rPr>
          <w:sz w:val="22"/>
          <w:szCs w:val="22"/>
        </w:rPr>
      </w:pPr>
      <w:r w:rsidRPr="001E4A12">
        <w:rPr>
          <w:sz w:val="22"/>
          <w:szCs w:val="22"/>
        </w:rPr>
        <w:t xml:space="preserve">Wheat flour (WF) is </w:t>
      </w:r>
      <w:r w:rsidR="00D31263" w:rsidRPr="001E4A12">
        <w:rPr>
          <w:sz w:val="22"/>
          <w:szCs w:val="22"/>
        </w:rPr>
        <w:t>a</w:t>
      </w:r>
      <w:r w:rsidRPr="001E4A12">
        <w:rPr>
          <w:sz w:val="22"/>
          <w:szCs w:val="22"/>
        </w:rPr>
        <w:t xml:space="preserve"> low-cost natural product, obtained from wheat grains that consists mainly of starch </w:t>
      </w:r>
      <w:r w:rsidR="0037537B">
        <w:rPr>
          <w:sz w:val="22"/>
          <w:szCs w:val="22"/>
        </w:rPr>
        <w:t xml:space="preserve">(72.8 %) and proteins (7.8 %) </w:t>
      </w:r>
      <w:r w:rsidR="001E0455" w:rsidRPr="001E0455">
        <w:rPr>
          <w:noProof/>
          <w:sz w:val="22"/>
          <w:szCs w:val="22"/>
        </w:rPr>
        <w:t>[5]</w:t>
      </w:r>
      <w:r w:rsidRPr="001E4A12">
        <w:rPr>
          <w:sz w:val="22"/>
          <w:szCs w:val="22"/>
        </w:rPr>
        <w:t>. It is widely used as an extender for synthetic res</w:t>
      </w:r>
      <w:r w:rsidR="0037537B">
        <w:rPr>
          <w:sz w:val="22"/>
          <w:szCs w:val="22"/>
        </w:rPr>
        <w:t xml:space="preserve">ins in wood products </w:t>
      </w:r>
      <w:r w:rsidR="001E0455" w:rsidRPr="001E0455">
        <w:rPr>
          <w:noProof/>
          <w:sz w:val="22"/>
          <w:szCs w:val="22"/>
        </w:rPr>
        <w:t>[6]</w:t>
      </w:r>
      <w:r w:rsidRPr="001E4A12">
        <w:rPr>
          <w:sz w:val="22"/>
          <w:szCs w:val="22"/>
        </w:rPr>
        <w:t>.</w:t>
      </w:r>
    </w:p>
    <w:p w14:paraId="201A4D91" w14:textId="77777777" w:rsidR="004234F2" w:rsidRDefault="004234F2" w:rsidP="004234F2">
      <w:pPr>
        <w:jc w:val="both"/>
        <w:rPr>
          <w:sz w:val="22"/>
          <w:szCs w:val="22"/>
        </w:rPr>
      </w:pPr>
    </w:p>
    <w:p w14:paraId="2C1E826D" w14:textId="77777777" w:rsidR="001E4A12" w:rsidRDefault="001E4A12" w:rsidP="004234F2">
      <w:pPr>
        <w:jc w:val="both"/>
        <w:rPr>
          <w:sz w:val="22"/>
          <w:szCs w:val="22"/>
        </w:rPr>
      </w:pPr>
      <w:r w:rsidRPr="001E4A12">
        <w:rPr>
          <w:sz w:val="22"/>
          <w:szCs w:val="22"/>
        </w:rPr>
        <w:t xml:space="preserve">In an attempt to developed a low-cost </w:t>
      </w:r>
      <w:r w:rsidR="00D31263">
        <w:rPr>
          <w:sz w:val="22"/>
          <w:szCs w:val="22"/>
        </w:rPr>
        <w:t xml:space="preserve">bioadhesive, </w:t>
      </w:r>
      <w:r w:rsidRPr="001E4A12">
        <w:rPr>
          <w:sz w:val="22"/>
          <w:szCs w:val="22"/>
        </w:rPr>
        <w:t>with good binding prop</w:t>
      </w:r>
      <w:r w:rsidR="00D31263">
        <w:rPr>
          <w:sz w:val="22"/>
          <w:szCs w:val="22"/>
        </w:rPr>
        <w:t xml:space="preserve">erties, a formulation comprising </w:t>
      </w:r>
      <w:r w:rsidR="00A223B2">
        <w:rPr>
          <w:sz w:val="22"/>
          <w:szCs w:val="22"/>
        </w:rPr>
        <w:t>SSL (84</w:t>
      </w:r>
      <w:r w:rsidRPr="001E4A12">
        <w:rPr>
          <w:sz w:val="22"/>
          <w:szCs w:val="22"/>
        </w:rPr>
        <w:t xml:space="preserve"> </w:t>
      </w:r>
      <w:r w:rsidR="00A223B2">
        <w:rPr>
          <w:sz w:val="22"/>
          <w:szCs w:val="22"/>
        </w:rPr>
        <w:t xml:space="preserve">%) </w:t>
      </w:r>
      <w:r w:rsidR="00D31263">
        <w:rPr>
          <w:sz w:val="22"/>
          <w:szCs w:val="22"/>
        </w:rPr>
        <w:t>and</w:t>
      </w:r>
      <w:r w:rsidR="00A223B2">
        <w:rPr>
          <w:sz w:val="22"/>
          <w:szCs w:val="22"/>
        </w:rPr>
        <w:t xml:space="preserve"> wheat flour (16</w:t>
      </w:r>
      <w:r w:rsidRPr="001E4A12">
        <w:rPr>
          <w:sz w:val="22"/>
          <w:szCs w:val="22"/>
        </w:rPr>
        <w:t xml:space="preserve"> %) was developed. This combination was tested for the production of three-layer particleboards,</w:t>
      </w:r>
      <w:r w:rsidR="004234F2">
        <w:rPr>
          <w:sz w:val="22"/>
          <w:szCs w:val="22"/>
        </w:rPr>
        <w:t xml:space="preserve"> 15</w:t>
      </w:r>
      <w:r w:rsidRPr="001E4A12">
        <w:rPr>
          <w:sz w:val="22"/>
          <w:szCs w:val="22"/>
        </w:rPr>
        <w:t xml:space="preserve"> mm thick and </w:t>
      </w:r>
      <w:r w:rsidR="00D31263">
        <w:rPr>
          <w:sz w:val="22"/>
          <w:szCs w:val="22"/>
        </w:rPr>
        <w:t xml:space="preserve">density of </w:t>
      </w:r>
      <w:r w:rsidRPr="001E4A12">
        <w:rPr>
          <w:sz w:val="22"/>
          <w:szCs w:val="22"/>
        </w:rPr>
        <w:t>(650 ± 20) kg m</w:t>
      </w:r>
      <w:r w:rsidRPr="00A223B2">
        <w:rPr>
          <w:sz w:val="22"/>
          <w:szCs w:val="22"/>
          <w:vertAlign w:val="superscript"/>
        </w:rPr>
        <w:t>−3</w:t>
      </w:r>
      <w:r w:rsidRPr="001E4A12">
        <w:rPr>
          <w:sz w:val="22"/>
          <w:szCs w:val="22"/>
        </w:rPr>
        <w:t xml:space="preserve">, at different manufacturing conditions. </w:t>
      </w:r>
    </w:p>
    <w:p w14:paraId="297E65C4" w14:textId="77777777" w:rsidR="004234F2" w:rsidRDefault="004234F2" w:rsidP="004234F2">
      <w:pPr>
        <w:jc w:val="both"/>
        <w:rPr>
          <w:sz w:val="22"/>
          <w:szCs w:val="22"/>
        </w:rPr>
      </w:pPr>
    </w:p>
    <w:p w14:paraId="7112E5B2" w14:textId="77777777" w:rsidR="004234F2" w:rsidRDefault="004234F2" w:rsidP="004234F2">
      <w:pPr>
        <w:jc w:val="both"/>
        <w:rPr>
          <w:b/>
          <w:sz w:val="22"/>
          <w:szCs w:val="22"/>
        </w:rPr>
      </w:pPr>
      <w:r w:rsidRPr="004234F2">
        <w:rPr>
          <w:b/>
          <w:sz w:val="22"/>
          <w:szCs w:val="22"/>
        </w:rPr>
        <w:t>2. Materials and Methods</w:t>
      </w:r>
    </w:p>
    <w:p w14:paraId="7D02C12A" w14:textId="77777777" w:rsidR="00B014B8" w:rsidRDefault="00B014B8" w:rsidP="004234F2">
      <w:pPr>
        <w:jc w:val="both"/>
        <w:rPr>
          <w:b/>
          <w:sz w:val="22"/>
          <w:szCs w:val="22"/>
        </w:rPr>
      </w:pPr>
    </w:p>
    <w:p w14:paraId="6DB970DA" w14:textId="77777777" w:rsidR="00B014B8" w:rsidRDefault="00B014B8" w:rsidP="004234F2">
      <w:pPr>
        <w:jc w:val="both"/>
        <w:rPr>
          <w:b/>
          <w:sz w:val="22"/>
          <w:szCs w:val="22"/>
        </w:rPr>
      </w:pPr>
      <w:r>
        <w:rPr>
          <w:b/>
          <w:sz w:val="22"/>
          <w:szCs w:val="22"/>
        </w:rPr>
        <w:t>2.1. Materials</w:t>
      </w:r>
    </w:p>
    <w:p w14:paraId="7E2B3A20" w14:textId="77777777" w:rsidR="00B014B8" w:rsidRDefault="00B014B8" w:rsidP="004234F2">
      <w:pPr>
        <w:jc w:val="both"/>
        <w:rPr>
          <w:b/>
          <w:sz w:val="22"/>
          <w:szCs w:val="22"/>
        </w:rPr>
      </w:pPr>
    </w:p>
    <w:p w14:paraId="5B61E339" w14:textId="77777777" w:rsidR="00B014B8" w:rsidRDefault="00B014B8" w:rsidP="004234F2">
      <w:pPr>
        <w:jc w:val="both"/>
        <w:rPr>
          <w:sz w:val="22"/>
          <w:szCs w:val="22"/>
        </w:rPr>
      </w:pPr>
      <w:r w:rsidRPr="00B014B8">
        <w:rPr>
          <w:sz w:val="22"/>
          <w:szCs w:val="22"/>
        </w:rPr>
        <w:t xml:space="preserve">Thick spent sulfite liquor (53-59 wt. % solids content) from acidic magnesium–based sulfite pulping of </w:t>
      </w:r>
      <w:r w:rsidRPr="00B014B8">
        <w:rPr>
          <w:i/>
          <w:sz w:val="22"/>
          <w:szCs w:val="22"/>
        </w:rPr>
        <w:t>Eucalyptus globulus</w:t>
      </w:r>
      <w:r w:rsidRPr="00B014B8">
        <w:rPr>
          <w:sz w:val="22"/>
          <w:szCs w:val="22"/>
        </w:rPr>
        <w:t>, was kindly supplied by Caima – Indústria de Celulose SA (Constância, Portugal). Wheat flour was a 55 type commercial product obtained from Pingo Doce (Lisboa, Portugal) with the following composition: 76.2 % of carbohydrates; 12.5 % of water, 10.0 % of proteins and 1.3 % of lipids. Wood particles were supplied by Sonae Arauco Portugal, SA. (Oliveira do Hospital, Portugal). Unless stated otherwise, all other chemicals were provided by Euroresinas – Indústrias Químicas, S.A. (Sines, Portugal).</w:t>
      </w:r>
    </w:p>
    <w:p w14:paraId="5556D673" w14:textId="77777777" w:rsidR="00B014B8" w:rsidRDefault="00B014B8" w:rsidP="004234F2">
      <w:pPr>
        <w:jc w:val="both"/>
        <w:rPr>
          <w:sz w:val="22"/>
          <w:szCs w:val="22"/>
        </w:rPr>
      </w:pPr>
    </w:p>
    <w:p w14:paraId="7F6DE452" w14:textId="77777777" w:rsidR="00B014B8" w:rsidRDefault="00B014B8" w:rsidP="004234F2">
      <w:pPr>
        <w:jc w:val="both"/>
        <w:rPr>
          <w:b/>
          <w:sz w:val="22"/>
          <w:szCs w:val="22"/>
        </w:rPr>
      </w:pPr>
      <w:r w:rsidRPr="00B014B8">
        <w:rPr>
          <w:b/>
          <w:sz w:val="22"/>
          <w:szCs w:val="22"/>
        </w:rPr>
        <w:t>2.2. Methods</w:t>
      </w:r>
    </w:p>
    <w:p w14:paraId="35DD293B" w14:textId="77777777" w:rsidR="00B014B8" w:rsidRDefault="00B014B8" w:rsidP="004234F2">
      <w:pPr>
        <w:jc w:val="both"/>
        <w:rPr>
          <w:b/>
          <w:sz w:val="22"/>
          <w:szCs w:val="22"/>
        </w:rPr>
      </w:pPr>
    </w:p>
    <w:p w14:paraId="008397A0" w14:textId="77777777" w:rsidR="00B014B8" w:rsidRDefault="00BA3754" w:rsidP="004234F2">
      <w:pPr>
        <w:jc w:val="both"/>
        <w:rPr>
          <w:b/>
          <w:sz w:val="22"/>
          <w:szCs w:val="22"/>
        </w:rPr>
      </w:pPr>
      <w:r>
        <w:rPr>
          <w:b/>
          <w:sz w:val="22"/>
          <w:szCs w:val="22"/>
        </w:rPr>
        <w:t>2.2.1. Thick spent sulfite liquor and wheat flour blend</w:t>
      </w:r>
    </w:p>
    <w:p w14:paraId="535C8AC6" w14:textId="77777777" w:rsidR="00BA3754" w:rsidRDefault="00BA3754" w:rsidP="004234F2">
      <w:pPr>
        <w:jc w:val="both"/>
        <w:rPr>
          <w:b/>
          <w:sz w:val="22"/>
          <w:szCs w:val="22"/>
        </w:rPr>
      </w:pPr>
    </w:p>
    <w:p w14:paraId="2044A9DF" w14:textId="55751364" w:rsidR="00BA3754" w:rsidRPr="00BA3754" w:rsidRDefault="00BA3754" w:rsidP="00BA3754">
      <w:pPr>
        <w:jc w:val="both"/>
        <w:rPr>
          <w:sz w:val="22"/>
          <w:szCs w:val="22"/>
        </w:rPr>
      </w:pPr>
      <w:r w:rsidRPr="00BA3754">
        <w:rPr>
          <w:sz w:val="22"/>
          <w:szCs w:val="22"/>
        </w:rPr>
        <w:t>In a jacketed glass reactor vessel equipped with a condenser, a heating thermostatic bath circulator and an overhead stirrer, 84 parts of TSSL were blended with 16 parts of WF (solids/solids</w:t>
      </w:r>
      <w:r>
        <w:rPr>
          <w:sz w:val="22"/>
          <w:szCs w:val="22"/>
        </w:rPr>
        <w:t>)</w:t>
      </w:r>
      <w:r w:rsidRPr="00BA3754">
        <w:rPr>
          <w:sz w:val="22"/>
          <w:szCs w:val="22"/>
        </w:rPr>
        <w:t xml:space="preserve">. Then the mixture was stirred at 97 </w:t>
      </w:r>
      <w:r w:rsidR="004A27C8">
        <w:rPr>
          <w:sz w:val="22"/>
          <w:szCs w:val="22"/>
          <w:vertAlign w:val="superscript"/>
        </w:rPr>
        <w:t>º</w:t>
      </w:r>
      <w:r w:rsidR="004A27C8" w:rsidRPr="00BA3754">
        <w:rPr>
          <w:sz w:val="22"/>
          <w:szCs w:val="22"/>
        </w:rPr>
        <w:t>C</w:t>
      </w:r>
      <w:r w:rsidR="00D31263">
        <w:rPr>
          <w:sz w:val="22"/>
          <w:szCs w:val="22"/>
        </w:rPr>
        <w:t xml:space="preserve">, </w:t>
      </w:r>
      <w:r w:rsidR="00981BC2">
        <w:rPr>
          <w:sz w:val="22"/>
          <w:szCs w:val="22"/>
        </w:rPr>
        <w:t>or room</w:t>
      </w:r>
      <w:r w:rsidR="00D31263">
        <w:rPr>
          <w:sz w:val="22"/>
          <w:szCs w:val="22"/>
        </w:rPr>
        <w:t xml:space="preserve"> temperature,</w:t>
      </w:r>
      <w:r w:rsidRPr="00BA3754">
        <w:rPr>
          <w:sz w:val="22"/>
          <w:szCs w:val="22"/>
        </w:rPr>
        <w:t xml:space="preserve"> for 70 minutes. The final solids content was adjusted to about 57 % </w:t>
      </w:r>
      <w:r>
        <w:rPr>
          <w:sz w:val="22"/>
          <w:szCs w:val="22"/>
        </w:rPr>
        <w:t xml:space="preserve">with </w:t>
      </w:r>
      <w:r w:rsidRPr="00BA3754">
        <w:rPr>
          <w:sz w:val="22"/>
          <w:szCs w:val="22"/>
        </w:rPr>
        <w:t>deionized water.</w:t>
      </w:r>
    </w:p>
    <w:p w14:paraId="05358A16" w14:textId="77777777" w:rsidR="001E4A12" w:rsidRDefault="001E4A12" w:rsidP="001E4A12">
      <w:pPr>
        <w:jc w:val="both"/>
        <w:rPr>
          <w:sz w:val="22"/>
          <w:szCs w:val="22"/>
        </w:rPr>
      </w:pPr>
    </w:p>
    <w:p w14:paraId="71FF18B3" w14:textId="77777777" w:rsidR="00BA3754" w:rsidRPr="00BA3754" w:rsidRDefault="00BA3754" w:rsidP="001E4A12">
      <w:pPr>
        <w:jc w:val="both"/>
        <w:rPr>
          <w:b/>
          <w:sz w:val="22"/>
          <w:szCs w:val="22"/>
        </w:rPr>
      </w:pPr>
      <w:r w:rsidRPr="00BA3754">
        <w:rPr>
          <w:b/>
          <w:sz w:val="22"/>
          <w:szCs w:val="22"/>
        </w:rPr>
        <w:t>2.2.2. Resin physicochemical characterization</w:t>
      </w:r>
    </w:p>
    <w:p w14:paraId="62637965" w14:textId="77777777" w:rsidR="00BA3754" w:rsidRDefault="00BA3754" w:rsidP="001E4A12">
      <w:pPr>
        <w:jc w:val="both"/>
        <w:rPr>
          <w:sz w:val="22"/>
          <w:szCs w:val="22"/>
        </w:rPr>
      </w:pPr>
    </w:p>
    <w:p w14:paraId="1D3506F6" w14:textId="02D9AEAB" w:rsidR="00BA3754" w:rsidRPr="00BA3754" w:rsidRDefault="00BA3754" w:rsidP="00BA3754">
      <w:pPr>
        <w:jc w:val="both"/>
        <w:rPr>
          <w:sz w:val="22"/>
          <w:szCs w:val="22"/>
        </w:rPr>
      </w:pPr>
      <w:r w:rsidRPr="00BA3754">
        <w:rPr>
          <w:b/>
          <w:sz w:val="22"/>
          <w:szCs w:val="22"/>
        </w:rPr>
        <w:t>Viscosity:</w:t>
      </w:r>
      <w:r w:rsidR="00D31263">
        <w:rPr>
          <w:sz w:val="22"/>
          <w:szCs w:val="22"/>
        </w:rPr>
        <w:t xml:space="preserve"> viscosity (expressed in mPa.</w:t>
      </w:r>
      <w:r w:rsidRPr="00BA3754">
        <w:rPr>
          <w:sz w:val="22"/>
          <w:szCs w:val="22"/>
        </w:rPr>
        <w:t>s) was measured with a Brookfield DV-II+ programmable viscometer at 25 °C.</w:t>
      </w:r>
    </w:p>
    <w:p w14:paraId="1658DB18" w14:textId="77777777" w:rsidR="00BA3754" w:rsidRPr="00BA3754" w:rsidRDefault="00BA3754" w:rsidP="00BA3754">
      <w:pPr>
        <w:jc w:val="both"/>
        <w:rPr>
          <w:sz w:val="22"/>
          <w:szCs w:val="22"/>
        </w:rPr>
      </w:pPr>
    </w:p>
    <w:p w14:paraId="69D9E562" w14:textId="2AA235D2" w:rsidR="001702A1" w:rsidRDefault="00BA3754" w:rsidP="00BA3754">
      <w:pPr>
        <w:jc w:val="both"/>
        <w:rPr>
          <w:sz w:val="22"/>
          <w:szCs w:val="22"/>
        </w:rPr>
      </w:pPr>
      <w:r w:rsidRPr="00BA3754">
        <w:rPr>
          <w:b/>
          <w:sz w:val="22"/>
          <w:szCs w:val="22"/>
        </w:rPr>
        <w:t>pH:</w:t>
      </w:r>
      <w:r w:rsidRPr="00BA3754">
        <w:rPr>
          <w:sz w:val="22"/>
          <w:szCs w:val="22"/>
        </w:rPr>
        <w:t xml:space="preserve"> pH values were measured with a InLab Routine Pro combined pH glass electrode with integrated temperature probe</w:t>
      </w:r>
      <w:r w:rsidR="009751F8">
        <w:rPr>
          <w:sz w:val="22"/>
          <w:szCs w:val="22"/>
        </w:rPr>
        <w:t>.</w:t>
      </w:r>
    </w:p>
    <w:p w14:paraId="6741CD3F" w14:textId="77777777" w:rsidR="00632848" w:rsidRDefault="00632848" w:rsidP="00BA3754">
      <w:pPr>
        <w:jc w:val="both"/>
        <w:rPr>
          <w:sz w:val="22"/>
          <w:szCs w:val="22"/>
        </w:rPr>
      </w:pPr>
    </w:p>
    <w:p w14:paraId="626BD243" w14:textId="77777777" w:rsidR="00632848" w:rsidRDefault="00632848" w:rsidP="00BA3754">
      <w:pPr>
        <w:jc w:val="both"/>
        <w:rPr>
          <w:sz w:val="22"/>
          <w:szCs w:val="22"/>
        </w:rPr>
      </w:pPr>
    </w:p>
    <w:p w14:paraId="5D6E2F27" w14:textId="77777777" w:rsidR="001702A1" w:rsidRPr="007D0448" w:rsidRDefault="001702A1" w:rsidP="00BA3754">
      <w:pPr>
        <w:jc w:val="both"/>
        <w:rPr>
          <w:b/>
          <w:sz w:val="22"/>
          <w:szCs w:val="22"/>
        </w:rPr>
      </w:pPr>
      <w:r w:rsidRPr="007D0448">
        <w:rPr>
          <w:b/>
          <w:sz w:val="22"/>
          <w:szCs w:val="22"/>
        </w:rPr>
        <w:t>2.2.3. Particleboards production</w:t>
      </w:r>
    </w:p>
    <w:p w14:paraId="6713CAB3" w14:textId="77777777" w:rsidR="001702A1" w:rsidRDefault="001702A1" w:rsidP="00BA3754">
      <w:pPr>
        <w:jc w:val="both"/>
        <w:rPr>
          <w:sz w:val="22"/>
          <w:szCs w:val="22"/>
        </w:rPr>
      </w:pPr>
    </w:p>
    <w:p w14:paraId="7D542591" w14:textId="2BA0495B" w:rsidR="001702A1" w:rsidRDefault="001702A1" w:rsidP="00BA3754">
      <w:pPr>
        <w:jc w:val="both"/>
        <w:rPr>
          <w:sz w:val="22"/>
          <w:szCs w:val="22"/>
        </w:rPr>
      </w:pPr>
      <w:r w:rsidRPr="001702A1">
        <w:rPr>
          <w:sz w:val="22"/>
          <w:szCs w:val="22"/>
        </w:rPr>
        <w:t>Particleboards were produced by spraying the resin formulation onto the wood chips (2-3.5</w:t>
      </w:r>
      <w:r w:rsidR="004A27C8">
        <w:rPr>
          <w:sz w:val="22"/>
          <w:szCs w:val="22"/>
        </w:rPr>
        <w:t xml:space="preserve"> </w:t>
      </w:r>
      <w:r w:rsidRPr="001702A1">
        <w:rPr>
          <w:sz w:val="22"/>
          <w:szCs w:val="22"/>
        </w:rPr>
        <w:t xml:space="preserve">% moisture content), in a laboratory glue blender. The resin solids, on dry wood </w:t>
      </w:r>
      <w:r w:rsidR="007D0448">
        <w:rPr>
          <w:sz w:val="22"/>
          <w:szCs w:val="22"/>
        </w:rPr>
        <w:t>c</w:t>
      </w:r>
      <w:r w:rsidR="00D31263">
        <w:rPr>
          <w:sz w:val="22"/>
          <w:szCs w:val="22"/>
        </w:rPr>
        <w:t>hips, were 13.2 % or</w:t>
      </w:r>
      <w:r w:rsidR="007D0448">
        <w:rPr>
          <w:sz w:val="22"/>
          <w:szCs w:val="22"/>
        </w:rPr>
        <w:t xml:space="preserve"> 20.0</w:t>
      </w:r>
      <w:r w:rsidRPr="001702A1">
        <w:rPr>
          <w:sz w:val="22"/>
          <w:szCs w:val="22"/>
        </w:rPr>
        <w:t xml:space="preserve"> %. After blending, a three-layer particle mat was hand formed into a flexible aluminum container (220×220×80 mm). The percentage of wood particles per layer was: 20 % in the upper surface layer, 62 % in the core layer and 18% in the bottom surface layer. The final particleboard density was (650 ± 20) kg·m</w:t>
      </w:r>
      <w:r w:rsidRPr="007D0448">
        <w:rPr>
          <w:sz w:val="22"/>
          <w:szCs w:val="22"/>
          <w:vertAlign w:val="superscript"/>
        </w:rPr>
        <w:t>−3</w:t>
      </w:r>
      <w:r w:rsidRPr="001702A1">
        <w:rPr>
          <w:sz w:val="22"/>
          <w:szCs w:val="22"/>
        </w:rPr>
        <w:t>. The hand formed aluminum containers were pressed in a parallel plate hot-press, set in order to simulate a typical particleboard continuous pressing operation. T</w:t>
      </w:r>
      <w:r w:rsidR="007D0448">
        <w:rPr>
          <w:sz w:val="22"/>
          <w:szCs w:val="22"/>
        </w:rPr>
        <w:t>he pressing times were 300, 420</w:t>
      </w:r>
      <w:r w:rsidR="00D31263">
        <w:rPr>
          <w:sz w:val="22"/>
          <w:szCs w:val="22"/>
        </w:rPr>
        <w:t xml:space="preserve"> </w:t>
      </w:r>
      <w:r w:rsidR="007D0448">
        <w:rPr>
          <w:sz w:val="22"/>
          <w:szCs w:val="22"/>
        </w:rPr>
        <w:t xml:space="preserve">and 600 </w:t>
      </w:r>
      <w:r w:rsidRPr="001702A1">
        <w:rPr>
          <w:sz w:val="22"/>
          <w:szCs w:val="22"/>
        </w:rPr>
        <w:t>seconds and the pressing temperature 190 °C. The final thickness of the panels was 15 mm. Three panels were produced for each pressing time.</w:t>
      </w:r>
    </w:p>
    <w:p w14:paraId="20322523" w14:textId="77777777" w:rsidR="007D0448" w:rsidRDefault="007D0448" w:rsidP="00BA3754">
      <w:pPr>
        <w:jc w:val="both"/>
        <w:rPr>
          <w:sz w:val="22"/>
          <w:szCs w:val="22"/>
        </w:rPr>
      </w:pPr>
    </w:p>
    <w:p w14:paraId="3EC77420" w14:textId="77777777" w:rsidR="007D0448" w:rsidRPr="007D0448" w:rsidRDefault="007D0448" w:rsidP="00BA3754">
      <w:pPr>
        <w:jc w:val="both"/>
        <w:rPr>
          <w:b/>
          <w:sz w:val="22"/>
          <w:szCs w:val="22"/>
        </w:rPr>
      </w:pPr>
      <w:r w:rsidRPr="007D0448">
        <w:rPr>
          <w:b/>
          <w:sz w:val="22"/>
          <w:szCs w:val="22"/>
        </w:rPr>
        <w:t>2.2.4. Particleboards characterization</w:t>
      </w:r>
    </w:p>
    <w:p w14:paraId="04BEC340" w14:textId="77777777" w:rsidR="007D0448" w:rsidRDefault="007D0448" w:rsidP="00BA3754">
      <w:pPr>
        <w:jc w:val="both"/>
        <w:rPr>
          <w:sz w:val="22"/>
          <w:szCs w:val="22"/>
        </w:rPr>
      </w:pPr>
    </w:p>
    <w:p w14:paraId="255516A3" w14:textId="77777777" w:rsidR="00BA3754" w:rsidRDefault="007D0448" w:rsidP="00BA3754">
      <w:pPr>
        <w:jc w:val="both"/>
        <w:rPr>
          <w:sz w:val="22"/>
          <w:szCs w:val="22"/>
        </w:rPr>
      </w:pPr>
      <w:r w:rsidRPr="007D0448">
        <w:rPr>
          <w:sz w:val="22"/>
          <w:szCs w:val="22"/>
        </w:rPr>
        <w:t xml:space="preserve">After pressing, panels were stored in a conditioned room (20 °C, 65 % RH) and the density (EN 323), moisture content (EN 322), internal bond strength (IB) (EN 319) and thickness swelling (EN 317) were tested accordingly to the European standards. </w:t>
      </w:r>
    </w:p>
    <w:p w14:paraId="4C524162" w14:textId="77777777" w:rsidR="007D0448" w:rsidRDefault="007D0448" w:rsidP="00BA3754">
      <w:pPr>
        <w:jc w:val="both"/>
        <w:rPr>
          <w:sz w:val="22"/>
          <w:szCs w:val="22"/>
        </w:rPr>
      </w:pPr>
    </w:p>
    <w:p w14:paraId="0AA32219" w14:textId="77777777" w:rsidR="00A223B2" w:rsidRDefault="007D0448" w:rsidP="00BA3754">
      <w:pPr>
        <w:jc w:val="both"/>
        <w:rPr>
          <w:b/>
          <w:sz w:val="22"/>
          <w:szCs w:val="22"/>
        </w:rPr>
      </w:pPr>
      <w:r w:rsidRPr="007D0448">
        <w:rPr>
          <w:b/>
          <w:sz w:val="22"/>
          <w:szCs w:val="22"/>
        </w:rPr>
        <w:t>3. Results and discussion</w:t>
      </w:r>
    </w:p>
    <w:p w14:paraId="2F5FD63A" w14:textId="77777777" w:rsidR="00A223B2" w:rsidRDefault="00A223B2" w:rsidP="00BA3754">
      <w:pPr>
        <w:jc w:val="both"/>
        <w:rPr>
          <w:b/>
          <w:sz w:val="22"/>
          <w:szCs w:val="22"/>
        </w:rPr>
      </w:pPr>
    </w:p>
    <w:p w14:paraId="0AAA2AF1" w14:textId="77777777" w:rsidR="00A223B2" w:rsidRDefault="00A223B2" w:rsidP="00BA3754">
      <w:pPr>
        <w:jc w:val="both"/>
        <w:rPr>
          <w:b/>
          <w:sz w:val="22"/>
          <w:szCs w:val="22"/>
        </w:rPr>
      </w:pPr>
      <w:r>
        <w:rPr>
          <w:b/>
          <w:sz w:val="22"/>
          <w:szCs w:val="22"/>
        </w:rPr>
        <w:t>3.1. Binder basic properties</w:t>
      </w:r>
    </w:p>
    <w:p w14:paraId="122D5C8E" w14:textId="77777777" w:rsidR="00A223B2" w:rsidRDefault="00A223B2" w:rsidP="00BA3754">
      <w:pPr>
        <w:jc w:val="both"/>
        <w:rPr>
          <w:b/>
          <w:sz w:val="22"/>
          <w:szCs w:val="22"/>
        </w:rPr>
      </w:pPr>
    </w:p>
    <w:p w14:paraId="71445F0B" w14:textId="353C348F" w:rsidR="00A223B2" w:rsidRPr="00EE4719" w:rsidRDefault="00A223B2" w:rsidP="00EE4719">
      <w:pPr>
        <w:jc w:val="both"/>
        <w:rPr>
          <w:sz w:val="22"/>
          <w:szCs w:val="22"/>
        </w:rPr>
      </w:pPr>
      <w:r w:rsidRPr="00EE4719">
        <w:rPr>
          <w:sz w:val="22"/>
          <w:szCs w:val="22"/>
        </w:rPr>
        <w:t xml:space="preserve">The characteristics of TSSL and TSSL mixed with WF </w:t>
      </w:r>
      <w:r w:rsidR="00632848" w:rsidRPr="00EE4719">
        <w:rPr>
          <w:sz w:val="22"/>
          <w:szCs w:val="22"/>
        </w:rPr>
        <w:t xml:space="preserve"> at room temperature and 97 ºC </w:t>
      </w:r>
      <w:r w:rsidRPr="00EE4719">
        <w:rPr>
          <w:sz w:val="22"/>
          <w:szCs w:val="22"/>
        </w:rPr>
        <w:t>(TSSL+WF</w:t>
      </w:r>
      <w:r w:rsidR="00632848" w:rsidRPr="00EE4719">
        <w:rPr>
          <w:sz w:val="22"/>
          <w:szCs w:val="22"/>
        </w:rPr>
        <w:t>-RT or TSSL+WF-97, respectively</w:t>
      </w:r>
      <w:r w:rsidRPr="00EE4719">
        <w:rPr>
          <w:sz w:val="22"/>
          <w:szCs w:val="22"/>
        </w:rPr>
        <w:t xml:space="preserve">) are presented in </w:t>
      </w:r>
      <w:r w:rsidRPr="00EE4719">
        <w:rPr>
          <w:sz w:val="22"/>
          <w:szCs w:val="22"/>
        </w:rPr>
        <w:fldChar w:fldCharType="begin"/>
      </w:r>
      <w:r w:rsidRPr="00EE4719">
        <w:rPr>
          <w:sz w:val="22"/>
          <w:szCs w:val="22"/>
        </w:rPr>
        <w:instrText xml:space="preserve"> REF _Ref503519698 \h  \* MERGEFORMAT </w:instrText>
      </w:r>
      <w:r w:rsidRPr="00EE4719">
        <w:rPr>
          <w:sz w:val="22"/>
          <w:szCs w:val="22"/>
        </w:rPr>
      </w:r>
      <w:r w:rsidRPr="00EE4719">
        <w:rPr>
          <w:sz w:val="22"/>
          <w:szCs w:val="22"/>
        </w:rPr>
        <w:fldChar w:fldCharType="separate"/>
      </w:r>
      <w:r w:rsidRPr="00EE4719">
        <w:rPr>
          <w:sz w:val="22"/>
          <w:szCs w:val="22"/>
        </w:rPr>
        <w:t>Table 1</w:t>
      </w:r>
      <w:r w:rsidRPr="00EE4719">
        <w:rPr>
          <w:sz w:val="22"/>
          <w:szCs w:val="22"/>
        </w:rPr>
        <w:fldChar w:fldCharType="end"/>
      </w:r>
      <w:r w:rsidRPr="00EE4719">
        <w:rPr>
          <w:sz w:val="22"/>
          <w:szCs w:val="22"/>
        </w:rPr>
        <w:t xml:space="preserve">. </w:t>
      </w:r>
      <w:r w:rsidR="00632848" w:rsidRPr="00EE4719">
        <w:rPr>
          <w:sz w:val="22"/>
          <w:szCs w:val="22"/>
        </w:rPr>
        <w:t xml:space="preserve">All the resins, present a low pH, ranging from 2.79 to 2.88, </w:t>
      </w:r>
      <w:r w:rsidR="002009CA" w:rsidRPr="00EE4719">
        <w:rPr>
          <w:sz w:val="22"/>
          <w:szCs w:val="22"/>
        </w:rPr>
        <w:t>resulting</w:t>
      </w:r>
      <w:r w:rsidR="00632848" w:rsidRPr="00EE4719">
        <w:rPr>
          <w:sz w:val="22"/>
          <w:szCs w:val="22"/>
        </w:rPr>
        <w:t xml:space="preserve"> from the characteristic low pH of </w:t>
      </w:r>
      <w:r w:rsidR="002009CA" w:rsidRPr="00EE4719">
        <w:rPr>
          <w:sz w:val="22"/>
          <w:szCs w:val="22"/>
        </w:rPr>
        <w:t>T</w:t>
      </w:r>
      <w:r w:rsidR="00632848" w:rsidRPr="00EE4719">
        <w:rPr>
          <w:sz w:val="22"/>
          <w:szCs w:val="22"/>
        </w:rPr>
        <w:t>SSL</w:t>
      </w:r>
      <w:r w:rsidR="002009CA" w:rsidRPr="00EE4719">
        <w:rPr>
          <w:sz w:val="22"/>
          <w:szCs w:val="22"/>
        </w:rPr>
        <w:t xml:space="preserve">. Regarding the viscosity, </w:t>
      </w:r>
      <w:r w:rsidRPr="00EE4719">
        <w:rPr>
          <w:sz w:val="22"/>
          <w:szCs w:val="22"/>
        </w:rPr>
        <w:t>TSSL+WF-97 has the highest viscosity (505 mPa s), but a substantially higher value was expected, since the mixture was prepared at a temperature higher than the gelatinization temperature of wheat flour starch granules, which ranges from 61 to 75 ºC</w:t>
      </w:r>
      <w:r w:rsidR="0037537B">
        <w:rPr>
          <w:sz w:val="22"/>
          <w:szCs w:val="22"/>
        </w:rPr>
        <w:t xml:space="preserve"> </w:t>
      </w:r>
      <w:r w:rsidR="001E0455" w:rsidRPr="001E0455">
        <w:rPr>
          <w:noProof/>
          <w:sz w:val="22"/>
          <w:szCs w:val="22"/>
        </w:rPr>
        <w:t>[6</w:t>
      </w:r>
      <w:r w:rsidR="00D31263" w:rsidRPr="001E0455">
        <w:rPr>
          <w:noProof/>
          <w:sz w:val="22"/>
          <w:szCs w:val="22"/>
        </w:rPr>
        <w:t>]</w:t>
      </w:r>
      <w:r w:rsidR="00D31263">
        <w:rPr>
          <w:sz w:val="22"/>
          <w:szCs w:val="22"/>
        </w:rPr>
        <w:t>.</w:t>
      </w:r>
      <w:r w:rsidRPr="00EE4719">
        <w:rPr>
          <w:sz w:val="22"/>
          <w:szCs w:val="22"/>
        </w:rPr>
        <w:t xml:space="preserve"> This indicates that the </w:t>
      </w:r>
      <w:r w:rsidR="00D31263" w:rsidRPr="00EE4719">
        <w:rPr>
          <w:sz w:val="22"/>
          <w:szCs w:val="22"/>
        </w:rPr>
        <w:t>gelatinization</w:t>
      </w:r>
      <w:r w:rsidR="002009CA" w:rsidRPr="00EE4719">
        <w:rPr>
          <w:sz w:val="22"/>
          <w:szCs w:val="22"/>
        </w:rPr>
        <w:t xml:space="preserve"> of the starch granules, at 97 ºC was inhibited. This effect is in </w:t>
      </w:r>
      <w:r w:rsidR="00EE4719" w:rsidRPr="00EE4719">
        <w:rPr>
          <w:sz w:val="22"/>
          <w:szCs w:val="22"/>
        </w:rPr>
        <w:t>agreement</w:t>
      </w:r>
      <w:r w:rsidR="002009CA" w:rsidRPr="00EE4719">
        <w:rPr>
          <w:sz w:val="22"/>
          <w:szCs w:val="22"/>
        </w:rPr>
        <w:t xml:space="preserve"> wit</w:t>
      </w:r>
      <w:r w:rsidR="0037537B">
        <w:rPr>
          <w:sz w:val="22"/>
          <w:szCs w:val="22"/>
        </w:rPr>
        <w:t xml:space="preserve">h the work of Richardson </w:t>
      </w:r>
      <w:r w:rsidR="00D31263" w:rsidRPr="0037537B">
        <w:rPr>
          <w:i/>
          <w:sz w:val="22"/>
          <w:szCs w:val="22"/>
        </w:rPr>
        <w:t>et al.</w:t>
      </w:r>
      <w:r w:rsidR="00D31263" w:rsidRPr="001E0455">
        <w:rPr>
          <w:noProof/>
          <w:sz w:val="22"/>
          <w:szCs w:val="22"/>
        </w:rPr>
        <w:t xml:space="preserve"> [</w:t>
      </w:r>
      <w:r w:rsidR="001E0455" w:rsidRPr="001E0455">
        <w:rPr>
          <w:noProof/>
          <w:sz w:val="22"/>
          <w:szCs w:val="22"/>
        </w:rPr>
        <w:t>7]</w:t>
      </w:r>
      <w:r w:rsidR="0037537B">
        <w:rPr>
          <w:sz w:val="22"/>
          <w:szCs w:val="22"/>
        </w:rPr>
        <w:t xml:space="preserve"> </w:t>
      </w:r>
      <w:r w:rsidR="002009CA" w:rsidRPr="00EE4719">
        <w:rPr>
          <w:sz w:val="22"/>
          <w:szCs w:val="22"/>
        </w:rPr>
        <w:t xml:space="preserve">who demonstrated that lignosulfonates delay swelling of </w:t>
      </w:r>
      <w:r w:rsidR="00D31263">
        <w:rPr>
          <w:sz w:val="22"/>
          <w:szCs w:val="22"/>
        </w:rPr>
        <w:t xml:space="preserve">the </w:t>
      </w:r>
      <w:r w:rsidR="002009CA" w:rsidRPr="00EE4719">
        <w:rPr>
          <w:sz w:val="22"/>
          <w:szCs w:val="22"/>
        </w:rPr>
        <w:t>starch granules.</w:t>
      </w:r>
      <w:r w:rsidR="00EE4719" w:rsidRPr="00EE4719">
        <w:rPr>
          <w:sz w:val="22"/>
          <w:szCs w:val="22"/>
        </w:rPr>
        <w:t xml:space="preserve"> The mechanism suggested for this effect </w:t>
      </w:r>
      <w:r w:rsidR="00D31263">
        <w:rPr>
          <w:sz w:val="22"/>
          <w:szCs w:val="22"/>
        </w:rPr>
        <w:t>is the</w:t>
      </w:r>
      <w:r w:rsidR="00EE4719" w:rsidRPr="00EE4719">
        <w:rPr>
          <w:sz w:val="22"/>
          <w:szCs w:val="22"/>
        </w:rPr>
        <w:t xml:space="preserve"> molecular adsorption of lignosulfonates onto the</w:t>
      </w:r>
      <w:r w:rsidR="00D31263">
        <w:rPr>
          <w:sz w:val="22"/>
          <w:szCs w:val="22"/>
        </w:rPr>
        <w:t xml:space="preserve"> </w:t>
      </w:r>
      <w:r w:rsidR="00EE4719" w:rsidRPr="00EE4719">
        <w:rPr>
          <w:sz w:val="22"/>
          <w:szCs w:val="22"/>
        </w:rPr>
        <w:t>granules surface, hindering transport to and from the granules.</w:t>
      </w:r>
    </w:p>
    <w:p w14:paraId="66FF1052" w14:textId="77777777" w:rsidR="002009CA" w:rsidRPr="00632848" w:rsidRDefault="002009CA" w:rsidP="00BA3754">
      <w:pPr>
        <w:jc w:val="both"/>
        <w:rPr>
          <w:lang w:val="en-GB"/>
        </w:rPr>
      </w:pPr>
    </w:p>
    <w:p w14:paraId="62220635" w14:textId="77777777" w:rsidR="00A223B2" w:rsidRPr="001C7A44" w:rsidRDefault="00A223B2" w:rsidP="009751F8">
      <w:pPr>
        <w:pStyle w:val="Legenda"/>
        <w:keepNext/>
        <w:jc w:val="both"/>
        <w:rPr>
          <w:rFonts w:ascii="Times New Roman" w:hAnsi="Times New Roman"/>
          <w:i w:val="0"/>
          <w:color w:val="000000"/>
          <w:sz w:val="22"/>
          <w:szCs w:val="22"/>
          <w:lang w:val="en-US"/>
        </w:rPr>
      </w:pPr>
      <w:bookmarkStart w:id="1" w:name="_Ref503519698"/>
      <w:r w:rsidRPr="001C7A44">
        <w:rPr>
          <w:rFonts w:ascii="Times New Roman" w:hAnsi="Times New Roman"/>
          <w:b/>
          <w:i w:val="0"/>
          <w:color w:val="000000"/>
          <w:sz w:val="22"/>
          <w:szCs w:val="22"/>
          <w:lang w:val="en-US"/>
        </w:rPr>
        <w:t xml:space="preserve">Table </w:t>
      </w:r>
      <w:r w:rsidRPr="001C7A44">
        <w:rPr>
          <w:rFonts w:ascii="Times New Roman" w:hAnsi="Times New Roman"/>
          <w:b/>
          <w:i w:val="0"/>
          <w:color w:val="000000"/>
          <w:sz w:val="22"/>
          <w:szCs w:val="22"/>
        </w:rPr>
        <w:fldChar w:fldCharType="begin"/>
      </w:r>
      <w:r w:rsidRPr="001C7A44">
        <w:rPr>
          <w:rFonts w:ascii="Times New Roman" w:hAnsi="Times New Roman"/>
          <w:b/>
          <w:i w:val="0"/>
          <w:color w:val="000000"/>
          <w:sz w:val="22"/>
          <w:szCs w:val="22"/>
          <w:lang w:val="en-US"/>
        </w:rPr>
        <w:instrText xml:space="preserve"> SEQ Table \* ARABIC </w:instrText>
      </w:r>
      <w:r w:rsidRPr="001C7A44">
        <w:rPr>
          <w:rFonts w:ascii="Times New Roman" w:hAnsi="Times New Roman"/>
          <w:b/>
          <w:i w:val="0"/>
          <w:color w:val="000000"/>
          <w:sz w:val="22"/>
          <w:szCs w:val="22"/>
        </w:rPr>
        <w:fldChar w:fldCharType="separate"/>
      </w:r>
      <w:r w:rsidRPr="001C7A44">
        <w:rPr>
          <w:rFonts w:ascii="Times New Roman" w:hAnsi="Times New Roman"/>
          <w:b/>
          <w:i w:val="0"/>
          <w:noProof/>
          <w:color w:val="000000"/>
          <w:sz w:val="22"/>
          <w:szCs w:val="22"/>
          <w:lang w:val="en-US"/>
        </w:rPr>
        <w:t>1</w:t>
      </w:r>
      <w:r w:rsidRPr="001C7A44">
        <w:rPr>
          <w:rFonts w:ascii="Times New Roman" w:hAnsi="Times New Roman"/>
          <w:b/>
          <w:i w:val="0"/>
          <w:color w:val="000000"/>
          <w:sz w:val="22"/>
          <w:szCs w:val="22"/>
        </w:rPr>
        <w:fldChar w:fldCharType="end"/>
      </w:r>
      <w:bookmarkEnd w:id="1"/>
      <w:r w:rsidRPr="001C7A44">
        <w:rPr>
          <w:rFonts w:ascii="Times New Roman" w:hAnsi="Times New Roman"/>
          <w:b/>
          <w:i w:val="0"/>
          <w:color w:val="000000"/>
          <w:sz w:val="22"/>
          <w:szCs w:val="22"/>
          <w:lang w:val="en-US"/>
        </w:rPr>
        <w:t>.</w:t>
      </w:r>
      <w:r w:rsidRPr="001C7A44">
        <w:rPr>
          <w:rFonts w:ascii="Times New Roman" w:hAnsi="Times New Roman"/>
          <w:i w:val="0"/>
          <w:color w:val="000000"/>
          <w:sz w:val="22"/>
          <w:szCs w:val="22"/>
          <w:lang w:val="en-US"/>
        </w:rPr>
        <w:t xml:space="preserve"> Final properties of TSSL, TSSL mixed with wheat flour (84:16) at room temperature (TSSL+WF-RT) and at 97 ºC (TSSL+WF-97).</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445"/>
        <w:gridCol w:w="1302"/>
        <w:gridCol w:w="2046"/>
      </w:tblGrid>
      <w:tr w:rsidR="00632848" w:rsidRPr="001C7A44" w14:paraId="2F829FA7" w14:textId="77777777" w:rsidTr="00632848">
        <w:trPr>
          <w:trHeight w:val="259"/>
          <w:jc w:val="center"/>
        </w:trPr>
        <w:tc>
          <w:tcPr>
            <w:tcW w:w="2445" w:type="dxa"/>
            <w:tcBorders>
              <w:bottom w:val="single" w:sz="4" w:space="0" w:color="7F7F7F"/>
            </w:tcBorders>
            <w:shd w:val="clear" w:color="auto" w:fill="auto"/>
          </w:tcPr>
          <w:p w14:paraId="4E551916" w14:textId="77777777" w:rsidR="00632848" w:rsidRPr="00EE4719" w:rsidRDefault="00632848" w:rsidP="00EE4719">
            <w:pPr>
              <w:rPr>
                <w:b/>
                <w:bCs/>
                <w:sz w:val="22"/>
                <w:szCs w:val="22"/>
                <w:lang w:val="en-GB"/>
              </w:rPr>
            </w:pPr>
            <w:r w:rsidRPr="00EE4719">
              <w:rPr>
                <w:b/>
                <w:bCs/>
                <w:sz w:val="22"/>
                <w:szCs w:val="22"/>
                <w:lang w:val="en-GB"/>
              </w:rPr>
              <w:t>Resin/ Properties</w:t>
            </w:r>
          </w:p>
        </w:tc>
        <w:tc>
          <w:tcPr>
            <w:tcW w:w="1302" w:type="dxa"/>
            <w:tcBorders>
              <w:bottom w:val="single" w:sz="4" w:space="0" w:color="7F7F7F"/>
            </w:tcBorders>
            <w:shd w:val="clear" w:color="auto" w:fill="auto"/>
          </w:tcPr>
          <w:p w14:paraId="31B0482B" w14:textId="77777777" w:rsidR="00632848" w:rsidRPr="00EE4719" w:rsidRDefault="00632848" w:rsidP="00EE4719">
            <w:pPr>
              <w:jc w:val="center"/>
              <w:rPr>
                <w:b/>
                <w:bCs/>
                <w:sz w:val="22"/>
                <w:szCs w:val="22"/>
                <w:lang w:val="en-GB"/>
              </w:rPr>
            </w:pPr>
            <w:r w:rsidRPr="00EE4719">
              <w:rPr>
                <w:b/>
                <w:bCs/>
                <w:sz w:val="22"/>
                <w:szCs w:val="22"/>
                <w:lang w:val="en-GB"/>
              </w:rPr>
              <w:t>pH</w:t>
            </w:r>
          </w:p>
        </w:tc>
        <w:tc>
          <w:tcPr>
            <w:tcW w:w="2046" w:type="dxa"/>
            <w:tcBorders>
              <w:bottom w:val="single" w:sz="4" w:space="0" w:color="7F7F7F"/>
            </w:tcBorders>
            <w:shd w:val="clear" w:color="auto" w:fill="auto"/>
          </w:tcPr>
          <w:p w14:paraId="52CD7808" w14:textId="77777777" w:rsidR="00632848" w:rsidRPr="00EE4719" w:rsidRDefault="00D31263" w:rsidP="00EE4719">
            <w:pPr>
              <w:jc w:val="center"/>
              <w:rPr>
                <w:b/>
                <w:bCs/>
                <w:sz w:val="22"/>
                <w:szCs w:val="22"/>
                <w:lang w:val="en-GB"/>
              </w:rPr>
            </w:pPr>
            <w:r>
              <w:rPr>
                <w:rStyle w:val="nlmarticle-title"/>
                <w:b/>
                <w:bCs/>
                <w:iCs/>
                <w:sz w:val="22"/>
                <w:szCs w:val="22"/>
              </w:rPr>
              <w:t>Viscosity (mPa.</w:t>
            </w:r>
            <w:r w:rsidR="00632848" w:rsidRPr="00EE4719">
              <w:rPr>
                <w:rStyle w:val="nlmarticle-title"/>
                <w:b/>
                <w:bCs/>
                <w:iCs/>
                <w:sz w:val="22"/>
                <w:szCs w:val="22"/>
              </w:rPr>
              <w:t>s)</w:t>
            </w:r>
          </w:p>
        </w:tc>
      </w:tr>
      <w:tr w:rsidR="00632848" w:rsidRPr="001C7A44" w14:paraId="16EC728B" w14:textId="77777777" w:rsidTr="00632848">
        <w:trPr>
          <w:trHeight w:val="383"/>
          <w:jc w:val="center"/>
        </w:trPr>
        <w:tc>
          <w:tcPr>
            <w:tcW w:w="2445" w:type="dxa"/>
            <w:tcBorders>
              <w:top w:val="single" w:sz="4" w:space="0" w:color="7F7F7F"/>
              <w:bottom w:val="single" w:sz="4" w:space="0" w:color="7F7F7F"/>
            </w:tcBorders>
            <w:shd w:val="clear" w:color="auto" w:fill="auto"/>
          </w:tcPr>
          <w:p w14:paraId="41338DDA" w14:textId="77777777" w:rsidR="00632848" w:rsidRPr="00EE4719" w:rsidRDefault="00632848" w:rsidP="00EE4719">
            <w:pPr>
              <w:rPr>
                <w:b/>
                <w:bCs/>
                <w:sz w:val="22"/>
                <w:szCs w:val="22"/>
                <w:lang w:val="en-GB"/>
              </w:rPr>
            </w:pPr>
            <w:r w:rsidRPr="00EE4719">
              <w:rPr>
                <w:b/>
                <w:bCs/>
                <w:sz w:val="22"/>
                <w:szCs w:val="22"/>
                <w:lang w:val="en-GB"/>
              </w:rPr>
              <w:t>TSSL</w:t>
            </w:r>
          </w:p>
        </w:tc>
        <w:tc>
          <w:tcPr>
            <w:tcW w:w="1302" w:type="dxa"/>
            <w:tcBorders>
              <w:top w:val="single" w:sz="4" w:space="0" w:color="7F7F7F"/>
              <w:bottom w:val="single" w:sz="4" w:space="0" w:color="7F7F7F"/>
            </w:tcBorders>
            <w:shd w:val="clear" w:color="auto" w:fill="auto"/>
          </w:tcPr>
          <w:p w14:paraId="71D5C945" w14:textId="77777777" w:rsidR="00632848" w:rsidRPr="00EE4719" w:rsidRDefault="00632848" w:rsidP="00EE4719">
            <w:pPr>
              <w:jc w:val="center"/>
              <w:rPr>
                <w:sz w:val="22"/>
                <w:szCs w:val="22"/>
                <w:lang w:val="en-GB"/>
              </w:rPr>
            </w:pPr>
            <w:r w:rsidRPr="00EE4719">
              <w:rPr>
                <w:sz w:val="22"/>
                <w:szCs w:val="22"/>
                <w:lang w:val="en-GB"/>
              </w:rPr>
              <w:t>2.79</w:t>
            </w:r>
          </w:p>
        </w:tc>
        <w:tc>
          <w:tcPr>
            <w:tcW w:w="2046" w:type="dxa"/>
            <w:tcBorders>
              <w:top w:val="single" w:sz="4" w:space="0" w:color="7F7F7F"/>
              <w:bottom w:val="single" w:sz="4" w:space="0" w:color="7F7F7F"/>
            </w:tcBorders>
            <w:shd w:val="clear" w:color="auto" w:fill="auto"/>
          </w:tcPr>
          <w:p w14:paraId="31975D8B" w14:textId="77777777" w:rsidR="00632848" w:rsidRPr="00EE4719" w:rsidRDefault="00632848" w:rsidP="00EE4719">
            <w:pPr>
              <w:jc w:val="center"/>
              <w:rPr>
                <w:sz w:val="22"/>
                <w:szCs w:val="22"/>
                <w:lang w:val="en-GB"/>
              </w:rPr>
            </w:pPr>
            <w:r w:rsidRPr="00EE4719">
              <w:rPr>
                <w:sz w:val="22"/>
                <w:szCs w:val="22"/>
                <w:lang w:val="en-GB"/>
              </w:rPr>
              <w:t>115</w:t>
            </w:r>
          </w:p>
        </w:tc>
      </w:tr>
      <w:tr w:rsidR="00632848" w:rsidRPr="001C7A44" w14:paraId="78EF7E4A" w14:textId="77777777" w:rsidTr="00632848">
        <w:trPr>
          <w:trHeight w:val="268"/>
          <w:jc w:val="center"/>
        </w:trPr>
        <w:tc>
          <w:tcPr>
            <w:tcW w:w="2445" w:type="dxa"/>
            <w:shd w:val="clear" w:color="auto" w:fill="auto"/>
          </w:tcPr>
          <w:p w14:paraId="07F2F832" w14:textId="77777777" w:rsidR="00632848" w:rsidRPr="00EE4719" w:rsidRDefault="00632848" w:rsidP="00EE4719">
            <w:pPr>
              <w:rPr>
                <w:b/>
                <w:bCs/>
                <w:sz w:val="22"/>
                <w:szCs w:val="22"/>
                <w:lang w:val="en-GB"/>
              </w:rPr>
            </w:pPr>
            <w:r w:rsidRPr="00EE4719">
              <w:rPr>
                <w:b/>
                <w:bCs/>
                <w:sz w:val="22"/>
                <w:szCs w:val="22"/>
                <w:lang w:val="en-GB"/>
              </w:rPr>
              <w:t>TSSL+WF-RT</w:t>
            </w:r>
          </w:p>
        </w:tc>
        <w:tc>
          <w:tcPr>
            <w:tcW w:w="1302" w:type="dxa"/>
            <w:shd w:val="clear" w:color="auto" w:fill="auto"/>
          </w:tcPr>
          <w:p w14:paraId="0F284466" w14:textId="77777777" w:rsidR="00632848" w:rsidRPr="00EE4719" w:rsidRDefault="00632848" w:rsidP="00EE4719">
            <w:pPr>
              <w:jc w:val="center"/>
              <w:rPr>
                <w:sz w:val="22"/>
                <w:szCs w:val="22"/>
                <w:lang w:val="en-GB"/>
              </w:rPr>
            </w:pPr>
            <w:r w:rsidRPr="00EE4719">
              <w:rPr>
                <w:sz w:val="22"/>
                <w:szCs w:val="22"/>
                <w:lang w:val="en-GB"/>
              </w:rPr>
              <w:t>2.83</w:t>
            </w:r>
          </w:p>
        </w:tc>
        <w:tc>
          <w:tcPr>
            <w:tcW w:w="2046" w:type="dxa"/>
            <w:shd w:val="clear" w:color="auto" w:fill="auto"/>
          </w:tcPr>
          <w:p w14:paraId="16D4B34E" w14:textId="77777777" w:rsidR="00632848" w:rsidRPr="00EE4719" w:rsidRDefault="00632848" w:rsidP="00EE4719">
            <w:pPr>
              <w:jc w:val="center"/>
              <w:rPr>
                <w:sz w:val="22"/>
                <w:szCs w:val="22"/>
                <w:lang w:val="en-GB"/>
              </w:rPr>
            </w:pPr>
            <w:r w:rsidRPr="00EE4719">
              <w:rPr>
                <w:sz w:val="22"/>
                <w:szCs w:val="22"/>
                <w:lang w:val="en-GB"/>
              </w:rPr>
              <w:t>230</w:t>
            </w:r>
          </w:p>
        </w:tc>
      </w:tr>
      <w:tr w:rsidR="00632848" w:rsidRPr="001C7A44" w14:paraId="09ABC23C" w14:textId="77777777" w:rsidTr="00632848">
        <w:trPr>
          <w:trHeight w:val="383"/>
          <w:jc w:val="center"/>
        </w:trPr>
        <w:tc>
          <w:tcPr>
            <w:tcW w:w="2445" w:type="dxa"/>
            <w:tcBorders>
              <w:top w:val="single" w:sz="4" w:space="0" w:color="7F7F7F"/>
              <w:bottom w:val="single" w:sz="4" w:space="0" w:color="7F7F7F"/>
            </w:tcBorders>
            <w:shd w:val="clear" w:color="auto" w:fill="auto"/>
          </w:tcPr>
          <w:p w14:paraId="16CCDD9D" w14:textId="77777777" w:rsidR="00632848" w:rsidRPr="00EE4719" w:rsidRDefault="00632848" w:rsidP="00EE4719">
            <w:pPr>
              <w:rPr>
                <w:b/>
                <w:bCs/>
                <w:sz w:val="22"/>
                <w:szCs w:val="22"/>
                <w:lang w:val="en-GB"/>
              </w:rPr>
            </w:pPr>
            <w:r w:rsidRPr="00EE4719">
              <w:rPr>
                <w:b/>
                <w:bCs/>
                <w:sz w:val="22"/>
                <w:szCs w:val="22"/>
                <w:lang w:val="en-GB"/>
              </w:rPr>
              <w:t>TSSL+WF-97</w:t>
            </w:r>
          </w:p>
        </w:tc>
        <w:tc>
          <w:tcPr>
            <w:tcW w:w="1302" w:type="dxa"/>
            <w:tcBorders>
              <w:top w:val="single" w:sz="4" w:space="0" w:color="7F7F7F"/>
              <w:bottom w:val="single" w:sz="4" w:space="0" w:color="7F7F7F"/>
            </w:tcBorders>
            <w:shd w:val="clear" w:color="auto" w:fill="auto"/>
          </w:tcPr>
          <w:p w14:paraId="4C5E85E8" w14:textId="77777777" w:rsidR="00632848" w:rsidRPr="00EE4719" w:rsidRDefault="00632848" w:rsidP="00EE4719">
            <w:pPr>
              <w:jc w:val="center"/>
              <w:rPr>
                <w:sz w:val="22"/>
                <w:szCs w:val="22"/>
                <w:lang w:val="en-GB"/>
              </w:rPr>
            </w:pPr>
            <w:r w:rsidRPr="00EE4719">
              <w:rPr>
                <w:sz w:val="22"/>
                <w:szCs w:val="22"/>
                <w:lang w:val="en-GB"/>
              </w:rPr>
              <w:t>2.88</w:t>
            </w:r>
          </w:p>
        </w:tc>
        <w:tc>
          <w:tcPr>
            <w:tcW w:w="2046" w:type="dxa"/>
            <w:tcBorders>
              <w:top w:val="single" w:sz="4" w:space="0" w:color="7F7F7F"/>
              <w:bottom w:val="single" w:sz="4" w:space="0" w:color="7F7F7F"/>
            </w:tcBorders>
            <w:shd w:val="clear" w:color="auto" w:fill="auto"/>
          </w:tcPr>
          <w:p w14:paraId="6144061F" w14:textId="77777777" w:rsidR="00632848" w:rsidRPr="00EE4719" w:rsidRDefault="00632848" w:rsidP="00EE4719">
            <w:pPr>
              <w:jc w:val="center"/>
              <w:rPr>
                <w:sz w:val="22"/>
                <w:szCs w:val="22"/>
                <w:lang w:val="en-GB"/>
              </w:rPr>
            </w:pPr>
            <w:r w:rsidRPr="00EE4719">
              <w:rPr>
                <w:sz w:val="22"/>
                <w:szCs w:val="22"/>
                <w:lang w:val="en-GB"/>
              </w:rPr>
              <w:t>505</w:t>
            </w:r>
          </w:p>
        </w:tc>
      </w:tr>
    </w:tbl>
    <w:p w14:paraId="1D472BA6" w14:textId="77777777" w:rsidR="00A223B2" w:rsidRPr="0099375E" w:rsidRDefault="00A223B2" w:rsidP="00A223B2">
      <w:pPr>
        <w:spacing w:line="360" w:lineRule="auto"/>
      </w:pPr>
    </w:p>
    <w:p w14:paraId="4E624D74" w14:textId="77777777" w:rsidR="00A223B2" w:rsidRDefault="00A223B2" w:rsidP="00AE11B5">
      <w:pPr>
        <w:contextualSpacing/>
        <w:rPr>
          <w:sz w:val="22"/>
          <w:szCs w:val="22"/>
        </w:rPr>
      </w:pPr>
      <w:r w:rsidRPr="00EE4719">
        <w:rPr>
          <w:sz w:val="22"/>
          <w:szCs w:val="22"/>
        </w:rPr>
        <w:t xml:space="preserve">This </w:t>
      </w:r>
      <w:r w:rsidR="00EE4719" w:rsidRPr="00EE4719">
        <w:rPr>
          <w:sz w:val="22"/>
          <w:szCs w:val="22"/>
        </w:rPr>
        <w:t xml:space="preserve">effect allowed the mixture prepared at 97 ºC maintain an </w:t>
      </w:r>
      <w:r w:rsidRPr="00EE4719">
        <w:rPr>
          <w:sz w:val="22"/>
          <w:szCs w:val="22"/>
        </w:rPr>
        <w:t xml:space="preserve">acceptable viscosity for being applied on wood particles by spraying and tumble mixing. </w:t>
      </w:r>
    </w:p>
    <w:p w14:paraId="2C42464A" w14:textId="77777777" w:rsidR="00AE11B5" w:rsidRDefault="00AE11B5" w:rsidP="00AE11B5">
      <w:pPr>
        <w:contextualSpacing/>
        <w:rPr>
          <w:sz w:val="22"/>
          <w:szCs w:val="22"/>
        </w:rPr>
      </w:pPr>
    </w:p>
    <w:p w14:paraId="058F54FC" w14:textId="77777777" w:rsidR="00AE11B5" w:rsidRDefault="00AE11B5" w:rsidP="00AE11B5">
      <w:pPr>
        <w:jc w:val="both"/>
        <w:rPr>
          <w:b/>
          <w:sz w:val="22"/>
          <w:szCs w:val="22"/>
        </w:rPr>
      </w:pPr>
      <w:r w:rsidRPr="00AE11B5">
        <w:rPr>
          <w:b/>
          <w:sz w:val="22"/>
          <w:szCs w:val="22"/>
        </w:rPr>
        <w:t xml:space="preserve">3.2. </w:t>
      </w:r>
      <w:r w:rsidR="00D31263" w:rsidRPr="00AE11B5">
        <w:rPr>
          <w:b/>
          <w:sz w:val="22"/>
          <w:szCs w:val="22"/>
        </w:rPr>
        <w:t>Binding</w:t>
      </w:r>
      <w:r w:rsidRPr="00AE11B5">
        <w:rPr>
          <w:b/>
          <w:sz w:val="22"/>
          <w:szCs w:val="22"/>
        </w:rPr>
        <w:t xml:space="preserve"> performance in particleboards</w:t>
      </w:r>
    </w:p>
    <w:p w14:paraId="66BC01B0" w14:textId="77777777" w:rsidR="00AE11B5" w:rsidRDefault="00AE11B5" w:rsidP="00AE11B5">
      <w:pPr>
        <w:jc w:val="both"/>
        <w:rPr>
          <w:b/>
          <w:sz w:val="22"/>
          <w:szCs w:val="22"/>
        </w:rPr>
      </w:pPr>
    </w:p>
    <w:p w14:paraId="5599BB57" w14:textId="775C52E8" w:rsidR="00AE11B5" w:rsidRDefault="00AE11B5" w:rsidP="00AE11B5">
      <w:pPr>
        <w:jc w:val="both"/>
        <w:rPr>
          <w:color w:val="222222"/>
          <w:shd w:val="clear" w:color="auto" w:fill="FFFFFF"/>
        </w:rPr>
      </w:pPr>
      <w:r>
        <w:rPr>
          <w:color w:val="222222"/>
          <w:shd w:val="clear" w:color="auto" w:fill="FFFFFF"/>
        </w:rPr>
        <w:t xml:space="preserve">To assess the binding performance of the </w:t>
      </w:r>
      <w:r w:rsidR="000E45B1">
        <w:rPr>
          <w:color w:val="222222"/>
          <w:shd w:val="clear" w:color="auto" w:fill="FFFFFF"/>
        </w:rPr>
        <w:t xml:space="preserve">developed mixtures, </w:t>
      </w:r>
      <w:r w:rsidR="00D31263">
        <w:rPr>
          <w:color w:val="222222"/>
          <w:shd w:val="clear" w:color="auto" w:fill="FFFFFF"/>
        </w:rPr>
        <w:t>particleboards</w:t>
      </w:r>
      <w:r w:rsidR="00371839">
        <w:rPr>
          <w:color w:val="222222"/>
          <w:shd w:val="clear" w:color="auto" w:fill="FFFFFF"/>
        </w:rPr>
        <w:t xml:space="preserve"> (PB)</w:t>
      </w:r>
      <w:r w:rsidR="000E45B1">
        <w:rPr>
          <w:color w:val="222222"/>
          <w:shd w:val="clear" w:color="auto" w:fill="FFFFFF"/>
        </w:rPr>
        <w:t xml:space="preserve"> </w:t>
      </w:r>
      <w:r>
        <w:rPr>
          <w:color w:val="222222"/>
          <w:shd w:val="clear" w:color="auto" w:fill="FFFFFF"/>
        </w:rPr>
        <w:t>were produced with the TSSL</w:t>
      </w:r>
      <w:r w:rsidR="000E45B1">
        <w:rPr>
          <w:color w:val="222222"/>
          <w:shd w:val="clear" w:color="auto" w:fill="FFFFFF"/>
        </w:rPr>
        <w:t xml:space="preserve"> and TSSL</w:t>
      </w:r>
      <w:r>
        <w:rPr>
          <w:color w:val="222222"/>
          <w:shd w:val="clear" w:color="auto" w:fill="FFFFFF"/>
        </w:rPr>
        <w:t>+WT</w:t>
      </w:r>
      <w:r w:rsidR="000E45B1">
        <w:rPr>
          <w:color w:val="222222"/>
          <w:shd w:val="clear" w:color="auto" w:fill="FFFFFF"/>
        </w:rPr>
        <w:t xml:space="preserve"> mixtures. The content of binder solids</w:t>
      </w:r>
      <w:r w:rsidR="009751F8">
        <w:rPr>
          <w:color w:val="222222"/>
          <w:shd w:val="clear" w:color="auto" w:fill="FFFFFF"/>
        </w:rPr>
        <w:t xml:space="preserve"> </w:t>
      </w:r>
      <w:r w:rsidR="000E45B1">
        <w:rPr>
          <w:color w:val="222222"/>
          <w:shd w:val="clear" w:color="auto" w:fill="FFFFFF"/>
        </w:rPr>
        <w:t>on dry wood chips</w:t>
      </w:r>
      <w:r w:rsidR="00016A2D">
        <w:rPr>
          <w:color w:val="222222"/>
          <w:shd w:val="clear" w:color="auto" w:fill="FFFFFF"/>
        </w:rPr>
        <w:t xml:space="preserve"> (20</w:t>
      </w:r>
      <w:r w:rsidR="00016A2D" w:rsidRPr="00016A2D">
        <w:rPr>
          <w:color w:val="222222"/>
          <w:shd w:val="clear" w:color="auto" w:fill="FFFFFF"/>
        </w:rPr>
        <w:t xml:space="preserve"> or 13.2</w:t>
      </w:r>
      <w:r w:rsidR="00016A2D">
        <w:rPr>
          <w:color w:val="222222"/>
          <w:shd w:val="clear" w:color="auto" w:fill="FFFFFF"/>
        </w:rPr>
        <w:t xml:space="preserve"> %)</w:t>
      </w:r>
      <w:r w:rsidR="000E45B1">
        <w:rPr>
          <w:color w:val="222222"/>
          <w:shd w:val="clear" w:color="auto" w:fill="FFFFFF"/>
        </w:rPr>
        <w:t xml:space="preserve">, and </w:t>
      </w:r>
      <w:r w:rsidR="00D31263">
        <w:rPr>
          <w:color w:val="222222"/>
          <w:shd w:val="clear" w:color="auto" w:fill="FFFFFF"/>
        </w:rPr>
        <w:t>particleboards</w:t>
      </w:r>
      <w:r w:rsidR="000E45B1">
        <w:rPr>
          <w:color w:val="222222"/>
          <w:shd w:val="clear" w:color="auto" w:fill="FFFFFF"/>
        </w:rPr>
        <w:t xml:space="preserve"> pressing time, were also studied.</w:t>
      </w:r>
    </w:p>
    <w:p w14:paraId="05B4E2DC" w14:textId="77777777" w:rsidR="0039120B" w:rsidRDefault="0039120B" w:rsidP="00AE11B5">
      <w:pPr>
        <w:jc w:val="both"/>
        <w:rPr>
          <w:color w:val="222222"/>
          <w:shd w:val="clear" w:color="auto" w:fill="FFFFFF"/>
        </w:rPr>
      </w:pPr>
    </w:p>
    <w:p w14:paraId="076FB4C4" w14:textId="418E7FD1" w:rsidR="0039120B" w:rsidRDefault="00662565" w:rsidP="00AE11B5">
      <w:pPr>
        <w:jc w:val="both"/>
        <w:rPr>
          <w:color w:val="222222"/>
          <w:shd w:val="clear" w:color="auto" w:fill="FFFFFF"/>
        </w:rPr>
      </w:pPr>
      <w:r>
        <w:rPr>
          <w:noProof/>
          <w:lang w:val="pt-PT" w:eastAsia="pt-PT"/>
        </w:rPr>
        <w:lastRenderedPageBreak/>
        <w:drawing>
          <wp:inline distT="0" distB="0" distL="0" distR="0" wp14:anchorId="5A23F41B" wp14:editId="0506F9CA">
            <wp:extent cx="5762625" cy="3519805"/>
            <wp:effectExtent l="0" t="0" r="0" b="444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6886F" w14:textId="77777777" w:rsidR="00BC23B2" w:rsidRDefault="00BC23B2" w:rsidP="00AE11B5">
      <w:pPr>
        <w:jc w:val="both"/>
        <w:rPr>
          <w:color w:val="222222"/>
          <w:shd w:val="clear" w:color="auto" w:fill="FFFFFF"/>
        </w:rPr>
      </w:pPr>
    </w:p>
    <w:p w14:paraId="555D043B" w14:textId="593E687D" w:rsidR="0039120B" w:rsidRPr="000627A5" w:rsidRDefault="0039120B" w:rsidP="009751F8">
      <w:pPr>
        <w:pStyle w:val="Legenda"/>
        <w:jc w:val="both"/>
        <w:rPr>
          <w:rFonts w:ascii="Times New Roman" w:hAnsi="Times New Roman"/>
          <w:i w:val="0"/>
          <w:color w:val="auto"/>
          <w:sz w:val="22"/>
          <w:szCs w:val="22"/>
          <w:lang w:val="en-GB"/>
        </w:rPr>
      </w:pPr>
      <w:bookmarkStart w:id="2" w:name="_Ref501707901"/>
      <w:r w:rsidRPr="00124CB3">
        <w:rPr>
          <w:rFonts w:ascii="Times New Roman" w:hAnsi="Times New Roman"/>
          <w:b/>
          <w:i w:val="0"/>
          <w:color w:val="auto"/>
          <w:sz w:val="22"/>
          <w:szCs w:val="22"/>
          <w:lang w:val="en-US"/>
        </w:rPr>
        <w:t xml:space="preserve">Figure </w:t>
      </w:r>
      <w:r w:rsidRPr="00124CB3">
        <w:rPr>
          <w:rFonts w:ascii="Times New Roman" w:hAnsi="Times New Roman"/>
          <w:b/>
          <w:i w:val="0"/>
          <w:color w:val="auto"/>
          <w:sz w:val="22"/>
          <w:szCs w:val="22"/>
        </w:rPr>
        <w:fldChar w:fldCharType="begin"/>
      </w:r>
      <w:r w:rsidRPr="00124CB3">
        <w:rPr>
          <w:rFonts w:ascii="Times New Roman" w:hAnsi="Times New Roman"/>
          <w:b/>
          <w:i w:val="0"/>
          <w:color w:val="auto"/>
          <w:sz w:val="22"/>
          <w:szCs w:val="22"/>
          <w:lang w:val="en-US"/>
        </w:rPr>
        <w:instrText xml:space="preserve"> SEQ Figure \* ARABIC </w:instrText>
      </w:r>
      <w:r w:rsidRPr="00124CB3">
        <w:rPr>
          <w:rFonts w:ascii="Times New Roman" w:hAnsi="Times New Roman"/>
          <w:b/>
          <w:i w:val="0"/>
          <w:color w:val="auto"/>
          <w:sz w:val="22"/>
          <w:szCs w:val="22"/>
        </w:rPr>
        <w:fldChar w:fldCharType="separate"/>
      </w:r>
      <w:r>
        <w:rPr>
          <w:rFonts w:ascii="Times New Roman" w:hAnsi="Times New Roman"/>
          <w:b/>
          <w:i w:val="0"/>
          <w:noProof/>
          <w:color w:val="auto"/>
          <w:sz w:val="22"/>
          <w:szCs w:val="22"/>
          <w:lang w:val="en-US"/>
        </w:rPr>
        <w:t>1</w:t>
      </w:r>
      <w:r w:rsidRPr="00124CB3">
        <w:rPr>
          <w:rFonts w:ascii="Times New Roman" w:hAnsi="Times New Roman"/>
          <w:b/>
          <w:i w:val="0"/>
          <w:color w:val="auto"/>
          <w:sz w:val="22"/>
          <w:szCs w:val="22"/>
        </w:rPr>
        <w:fldChar w:fldCharType="end"/>
      </w:r>
      <w:bookmarkEnd w:id="2"/>
      <w:r w:rsidRPr="00124CB3">
        <w:rPr>
          <w:rFonts w:ascii="Times New Roman" w:hAnsi="Times New Roman"/>
          <w:b/>
          <w:i w:val="0"/>
          <w:color w:val="auto"/>
          <w:sz w:val="22"/>
          <w:szCs w:val="22"/>
          <w:lang w:val="en-US"/>
        </w:rPr>
        <w:t>.</w:t>
      </w:r>
      <w:r w:rsidRPr="00124CB3">
        <w:rPr>
          <w:rFonts w:ascii="Times New Roman" w:hAnsi="Times New Roman"/>
          <w:i w:val="0"/>
          <w:color w:val="auto"/>
          <w:sz w:val="22"/>
          <w:szCs w:val="22"/>
          <w:lang w:val="en-US"/>
        </w:rPr>
        <w:t xml:space="preserve">  Internal bond strength of particleboards produced with </w:t>
      </w:r>
      <w:r>
        <w:rPr>
          <w:rFonts w:ascii="Times New Roman" w:hAnsi="Times New Roman"/>
          <w:i w:val="0"/>
          <w:color w:val="auto"/>
          <w:sz w:val="22"/>
          <w:szCs w:val="22"/>
          <w:lang w:val="en-US"/>
        </w:rPr>
        <w:t xml:space="preserve">TSSL and </w:t>
      </w:r>
      <w:r w:rsidRPr="00124CB3">
        <w:rPr>
          <w:rFonts w:ascii="Times New Roman" w:hAnsi="Times New Roman"/>
          <w:i w:val="0"/>
          <w:color w:val="auto"/>
          <w:sz w:val="22"/>
          <w:szCs w:val="22"/>
          <w:lang w:val="en-US"/>
        </w:rPr>
        <w:t>TSSL</w:t>
      </w:r>
      <w:r>
        <w:rPr>
          <w:rFonts w:ascii="Times New Roman" w:hAnsi="Times New Roman"/>
          <w:i w:val="0"/>
          <w:color w:val="auto"/>
          <w:sz w:val="22"/>
          <w:szCs w:val="22"/>
          <w:lang w:val="en-US"/>
        </w:rPr>
        <w:t xml:space="preserve">+WF mixture </w:t>
      </w:r>
      <w:r w:rsidRPr="00124CB3">
        <w:rPr>
          <w:rStyle w:val="nlmarticle-title"/>
          <w:rFonts w:ascii="Times New Roman" w:hAnsi="Times New Roman"/>
          <w:i w:val="0"/>
          <w:color w:val="auto"/>
          <w:sz w:val="22"/>
          <w:szCs w:val="22"/>
          <w:lang w:val="en-US"/>
        </w:rPr>
        <w:t>mixed at room temperature</w:t>
      </w:r>
      <w:r>
        <w:rPr>
          <w:rStyle w:val="nlmarticle-title"/>
          <w:rFonts w:ascii="Times New Roman" w:hAnsi="Times New Roman"/>
          <w:i w:val="0"/>
          <w:color w:val="auto"/>
          <w:sz w:val="22"/>
          <w:szCs w:val="22"/>
          <w:lang w:val="en-US"/>
        </w:rPr>
        <w:t xml:space="preserve"> and 97 </w:t>
      </w:r>
      <w:r w:rsidR="00D31263">
        <w:rPr>
          <w:rStyle w:val="nlmarticle-title"/>
          <w:rFonts w:ascii="Times New Roman" w:hAnsi="Times New Roman"/>
          <w:i w:val="0"/>
          <w:color w:val="auto"/>
          <w:sz w:val="22"/>
          <w:szCs w:val="22"/>
          <w:lang w:val="en-US"/>
        </w:rPr>
        <w:t xml:space="preserve">ºC </w:t>
      </w:r>
      <w:r w:rsidR="00D31263" w:rsidRPr="00124CB3">
        <w:rPr>
          <w:rStyle w:val="nlmarticle-title"/>
          <w:rFonts w:ascii="Times New Roman" w:hAnsi="Times New Roman"/>
          <w:i w:val="0"/>
          <w:color w:val="auto"/>
          <w:sz w:val="22"/>
          <w:szCs w:val="22"/>
          <w:lang w:val="en-US"/>
        </w:rPr>
        <w:t>(</w:t>
      </w:r>
      <w:r>
        <w:rPr>
          <w:rStyle w:val="nlmarticle-title"/>
          <w:rFonts w:ascii="Times New Roman" w:hAnsi="Times New Roman"/>
          <w:i w:val="0"/>
          <w:color w:val="auto"/>
          <w:sz w:val="22"/>
          <w:szCs w:val="22"/>
          <w:lang w:val="en-US"/>
        </w:rPr>
        <w:t>TSSL+WF-</w:t>
      </w:r>
      <w:r w:rsidRPr="00124CB3">
        <w:rPr>
          <w:rStyle w:val="nlmarticle-title"/>
          <w:rFonts w:ascii="Times New Roman" w:hAnsi="Times New Roman"/>
          <w:i w:val="0"/>
          <w:color w:val="auto"/>
          <w:sz w:val="22"/>
          <w:szCs w:val="22"/>
          <w:lang w:val="en-US"/>
        </w:rPr>
        <w:t>RT</w:t>
      </w:r>
      <w:r>
        <w:rPr>
          <w:rStyle w:val="nlmarticle-title"/>
          <w:rFonts w:ascii="Times New Roman" w:hAnsi="Times New Roman"/>
          <w:i w:val="0"/>
          <w:color w:val="auto"/>
          <w:sz w:val="22"/>
          <w:szCs w:val="22"/>
          <w:lang w:val="en-US"/>
        </w:rPr>
        <w:t xml:space="preserve"> and TSSL+WF-97, respectively</w:t>
      </w:r>
      <w:r w:rsidRPr="00124CB3">
        <w:rPr>
          <w:rStyle w:val="nlmarticle-title"/>
          <w:rFonts w:ascii="Times New Roman" w:hAnsi="Times New Roman"/>
          <w:i w:val="0"/>
          <w:color w:val="auto"/>
          <w:sz w:val="22"/>
          <w:szCs w:val="22"/>
          <w:lang w:val="en-US"/>
        </w:rPr>
        <w:t>)</w:t>
      </w:r>
      <w:r w:rsidRPr="00124CB3">
        <w:rPr>
          <w:rFonts w:ascii="Times New Roman" w:hAnsi="Times New Roman"/>
          <w:i w:val="0"/>
          <w:color w:val="auto"/>
          <w:sz w:val="22"/>
          <w:szCs w:val="22"/>
          <w:lang w:val="en-US"/>
        </w:rPr>
        <w:t xml:space="preserve"> </w:t>
      </w:r>
      <w:r>
        <w:rPr>
          <w:rFonts w:ascii="Times New Roman" w:hAnsi="Times New Roman"/>
          <w:i w:val="0"/>
          <w:color w:val="auto"/>
          <w:sz w:val="22"/>
          <w:szCs w:val="22"/>
          <w:lang w:val="en-US"/>
        </w:rPr>
        <w:t xml:space="preserve">as a function of </w:t>
      </w:r>
      <w:r w:rsidRPr="00124CB3">
        <w:rPr>
          <w:rFonts w:ascii="Times New Roman" w:hAnsi="Times New Roman"/>
          <w:i w:val="0"/>
          <w:color w:val="auto"/>
          <w:sz w:val="22"/>
          <w:szCs w:val="22"/>
          <w:lang w:val="en-US"/>
        </w:rPr>
        <w:t>different pressing times</w:t>
      </w:r>
      <w:r>
        <w:rPr>
          <w:rFonts w:ascii="Times New Roman" w:hAnsi="Times New Roman"/>
          <w:i w:val="0"/>
          <w:color w:val="auto"/>
          <w:sz w:val="22"/>
          <w:szCs w:val="22"/>
          <w:lang w:val="en-US"/>
        </w:rPr>
        <w:t>.</w:t>
      </w:r>
      <w:r w:rsidRPr="00124CB3">
        <w:rPr>
          <w:rFonts w:ascii="Times New Roman" w:hAnsi="Times New Roman"/>
          <w:i w:val="0"/>
          <w:color w:val="auto"/>
          <w:sz w:val="22"/>
          <w:szCs w:val="22"/>
          <w:lang w:val="en-US"/>
        </w:rPr>
        <w:t xml:space="preserve"> Particleboards were manufacture</w:t>
      </w:r>
      <w:r>
        <w:rPr>
          <w:rFonts w:ascii="Times New Roman" w:hAnsi="Times New Roman"/>
          <w:i w:val="0"/>
          <w:color w:val="auto"/>
          <w:sz w:val="22"/>
          <w:szCs w:val="22"/>
          <w:lang w:val="en-US"/>
        </w:rPr>
        <w:t>d</w:t>
      </w:r>
      <w:r w:rsidRPr="00124CB3">
        <w:rPr>
          <w:rFonts w:ascii="Times New Roman" w:hAnsi="Times New Roman"/>
          <w:i w:val="0"/>
          <w:color w:val="auto"/>
          <w:sz w:val="22"/>
          <w:szCs w:val="22"/>
          <w:lang w:val="en-US"/>
        </w:rPr>
        <w:t xml:space="preserve"> with 20 % </w:t>
      </w:r>
      <w:r>
        <w:rPr>
          <w:rFonts w:ascii="Times New Roman" w:hAnsi="Times New Roman"/>
          <w:i w:val="0"/>
          <w:color w:val="auto"/>
          <w:sz w:val="22"/>
          <w:szCs w:val="22"/>
          <w:lang w:val="en-US"/>
        </w:rPr>
        <w:t>or</w:t>
      </w:r>
      <w:r w:rsidRPr="00124CB3">
        <w:rPr>
          <w:rFonts w:ascii="Times New Roman" w:hAnsi="Times New Roman"/>
          <w:i w:val="0"/>
          <w:color w:val="auto"/>
          <w:sz w:val="22"/>
          <w:szCs w:val="22"/>
          <w:lang w:val="en-US"/>
        </w:rPr>
        <w:t xml:space="preserve"> 13.2</w:t>
      </w:r>
      <w:r>
        <w:rPr>
          <w:rFonts w:ascii="Times New Roman" w:hAnsi="Times New Roman"/>
          <w:i w:val="0"/>
          <w:color w:val="auto"/>
          <w:sz w:val="22"/>
          <w:szCs w:val="22"/>
          <w:lang w:val="en-US"/>
        </w:rPr>
        <w:t xml:space="preserve"> % </w:t>
      </w:r>
      <w:r w:rsidRPr="00124CB3">
        <w:rPr>
          <w:rFonts w:ascii="Times New Roman" w:hAnsi="Times New Roman"/>
          <w:i w:val="0"/>
          <w:color w:val="auto"/>
          <w:sz w:val="22"/>
          <w:szCs w:val="22"/>
          <w:lang w:val="en-US"/>
        </w:rPr>
        <w:t xml:space="preserve">of </w:t>
      </w:r>
      <w:r>
        <w:rPr>
          <w:rFonts w:ascii="Times New Roman" w:eastAsia="Times New Roman" w:hAnsi="Times New Roman"/>
          <w:i w:val="0"/>
          <w:color w:val="auto"/>
          <w:sz w:val="22"/>
          <w:szCs w:val="22"/>
          <w:lang w:val="en-US" w:eastAsia="pt-PT"/>
        </w:rPr>
        <w:t>binder</w:t>
      </w:r>
      <w:r w:rsidRPr="00124CB3">
        <w:rPr>
          <w:rFonts w:ascii="Times New Roman" w:eastAsia="Times New Roman" w:hAnsi="Times New Roman"/>
          <w:i w:val="0"/>
          <w:color w:val="auto"/>
          <w:sz w:val="22"/>
          <w:szCs w:val="22"/>
          <w:lang w:val="en-US" w:eastAsia="pt-PT"/>
        </w:rPr>
        <w:t xml:space="preserve"> solids </w:t>
      </w:r>
      <w:r>
        <w:rPr>
          <w:rFonts w:ascii="Times New Roman" w:eastAsia="Times New Roman" w:hAnsi="Times New Roman"/>
          <w:i w:val="0"/>
          <w:color w:val="auto"/>
          <w:sz w:val="22"/>
          <w:szCs w:val="22"/>
          <w:lang w:val="en-US" w:eastAsia="pt-PT"/>
        </w:rPr>
        <w:t xml:space="preserve">relative to </w:t>
      </w:r>
      <w:r w:rsidRPr="00124CB3">
        <w:rPr>
          <w:rFonts w:ascii="Times New Roman" w:eastAsia="Times New Roman" w:hAnsi="Times New Roman"/>
          <w:i w:val="0"/>
          <w:color w:val="auto"/>
          <w:sz w:val="22"/>
          <w:szCs w:val="22"/>
          <w:lang w:val="en-US" w:eastAsia="pt-PT"/>
        </w:rPr>
        <w:t xml:space="preserve">dry wood </w:t>
      </w:r>
      <w:r>
        <w:rPr>
          <w:rFonts w:ascii="Times New Roman" w:eastAsia="Times New Roman" w:hAnsi="Times New Roman"/>
          <w:i w:val="0"/>
          <w:color w:val="auto"/>
          <w:sz w:val="22"/>
          <w:szCs w:val="22"/>
          <w:lang w:val="en-US" w:eastAsia="pt-PT"/>
        </w:rPr>
        <w:t>particles,</w:t>
      </w:r>
      <w:r w:rsidRPr="00124CB3">
        <w:rPr>
          <w:rFonts w:ascii="Times New Roman" w:hAnsi="Times New Roman"/>
          <w:i w:val="0"/>
          <w:color w:val="auto"/>
          <w:sz w:val="22"/>
          <w:szCs w:val="22"/>
          <w:lang w:val="en-US"/>
        </w:rPr>
        <w:t xml:space="preserve"> and pressed at</w:t>
      </w:r>
      <w:r w:rsidRPr="00124CB3">
        <w:rPr>
          <w:rFonts w:ascii="Times New Roman" w:hAnsi="Times New Roman"/>
          <w:i w:val="0"/>
          <w:color w:val="auto"/>
          <w:sz w:val="22"/>
          <w:szCs w:val="22"/>
          <w:lang w:val="en-GB"/>
        </w:rPr>
        <w:t xml:space="preserve"> 190 </w:t>
      </w:r>
      <w:r w:rsidR="004A27C8">
        <w:rPr>
          <w:rFonts w:ascii="Times New Roman" w:hAnsi="Times New Roman"/>
          <w:i w:val="0"/>
          <w:color w:val="auto"/>
          <w:sz w:val="22"/>
          <w:szCs w:val="22"/>
          <w:vertAlign w:val="superscript"/>
          <w:lang w:val="en-GB"/>
        </w:rPr>
        <w:t>º</w:t>
      </w:r>
      <w:r w:rsidR="004A27C8" w:rsidRPr="00124CB3">
        <w:rPr>
          <w:rFonts w:ascii="Times New Roman" w:hAnsi="Times New Roman"/>
          <w:i w:val="0"/>
          <w:color w:val="auto"/>
          <w:sz w:val="22"/>
          <w:szCs w:val="22"/>
          <w:lang w:val="en-GB"/>
        </w:rPr>
        <w:t>C</w:t>
      </w:r>
      <w:r w:rsidR="004A27C8">
        <w:rPr>
          <w:rFonts w:ascii="Times New Roman" w:hAnsi="Times New Roman"/>
          <w:i w:val="0"/>
          <w:color w:val="auto"/>
          <w:sz w:val="22"/>
          <w:szCs w:val="22"/>
          <w:lang w:val="en-GB"/>
        </w:rPr>
        <w:t xml:space="preserve"> </w:t>
      </w:r>
      <w:r>
        <w:rPr>
          <w:rFonts w:ascii="Times New Roman" w:hAnsi="Times New Roman"/>
          <w:i w:val="0"/>
          <w:color w:val="auto"/>
          <w:sz w:val="22"/>
          <w:szCs w:val="22"/>
          <w:lang w:val="en-GB"/>
        </w:rPr>
        <w:t>(IB values shown in legend).</w:t>
      </w:r>
    </w:p>
    <w:p w14:paraId="6C783993" w14:textId="4D2E7E56" w:rsidR="00435437" w:rsidRDefault="009E7356" w:rsidP="00593376">
      <w:pPr>
        <w:jc w:val="both"/>
        <w:rPr>
          <w:color w:val="222222"/>
          <w:sz w:val="22"/>
          <w:szCs w:val="22"/>
          <w:shd w:val="clear" w:color="auto" w:fill="FFFFFF"/>
        </w:rPr>
      </w:pPr>
      <w:r w:rsidRPr="009E7356">
        <w:rPr>
          <w:color w:val="222222"/>
          <w:sz w:val="22"/>
          <w:szCs w:val="22"/>
          <w:shd w:val="clear" w:color="auto" w:fill="FFFFFF"/>
        </w:rPr>
        <w:fldChar w:fldCharType="begin"/>
      </w:r>
      <w:r w:rsidRPr="009E7356">
        <w:rPr>
          <w:color w:val="222222"/>
          <w:sz w:val="22"/>
          <w:szCs w:val="22"/>
          <w:shd w:val="clear" w:color="auto" w:fill="FFFFFF"/>
        </w:rPr>
        <w:instrText xml:space="preserve"> REF _Ref501707901 \h  \* MERGEFORMAT </w:instrText>
      </w:r>
      <w:r w:rsidRPr="009E7356">
        <w:rPr>
          <w:color w:val="222222"/>
          <w:sz w:val="22"/>
          <w:szCs w:val="22"/>
          <w:shd w:val="clear" w:color="auto" w:fill="FFFFFF"/>
        </w:rPr>
      </w:r>
      <w:r w:rsidRPr="009E7356">
        <w:rPr>
          <w:color w:val="222222"/>
          <w:sz w:val="22"/>
          <w:szCs w:val="22"/>
          <w:shd w:val="clear" w:color="auto" w:fill="FFFFFF"/>
        </w:rPr>
        <w:fldChar w:fldCharType="separate"/>
      </w:r>
      <w:r w:rsidRPr="009751F8">
        <w:rPr>
          <w:color w:val="222222"/>
          <w:sz w:val="22"/>
          <w:szCs w:val="22"/>
          <w:shd w:val="clear" w:color="auto" w:fill="FFFFFF"/>
        </w:rPr>
        <w:t>Figure 1</w:t>
      </w:r>
      <w:r w:rsidRPr="009E7356">
        <w:rPr>
          <w:color w:val="222222"/>
          <w:sz w:val="22"/>
          <w:szCs w:val="22"/>
          <w:shd w:val="clear" w:color="auto" w:fill="FFFFFF"/>
        </w:rPr>
        <w:fldChar w:fldCharType="end"/>
      </w:r>
      <w:r w:rsidRPr="009E7356">
        <w:rPr>
          <w:color w:val="222222"/>
          <w:sz w:val="22"/>
          <w:szCs w:val="22"/>
          <w:shd w:val="clear" w:color="auto" w:fill="FFFFFF"/>
        </w:rPr>
        <w:t xml:space="preserve"> presents the internal bond strength (IB) values obtained for different pressing times and binder/wood ratios. All the particleboards produced with the TSSL+WT formulation</w:t>
      </w:r>
      <w:r w:rsidR="00D31263">
        <w:rPr>
          <w:color w:val="222222"/>
          <w:sz w:val="22"/>
          <w:szCs w:val="22"/>
          <w:shd w:val="clear" w:color="auto" w:fill="FFFFFF"/>
        </w:rPr>
        <w:t>s</w:t>
      </w:r>
      <w:r w:rsidRPr="009E7356">
        <w:rPr>
          <w:color w:val="222222"/>
          <w:sz w:val="22"/>
          <w:szCs w:val="22"/>
          <w:shd w:val="clear" w:color="auto" w:fill="FFFFFF"/>
        </w:rPr>
        <w:t xml:space="preserve"> present</w:t>
      </w:r>
      <w:r w:rsidR="00D31263">
        <w:rPr>
          <w:color w:val="222222"/>
          <w:sz w:val="22"/>
          <w:szCs w:val="22"/>
          <w:shd w:val="clear" w:color="auto" w:fill="FFFFFF"/>
        </w:rPr>
        <w:t>ed</w:t>
      </w:r>
      <w:r w:rsidRPr="009E7356">
        <w:rPr>
          <w:color w:val="222222"/>
          <w:sz w:val="22"/>
          <w:szCs w:val="22"/>
          <w:shd w:val="clear" w:color="auto" w:fill="FFFFFF"/>
        </w:rPr>
        <w:t xml:space="preserve"> </w:t>
      </w:r>
      <w:r w:rsidR="00D31263">
        <w:rPr>
          <w:color w:val="222222"/>
          <w:sz w:val="22"/>
          <w:szCs w:val="22"/>
          <w:shd w:val="clear" w:color="auto" w:fill="FFFFFF"/>
        </w:rPr>
        <w:t>higher</w:t>
      </w:r>
      <w:r w:rsidRPr="009E7356">
        <w:rPr>
          <w:color w:val="222222"/>
          <w:sz w:val="22"/>
          <w:szCs w:val="22"/>
          <w:shd w:val="clear" w:color="auto" w:fill="FFFFFF"/>
        </w:rPr>
        <w:t xml:space="preserve"> IB</w:t>
      </w:r>
      <w:r w:rsidR="00D31263">
        <w:rPr>
          <w:color w:val="222222"/>
          <w:sz w:val="22"/>
          <w:szCs w:val="22"/>
          <w:shd w:val="clear" w:color="auto" w:fill="FFFFFF"/>
        </w:rPr>
        <w:t>s</w:t>
      </w:r>
      <w:r w:rsidRPr="009E7356">
        <w:rPr>
          <w:color w:val="222222"/>
          <w:sz w:val="22"/>
          <w:szCs w:val="22"/>
          <w:shd w:val="clear" w:color="auto" w:fill="FFFFFF"/>
        </w:rPr>
        <w:t xml:space="preserve"> than </w:t>
      </w:r>
      <w:r w:rsidR="00D31263">
        <w:rPr>
          <w:color w:val="222222"/>
          <w:sz w:val="22"/>
          <w:szCs w:val="22"/>
          <w:shd w:val="clear" w:color="auto" w:fill="FFFFFF"/>
        </w:rPr>
        <w:t>the PBs produced solely with</w:t>
      </w:r>
      <w:r w:rsidR="00435437">
        <w:rPr>
          <w:color w:val="222222"/>
          <w:sz w:val="22"/>
          <w:szCs w:val="22"/>
          <w:shd w:val="clear" w:color="auto" w:fill="FFFFFF"/>
        </w:rPr>
        <w:t xml:space="preserve"> </w:t>
      </w:r>
      <w:r w:rsidR="00D31263">
        <w:rPr>
          <w:color w:val="222222"/>
          <w:sz w:val="22"/>
          <w:szCs w:val="22"/>
          <w:shd w:val="clear" w:color="auto" w:fill="FFFFFF"/>
        </w:rPr>
        <w:t>TSSL</w:t>
      </w:r>
      <w:r w:rsidR="00435437">
        <w:rPr>
          <w:color w:val="222222"/>
          <w:sz w:val="22"/>
          <w:szCs w:val="22"/>
          <w:shd w:val="clear" w:color="auto" w:fill="FFFFFF"/>
        </w:rPr>
        <w:t>. Even when the PBs were produced with lower contents of TSSL+WF mixture, the IBs were higher</w:t>
      </w:r>
      <w:r w:rsidRPr="009E7356">
        <w:rPr>
          <w:color w:val="222222"/>
          <w:sz w:val="22"/>
          <w:szCs w:val="22"/>
          <w:shd w:val="clear" w:color="auto" w:fill="FFFFFF"/>
        </w:rPr>
        <w:t xml:space="preserve">. </w:t>
      </w:r>
    </w:p>
    <w:p w14:paraId="5B45BD0E" w14:textId="77777777" w:rsidR="00435437" w:rsidRDefault="00435437" w:rsidP="00593376">
      <w:pPr>
        <w:jc w:val="both"/>
        <w:rPr>
          <w:color w:val="222222"/>
          <w:sz w:val="22"/>
          <w:szCs w:val="22"/>
          <w:shd w:val="clear" w:color="auto" w:fill="FFFFFF"/>
        </w:rPr>
      </w:pPr>
    </w:p>
    <w:p w14:paraId="1D729748" w14:textId="5847DEF7" w:rsidR="00166359" w:rsidRPr="00593376" w:rsidRDefault="00435437" w:rsidP="00593376">
      <w:pPr>
        <w:jc w:val="both"/>
        <w:rPr>
          <w:color w:val="222222"/>
          <w:sz w:val="22"/>
          <w:szCs w:val="22"/>
          <w:shd w:val="clear" w:color="auto" w:fill="FFFFFF"/>
        </w:rPr>
      </w:pPr>
      <w:r>
        <w:rPr>
          <w:color w:val="222222"/>
          <w:sz w:val="22"/>
          <w:szCs w:val="22"/>
          <w:shd w:val="clear" w:color="auto" w:fill="FFFFFF"/>
        </w:rPr>
        <w:t xml:space="preserve">For all the binders, the best pressing time was 600 seconds. The </w:t>
      </w:r>
      <w:r w:rsidR="00371839">
        <w:rPr>
          <w:color w:val="222222"/>
          <w:sz w:val="22"/>
          <w:szCs w:val="22"/>
          <w:shd w:val="clear" w:color="auto" w:fill="FFFFFF"/>
        </w:rPr>
        <w:t>PB</w:t>
      </w:r>
      <w:r>
        <w:rPr>
          <w:color w:val="222222"/>
          <w:sz w:val="22"/>
          <w:szCs w:val="22"/>
          <w:shd w:val="clear" w:color="auto" w:fill="FFFFFF"/>
        </w:rPr>
        <w:t>s</w:t>
      </w:r>
      <w:r w:rsidR="00371839">
        <w:rPr>
          <w:color w:val="222222"/>
          <w:sz w:val="22"/>
          <w:szCs w:val="22"/>
          <w:shd w:val="clear" w:color="auto" w:fill="FFFFFF"/>
        </w:rPr>
        <w:t xml:space="preserve"> </w:t>
      </w:r>
      <w:r w:rsidR="00371839" w:rsidRPr="00593376">
        <w:rPr>
          <w:color w:val="222222"/>
          <w:sz w:val="22"/>
          <w:szCs w:val="22"/>
          <w:shd w:val="clear" w:color="auto" w:fill="FFFFFF"/>
        </w:rPr>
        <w:t xml:space="preserve">produced </w:t>
      </w:r>
      <w:r w:rsidR="00D31263" w:rsidRPr="00593376">
        <w:rPr>
          <w:color w:val="222222"/>
          <w:sz w:val="22"/>
          <w:szCs w:val="22"/>
          <w:shd w:val="clear" w:color="auto" w:fill="FFFFFF"/>
        </w:rPr>
        <w:t>with TSSL</w:t>
      </w:r>
      <w:r w:rsidR="00371839" w:rsidRPr="00593376">
        <w:rPr>
          <w:color w:val="222222"/>
          <w:sz w:val="22"/>
          <w:szCs w:val="22"/>
          <w:shd w:val="clear" w:color="auto" w:fill="FFFFFF"/>
        </w:rPr>
        <w:t xml:space="preserve"> presented an</w:t>
      </w:r>
      <w:r w:rsidR="00371839" w:rsidRPr="00593376">
        <w:rPr>
          <w:sz w:val="22"/>
          <w:szCs w:val="22"/>
          <w:lang w:val="en-GB"/>
        </w:rPr>
        <w:t xml:space="preserve"> IB (0.30 N</w:t>
      </w:r>
      <w:r w:rsidR="004A27C8">
        <w:rPr>
          <w:sz w:val="22"/>
          <w:szCs w:val="22"/>
          <w:lang w:val="en-GB"/>
        </w:rPr>
        <w:t>·</w:t>
      </w:r>
      <w:r w:rsidR="00371839" w:rsidRPr="00593376">
        <w:rPr>
          <w:sz w:val="22"/>
          <w:szCs w:val="22"/>
          <w:lang w:val="en-GB"/>
        </w:rPr>
        <w:t>mm</w:t>
      </w:r>
      <w:r w:rsidR="00371839" w:rsidRPr="00593376">
        <w:rPr>
          <w:sz w:val="22"/>
          <w:szCs w:val="22"/>
          <w:vertAlign w:val="superscript"/>
          <w:lang w:val="en-GB"/>
        </w:rPr>
        <w:t>-2</w:t>
      </w:r>
      <w:r w:rsidR="00371839" w:rsidRPr="00593376">
        <w:rPr>
          <w:sz w:val="22"/>
          <w:szCs w:val="22"/>
          <w:lang w:val="en-GB"/>
        </w:rPr>
        <w:t>) above the requirements of the standard EN 312 for particleboards type P1 (0.24 N</w:t>
      </w:r>
      <w:r w:rsidR="004A27C8">
        <w:rPr>
          <w:sz w:val="22"/>
          <w:szCs w:val="22"/>
          <w:lang w:val="en-GB"/>
        </w:rPr>
        <w:t>·</w:t>
      </w:r>
      <w:r w:rsidR="00371839" w:rsidRPr="00593376">
        <w:rPr>
          <w:sz w:val="22"/>
          <w:szCs w:val="22"/>
          <w:lang w:val="en-GB"/>
        </w:rPr>
        <w:t>mm</w:t>
      </w:r>
      <w:r w:rsidR="00371839" w:rsidRPr="00593376">
        <w:rPr>
          <w:sz w:val="22"/>
          <w:szCs w:val="22"/>
          <w:vertAlign w:val="superscript"/>
          <w:lang w:val="en-GB"/>
        </w:rPr>
        <w:t>-2</w:t>
      </w:r>
      <w:r w:rsidR="00371839" w:rsidRPr="00593376">
        <w:rPr>
          <w:sz w:val="22"/>
          <w:szCs w:val="22"/>
          <w:lang w:val="en-GB"/>
        </w:rPr>
        <w:t>)</w:t>
      </w:r>
      <w:r w:rsidR="00166359" w:rsidRPr="00593376">
        <w:rPr>
          <w:sz w:val="22"/>
          <w:szCs w:val="22"/>
          <w:lang w:val="en-GB"/>
        </w:rPr>
        <w:t>, and t</w:t>
      </w:r>
      <w:r w:rsidR="00371839" w:rsidRPr="00593376">
        <w:rPr>
          <w:sz w:val="22"/>
          <w:szCs w:val="22"/>
          <w:lang w:val="en-GB"/>
        </w:rPr>
        <w:t xml:space="preserve">he </w:t>
      </w:r>
      <w:r w:rsidR="008D21A2" w:rsidRPr="00593376">
        <w:rPr>
          <w:color w:val="222222"/>
          <w:sz w:val="22"/>
          <w:szCs w:val="22"/>
          <w:shd w:val="clear" w:color="auto" w:fill="FFFFFF"/>
        </w:rPr>
        <w:t>TSSL+WF PB</w:t>
      </w:r>
      <w:r>
        <w:rPr>
          <w:color w:val="222222"/>
          <w:sz w:val="22"/>
          <w:szCs w:val="22"/>
          <w:shd w:val="clear" w:color="auto" w:fill="FFFFFF"/>
        </w:rPr>
        <w:t>s</w:t>
      </w:r>
      <w:r w:rsidR="008D21A2" w:rsidRPr="00593376">
        <w:rPr>
          <w:color w:val="222222"/>
          <w:sz w:val="22"/>
          <w:szCs w:val="22"/>
          <w:shd w:val="clear" w:color="auto" w:fill="FFFFFF"/>
        </w:rPr>
        <w:t xml:space="preserve"> complied</w:t>
      </w:r>
      <w:r w:rsidR="00371839" w:rsidRPr="00593376">
        <w:rPr>
          <w:color w:val="222222"/>
          <w:sz w:val="22"/>
          <w:szCs w:val="22"/>
          <w:shd w:val="clear" w:color="auto" w:fill="FFFFFF"/>
        </w:rPr>
        <w:t xml:space="preserve"> the requirements of the standard EN 312 for particleboards type P2 (0.35 N·mm</w:t>
      </w:r>
      <w:r w:rsidR="00371839" w:rsidRPr="00593376">
        <w:rPr>
          <w:color w:val="222222"/>
          <w:sz w:val="22"/>
          <w:szCs w:val="22"/>
          <w:shd w:val="clear" w:color="auto" w:fill="FFFFFF"/>
          <w:vertAlign w:val="superscript"/>
        </w:rPr>
        <w:t>-2</w:t>
      </w:r>
      <w:r w:rsidR="00371839" w:rsidRPr="00593376">
        <w:rPr>
          <w:color w:val="222222"/>
          <w:sz w:val="22"/>
          <w:szCs w:val="22"/>
          <w:shd w:val="clear" w:color="auto" w:fill="FFFFFF"/>
        </w:rPr>
        <w:t xml:space="preserve">). </w:t>
      </w:r>
    </w:p>
    <w:p w14:paraId="50226CC9" w14:textId="77777777" w:rsidR="00166359" w:rsidRPr="00593376" w:rsidRDefault="00166359" w:rsidP="00593376">
      <w:pPr>
        <w:jc w:val="both"/>
        <w:rPr>
          <w:color w:val="222222"/>
          <w:sz w:val="22"/>
          <w:szCs w:val="22"/>
          <w:shd w:val="clear" w:color="auto" w:fill="FFFFFF"/>
        </w:rPr>
      </w:pPr>
    </w:p>
    <w:p w14:paraId="53B44DBC" w14:textId="77777777" w:rsidR="009020A6" w:rsidRPr="00593376" w:rsidRDefault="00371839" w:rsidP="00593376">
      <w:pPr>
        <w:jc w:val="both"/>
        <w:rPr>
          <w:sz w:val="22"/>
          <w:szCs w:val="22"/>
          <w:lang w:val="en-GB"/>
        </w:rPr>
      </w:pPr>
      <w:r w:rsidRPr="00593376">
        <w:rPr>
          <w:color w:val="222222"/>
          <w:sz w:val="22"/>
          <w:szCs w:val="22"/>
          <w:shd w:val="clear" w:color="auto" w:fill="FFFFFF"/>
        </w:rPr>
        <w:t>Regarding the</w:t>
      </w:r>
      <w:r w:rsidR="00166359" w:rsidRPr="00593376">
        <w:rPr>
          <w:color w:val="222222"/>
          <w:sz w:val="22"/>
          <w:szCs w:val="22"/>
          <w:shd w:val="clear" w:color="auto" w:fill="FFFFFF"/>
        </w:rPr>
        <w:t xml:space="preserve"> binder</w:t>
      </w:r>
      <w:r w:rsidRPr="00593376">
        <w:rPr>
          <w:color w:val="222222"/>
          <w:sz w:val="22"/>
          <w:szCs w:val="22"/>
          <w:shd w:val="clear" w:color="auto" w:fill="FFFFFF"/>
        </w:rPr>
        <w:t xml:space="preserve"> content, the </w:t>
      </w:r>
      <w:r w:rsidR="00166359" w:rsidRPr="00593376">
        <w:rPr>
          <w:color w:val="222222"/>
          <w:sz w:val="22"/>
          <w:szCs w:val="22"/>
          <w:shd w:val="clear" w:color="auto" w:fill="FFFFFF"/>
        </w:rPr>
        <w:t xml:space="preserve">PB produced with the highest TSSL+WF-RT binder content (20 %) presented better performance than the PB produced with a 13.2 % </w:t>
      </w:r>
      <w:r w:rsidR="00D31263" w:rsidRPr="00593376">
        <w:rPr>
          <w:color w:val="222222"/>
          <w:sz w:val="22"/>
          <w:szCs w:val="22"/>
          <w:shd w:val="clear" w:color="auto" w:fill="FFFFFF"/>
        </w:rPr>
        <w:t>of resin</w:t>
      </w:r>
      <w:r w:rsidR="00166359" w:rsidRPr="00593376">
        <w:rPr>
          <w:sz w:val="22"/>
          <w:szCs w:val="22"/>
        </w:rPr>
        <w:t xml:space="preserve"> solids on dry wood c</w:t>
      </w:r>
      <w:r w:rsidR="00435437">
        <w:rPr>
          <w:sz w:val="22"/>
          <w:szCs w:val="22"/>
        </w:rPr>
        <w:t xml:space="preserve">hips. Despite that, the </w:t>
      </w:r>
      <w:r w:rsidR="00166359" w:rsidRPr="00593376">
        <w:rPr>
          <w:sz w:val="22"/>
          <w:szCs w:val="22"/>
        </w:rPr>
        <w:t>TSSL+WF-97</w:t>
      </w:r>
      <w:r w:rsidR="00435437">
        <w:rPr>
          <w:sz w:val="22"/>
          <w:szCs w:val="22"/>
        </w:rPr>
        <w:t xml:space="preserve"> binder,</w:t>
      </w:r>
      <w:r w:rsidR="00166359" w:rsidRPr="00593376">
        <w:rPr>
          <w:sz w:val="22"/>
          <w:szCs w:val="22"/>
        </w:rPr>
        <w:t xml:space="preserve"> </w:t>
      </w:r>
      <w:r w:rsidR="00166359" w:rsidRPr="00593376">
        <w:rPr>
          <w:sz w:val="22"/>
          <w:szCs w:val="22"/>
          <w:lang w:val="en-GB"/>
        </w:rPr>
        <w:t>yielded slightly better IB values at 13.2 %</w:t>
      </w:r>
      <w:r w:rsidR="00435437">
        <w:rPr>
          <w:sz w:val="22"/>
          <w:szCs w:val="22"/>
          <w:lang w:val="en-GB"/>
        </w:rPr>
        <w:t xml:space="preserve"> resin</w:t>
      </w:r>
      <w:r w:rsidR="00166359" w:rsidRPr="00593376">
        <w:rPr>
          <w:sz w:val="22"/>
          <w:szCs w:val="22"/>
          <w:lang w:val="en-GB"/>
        </w:rPr>
        <w:t xml:space="preserve"> conten</w:t>
      </w:r>
      <w:r w:rsidR="00435437">
        <w:rPr>
          <w:sz w:val="22"/>
          <w:szCs w:val="22"/>
          <w:lang w:val="en-GB"/>
        </w:rPr>
        <w:t>t than TSSL+WT-RT at 20 %. This</w:t>
      </w:r>
      <w:r w:rsidR="00166359" w:rsidRPr="00593376">
        <w:rPr>
          <w:sz w:val="22"/>
          <w:szCs w:val="22"/>
          <w:lang w:val="en-GB"/>
        </w:rPr>
        <w:t xml:space="preserve"> </w:t>
      </w:r>
      <w:r w:rsidR="00D31263" w:rsidRPr="00593376">
        <w:rPr>
          <w:sz w:val="22"/>
          <w:szCs w:val="22"/>
          <w:lang w:val="en-GB"/>
        </w:rPr>
        <w:t>demonstrates</w:t>
      </w:r>
      <w:r w:rsidR="00D31263">
        <w:rPr>
          <w:sz w:val="22"/>
          <w:szCs w:val="22"/>
          <w:lang w:val="en-GB"/>
        </w:rPr>
        <w:t xml:space="preserve"> the</w:t>
      </w:r>
      <w:r w:rsidR="00166359" w:rsidRPr="00593376">
        <w:rPr>
          <w:sz w:val="22"/>
          <w:szCs w:val="22"/>
          <w:lang w:val="en-GB"/>
        </w:rPr>
        <w:t xml:space="preserve"> positive effect of preparing the binder at 97 ºC</w:t>
      </w:r>
      <w:r w:rsidR="00981BC2">
        <w:rPr>
          <w:sz w:val="22"/>
          <w:szCs w:val="22"/>
          <w:lang w:val="en-GB"/>
        </w:rPr>
        <w:t>, as t</w:t>
      </w:r>
      <w:r w:rsidR="00166359" w:rsidRPr="00593376">
        <w:rPr>
          <w:sz w:val="22"/>
          <w:szCs w:val="22"/>
          <w:lang w:val="en-GB"/>
        </w:rPr>
        <w:t>he heat</w:t>
      </w:r>
      <w:r w:rsidR="009020A6" w:rsidRPr="00593376">
        <w:rPr>
          <w:sz w:val="22"/>
          <w:szCs w:val="22"/>
          <w:lang w:val="en-GB"/>
        </w:rPr>
        <w:t>ing</w:t>
      </w:r>
      <w:r w:rsidR="00166359" w:rsidRPr="00593376">
        <w:rPr>
          <w:sz w:val="22"/>
          <w:szCs w:val="22"/>
          <w:lang w:val="en-GB"/>
        </w:rPr>
        <w:t xml:space="preserve"> treatment </w:t>
      </w:r>
      <w:r w:rsidR="009020A6" w:rsidRPr="00593376">
        <w:rPr>
          <w:sz w:val="22"/>
          <w:szCs w:val="22"/>
        </w:rPr>
        <w:t xml:space="preserve">increased the binder </w:t>
      </w:r>
      <w:r w:rsidR="009020A6" w:rsidRPr="00593376">
        <w:rPr>
          <w:sz w:val="22"/>
          <w:szCs w:val="22"/>
          <w:lang w:val="en-GB"/>
        </w:rPr>
        <w:t xml:space="preserve">viscosity, controlling its wood penetration and avoiding starved bond-lines. Additionally, it may have caused </w:t>
      </w:r>
      <w:r w:rsidR="00D31263" w:rsidRPr="00593376">
        <w:rPr>
          <w:sz w:val="22"/>
          <w:szCs w:val="22"/>
          <w:lang w:val="en-GB"/>
        </w:rPr>
        <w:t>the leakage</w:t>
      </w:r>
      <w:r w:rsidR="009020A6" w:rsidRPr="00593376">
        <w:rPr>
          <w:sz w:val="22"/>
          <w:szCs w:val="22"/>
          <w:lang w:val="en-GB"/>
        </w:rPr>
        <w:t xml:space="preserve"> of some amylose from the starch </w:t>
      </w:r>
      <w:r w:rsidR="00D31263" w:rsidRPr="00593376">
        <w:rPr>
          <w:sz w:val="22"/>
          <w:szCs w:val="22"/>
          <w:lang w:val="en-GB"/>
        </w:rPr>
        <w:t>granules</w:t>
      </w:r>
      <w:r w:rsidR="009020A6" w:rsidRPr="00593376">
        <w:rPr>
          <w:sz w:val="22"/>
          <w:szCs w:val="22"/>
          <w:lang w:val="en-GB"/>
        </w:rPr>
        <w:t>, increasing the number of hydroxyl groups available for interaction with wood surface.</w:t>
      </w:r>
    </w:p>
    <w:p w14:paraId="471702A8" w14:textId="77777777" w:rsidR="009020A6" w:rsidRPr="00593376" w:rsidRDefault="009020A6" w:rsidP="00593376">
      <w:pPr>
        <w:jc w:val="both"/>
        <w:rPr>
          <w:sz w:val="22"/>
          <w:szCs w:val="22"/>
          <w:lang w:val="en-GB"/>
        </w:rPr>
      </w:pPr>
    </w:p>
    <w:p w14:paraId="58CDCD4F" w14:textId="4A7633ED" w:rsidR="00166359" w:rsidRPr="00593376" w:rsidRDefault="009020A6" w:rsidP="00593376">
      <w:pPr>
        <w:jc w:val="both"/>
        <w:rPr>
          <w:sz w:val="22"/>
          <w:szCs w:val="22"/>
          <w:lang w:val="en-GB"/>
        </w:rPr>
      </w:pPr>
      <w:r w:rsidRPr="00593376">
        <w:rPr>
          <w:sz w:val="22"/>
          <w:szCs w:val="22"/>
          <w:lang w:val="en-GB"/>
        </w:rPr>
        <w:t>Despite of the good internal bond strengths, n</w:t>
      </w:r>
      <w:r w:rsidR="00166359" w:rsidRPr="00593376">
        <w:rPr>
          <w:sz w:val="22"/>
          <w:szCs w:val="22"/>
          <w:lang w:val="en-GB"/>
        </w:rPr>
        <w:t xml:space="preserve">one of the particleboards produced presented resistance to water, having disintegrated after 24 hours immersed in water at 20 ºC.  </w:t>
      </w:r>
      <w:r w:rsidRPr="00593376">
        <w:rPr>
          <w:sz w:val="22"/>
          <w:szCs w:val="22"/>
          <w:lang w:val="en-GB"/>
        </w:rPr>
        <w:t xml:space="preserve">Nonetheless, they can be used for interior applications, since water resistance is not a </w:t>
      </w:r>
      <w:r w:rsidR="00016A2D">
        <w:rPr>
          <w:sz w:val="22"/>
          <w:szCs w:val="22"/>
          <w:lang w:val="en-GB"/>
        </w:rPr>
        <w:t>requirement</w:t>
      </w:r>
      <w:r w:rsidR="00016A2D" w:rsidRPr="00593376">
        <w:rPr>
          <w:sz w:val="22"/>
          <w:szCs w:val="22"/>
          <w:lang w:val="en-GB"/>
        </w:rPr>
        <w:t xml:space="preserve"> </w:t>
      </w:r>
      <w:r w:rsidRPr="00593376">
        <w:rPr>
          <w:sz w:val="22"/>
          <w:szCs w:val="22"/>
          <w:lang w:val="en-GB"/>
        </w:rPr>
        <w:t xml:space="preserve">for dry conditions applications. </w:t>
      </w:r>
      <w:r w:rsidRPr="00593376">
        <w:rPr>
          <w:sz w:val="22"/>
          <w:szCs w:val="22"/>
        </w:rPr>
        <w:t xml:space="preserve">Finally, </w:t>
      </w:r>
      <w:r w:rsidRPr="00593376">
        <w:rPr>
          <w:sz w:val="22"/>
          <w:szCs w:val="22"/>
          <w:lang w:val="en-GB"/>
        </w:rPr>
        <w:t xml:space="preserve">chemical </w:t>
      </w:r>
      <w:r w:rsidRPr="00593376">
        <w:rPr>
          <w:sz w:val="22"/>
          <w:szCs w:val="22"/>
        </w:rPr>
        <w:t xml:space="preserve">cross-linkers like diisocyanates or dialdehydes </w:t>
      </w:r>
      <w:r w:rsidRPr="00593376">
        <w:rPr>
          <w:sz w:val="22"/>
          <w:szCs w:val="22"/>
          <w:lang w:val="en-GB"/>
        </w:rPr>
        <w:t>can be added to the TSSL+WF binder in order to increase water resistance.</w:t>
      </w:r>
    </w:p>
    <w:p w14:paraId="6A4A2737" w14:textId="77777777" w:rsidR="00036A04" w:rsidRPr="00593376" w:rsidRDefault="00036A04" w:rsidP="00593376">
      <w:pPr>
        <w:jc w:val="both"/>
        <w:rPr>
          <w:sz w:val="22"/>
          <w:szCs w:val="22"/>
          <w:lang w:val="en-GB"/>
        </w:rPr>
      </w:pPr>
    </w:p>
    <w:p w14:paraId="39CF48D1" w14:textId="77777777" w:rsidR="009A2DFD" w:rsidRPr="00593376" w:rsidRDefault="00036A04" w:rsidP="00593376">
      <w:pPr>
        <w:jc w:val="both"/>
        <w:rPr>
          <w:b/>
          <w:color w:val="222222"/>
          <w:sz w:val="22"/>
          <w:szCs w:val="22"/>
          <w:shd w:val="clear" w:color="auto" w:fill="FFFFFF"/>
        </w:rPr>
      </w:pPr>
      <w:r w:rsidRPr="00593376">
        <w:rPr>
          <w:b/>
          <w:sz w:val="22"/>
          <w:szCs w:val="22"/>
          <w:lang w:val="en-GB"/>
        </w:rPr>
        <w:t>4. Conclusion</w:t>
      </w:r>
    </w:p>
    <w:p w14:paraId="6029399D" w14:textId="77777777" w:rsidR="00F46B4E" w:rsidRDefault="00F46B4E" w:rsidP="00593376">
      <w:pPr>
        <w:jc w:val="both"/>
        <w:rPr>
          <w:b/>
          <w:color w:val="222222"/>
          <w:sz w:val="22"/>
          <w:szCs w:val="22"/>
          <w:shd w:val="clear" w:color="auto" w:fill="FFFFFF"/>
        </w:rPr>
      </w:pPr>
    </w:p>
    <w:p w14:paraId="28942503" w14:textId="77777777" w:rsidR="00981BC2" w:rsidRDefault="00F46B4E" w:rsidP="00593376">
      <w:pPr>
        <w:contextualSpacing/>
        <w:jc w:val="both"/>
        <w:rPr>
          <w:sz w:val="22"/>
          <w:szCs w:val="22"/>
        </w:rPr>
      </w:pPr>
      <w:r w:rsidRPr="00593376">
        <w:rPr>
          <w:color w:val="222222"/>
          <w:sz w:val="22"/>
          <w:szCs w:val="22"/>
          <w:shd w:val="clear" w:color="auto" w:fill="FFFFFF"/>
        </w:rPr>
        <w:t>A bio-based and low-cost adhesive was developed and tested in the present work</w:t>
      </w:r>
      <w:r>
        <w:rPr>
          <w:b/>
          <w:color w:val="222222"/>
          <w:sz w:val="22"/>
          <w:szCs w:val="22"/>
          <w:shd w:val="clear" w:color="auto" w:fill="FFFFFF"/>
        </w:rPr>
        <w:t xml:space="preserve"> </w:t>
      </w:r>
      <w:r>
        <w:t xml:space="preserve">by combining </w:t>
      </w:r>
      <w:r w:rsidRPr="00593376">
        <w:rPr>
          <w:sz w:val="22"/>
          <w:szCs w:val="22"/>
        </w:rPr>
        <w:t xml:space="preserve">TSSL with WF. </w:t>
      </w:r>
      <w:r w:rsidRPr="00593376">
        <w:rPr>
          <w:sz w:val="22"/>
          <w:szCs w:val="22"/>
          <w:shd w:val="clear" w:color="auto" w:fill="FFFFFF"/>
        </w:rPr>
        <w:t xml:space="preserve">The results showed that </w:t>
      </w:r>
      <w:r w:rsidRPr="00593376">
        <w:rPr>
          <w:sz w:val="22"/>
          <w:szCs w:val="22"/>
        </w:rPr>
        <w:t>when TSSL is combined with WF, particularly when mixed at 97 °C, the final binder performance is improved.  Particleboards with internal bond strength of 0.46 N∙mm</w:t>
      </w:r>
      <w:r w:rsidRPr="00593376">
        <w:rPr>
          <w:sz w:val="22"/>
          <w:szCs w:val="22"/>
          <w:vertAlign w:val="superscript"/>
        </w:rPr>
        <w:noBreakHyphen/>
        <w:t>2</w:t>
      </w:r>
      <w:r w:rsidRPr="00593376">
        <w:rPr>
          <w:sz w:val="22"/>
          <w:szCs w:val="22"/>
        </w:rPr>
        <w:t xml:space="preserve"> were obtained, which is above the requirements of standard EN 312 for particleboards type P2 (0.35 N∙mm</w:t>
      </w:r>
      <w:r w:rsidRPr="00593376">
        <w:rPr>
          <w:sz w:val="22"/>
          <w:szCs w:val="22"/>
          <w:vertAlign w:val="superscript"/>
        </w:rPr>
        <w:t>-2</w:t>
      </w:r>
      <w:r w:rsidRPr="00593376">
        <w:rPr>
          <w:sz w:val="22"/>
          <w:szCs w:val="22"/>
        </w:rPr>
        <w:t xml:space="preserve">). </w:t>
      </w:r>
    </w:p>
    <w:p w14:paraId="565CA9EC" w14:textId="77777777" w:rsidR="00981BC2" w:rsidRDefault="00981BC2" w:rsidP="00593376">
      <w:pPr>
        <w:contextualSpacing/>
        <w:jc w:val="both"/>
        <w:rPr>
          <w:sz w:val="22"/>
          <w:szCs w:val="22"/>
        </w:rPr>
      </w:pPr>
    </w:p>
    <w:p w14:paraId="3BEFA7AA" w14:textId="14990B20" w:rsidR="00F46B4E" w:rsidRPr="00981BC2" w:rsidRDefault="00981BC2" w:rsidP="00593376">
      <w:pPr>
        <w:contextualSpacing/>
        <w:jc w:val="both"/>
        <w:rPr>
          <w:sz w:val="22"/>
          <w:szCs w:val="22"/>
        </w:rPr>
      </w:pPr>
      <w:r>
        <w:rPr>
          <w:sz w:val="22"/>
          <w:szCs w:val="22"/>
        </w:rPr>
        <w:t>In the present work</w:t>
      </w:r>
      <w:r w:rsidR="00016A2D">
        <w:rPr>
          <w:sz w:val="22"/>
          <w:szCs w:val="22"/>
        </w:rPr>
        <w:t>, it</w:t>
      </w:r>
      <w:r>
        <w:rPr>
          <w:sz w:val="22"/>
          <w:szCs w:val="22"/>
        </w:rPr>
        <w:t xml:space="preserve"> was also </w:t>
      </w:r>
      <w:r w:rsidR="009751F8">
        <w:rPr>
          <w:sz w:val="22"/>
          <w:szCs w:val="22"/>
        </w:rPr>
        <w:t>observed</w:t>
      </w:r>
      <w:r w:rsidR="009751F8">
        <w:rPr>
          <w:sz w:val="22"/>
          <w:szCs w:val="22"/>
        </w:rPr>
        <w:t xml:space="preserve"> </w:t>
      </w:r>
      <w:r>
        <w:rPr>
          <w:sz w:val="22"/>
          <w:szCs w:val="22"/>
        </w:rPr>
        <w:t>that t</w:t>
      </w:r>
      <w:r w:rsidR="00F46B4E" w:rsidRPr="00593376">
        <w:rPr>
          <w:sz w:val="22"/>
          <w:szCs w:val="22"/>
        </w:rPr>
        <w:t xml:space="preserve">he starch granules present in the wheat flour </w:t>
      </w:r>
      <w:r>
        <w:rPr>
          <w:sz w:val="22"/>
          <w:szCs w:val="22"/>
        </w:rPr>
        <w:t>don´t</w:t>
      </w:r>
      <w:r w:rsidR="00F46B4E" w:rsidRPr="00593376">
        <w:rPr>
          <w:sz w:val="22"/>
          <w:szCs w:val="22"/>
        </w:rPr>
        <w:t xml:space="preserve"> open during the binder preparation at 97 ºC, due to inhibition of gelatinization caused by TSSL. This allowed </w:t>
      </w:r>
      <w:r w:rsidR="00F46B4E" w:rsidRPr="00593376">
        <w:rPr>
          <w:sz w:val="22"/>
          <w:szCs w:val="22"/>
          <w:lang w:val="en-GB"/>
        </w:rPr>
        <w:t xml:space="preserve">the final binder mixture to have sufficiently low viscosity for particleboards production. </w:t>
      </w:r>
    </w:p>
    <w:p w14:paraId="73FFF1EE" w14:textId="77777777" w:rsidR="00593376" w:rsidRPr="00593376" w:rsidRDefault="00593376" w:rsidP="00593376">
      <w:pPr>
        <w:contextualSpacing/>
        <w:jc w:val="both"/>
        <w:rPr>
          <w:sz w:val="22"/>
          <w:szCs w:val="22"/>
          <w:lang w:val="en-GB"/>
        </w:rPr>
      </w:pPr>
    </w:p>
    <w:p w14:paraId="3CF13B1C" w14:textId="77777777" w:rsidR="00F46B4E" w:rsidRDefault="00F46B4E" w:rsidP="00593376">
      <w:pPr>
        <w:contextualSpacing/>
        <w:jc w:val="both"/>
        <w:rPr>
          <w:sz w:val="22"/>
          <w:szCs w:val="22"/>
          <w:lang w:val="en-GB"/>
        </w:rPr>
      </w:pPr>
      <w:r w:rsidRPr="00593376">
        <w:rPr>
          <w:sz w:val="22"/>
          <w:szCs w:val="22"/>
          <w:lang w:val="en-GB"/>
        </w:rPr>
        <w:t>The only limitation of the particleboards in terms of performance had to do</w:t>
      </w:r>
      <w:r w:rsidR="00593376" w:rsidRPr="00593376">
        <w:rPr>
          <w:sz w:val="22"/>
          <w:szCs w:val="22"/>
          <w:lang w:val="en-GB"/>
        </w:rPr>
        <w:t xml:space="preserve"> with lack of water resistance. Nonetheless, they are </w:t>
      </w:r>
      <w:r w:rsidRPr="00593376">
        <w:rPr>
          <w:sz w:val="22"/>
          <w:szCs w:val="22"/>
          <w:lang w:val="en-GB"/>
        </w:rPr>
        <w:t xml:space="preserve">suitable for dry conditions application. Use of chemical cross-linkers would allow surpassing this problem. </w:t>
      </w:r>
    </w:p>
    <w:p w14:paraId="0D75808F" w14:textId="77777777" w:rsidR="00593376" w:rsidRDefault="00593376" w:rsidP="00593376">
      <w:pPr>
        <w:contextualSpacing/>
        <w:jc w:val="both"/>
        <w:rPr>
          <w:sz w:val="22"/>
          <w:szCs w:val="22"/>
          <w:lang w:val="en-GB"/>
        </w:rPr>
      </w:pPr>
    </w:p>
    <w:p w14:paraId="6FD1AA30" w14:textId="77777777" w:rsidR="000C7C69" w:rsidRDefault="00593376" w:rsidP="000C7C69">
      <w:pPr>
        <w:pStyle w:val="RefTitleWCCM"/>
        <w:spacing w:before="0" w:after="0"/>
        <w:outlineLvl w:val="0"/>
        <w:rPr>
          <w:caps w:val="0"/>
          <w:sz w:val="22"/>
          <w:szCs w:val="22"/>
        </w:rPr>
      </w:pPr>
      <w:r w:rsidRPr="00A14A8C">
        <w:rPr>
          <w:caps w:val="0"/>
          <w:sz w:val="22"/>
          <w:szCs w:val="22"/>
        </w:rPr>
        <w:t>A</w:t>
      </w:r>
      <w:r>
        <w:rPr>
          <w:caps w:val="0"/>
          <w:sz w:val="22"/>
          <w:szCs w:val="22"/>
        </w:rPr>
        <w:t>cknowledgments</w:t>
      </w:r>
    </w:p>
    <w:p w14:paraId="597AF523" w14:textId="77777777" w:rsidR="000C7C69" w:rsidRDefault="000C7C69" w:rsidP="000C7C69">
      <w:pPr>
        <w:pStyle w:val="RefTitleWCCM"/>
        <w:spacing w:before="0" w:after="0"/>
        <w:outlineLvl w:val="0"/>
        <w:rPr>
          <w:caps w:val="0"/>
          <w:sz w:val="22"/>
          <w:szCs w:val="22"/>
        </w:rPr>
      </w:pPr>
    </w:p>
    <w:p w14:paraId="5D1B29BD" w14:textId="77777777" w:rsidR="00593376" w:rsidRPr="00593376" w:rsidRDefault="00593376" w:rsidP="000C7C69">
      <w:pPr>
        <w:contextualSpacing/>
        <w:jc w:val="both"/>
        <w:rPr>
          <w:sz w:val="22"/>
          <w:szCs w:val="22"/>
          <w:lang w:val="en-GB"/>
        </w:rPr>
      </w:pPr>
      <w:r w:rsidRPr="00593376">
        <w:rPr>
          <w:sz w:val="22"/>
          <w:szCs w:val="22"/>
          <w:lang w:val="en-GB"/>
        </w:rPr>
        <w:t xml:space="preserve">This project and this work was financially supported by: projects POCI-01-0247-FEDER-003489 (2GAR) and POCI-01-0145-FEDER-006939 (Laboratory for Process Engineering, Environment, Biotechnology and Energy – UID/EQU/00511/2013), funded by European Regional Development Fund (ERDF) through COMPETE2020 – Programa Operacional Competitividade e Internacionalização (POCI), and by national funds through FCT – Fundação para a Ciência e a Tecnologia, and project “LEPABE-2-ECO-INNOVATION” – NORTE‐01‐0145‐FEDER‐000005, funded by Norte Portugal Regional Operational Programme (NORTE 2020), under PORTUGAL 2020 Partnership Agreement, through the European Regional Development Fund (ERDF). </w:t>
      </w:r>
    </w:p>
    <w:p w14:paraId="761D1252" w14:textId="77777777" w:rsidR="009A2DFD" w:rsidRDefault="009A2DFD" w:rsidP="00AE11B5">
      <w:pPr>
        <w:jc w:val="both"/>
        <w:rPr>
          <w:color w:val="222222"/>
          <w:shd w:val="clear" w:color="auto" w:fill="FFFFFF"/>
        </w:rPr>
      </w:pPr>
    </w:p>
    <w:p w14:paraId="5454CBC0" w14:textId="77777777" w:rsidR="00AE77F9" w:rsidRDefault="000C7C69" w:rsidP="001D0089">
      <w:pPr>
        <w:pStyle w:val="RefTitleWCCM"/>
        <w:spacing w:before="0" w:after="0"/>
        <w:outlineLvl w:val="0"/>
        <w:rPr>
          <w:caps w:val="0"/>
          <w:sz w:val="22"/>
          <w:szCs w:val="22"/>
        </w:rPr>
      </w:pPr>
      <w:r>
        <w:rPr>
          <w:caps w:val="0"/>
          <w:sz w:val="22"/>
          <w:szCs w:val="22"/>
        </w:rPr>
        <w:t>References</w:t>
      </w:r>
      <w:r w:rsidR="00AE77F9">
        <w:rPr>
          <w:caps w:val="0"/>
          <w:sz w:val="22"/>
          <w:szCs w:val="22"/>
        </w:rPr>
        <w:t xml:space="preserve"> </w:t>
      </w:r>
    </w:p>
    <w:p w14:paraId="5419573F" w14:textId="77777777" w:rsidR="009609EA" w:rsidRDefault="009609EA" w:rsidP="001D0089">
      <w:pPr>
        <w:pStyle w:val="RefTitleWCCM"/>
        <w:spacing w:before="0" w:after="0"/>
        <w:outlineLvl w:val="0"/>
        <w:rPr>
          <w:caps w:val="0"/>
          <w:sz w:val="22"/>
          <w:szCs w:val="22"/>
        </w:rPr>
      </w:pPr>
    </w:p>
    <w:p w14:paraId="6B34E533" w14:textId="77777777" w:rsidR="00D41EC5" w:rsidRPr="009609EA" w:rsidRDefault="00D41EC5" w:rsidP="009609EA">
      <w:pPr>
        <w:ind w:left="426" w:hanging="426"/>
        <w:jc w:val="both"/>
        <w:rPr>
          <w:sz w:val="22"/>
          <w:szCs w:val="22"/>
        </w:rPr>
      </w:pPr>
      <w:r>
        <w:rPr>
          <w:sz w:val="22"/>
          <w:szCs w:val="22"/>
        </w:rPr>
        <w:t>[1</w:t>
      </w:r>
      <w:r w:rsidRPr="001E0455">
        <w:rPr>
          <w:sz w:val="22"/>
          <w:szCs w:val="22"/>
        </w:rPr>
        <w:t>]</w:t>
      </w:r>
      <w:r w:rsidR="009609EA">
        <w:rPr>
          <w:sz w:val="22"/>
          <w:szCs w:val="22"/>
        </w:rPr>
        <w:tab/>
      </w:r>
      <w:r w:rsidRPr="009609EA">
        <w:rPr>
          <w:sz w:val="22"/>
          <w:szCs w:val="22"/>
        </w:rPr>
        <w:t>European Panel Federation. Market information. http://europanels.org/facts--figures/market-information. Published 2015. Accessed November 22, 2017.</w:t>
      </w:r>
    </w:p>
    <w:p w14:paraId="6749C325" w14:textId="77777777" w:rsidR="0037537B" w:rsidRPr="009609EA" w:rsidRDefault="00D41EC5" w:rsidP="009609EA">
      <w:pPr>
        <w:ind w:left="426" w:hanging="426"/>
        <w:jc w:val="both"/>
        <w:rPr>
          <w:sz w:val="22"/>
          <w:szCs w:val="22"/>
        </w:rPr>
      </w:pPr>
      <w:r w:rsidRPr="009609EA">
        <w:rPr>
          <w:sz w:val="22"/>
          <w:szCs w:val="22"/>
        </w:rPr>
        <w:t xml:space="preserve">[2] </w:t>
      </w:r>
      <w:r w:rsidR="009609EA" w:rsidRPr="009609EA">
        <w:rPr>
          <w:sz w:val="22"/>
          <w:szCs w:val="22"/>
        </w:rPr>
        <w:tab/>
      </w:r>
      <w:r w:rsidRPr="009609EA">
        <w:rPr>
          <w:sz w:val="22"/>
          <w:szCs w:val="22"/>
        </w:rPr>
        <w:t>M. Dunky</w:t>
      </w:r>
      <w:r w:rsidRPr="00D41EC5">
        <w:rPr>
          <w:sz w:val="22"/>
          <w:szCs w:val="22"/>
        </w:rPr>
        <w:t xml:space="preserve">. Urea — formaldehyde </w:t>
      </w:r>
      <w:r w:rsidR="00D31263" w:rsidRPr="00D41EC5">
        <w:rPr>
          <w:sz w:val="22"/>
          <w:szCs w:val="22"/>
        </w:rPr>
        <w:t>(UF)</w:t>
      </w:r>
      <w:r w:rsidRPr="00D41EC5">
        <w:rPr>
          <w:sz w:val="22"/>
          <w:szCs w:val="22"/>
        </w:rPr>
        <w:t xml:space="preserve"> adhesive resins for wood. </w:t>
      </w:r>
      <w:r w:rsidRPr="009609EA">
        <w:rPr>
          <w:i/>
          <w:sz w:val="22"/>
          <w:szCs w:val="22"/>
        </w:rPr>
        <w:t>International Journal of Adhesion and Adhesives</w:t>
      </w:r>
      <w:r w:rsidRPr="009609EA">
        <w:rPr>
          <w:sz w:val="22"/>
          <w:szCs w:val="22"/>
        </w:rPr>
        <w:t>, 18:95-107, 1998.</w:t>
      </w:r>
    </w:p>
    <w:p w14:paraId="13D058C2" w14:textId="77777777" w:rsidR="00D41EC5" w:rsidRPr="009609EA" w:rsidRDefault="00D41EC5" w:rsidP="009609EA">
      <w:pPr>
        <w:ind w:left="426" w:hanging="426"/>
        <w:jc w:val="both"/>
        <w:rPr>
          <w:sz w:val="22"/>
          <w:szCs w:val="22"/>
        </w:rPr>
      </w:pPr>
      <w:r w:rsidRPr="009609EA">
        <w:rPr>
          <w:sz w:val="22"/>
          <w:szCs w:val="22"/>
        </w:rPr>
        <w:t>[3] M. Euring</w:t>
      </w:r>
      <w:r w:rsidRPr="00D41EC5">
        <w:rPr>
          <w:sz w:val="22"/>
          <w:szCs w:val="22"/>
        </w:rPr>
        <w:t>,</w:t>
      </w:r>
      <w:r w:rsidRPr="009609EA">
        <w:rPr>
          <w:sz w:val="22"/>
          <w:szCs w:val="22"/>
        </w:rPr>
        <w:t xml:space="preserve"> A. Kirsch</w:t>
      </w:r>
      <w:r w:rsidRPr="00D41EC5">
        <w:rPr>
          <w:sz w:val="22"/>
          <w:szCs w:val="22"/>
        </w:rPr>
        <w:t>,</w:t>
      </w:r>
      <w:r w:rsidRPr="009609EA">
        <w:rPr>
          <w:sz w:val="22"/>
          <w:szCs w:val="22"/>
        </w:rPr>
        <w:t xml:space="preserve"> P.</w:t>
      </w:r>
      <w:r w:rsidRPr="00D41EC5">
        <w:rPr>
          <w:sz w:val="22"/>
          <w:szCs w:val="22"/>
        </w:rPr>
        <w:t xml:space="preserve"> Schneider, </w:t>
      </w:r>
      <w:r w:rsidRPr="009609EA">
        <w:rPr>
          <w:sz w:val="22"/>
          <w:szCs w:val="22"/>
        </w:rPr>
        <w:t>A. Kharazipour</w:t>
      </w:r>
      <w:r w:rsidRPr="00D41EC5">
        <w:rPr>
          <w:sz w:val="22"/>
          <w:szCs w:val="22"/>
        </w:rPr>
        <w:t>. Lignin-Laccase-Mediator-Systems (LLMS) for the Production of Binderless Medium Density Fib</w:t>
      </w:r>
      <w:r w:rsidRPr="009609EA">
        <w:rPr>
          <w:sz w:val="22"/>
          <w:szCs w:val="22"/>
        </w:rPr>
        <w:t xml:space="preserve">erboards (MDF). </w:t>
      </w:r>
      <w:r w:rsidRPr="009609EA">
        <w:rPr>
          <w:i/>
          <w:sz w:val="22"/>
          <w:szCs w:val="22"/>
        </w:rPr>
        <w:t>Journal of Materials Science Research</w:t>
      </w:r>
      <w:r w:rsidRPr="009609EA">
        <w:rPr>
          <w:sz w:val="22"/>
          <w:szCs w:val="22"/>
        </w:rPr>
        <w:t>,</w:t>
      </w:r>
      <w:r w:rsidRPr="00D41EC5">
        <w:rPr>
          <w:sz w:val="22"/>
          <w:szCs w:val="22"/>
        </w:rPr>
        <w:t xml:space="preserve"> </w:t>
      </w:r>
      <w:r w:rsidRPr="009609EA">
        <w:rPr>
          <w:sz w:val="22"/>
          <w:szCs w:val="22"/>
        </w:rPr>
        <w:t>5(2):7, 2016.</w:t>
      </w:r>
    </w:p>
    <w:p w14:paraId="3AE9B6AF" w14:textId="77777777" w:rsidR="00D41EC5" w:rsidRPr="009609EA" w:rsidRDefault="00D41EC5" w:rsidP="009609EA">
      <w:pPr>
        <w:ind w:left="426" w:hanging="426"/>
        <w:jc w:val="both"/>
        <w:rPr>
          <w:sz w:val="22"/>
          <w:szCs w:val="22"/>
        </w:rPr>
      </w:pPr>
      <w:r w:rsidRPr="009609EA">
        <w:rPr>
          <w:sz w:val="22"/>
          <w:szCs w:val="22"/>
        </w:rPr>
        <w:t xml:space="preserve">[4] A. Marques, D. Evtuguin, F. Magina, A. Prates. </w:t>
      </w:r>
      <w:r w:rsidRPr="00D41EC5">
        <w:rPr>
          <w:sz w:val="22"/>
          <w:szCs w:val="22"/>
        </w:rPr>
        <w:t xml:space="preserve">Chemical Composition of Spent Liquors from Acidic Magnesium–Based Sulphite Pulping of </w:t>
      </w:r>
      <w:r w:rsidRPr="00D31263">
        <w:rPr>
          <w:i/>
          <w:sz w:val="22"/>
          <w:szCs w:val="22"/>
        </w:rPr>
        <w:t>Eucalyptus globulus</w:t>
      </w:r>
      <w:r w:rsidRPr="009609EA">
        <w:rPr>
          <w:sz w:val="22"/>
          <w:szCs w:val="22"/>
        </w:rPr>
        <w:t xml:space="preserve">. </w:t>
      </w:r>
      <w:r w:rsidRPr="009609EA">
        <w:rPr>
          <w:i/>
          <w:sz w:val="22"/>
          <w:szCs w:val="22"/>
        </w:rPr>
        <w:t>Journal of Wood Chemistry and Technology</w:t>
      </w:r>
      <w:r w:rsidRPr="009609EA">
        <w:rPr>
          <w:sz w:val="22"/>
          <w:szCs w:val="22"/>
        </w:rPr>
        <w:t>,</w:t>
      </w:r>
      <w:r w:rsidRPr="00D41EC5">
        <w:rPr>
          <w:sz w:val="22"/>
          <w:szCs w:val="22"/>
        </w:rPr>
        <w:t xml:space="preserve"> </w:t>
      </w:r>
      <w:r w:rsidRPr="009609EA">
        <w:rPr>
          <w:sz w:val="22"/>
          <w:szCs w:val="22"/>
        </w:rPr>
        <w:t>29(4):322-336, 2009.</w:t>
      </w:r>
    </w:p>
    <w:p w14:paraId="331237DC" w14:textId="77777777" w:rsidR="00D41EC5" w:rsidRPr="009609EA" w:rsidRDefault="00D41EC5" w:rsidP="009609EA">
      <w:pPr>
        <w:ind w:left="426" w:hanging="426"/>
        <w:jc w:val="both"/>
        <w:rPr>
          <w:sz w:val="22"/>
          <w:szCs w:val="22"/>
        </w:rPr>
      </w:pPr>
      <w:r w:rsidRPr="009751F8">
        <w:rPr>
          <w:sz w:val="22"/>
          <w:szCs w:val="22"/>
        </w:rPr>
        <w:t xml:space="preserve">[5] Instituto Nacional de Saúde Doutor Ricardo Jorge. </w:t>
      </w:r>
      <w:r w:rsidRPr="00D31263">
        <w:rPr>
          <w:sz w:val="22"/>
          <w:szCs w:val="22"/>
          <w:lang w:val="pt-PT"/>
        </w:rPr>
        <w:t xml:space="preserve">Detalhe alimento Farinha de Trigo Tipo 55. http://www2.insa.pt/sites/INSA/Portugues/AreasCientificas/AlimentNutricao/AplicacoesOnline/TabelaAlimentos/PesquisaOnline/Paginas/DetalheAlimento.aspx?ID=IS415. </w:t>
      </w:r>
      <w:r w:rsidRPr="009609EA">
        <w:rPr>
          <w:sz w:val="22"/>
          <w:szCs w:val="22"/>
        </w:rPr>
        <w:t>Published 2010. Accessed November 29, 2017.</w:t>
      </w:r>
    </w:p>
    <w:p w14:paraId="5CF5B60E" w14:textId="77777777" w:rsidR="00D41EC5" w:rsidRPr="009609EA" w:rsidRDefault="00D41EC5" w:rsidP="009609EA">
      <w:pPr>
        <w:ind w:left="426" w:hanging="426"/>
        <w:jc w:val="both"/>
        <w:rPr>
          <w:sz w:val="22"/>
          <w:szCs w:val="22"/>
        </w:rPr>
      </w:pPr>
      <w:r w:rsidRPr="009751F8">
        <w:rPr>
          <w:sz w:val="22"/>
          <w:szCs w:val="22"/>
          <w:lang w:val="pt-PT"/>
        </w:rPr>
        <w:t xml:space="preserve">[6] </w:t>
      </w:r>
      <w:r w:rsidR="00D80054" w:rsidRPr="009751F8">
        <w:rPr>
          <w:sz w:val="22"/>
          <w:szCs w:val="22"/>
          <w:lang w:val="pt-PT"/>
        </w:rPr>
        <w:t>S. D’Amico</w:t>
      </w:r>
      <w:r w:rsidRPr="009751F8">
        <w:rPr>
          <w:sz w:val="22"/>
          <w:szCs w:val="22"/>
          <w:lang w:val="pt-PT"/>
        </w:rPr>
        <w:t xml:space="preserve">, </w:t>
      </w:r>
      <w:r w:rsidR="00D80054" w:rsidRPr="009751F8">
        <w:rPr>
          <w:sz w:val="22"/>
          <w:szCs w:val="22"/>
          <w:lang w:val="pt-PT"/>
        </w:rPr>
        <w:t>M. Hrabalova</w:t>
      </w:r>
      <w:r w:rsidRPr="009751F8">
        <w:rPr>
          <w:sz w:val="22"/>
          <w:szCs w:val="22"/>
          <w:lang w:val="pt-PT"/>
        </w:rPr>
        <w:t xml:space="preserve">, </w:t>
      </w:r>
      <w:r w:rsidR="00D80054" w:rsidRPr="009751F8">
        <w:rPr>
          <w:sz w:val="22"/>
          <w:szCs w:val="22"/>
          <w:lang w:val="pt-PT"/>
        </w:rPr>
        <w:t>U. Müller</w:t>
      </w:r>
      <w:r w:rsidRPr="009751F8">
        <w:rPr>
          <w:sz w:val="22"/>
          <w:szCs w:val="22"/>
          <w:lang w:val="pt-PT"/>
        </w:rPr>
        <w:t xml:space="preserve">, </w:t>
      </w:r>
      <w:r w:rsidR="00D80054" w:rsidRPr="009751F8">
        <w:rPr>
          <w:sz w:val="22"/>
          <w:szCs w:val="22"/>
          <w:lang w:val="pt-PT"/>
        </w:rPr>
        <w:t xml:space="preserve">E. </w:t>
      </w:r>
      <w:r w:rsidR="001A192D" w:rsidRPr="009751F8">
        <w:rPr>
          <w:sz w:val="22"/>
          <w:szCs w:val="22"/>
          <w:lang w:val="pt-PT"/>
        </w:rPr>
        <w:t>Berghofer</w:t>
      </w:r>
      <w:r w:rsidRPr="009751F8">
        <w:rPr>
          <w:sz w:val="22"/>
          <w:szCs w:val="22"/>
          <w:lang w:val="pt-PT"/>
        </w:rPr>
        <w:t xml:space="preserve">. </w:t>
      </w:r>
      <w:r w:rsidRPr="009609EA">
        <w:rPr>
          <w:sz w:val="22"/>
          <w:szCs w:val="22"/>
        </w:rPr>
        <w:t xml:space="preserve">Bonding of spruce wood with wheat flour glue-Effect of press temperature on the adhesive bond strength. </w:t>
      </w:r>
      <w:r w:rsidRPr="009609EA">
        <w:rPr>
          <w:i/>
          <w:sz w:val="22"/>
          <w:szCs w:val="22"/>
        </w:rPr>
        <w:t>Ind</w:t>
      </w:r>
      <w:r w:rsidR="001A192D" w:rsidRPr="009609EA">
        <w:rPr>
          <w:i/>
          <w:sz w:val="22"/>
          <w:szCs w:val="22"/>
        </w:rPr>
        <w:t xml:space="preserve">ustrial </w:t>
      </w:r>
      <w:r w:rsidRPr="009609EA">
        <w:rPr>
          <w:i/>
          <w:sz w:val="22"/>
          <w:szCs w:val="22"/>
        </w:rPr>
        <w:t xml:space="preserve"> Crops </w:t>
      </w:r>
      <w:r w:rsidR="001A192D" w:rsidRPr="009609EA">
        <w:rPr>
          <w:i/>
          <w:sz w:val="22"/>
          <w:szCs w:val="22"/>
        </w:rPr>
        <w:t xml:space="preserve">and </w:t>
      </w:r>
      <w:r w:rsidRPr="009609EA">
        <w:rPr>
          <w:i/>
          <w:sz w:val="22"/>
          <w:szCs w:val="22"/>
        </w:rPr>
        <w:t>Prod</w:t>
      </w:r>
      <w:r w:rsidR="001A192D" w:rsidRPr="009609EA">
        <w:rPr>
          <w:i/>
          <w:sz w:val="22"/>
          <w:szCs w:val="22"/>
        </w:rPr>
        <w:t>ucts</w:t>
      </w:r>
      <w:r w:rsidR="001A192D" w:rsidRPr="009609EA">
        <w:rPr>
          <w:sz w:val="22"/>
          <w:szCs w:val="22"/>
        </w:rPr>
        <w:t>,</w:t>
      </w:r>
      <w:r w:rsidRPr="009609EA">
        <w:rPr>
          <w:sz w:val="22"/>
          <w:szCs w:val="22"/>
        </w:rPr>
        <w:t xml:space="preserve"> </w:t>
      </w:r>
      <w:r w:rsidR="001A192D" w:rsidRPr="009609EA">
        <w:rPr>
          <w:sz w:val="22"/>
          <w:szCs w:val="22"/>
        </w:rPr>
        <w:t>31(2):255-260, 2010.</w:t>
      </w:r>
    </w:p>
    <w:p w14:paraId="59562DB2" w14:textId="77777777" w:rsidR="009148E5" w:rsidRPr="002A2139" w:rsidRDefault="00D41EC5" w:rsidP="002A2139">
      <w:pPr>
        <w:ind w:left="426" w:hanging="426"/>
        <w:jc w:val="both"/>
        <w:rPr>
          <w:sz w:val="22"/>
          <w:szCs w:val="22"/>
        </w:rPr>
      </w:pPr>
      <w:r w:rsidRPr="009609EA">
        <w:rPr>
          <w:sz w:val="22"/>
          <w:szCs w:val="22"/>
        </w:rPr>
        <w:t xml:space="preserve">[7] </w:t>
      </w:r>
      <w:r w:rsidR="001A192D" w:rsidRPr="009609EA">
        <w:rPr>
          <w:sz w:val="22"/>
          <w:szCs w:val="22"/>
        </w:rPr>
        <w:t>G. Richardson</w:t>
      </w:r>
      <w:r w:rsidR="0037537B" w:rsidRPr="009609EA">
        <w:rPr>
          <w:sz w:val="22"/>
          <w:szCs w:val="22"/>
        </w:rPr>
        <w:t xml:space="preserve">, </w:t>
      </w:r>
      <w:r w:rsidR="001A192D" w:rsidRPr="009609EA">
        <w:rPr>
          <w:sz w:val="22"/>
          <w:szCs w:val="22"/>
        </w:rPr>
        <w:t>Y. Sun</w:t>
      </w:r>
      <w:r w:rsidR="0037537B" w:rsidRPr="009609EA">
        <w:rPr>
          <w:sz w:val="22"/>
          <w:szCs w:val="22"/>
        </w:rPr>
        <w:t xml:space="preserve">, </w:t>
      </w:r>
      <w:r w:rsidR="001A192D" w:rsidRPr="009609EA">
        <w:rPr>
          <w:sz w:val="22"/>
          <w:szCs w:val="22"/>
        </w:rPr>
        <w:t>M. Langton</w:t>
      </w:r>
      <w:r w:rsidR="0037537B" w:rsidRPr="009609EA">
        <w:rPr>
          <w:sz w:val="22"/>
          <w:szCs w:val="22"/>
        </w:rPr>
        <w:t xml:space="preserve">, </w:t>
      </w:r>
      <w:r w:rsidR="001A192D" w:rsidRPr="009609EA">
        <w:rPr>
          <w:sz w:val="22"/>
          <w:szCs w:val="22"/>
        </w:rPr>
        <w:t>A. Hermansson</w:t>
      </w:r>
      <w:r w:rsidR="0037537B" w:rsidRPr="009609EA">
        <w:rPr>
          <w:sz w:val="22"/>
          <w:szCs w:val="22"/>
        </w:rPr>
        <w:t>. Effects of Ca- and Na-lignosulfonate on starch gelatinization and network formation. Carbohydr</w:t>
      </w:r>
      <w:r w:rsidR="001A192D" w:rsidRPr="009609EA">
        <w:rPr>
          <w:sz w:val="22"/>
          <w:szCs w:val="22"/>
        </w:rPr>
        <w:t>ate</w:t>
      </w:r>
      <w:r w:rsidR="0037537B" w:rsidRPr="009609EA">
        <w:rPr>
          <w:sz w:val="22"/>
          <w:szCs w:val="22"/>
        </w:rPr>
        <w:t xml:space="preserve"> Polym</w:t>
      </w:r>
      <w:r w:rsidR="001A192D" w:rsidRPr="009609EA">
        <w:rPr>
          <w:sz w:val="22"/>
          <w:szCs w:val="22"/>
        </w:rPr>
        <w:t>ers</w:t>
      </w:r>
      <w:r w:rsidR="0037537B" w:rsidRPr="009609EA">
        <w:rPr>
          <w:sz w:val="22"/>
          <w:szCs w:val="22"/>
        </w:rPr>
        <w:t xml:space="preserve">. </w:t>
      </w:r>
      <w:r w:rsidR="001A192D" w:rsidRPr="009609EA">
        <w:rPr>
          <w:sz w:val="22"/>
          <w:szCs w:val="22"/>
        </w:rPr>
        <w:t>57(4):369-377, 2004.</w:t>
      </w:r>
    </w:p>
    <w:sectPr w:rsidR="009148E5" w:rsidRPr="002A2139" w:rsidSect="00A84527">
      <w:headerReference w:type="even" r:id="rId9"/>
      <w:headerReference w:type="default" r:id="rId10"/>
      <w:footerReference w:type="default" r:id="rId11"/>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06B1E" w14:textId="77777777" w:rsidR="00587032" w:rsidRDefault="00587032">
      <w:r>
        <w:separator/>
      </w:r>
    </w:p>
  </w:endnote>
  <w:endnote w:type="continuationSeparator" w:id="0">
    <w:p w14:paraId="7CA50AA3" w14:textId="77777777" w:rsidR="00587032" w:rsidRDefault="0058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C424" w14:textId="77777777" w:rsidR="009609EA" w:rsidRPr="002A2139" w:rsidRDefault="009609EA" w:rsidP="009609EA">
    <w:pPr>
      <w:pStyle w:val="Subttulo"/>
      <w:numPr>
        <w:ilvl w:val="0"/>
        <w:numId w:val="0"/>
      </w:numPr>
      <w:spacing w:after="0" w:line="240" w:lineRule="auto"/>
      <w:ind w:left="720"/>
      <w:jc w:val="center"/>
      <w:rPr>
        <w:i w:val="0"/>
        <w:sz w:val="18"/>
        <w:szCs w:val="18"/>
      </w:rPr>
    </w:pPr>
    <w:r w:rsidRPr="002A2139">
      <w:rPr>
        <w:i w:val="0"/>
        <w:sz w:val="18"/>
        <w:szCs w:val="18"/>
      </w:rPr>
      <w:t>A. M. Ferreira, J. Pereira, M. Almeida, J. Ferra, N. Paiva, J. Martins, L. H. Carvalho, F. D. Magalhães</w:t>
    </w:r>
  </w:p>
  <w:p w14:paraId="37694FB4" w14:textId="77777777" w:rsidR="0056281B" w:rsidRPr="009609EA" w:rsidRDefault="0056281B" w:rsidP="0056281B">
    <w:pPr>
      <w:jc w:val="center"/>
      <w:rPr>
        <w:sz w:val="18"/>
        <w:szCs w:val="18"/>
        <w:lang w:val="pt-PT"/>
      </w:rPr>
    </w:pPr>
  </w:p>
  <w:p w14:paraId="5E236FD3" w14:textId="77777777" w:rsidR="001D492D" w:rsidRPr="009609EA" w:rsidRDefault="001D492D">
    <w:pPr>
      <w:pStyle w:val="Rodap"/>
      <w:rPr>
        <w:lang w:val="pt-P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F07B1" w14:textId="77777777" w:rsidR="00587032" w:rsidRDefault="00587032">
      <w:r>
        <w:separator/>
      </w:r>
    </w:p>
  </w:footnote>
  <w:footnote w:type="continuationSeparator" w:id="0">
    <w:p w14:paraId="096843CB" w14:textId="77777777" w:rsidR="00587032" w:rsidRDefault="005870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FB29" w14:textId="77777777" w:rsidR="00A84527" w:rsidRPr="00CF611D" w:rsidRDefault="00704B24">
    <w:pPr>
      <w:pStyle w:val="Cabealho"/>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AA71" w14:textId="77777777" w:rsidR="009751F8" w:rsidRDefault="009148E5" w:rsidP="009751F8">
    <w:pPr>
      <w:pStyle w:val="Cabealho"/>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14:paraId="794C4041" w14:textId="16FCA0D7" w:rsidR="00A84527" w:rsidRPr="00B57AEB" w:rsidRDefault="00A32C5B" w:rsidP="009751F8">
    <w:pPr>
      <w:pStyle w:val="Cabealho"/>
      <w:tabs>
        <w:tab w:val="clear" w:pos="4320"/>
        <w:tab w:val="clear" w:pos="8640"/>
        <w:tab w:val="right" w:pos="9360"/>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9751F8">
      <w:rPr>
        <w:noProof/>
        <w:sz w:val="18"/>
        <w:szCs w:val="18"/>
      </w:rPr>
      <w:t>1</w:t>
    </w:r>
    <w:r w:rsidR="00352125"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507095"/>
    <w:multiLevelType w:val="hybridMultilevel"/>
    <w:tmpl w:val="BB5898A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543125A"/>
    <w:multiLevelType w:val="hybridMultilevel"/>
    <w:tmpl w:val="3510FF6A"/>
    <w:lvl w:ilvl="0" w:tplc="E85C925A">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118EA"/>
    <w:rsid w:val="00016A2D"/>
    <w:rsid w:val="000205EC"/>
    <w:rsid w:val="00036A04"/>
    <w:rsid w:val="00044B69"/>
    <w:rsid w:val="0007274E"/>
    <w:rsid w:val="000806D4"/>
    <w:rsid w:val="00093A3E"/>
    <w:rsid w:val="000A1EFD"/>
    <w:rsid w:val="000A73B4"/>
    <w:rsid w:val="000B65AE"/>
    <w:rsid w:val="000C1694"/>
    <w:rsid w:val="000C6C7F"/>
    <w:rsid w:val="000C7C69"/>
    <w:rsid w:val="000D3BBE"/>
    <w:rsid w:val="000E45B1"/>
    <w:rsid w:val="000E6BB4"/>
    <w:rsid w:val="000E7758"/>
    <w:rsid w:val="0011753B"/>
    <w:rsid w:val="001234CC"/>
    <w:rsid w:val="00152D8E"/>
    <w:rsid w:val="00166359"/>
    <w:rsid w:val="001702A1"/>
    <w:rsid w:val="00172A18"/>
    <w:rsid w:val="001768DD"/>
    <w:rsid w:val="0018587D"/>
    <w:rsid w:val="001A192D"/>
    <w:rsid w:val="001A2735"/>
    <w:rsid w:val="001B500D"/>
    <w:rsid w:val="001B5C61"/>
    <w:rsid w:val="001D0089"/>
    <w:rsid w:val="001D1123"/>
    <w:rsid w:val="001D492D"/>
    <w:rsid w:val="001E0455"/>
    <w:rsid w:val="001E4A12"/>
    <w:rsid w:val="002009CA"/>
    <w:rsid w:val="00206A59"/>
    <w:rsid w:val="00211628"/>
    <w:rsid w:val="0021540A"/>
    <w:rsid w:val="002721E0"/>
    <w:rsid w:val="002808D4"/>
    <w:rsid w:val="00294B69"/>
    <w:rsid w:val="002A2139"/>
    <w:rsid w:val="002B4784"/>
    <w:rsid w:val="002C4340"/>
    <w:rsid w:val="002D3DF2"/>
    <w:rsid w:val="002D5FD5"/>
    <w:rsid w:val="00302925"/>
    <w:rsid w:val="00323F1F"/>
    <w:rsid w:val="003477ED"/>
    <w:rsid w:val="00351C58"/>
    <w:rsid w:val="00352125"/>
    <w:rsid w:val="00371839"/>
    <w:rsid w:val="0037537B"/>
    <w:rsid w:val="00377295"/>
    <w:rsid w:val="0038221C"/>
    <w:rsid w:val="0039120B"/>
    <w:rsid w:val="003A054A"/>
    <w:rsid w:val="003A41B5"/>
    <w:rsid w:val="003B6253"/>
    <w:rsid w:val="003B6663"/>
    <w:rsid w:val="003B6BA3"/>
    <w:rsid w:val="003D3BAA"/>
    <w:rsid w:val="003E4FD8"/>
    <w:rsid w:val="003F0F69"/>
    <w:rsid w:val="00412A5D"/>
    <w:rsid w:val="004234F2"/>
    <w:rsid w:val="00425386"/>
    <w:rsid w:val="00427346"/>
    <w:rsid w:val="00432826"/>
    <w:rsid w:val="0043410B"/>
    <w:rsid w:val="00435437"/>
    <w:rsid w:val="0044074B"/>
    <w:rsid w:val="00442A07"/>
    <w:rsid w:val="00462CAB"/>
    <w:rsid w:val="00465F2F"/>
    <w:rsid w:val="00481424"/>
    <w:rsid w:val="0048719B"/>
    <w:rsid w:val="00490E88"/>
    <w:rsid w:val="004A1C1E"/>
    <w:rsid w:val="004A27C8"/>
    <w:rsid w:val="004A3F6F"/>
    <w:rsid w:val="004B5367"/>
    <w:rsid w:val="004C3B9A"/>
    <w:rsid w:val="004E18A3"/>
    <w:rsid w:val="004F0F2E"/>
    <w:rsid w:val="004F254A"/>
    <w:rsid w:val="00524FDB"/>
    <w:rsid w:val="005447CA"/>
    <w:rsid w:val="00547C4C"/>
    <w:rsid w:val="005516E8"/>
    <w:rsid w:val="00556716"/>
    <w:rsid w:val="0056281B"/>
    <w:rsid w:val="0058241B"/>
    <w:rsid w:val="00587032"/>
    <w:rsid w:val="00593376"/>
    <w:rsid w:val="005A03E1"/>
    <w:rsid w:val="005C0E2D"/>
    <w:rsid w:val="005C33A1"/>
    <w:rsid w:val="005D5E9F"/>
    <w:rsid w:val="005E074B"/>
    <w:rsid w:val="005E41EA"/>
    <w:rsid w:val="005F7256"/>
    <w:rsid w:val="0062778E"/>
    <w:rsid w:val="00632848"/>
    <w:rsid w:val="0064062A"/>
    <w:rsid w:val="00655863"/>
    <w:rsid w:val="00656C88"/>
    <w:rsid w:val="00662565"/>
    <w:rsid w:val="00663FD3"/>
    <w:rsid w:val="0067045F"/>
    <w:rsid w:val="00684C69"/>
    <w:rsid w:val="0069222A"/>
    <w:rsid w:val="006B56EA"/>
    <w:rsid w:val="006C6507"/>
    <w:rsid w:val="006D2BC0"/>
    <w:rsid w:val="006D7E6D"/>
    <w:rsid w:val="006F17BC"/>
    <w:rsid w:val="006F3756"/>
    <w:rsid w:val="006F41B8"/>
    <w:rsid w:val="006F609B"/>
    <w:rsid w:val="00700071"/>
    <w:rsid w:val="007013C9"/>
    <w:rsid w:val="0070220C"/>
    <w:rsid w:val="00704B24"/>
    <w:rsid w:val="00725CCF"/>
    <w:rsid w:val="007925D0"/>
    <w:rsid w:val="007A0397"/>
    <w:rsid w:val="007A083D"/>
    <w:rsid w:val="007C46DE"/>
    <w:rsid w:val="007D0448"/>
    <w:rsid w:val="007E4D47"/>
    <w:rsid w:val="007F2B8F"/>
    <w:rsid w:val="00806172"/>
    <w:rsid w:val="0083599B"/>
    <w:rsid w:val="008608A7"/>
    <w:rsid w:val="00866F2B"/>
    <w:rsid w:val="0087430A"/>
    <w:rsid w:val="00886A0E"/>
    <w:rsid w:val="00892894"/>
    <w:rsid w:val="008929D8"/>
    <w:rsid w:val="008A04FF"/>
    <w:rsid w:val="008B6986"/>
    <w:rsid w:val="008C25B7"/>
    <w:rsid w:val="008C4AFB"/>
    <w:rsid w:val="008D21A2"/>
    <w:rsid w:val="008E6524"/>
    <w:rsid w:val="008F0428"/>
    <w:rsid w:val="008F2896"/>
    <w:rsid w:val="008F4FC2"/>
    <w:rsid w:val="009020A6"/>
    <w:rsid w:val="00904CF1"/>
    <w:rsid w:val="009148E5"/>
    <w:rsid w:val="0091620C"/>
    <w:rsid w:val="00945048"/>
    <w:rsid w:val="009609EA"/>
    <w:rsid w:val="0097115A"/>
    <w:rsid w:val="009751F8"/>
    <w:rsid w:val="00981BC2"/>
    <w:rsid w:val="00992411"/>
    <w:rsid w:val="009A2DFD"/>
    <w:rsid w:val="009B204C"/>
    <w:rsid w:val="009C7CE7"/>
    <w:rsid w:val="009E7356"/>
    <w:rsid w:val="00A11466"/>
    <w:rsid w:val="00A14A8C"/>
    <w:rsid w:val="00A1555A"/>
    <w:rsid w:val="00A223B2"/>
    <w:rsid w:val="00A276DA"/>
    <w:rsid w:val="00A32C5B"/>
    <w:rsid w:val="00A427ED"/>
    <w:rsid w:val="00A5638A"/>
    <w:rsid w:val="00A65FB7"/>
    <w:rsid w:val="00A71AB9"/>
    <w:rsid w:val="00A815AA"/>
    <w:rsid w:val="00A84527"/>
    <w:rsid w:val="00A96ED1"/>
    <w:rsid w:val="00AA2BD9"/>
    <w:rsid w:val="00AA6F8A"/>
    <w:rsid w:val="00AB7F54"/>
    <w:rsid w:val="00AC7B93"/>
    <w:rsid w:val="00AE11B5"/>
    <w:rsid w:val="00AE4826"/>
    <w:rsid w:val="00AE77F9"/>
    <w:rsid w:val="00B014B8"/>
    <w:rsid w:val="00B10C97"/>
    <w:rsid w:val="00B635CD"/>
    <w:rsid w:val="00B81430"/>
    <w:rsid w:val="00BA0676"/>
    <w:rsid w:val="00BA3754"/>
    <w:rsid w:val="00BA5E22"/>
    <w:rsid w:val="00BC23B2"/>
    <w:rsid w:val="00BD23DE"/>
    <w:rsid w:val="00C12945"/>
    <w:rsid w:val="00C13D08"/>
    <w:rsid w:val="00C173C4"/>
    <w:rsid w:val="00C322DC"/>
    <w:rsid w:val="00C5281A"/>
    <w:rsid w:val="00C77351"/>
    <w:rsid w:val="00C84FC4"/>
    <w:rsid w:val="00C90C0F"/>
    <w:rsid w:val="00CA3006"/>
    <w:rsid w:val="00CA6A6D"/>
    <w:rsid w:val="00CB0360"/>
    <w:rsid w:val="00CE3EDF"/>
    <w:rsid w:val="00CE5B52"/>
    <w:rsid w:val="00CE700F"/>
    <w:rsid w:val="00CF2144"/>
    <w:rsid w:val="00D03E78"/>
    <w:rsid w:val="00D10D76"/>
    <w:rsid w:val="00D13F6A"/>
    <w:rsid w:val="00D31263"/>
    <w:rsid w:val="00D333B2"/>
    <w:rsid w:val="00D41EC5"/>
    <w:rsid w:val="00D420AC"/>
    <w:rsid w:val="00D5226E"/>
    <w:rsid w:val="00D773B9"/>
    <w:rsid w:val="00D80054"/>
    <w:rsid w:val="00D92B50"/>
    <w:rsid w:val="00DB0E2B"/>
    <w:rsid w:val="00DB312B"/>
    <w:rsid w:val="00DC1241"/>
    <w:rsid w:val="00DD4FD2"/>
    <w:rsid w:val="00DF4AE5"/>
    <w:rsid w:val="00E126A6"/>
    <w:rsid w:val="00E82219"/>
    <w:rsid w:val="00ED6EEE"/>
    <w:rsid w:val="00EE036A"/>
    <w:rsid w:val="00EE4719"/>
    <w:rsid w:val="00F11948"/>
    <w:rsid w:val="00F24E7F"/>
    <w:rsid w:val="00F26D5C"/>
    <w:rsid w:val="00F46B4E"/>
    <w:rsid w:val="00F52697"/>
    <w:rsid w:val="00F54B55"/>
    <w:rsid w:val="00FC36AB"/>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B169C"/>
  <w15:chartTrackingRefBased/>
  <w15:docId w15:val="{7B55AF0C-00B2-4662-8D4A-A995E29A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Corpodetexto">
    <w:name w:val="Body Text"/>
    <w:basedOn w:val="Normal"/>
    <w:link w:val="CorpodetextoCarter"/>
    <w:rsid w:val="00704B24"/>
    <w:pPr>
      <w:jc w:val="both"/>
    </w:pPr>
    <w:rPr>
      <w:lang w:val="en-GB" w:eastAsia="x-none"/>
    </w:rPr>
  </w:style>
  <w:style w:type="character" w:customStyle="1" w:styleId="CorpodetextoCarter">
    <w:name w:val="Corpo de texto Caráter"/>
    <w:link w:val="Corpodetexto"/>
    <w:rsid w:val="00704B24"/>
    <w:rPr>
      <w:rFonts w:ascii="Times New Roman" w:eastAsia="Times New Roman" w:hAnsi="Times New Roman" w:cs="Times New Roman"/>
      <w:sz w:val="24"/>
      <w:szCs w:val="24"/>
      <w:lang w:val="en-GB"/>
    </w:rPr>
  </w:style>
  <w:style w:type="paragraph" w:styleId="Cabealho">
    <w:name w:val="header"/>
    <w:basedOn w:val="Normal"/>
    <w:link w:val="CabealhoCarter"/>
    <w:uiPriority w:val="99"/>
    <w:rsid w:val="00704B24"/>
    <w:pPr>
      <w:tabs>
        <w:tab w:val="center" w:pos="4320"/>
        <w:tab w:val="right" w:pos="8640"/>
      </w:tabs>
    </w:pPr>
  </w:style>
  <w:style w:type="character" w:customStyle="1" w:styleId="CabealhoCarter">
    <w:name w:val="Cabeçalho Caráter"/>
    <w:link w:val="Cabealho"/>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Rodap">
    <w:name w:val="footer"/>
    <w:basedOn w:val="Normal"/>
    <w:link w:val="RodapCarter"/>
    <w:uiPriority w:val="99"/>
    <w:unhideWhenUsed/>
    <w:rsid w:val="00412A5D"/>
    <w:pPr>
      <w:tabs>
        <w:tab w:val="center" w:pos="4536"/>
        <w:tab w:val="right" w:pos="9072"/>
      </w:tabs>
    </w:pPr>
  </w:style>
  <w:style w:type="character" w:customStyle="1" w:styleId="RodapCarter">
    <w:name w:val="Rodapé Caráter"/>
    <w:link w:val="Rodap"/>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Refdecomentrio">
    <w:name w:val="annotation reference"/>
    <w:uiPriority w:val="99"/>
    <w:semiHidden/>
    <w:unhideWhenUsed/>
    <w:rsid w:val="002D5FD5"/>
    <w:rPr>
      <w:sz w:val="16"/>
      <w:szCs w:val="16"/>
    </w:rPr>
  </w:style>
  <w:style w:type="paragraph" w:styleId="Textodecomentrio">
    <w:name w:val="annotation text"/>
    <w:basedOn w:val="Normal"/>
    <w:link w:val="TextodecomentrioCarter"/>
    <w:uiPriority w:val="99"/>
    <w:semiHidden/>
    <w:unhideWhenUsed/>
    <w:rsid w:val="002D5FD5"/>
    <w:rPr>
      <w:sz w:val="20"/>
      <w:szCs w:val="20"/>
    </w:rPr>
  </w:style>
  <w:style w:type="character" w:customStyle="1" w:styleId="TextodecomentrioCarter">
    <w:name w:val="Texto de comentário Caráter"/>
    <w:link w:val="Textodecomentrio"/>
    <w:uiPriority w:val="99"/>
    <w:semiHidden/>
    <w:rsid w:val="002D5FD5"/>
    <w:rPr>
      <w:rFonts w:ascii="Times New Roman" w:eastAsia="Times New Roman" w:hAnsi="Times New Roman"/>
      <w:lang w:val="en-US" w:eastAsia="fr-FR"/>
    </w:rPr>
  </w:style>
  <w:style w:type="paragraph" w:styleId="Assuntodecomentrio">
    <w:name w:val="annotation subject"/>
    <w:basedOn w:val="Textodecomentrio"/>
    <w:next w:val="Textodecomentrio"/>
    <w:link w:val="AssuntodecomentrioCarter"/>
    <w:uiPriority w:val="99"/>
    <w:semiHidden/>
    <w:unhideWhenUsed/>
    <w:rsid w:val="002D5FD5"/>
    <w:rPr>
      <w:b/>
      <w:bCs/>
    </w:rPr>
  </w:style>
  <w:style w:type="character" w:customStyle="1" w:styleId="AssuntodecomentrioCarter">
    <w:name w:val="Assunto de comentário Caráter"/>
    <w:link w:val="Assuntodecomentrio"/>
    <w:uiPriority w:val="99"/>
    <w:semiHidden/>
    <w:rsid w:val="002D5FD5"/>
    <w:rPr>
      <w:rFonts w:ascii="Times New Roman" w:eastAsia="Times New Roman" w:hAnsi="Times New Roman"/>
      <w:b/>
      <w:bCs/>
      <w:lang w:val="en-US" w:eastAsia="fr-FR"/>
    </w:rPr>
  </w:style>
  <w:style w:type="paragraph" w:styleId="Textodebalo">
    <w:name w:val="Balloon Text"/>
    <w:basedOn w:val="Normal"/>
    <w:link w:val="TextodebaloCarter"/>
    <w:uiPriority w:val="99"/>
    <w:semiHidden/>
    <w:unhideWhenUsed/>
    <w:rsid w:val="002D5FD5"/>
    <w:rPr>
      <w:rFonts w:ascii="Segoe UI" w:hAnsi="Segoe UI"/>
      <w:sz w:val="18"/>
      <w:szCs w:val="18"/>
    </w:rPr>
  </w:style>
  <w:style w:type="character" w:customStyle="1" w:styleId="TextodebaloCarter">
    <w:name w:val="Texto de balão Caráter"/>
    <w:link w:val="Textodebalo"/>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Subttulo">
    <w:name w:val="Subtitle"/>
    <w:basedOn w:val="Normal"/>
    <w:next w:val="Normal"/>
    <w:link w:val="SubttuloCarter"/>
    <w:qFormat/>
    <w:rsid w:val="006D7E6D"/>
    <w:pPr>
      <w:numPr>
        <w:ilvl w:val="1"/>
      </w:numPr>
      <w:spacing w:after="160" w:line="259" w:lineRule="auto"/>
      <w:jc w:val="both"/>
    </w:pPr>
    <w:rPr>
      <w:b/>
      <w:i/>
      <w:color w:val="000000"/>
      <w:spacing w:val="15"/>
      <w:szCs w:val="22"/>
      <w:lang w:val="pt-PT" w:eastAsia="en-US"/>
    </w:rPr>
  </w:style>
  <w:style w:type="character" w:customStyle="1" w:styleId="SubttuloCarter">
    <w:name w:val="Subtítulo Caráter"/>
    <w:link w:val="Subttulo"/>
    <w:rsid w:val="006D7E6D"/>
    <w:rPr>
      <w:rFonts w:ascii="Times New Roman" w:eastAsia="Times New Roman" w:hAnsi="Times New Roman"/>
      <w:b/>
      <w:i/>
      <w:color w:val="000000"/>
      <w:spacing w:val="15"/>
      <w:sz w:val="24"/>
      <w:szCs w:val="22"/>
      <w:lang w:eastAsia="en-US"/>
    </w:rPr>
  </w:style>
  <w:style w:type="character" w:customStyle="1" w:styleId="nlmarticle-title">
    <w:name w:val="nlm_article-title"/>
    <w:basedOn w:val="Tipodeletrapredefinidodopargrafo"/>
    <w:rsid w:val="00A223B2"/>
  </w:style>
  <w:style w:type="paragraph" w:styleId="Legenda">
    <w:name w:val="caption"/>
    <w:basedOn w:val="Normal"/>
    <w:next w:val="Normal"/>
    <w:uiPriority w:val="35"/>
    <w:unhideWhenUsed/>
    <w:qFormat/>
    <w:rsid w:val="00A223B2"/>
    <w:pPr>
      <w:spacing w:after="200"/>
    </w:pPr>
    <w:rPr>
      <w:rFonts w:ascii="Calibri" w:eastAsia="Calibri" w:hAnsi="Calibri"/>
      <w:i/>
      <w:iCs/>
      <w:color w:val="44546A"/>
      <w:sz w:val="18"/>
      <w:szCs w:val="18"/>
      <w:lang w:val="pt-PT" w:eastAsia="en-US"/>
    </w:rPr>
  </w:style>
  <w:style w:type="character" w:customStyle="1" w:styleId="apple-converted-space">
    <w:name w:val="apple-converted-space"/>
    <w:basedOn w:val="Tipodeletrapredefinidodopargrafo"/>
    <w:rsid w:val="002009CA"/>
  </w:style>
  <w:style w:type="table" w:styleId="Tabelacomgrelha">
    <w:name w:val="Table Grid"/>
    <w:basedOn w:val="Tabelanormal"/>
    <w:uiPriority w:val="39"/>
    <w:rsid w:val="00BC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a\Desktop\Farinha_lenhosulfonatos_artigo\Resist&#234;ncias%20Internas%20-%20100%25%20lenhosulfonatos%20-%20update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473990386732101"/>
          <c:y val="5.0925797986191901E-2"/>
          <c:w val="0.83979818908835502"/>
          <c:h val="0.78654609124028396"/>
        </c:manualLayout>
      </c:layout>
      <c:scatterChart>
        <c:scatterStyle val="lineMarker"/>
        <c:varyColors val="0"/>
        <c:ser>
          <c:idx val="3"/>
          <c:order val="0"/>
          <c:tx>
            <c:v>TSSL+WF-97 13.2</c:v>
          </c:tx>
          <c:spPr>
            <a:ln w="12700" cap="rnd">
              <a:solidFill>
                <a:schemeClr val="tx1"/>
              </a:solidFill>
              <a:prstDash val="sysDash"/>
              <a:round/>
            </a:ln>
            <a:effectLst/>
          </c:spPr>
          <c:marker>
            <c:symbol val="circle"/>
            <c:size val="5"/>
            <c:spPr>
              <a:solidFill>
                <a:schemeClr val="tx1"/>
              </a:solidFill>
              <a:ln w="12700">
                <a:solidFill>
                  <a:schemeClr val="tx1"/>
                </a:solidFill>
                <a:prstDash val="sysDash"/>
              </a:ln>
              <a:effectLst/>
            </c:spPr>
          </c:marker>
          <c:dLbls>
            <c:dLbl>
              <c:idx val="0"/>
              <c:layout>
                <c:manualLayout>
                  <c:x val="-7.6882694012094105E-2"/>
                  <c:y val="-1.3243804680114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4727327369865806E-2"/>
                      <c:h val="4.6304238215635202E-2"/>
                    </c:manualLayout>
                  </c15:layout>
                </c:ext>
                <c:ext xmlns:c16="http://schemas.microsoft.com/office/drawing/2014/chart" uri="{C3380CC4-5D6E-409C-BE32-E72D297353CC}">
                  <c16:uniqueId val="{00000000-338C-46F0-8A2F-9598FA3DDB88}"/>
                </c:ext>
              </c:extLst>
            </c:dLbl>
            <c:dLbl>
              <c:idx val="1"/>
              <c:layout>
                <c:manualLayout>
                  <c:x val="-4.6494277406523302E-2"/>
                  <c:y val="-3.64208213429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8C-46F0-8A2F-9598FA3DDB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t-P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(Folha1!$Q$60,Folha1!$Q$62)</c:f>
                <c:numCache>
                  <c:formatCode>General</c:formatCode>
                  <c:ptCount val="2"/>
                  <c:pt idx="0">
                    <c:v>2.1213203435596399E-2</c:v>
                  </c:pt>
                  <c:pt idx="1">
                    <c:v>0</c:v>
                  </c:pt>
                </c:numCache>
              </c:numRef>
            </c:plus>
            <c:minus>
              <c:numRef>
                <c:f>(Folha1!$Q$60,Folha1!$Q$62)</c:f>
                <c:numCache>
                  <c:formatCode>General</c:formatCode>
                  <c:ptCount val="2"/>
                  <c:pt idx="0">
                    <c:v>2.1213203435596399E-2</c:v>
                  </c:pt>
                  <c:pt idx="1">
                    <c:v>0</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(Folha1!$O$60,Folha1!$O$62)</c:f>
              <c:numCache>
                <c:formatCode>General</c:formatCode>
                <c:ptCount val="2"/>
                <c:pt idx="0">
                  <c:v>600</c:v>
                </c:pt>
                <c:pt idx="1">
                  <c:v>420</c:v>
                </c:pt>
              </c:numCache>
            </c:numRef>
          </c:xVal>
          <c:yVal>
            <c:numRef>
              <c:f>(Folha1!$P$60,Folha1!$P$62)</c:f>
              <c:numCache>
                <c:formatCode>0.00</c:formatCode>
                <c:ptCount val="2"/>
                <c:pt idx="0">
                  <c:v>0.45500000000000002</c:v>
                </c:pt>
                <c:pt idx="1">
                  <c:v>0.3</c:v>
                </c:pt>
              </c:numCache>
            </c:numRef>
          </c:yVal>
          <c:smooth val="0"/>
          <c:extLst>
            <c:ext xmlns:c16="http://schemas.microsoft.com/office/drawing/2014/chart" uri="{C3380CC4-5D6E-409C-BE32-E72D297353CC}">
              <c16:uniqueId val="{00000002-338C-46F0-8A2F-9598FA3DDB88}"/>
            </c:ext>
          </c:extLst>
        </c:ser>
        <c:ser>
          <c:idx val="1"/>
          <c:order val="1"/>
          <c:tx>
            <c:v>TSSL+WF-RT 20</c:v>
          </c:tx>
          <c:spPr>
            <a:ln w="12700" cap="rnd">
              <a:solidFill>
                <a:schemeClr val="tx1"/>
              </a:solidFill>
              <a:prstDash val="lgDash"/>
              <a:round/>
            </a:ln>
            <a:effectLst/>
          </c:spPr>
          <c:marker>
            <c:symbol val="circle"/>
            <c:size val="5"/>
            <c:spPr>
              <a:solidFill>
                <a:schemeClr val="tx1"/>
              </a:solidFill>
              <a:ln w="12700">
                <a:solidFill>
                  <a:schemeClr val="tx1"/>
                </a:solidFill>
                <a:prstDash val="lgDash"/>
              </a:ln>
              <a:effectLst/>
            </c:spPr>
          </c:marker>
          <c:dLbls>
            <c:dLbl>
              <c:idx val="0"/>
              <c:layout>
                <c:manualLayout>
                  <c:x val="-5.6226387163422403E-2"/>
                  <c:y val="3.98180992450435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8C-46F0-8A2F-9598FA3DDB88}"/>
                </c:ext>
              </c:extLst>
            </c:dLbl>
            <c:dLbl>
              <c:idx val="1"/>
              <c:layout>
                <c:manualLayout>
                  <c:x val="-7.6049205945090898E-3"/>
                  <c:y val="9.9903068995165403E-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338C-46F0-8A2F-9598FA3DDB88}"/>
                </c:ext>
              </c:extLst>
            </c:dLbl>
            <c:dLbl>
              <c:idx val="2"/>
              <c:layout>
                <c:manualLayout>
                  <c:x val="-7.0407648246022095E-2"/>
                  <c:y val="6.56461189274080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8C-46F0-8A2F-9598FA3DDB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(Folha1!$Q$74,Folha1!$Q$76,Folha1!$Q$78)</c:f>
                <c:numCache>
                  <c:formatCode>General</c:formatCode>
                  <c:ptCount val="3"/>
                  <c:pt idx="0">
                    <c:v>2.8284271247461901E-2</c:v>
                  </c:pt>
                  <c:pt idx="1">
                    <c:v>2.8284271247461901E-2</c:v>
                  </c:pt>
                  <c:pt idx="2">
                    <c:v>1.41421356237309E-2</c:v>
                  </c:pt>
                </c:numCache>
              </c:numRef>
            </c:plus>
            <c:minus>
              <c:numRef>
                <c:f>(Folha1!$Q$74,Folha1!$Q$76,Folha1!$Q$78)</c:f>
                <c:numCache>
                  <c:formatCode>General</c:formatCode>
                  <c:ptCount val="3"/>
                  <c:pt idx="0">
                    <c:v>2.8284271247461901E-2</c:v>
                  </c:pt>
                  <c:pt idx="1">
                    <c:v>2.8284271247461901E-2</c:v>
                  </c:pt>
                  <c:pt idx="2">
                    <c:v>1.41421356237309E-2</c:v>
                  </c:pt>
                </c:numCache>
              </c:numRef>
            </c:minus>
            <c:spPr>
              <a:noFill/>
              <a:ln w="6350" cap="flat" cmpd="sng" algn="ctr">
                <a:solidFill>
                  <a:schemeClr val="tx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(Folha1!$O$74,Folha1!$O$76,Folha1!$O$78)</c:f>
              <c:numCache>
                <c:formatCode>General</c:formatCode>
                <c:ptCount val="3"/>
                <c:pt idx="0">
                  <c:v>600</c:v>
                </c:pt>
                <c:pt idx="1">
                  <c:v>420</c:v>
                </c:pt>
                <c:pt idx="2">
                  <c:v>300</c:v>
                </c:pt>
              </c:numCache>
            </c:numRef>
          </c:xVal>
          <c:yVal>
            <c:numRef>
              <c:f>(Folha1!$P$74,Folha1!$P$76,Folha1!$P$78)</c:f>
              <c:numCache>
                <c:formatCode>0.00</c:formatCode>
                <c:ptCount val="3"/>
                <c:pt idx="0">
                  <c:v>0.44</c:v>
                </c:pt>
                <c:pt idx="1">
                  <c:v>0.28000000000000003</c:v>
                </c:pt>
                <c:pt idx="2">
                  <c:v>0.06</c:v>
                </c:pt>
              </c:numCache>
            </c:numRef>
          </c:yVal>
          <c:smooth val="0"/>
          <c:extLst>
            <c:ext xmlns:c16="http://schemas.microsoft.com/office/drawing/2014/chart" uri="{C3380CC4-5D6E-409C-BE32-E72D297353CC}">
              <c16:uniqueId val="{00000006-338C-46F0-8A2F-9598FA3DDB88}"/>
            </c:ext>
          </c:extLst>
        </c:ser>
        <c:ser>
          <c:idx val="0"/>
          <c:order val="2"/>
          <c:tx>
            <c:v>TSSL+WF-RT 13.2</c:v>
          </c:tx>
          <c:spPr>
            <a:ln w="12700" cap="rnd">
              <a:solidFill>
                <a:schemeClr val="tx1"/>
              </a:solidFill>
              <a:prstDash val="solid"/>
              <a:round/>
            </a:ln>
            <a:effectLst/>
          </c:spPr>
          <c:marker>
            <c:symbol val="circle"/>
            <c:size val="5"/>
            <c:spPr>
              <a:solidFill>
                <a:schemeClr val="tx1"/>
              </a:solidFill>
              <a:ln w="12700">
                <a:solidFill>
                  <a:schemeClr val="tx1"/>
                </a:solidFill>
                <a:prstDash val="solid"/>
              </a:ln>
              <a:effectLst/>
            </c:spPr>
          </c:marker>
          <c:dLbls>
            <c:dLbl>
              <c:idx val="0"/>
              <c:layout>
                <c:manualLayout>
                  <c:x val="-6.0276899890187099E-2"/>
                  <c:y val="3.65071154865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8C-46F0-8A2F-9598FA3DDB88}"/>
                </c:ext>
              </c:extLst>
            </c:dLbl>
            <c:dLbl>
              <c:idx val="1"/>
              <c:layout>
                <c:manualLayout>
                  <c:x val="-1.8121785288369399E-2"/>
                  <c:y val="1.47703767586668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dLblPos val="r"/>
              <c:showLegendKey val="0"/>
              <c:showVal val="1"/>
              <c:showCatName val="0"/>
              <c:showSerName val="0"/>
              <c:showPercent val="0"/>
              <c:showBubbleSize val="0"/>
              <c:extLst>
                <c:ext xmlns:c15="http://schemas.microsoft.com/office/drawing/2012/chart" uri="{CE6537A1-D6FC-4f65-9D91-7224C49458BB}">
                  <c15:layout>
                    <c:manualLayout>
                      <c:w val="6.0275755908998203E-2"/>
                      <c:h val="5.3189113862808897E-2"/>
                    </c:manualLayout>
                  </c15:layout>
                </c:ext>
                <c:ext xmlns:c16="http://schemas.microsoft.com/office/drawing/2014/chart" uri="{C3380CC4-5D6E-409C-BE32-E72D297353CC}">
                  <c16:uniqueId val="{00000008-338C-46F0-8A2F-9598FA3DDB88}"/>
                </c:ext>
              </c:extLst>
            </c:dLbl>
            <c:dLbl>
              <c:idx val="2"/>
              <c:layout>
                <c:manualLayout>
                  <c:x val="-6.4329957066967494E-2"/>
                  <c:y val="-2.2975803300245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8C-46F0-8A2F-9598FA3DDB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(Folha1!$Q$67,Folha1!$Q$69,Folha1!$Q$71)</c:f>
                <c:numCache>
                  <c:formatCode>General</c:formatCode>
                  <c:ptCount val="3"/>
                  <c:pt idx="0">
                    <c:v>1.4142135623730999E-2</c:v>
                  </c:pt>
                  <c:pt idx="1">
                    <c:v>6.3639610306789302E-2</c:v>
                  </c:pt>
                  <c:pt idx="2">
                    <c:v>4.2426406871192902E-2</c:v>
                  </c:pt>
                </c:numCache>
              </c:numRef>
            </c:plus>
            <c:minus>
              <c:numRef>
                <c:f>(Folha1!$Q$67,Folha1!$Q$69,Folha1!$Q$71)</c:f>
                <c:numCache>
                  <c:formatCode>General</c:formatCode>
                  <c:ptCount val="3"/>
                  <c:pt idx="0">
                    <c:v>1.4142135623730999E-2</c:v>
                  </c:pt>
                  <c:pt idx="1">
                    <c:v>6.3639610306789302E-2</c:v>
                  </c:pt>
                  <c:pt idx="2">
                    <c:v>4.2426406871192902E-2</c:v>
                  </c:pt>
                </c:numCache>
              </c:numRef>
            </c:minus>
            <c:spPr>
              <a:noFill/>
              <a:ln w="6350" cap="flat" cmpd="sng" algn="ctr">
                <a:solidFill>
                  <a:schemeClr val="tx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(Folha1!$O$67,Folha1!$O$69,Folha1!$O$71)</c:f>
              <c:numCache>
                <c:formatCode>General</c:formatCode>
                <c:ptCount val="3"/>
                <c:pt idx="0">
                  <c:v>600</c:v>
                </c:pt>
                <c:pt idx="1">
                  <c:v>420</c:v>
                </c:pt>
                <c:pt idx="2">
                  <c:v>300</c:v>
                </c:pt>
              </c:numCache>
            </c:numRef>
          </c:xVal>
          <c:yVal>
            <c:numRef>
              <c:f>(Folha1!$P$67,Folha1!$P$69,Folha1!$P$71)</c:f>
              <c:numCache>
                <c:formatCode>0.00</c:formatCode>
                <c:ptCount val="3"/>
                <c:pt idx="0">
                  <c:v>0.37</c:v>
                </c:pt>
                <c:pt idx="1">
                  <c:v>0.23499999999999999</c:v>
                </c:pt>
                <c:pt idx="2">
                  <c:v>0.1</c:v>
                </c:pt>
              </c:numCache>
            </c:numRef>
          </c:yVal>
          <c:smooth val="0"/>
          <c:extLst>
            <c:ext xmlns:c16="http://schemas.microsoft.com/office/drawing/2014/chart" uri="{C3380CC4-5D6E-409C-BE32-E72D297353CC}">
              <c16:uniqueId val="{0000000A-338C-46F0-8A2F-9598FA3DDB88}"/>
            </c:ext>
          </c:extLst>
        </c:ser>
        <c:ser>
          <c:idx val="2"/>
          <c:order val="3"/>
          <c:tx>
            <c:v>TSSL 20</c:v>
          </c:tx>
          <c:spPr>
            <a:ln w="12700" cap="rnd">
              <a:solidFill>
                <a:schemeClr val="tx1"/>
              </a:solidFill>
              <a:prstDash val="sysDot"/>
              <a:round/>
            </a:ln>
            <a:effectLst/>
          </c:spPr>
          <c:marker>
            <c:symbol val="circle"/>
            <c:size val="5"/>
            <c:spPr>
              <a:solidFill>
                <a:schemeClr val="tx1"/>
              </a:solidFill>
              <a:ln w="12700">
                <a:solidFill>
                  <a:schemeClr val="tx1"/>
                </a:solidFill>
                <a:prstDash val="sysDot"/>
              </a:ln>
              <a:effectLst/>
            </c:spPr>
          </c:marker>
          <c:dLbls>
            <c:dLbl>
              <c:idx val="0"/>
              <c:layout>
                <c:manualLayout>
                  <c:x val="-3.5205629401960599E-2"/>
                  <c:y val="-2.65945569314045E-2"/>
                </c:manualLayout>
              </c:layout>
              <c:dLblPos val="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B-338C-46F0-8A2F-9598FA3DDB88}"/>
                </c:ext>
              </c:extLst>
            </c:dLbl>
            <c:dLbl>
              <c:idx val="1"/>
              <c:layout>
                <c:manualLayout>
                  <c:x val="-3.3435348101053697E-2"/>
                  <c:y val="-3.4613344884123397E-2"/>
                </c:manualLayout>
              </c:layout>
              <c:dLblPos val="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C-338C-46F0-8A2F-9598FA3DDB88}"/>
                </c:ext>
              </c:extLst>
            </c:dLbl>
            <c:dLbl>
              <c:idx val="2"/>
              <c:layout>
                <c:manualLayout>
                  <c:x val="-6.1804775240571097E-2"/>
                  <c:y val="-1.8165569001683701E-2"/>
                </c:manualLayout>
              </c:layout>
              <c:dLblPos val="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D-338C-46F0-8A2F-9598FA3DDB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Folha2!$L$20:$L$22</c:f>
                <c:numCache>
                  <c:formatCode>General</c:formatCode>
                  <c:ptCount val="3"/>
                  <c:pt idx="0">
                    <c:v>0</c:v>
                  </c:pt>
                  <c:pt idx="1">
                    <c:v>0.01</c:v>
                  </c:pt>
                  <c:pt idx="2">
                    <c:v>2.8867513459481301E-2</c:v>
                  </c:pt>
                </c:numCache>
                <c:extLst xmlns:c15="http://schemas.microsoft.com/office/drawing/2012/chart"/>
              </c:numRef>
            </c:plus>
            <c:minus>
              <c:numRef>
                <c:f>Folha2!$L$20:$L$22</c:f>
                <c:numCache>
                  <c:formatCode>General</c:formatCode>
                  <c:ptCount val="3"/>
                  <c:pt idx="0">
                    <c:v>0</c:v>
                  </c:pt>
                  <c:pt idx="1">
                    <c:v>0.01</c:v>
                  </c:pt>
                  <c:pt idx="2">
                    <c:v>2.8867513459481301E-2</c:v>
                  </c:pt>
                </c:numCache>
                <c:extLst xmlns:c15="http://schemas.microsoft.com/office/drawing/2012/chart"/>
              </c:numRef>
            </c:minus>
            <c:spPr>
              <a:noFill/>
              <a:ln w="6350" cap="flat" cmpd="sng" algn="ctr">
                <a:solidFill>
                  <a:schemeClr val="tx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Folha2!$J$20:$J$22</c:f>
              <c:numCache>
                <c:formatCode>General</c:formatCode>
                <c:ptCount val="3"/>
                <c:pt idx="0">
                  <c:v>300</c:v>
                </c:pt>
                <c:pt idx="1">
                  <c:v>420</c:v>
                </c:pt>
                <c:pt idx="2" formatCode="0">
                  <c:v>600</c:v>
                </c:pt>
              </c:numCache>
              <c:extLst xmlns:c15="http://schemas.microsoft.com/office/drawing/2012/chart"/>
            </c:numRef>
          </c:xVal>
          <c:yVal>
            <c:numRef>
              <c:f>Folha2!$K$20:$K$22</c:f>
              <c:numCache>
                <c:formatCode>General</c:formatCode>
                <c:ptCount val="3"/>
                <c:pt idx="0" formatCode="0.00">
                  <c:v>0</c:v>
                </c:pt>
                <c:pt idx="1">
                  <c:v>0.12</c:v>
                </c:pt>
                <c:pt idx="2" formatCode="0.00">
                  <c:v>0.29666666666666702</c:v>
                </c:pt>
              </c:numCache>
              <c:extLst xmlns:c15="http://schemas.microsoft.com/office/drawing/2012/chart"/>
            </c:numRef>
          </c:yVal>
          <c:smooth val="0"/>
          <c:extLst xmlns:c15="http://schemas.microsoft.com/office/drawing/2012/chart">
            <c:ext xmlns:c16="http://schemas.microsoft.com/office/drawing/2014/chart" uri="{C3380CC4-5D6E-409C-BE32-E72D297353CC}">
              <c16:uniqueId val="{0000000E-338C-46F0-8A2F-9598FA3DDB88}"/>
            </c:ext>
          </c:extLst>
        </c:ser>
        <c:dLbls>
          <c:dLblPos val="l"/>
          <c:showLegendKey val="0"/>
          <c:showVal val="1"/>
          <c:showCatName val="0"/>
          <c:showSerName val="0"/>
          <c:showPercent val="0"/>
          <c:showBubbleSize val="0"/>
        </c:dLbls>
        <c:axId val="1821704032"/>
        <c:axId val="1822130400"/>
        <c:extLst/>
      </c:scatterChart>
      <c:valAx>
        <c:axId val="1821704032"/>
        <c:scaling>
          <c:orientation val="minMax"/>
          <c:max val="650"/>
          <c:min val="250"/>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r>
                  <a:rPr lang="pt-PT" sz="1100">
                    <a:solidFill>
                      <a:sysClr val="windowText" lastClr="000000"/>
                    </a:solidFill>
                    <a:latin typeface="+mn-lt"/>
                    <a:cs typeface="Times New Roman" panose="02020603050405020304" pitchFamily="18" charset="0"/>
                  </a:rPr>
                  <a:t>Time (s)</a:t>
                </a:r>
              </a:p>
            </c:rich>
          </c:tx>
          <c:overlay val="0"/>
          <c:spPr>
            <a:noFill/>
            <a:ln>
              <a:noFill/>
            </a:ln>
            <a:effectLst/>
          </c:spPr>
        </c:title>
        <c:numFmt formatCode="General"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crossAx val="1822130400"/>
        <c:crosses val="autoZero"/>
        <c:crossBetween val="midCat"/>
        <c:minorUnit val="25"/>
      </c:valAx>
      <c:valAx>
        <c:axId val="1822130400"/>
        <c:scaling>
          <c:orientation val="minMax"/>
          <c:max val="0.5"/>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r>
                  <a:rPr lang="pt-PT" sz="1100" b="0" i="0" baseline="0">
                    <a:solidFill>
                      <a:sysClr val="windowText" lastClr="000000"/>
                    </a:solidFill>
                    <a:effectLst/>
                    <a:latin typeface="+mn-lt"/>
                    <a:cs typeface="Times New Roman" panose="02020603050405020304" pitchFamily="18" charset="0"/>
                  </a:rPr>
                  <a:t>Internal Bond Strength (</a:t>
                </a:r>
                <a:r>
                  <a:rPr lang="en-US" sz="1100" b="0" i="0" baseline="0">
                    <a:solidFill>
                      <a:sysClr val="windowText" lastClr="000000"/>
                    </a:solidFill>
                    <a:effectLst/>
                    <a:latin typeface="+mn-lt"/>
                    <a:cs typeface="Times New Roman" panose="02020603050405020304" pitchFamily="18" charset="0"/>
                  </a:rPr>
                  <a:t>N·mm</a:t>
                </a:r>
                <a:r>
                  <a:rPr lang="en-US" sz="1100" b="0" i="0" baseline="30000">
                    <a:solidFill>
                      <a:sysClr val="windowText" lastClr="000000"/>
                    </a:solidFill>
                    <a:effectLst/>
                    <a:latin typeface="+mn-lt"/>
                    <a:cs typeface="Times New Roman" panose="02020603050405020304" pitchFamily="18" charset="0"/>
                  </a:rPr>
                  <a:t>-2</a:t>
                </a:r>
                <a:r>
                  <a:rPr lang="en-US" sz="1100" b="0" i="0" baseline="0">
                    <a:solidFill>
                      <a:sysClr val="windowText" lastClr="000000"/>
                    </a:solidFill>
                    <a:effectLst/>
                    <a:latin typeface="+mn-lt"/>
                    <a:cs typeface="Times New Roman" panose="02020603050405020304" pitchFamily="18" charset="0"/>
                  </a:rPr>
                  <a:t>)</a:t>
                </a:r>
                <a:endParaRPr lang="pt-PT" sz="1100">
                  <a:solidFill>
                    <a:sysClr val="windowText" lastClr="000000"/>
                  </a:solidFill>
                  <a:effectLst/>
                  <a:latin typeface="+mn-lt"/>
                  <a:cs typeface="Times New Roman" panose="02020603050405020304" pitchFamily="18" charset="0"/>
                </a:endParaRPr>
              </a:p>
            </c:rich>
          </c:tx>
          <c:layout>
            <c:manualLayout>
              <c:xMode val="edge"/>
              <c:yMode val="edge"/>
              <c:x val="1.5230912854364601E-2"/>
              <c:y val="0.20235846326554799"/>
            </c:manualLayout>
          </c:layout>
          <c:overlay val="0"/>
          <c:spPr>
            <a:noFill/>
            <a:ln>
              <a:noFill/>
            </a:ln>
            <a:effectLst/>
          </c:spPr>
        </c:title>
        <c:numFmt formatCode="0.00" sourceLinked="1"/>
        <c:majorTickMark val="in"/>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PT"/>
          </a:p>
        </c:txPr>
        <c:crossAx val="1821704032"/>
        <c:crosses val="autoZero"/>
        <c:crossBetween val="midCat"/>
        <c:minorUnit val="2.5000000000000001E-2"/>
      </c:valAx>
      <c:spPr>
        <a:noFill/>
        <a:ln>
          <a:noFill/>
        </a:ln>
        <a:effectLst/>
      </c:spPr>
    </c:plotArea>
    <c:legend>
      <c:legendPos val="r"/>
      <c:layout>
        <c:manualLayout>
          <c:xMode val="edge"/>
          <c:yMode val="edge"/>
          <c:x val="0.65514917246914384"/>
          <c:y val="0.50773518804041395"/>
          <c:w val="0.33651955489034951"/>
          <c:h val="0.2555505905282919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pt-PT"/>
        </a:p>
      </c:txPr>
    </c:legend>
    <c:plotVisOnly val="1"/>
    <c:dispBlanksAs val="gap"/>
    <c:showDLblsOverMax val="0"/>
  </c:chart>
  <c:spPr>
    <a:solidFill>
      <a:schemeClr val="bg1"/>
    </a:solidFill>
    <a:ln w="9525" cap="flat" cmpd="sng" algn="ctr">
      <a:noFill/>
      <a:round/>
    </a:ln>
    <a:effectLst/>
  </c:spPr>
  <c:txPr>
    <a:bodyPr/>
    <a:lstStyle/>
    <a:p>
      <a:pPr>
        <a:defRPr/>
      </a:pPr>
      <a:endParaRPr lang="pt-PT"/>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5FFF-5126-4B45-85FF-9A7305D2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2125</Words>
  <Characters>11479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ECCM17_Paper_Template</vt:lpstr>
    </vt:vector>
  </TitlesOfParts>
  <Company>Leibniz-Rechenzentrum</Company>
  <LinksUpToDate>false</LinksUpToDate>
  <CharactersWithSpaces>13577</CharactersWithSpaces>
  <SharedDoc>false</SharedDoc>
  <HLinks>
    <vt:vector size="12" baseType="variant">
      <vt:variant>
        <vt:i4>1245216</vt:i4>
      </vt:variant>
      <vt:variant>
        <vt:i4>15</vt:i4>
      </vt:variant>
      <vt:variant>
        <vt:i4>0</vt:i4>
      </vt:variant>
      <vt:variant>
        <vt:i4>5</vt:i4>
      </vt:variant>
      <vt:variant>
        <vt:lpwstr>mailto:info@eccm18.org</vt:lpwstr>
      </vt:variant>
      <vt:variant>
        <vt:lpwstr/>
      </vt:variant>
      <vt:variant>
        <vt:i4>2752619</vt:i4>
      </vt:variant>
      <vt:variant>
        <vt:i4>12</vt:i4>
      </vt:variant>
      <vt:variant>
        <vt:i4>0</vt:i4>
      </vt:variant>
      <vt:variant>
        <vt:i4>5</vt:i4>
      </vt:variant>
      <vt:variant>
        <vt:lpwstr>https://pcoconvin.eventsair.com/eccm/abstracts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ana ferreira</cp:lastModifiedBy>
  <cp:revision>4</cp:revision>
  <cp:lastPrinted>2016-03-11T13:16:00Z</cp:lastPrinted>
  <dcterms:created xsi:type="dcterms:W3CDTF">2018-05-07T10:21:00Z</dcterms:created>
  <dcterms:modified xsi:type="dcterms:W3CDTF">2018-05-07T16:28:00Z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http://www.zotero.org/styles/carbohydrate-polymers</vt:lpwstr>
  </property>
  <property fmtid="{D5CDD505-2E9C-101B-9397-08002B2CF9AE}" pid="12" name="Mendeley Recent Style Name 4_1">
    <vt:lpwstr>Carbohydrate Polymers</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http://www.zotero.org/styles/international-journal-of-adhesion-and-adhesives</vt:lpwstr>
  </property>
  <property fmtid="{D5CDD505-2E9C-101B-9397-08002B2CF9AE}" pid="18" name="Mendeley Recent Style Name 7_1">
    <vt:lpwstr>International Journal of Adhesion and Adhesives</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http://www.zotero.org/styles/wood-science-and-technology</vt:lpwstr>
  </property>
  <property fmtid="{D5CDD505-2E9C-101B-9397-08002B2CF9AE}" pid="22" name="Mendeley Recent Style Name 9_1">
    <vt:lpwstr>Wood Science and Technology</vt:lpwstr>
  </property>
</Properties>
</file>