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4B3249DD" w14:textId="0E9174C9" w:rsidR="0C3545CD" w:rsidRDefault="00BC3A68" w:rsidP="00BC3A68">
      <w:pPr>
        <w:pStyle w:val="SWCTitle"/>
        <w:spacing w:before="0" w:after="0"/>
        <w:rPr>
          <w:rFonts w:ascii="Times New Roman" w:hAnsi="Times New Roman"/>
          <w:b w:val="0"/>
          <w:sz w:val="20"/>
          <w:szCs w:val="20"/>
        </w:rPr>
      </w:pPr>
      <w:r w:rsidRPr="00BC3A68">
        <w:rPr>
          <w:sz w:val="28"/>
          <w:szCs w:val="28"/>
        </w:rPr>
        <w:t>Wood–Solar Hybridization for Swiss District Heating</w:t>
      </w:r>
    </w:p>
    <w:p w14:paraId="5850DC36" w14:textId="41F05221" w:rsidR="006B3D49" w:rsidRPr="006B3D49" w:rsidRDefault="00242F12" w:rsidP="00167D44">
      <w:pPr>
        <w:pStyle w:val="SWCTitle"/>
        <w:spacing w:before="0" w:after="0"/>
        <w:rPr>
          <w:rFonts w:ascii="Times New Roman" w:hAnsi="Times New Roman"/>
          <w:b w:val="0"/>
          <w:sz w:val="20"/>
          <w:szCs w:val="20"/>
        </w:rPr>
      </w:pPr>
      <w:r>
        <w:rPr>
          <w:rFonts w:ascii="Times New Roman" w:hAnsi="Times New Roman"/>
          <w:b w:val="0"/>
          <w:sz w:val="20"/>
          <w:szCs w:val="20"/>
        </w:rPr>
        <w:t>Pauletta</w:t>
      </w:r>
      <w:r w:rsidR="000F3B48">
        <w:rPr>
          <w:rFonts w:ascii="Times New Roman" w:hAnsi="Times New Roman"/>
          <w:b w:val="0"/>
          <w:sz w:val="20"/>
          <w:szCs w:val="20"/>
        </w:rPr>
        <w:t xml:space="preserve"> S</w:t>
      </w:r>
      <w:r w:rsidR="008A4D3D">
        <w:rPr>
          <w:rFonts w:ascii="Times New Roman" w:hAnsi="Times New Roman"/>
          <w:b w:val="0"/>
          <w:sz w:val="20"/>
          <w:szCs w:val="20"/>
          <w:vertAlign w:val="superscript"/>
        </w:rPr>
        <w:t>*</w:t>
      </w:r>
      <w:r w:rsidR="0C3545CD" w:rsidRPr="0C3545CD">
        <w:rPr>
          <w:rFonts w:ascii="Times New Roman" w:hAnsi="Times New Roman"/>
          <w:b w:val="0"/>
          <w:sz w:val="20"/>
          <w:szCs w:val="20"/>
        </w:rPr>
        <w:t xml:space="preserve">, </w:t>
      </w:r>
      <w:r w:rsidR="000F3B48">
        <w:rPr>
          <w:rFonts w:ascii="Times New Roman" w:hAnsi="Times New Roman"/>
          <w:b w:val="0"/>
          <w:sz w:val="20"/>
          <w:szCs w:val="20"/>
        </w:rPr>
        <w:t>Duret</w:t>
      </w:r>
      <w:r w:rsidR="003E06EF">
        <w:rPr>
          <w:rFonts w:ascii="Times New Roman" w:hAnsi="Times New Roman"/>
          <w:b w:val="0"/>
          <w:sz w:val="20"/>
          <w:szCs w:val="20"/>
        </w:rPr>
        <w:t xml:space="preserve"> A, Baillifard MA</w:t>
      </w:r>
      <w:r w:rsidR="0C3545CD" w:rsidRPr="0C3545CD">
        <w:rPr>
          <w:rFonts w:ascii="Times New Roman" w:hAnsi="Times New Roman"/>
          <w:b w:val="0"/>
          <w:sz w:val="20"/>
          <w:szCs w:val="20"/>
        </w:rPr>
        <w:t xml:space="preserve">, </w:t>
      </w:r>
      <w:r w:rsidR="003E06EF">
        <w:rPr>
          <w:rFonts w:ascii="Times New Roman" w:hAnsi="Times New Roman"/>
          <w:b w:val="0"/>
          <w:sz w:val="20"/>
          <w:szCs w:val="20"/>
        </w:rPr>
        <w:t>Monti M</w:t>
      </w:r>
      <w:r w:rsidR="009B4912">
        <w:rPr>
          <w:rFonts w:ascii="Times New Roman" w:hAnsi="Times New Roman"/>
          <w:b w:val="0"/>
          <w:sz w:val="20"/>
          <w:szCs w:val="20"/>
        </w:rPr>
        <w:t xml:space="preserve"> &amp; Eicher S</w:t>
      </w:r>
    </w:p>
    <w:p w14:paraId="17EF0B2B" w14:textId="77777777" w:rsidR="00FA283E" w:rsidRDefault="00FA283E" w:rsidP="00167D44">
      <w:pPr>
        <w:pStyle w:val="SWCTitle"/>
        <w:spacing w:before="0" w:after="0"/>
        <w:rPr>
          <w:rFonts w:ascii="Times New Roman" w:hAnsi="Times New Roman"/>
          <w:b w:val="0"/>
          <w:sz w:val="20"/>
          <w:szCs w:val="22"/>
        </w:rPr>
      </w:pPr>
      <w:r w:rsidRPr="00FA283E">
        <w:rPr>
          <w:rFonts w:ascii="Times New Roman" w:hAnsi="Times New Roman"/>
          <w:b w:val="0"/>
          <w:sz w:val="20"/>
          <w:szCs w:val="22"/>
        </w:rPr>
        <w:t xml:space="preserve">​Institute of Energies, School of Engineering and Management Vaud, HES-SO </w:t>
      </w:r>
    </w:p>
    <w:p w14:paraId="18FA38F1" w14:textId="45FEBCA8" w:rsidR="006B3D49" w:rsidRDefault="008A4D3D" w:rsidP="00167D44">
      <w:pPr>
        <w:pStyle w:val="SWCTitle"/>
        <w:spacing w:before="0" w:after="0"/>
        <w:rPr>
          <w:rFonts w:ascii="Times New Roman" w:hAnsi="Times New Roman"/>
          <w:b w:val="0"/>
          <w:sz w:val="20"/>
          <w:szCs w:val="22"/>
        </w:rPr>
      </w:pPr>
      <w:r>
        <w:rPr>
          <w:rFonts w:ascii="Times New Roman" w:hAnsi="Times New Roman"/>
          <w:b w:val="0"/>
          <w:sz w:val="20"/>
          <w:szCs w:val="20"/>
          <w:vertAlign w:val="superscript"/>
        </w:rPr>
        <w:t>*</w:t>
      </w:r>
      <w:r w:rsidRPr="0C3545CD">
        <w:rPr>
          <w:rFonts w:ascii="Times New Roman" w:hAnsi="Times New Roman"/>
          <w:b w:val="0"/>
          <w:sz w:val="20"/>
          <w:szCs w:val="20"/>
        </w:rPr>
        <w:t>corresponding author</w:t>
      </w:r>
      <w:r>
        <w:rPr>
          <w:rFonts w:ascii="Times New Roman" w:hAnsi="Times New Roman"/>
          <w:b w:val="0"/>
          <w:sz w:val="20"/>
          <w:szCs w:val="20"/>
        </w:rPr>
        <w:t xml:space="preserve">: </w:t>
      </w:r>
      <w:r w:rsidR="008816E8">
        <w:rPr>
          <w:rFonts w:ascii="Times New Roman" w:hAnsi="Times New Roman"/>
          <w:b w:val="0"/>
          <w:sz w:val="20"/>
          <w:szCs w:val="22"/>
        </w:rPr>
        <w:t>stefano.pauletta@heig-vd.ch</w:t>
      </w:r>
    </w:p>
    <w:p w14:paraId="3A7DF4B5" w14:textId="6F51DBA9" w:rsidR="001A775B" w:rsidRDefault="0C3545CD" w:rsidP="0C3545CD">
      <w:pPr>
        <w:pStyle w:val="SWCSummary"/>
        <w:pBdr>
          <w:bottom w:val="single" w:sz="6" w:space="1" w:color="auto"/>
        </w:pBdr>
      </w:pPr>
      <w:r>
        <w:t>Summary</w:t>
      </w:r>
    </w:p>
    <w:p w14:paraId="1760CB85" w14:textId="27092DBD" w:rsidR="0084785E" w:rsidRDefault="0084785E" w:rsidP="0084785E">
      <w:pPr>
        <w:pStyle w:val="SWCText"/>
        <w:pBdr>
          <w:bottom w:val="single" w:sz="6" w:space="1" w:color="auto"/>
        </w:pBdr>
      </w:pPr>
      <w:r>
        <w:t>The integration of solar thermal energy with wood-fired district heating networks offers an opportunity to reduce biomass consumption and pollutant emissions while maintaining renewable heat supply.</w:t>
      </w:r>
      <w:r w:rsidR="00AC010B">
        <w:t xml:space="preserve"> </w:t>
      </w:r>
      <w:r>
        <w:t>Four hydraulic configurations combining solar thermal collectors, thermal energy storage (TES), and biomass boilers were modelled dynamically in TRNSYS and compared with a biomass-only reference system.</w:t>
      </w:r>
      <w:r w:rsidR="00AC010B">
        <w:t xml:space="preserve"> </w:t>
      </w:r>
      <w:r>
        <w:t>Technical, economic, and environmental performances were evaluated for different solar field areas and TES volumes</w:t>
      </w:r>
      <w:r w:rsidR="00D41F71">
        <w:t xml:space="preserve"> to provide an insight on the </w:t>
      </w:r>
      <w:r w:rsidR="006A5CC3">
        <w:t>best layout to adopt. Once</w:t>
      </w:r>
      <w:r w:rsidR="00C15554">
        <w:t xml:space="preserve"> characterized,</w:t>
      </w:r>
      <w:r w:rsidR="006A5CC3">
        <w:t xml:space="preserve"> the </w:t>
      </w:r>
      <w:r w:rsidR="00C15554">
        <w:t xml:space="preserve">production cost </w:t>
      </w:r>
      <w:r w:rsidR="001F0DFA">
        <w:t xml:space="preserve">of the </w:t>
      </w:r>
      <w:r w:rsidR="006A5CC3">
        <w:t xml:space="preserve">solar-biomass hybrid configurations </w:t>
      </w:r>
      <w:r w:rsidR="001F0DFA">
        <w:t>was further compared with solutions based on heat pumps (HP)</w:t>
      </w:r>
      <w:r w:rsidR="00B6238E">
        <w:t xml:space="preserve"> to position this type of installations on the Swiss market.</w:t>
      </w:r>
      <w:r w:rsidR="001F0DFA">
        <w:t xml:space="preserve"> </w:t>
      </w:r>
      <w:r w:rsidR="008A4D94">
        <w:t>Overall, hydraulic configuration, TES sizing, and boiler operating conditions are identified as key factors governing the technical, environmental, and economic performance of wood–solar DHN systems.</w:t>
      </w:r>
    </w:p>
    <w:p w14:paraId="5AB3A3E7" w14:textId="56C52CCD" w:rsidR="00DB52E7" w:rsidRDefault="00B80CBC" w:rsidP="001A775B">
      <w:pPr>
        <w:pStyle w:val="SWCText"/>
        <w:pBdr>
          <w:bottom w:val="single" w:sz="6" w:space="1" w:color="auto"/>
        </w:pBdr>
        <w:rPr>
          <w:i/>
          <w:iCs/>
        </w:rPr>
      </w:pPr>
      <w:r>
        <w:rPr>
          <w:i/>
          <w:iCs/>
        </w:rPr>
        <w:t xml:space="preserve">Keywords: </w:t>
      </w:r>
      <w:r w:rsidR="00E825DA">
        <w:rPr>
          <w:i/>
          <w:iCs/>
        </w:rPr>
        <w:t>Solar thermal collectors, thermal energy storage, biomass boiler, TRNSYS</w:t>
      </w:r>
    </w:p>
    <w:p w14:paraId="01458796" w14:textId="09B78675" w:rsidR="00FA4DF8" w:rsidRDefault="002C089D" w:rsidP="001A775B">
      <w:pPr>
        <w:pStyle w:val="SWCText"/>
        <w:pBdr>
          <w:bottom w:val="single" w:sz="6" w:space="1" w:color="auto"/>
        </w:pBdr>
        <w:rPr>
          <w:i/>
          <w:iCs/>
        </w:rPr>
      </w:pPr>
      <w:r>
        <w:rPr>
          <w:i/>
          <w:iCs/>
        </w:rPr>
        <w:t>Field of application for the findings:</w:t>
      </w:r>
      <w:r w:rsidR="00D71D8A">
        <w:rPr>
          <w:i/>
          <w:iCs/>
        </w:rPr>
        <w:t xml:space="preserve"> Solar </w:t>
      </w:r>
      <w:r w:rsidR="003C3231">
        <w:rPr>
          <w:i/>
          <w:iCs/>
        </w:rPr>
        <w:t xml:space="preserve">thermal </w:t>
      </w:r>
      <w:r w:rsidR="0002655E">
        <w:rPr>
          <w:i/>
          <w:iCs/>
        </w:rPr>
        <w:t xml:space="preserve">energy, </w:t>
      </w:r>
      <w:r w:rsidR="008C4852">
        <w:rPr>
          <w:i/>
          <w:iCs/>
        </w:rPr>
        <w:t>energy system modeling</w:t>
      </w:r>
    </w:p>
    <w:p w14:paraId="185A319D" w14:textId="0B8931DB" w:rsidR="002C089D" w:rsidRDefault="00CC3B0C" w:rsidP="001A775B">
      <w:pPr>
        <w:pStyle w:val="SWCText"/>
        <w:pBdr>
          <w:bottom w:val="single" w:sz="6" w:space="1" w:color="auto"/>
        </w:pBdr>
        <w:rPr>
          <w:i/>
          <w:iCs/>
        </w:rPr>
      </w:pPr>
      <w:r>
        <w:rPr>
          <w:i/>
          <w:iCs/>
        </w:rPr>
        <w:t xml:space="preserve">Addressed </w:t>
      </w:r>
      <w:r w:rsidR="00D71D8A">
        <w:rPr>
          <w:i/>
          <w:iCs/>
        </w:rPr>
        <w:t xml:space="preserve">audience: </w:t>
      </w:r>
      <w:r w:rsidR="008C4852">
        <w:rPr>
          <w:i/>
          <w:iCs/>
        </w:rPr>
        <w:t>d</w:t>
      </w:r>
      <w:r w:rsidR="00D71D8A">
        <w:rPr>
          <w:i/>
          <w:iCs/>
        </w:rPr>
        <w:t>istrict</w:t>
      </w:r>
      <w:r w:rsidR="004D1FD2">
        <w:rPr>
          <w:i/>
          <w:iCs/>
        </w:rPr>
        <w:t xml:space="preserve"> heating </w:t>
      </w:r>
      <w:r w:rsidR="00D71D8A">
        <w:rPr>
          <w:i/>
          <w:iCs/>
        </w:rPr>
        <w:t>network</w:t>
      </w:r>
      <w:r w:rsidR="004D1FD2">
        <w:rPr>
          <w:i/>
          <w:iCs/>
        </w:rPr>
        <w:t xml:space="preserve"> operators &amp; planners, </w:t>
      </w:r>
      <w:r w:rsidR="00E444B1">
        <w:rPr>
          <w:i/>
          <w:iCs/>
        </w:rPr>
        <w:t>developers</w:t>
      </w:r>
      <w:r w:rsidR="00925D79">
        <w:rPr>
          <w:i/>
          <w:iCs/>
        </w:rPr>
        <w:t xml:space="preserve"> &amp;</w:t>
      </w:r>
      <w:r w:rsidR="00E444B1">
        <w:rPr>
          <w:i/>
          <w:iCs/>
        </w:rPr>
        <w:t xml:space="preserve"> engineering companies</w:t>
      </w:r>
    </w:p>
    <w:p w14:paraId="378F0C31" w14:textId="7DB1FCA3" w:rsidR="00D32EF0" w:rsidRDefault="006D4BC5" w:rsidP="00490F10">
      <w:pPr>
        <w:pStyle w:val="SWCHeading1"/>
      </w:pPr>
      <w:r>
        <w:t>Introduction</w:t>
      </w:r>
    </w:p>
    <w:p w14:paraId="61BCEC4E" w14:textId="044DD6CA" w:rsidR="001069A3" w:rsidRDefault="000831E3" w:rsidP="00F461E4">
      <w:pPr>
        <w:pStyle w:val="SWCText"/>
      </w:pPr>
      <w:r w:rsidRPr="000831E3">
        <w:t>District heating networks (DHN</w:t>
      </w:r>
      <w:r w:rsidR="00164F1B">
        <w:t>s</w:t>
      </w:r>
      <w:r w:rsidRPr="000831E3">
        <w:t xml:space="preserve">) play a central role in the decarbonization of </w:t>
      </w:r>
      <w:r w:rsidR="00BA5709">
        <w:t xml:space="preserve">the </w:t>
      </w:r>
      <w:r w:rsidRPr="000831E3">
        <w:t>heat supply in Switzerland, particularly in urban and peri-urban areas</w:t>
      </w:r>
      <w:r w:rsidR="0093223E">
        <w:t>.</w:t>
      </w:r>
      <w:r w:rsidRPr="000831E3">
        <w:t xml:space="preserve"> </w:t>
      </w:r>
      <w:r w:rsidR="00074AC5" w:rsidRPr="000831E3">
        <w:t>Accounting</w:t>
      </w:r>
      <w:r w:rsidR="00074AC5">
        <w:t xml:space="preserve"> in 20</w:t>
      </w:r>
      <w:r w:rsidR="00317668">
        <w:t>22</w:t>
      </w:r>
      <w:r w:rsidR="00074AC5" w:rsidRPr="000831E3">
        <w:t xml:space="preserve"> for 11% of the domestic heat supply</w:t>
      </w:r>
      <w:r w:rsidR="00074AC5">
        <w:t>, t</w:t>
      </w:r>
      <w:r w:rsidR="0093223E">
        <w:t>hey</w:t>
      </w:r>
      <w:r w:rsidRPr="000831E3">
        <w:t xml:space="preserve"> enable the aggregation of heat production and facilitate the utilization of local renewable energy resources</w:t>
      </w:r>
      <w:r w:rsidR="00364B0D">
        <w:t xml:space="preserve"> [1]</w:t>
      </w:r>
      <w:r w:rsidR="00F461E4">
        <w:t>.</w:t>
      </w:r>
      <w:r w:rsidR="006F6A78">
        <w:t xml:space="preserve"> Thanks to its availability, storage capacity, and compatibility with high-temperature heating networks [2]</w:t>
      </w:r>
      <w:r w:rsidR="007D169B">
        <w:t>,</w:t>
      </w:r>
      <w:r w:rsidR="0093223E" w:rsidRPr="000831E3">
        <w:t xml:space="preserve"> </w:t>
      </w:r>
      <w:r w:rsidR="007D169B">
        <w:t>b</w:t>
      </w:r>
      <w:r w:rsidR="00F461E4">
        <w:t>iomass, and more specifically wood energy, already constitutes a cornerstone of this transition</w:t>
      </w:r>
      <w:r w:rsidR="00CB6F0D">
        <w:t>,</w:t>
      </w:r>
      <w:r w:rsidR="00675ABD">
        <w:t xml:space="preserve"> </w:t>
      </w:r>
      <w:r w:rsidR="00074AC5" w:rsidRPr="000831E3">
        <w:t xml:space="preserve">with 30% of </w:t>
      </w:r>
      <w:r w:rsidR="002421EC">
        <w:t>the DHN supply</w:t>
      </w:r>
      <w:r w:rsidR="00074AC5" w:rsidRPr="000831E3">
        <w:t xml:space="preserve"> </w:t>
      </w:r>
      <w:r w:rsidR="00074AC5">
        <w:t>covered</w:t>
      </w:r>
      <w:r w:rsidR="00074AC5" w:rsidRPr="000831E3">
        <w:t xml:space="preserve"> by woody biomass</w:t>
      </w:r>
      <w:r w:rsidR="00F461E4">
        <w:t xml:space="preserve">. However, the rapid expansion of </w:t>
      </w:r>
      <w:r w:rsidR="006B22D3">
        <w:t>DHNs raises</w:t>
      </w:r>
      <w:r w:rsidR="00F461E4">
        <w:t xml:space="preserve"> new challenges related to resource availability, fuel logistics, plant sizing, and long-term cost stability [</w:t>
      </w:r>
      <w:r w:rsidR="007B7074">
        <w:t>3</w:t>
      </w:r>
      <w:r w:rsidR="00F461E4">
        <w:t>].</w:t>
      </w:r>
      <w:r w:rsidR="0023395A">
        <w:t xml:space="preserve"> </w:t>
      </w:r>
    </w:p>
    <w:p w14:paraId="1D84B198" w14:textId="6105C90E" w:rsidR="000753A7" w:rsidRDefault="00F461E4" w:rsidP="00F461E4">
      <w:pPr>
        <w:pStyle w:val="SWCText"/>
      </w:pPr>
      <w:r>
        <w:t xml:space="preserve">In this context, solar thermal energy emerges as a natural complement to biomass-based systems. Unlike electrical solutions, solar thermal energy supplies heat directly at temperatures suitable for the network during periods that partially coincide with a drop in heating demand, thereby offering the opportunity to reduce boiler operation without compromising security of supply. Previous studies have demonstrated the technical feasibility and fuel-saving potential of coupling solar thermal energy and biomass in </w:t>
      </w:r>
      <w:r w:rsidR="000C3D09">
        <w:t>DHNs</w:t>
      </w:r>
      <w:r>
        <w:t xml:space="preserve"> [</w:t>
      </w:r>
      <w:r w:rsidR="007661FB">
        <w:t>4</w:t>
      </w:r>
      <w:r>
        <w:t>]</w:t>
      </w:r>
      <w:r w:rsidR="002B0D2F">
        <w:t>[5]</w:t>
      </w:r>
      <w:r w:rsidR="00F75F96">
        <w:t>[6]</w:t>
      </w:r>
      <w:r w:rsidR="00484907">
        <w:t>[7]</w:t>
      </w:r>
      <w:r>
        <w:t>.</w:t>
      </w:r>
      <w:r w:rsidR="009354FF">
        <w:t xml:space="preserve"> </w:t>
      </w:r>
      <w:r w:rsidR="00F75F96">
        <w:t xml:space="preserve">Several studies have focused mainly on </w:t>
      </w:r>
      <w:r w:rsidR="005C1D48">
        <w:t xml:space="preserve">evaluating </w:t>
      </w:r>
      <w:r w:rsidR="005C1A15">
        <w:t>t</w:t>
      </w:r>
      <w:r w:rsidR="003F64A0">
        <w:t>he impact of solar thermal installation</w:t>
      </w:r>
      <w:r w:rsidR="00D03AED">
        <w:t>s</w:t>
      </w:r>
      <w:r w:rsidR="003F64A0">
        <w:t xml:space="preserve"> on the tec</w:t>
      </w:r>
      <w:r w:rsidR="00E40EEC">
        <w:t>h</w:t>
      </w:r>
      <w:r w:rsidR="003F64A0">
        <w:t>no-</w:t>
      </w:r>
      <w:r w:rsidR="005C1A15">
        <w:t>economic</w:t>
      </w:r>
      <w:r w:rsidR="003F64A0">
        <w:t xml:space="preserve"> performance of the hybrid system</w:t>
      </w:r>
      <w:r w:rsidR="00D03AED">
        <w:t>s</w:t>
      </w:r>
      <w:r w:rsidR="005C1D48">
        <w:t>. Solar systems have been found</w:t>
      </w:r>
      <w:r w:rsidR="003F331C">
        <w:t xml:space="preserve"> beneficial </w:t>
      </w:r>
      <w:r w:rsidR="00617744">
        <w:t>in increasing</w:t>
      </w:r>
      <w:r w:rsidR="005A6375">
        <w:t xml:space="preserve"> the</w:t>
      </w:r>
      <w:r w:rsidR="003F331C">
        <w:t xml:space="preserve"> overall system </w:t>
      </w:r>
      <w:r w:rsidR="005A6375">
        <w:t xml:space="preserve">efficiency and </w:t>
      </w:r>
      <w:r w:rsidR="002D283A">
        <w:t>in reducing</w:t>
      </w:r>
      <w:r w:rsidR="00CD6961">
        <w:t xml:space="preserve"> the number of </w:t>
      </w:r>
      <w:r w:rsidR="00453DB8">
        <w:t xml:space="preserve">on/off </w:t>
      </w:r>
      <w:r w:rsidR="00CD6961">
        <w:t>cycles</w:t>
      </w:r>
      <w:r w:rsidR="00CD0270">
        <w:t xml:space="preserve"> </w:t>
      </w:r>
      <w:r w:rsidR="003F331C">
        <w:t>of</w:t>
      </w:r>
      <w:r w:rsidR="00CD0270">
        <w:t xml:space="preserve"> pellet boilers</w:t>
      </w:r>
      <w:r w:rsidR="00CD6961">
        <w:t xml:space="preserve"> [</w:t>
      </w:r>
      <w:r w:rsidR="00484907">
        <w:t>8</w:t>
      </w:r>
      <w:r w:rsidR="00CD6961">
        <w:t>]</w:t>
      </w:r>
      <w:r w:rsidR="004B4F3D">
        <w:t xml:space="preserve">, or </w:t>
      </w:r>
      <w:r w:rsidR="00D0421E">
        <w:t>in allowing</w:t>
      </w:r>
      <w:r w:rsidR="00CC5948">
        <w:t xml:space="preserve"> covering </w:t>
      </w:r>
      <w:r w:rsidR="004B4F3D">
        <w:t xml:space="preserve">the summer </w:t>
      </w:r>
      <w:r w:rsidR="00CC5948">
        <w:t>load</w:t>
      </w:r>
      <w:r w:rsidR="004B4F3D">
        <w:t xml:space="preserve"> of the </w:t>
      </w:r>
      <w:r w:rsidR="001C0B41">
        <w:t>hot water production</w:t>
      </w:r>
      <w:r w:rsidR="004C076B">
        <w:t>,</w:t>
      </w:r>
      <w:r w:rsidR="001C0B41">
        <w:t xml:space="preserve"> </w:t>
      </w:r>
      <w:r w:rsidR="00CB4C4F">
        <w:t xml:space="preserve">while assuring the downtime </w:t>
      </w:r>
      <w:r w:rsidR="00A66161">
        <w:t xml:space="preserve">needed to maintain </w:t>
      </w:r>
      <w:r w:rsidR="001C0B41">
        <w:t xml:space="preserve">the boilers </w:t>
      </w:r>
      <w:r w:rsidR="00E82A59">
        <w:t>[9]</w:t>
      </w:r>
      <w:r w:rsidR="00524F38">
        <w:t>.</w:t>
      </w:r>
      <w:r w:rsidR="00C10D1A">
        <w:t xml:space="preserve"> </w:t>
      </w:r>
      <w:r w:rsidR="005E44D6">
        <w:t>T</w:t>
      </w:r>
      <w:r w:rsidR="00C95134">
        <w:t xml:space="preserve">he </w:t>
      </w:r>
      <w:r w:rsidR="005E44D6">
        <w:t>investigation</w:t>
      </w:r>
      <w:r w:rsidR="00C95134">
        <w:t xml:space="preserve"> of </w:t>
      </w:r>
      <w:r w:rsidR="006B5DAE">
        <w:t xml:space="preserve">the environmental impact </w:t>
      </w:r>
      <w:r w:rsidR="00452FED">
        <w:t xml:space="preserve">of </w:t>
      </w:r>
      <w:r w:rsidR="005E0B4A">
        <w:t>decentralized</w:t>
      </w:r>
      <w:r w:rsidR="00452FED">
        <w:t xml:space="preserve"> hybrid systems</w:t>
      </w:r>
      <w:r w:rsidR="005E44D6">
        <w:t xml:space="preserve"> </w:t>
      </w:r>
      <w:r w:rsidR="00E756A3">
        <w:t>provided</w:t>
      </w:r>
      <w:r w:rsidR="005E44D6">
        <w:t xml:space="preserve"> an insight </w:t>
      </w:r>
      <w:r w:rsidR="00166B00">
        <w:t>into</w:t>
      </w:r>
      <w:r w:rsidR="005E44D6">
        <w:t xml:space="preserve"> the effect of combining solar thermal energy and </w:t>
      </w:r>
      <w:r w:rsidR="00A40FE6">
        <w:t>biomass</w:t>
      </w:r>
      <w:r w:rsidR="00586FDD">
        <w:t xml:space="preserve"> on the </w:t>
      </w:r>
      <w:r w:rsidR="00E51159">
        <w:t>reduction of the</w:t>
      </w:r>
      <w:r w:rsidR="00777485">
        <w:t xml:space="preserve"> pollutant emissions by the</w:t>
      </w:r>
      <w:r w:rsidR="00E51159">
        <w:t xml:space="preserve"> </w:t>
      </w:r>
      <w:r w:rsidR="00586FDD">
        <w:t>overall system</w:t>
      </w:r>
      <w:r w:rsidR="00CC5801">
        <w:t xml:space="preserve"> [</w:t>
      </w:r>
      <w:r w:rsidR="007A2C6C">
        <w:t>10]</w:t>
      </w:r>
      <w:r w:rsidR="00362E13">
        <w:t xml:space="preserve"> or </w:t>
      </w:r>
      <w:r w:rsidR="00777485">
        <w:t xml:space="preserve">which </w:t>
      </w:r>
      <w:r w:rsidR="00362E13">
        <w:t xml:space="preserve">optimization </w:t>
      </w:r>
      <w:r w:rsidR="009F0AB9">
        <w:t xml:space="preserve">methods </w:t>
      </w:r>
      <w:r w:rsidR="00777485">
        <w:t xml:space="preserve">can be adopted </w:t>
      </w:r>
      <w:r w:rsidR="009F0AB9">
        <w:t>for combining the two [</w:t>
      </w:r>
      <w:r w:rsidR="00E0578D">
        <w:t>11]. But while the integration aspects</w:t>
      </w:r>
      <w:r w:rsidR="00C62030">
        <w:t xml:space="preserve"> are discussed, </w:t>
      </w:r>
      <w:r w:rsidR="00F96C5A">
        <w:t xml:space="preserve">a lack of </w:t>
      </w:r>
      <w:r w:rsidR="00C62030">
        <w:t>quantitative comparison</w:t>
      </w:r>
      <w:r w:rsidR="00586FDD">
        <w:t xml:space="preserve"> </w:t>
      </w:r>
      <w:r w:rsidR="00C62030">
        <w:t>of th</w:t>
      </w:r>
      <w:r w:rsidR="00E54103">
        <w:t>e di</w:t>
      </w:r>
      <w:r w:rsidR="000523E8">
        <w:t>f</w:t>
      </w:r>
      <w:r w:rsidR="00E54103">
        <w:t>ferent possible layout</w:t>
      </w:r>
      <w:r w:rsidR="000523E8">
        <w:t>s</w:t>
      </w:r>
      <w:r w:rsidR="00F96C5A">
        <w:t xml:space="preserve"> </w:t>
      </w:r>
      <w:r w:rsidR="00E41660">
        <w:t xml:space="preserve">doesn't </w:t>
      </w:r>
      <w:r w:rsidR="00934DFB">
        <w:t xml:space="preserve">provide clear guidance on </w:t>
      </w:r>
      <w:r w:rsidR="007A1909">
        <w:t>the best way to couple a solar thermal field</w:t>
      </w:r>
      <w:r w:rsidR="00DB0678">
        <w:t xml:space="preserve"> </w:t>
      </w:r>
      <w:r w:rsidR="007E51B3">
        <w:t>e</w:t>
      </w:r>
      <w:r w:rsidR="00DB0678">
        <w:t>quipped with</w:t>
      </w:r>
      <w:r w:rsidR="007A1909">
        <w:t xml:space="preserve"> a Ther</w:t>
      </w:r>
      <w:r w:rsidR="007E51B3">
        <w:t>ma</w:t>
      </w:r>
      <w:r w:rsidR="007A1909">
        <w:t xml:space="preserve">l </w:t>
      </w:r>
      <w:r w:rsidR="00214501">
        <w:t>Energy</w:t>
      </w:r>
      <w:r w:rsidR="007A1909">
        <w:t xml:space="preserve"> </w:t>
      </w:r>
      <w:r w:rsidR="00214501">
        <w:t>Storage</w:t>
      </w:r>
      <w:r w:rsidR="007A1909">
        <w:t xml:space="preserve"> (TES)</w:t>
      </w:r>
      <w:r w:rsidR="00DB0678">
        <w:t xml:space="preserve"> to an automatic pellet</w:t>
      </w:r>
      <w:r w:rsidR="00F07BAA">
        <w:t xml:space="preserve"> boiler</w:t>
      </w:r>
      <w:r w:rsidR="00696A18">
        <w:t xml:space="preserve"> installation.</w:t>
      </w:r>
      <w:r w:rsidR="00F07BAA">
        <w:t xml:space="preserve"> </w:t>
      </w:r>
      <w:r w:rsidR="00696A18">
        <w:t>F</w:t>
      </w:r>
      <w:r w:rsidR="00F07BAA">
        <w:t xml:space="preserve">or </w:t>
      </w:r>
      <w:r w:rsidR="00040007">
        <w:t>DHN</w:t>
      </w:r>
      <w:r w:rsidR="00F07BAA">
        <w:t xml:space="preserve"> </w:t>
      </w:r>
      <w:r w:rsidR="002A4F3E">
        <w:t>application</w:t>
      </w:r>
      <w:r w:rsidR="00040007">
        <w:t>s</w:t>
      </w:r>
      <w:r w:rsidR="00696A18">
        <w:t>, in particular,</w:t>
      </w:r>
      <w:r w:rsidR="00A95A78">
        <w:t xml:space="preserve"> there is a need to assess </w:t>
      </w:r>
      <w:r w:rsidR="007075FB">
        <w:t xml:space="preserve">the overall </w:t>
      </w:r>
      <w:r w:rsidR="00A95A78">
        <w:t xml:space="preserve">system </w:t>
      </w:r>
      <w:r w:rsidR="007075FB">
        <w:t xml:space="preserve">efficiency, its economic </w:t>
      </w:r>
      <w:r w:rsidR="00EF153A">
        <w:t>performance</w:t>
      </w:r>
      <w:r w:rsidR="00E30471">
        <w:t xml:space="preserve"> </w:t>
      </w:r>
      <w:r w:rsidR="00EF153A">
        <w:t>and the</w:t>
      </w:r>
      <w:r w:rsidR="008673A7">
        <w:t xml:space="preserve"> final impact on the</w:t>
      </w:r>
      <w:r w:rsidR="00EF153A">
        <w:t xml:space="preserve"> annual emissions of pollutants</w:t>
      </w:r>
      <w:r w:rsidR="00937F56">
        <w:t xml:space="preserve"> </w:t>
      </w:r>
      <w:r w:rsidR="008C4AB3">
        <w:t>from</w:t>
      </w:r>
      <w:r w:rsidR="00937F56">
        <w:t xml:space="preserve"> the </w:t>
      </w:r>
      <w:r w:rsidR="00F552E0">
        <w:t xml:space="preserve">combined </w:t>
      </w:r>
      <w:r w:rsidR="00937F56">
        <w:t>plant</w:t>
      </w:r>
      <w:r w:rsidR="00EF153A">
        <w:t xml:space="preserve"> (CO</w:t>
      </w:r>
      <w:r w:rsidR="003103CB">
        <w:t>, NOx and particulate)</w:t>
      </w:r>
      <w:r w:rsidR="002A4F3E">
        <w:t xml:space="preserve">. </w:t>
      </w:r>
      <w:r w:rsidR="003F5D03">
        <w:t>By modeling and comparing</w:t>
      </w:r>
      <w:r w:rsidR="007C067C">
        <w:t xml:space="preserve"> several layout alternatives, t</w:t>
      </w:r>
      <w:r w:rsidR="003103CB">
        <w:t xml:space="preserve">he </w:t>
      </w:r>
      <w:r w:rsidR="00AF3C68">
        <w:t xml:space="preserve">project </w:t>
      </w:r>
      <w:proofErr w:type="spellStart"/>
      <w:r w:rsidR="00AF3C68">
        <w:t>OptiCADSol</w:t>
      </w:r>
      <w:proofErr w:type="spellEnd"/>
      <w:r w:rsidR="00AF3C68">
        <w:t>, funded by the Swiss Federal Office of Energy</w:t>
      </w:r>
      <w:r w:rsidR="00E41660">
        <w:t xml:space="preserve"> (SFOE)</w:t>
      </w:r>
      <w:r w:rsidR="003103CB">
        <w:t>,</w:t>
      </w:r>
      <w:r>
        <w:t xml:space="preserve"> </w:t>
      </w:r>
      <w:r w:rsidR="007C067C">
        <w:t>has addressed</w:t>
      </w:r>
      <w:r>
        <w:t xml:space="preserve"> </w:t>
      </w:r>
      <w:r w:rsidR="00937D8C">
        <w:t>such</w:t>
      </w:r>
      <w:r>
        <w:t xml:space="preserve"> </w:t>
      </w:r>
      <w:r w:rsidR="001C7B84">
        <w:t xml:space="preserve">aspects </w:t>
      </w:r>
      <w:r>
        <w:t xml:space="preserve">by providing clear guidance regarding operationally realistic </w:t>
      </w:r>
      <w:r w:rsidR="00D63FC5">
        <w:t>h</w:t>
      </w:r>
      <w:r w:rsidR="00D63FC5" w:rsidRPr="00D63FC5">
        <w:t>ydraulic configurations and regulation strategies</w:t>
      </w:r>
      <w:r w:rsidR="00F552E0" w:rsidRPr="00F552E0">
        <w:t xml:space="preserve"> </w:t>
      </w:r>
      <w:r w:rsidR="001000D2">
        <w:t>for</w:t>
      </w:r>
      <w:r w:rsidR="00F552E0">
        <w:t xml:space="preserve"> solar-biomass </w:t>
      </w:r>
      <w:r w:rsidR="006565FC">
        <w:t>hybridization</w:t>
      </w:r>
      <w:r>
        <w:t xml:space="preserve">, analyzing current guidelines </w:t>
      </w:r>
    </w:p>
    <w:tbl>
      <w:tblPr>
        <w:tblStyle w:val="Grilledutableau"/>
        <w:tblpPr w:leftFromText="141" w:rightFromText="141" w:vertAnchor="text" w:horzAnchor="margin" w:tblpY="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094ADE" w14:paraId="3E318632" w14:textId="77777777" w:rsidTr="000753A7">
        <w:tc>
          <w:tcPr>
            <w:tcW w:w="4531" w:type="dxa"/>
          </w:tcPr>
          <w:p w14:paraId="069DE419" w14:textId="77777777" w:rsidR="000753A7" w:rsidRDefault="000753A7" w:rsidP="000753A7">
            <w:r w:rsidRPr="00D47789">
              <w:rPr>
                <w:noProof/>
              </w:rPr>
              <w:lastRenderedPageBreak/>
              <w:drawing>
                <wp:anchor distT="0" distB="0" distL="114300" distR="114300" simplePos="0" relativeHeight="251659264" behindDoc="0" locked="0" layoutInCell="1" allowOverlap="1" wp14:anchorId="78759A55" wp14:editId="7257CBD3">
                  <wp:simplePos x="0" y="0"/>
                  <wp:positionH relativeFrom="column">
                    <wp:posOffset>0</wp:posOffset>
                  </wp:positionH>
                  <wp:positionV relativeFrom="paragraph">
                    <wp:posOffset>52705</wp:posOffset>
                  </wp:positionV>
                  <wp:extent cx="2618740" cy="1357630"/>
                  <wp:effectExtent l="0" t="0" r="0" b="0"/>
                  <wp:wrapTopAndBottom/>
                  <wp:docPr id="1" name="Image 1" descr="Une image contenant texte, diagramme, capture d’écran, Pl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descr="Une image contenant texte, diagramme, capture d’écran, Plan&#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18740" cy="1357630"/>
                          </a:xfrm>
                          <a:prstGeom prst="rect">
                            <a:avLst/>
                          </a:prstGeom>
                        </pic:spPr>
                      </pic:pic>
                    </a:graphicData>
                  </a:graphic>
                  <wp14:sizeRelH relativeFrom="margin">
                    <wp14:pctWidth>0</wp14:pctWidth>
                  </wp14:sizeRelH>
                  <wp14:sizeRelV relativeFrom="margin">
                    <wp14:pctHeight>0</wp14:pctHeight>
                  </wp14:sizeRelV>
                </wp:anchor>
              </w:drawing>
            </w:r>
          </w:p>
        </w:tc>
        <w:tc>
          <w:tcPr>
            <w:tcW w:w="4531" w:type="dxa"/>
          </w:tcPr>
          <w:p w14:paraId="72443852" w14:textId="7025FADB" w:rsidR="000753A7" w:rsidRDefault="00094ADE" w:rsidP="000753A7">
            <w:r>
              <w:rPr>
                <w:noProof/>
              </w:rPr>
              <w:drawing>
                <wp:inline distT="0" distB="0" distL="0" distR="0" wp14:anchorId="7C1593A6" wp14:editId="42D03C10">
                  <wp:extent cx="2281100" cy="1525509"/>
                  <wp:effectExtent l="0" t="0" r="5080" b="0"/>
                  <wp:docPr id="13" name="Graphiqu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2314883" cy="1548102"/>
                          </a:xfrm>
                          <a:prstGeom prst="rect">
                            <a:avLst/>
                          </a:prstGeom>
                        </pic:spPr>
                      </pic:pic>
                    </a:graphicData>
                  </a:graphic>
                </wp:inline>
              </w:drawing>
            </w:r>
          </w:p>
        </w:tc>
      </w:tr>
      <w:tr w:rsidR="000753A7" w:rsidRPr="005D5E12" w14:paraId="51DBCDDE" w14:textId="77777777" w:rsidTr="000753A7">
        <w:tc>
          <w:tcPr>
            <w:tcW w:w="9062" w:type="dxa"/>
            <w:gridSpan w:val="2"/>
          </w:tcPr>
          <w:p w14:paraId="0CF5EEEE" w14:textId="77777777" w:rsidR="000753A7" w:rsidRPr="005D5E12" w:rsidRDefault="000753A7" w:rsidP="000753A7">
            <w:pPr>
              <w:pStyle w:val="SWCTableFigureCaption"/>
            </w:pPr>
            <w:bookmarkStart w:id="0" w:name="_Ref238126145"/>
            <w:r w:rsidRPr="005D5E12">
              <w:t xml:space="preserve">Figure </w:t>
            </w:r>
            <w:r w:rsidRPr="005D5E12">
              <w:fldChar w:fldCharType="begin"/>
            </w:r>
            <w:r w:rsidRPr="005D5E12">
              <w:instrText>SEQ Figure \* ARABIC</w:instrText>
            </w:r>
            <w:r w:rsidRPr="005D5E12">
              <w:fldChar w:fldCharType="separate"/>
            </w:r>
            <w:r>
              <w:rPr>
                <w:noProof/>
              </w:rPr>
              <w:t>1</w:t>
            </w:r>
            <w:r w:rsidRPr="005D5E12">
              <w:fldChar w:fldCharType="end"/>
            </w:r>
            <w:bookmarkEnd w:id="0"/>
            <w:r w:rsidRPr="005D5E12">
              <w:t xml:space="preserve">: </w:t>
            </w:r>
            <w:r>
              <w:t xml:space="preserve"> </w:t>
            </w:r>
            <w:r w:rsidRPr="000A6B9C">
              <w:t>Schematic of the reference heating plant</w:t>
            </w:r>
            <w:r>
              <w:t xml:space="preserve"> (left) and DHN daily energy demand with typical temperatures and boiler cascade schedule (right) for the DHN located in Ponts-Les-</w:t>
            </w:r>
            <w:proofErr w:type="spellStart"/>
            <w:r>
              <w:t>Martels</w:t>
            </w:r>
            <w:proofErr w:type="spellEnd"/>
            <w:r>
              <w:t xml:space="preserve"> (CH</w:t>
            </w:r>
            <w:r w:rsidRPr="008F083B">
              <w:rPr>
                <w:vertAlign w:val="subscript"/>
              </w:rPr>
              <w:t>1</w:t>
            </w:r>
            <w:r>
              <w:t xml:space="preserve"> &amp; CH</w:t>
            </w:r>
            <w:r w:rsidRPr="008F083B">
              <w:rPr>
                <w:vertAlign w:val="subscript"/>
              </w:rPr>
              <w:t>2</w:t>
            </w:r>
            <w:r>
              <w:t>: boiler 1 and boiler 2)</w:t>
            </w:r>
          </w:p>
        </w:tc>
      </w:tr>
    </w:tbl>
    <w:p w14:paraId="78808D9A" w14:textId="0766C2CC" w:rsidR="00F461E4" w:rsidRDefault="00F35EDA" w:rsidP="00F461E4">
      <w:pPr>
        <w:pStyle w:val="SWCText"/>
      </w:pPr>
      <w:r>
        <w:t>from</w:t>
      </w:r>
      <w:r w:rsidR="000753A7">
        <w:t xml:space="preserve"> </w:t>
      </w:r>
      <w:r w:rsidR="00F461E4">
        <w:t>industry associations [</w:t>
      </w:r>
      <w:r w:rsidR="009A74F8">
        <w:t>2</w:t>
      </w:r>
      <w:r w:rsidR="00F461E4">
        <w:t>] and proposing the adoption of both technical and financial performance indicators</w:t>
      </w:r>
      <w:r w:rsidR="00DE1A1B">
        <w:t xml:space="preserve"> (see</w:t>
      </w:r>
      <w:r w:rsidR="005917D1">
        <w:t xml:space="preserve"> </w:t>
      </w:r>
      <w:r w:rsidR="005917D1" w:rsidRPr="005917D1">
        <w:t>Acknowledgements</w:t>
      </w:r>
      <w:r w:rsidR="005917D1">
        <w:t>)</w:t>
      </w:r>
      <w:r w:rsidR="00F461E4">
        <w:t xml:space="preserve">. </w:t>
      </w:r>
      <w:r w:rsidR="0013005F">
        <w:t>T</w:t>
      </w:r>
      <w:r w:rsidR="00F461E4">
        <w:t>he</w:t>
      </w:r>
      <w:r w:rsidR="000753A7">
        <w:t xml:space="preserve"> </w:t>
      </w:r>
      <w:r w:rsidR="00F461E4">
        <w:t>project aimed to identify robust integration principles and evaluate the competitiveness of solar hybridization within the current Swiss market context</w:t>
      </w:r>
      <w:r w:rsidR="002142A5">
        <w:t xml:space="preserve">, </w:t>
      </w:r>
      <w:r w:rsidR="00594071">
        <w:t xml:space="preserve">identify the most effective wood–solar thermal integration concept and its positioning relative to large-capacity heat pump solutions, which are increasingly being considered in </w:t>
      </w:r>
      <w:r w:rsidR="00991188">
        <w:t>DHN</w:t>
      </w:r>
      <w:r w:rsidR="00594071">
        <w:t xml:space="preserve"> projects [</w:t>
      </w:r>
      <w:r w:rsidR="0044546F">
        <w:t>12</w:t>
      </w:r>
      <w:r w:rsidR="00594071">
        <w:t>].</w:t>
      </w:r>
    </w:p>
    <w:p w14:paraId="1FAC85D7" w14:textId="09EE3EE3" w:rsidR="00747BFA" w:rsidRDefault="006D4BC5" w:rsidP="000E5721">
      <w:pPr>
        <w:pStyle w:val="SWCHeading1"/>
      </w:pPr>
      <w:r>
        <w:t>Methodology</w:t>
      </w:r>
    </w:p>
    <w:p w14:paraId="2AC76AAD" w14:textId="0093FA94" w:rsidR="004074A8" w:rsidRDefault="007A180C" w:rsidP="00F15984">
      <w:pPr>
        <w:pStyle w:val="SWCText"/>
      </w:pPr>
      <w:r>
        <w:t xml:space="preserve">The </w:t>
      </w:r>
      <w:r w:rsidR="004F6CB5">
        <w:t>integration</w:t>
      </w:r>
      <w:r>
        <w:t xml:space="preserve"> of solar thermal energy into an existing </w:t>
      </w:r>
      <w:r w:rsidR="00AA349D">
        <w:t>or newly buil</w:t>
      </w:r>
      <w:r w:rsidR="00DA04CB">
        <w:t>t</w:t>
      </w:r>
      <w:r w:rsidR="00AA349D">
        <w:t xml:space="preserve"> DHN can be </w:t>
      </w:r>
      <w:r w:rsidR="000562FB">
        <w:t>realized</w:t>
      </w:r>
      <w:r w:rsidR="00AA349D">
        <w:t xml:space="preserve"> in </w:t>
      </w:r>
      <w:r w:rsidR="000562FB">
        <w:t>several</w:t>
      </w:r>
      <w:r w:rsidR="00AA349D">
        <w:t xml:space="preserve"> ways</w:t>
      </w:r>
      <w:r w:rsidR="00530635">
        <w:t>,</w:t>
      </w:r>
      <w:r w:rsidR="00062D16">
        <w:t xml:space="preserve"> which have a varying impact on the techno-economic aspects of the overall system. </w:t>
      </w:r>
      <w:r w:rsidR="00530635">
        <w:t>The perfo</w:t>
      </w:r>
      <w:r w:rsidR="000562FB">
        <w:t xml:space="preserve">rmance of </w:t>
      </w:r>
      <w:r w:rsidR="0040297C">
        <w:t>a hybrid</w:t>
      </w:r>
      <w:r w:rsidR="00ED5173">
        <w:t xml:space="preserve"> solution based on solar thermal and wood biomass </w:t>
      </w:r>
      <w:r w:rsidR="00557E7F">
        <w:t>depends</w:t>
      </w:r>
      <w:r w:rsidR="00D61A37">
        <w:t xml:space="preserve"> </w:t>
      </w:r>
      <w:r w:rsidR="00557E7F">
        <w:t>on</w:t>
      </w:r>
      <w:r w:rsidR="00D61A37">
        <w:t xml:space="preserve"> the type of hydraulic layout, </w:t>
      </w:r>
      <w:r w:rsidR="004A7DC3">
        <w:t>which has an impact</w:t>
      </w:r>
      <w:r w:rsidR="00D61A37">
        <w:t xml:space="preserve"> </w:t>
      </w:r>
      <w:r w:rsidR="004A7DC3">
        <w:t>on</w:t>
      </w:r>
      <w:r w:rsidR="00D61A37">
        <w:t xml:space="preserve"> </w:t>
      </w:r>
      <w:r w:rsidR="00563B95">
        <w:t>the cost of heat production and the amount of</w:t>
      </w:r>
      <w:r w:rsidR="004A7DC3">
        <w:t xml:space="preserve"> GHG emissions.</w:t>
      </w:r>
      <w:r w:rsidR="004B753F">
        <w:t xml:space="preserve"> </w:t>
      </w:r>
      <w:r w:rsidR="00594FDA">
        <w:t>T</w:t>
      </w:r>
      <w:r w:rsidR="002C2234">
        <w:t xml:space="preserve">o </w:t>
      </w:r>
      <w:r w:rsidR="006D5439">
        <w:t>study</w:t>
      </w:r>
      <w:r w:rsidR="00536806">
        <w:t xml:space="preserve"> some of</w:t>
      </w:r>
      <w:r w:rsidR="00594FDA">
        <w:t xml:space="preserve"> </w:t>
      </w:r>
      <w:r w:rsidR="0094760E">
        <w:t>these</w:t>
      </w:r>
      <w:r w:rsidR="00536806">
        <w:t xml:space="preserve"> possibilities, four hydraulic layout</w:t>
      </w:r>
      <w:r w:rsidR="00594FDA">
        <w:t>s</w:t>
      </w:r>
      <w:r w:rsidR="00536806">
        <w:t xml:space="preserve"> for the integration of </w:t>
      </w:r>
      <w:r w:rsidR="008A7019">
        <w:t xml:space="preserve">solar thermal heat </w:t>
      </w:r>
      <w:r w:rsidR="00E57745">
        <w:t xml:space="preserve">into a DHN </w:t>
      </w:r>
      <w:r w:rsidR="006D5439">
        <w:t xml:space="preserve">have been modelled </w:t>
      </w:r>
      <w:r w:rsidR="00C54757">
        <w:t>to simulate the</w:t>
      </w:r>
      <w:r w:rsidR="00BB403C">
        <w:t>ir</w:t>
      </w:r>
      <w:r w:rsidR="00C54757">
        <w:t xml:space="preserve"> </w:t>
      </w:r>
      <w:r w:rsidR="00F11E02">
        <w:t>annual</w:t>
      </w:r>
      <w:r w:rsidR="00B46317">
        <w:t xml:space="preserve"> tecno-economic and environmental </w:t>
      </w:r>
      <w:r w:rsidR="00C54757">
        <w:t xml:space="preserve">performance </w:t>
      </w:r>
      <w:r w:rsidR="001758B5">
        <w:t xml:space="preserve">and compare </w:t>
      </w:r>
      <w:r w:rsidR="00B46317">
        <w:t>them</w:t>
      </w:r>
      <w:r w:rsidR="001758B5">
        <w:t xml:space="preserve"> to </w:t>
      </w:r>
      <w:r w:rsidR="00B46317">
        <w:t>those</w:t>
      </w:r>
      <w:r w:rsidR="001758B5">
        <w:t xml:space="preserve"> of a reference system</w:t>
      </w:r>
      <w:r w:rsidR="00E04666">
        <w:t xml:space="preserve"> with no solar collectors</w:t>
      </w:r>
      <w:r w:rsidR="00536A23">
        <w:t xml:space="preserve"> (see </w:t>
      </w:r>
      <w:r w:rsidR="00536A23">
        <w:fldChar w:fldCharType="begin"/>
      </w:r>
      <w:r w:rsidR="00536A23">
        <w:instrText xml:space="preserve"> REF _Ref238126145 \h </w:instrText>
      </w:r>
      <w:r w:rsidR="00536A23">
        <w:fldChar w:fldCharType="separate"/>
      </w:r>
      <w:r w:rsidR="00536A23" w:rsidRPr="005D5E12">
        <w:t xml:space="preserve">Figure </w:t>
      </w:r>
      <w:r w:rsidR="00536A23">
        <w:rPr>
          <w:noProof/>
        </w:rPr>
        <w:t>1</w:t>
      </w:r>
      <w:r w:rsidR="00536A23">
        <w:fldChar w:fldCharType="end"/>
      </w:r>
      <w:r w:rsidR="000315DA">
        <w:t>)</w:t>
      </w:r>
      <w:r w:rsidR="00F11E02">
        <w:t xml:space="preserve">. </w:t>
      </w:r>
      <w:r w:rsidR="00924D8B">
        <w:t>Then, t</w:t>
      </w:r>
      <w:r w:rsidR="00133E8C">
        <w:t xml:space="preserve">o gain further insight on the market </w:t>
      </w:r>
      <w:r w:rsidR="007A26D2">
        <w:t>positioning</w:t>
      </w:r>
      <w:r w:rsidR="00133E8C">
        <w:t xml:space="preserve"> of hybrid solar-biomass solutions, </w:t>
      </w:r>
      <w:r w:rsidR="001F6B4B">
        <w:t xml:space="preserve">the </w:t>
      </w:r>
      <w:r w:rsidR="006D24C3">
        <w:t>layout</w:t>
      </w:r>
      <w:r w:rsidR="00AB6C6C">
        <w:t xml:space="preserve"> featuring the best performance</w:t>
      </w:r>
      <w:r w:rsidR="006D24C3">
        <w:t xml:space="preserve"> was compared to </w:t>
      </w:r>
      <w:r w:rsidR="00E5106F">
        <w:t xml:space="preserve">two </w:t>
      </w:r>
      <w:r w:rsidR="006108D5">
        <w:t>solutions</w:t>
      </w:r>
      <w:r w:rsidR="00E5106F">
        <w:t xml:space="preserve"> based on </w:t>
      </w:r>
      <w:r w:rsidR="00072DAF">
        <w:t xml:space="preserve">solar photovoltaic panels coupled either </w:t>
      </w:r>
      <w:r w:rsidR="00E32AD1">
        <w:t xml:space="preserve">to </w:t>
      </w:r>
      <w:r w:rsidR="00072DAF">
        <w:t xml:space="preserve">an </w:t>
      </w:r>
      <w:r w:rsidR="00E5106F">
        <w:t xml:space="preserve">"indirect air" heat </w:t>
      </w:r>
      <w:r w:rsidR="00115778">
        <w:t>pump covering</w:t>
      </w:r>
      <w:r w:rsidR="00501541">
        <w:t xml:space="preserve"> only the summer load</w:t>
      </w:r>
      <w:r w:rsidR="00E32AD1">
        <w:t>,</w:t>
      </w:r>
      <w:r w:rsidR="00501541">
        <w:t xml:space="preserve"> </w:t>
      </w:r>
      <w:r w:rsidR="00CD0529">
        <w:t xml:space="preserve">or </w:t>
      </w:r>
      <w:r w:rsidR="00E32AD1">
        <w:t xml:space="preserve">to </w:t>
      </w:r>
      <w:r w:rsidR="00CD0529">
        <w:t xml:space="preserve">a </w:t>
      </w:r>
      <w:r w:rsidR="00B67979">
        <w:t>high-power</w:t>
      </w:r>
      <w:r w:rsidR="00CD0529">
        <w:t xml:space="preserve"> groundwater heat</w:t>
      </w:r>
      <w:r w:rsidR="00E32AD1">
        <w:t xml:space="preserve"> pump</w:t>
      </w:r>
      <w:r w:rsidR="00CD0529">
        <w:t xml:space="preserve"> (GWHP)</w:t>
      </w:r>
      <w:r w:rsidR="00501541">
        <w:t xml:space="preserve"> </w:t>
      </w:r>
      <w:r w:rsidR="006F3776">
        <w:t>powering the whole DHN.</w:t>
      </w:r>
      <w:r w:rsidR="00AE4C1D">
        <w:t xml:space="preserve"> The </w:t>
      </w:r>
      <w:r w:rsidR="00770DEE">
        <w:t>comparison</w:t>
      </w:r>
      <w:r w:rsidR="00AE4C1D">
        <w:t xml:space="preserve"> was </w:t>
      </w:r>
      <w:r w:rsidR="00C46647">
        <w:t xml:space="preserve">made </w:t>
      </w:r>
      <w:r w:rsidR="00770DEE">
        <w:t xml:space="preserve">first </w:t>
      </w:r>
      <w:r w:rsidR="006010D9">
        <w:t>at</w:t>
      </w:r>
      <w:r w:rsidR="00C46647">
        <w:t xml:space="preserve"> the technical performance </w:t>
      </w:r>
      <w:r w:rsidR="00770DEE">
        <w:t xml:space="preserve">level via </w:t>
      </w:r>
      <w:r w:rsidR="000753A7">
        <w:t>dynamic</w:t>
      </w:r>
      <w:r w:rsidR="00770DEE">
        <w:t xml:space="preserve"> simulation</w:t>
      </w:r>
      <w:r w:rsidR="006010D9">
        <w:t>s</w:t>
      </w:r>
      <w:r w:rsidR="00770DEE">
        <w:t xml:space="preserve"> under TRNSYS</w:t>
      </w:r>
      <w:r w:rsidR="00031101">
        <w:t xml:space="preserve"> (Transient System Simulation Tool), an equation-based simulation environment used to model the dynamic performance of complex energy systems. </w:t>
      </w:r>
      <w:r w:rsidR="002A6EA9">
        <w:t>T</w:t>
      </w:r>
      <w:r w:rsidR="00770DEE">
        <w:t>hen</w:t>
      </w:r>
      <w:r w:rsidR="006A18F6">
        <w:t>,</w:t>
      </w:r>
      <w:r w:rsidR="002A6EA9">
        <w:t xml:space="preserve"> the comparison was </w:t>
      </w:r>
      <w:r w:rsidR="006A18F6">
        <w:t>focused</w:t>
      </w:r>
      <w:r w:rsidR="003B0A59">
        <w:t xml:space="preserve"> on a series of economic indicators and finally </w:t>
      </w:r>
      <w:r w:rsidR="006010D9">
        <w:t>on the emission factors computed for the hybrid solutions</w:t>
      </w:r>
      <w:r w:rsidR="00115778">
        <w:t>.</w:t>
      </w:r>
    </w:p>
    <w:p w14:paraId="56300D0E" w14:textId="69FDE58F" w:rsidR="001552CD" w:rsidRPr="001552CD" w:rsidRDefault="001552CD" w:rsidP="001552CD">
      <w:pPr>
        <w:pStyle w:val="SWCHeading11"/>
      </w:pPr>
      <w:r w:rsidRPr="001552CD">
        <w:t>Reference system</w:t>
      </w:r>
    </w:p>
    <w:p w14:paraId="03B8319A" w14:textId="6551C305" w:rsidR="00412EE8" w:rsidRDefault="005B2A51" w:rsidP="00112203">
      <w:pPr>
        <w:pStyle w:val="SWCText"/>
      </w:pPr>
      <w:r w:rsidRPr="005B2A51">
        <w:t>To investigate hybrid wood-solar solutions, a reference</w:t>
      </w:r>
      <w:r w:rsidR="00FC1069">
        <w:t xml:space="preserve"> DHN</w:t>
      </w:r>
      <w:r w:rsidRPr="005B2A51">
        <w:t xml:space="preserve"> was studied to represent a typical Swiss wood-fired plant operating without solar input (</w:t>
      </w:r>
      <w:r w:rsidR="00F821B3">
        <w:fldChar w:fldCharType="begin"/>
      </w:r>
      <w:r w:rsidR="00F821B3">
        <w:instrText xml:space="preserve"> REF _Ref238126145 \h </w:instrText>
      </w:r>
      <w:r w:rsidR="00F821B3">
        <w:fldChar w:fldCharType="separate"/>
      </w:r>
      <w:r w:rsidR="00F821B3" w:rsidRPr="005D5E12">
        <w:t>Figure 1</w:t>
      </w:r>
      <w:r w:rsidR="00F821B3">
        <w:fldChar w:fldCharType="end"/>
      </w:r>
      <w:r w:rsidR="001A5B76">
        <w:t>, left</w:t>
      </w:r>
      <w:r w:rsidRPr="005B2A51">
        <w:t>). The reference system comprise</w:t>
      </w:r>
      <w:r w:rsidR="00756308">
        <w:t>d</w:t>
      </w:r>
      <w:r w:rsidRPr="005B2A51">
        <w:t xml:space="preserve"> a biomass boiler cascade with a total installed capacity of 1.8 </w:t>
      </w:r>
      <w:proofErr w:type="spellStart"/>
      <w:r w:rsidRPr="005B2A51">
        <w:t>MW</w:t>
      </w:r>
      <w:r w:rsidRPr="00BC12F7">
        <w:rPr>
          <w:vertAlign w:val="subscript"/>
        </w:rPr>
        <w:t>th</w:t>
      </w:r>
      <w:proofErr w:type="spellEnd"/>
      <w:r w:rsidRPr="005B2A51">
        <w:t>, sized to meet an annual heat demand of approximately 5.8</w:t>
      </w:r>
      <w:r w:rsidR="00B92570">
        <w:t> </w:t>
      </w:r>
      <w:r w:rsidRPr="005B2A51">
        <w:t xml:space="preserve">GWh, with a share of roughly 30% dedicated to domestic hot water (DHW) production. </w:t>
      </w:r>
      <w:r w:rsidR="00B73FBE">
        <w:t>D</w:t>
      </w:r>
      <w:r w:rsidR="00F760EB">
        <w:t xml:space="preserve">ata adopted for the </w:t>
      </w:r>
      <w:r w:rsidR="00B73FBE">
        <w:t xml:space="preserve">performance </w:t>
      </w:r>
      <w:r w:rsidR="00F760EB">
        <w:t>simulations w</w:t>
      </w:r>
      <w:r w:rsidR="003B10BD">
        <w:t>ere</w:t>
      </w:r>
      <w:r w:rsidR="00F760EB">
        <w:t xml:space="preserve"> </w:t>
      </w:r>
      <w:r w:rsidR="00F3400D">
        <w:t>sourced</w:t>
      </w:r>
      <w:r w:rsidR="00F760EB">
        <w:t xml:space="preserve"> from the monitoring </w:t>
      </w:r>
      <w:r w:rsidR="00CD3116">
        <w:t>campaign</w:t>
      </w:r>
      <w:r w:rsidR="00B73FBE">
        <w:t xml:space="preserve"> </w:t>
      </w:r>
      <w:r w:rsidR="00F760EB">
        <w:t xml:space="preserve">of a </w:t>
      </w:r>
      <w:r w:rsidRPr="005B2A51">
        <w:t xml:space="preserve">small rural wood </w:t>
      </w:r>
      <w:r w:rsidR="00F95689">
        <w:t>DHN</w:t>
      </w:r>
      <w:r w:rsidR="00F760EB">
        <w:t>, located on the Swiss municipality of Les Ponts-de-Martel in the Canton of Neuchâtel</w:t>
      </w:r>
      <w:r w:rsidR="00CD3116">
        <w:t xml:space="preserve">, featuring </w:t>
      </w:r>
      <w:r w:rsidR="00CD3116" w:rsidRPr="005B2A51">
        <w:t>a supply temperature between 85–90°C in winter and around 70°C outside the heating season</w:t>
      </w:r>
      <w:r w:rsidR="00D81967">
        <w:t xml:space="preserve"> (</w:t>
      </w:r>
      <w:r w:rsidR="00D85926">
        <w:fldChar w:fldCharType="begin"/>
      </w:r>
      <w:r w:rsidR="00D85926">
        <w:instrText xml:space="preserve"> REF _Ref238126145 \h </w:instrText>
      </w:r>
      <w:r w:rsidR="00D85926">
        <w:fldChar w:fldCharType="separate"/>
      </w:r>
      <w:r w:rsidR="00D85926" w:rsidRPr="005D5E12">
        <w:t xml:space="preserve">Figure </w:t>
      </w:r>
      <w:r w:rsidR="00D85926">
        <w:rPr>
          <w:noProof/>
        </w:rPr>
        <w:t>1</w:t>
      </w:r>
      <w:r w:rsidR="00D85926">
        <w:fldChar w:fldCharType="end"/>
      </w:r>
      <w:r w:rsidR="00D85926">
        <w:t>, right</w:t>
      </w:r>
      <w:r w:rsidR="00D81967">
        <w:t>)</w:t>
      </w:r>
      <w:r w:rsidRPr="005B2A51">
        <w:t>. Baseline operation assume</w:t>
      </w:r>
      <w:r w:rsidR="000F0C04">
        <w:t>d</w:t>
      </w:r>
      <w:r w:rsidR="00504F0B">
        <w:t xml:space="preserve"> </w:t>
      </w:r>
      <w:r w:rsidR="00485F84">
        <w:t xml:space="preserve">that </w:t>
      </w:r>
      <w:r w:rsidR="00504F0B">
        <w:t>the</w:t>
      </w:r>
      <w:r w:rsidRPr="005B2A51">
        <w:t xml:space="preserve"> two boilers in cascade</w:t>
      </w:r>
      <w:r w:rsidR="00504F0B">
        <w:t xml:space="preserve"> </w:t>
      </w:r>
      <w:r w:rsidR="000F0C04">
        <w:t>were</w:t>
      </w:r>
      <w:r w:rsidR="00504F0B">
        <w:t xml:space="preserve"> designed and </w:t>
      </w:r>
      <w:r w:rsidRPr="005B2A51">
        <w:t>controlled according to the principles outlined in the quality standard</w:t>
      </w:r>
      <w:r w:rsidR="004D52CE">
        <w:t xml:space="preserve"> published by the </w:t>
      </w:r>
      <w:r w:rsidR="00A20133">
        <w:t>Swiss</w:t>
      </w:r>
      <w:r w:rsidR="00A1696D">
        <w:t xml:space="preserve"> association QM </w:t>
      </w:r>
      <w:proofErr w:type="spellStart"/>
      <w:r w:rsidR="00A1696D">
        <w:t>Bois</w:t>
      </w:r>
      <w:proofErr w:type="spellEnd"/>
      <w:r w:rsidR="009A4BD0">
        <w:t xml:space="preserve"> [</w:t>
      </w:r>
      <w:r w:rsidR="00F42DBE">
        <w:t>13</w:t>
      </w:r>
      <w:r w:rsidR="009A4BD0">
        <w:t>]</w:t>
      </w:r>
      <w:r w:rsidR="00A76BF4">
        <w:t xml:space="preserve">. To smooth boiler operation and supply temperatures, furthermore, </w:t>
      </w:r>
      <w:r w:rsidR="006244C7">
        <w:t xml:space="preserve">QM </w:t>
      </w:r>
      <w:proofErr w:type="spellStart"/>
      <w:r w:rsidR="006244C7">
        <w:t>Bois</w:t>
      </w:r>
      <w:proofErr w:type="spellEnd"/>
      <w:r w:rsidR="00A76BF4">
        <w:t xml:space="preserve"> mandate</w:t>
      </w:r>
      <w:r w:rsidR="006244C7">
        <w:t>s</w:t>
      </w:r>
      <w:r w:rsidR="000806AC">
        <w:t xml:space="preserve"> the installation of</w:t>
      </w:r>
      <w:r w:rsidR="00C04B4B">
        <w:t xml:space="preserve"> </w:t>
      </w:r>
      <w:r w:rsidR="00CD2A32">
        <w:t>a</w:t>
      </w:r>
      <w:r w:rsidR="004E4DE3">
        <w:t xml:space="preserve">n </w:t>
      </w:r>
      <w:r w:rsidR="00CD2A32">
        <w:t xml:space="preserve">energy buffer </w:t>
      </w:r>
      <w:r w:rsidR="004E4DE3">
        <w:t xml:space="preserve">with a minimum storage capacity </w:t>
      </w:r>
      <w:r w:rsidR="007665AE">
        <w:t>corresponding to the energy produced</w:t>
      </w:r>
      <w:r w:rsidR="00643B57">
        <w:t xml:space="preserve"> </w:t>
      </w:r>
      <w:r w:rsidR="006244C7">
        <w:t xml:space="preserve">by the boiler </w:t>
      </w:r>
      <w:r w:rsidR="00643B57">
        <w:t>during</w:t>
      </w:r>
      <w:r w:rsidR="00CD2A32">
        <w:t xml:space="preserve"> </w:t>
      </w:r>
      <w:r w:rsidR="00987065">
        <w:t>one</w:t>
      </w:r>
      <w:r w:rsidR="00C04B4B">
        <w:t xml:space="preserve"> hour</w:t>
      </w:r>
      <w:r w:rsidR="00CD2A32">
        <w:t xml:space="preserve"> </w:t>
      </w:r>
      <w:r w:rsidR="00643B57">
        <w:t>at full power</w:t>
      </w:r>
      <w:r w:rsidR="007665AE">
        <w:t>.</w:t>
      </w:r>
      <w:r w:rsidRPr="005B2A51">
        <w:t xml:space="preserve"> </w:t>
      </w:r>
      <w:r w:rsidR="000F0C04">
        <w:t>Modelled under TRNSYS</w:t>
      </w:r>
      <w:r w:rsidR="00317EA9">
        <w:t xml:space="preserve"> together with </w:t>
      </w:r>
      <w:r w:rsidR="00E461CF">
        <w:t>a f</w:t>
      </w:r>
      <w:r w:rsidR="00317EA9">
        <w:t>lue-gas condensation heat recovery system</w:t>
      </w:r>
      <w:r w:rsidR="000F0C04">
        <w:t>, the performance of this</w:t>
      </w:r>
      <w:r w:rsidR="00EF798D">
        <w:t xml:space="preserve"> reference configuration </w:t>
      </w:r>
      <w:r w:rsidR="006244C7">
        <w:t>constitute</w:t>
      </w:r>
      <w:r w:rsidR="00546866">
        <w:t>d</w:t>
      </w:r>
      <w:r w:rsidR="00EF798D">
        <w:t xml:space="preserve"> a reliable point of comparison for the hybrid configurations. </w:t>
      </w:r>
    </w:p>
    <w:p w14:paraId="31668480" w14:textId="587C78A1" w:rsidR="00D81967" w:rsidRDefault="00AA29F9" w:rsidP="00625B6A">
      <w:pPr>
        <w:pStyle w:val="SWCHeading11"/>
      </w:pPr>
      <w:r>
        <w:t>Biomass-solar hybrid configurations</w:t>
      </w:r>
    </w:p>
    <w:p w14:paraId="6AC0CDF4" w14:textId="19171999" w:rsidR="006A18F6" w:rsidRPr="00C44990" w:rsidRDefault="00C44990" w:rsidP="00BB2073">
      <w:pPr>
        <w:pStyle w:val="SWCText"/>
      </w:pPr>
      <w:r w:rsidRPr="00C44990">
        <w:t>Based on the architecture of the reference wood-fired heating plant, several solar thermal integration configurations can be considered. To standardize the evaluation and comparison of the technical, environmental, and financial</w:t>
      </w:r>
    </w:p>
    <w:tbl>
      <w:tblPr>
        <w:tblStyle w:val="Grilledutableau"/>
        <w:tblpPr w:leftFromText="141" w:rightFromText="141" w:vertAnchor="text" w:horzAnchor="margin" w:tblpY="1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8"/>
        <w:gridCol w:w="4506"/>
      </w:tblGrid>
      <w:tr w:rsidR="006A18F6" w14:paraId="6009B643" w14:textId="77777777" w:rsidTr="006A18F6">
        <w:tc>
          <w:tcPr>
            <w:tcW w:w="4558" w:type="dxa"/>
          </w:tcPr>
          <w:p w14:paraId="01A9E9C7" w14:textId="77777777" w:rsidR="006A18F6" w:rsidRDefault="006A18F6" w:rsidP="006A18F6">
            <w:pPr>
              <w:pStyle w:val="SWCText"/>
              <w:jc w:val="center"/>
            </w:pPr>
            <w:r>
              <w:rPr>
                <w:noProof/>
              </w:rPr>
              <w:lastRenderedPageBreak/>
              <w:drawing>
                <wp:inline distT="0" distB="0" distL="0" distR="0" wp14:anchorId="0182C090" wp14:editId="10221461">
                  <wp:extent cx="2456953" cy="1364132"/>
                  <wp:effectExtent l="0" t="0" r="0" b="7620"/>
                  <wp:docPr id="3" name="Graphiqu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2464194" cy="1368152"/>
                          </a:xfrm>
                          <a:prstGeom prst="rect">
                            <a:avLst/>
                          </a:prstGeom>
                        </pic:spPr>
                      </pic:pic>
                    </a:graphicData>
                  </a:graphic>
                </wp:inline>
              </w:drawing>
            </w:r>
          </w:p>
        </w:tc>
        <w:tc>
          <w:tcPr>
            <w:tcW w:w="4506" w:type="dxa"/>
          </w:tcPr>
          <w:p w14:paraId="6E7A2C7D" w14:textId="77777777" w:rsidR="006A18F6" w:rsidRDefault="006A18F6" w:rsidP="006A18F6">
            <w:pPr>
              <w:pStyle w:val="SWCText"/>
              <w:jc w:val="center"/>
            </w:pPr>
            <w:r>
              <w:rPr>
                <w:noProof/>
              </w:rPr>
              <w:drawing>
                <wp:inline distT="0" distB="0" distL="0" distR="0" wp14:anchorId="06748C55" wp14:editId="4038559C">
                  <wp:extent cx="2005200" cy="1364400"/>
                  <wp:effectExtent l="0" t="0" r="0" b="7620"/>
                  <wp:docPr id="4" name="Graphiqu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2005200" cy="1364400"/>
                          </a:xfrm>
                          <a:prstGeom prst="rect">
                            <a:avLst/>
                          </a:prstGeom>
                        </pic:spPr>
                      </pic:pic>
                    </a:graphicData>
                  </a:graphic>
                </wp:inline>
              </w:drawing>
            </w:r>
          </w:p>
        </w:tc>
      </w:tr>
      <w:tr w:rsidR="006A18F6" w14:paraId="097BF339" w14:textId="77777777" w:rsidTr="006A18F6">
        <w:tc>
          <w:tcPr>
            <w:tcW w:w="4558" w:type="dxa"/>
          </w:tcPr>
          <w:p w14:paraId="6FA221A5" w14:textId="77777777" w:rsidR="006A18F6" w:rsidRDefault="006A18F6" w:rsidP="006A18F6">
            <w:pPr>
              <w:pStyle w:val="SWCText"/>
              <w:spacing w:after="0"/>
              <w:jc w:val="center"/>
            </w:pPr>
            <w:r>
              <w:t>Circuit 1</w:t>
            </w:r>
          </w:p>
        </w:tc>
        <w:tc>
          <w:tcPr>
            <w:tcW w:w="4506" w:type="dxa"/>
          </w:tcPr>
          <w:p w14:paraId="39F1BA11" w14:textId="77777777" w:rsidR="006A18F6" w:rsidRDefault="006A18F6" w:rsidP="006A18F6">
            <w:pPr>
              <w:pStyle w:val="SWCText"/>
              <w:spacing w:after="0"/>
              <w:jc w:val="center"/>
            </w:pPr>
            <w:r>
              <w:t>Circuit 2</w:t>
            </w:r>
          </w:p>
        </w:tc>
      </w:tr>
      <w:tr w:rsidR="006A18F6" w14:paraId="279426C7" w14:textId="77777777" w:rsidTr="006A18F6">
        <w:tc>
          <w:tcPr>
            <w:tcW w:w="4558" w:type="dxa"/>
          </w:tcPr>
          <w:p w14:paraId="732E8B66" w14:textId="77777777" w:rsidR="006A18F6" w:rsidRDefault="006A18F6" w:rsidP="006A18F6">
            <w:pPr>
              <w:pStyle w:val="SWCText"/>
              <w:jc w:val="center"/>
            </w:pPr>
            <w:r>
              <w:rPr>
                <w:noProof/>
              </w:rPr>
              <w:drawing>
                <wp:inline distT="0" distB="0" distL="0" distR="0" wp14:anchorId="4C3910C2" wp14:editId="4444C4C8">
                  <wp:extent cx="1983600" cy="1350000"/>
                  <wp:effectExtent l="0" t="0" r="0" b="3175"/>
                  <wp:docPr id="5"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83600" cy="1350000"/>
                          </a:xfrm>
                          <a:prstGeom prst="rect">
                            <a:avLst/>
                          </a:prstGeom>
                        </pic:spPr>
                      </pic:pic>
                    </a:graphicData>
                  </a:graphic>
                </wp:inline>
              </w:drawing>
            </w:r>
          </w:p>
        </w:tc>
        <w:tc>
          <w:tcPr>
            <w:tcW w:w="4506" w:type="dxa"/>
          </w:tcPr>
          <w:p w14:paraId="5BA6C303" w14:textId="1C0DD99D" w:rsidR="006A18F6" w:rsidRDefault="00440484" w:rsidP="006A18F6">
            <w:pPr>
              <w:pStyle w:val="SWCText"/>
              <w:jc w:val="center"/>
            </w:pPr>
            <w:r>
              <w:rPr>
                <w:noProof/>
              </w:rPr>
              <w:drawing>
                <wp:inline distT="0" distB="0" distL="0" distR="0" wp14:anchorId="5A622BC2" wp14:editId="2407ACB7">
                  <wp:extent cx="1950368" cy="1353709"/>
                  <wp:effectExtent l="0" t="0" r="0" b="0"/>
                  <wp:docPr id="14" name="Graphiqu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1963263" cy="1362659"/>
                          </a:xfrm>
                          <a:prstGeom prst="rect">
                            <a:avLst/>
                          </a:prstGeom>
                        </pic:spPr>
                      </pic:pic>
                    </a:graphicData>
                  </a:graphic>
                </wp:inline>
              </w:drawing>
            </w:r>
          </w:p>
        </w:tc>
      </w:tr>
      <w:tr w:rsidR="006A18F6" w14:paraId="1AA1C708" w14:textId="77777777" w:rsidTr="006A18F6">
        <w:tc>
          <w:tcPr>
            <w:tcW w:w="4558" w:type="dxa"/>
          </w:tcPr>
          <w:p w14:paraId="79A06E37" w14:textId="77777777" w:rsidR="006A18F6" w:rsidRDefault="006A18F6" w:rsidP="006A18F6">
            <w:pPr>
              <w:pStyle w:val="SWCText"/>
              <w:spacing w:after="0"/>
              <w:jc w:val="center"/>
              <w:rPr>
                <w:noProof/>
              </w:rPr>
            </w:pPr>
            <w:r>
              <w:t>Circuit 3</w:t>
            </w:r>
          </w:p>
        </w:tc>
        <w:tc>
          <w:tcPr>
            <w:tcW w:w="4506" w:type="dxa"/>
          </w:tcPr>
          <w:p w14:paraId="1AB13097" w14:textId="77777777" w:rsidR="006A18F6" w:rsidRDefault="006A18F6" w:rsidP="006A18F6">
            <w:pPr>
              <w:pStyle w:val="SWCText"/>
              <w:spacing w:after="0"/>
              <w:jc w:val="center"/>
              <w:rPr>
                <w:noProof/>
              </w:rPr>
            </w:pPr>
            <w:r>
              <w:t>Circuit 4</w:t>
            </w:r>
          </w:p>
        </w:tc>
      </w:tr>
      <w:tr w:rsidR="006A18F6" w14:paraId="531C58AD" w14:textId="77777777" w:rsidTr="006A18F6">
        <w:tc>
          <w:tcPr>
            <w:tcW w:w="9064" w:type="dxa"/>
            <w:gridSpan w:val="2"/>
          </w:tcPr>
          <w:p w14:paraId="4B5D3DE5" w14:textId="77777777" w:rsidR="006A18F6" w:rsidRPr="00CF4FE7" w:rsidRDefault="006A18F6" w:rsidP="006A18F6">
            <w:pPr>
              <w:pStyle w:val="SWCTableFigureCaption"/>
            </w:pPr>
            <w:bookmarkStart w:id="1" w:name="_Ref238137016"/>
            <w:r>
              <w:t xml:space="preserve">Figure </w:t>
            </w:r>
            <w:r>
              <w:fldChar w:fldCharType="begin"/>
            </w:r>
            <w:r>
              <w:instrText xml:space="preserve"> SEQ Figure \* ARABIC </w:instrText>
            </w:r>
            <w:r>
              <w:fldChar w:fldCharType="separate"/>
            </w:r>
            <w:r>
              <w:rPr>
                <w:noProof/>
              </w:rPr>
              <w:t>2</w:t>
            </w:r>
            <w:r>
              <w:fldChar w:fldCharType="end"/>
            </w:r>
            <w:bookmarkEnd w:id="1"/>
            <w:r>
              <w:t>: The f</w:t>
            </w:r>
            <w:r w:rsidRPr="00C44990">
              <w:t>our hydraulic integration schemes selected for modeling in TRNSYS</w:t>
            </w:r>
            <w:r>
              <w:t xml:space="preserve"> to investigate hybrid solar – biomass DHNs.</w:t>
            </w:r>
          </w:p>
        </w:tc>
      </w:tr>
    </w:tbl>
    <w:p w14:paraId="1CD936FB" w14:textId="1B6F54DB" w:rsidR="00C777DE" w:rsidRDefault="00C44990" w:rsidP="00BB2073">
      <w:pPr>
        <w:pStyle w:val="SWCText"/>
      </w:pPr>
      <w:r w:rsidRPr="00C44990">
        <w:t xml:space="preserve">performance across these cases, focus </w:t>
      </w:r>
      <w:r w:rsidR="001E64C6">
        <w:t>has been</w:t>
      </w:r>
      <w:r w:rsidRPr="00C44990">
        <w:t xml:space="preserve"> placed on a limited number of integration types. </w:t>
      </w:r>
      <w:r w:rsidR="007C6029">
        <w:fldChar w:fldCharType="begin"/>
      </w:r>
      <w:r w:rsidR="007C6029">
        <w:instrText xml:space="preserve"> REF _Ref238137016 \h </w:instrText>
      </w:r>
      <w:r w:rsidR="007C6029">
        <w:fldChar w:fldCharType="separate"/>
      </w:r>
      <w:r w:rsidR="007C6029">
        <w:t xml:space="preserve">Figure </w:t>
      </w:r>
      <w:r w:rsidR="007C6029">
        <w:rPr>
          <w:noProof/>
        </w:rPr>
        <w:t>2</w:t>
      </w:r>
      <w:r w:rsidR="007C6029">
        <w:fldChar w:fldCharType="end"/>
      </w:r>
      <w:r w:rsidRPr="00C44990">
        <w:t xml:space="preserve"> present</w:t>
      </w:r>
      <w:r w:rsidR="006A18F6">
        <w:t xml:space="preserve"> </w:t>
      </w:r>
      <w:r w:rsidRPr="00C44990">
        <w:t>the four hydraulic integration schemes selected for modeling in TRNSYS.</w:t>
      </w:r>
      <w:r w:rsidR="00C777DE">
        <w:t xml:space="preserve"> </w:t>
      </w:r>
    </w:p>
    <w:p w14:paraId="16164BE7" w14:textId="50844AE3" w:rsidR="007C6029" w:rsidRPr="008239D4" w:rsidRDefault="007C6029" w:rsidP="008239D4">
      <w:pPr>
        <w:pStyle w:val="SWCText"/>
      </w:pPr>
      <w:r>
        <w:t>The schematic of Circuit 1 represents a hybrid system in which the thermal solar collectors supply heat in parallel</w:t>
      </w:r>
      <w:r w:rsidR="00C704A6">
        <w:t xml:space="preserve"> </w:t>
      </w:r>
      <w:r>
        <w:t xml:space="preserve">with the biomass boilers, injecting it into the upper part of </w:t>
      </w:r>
      <w:r w:rsidR="00D854B7">
        <w:t>a single common</w:t>
      </w:r>
      <w:r>
        <w:t xml:space="preserve"> thermal energy storage (TES). The solar field operates at the boiler supply temperature, typically set 5 K above the district heating network supply setpoint. Thus, in Circuit 1, the solar installation operates in parallel with the wood-chip boilers and downstream</w:t>
      </w:r>
      <w:r w:rsidR="00C704A6">
        <w:t xml:space="preserve"> </w:t>
      </w:r>
      <w:r>
        <w:t>of the flue-gas condensation heat recovery system.</w:t>
      </w:r>
      <w:r w:rsidR="00E461CF">
        <w:t xml:space="preserve"> </w:t>
      </w:r>
      <w:r>
        <w:t>The TES can be charged and discharged using a relatively simple hydraulic configuration, while preserving thermal stratification. This configuration also avoids the need for dedicated stratification lances to inject solar heat into the TES.</w:t>
      </w:r>
    </w:p>
    <w:p w14:paraId="6AC3C3B6" w14:textId="6F58727B" w:rsidR="00C777DE" w:rsidRDefault="008239D4" w:rsidP="00A93B9D">
      <w:pPr>
        <w:pStyle w:val="SWCText"/>
      </w:pPr>
      <w:r>
        <w:t>The schematic of Circuit 2 represents</w:t>
      </w:r>
      <w:r w:rsidR="00D230EF">
        <w:t>,</w:t>
      </w:r>
      <w:r>
        <w:t xml:space="preserve"> instead, a hybrid system in which solar energy is supplied to a dedicated solar TES, installed in series downstream of the flue-gas condensers.</w:t>
      </w:r>
      <w:r w:rsidR="003A1D53">
        <w:t xml:space="preserve"> </w:t>
      </w:r>
      <w:r>
        <w:t xml:space="preserve">The biomass boilers are equipped with a </w:t>
      </w:r>
      <w:r w:rsidR="003A1D53">
        <w:t>dedicated</w:t>
      </w:r>
      <w:r>
        <w:t xml:space="preserve"> </w:t>
      </w:r>
      <w:r w:rsidR="003A1D53">
        <w:t xml:space="preserve">separate </w:t>
      </w:r>
      <w:r>
        <w:t xml:space="preserve">TES, </w:t>
      </w:r>
      <w:r w:rsidR="003A1D53">
        <w:t xml:space="preserve">dimensioned </w:t>
      </w:r>
      <w:r>
        <w:t xml:space="preserve">in accordance with </w:t>
      </w:r>
      <w:r w:rsidR="003A1D53">
        <w:t xml:space="preserve">the </w:t>
      </w:r>
      <w:r>
        <w:t>industry recommendations for automatically operated wood-chip systems of this size. Heat stored in the solar TES can be transferred either</w:t>
      </w:r>
      <w:r w:rsidR="00102A49">
        <w:t xml:space="preserve"> </w:t>
      </w:r>
      <w:r>
        <w:t>to the boiler inle</w:t>
      </w:r>
      <w:r w:rsidR="00E70708">
        <w:t>t</w:t>
      </w:r>
      <w:r>
        <w:t xml:space="preserve"> when the solar TES temperature is below the district heating supply setpoint; or</w:t>
      </w:r>
      <w:r w:rsidR="00102A49">
        <w:t xml:space="preserve"> </w:t>
      </w:r>
      <w:r>
        <w:t>directly to the</w:t>
      </w:r>
      <w:r w:rsidR="00102A49">
        <w:t xml:space="preserve"> DHN</w:t>
      </w:r>
      <w:r>
        <w:t xml:space="preserve"> when the solar TES temperature is sufficiently high.</w:t>
      </w:r>
      <w:r w:rsidR="00F03E1F">
        <w:t xml:space="preserve"> </w:t>
      </w:r>
      <w:r>
        <w:t>Thus, each TES is charged by its respective energy source, while both TES units can be discharged in series, allowing their storage capacities to be shared between the two</w:t>
      </w:r>
      <w:r w:rsidR="00F2650A">
        <w:t xml:space="preserve"> heat</w:t>
      </w:r>
      <w:r>
        <w:t xml:space="preserve"> generation systems.</w:t>
      </w:r>
      <w:r w:rsidR="00F03E1F">
        <w:t xml:space="preserve"> </w:t>
      </w:r>
      <w:r w:rsidR="00A93B9D">
        <w:t>Specialized hydraulic components can be used to preserve thermal stratification during charging and discharging, such as a stratification lance</w:t>
      </w:r>
      <w:r w:rsidR="00307B4C">
        <w:t>s</w:t>
      </w:r>
      <w:r w:rsidR="00A93B9D">
        <w:t xml:space="preserve"> on the solar side and a diffuser on the district heating return side. This configuration also improves the resilience and flexibility of the network by distributing heat storage across multiple generation sources. Although the solar TES cannot be charged by the biomass boilers, its additional storage volume helps stabilize the temperature at the boiler inlet, potentially contributing to more stable boiler operation and efficiency.</w:t>
      </w:r>
      <w:r w:rsidR="00643268">
        <w:t xml:space="preserve"> </w:t>
      </w:r>
      <w:r w:rsidR="00A93B9D">
        <w:t>A variant incorporating a bypass valve at the solar TES inlet, allowing the biomass boilers to be connected directly to the district heating return, was discarded after preliminary analysis. The bypass would only be useful during plant start-up, while the solar TES would otherwise remain continuously in operation during normal conditions, providing little practical benefit.</w:t>
      </w:r>
    </w:p>
    <w:p w14:paraId="1E8B00A9" w14:textId="77777777" w:rsidR="00EF378D" w:rsidRDefault="006C441D" w:rsidP="006C441D">
      <w:pPr>
        <w:pStyle w:val="SWCText"/>
      </w:pPr>
      <w:r>
        <w:t xml:space="preserve">The </w:t>
      </w:r>
      <w:r w:rsidR="001D4B9F">
        <w:t>layout</w:t>
      </w:r>
      <w:r>
        <w:t xml:space="preserve"> of Circuit 3, </w:t>
      </w:r>
      <w:r w:rsidR="001D4B9F">
        <w:t xml:space="preserve">visible </w:t>
      </w:r>
      <w:r>
        <w:t xml:space="preserve">in </w:t>
      </w:r>
      <w:r w:rsidR="001D4B9F">
        <w:t xml:space="preserve">the bottom left pane of </w:t>
      </w:r>
      <w:r w:rsidR="00FB223D">
        <w:fldChar w:fldCharType="begin"/>
      </w:r>
      <w:r w:rsidR="00FB223D">
        <w:instrText xml:space="preserve"> REF _Ref238137016 \h </w:instrText>
      </w:r>
      <w:r w:rsidR="00FB223D">
        <w:fldChar w:fldCharType="separate"/>
      </w:r>
      <w:r w:rsidR="00FB223D">
        <w:t xml:space="preserve">Figure </w:t>
      </w:r>
      <w:r w:rsidR="00FB223D">
        <w:rPr>
          <w:noProof/>
        </w:rPr>
        <w:t>2</w:t>
      </w:r>
      <w:r w:rsidR="00FB223D">
        <w:fldChar w:fldCharType="end"/>
      </w:r>
      <w:r>
        <w:t xml:space="preserve">, represents a hybrid system where solar heat can </w:t>
      </w:r>
    </w:p>
    <w:tbl>
      <w:tblPr>
        <w:tblStyle w:val="Grilledutableau"/>
        <w:tblpPr w:leftFromText="141" w:rightFromText="141" w:vertAnchor="text" w:horzAnchor="margin" w:tblpY="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2"/>
        <w:gridCol w:w="4492"/>
      </w:tblGrid>
      <w:tr w:rsidR="00EF378D" w14:paraId="2C4478FA" w14:textId="77777777" w:rsidTr="00EF378D">
        <w:tc>
          <w:tcPr>
            <w:tcW w:w="4572" w:type="dxa"/>
          </w:tcPr>
          <w:p w14:paraId="55A51A0D" w14:textId="77777777" w:rsidR="00EF378D" w:rsidRDefault="00EF378D" w:rsidP="00EF378D">
            <w:pPr>
              <w:pStyle w:val="SWCText"/>
            </w:pPr>
            <w:r w:rsidRPr="00BB4DCD">
              <w:rPr>
                <w:noProof/>
              </w:rPr>
              <w:lastRenderedPageBreak/>
              <w:drawing>
                <wp:inline distT="0" distB="0" distL="0" distR="0" wp14:anchorId="4A0D0AEA" wp14:editId="71689144">
                  <wp:extent cx="2460030" cy="1292988"/>
                  <wp:effectExtent l="0" t="0" r="0" b="2540"/>
                  <wp:docPr id="1026" name="Image 1">
                    <a:extLst xmlns:a="http://schemas.openxmlformats.org/drawingml/2006/main">
                      <a:ext uri="{FF2B5EF4-FFF2-40B4-BE49-F238E27FC236}">
                        <a16:creationId xmlns:a16="http://schemas.microsoft.com/office/drawing/2014/main" id="{BDB915CE-5343-4135-8D45-F5947EC42A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age 1">
                            <a:extLst>
                              <a:ext uri="{FF2B5EF4-FFF2-40B4-BE49-F238E27FC236}">
                                <a16:creationId xmlns:a16="http://schemas.microsoft.com/office/drawing/2014/main" id="{BDB915CE-5343-4135-8D45-F5947EC42AF2}"/>
                              </a:ext>
                            </a:extLst>
                          </pic:cNvPr>
                          <pic:cNvPicPr>
                            <a:picLocks noChangeAspect="1" noChangeArrowheads="1"/>
                          </pic:cNvPicPr>
                        </pic:nvPicPr>
                        <pic:blipFill rotWithShape="1">
                          <a:blip r:embed="rId19">
                            <a:extLst>
                              <a:ext uri="{28A0092B-C50C-407E-A947-70E740481C1C}">
                                <a14:useLocalDpi xmlns:a14="http://schemas.microsoft.com/office/drawing/2010/main" val="0"/>
                              </a:ext>
                            </a:extLst>
                          </a:blip>
                          <a:srcRect l="51325" t="5186" b="16340"/>
                          <a:stretch/>
                        </pic:blipFill>
                        <pic:spPr bwMode="auto">
                          <a:xfrm>
                            <a:off x="0" y="0"/>
                            <a:ext cx="2557770" cy="13443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92" w:type="dxa"/>
          </w:tcPr>
          <w:p w14:paraId="39E54994" w14:textId="77777777" w:rsidR="00EF378D" w:rsidRDefault="00EF378D" w:rsidP="00EF378D">
            <w:pPr>
              <w:pStyle w:val="SWCText"/>
            </w:pPr>
            <w:r w:rsidRPr="00C64F18">
              <w:rPr>
                <w:noProof/>
              </w:rPr>
              <w:drawing>
                <wp:inline distT="0" distB="0" distL="0" distR="0" wp14:anchorId="5399CADF" wp14:editId="4E08BFE0">
                  <wp:extent cx="2313727" cy="1292860"/>
                  <wp:effectExtent l="0" t="0" r="0" b="2540"/>
                  <wp:docPr id="1549971239" name="Image 154997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02744" cy="1342601"/>
                          </a:xfrm>
                          <a:prstGeom prst="rect">
                            <a:avLst/>
                          </a:prstGeom>
                          <a:noFill/>
                          <a:ln>
                            <a:noFill/>
                          </a:ln>
                        </pic:spPr>
                      </pic:pic>
                    </a:graphicData>
                  </a:graphic>
                </wp:inline>
              </w:drawing>
            </w:r>
          </w:p>
        </w:tc>
      </w:tr>
      <w:tr w:rsidR="00EF378D" w:rsidRPr="002F38A4" w14:paraId="0903FD82" w14:textId="77777777" w:rsidTr="00EF378D">
        <w:tc>
          <w:tcPr>
            <w:tcW w:w="4572" w:type="dxa"/>
          </w:tcPr>
          <w:p w14:paraId="59E1C9DD" w14:textId="77777777" w:rsidR="00EF378D" w:rsidRPr="002F38A4" w:rsidRDefault="00EF378D" w:rsidP="00EF378D">
            <w:pPr>
              <w:pStyle w:val="SWCText"/>
              <w:jc w:val="center"/>
            </w:pPr>
            <w:r w:rsidRPr="002F38A4">
              <w:t>Indirect air HP</w:t>
            </w:r>
          </w:p>
        </w:tc>
        <w:tc>
          <w:tcPr>
            <w:tcW w:w="4492" w:type="dxa"/>
          </w:tcPr>
          <w:p w14:paraId="460A0238" w14:textId="77777777" w:rsidR="00EF378D" w:rsidRPr="002F38A4" w:rsidRDefault="00EF378D" w:rsidP="00EF378D">
            <w:pPr>
              <w:pStyle w:val="SWCText"/>
              <w:jc w:val="center"/>
            </w:pPr>
            <w:r w:rsidRPr="002F38A4">
              <w:t>Groundwater HP</w:t>
            </w:r>
          </w:p>
        </w:tc>
      </w:tr>
      <w:tr w:rsidR="00EF378D" w14:paraId="03C57B04" w14:textId="77777777" w:rsidTr="00EF378D">
        <w:tc>
          <w:tcPr>
            <w:tcW w:w="9064" w:type="dxa"/>
            <w:gridSpan w:val="2"/>
          </w:tcPr>
          <w:p w14:paraId="79210B90" w14:textId="77777777" w:rsidR="00EF378D" w:rsidRDefault="00EF378D" w:rsidP="00EF378D">
            <w:pPr>
              <w:pStyle w:val="SWCTableFigureCaption"/>
            </w:pPr>
            <w:bookmarkStart w:id="2" w:name="_Ref238139121"/>
            <w:r>
              <w:t xml:space="preserve">Figure </w:t>
            </w:r>
            <w:r>
              <w:fldChar w:fldCharType="begin"/>
            </w:r>
            <w:r>
              <w:instrText xml:space="preserve"> SEQ Figure \* ARABIC </w:instrText>
            </w:r>
            <w:r>
              <w:fldChar w:fldCharType="separate"/>
            </w:r>
            <w:r>
              <w:rPr>
                <w:noProof/>
              </w:rPr>
              <w:t>3</w:t>
            </w:r>
            <w:r>
              <w:fldChar w:fldCharType="end"/>
            </w:r>
            <w:bookmarkEnd w:id="2"/>
            <w:r>
              <w:t>: Configurations for the integration of HPs into the DHN circuit for the case of indirect air HP (left) and groundwater HP systems (right)</w:t>
            </w:r>
          </w:p>
        </w:tc>
      </w:tr>
    </w:tbl>
    <w:p w14:paraId="3359E4AC" w14:textId="2D7DCF94" w:rsidR="003D06A0" w:rsidRDefault="006C441D" w:rsidP="006C441D">
      <w:pPr>
        <w:pStyle w:val="SWCText"/>
      </w:pPr>
      <w:r>
        <w:t>be supplied either to a dedicated solar TES installed downstream of the flue-gas condensers, or to the upper part of the biomass TES.</w:t>
      </w:r>
      <w:r w:rsidR="00FB223D">
        <w:t xml:space="preserve"> </w:t>
      </w:r>
      <w:r>
        <w:t>Heat stored in the solar TES is normally supplied to the boiler inlet. However, when the solar supply temperature exceeds the district heating setpoint, the heat is injected directly into the upper part of the biomass TES. This creates a series configuration between the solar and biomass TES during solar charging.</w:t>
      </w:r>
      <w:r w:rsidR="00FB223D">
        <w:t xml:space="preserve"> </w:t>
      </w:r>
      <w:r>
        <w:t>The two TES units also operate in series during discharge. To preserve thermal stratification, the solar TES requires dedicated stratification devices.</w:t>
      </w:r>
      <w:r w:rsidR="001518A2">
        <w:t xml:space="preserve"> </w:t>
      </w:r>
    </w:p>
    <w:p w14:paraId="7E02589A" w14:textId="7AB20379" w:rsidR="00C47698" w:rsidRDefault="00C47698" w:rsidP="00C47698">
      <w:pPr>
        <w:pStyle w:val="SWCText"/>
      </w:pPr>
      <w:r>
        <w:t xml:space="preserve">Circuit 4, shown in the bottom right pane of </w:t>
      </w:r>
      <w:r w:rsidR="00DB15D6">
        <w:fldChar w:fldCharType="begin"/>
      </w:r>
      <w:r w:rsidR="00DB15D6">
        <w:instrText xml:space="preserve"> REF _Ref238137016 \h </w:instrText>
      </w:r>
      <w:r w:rsidR="00DB15D6">
        <w:fldChar w:fldCharType="separate"/>
      </w:r>
      <w:r w:rsidR="00DB15D6">
        <w:t xml:space="preserve">Figure </w:t>
      </w:r>
      <w:r w:rsidR="00DB15D6">
        <w:rPr>
          <w:noProof/>
        </w:rPr>
        <w:t>2</w:t>
      </w:r>
      <w:r w:rsidR="00DB15D6">
        <w:fldChar w:fldCharType="end"/>
      </w:r>
      <w:r w:rsidR="00DB15D6">
        <w:t>,</w:t>
      </w:r>
      <w:r>
        <w:t xml:space="preserve"> investigates a hybrid system in which solar and biomass energy are integrated into a single TES. Solar heat can be supplied either to the upper part of the TES, when the production temperature allows</w:t>
      </w:r>
      <w:r w:rsidR="0058459F">
        <w:t xml:space="preserve"> it</w:t>
      </w:r>
      <w:r>
        <w:t xml:space="preserve">, or at the biomass boiler return level. Simulations showed that, since solar storage requires significantly more volume than the 40 m³ allocated to </w:t>
      </w:r>
      <w:r w:rsidR="005C5F8F">
        <w:t xml:space="preserve">the </w:t>
      </w:r>
      <w:r>
        <w:t>biomass</w:t>
      </w:r>
      <w:r w:rsidR="005C5F8F">
        <w:t xml:space="preserve"> sub</w:t>
      </w:r>
      <w:r w:rsidR="00216585">
        <w:t>-</w:t>
      </w:r>
      <w:r w:rsidR="005C5F8F">
        <w:t>system</w:t>
      </w:r>
      <w:r>
        <w:t xml:space="preserve">, the biomass return connection should be positioned as high as possible while maintaining </w:t>
      </w:r>
      <w:r w:rsidR="00060290">
        <w:t>a</w:t>
      </w:r>
      <w:r>
        <w:t xml:space="preserve"> </w:t>
      </w:r>
      <w:r w:rsidR="00ED46B1">
        <w:t>section of the storage dedicated to</w:t>
      </w:r>
      <w:r w:rsidR="00CB004F">
        <w:t xml:space="preserve"> biomass operations</w:t>
      </w:r>
      <w:r>
        <w:t>.</w:t>
      </w:r>
      <w:r w:rsidR="00ED46B1">
        <w:t xml:space="preserve"> </w:t>
      </w:r>
      <w:r>
        <w:t>In Circuit 4, solar energy operates mainly as a preheating source in the lower part of the TES. This allows the collectors to operate close to the district heating return temperature for most of the time, maximizing solar efficiency. However, integrating both heat sources in</w:t>
      </w:r>
      <w:r w:rsidR="00982DA5">
        <w:t>to</w:t>
      </w:r>
      <w:r>
        <w:t xml:space="preserve"> a single TES makes temperature stratification and source separation more complex, which can limit optimal operation.</w:t>
      </w:r>
    </w:p>
    <w:p w14:paraId="37006DB9" w14:textId="77777777" w:rsidR="009F7154" w:rsidRDefault="009C5D9D" w:rsidP="001D4CB2">
      <w:pPr>
        <w:pStyle w:val="SWCHeading11"/>
      </w:pPr>
      <w:r>
        <w:t xml:space="preserve">Configurations based on </w:t>
      </w:r>
      <w:r w:rsidR="001D4CB2">
        <w:t>h</w:t>
      </w:r>
      <w:r w:rsidR="003C02EC">
        <w:t>eat pump</w:t>
      </w:r>
      <w:r w:rsidR="001D4CB2">
        <w:t>s</w:t>
      </w:r>
      <w:r w:rsidR="003C02EC">
        <w:t xml:space="preserve"> </w:t>
      </w:r>
      <w:r w:rsidR="001D4CB2">
        <w:t xml:space="preserve">and photovoltaics </w:t>
      </w:r>
    </w:p>
    <w:p w14:paraId="72F656E2" w14:textId="777094A2" w:rsidR="0060759A" w:rsidRDefault="003B5C35" w:rsidP="003B5C35">
      <w:pPr>
        <w:pStyle w:val="SWCText"/>
      </w:pPr>
      <w:r>
        <w:t xml:space="preserve">The adoptions of HPs in </w:t>
      </w:r>
      <w:r w:rsidR="009978C5">
        <w:t>DHN</w:t>
      </w:r>
      <w:r>
        <w:t xml:space="preserve"> is expanding rapidly in </w:t>
      </w:r>
      <w:r w:rsidR="009978C5">
        <w:t>Europe and Switzerland</w:t>
      </w:r>
      <w:r>
        <w:t xml:space="preserve">, offering potential reductions in fossil-fuel dependence. However, their overall environmental and sustainability impacts remain uncertain. Combining HPs with </w:t>
      </w:r>
      <w:r w:rsidR="009978C5">
        <w:t xml:space="preserve">PV </w:t>
      </w:r>
      <w:r>
        <w:t>systems and other renewable sources could improve energy efficiency and contribute to more flexible and resilient heating networks.</w:t>
      </w:r>
      <w:r w:rsidR="001D4CB2">
        <w:t xml:space="preserve"> </w:t>
      </w:r>
      <w:r>
        <w:t xml:space="preserve">To benchmark the hybrid wood–solar technology, two </w:t>
      </w:r>
      <w:r w:rsidR="009C5D9D">
        <w:t>scenarios</w:t>
      </w:r>
      <w:r>
        <w:t xml:space="preserve"> were </w:t>
      </w:r>
      <w:r w:rsidR="009C5D9D">
        <w:t>modeled</w:t>
      </w:r>
      <w:r w:rsidR="00DA6213">
        <w:t>: a b</w:t>
      </w:r>
      <w:r>
        <w:t>ivalent wood–HP system</w:t>
      </w:r>
      <w:r w:rsidR="00DA6213">
        <w:t xml:space="preserve"> equipped with a</w:t>
      </w:r>
      <w:r>
        <w:t>n</w:t>
      </w:r>
      <w:r w:rsidR="00DA6213">
        <w:t xml:space="preserve"> "indirect"</w:t>
      </w:r>
      <w:r>
        <w:t xml:space="preserve"> air-source HP, </w:t>
      </w:r>
      <w:r w:rsidR="004C0F80">
        <w:t xml:space="preserve">replacing the smallest boiler of the reference plant and </w:t>
      </w:r>
      <w:r>
        <w:t>sized to meet the summer load</w:t>
      </w:r>
      <w:r w:rsidR="00B86656">
        <w:t xml:space="preserve"> (</w:t>
      </w:r>
      <w:r w:rsidR="000321E9">
        <w:fldChar w:fldCharType="begin"/>
      </w:r>
      <w:r w:rsidR="000321E9">
        <w:instrText xml:space="preserve"> REF _Ref238139121 \h </w:instrText>
      </w:r>
      <w:r w:rsidR="000321E9">
        <w:fldChar w:fldCharType="separate"/>
      </w:r>
      <w:r w:rsidR="000321E9">
        <w:t xml:space="preserve">Figure </w:t>
      </w:r>
      <w:r w:rsidR="000321E9">
        <w:rPr>
          <w:noProof/>
        </w:rPr>
        <w:t>3</w:t>
      </w:r>
      <w:r w:rsidR="000321E9">
        <w:fldChar w:fldCharType="end"/>
      </w:r>
      <w:r w:rsidR="00FC2B0D">
        <w:t xml:space="preserve"> - left</w:t>
      </w:r>
      <w:r w:rsidR="00B86656">
        <w:t>)</w:t>
      </w:r>
      <w:r w:rsidR="004C0F80">
        <w:t>;</w:t>
      </w:r>
      <w:r w:rsidR="00AB2CD9">
        <w:t xml:space="preserve"> and </w:t>
      </w:r>
      <w:r w:rsidR="004C0F80">
        <w:t>a m</w:t>
      </w:r>
      <w:r>
        <w:t>onovalent HP system</w:t>
      </w:r>
      <w:r w:rsidR="004C0F80">
        <w:t xml:space="preserve"> based</w:t>
      </w:r>
      <w:r>
        <w:t xml:space="preserve"> </w:t>
      </w:r>
      <w:r w:rsidR="004C0F80">
        <w:t>on a</w:t>
      </w:r>
      <w:r>
        <w:t xml:space="preserve"> water-to-water HP using groundwater as the heat source </w:t>
      </w:r>
      <w:r w:rsidR="00B735BE">
        <w:t>and covering the whole DHN energy demand</w:t>
      </w:r>
      <w:r w:rsidR="00AB2CD9">
        <w:t xml:space="preserve"> (shown in </w:t>
      </w:r>
      <w:r w:rsidR="00FC2B0D">
        <w:fldChar w:fldCharType="begin"/>
      </w:r>
      <w:r w:rsidR="00FC2B0D">
        <w:instrText xml:space="preserve"> REF _Ref238139121 \h </w:instrText>
      </w:r>
      <w:r w:rsidR="00FC2B0D">
        <w:fldChar w:fldCharType="separate"/>
      </w:r>
      <w:r w:rsidR="00FC2B0D">
        <w:t xml:space="preserve">Figure </w:t>
      </w:r>
      <w:r w:rsidR="00FC2B0D">
        <w:rPr>
          <w:noProof/>
        </w:rPr>
        <w:t>3</w:t>
      </w:r>
      <w:r w:rsidR="00FC2B0D">
        <w:fldChar w:fldCharType="end"/>
      </w:r>
      <w:r w:rsidR="00FC2B0D">
        <w:t xml:space="preserve"> - right</w:t>
      </w:r>
      <w:r w:rsidR="00AB2CD9">
        <w:t>)</w:t>
      </w:r>
      <w:r>
        <w:t>.</w:t>
      </w:r>
      <w:r w:rsidR="00F96BC8">
        <w:t xml:space="preserve"> </w:t>
      </w:r>
      <w:r w:rsidR="0027082D">
        <w:t xml:space="preserve">In both cases, </w:t>
      </w:r>
      <w:r w:rsidR="003027C3">
        <w:t xml:space="preserve">the configurations have been assumed grid-connected with </w:t>
      </w:r>
      <w:r w:rsidR="00085F84">
        <w:t xml:space="preserve">surplus PV electricity fed back into </w:t>
      </w:r>
      <w:r w:rsidR="00E25391">
        <w:t>the grid</w:t>
      </w:r>
      <w:r w:rsidR="000C038F">
        <w:t>.</w:t>
      </w:r>
    </w:p>
    <w:p w14:paraId="6C00764E" w14:textId="0172B8BA" w:rsidR="000C038F" w:rsidRDefault="00C90FEB" w:rsidP="00C76D3E">
      <w:pPr>
        <w:pStyle w:val="SWCHeading11"/>
      </w:pPr>
      <w:r>
        <w:t>Technolog</w:t>
      </w:r>
      <w:r w:rsidR="000C038F">
        <w:t xml:space="preserve">y </w:t>
      </w:r>
      <w:r w:rsidR="009F7154">
        <w:t>choices</w:t>
      </w:r>
    </w:p>
    <w:p w14:paraId="4422F551" w14:textId="3DCA8ED3" w:rsidR="00FD6DDB" w:rsidRDefault="00CF58DF" w:rsidP="003B5C35">
      <w:pPr>
        <w:pStyle w:val="SWCText"/>
      </w:pPr>
      <w:r>
        <w:t>The design of a</w:t>
      </w:r>
      <w:r w:rsidR="007625A4">
        <w:t xml:space="preserve"> solar-biomass</w:t>
      </w:r>
      <w:r>
        <w:t xml:space="preserve"> hybrid system</w:t>
      </w:r>
      <w:r w:rsidR="007625A4">
        <w:t xml:space="preserve"> has to take into consideration the </w:t>
      </w:r>
      <w:r w:rsidR="007462D5">
        <w:t>constraints</w:t>
      </w:r>
      <w:r w:rsidR="007625A4">
        <w:t xml:space="preserve"> imposed by the application to district heating networks. </w:t>
      </w:r>
      <w:r w:rsidR="007B6A26">
        <w:t>New generation DHN</w:t>
      </w:r>
      <w:r w:rsidR="00B121F4">
        <w:t>s</w:t>
      </w:r>
      <w:r w:rsidR="007B6A26">
        <w:t xml:space="preserve"> have </w:t>
      </w:r>
      <w:r w:rsidR="00ED1B61">
        <w:t xml:space="preserve">relatively limited </w:t>
      </w:r>
      <w:r w:rsidR="007B6A26">
        <w:t>temperatures</w:t>
      </w:r>
      <w:r w:rsidR="00920471">
        <w:t xml:space="preserve"> (e.g., 70°C for </w:t>
      </w:r>
      <w:r w:rsidR="00013400">
        <w:t>a</w:t>
      </w:r>
      <w:r w:rsidR="00920471">
        <w:t xml:space="preserve"> IV generation DHN)</w:t>
      </w:r>
      <w:r w:rsidR="00ED1B61">
        <w:t xml:space="preserve">, while older </w:t>
      </w:r>
      <w:r w:rsidR="00920471">
        <w:t>ones</w:t>
      </w:r>
      <w:r w:rsidR="00ED1B61">
        <w:t xml:space="preserve"> feature production temperatures </w:t>
      </w:r>
      <w:r w:rsidR="00B121F4">
        <w:t>of more than</w:t>
      </w:r>
      <w:r w:rsidR="00ED1B61">
        <w:t xml:space="preserve"> </w:t>
      </w:r>
      <w:r w:rsidR="00516DD7">
        <w:t xml:space="preserve">90°C </w:t>
      </w:r>
      <w:r w:rsidR="00301F67">
        <w:t xml:space="preserve">[14]. </w:t>
      </w:r>
      <w:r w:rsidR="003810FC">
        <w:t>At these temperature levels, the integration of solar thermal energy requires the adoption of advanced solar thermal collectors capable of reaching the operating temperatures.</w:t>
      </w:r>
      <w:r w:rsidR="00032ADD">
        <w:t xml:space="preserve"> For the present study, </w:t>
      </w:r>
      <w:r w:rsidR="004B5B63">
        <w:t xml:space="preserve">the </w:t>
      </w:r>
      <w:r w:rsidR="00032ADD">
        <w:t xml:space="preserve">solar thermal field </w:t>
      </w:r>
      <w:r w:rsidR="00013400">
        <w:t>of the hybrid configurations</w:t>
      </w:r>
      <w:r w:rsidR="00C073EE">
        <w:t xml:space="preserve"> is based on High Vacuum Flat Panels</w:t>
      </w:r>
      <w:r w:rsidR="005161ED">
        <w:t xml:space="preserve"> (HVFP), </w:t>
      </w:r>
      <w:r w:rsidR="00B121F4">
        <w:t>particularly</w:t>
      </w:r>
      <w:r w:rsidR="005161ED">
        <w:t xml:space="preserve"> the solar thermal collector manufactured by </w:t>
      </w:r>
      <w:r w:rsidR="008A7EED">
        <w:t xml:space="preserve">TVP Solar. Depending on the application </w:t>
      </w:r>
      <w:r w:rsidR="00653713">
        <w:t>temperatures</w:t>
      </w:r>
      <w:r w:rsidR="008A7EED">
        <w:t>, other collectors can be adopted</w:t>
      </w:r>
      <w:r w:rsidR="00FD6DDB">
        <w:t xml:space="preserve"> (</w:t>
      </w:r>
      <w:r w:rsidR="00447EE1">
        <w:t xml:space="preserve">see </w:t>
      </w:r>
      <w:r w:rsidR="00C2120A">
        <w:fldChar w:fldCharType="begin"/>
      </w:r>
      <w:r w:rsidR="00C2120A">
        <w:instrText xml:space="preserve"> REF _Ref238211931 \h </w:instrText>
      </w:r>
      <w:r w:rsidR="00C2120A">
        <w:fldChar w:fldCharType="separate"/>
      </w:r>
      <w:r w:rsidR="00C2120A">
        <w:t xml:space="preserve">Figure </w:t>
      </w:r>
      <w:r w:rsidR="00C2120A">
        <w:rPr>
          <w:noProof/>
        </w:rPr>
        <w:t>4</w:t>
      </w:r>
      <w:r w:rsidR="00C2120A">
        <w:fldChar w:fldCharType="end"/>
      </w:r>
      <w:r w:rsidR="00447EE1">
        <w:t>, adapted from [</w:t>
      </w:r>
      <w:r w:rsidR="00C712D6">
        <w:t>15</w:t>
      </w:r>
      <w:r w:rsidR="00447EE1">
        <w:t>]</w:t>
      </w:r>
      <w:r w:rsidR="00FD6DDB">
        <w:t>)</w:t>
      </w:r>
      <w:r w:rsidR="00D20344">
        <w:t xml:space="preserve">, yet the adoption of this technology allowed the </w:t>
      </w:r>
      <w:r w:rsidR="00A94FEC">
        <w:t>TRNSYS model for the solar field to be based on the monitoring data of the SolarCADII project [</w:t>
      </w:r>
      <w:r w:rsidR="00C712D6">
        <w:t>16</w:t>
      </w:r>
      <w:r w:rsidR="00A94FEC">
        <w:t>]</w:t>
      </w:r>
      <w:r w:rsidR="00331423">
        <w:t>.</w:t>
      </w:r>
      <w:r w:rsidR="006458C4">
        <w:t xml:space="preserve"> </w:t>
      </w:r>
      <w:r w:rsidR="002876AF">
        <w:t>Consequently</w:t>
      </w:r>
      <w:r w:rsidR="00D02D7C">
        <w:t xml:space="preserve">, a loop made of </w:t>
      </w:r>
      <w:r w:rsidR="00DA35DE">
        <w:t xml:space="preserve">8 </w:t>
      </w:r>
      <w:r w:rsidR="002876AF">
        <w:t xml:space="preserve">MT4 </w:t>
      </w:r>
      <w:r w:rsidR="00DA35DE">
        <w:t>collector</w:t>
      </w:r>
      <w:r w:rsidR="002876AF">
        <w:t>s</w:t>
      </w:r>
      <w:r w:rsidR="00DA35DE">
        <w:t xml:space="preserve"> </w:t>
      </w:r>
      <w:r w:rsidR="002876AF">
        <w:t xml:space="preserve">connected </w:t>
      </w:r>
      <w:r w:rsidR="00DA35DE">
        <w:t>in series</w:t>
      </w:r>
      <w:r w:rsidR="00F96BC8">
        <w:t xml:space="preserve"> </w:t>
      </w:r>
      <w:r w:rsidR="0075752A">
        <w:t>was</w:t>
      </w:r>
      <w:r w:rsidR="00DA35DE">
        <w:t xml:space="preserve"> taken</w:t>
      </w:r>
      <w:r w:rsidR="002876AF">
        <w:t xml:space="preserve"> as </w:t>
      </w:r>
      <w:r w:rsidR="00F953F0">
        <w:t>reference to dimension the solar field</w:t>
      </w:r>
      <w:r w:rsidR="00A97DB9">
        <w:t xml:space="preserve"> in the simulated scenarios.</w:t>
      </w:r>
    </w:p>
    <w:p w14:paraId="6396160E" w14:textId="32E09A07" w:rsidR="00EF378D" w:rsidRDefault="00A97DB9" w:rsidP="003B5C35">
      <w:pPr>
        <w:pStyle w:val="SWCText"/>
      </w:pPr>
      <w:r>
        <w:t xml:space="preserve">On the other hand, </w:t>
      </w:r>
      <w:r w:rsidR="005577FC">
        <w:t>also</w:t>
      </w:r>
      <w:r w:rsidR="009F36F6">
        <w:t xml:space="preserve"> </w:t>
      </w:r>
      <w:r w:rsidR="00FD67A3">
        <w:t xml:space="preserve">the </w:t>
      </w:r>
      <w:r w:rsidR="009F36F6">
        <w:t>heat pump</w:t>
      </w:r>
      <w:r w:rsidR="000A67C5">
        <w:t xml:space="preserve"> technology</w:t>
      </w:r>
      <w:r w:rsidR="00FD67A3">
        <w:t xml:space="preserve"> adopted </w:t>
      </w:r>
      <w:r w:rsidR="009D56FE">
        <w:t>in the models</w:t>
      </w:r>
      <w:r w:rsidR="000A67C5">
        <w:t xml:space="preserve"> </w:t>
      </w:r>
      <w:r w:rsidR="008F56EE">
        <w:t>has</w:t>
      </w:r>
      <w:r w:rsidR="000A67C5">
        <w:t xml:space="preserve"> to be compatible </w:t>
      </w:r>
      <w:r w:rsidR="00500A97">
        <w:t xml:space="preserve">with </w:t>
      </w:r>
      <w:r w:rsidR="002609D8">
        <w:t>the large temperature gains at elevated</w:t>
      </w:r>
      <w:r w:rsidR="00213EDE">
        <w:t xml:space="preserve"> </w:t>
      </w:r>
      <w:r w:rsidR="00500A97">
        <w:t xml:space="preserve">temperatures </w:t>
      </w:r>
      <w:r w:rsidR="00BE4E5B">
        <w:t>at</w:t>
      </w:r>
      <w:r w:rsidR="00500A97">
        <w:t xml:space="preserve"> </w:t>
      </w:r>
      <w:r w:rsidR="00213EDE">
        <w:t>the</w:t>
      </w:r>
      <w:r w:rsidR="00500A97">
        <w:t xml:space="preserve"> condenser</w:t>
      </w:r>
      <w:r w:rsidR="00213EDE">
        <w:t xml:space="preserve"> required </w:t>
      </w:r>
      <w:r w:rsidR="002A2B4A">
        <w:t>by the</w:t>
      </w:r>
      <w:r w:rsidR="00213EDE">
        <w:t xml:space="preserve"> DHN</w:t>
      </w:r>
      <w:r w:rsidR="00BE4E5B">
        <w:t xml:space="preserve">. As a </w:t>
      </w:r>
      <w:r w:rsidR="00DB0563">
        <w:t>consequence</w:t>
      </w:r>
      <w:r w:rsidR="00BE4E5B">
        <w:t xml:space="preserve">, both configurations </w:t>
      </w:r>
      <w:r w:rsidR="00DB0563">
        <w:t xml:space="preserve">have been modelled based on </w:t>
      </w:r>
      <w:r w:rsidR="00E50872">
        <w:t>a</w:t>
      </w:r>
      <w:r w:rsidR="00CD6517">
        <w:t>mmonia cycles</w:t>
      </w:r>
      <w:r w:rsidR="00097702">
        <w:t xml:space="preserve">. </w:t>
      </w:r>
      <w:r w:rsidR="007316CF">
        <w:t xml:space="preserve">Furthermore, both HP systems are inherently based </w:t>
      </w:r>
    </w:p>
    <w:tbl>
      <w:tblPr>
        <w:tblStyle w:val="Grilledutableau"/>
        <w:tblpPr w:leftFromText="141" w:rightFromText="141" w:vertAnchor="text" w:horzAnchor="margin" w:tblpY="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4"/>
      </w:tblGrid>
      <w:tr w:rsidR="00EF378D" w14:paraId="154B4FF9" w14:textId="77777777" w:rsidTr="00EF378D">
        <w:tc>
          <w:tcPr>
            <w:tcW w:w="9064" w:type="dxa"/>
          </w:tcPr>
          <w:p w14:paraId="0FD91019" w14:textId="77777777" w:rsidR="00EF378D" w:rsidRDefault="00EF378D" w:rsidP="00EF378D">
            <w:pPr>
              <w:pStyle w:val="SWCText"/>
              <w:jc w:val="center"/>
            </w:pPr>
            <w:r>
              <w:rPr>
                <w:noProof/>
              </w:rPr>
              <w:lastRenderedPageBreak/>
              <w:drawing>
                <wp:inline distT="0" distB="0" distL="0" distR="0" wp14:anchorId="6ADE54B0" wp14:editId="6E63C57E">
                  <wp:extent cx="4038600" cy="2062046"/>
                  <wp:effectExtent l="0" t="0" r="0" b="0"/>
                  <wp:docPr id="9" name="Graphiqu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4048838" cy="2067274"/>
                          </a:xfrm>
                          <a:prstGeom prst="rect">
                            <a:avLst/>
                          </a:prstGeom>
                        </pic:spPr>
                      </pic:pic>
                    </a:graphicData>
                  </a:graphic>
                </wp:inline>
              </w:drawing>
            </w:r>
          </w:p>
        </w:tc>
      </w:tr>
      <w:tr w:rsidR="00EF378D" w14:paraId="2CFC6C95" w14:textId="77777777" w:rsidTr="00EF378D">
        <w:tc>
          <w:tcPr>
            <w:tcW w:w="9064" w:type="dxa"/>
          </w:tcPr>
          <w:p w14:paraId="0547C27A" w14:textId="2A9B8FD4" w:rsidR="00EF378D" w:rsidRDefault="00EF378D" w:rsidP="00EF378D">
            <w:pPr>
              <w:pStyle w:val="SWCTableFigureCaption"/>
            </w:pPr>
            <w:bookmarkStart w:id="3" w:name="_Ref238211931"/>
            <w:r>
              <w:t xml:space="preserve">Figure </w:t>
            </w:r>
            <w:r>
              <w:fldChar w:fldCharType="begin"/>
            </w:r>
            <w:r>
              <w:instrText xml:space="preserve"> SEQ Figure \* ARABIC </w:instrText>
            </w:r>
            <w:r>
              <w:fldChar w:fldCharType="separate"/>
            </w:r>
            <w:r>
              <w:rPr>
                <w:noProof/>
              </w:rPr>
              <w:t>4</w:t>
            </w:r>
            <w:r>
              <w:fldChar w:fldCharType="end"/>
            </w:r>
            <w:bookmarkEnd w:id="3"/>
            <w:r>
              <w:t>: Comparison between the temperature range of different DHN generation</w:t>
            </w:r>
            <w:r w:rsidR="00473464">
              <w:t>s</w:t>
            </w:r>
            <w:r>
              <w:t xml:space="preserve"> and the efficiency of advanced solar collectors for DHN applications (adapted from [15]</w:t>
            </w:r>
          </w:p>
        </w:tc>
      </w:tr>
    </w:tbl>
    <w:p w14:paraId="6C98A4D7" w14:textId="36E3E160" w:rsidR="003C02EC" w:rsidRDefault="007316CF" w:rsidP="003B5C35">
      <w:pPr>
        <w:pStyle w:val="SWCText"/>
      </w:pPr>
      <w:r>
        <w:t xml:space="preserve">on </w:t>
      </w:r>
      <w:r w:rsidR="00080D19">
        <w:t>liquid</w:t>
      </w:r>
      <w:r w:rsidR="001C5CCB">
        <w:t>-</w:t>
      </w:r>
      <w:r>
        <w:t>to</w:t>
      </w:r>
      <w:r w:rsidR="001C5CCB">
        <w:t>-</w:t>
      </w:r>
      <w:r w:rsidR="00080D19">
        <w:t xml:space="preserve">water </w:t>
      </w:r>
      <w:r>
        <w:t>heat pumps</w:t>
      </w:r>
      <w:r w:rsidR="00080D19">
        <w:t xml:space="preserve">, with the </w:t>
      </w:r>
      <w:r w:rsidR="00F20F18">
        <w:t>indirect air unit requiring an external air to liquid heat exchanger</w:t>
      </w:r>
      <w:r w:rsidR="00215A64">
        <w:t>.</w:t>
      </w:r>
      <w:r>
        <w:t xml:space="preserve"> </w:t>
      </w:r>
      <w:r w:rsidR="001D3693">
        <w:fldChar w:fldCharType="begin"/>
      </w:r>
      <w:r w:rsidR="001D3693">
        <w:instrText xml:space="preserve"> REF _Ref238203409 \h </w:instrText>
      </w:r>
      <w:r w:rsidR="001D3693">
        <w:fldChar w:fldCharType="separate"/>
      </w:r>
      <w:r w:rsidR="001D3693">
        <w:t>Figure </w:t>
      </w:r>
      <w:r w:rsidR="001D3693">
        <w:rPr>
          <w:noProof/>
        </w:rPr>
        <w:t>5</w:t>
      </w:r>
      <w:r w:rsidR="001D3693">
        <w:fldChar w:fldCharType="end"/>
      </w:r>
      <w:r w:rsidR="001D3693">
        <w:t xml:space="preserve"> </w:t>
      </w:r>
      <w:r w:rsidR="00097702">
        <w:t xml:space="preserve">shows the performance </w:t>
      </w:r>
      <w:r w:rsidR="00F750CF">
        <w:t xml:space="preserve">of the two </w:t>
      </w:r>
      <w:r w:rsidR="00215A64">
        <w:t>liquid</w:t>
      </w:r>
      <w:r w:rsidR="001D3693">
        <w:t>-</w:t>
      </w:r>
      <w:r w:rsidR="00215A64">
        <w:t>to</w:t>
      </w:r>
      <w:r w:rsidR="001D3693">
        <w:t>-</w:t>
      </w:r>
      <w:r w:rsidR="00215A64">
        <w:t xml:space="preserve">water </w:t>
      </w:r>
      <w:r w:rsidR="00F750CF">
        <w:t>HP units modelled in the study based on a thermo</w:t>
      </w:r>
      <w:r w:rsidR="00944AF4">
        <w:t>dynamic</w:t>
      </w:r>
      <w:r w:rsidR="00F750CF">
        <w:t xml:space="preserve"> model </w:t>
      </w:r>
      <w:r w:rsidR="00BF1CE7">
        <w:t>developed</w:t>
      </w:r>
      <w:r w:rsidR="00E752E7">
        <w:t xml:space="preserve"> in the fram</w:t>
      </w:r>
      <w:r w:rsidR="00C4270F">
        <w:t xml:space="preserve">ework of the SFOE funded project </w:t>
      </w:r>
      <w:proofErr w:type="spellStart"/>
      <w:r w:rsidR="00C4270F">
        <w:t>TriSolHP</w:t>
      </w:r>
      <w:proofErr w:type="spellEnd"/>
      <w:r w:rsidR="00C4270F">
        <w:t xml:space="preserve"> [</w:t>
      </w:r>
      <w:r w:rsidR="00C712D6">
        <w:t>17</w:t>
      </w:r>
      <w:r w:rsidR="00C4270F">
        <w:t>]</w:t>
      </w:r>
      <w:r w:rsidR="00956057">
        <w:t>.</w:t>
      </w:r>
      <w:r w:rsidR="00CD6517">
        <w:t xml:space="preserve"> </w:t>
      </w:r>
      <w:r w:rsidR="00956057">
        <w:t>T</w:t>
      </w:r>
      <w:r w:rsidR="00CD6517">
        <w:t xml:space="preserve">he </w:t>
      </w:r>
      <w:r w:rsidR="00F00E76">
        <w:t xml:space="preserve">bivalent case </w:t>
      </w:r>
      <w:r w:rsidR="00C561FE">
        <w:t xml:space="preserve">has focused on </w:t>
      </w:r>
      <w:r w:rsidR="00435F08">
        <w:t>a cycle featuring 50-70°C at the condenser</w:t>
      </w:r>
      <w:r w:rsidR="00021461">
        <w:t xml:space="preserve"> and a </w:t>
      </w:r>
      <w:r w:rsidR="00B3525B">
        <w:t>thermal power of about 690</w:t>
      </w:r>
      <w:r w:rsidR="00BF1CE7">
        <w:t xml:space="preserve"> </w:t>
      </w:r>
      <w:proofErr w:type="spellStart"/>
      <w:r w:rsidR="00B3525B">
        <w:t>kW</w:t>
      </w:r>
      <w:r w:rsidR="00BF1CE7" w:rsidRPr="00BF1CE7">
        <w:rPr>
          <w:vertAlign w:val="subscript"/>
        </w:rPr>
        <w:t>th</w:t>
      </w:r>
      <w:proofErr w:type="spellEnd"/>
      <w:r w:rsidR="00BF1CE7">
        <w:t xml:space="preserve"> </w:t>
      </w:r>
      <w:r w:rsidR="00435F08">
        <w:t xml:space="preserve">for </w:t>
      </w:r>
      <w:r w:rsidR="00C6083E">
        <w:t>an air temperature of 2 to 7°C</w:t>
      </w:r>
      <w:r w:rsidR="00B87CCE">
        <w:t xml:space="preserve">, </w:t>
      </w:r>
      <w:r w:rsidR="00B3525B">
        <w:t>while the monovalent case has focused on</w:t>
      </w:r>
      <w:r w:rsidR="00B9641A">
        <w:t xml:space="preserve"> the model of a</w:t>
      </w:r>
      <w:r w:rsidR="00B3525B">
        <w:t xml:space="preserve"> </w:t>
      </w:r>
      <w:r w:rsidR="00B7758B">
        <w:t>1700</w:t>
      </w:r>
      <w:r w:rsidR="00B9641A">
        <w:t xml:space="preserve"> </w:t>
      </w:r>
      <w:proofErr w:type="spellStart"/>
      <w:r w:rsidR="00B7758B">
        <w:t>kW</w:t>
      </w:r>
      <w:r w:rsidR="00B7758B" w:rsidRPr="00D63B35">
        <w:rPr>
          <w:vertAlign w:val="subscript"/>
        </w:rPr>
        <w:t>th</w:t>
      </w:r>
      <w:proofErr w:type="spellEnd"/>
      <w:r w:rsidR="00B7758B">
        <w:t xml:space="preserve"> </w:t>
      </w:r>
      <w:r w:rsidR="00B00A03">
        <w:t>HP</w:t>
      </w:r>
      <w:r w:rsidR="00B7758B">
        <w:t xml:space="preserve"> </w:t>
      </w:r>
      <w:r w:rsidR="00FA5E37">
        <w:t xml:space="preserve">featuring 90°C at the condenser </w:t>
      </w:r>
      <w:r w:rsidR="00D63B35">
        <w:t>for 5°C at the evaporator</w:t>
      </w:r>
      <w:r w:rsidR="00B00A03">
        <w:t xml:space="preserve"> and a large temperature gain </w:t>
      </w:r>
      <w:r w:rsidR="00AC3C17">
        <w:t>across</w:t>
      </w:r>
      <w:r w:rsidR="00B00A03">
        <w:t xml:space="preserve"> the condenser</w:t>
      </w:r>
      <w:r w:rsidR="00643EED">
        <w:t xml:space="preserve"> (~30°K)</w:t>
      </w:r>
      <w:r w:rsidR="00B00A03">
        <w:t xml:space="preserve">. </w:t>
      </w:r>
      <w:r w:rsidR="00AF57EA">
        <w:t>Since n</w:t>
      </w:r>
      <w:r w:rsidR="00B00A03">
        <w:t>o optimization</w:t>
      </w:r>
      <w:r w:rsidR="00AF57EA">
        <w:t xml:space="preserve"> of the number of HP units and theirs parallel / series connection has been done, the </w:t>
      </w:r>
      <w:r w:rsidR="00F20A43">
        <w:t>efficiency</w:t>
      </w:r>
      <w:r w:rsidR="00AF57EA">
        <w:t xml:space="preserve"> of the HP based system </w:t>
      </w:r>
      <w:r w:rsidR="00663929">
        <w:t>could be better optimized</w:t>
      </w:r>
      <w:r w:rsidR="00AF57EA">
        <w:t>,</w:t>
      </w:r>
      <w:r w:rsidR="00663929">
        <w:t xml:space="preserve"> yet the </w:t>
      </w:r>
      <w:r w:rsidR="00193589">
        <w:t>uncertainties</w:t>
      </w:r>
      <w:r w:rsidR="00663929">
        <w:t xml:space="preserve"> on the </w:t>
      </w:r>
      <w:r w:rsidR="00285474">
        <w:t xml:space="preserve">final </w:t>
      </w:r>
      <w:r w:rsidR="009711EB">
        <w:t>HP price model</w:t>
      </w:r>
      <w:r w:rsidR="00663929">
        <w:t xml:space="preserve"> </w:t>
      </w:r>
      <w:r w:rsidR="009711EB">
        <w:t>to adopt for</w:t>
      </w:r>
      <w:r w:rsidR="00F47B4B">
        <w:t xml:space="preserve"> the</w:t>
      </w:r>
      <w:r w:rsidR="009711EB">
        <w:t xml:space="preserve"> economic </w:t>
      </w:r>
      <w:r w:rsidR="00285474">
        <w:t>calculations</w:t>
      </w:r>
      <w:r w:rsidR="009117AD">
        <w:t xml:space="preserve"> discouraged any further </w:t>
      </w:r>
      <w:r w:rsidR="00285474">
        <w:t>refinement</w:t>
      </w:r>
      <w:r w:rsidR="009117AD">
        <w:t xml:space="preserve"> </w:t>
      </w:r>
      <w:r w:rsidR="00285474">
        <w:t>of this basic</w:t>
      </w:r>
      <w:r w:rsidR="00643EED">
        <w:t>,</w:t>
      </w:r>
      <w:r w:rsidR="00285474">
        <w:t xml:space="preserve"> but cost-effective </w:t>
      </w:r>
      <w:r w:rsidR="009117AD">
        <w:t>architecture</w:t>
      </w:r>
      <w:r w:rsidR="00C408A4">
        <w:t>.</w:t>
      </w:r>
      <w:r w:rsidR="00A967F4">
        <w:t xml:space="preserve"> </w:t>
      </w:r>
    </w:p>
    <w:p w14:paraId="56FDFBD9" w14:textId="01A3AAA3" w:rsidR="006C6A8A" w:rsidRDefault="00811D22" w:rsidP="00811D22">
      <w:pPr>
        <w:pStyle w:val="SWCText"/>
      </w:pPr>
      <w:r>
        <w:t xml:space="preserve">The PV system has been modelled </w:t>
      </w:r>
      <w:r w:rsidR="004043DC">
        <w:t>as</w:t>
      </w:r>
      <w:r>
        <w:t xml:space="preserve"> a grid-connected multi-string solar field with central inverter</w:t>
      </w:r>
      <w:r w:rsidR="00946DB6">
        <w:t xml:space="preserve"> and no </w:t>
      </w:r>
      <w:r w:rsidR="00842319">
        <w:t>batteries</w:t>
      </w:r>
      <w:r>
        <w:t>. The solar panel has been chosen of the bifacial type with peak efficiency of 23.3% and 795 W of p</w:t>
      </w:r>
      <w:r w:rsidR="00B37710">
        <w:t>eak</w:t>
      </w:r>
      <w:r>
        <w:t xml:space="preserve"> power</w:t>
      </w:r>
      <w:r w:rsidR="00564DC6">
        <w:t xml:space="preserve">, while the inverter </w:t>
      </w:r>
      <w:r w:rsidR="007205C6">
        <w:t xml:space="preserve">has a </w:t>
      </w:r>
      <w:r w:rsidR="0060265C">
        <w:t>European</w:t>
      </w:r>
      <w:r w:rsidR="007205C6">
        <w:t xml:space="preserve"> efficiency </w:t>
      </w:r>
      <w:r w:rsidR="0060265C">
        <w:t>(</w:t>
      </w:r>
      <w:proofErr w:type="spellStart"/>
      <w:r w:rsidR="002745EA">
        <w:t>η</w:t>
      </w:r>
      <w:r w:rsidR="002745EA" w:rsidRPr="002745EA">
        <w:rPr>
          <w:vertAlign w:val="subscript"/>
        </w:rPr>
        <w:t>EU</w:t>
      </w:r>
      <w:proofErr w:type="spellEnd"/>
      <w:r w:rsidR="0060265C">
        <w:t xml:space="preserve">) </w:t>
      </w:r>
      <w:r w:rsidR="007205C6">
        <w:t xml:space="preserve">of </w:t>
      </w:r>
      <w:r w:rsidR="00347E5B">
        <w:t>9</w:t>
      </w:r>
      <w:r w:rsidR="0060265C">
        <w:t>7.5</w:t>
      </w:r>
      <w:r w:rsidR="00347E5B">
        <w:t xml:space="preserve">% at </w:t>
      </w:r>
      <w:r w:rsidR="0060265C">
        <w:t>8</w:t>
      </w:r>
      <w:r w:rsidR="00347E5B">
        <w:t>00 V</w:t>
      </w:r>
      <w:r w:rsidR="000422A6">
        <w:t>. A reference PV string</w:t>
      </w:r>
      <w:r w:rsidR="000B7261">
        <w:t xml:space="preserve"> dimensioned to fit the voltage characteristics of the inverter</w:t>
      </w:r>
      <w:r w:rsidR="009C0FE5">
        <w:t xml:space="preserve"> has then been used to </w:t>
      </w:r>
      <w:r w:rsidR="002A72DE">
        <w:t>design variable area fields based on the scenario under simulation.</w:t>
      </w:r>
    </w:p>
    <w:tbl>
      <w:tblPr>
        <w:tblStyle w:val="Grilledutableau"/>
        <w:tblpPr w:leftFromText="141" w:rightFromText="141" w:vertAnchor="text" w:horzAnchor="margin" w:tblpY="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4"/>
        <w:gridCol w:w="4460"/>
      </w:tblGrid>
      <w:tr w:rsidR="006C6A8A" w14:paraId="76B320DE" w14:textId="77777777" w:rsidTr="00CC3D66">
        <w:tc>
          <w:tcPr>
            <w:tcW w:w="4604" w:type="dxa"/>
          </w:tcPr>
          <w:p w14:paraId="68B386DA" w14:textId="5825E801" w:rsidR="006C6A8A" w:rsidRDefault="00423526" w:rsidP="00CC3D66">
            <w:pPr>
              <w:pStyle w:val="SWCText"/>
            </w:pPr>
            <w:r>
              <w:rPr>
                <w:noProof/>
              </w:rPr>
              <w:drawing>
                <wp:inline distT="0" distB="0" distL="0" distR="0" wp14:anchorId="41424B6D" wp14:editId="69F57DCD">
                  <wp:extent cx="2451600" cy="1695600"/>
                  <wp:effectExtent l="0" t="0" r="6350" b="0"/>
                  <wp:docPr id="20" name="Graphiqu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2451600" cy="1695600"/>
                          </a:xfrm>
                          <a:prstGeom prst="rect">
                            <a:avLst/>
                          </a:prstGeom>
                        </pic:spPr>
                      </pic:pic>
                    </a:graphicData>
                  </a:graphic>
                </wp:inline>
              </w:drawing>
            </w:r>
          </w:p>
        </w:tc>
        <w:tc>
          <w:tcPr>
            <w:tcW w:w="4460" w:type="dxa"/>
          </w:tcPr>
          <w:p w14:paraId="4A493CED" w14:textId="41A16332" w:rsidR="006C6A8A" w:rsidRDefault="00842114" w:rsidP="00CC3D66">
            <w:pPr>
              <w:pStyle w:val="SWCText"/>
            </w:pPr>
            <w:r>
              <w:rPr>
                <w:noProof/>
              </w:rPr>
              <w:drawing>
                <wp:inline distT="0" distB="0" distL="0" distR="0" wp14:anchorId="67673D05" wp14:editId="2859DF39">
                  <wp:extent cx="2451600" cy="1695600"/>
                  <wp:effectExtent l="0" t="0" r="6350" b="0"/>
                  <wp:docPr id="23" name="Graphiqu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2451600" cy="1695600"/>
                          </a:xfrm>
                          <a:prstGeom prst="rect">
                            <a:avLst/>
                          </a:prstGeom>
                        </pic:spPr>
                      </pic:pic>
                    </a:graphicData>
                  </a:graphic>
                </wp:inline>
              </w:drawing>
            </w:r>
          </w:p>
        </w:tc>
      </w:tr>
      <w:tr w:rsidR="006C6A8A" w14:paraId="293E9D9E" w14:textId="77777777" w:rsidTr="00CC3D66">
        <w:tc>
          <w:tcPr>
            <w:tcW w:w="9064" w:type="dxa"/>
            <w:gridSpan w:val="2"/>
          </w:tcPr>
          <w:p w14:paraId="5100DD82" w14:textId="09FF45F2" w:rsidR="006C6A8A" w:rsidRDefault="006C6A8A" w:rsidP="00CC3D66">
            <w:pPr>
              <w:pStyle w:val="SWCTableFigureCaption"/>
            </w:pPr>
            <w:bookmarkStart w:id="4" w:name="_Ref238203409"/>
            <w:r>
              <w:t xml:space="preserve">Figure </w:t>
            </w:r>
            <w:r>
              <w:fldChar w:fldCharType="begin"/>
            </w:r>
            <w:r>
              <w:instrText xml:space="preserve"> SEQ Figure \* ARABIC </w:instrText>
            </w:r>
            <w:r>
              <w:fldChar w:fldCharType="separate"/>
            </w:r>
            <w:r w:rsidR="000466D1">
              <w:rPr>
                <w:noProof/>
              </w:rPr>
              <w:t>5</w:t>
            </w:r>
            <w:r>
              <w:fldChar w:fldCharType="end"/>
            </w:r>
            <w:bookmarkEnd w:id="4"/>
            <w:r>
              <w:t>: Performance of the heat pump models adopted in the simulation: bivalent case (left) and monovalent case (right)</w:t>
            </w:r>
          </w:p>
        </w:tc>
      </w:tr>
    </w:tbl>
    <w:p w14:paraId="65A866B1" w14:textId="209D325F" w:rsidR="00584A42" w:rsidRDefault="00D37F81" w:rsidP="00E13A70">
      <w:pPr>
        <w:pStyle w:val="SWCHeading11"/>
      </w:pPr>
      <w:r>
        <w:t>Sensitivity</w:t>
      </w:r>
      <w:r w:rsidR="00EF6974">
        <w:t xml:space="preserve"> parameters and k</w:t>
      </w:r>
      <w:r w:rsidR="00584A42">
        <w:t>ey performance indicators</w:t>
      </w:r>
    </w:p>
    <w:p w14:paraId="3700D33C" w14:textId="26939886" w:rsidR="00584A42" w:rsidRDefault="00170927" w:rsidP="00811D22">
      <w:pPr>
        <w:pStyle w:val="SWCText"/>
      </w:pPr>
      <w:r>
        <w:t xml:space="preserve">The key performance indicators </w:t>
      </w:r>
      <w:r w:rsidR="00D67404">
        <w:t xml:space="preserve">(KPI) </w:t>
      </w:r>
      <w:r>
        <w:t>used in the comparison of the different configurations</w:t>
      </w:r>
      <w:r w:rsidR="003B1032">
        <w:t xml:space="preserve"> are technical, </w:t>
      </w:r>
      <w:r w:rsidR="00FD1082">
        <w:t>economic</w:t>
      </w:r>
      <w:r w:rsidR="003B1032">
        <w:t xml:space="preserve"> and environmental. The</w:t>
      </w:r>
      <w:r w:rsidR="00E4280B">
        <w:t xml:space="preserve">ir values are </w:t>
      </w:r>
      <w:r w:rsidR="00D2295C">
        <w:t xml:space="preserve">computed from the results </w:t>
      </w:r>
      <w:r w:rsidR="00E4280B">
        <w:t xml:space="preserve">of simulations parametrized on </w:t>
      </w:r>
      <w:r w:rsidR="005A57D6">
        <w:t xml:space="preserve">a </w:t>
      </w:r>
      <w:r w:rsidR="007855A9">
        <w:t>few</w:t>
      </w:r>
      <w:r w:rsidR="00E47052">
        <w:t xml:space="preserve"> </w:t>
      </w:r>
      <w:r w:rsidR="00543482">
        <w:t>variables</w:t>
      </w:r>
      <w:r w:rsidR="003947E9">
        <w:t xml:space="preserve"> </w:t>
      </w:r>
      <w:r w:rsidR="00E47052">
        <w:t>through</w:t>
      </w:r>
      <w:r w:rsidR="003947E9">
        <w:t xml:space="preserve"> all the models</w:t>
      </w:r>
      <w:r w:rsidR="00543482">
        <w:t xml:space="preserve">: the </w:t>
      </w:r>
      <w:r w:rsidR="00C43292">
        <w:t>aperture area of the solar field</w:t>
      </w:r>
      <w:r w:rsidR="003947E9">
        <w:t xml:space="preserve"> </w:t>
      </w:r>
      <w:r w:rsidR="003947E9" w:rsidRPr="00C43292">
        <w:rPr>
          <w:i/>
          <w:iCs/>
        </w:rPr>
        <w:t>A</w:t>
      </w:r>
      <w:r w:rsidR="003947E9" w:rsidRPr="00C43292">
        <w:rPr>
          <w:i/>
          <w:iCs/>
          <w:vertAlign w:val="subscript"/>
        </w:rPr>
        <w:t>SF</w:t>
      </w:r>
      <w:r w:rsidR="00590DA2">
        <w:t>, in [m</w:t>
      </w:r>
      <w:r w:rsidR="00590DA2" w:rsidRPr="00590DA2">
        <w:rPr>
          <w:vertAlign w:val="superscript"/>
        </w:rPr>
        <w:t>2</w:t>
      </w:r>
      <w:r w:rsidR="00590DA2">
        <w:t>]</w:t>
      </w:r>
      <w:r w:rsidR="00BB3423">
        <w:t>, which is the area colle</w:t>
      </w:r>
      <w:r w:rsidR="00EE42C4">
        <w:t>c</w:t>
      </w:r>
      <w:r w:rsidR="00BB3423">
        <w:t>ting the solar radiation</w:t>
      </w:r>
      <w:r w:rsidR="009E7814">
        <w:t xml:space="preserve">; </w:t>
      </w:r>
      <w:r w:rsidR="00DF16E3">
        <w:t>the TES speci</w:t>
      </w:r>
      <w:r w:rsidR="00B431B8">
        <w:t>fi</w:t>
      </w:r>
      <w:r w:rsidR="00DF16E3">
        <w:t>c volume</w:t>
      </w:r>
      <w:r w:rsidR="00403B41">
        <w:t xml:space="preserve"> </w:t>
      </w:r>
      <w:proofErr w:type="spellStart"/>
      <w:r w:rsidR="00403B41" w:rsidRPr="00403B41">
        <w:rPr>
          <w:i/>
          <w:iCs/>
        </w:rPr>
        <w:t>V</w:t>
      </w:r>
      <w:r w:rsidR="00403B41" w:rsidRPr="00403B41">
        <w:rPr>
          <w:i/>
          <w:iCs/>
          <w:vertAlign w:val="subscript"/>
        </w:rPr>
        <w:t>TES,sp</w:t>
      </w:r>
      <w:proofErr w:type="spellEnd"/>
      <w:r w:rsidR="00DF16E3">
        <w:t xml:space="preserve"> in [m</w:t>
      </w:r>
      <w:r w:rsidR="00B431B8" w:rsidRPr="00403B41">
        <w:rPr>
          <w:vertAlign w:val="superscript"/>
        </w:rPr>
        <w:t>3</w:t>
      </w:r>
      <w:r w:rsidR="00B431B8">
        <w:t>/m</w:t>
      </w:r>
      <w:r w:rsidR="00B431B8" w:rsidRPr="00403B41">
        <w:rPr>
          <w:vertAlign w:val="superscript"/>
        </w:rPr>
        <w:t>2</w:t>
      </w:r>
      <w:r w:rsidR="00B431B8">
        <w:t xml:space="preserve">], </w:t>
      </w:r>
      <w:r w:rsidR="00CD3D01">
        <w:t xml:space="preserve">quantifying </w:t>
      </w:r>
      <w:r w:rsidR="0053319E">
        <w:t>how many m</w:t>
      </w:r>
      <w:r w:rsidR="00CD3D01" w:rsidRPr="00CD3D01">
        <w:rPr>
          <w:vertAlign w:val="superscript"/>
        </w:rPr>
        <w:t>3</w:t>
      </w:r>
      <w:r w:rsidR="0053319E">
        <w:t xml:space="preserve"> of </w:t>
      </w:r>
      <w:r w:rsidR="00CD3D01">
        <w:t>TES is assumed for each m</w:t>
      </w:r>
      <w:r w:rsidR="00CD3D01" w:rsidRPr="00CD3D01">
        <w:rPr>
          <w:vertAlign w:val="superscript"/>
        </w:rPr>
        <w:t>2</w:t>
      </w:r>
      <w:r w:rsidR="00CD3D01">
        <w:t xml:space="preserve"> of</w:t>
      </w:r>
      <w:r w:rsidR="00403B41">
        <w:t xml:space="preserve"> solar</w:t>
      </w:r>
      <w:r w:rsidR="00CD3D01">
        <w:t xml:space="preserve"> collectors)</w:t>
      </w:r>
      <w:r w:rsidR="00403B41">
        <w:t>;</w:t>
      </w:r>
      <w:r w:rsidR="009E7814">
        <w:t xml:space="preserve"> the number of PV loops, </w:t>
      </w:r>
      <w:r w:rsidR="00AE6641">
        <w:t xml:space="preserve">which determines the </w:t>
      </w:r>
      <w:r w:rsidR="008F410F">
        <w:t>surface and peak power</w:t>
      </w:r>
      <w:r w:rsidR="00AE6641">
        <w:t xml:space="preserve"> of the PV field integrated</w:t>
      </w:r>
      <w:r w:rsidR="00674737">
        <w:t xml:space="preserve"> to the HP production system</w:t>
      </w:r>
      <w:r w:rsidR="00AE6641">
        <w:t>.</w:t>
      </w:r>
      <w:r w:rsidR="00B26B42">
        <w:t xml:space="preserve"> </w:t>
      </w:r>
    </w:p>
    <w:p w14:paraId="6DBD0633" w14:textId="72491A63" w:rsidR="005C5BED" w:rsidRDefault="00B26B42" w:rsidP="00811D22">
      <w:pPr>
        <w:pStyle w:val="SWCText"/>
      </w:pPr>
      <w:r>
        <w:t xml:space="preserve">The technical </w:t>
      </w:r>
      <w:r w:rsidR="00D67404">
        <w:t>KPI</w:t>
      </w:r>
      <w:r w:rsidR="0066323E">
        <w:t>s</w:t>
      </w:r>
      <w:r w:rsidR="00D67404">
        <w:t xml:space="preserve"> </w:t>
      </w:r>
      <w:r w:rsidR="0066323E">
        <w:t xml:space="preserve">which </w:t>
      </w:r>
      <w:r w:rsidR="00481302">
        <w:t>have been adopted in the comparison consists, mainly, in</w:t>
      </w:r>
      <w:r w:rsidR="006F273C">
        <w:t>:</w:t>
      </w:r>
      <w:r w:rsidR="00D67404">
        <w:t xml:space="preserve"> the </w:t>
      </w:r>
      <w:r w:rsidR="003A2197">
        <w:t>specific</w:t>
      </w:r>
      <w:r w:rsidR="00901673">
        <w:t xml:space="preserve"> annual solar yield</w:t>
      </w:r>
      <w:r w:rsidR="001E675D">
        <w:t xml:space="preserve"> of the solar thermal </w:t>
      </w:r>
      <w:r w:rsidR="006F273C">
        <w:t>and</w:t>
      </w:r>
      <w:r w:rsidR="00BE26F0">
        <w:t xml:space="preserve"> PV </w:t>
      </w:r>
      <w:r w:rsidR="001E675D">
        <w:t>field</w:t>
      </w:r>
      <w:r w:rsidR="00481302">
        <w:t xml:space="preserve"> (</w:t>
      </w:r>
      <w:proofErr w:type="spellStart"/>
      <w:r w:rsidR="00901673">
        <w:t>Y</w:t>
      </w:r>
      <w:r w:rsidR="00901673" w:rsidRPr="000A0FA3">
        <w:rPr>
          <w:vertAlign w:val="subscript"/>
        </w:rPr>
        <w:t>sol,y</w:t>
      </w:r>
      <w:proofErr w:type="spellEnd"/>
      <w:r w:rsidR="002E0369">
        <w:t xml:space="preserve"> </w:t>
      </w:r>
      <w:r w:rsidR="006F273C">
        <w:t>and</w:t>
      </w:r>
      <w:r w:rsidR="002E0369">
        <w:t xml:space="preserve"> </w:t>
      </w:r>
      <w:proofErr w:type="spellStart"/>
      <w:r w:rsidR="002E0369">
        <w:t>Y</w:t>
      </w:r>
      <w:r w:rsidR="002E0369" w:rsidRPr="002E0369">
        <w:rPr>
          <w:vertAlign w:val="subscript"/>
        </w:rPr>
        <w:t>PV,y</w:t>
      </w:r>
      <w:proofErr w:type="spellEnd"/>
      <w:r w:rsidR="00901673">
        <w:t>, in [</w:t>
      </w:r>
      <w:proofErr w:type="spellStart"/>
      <w:r w:rsidR="00901673">
        <w:t>kWh</w:t>
      </w:r>
      <w:r w:rsidR="002E0369" w:rsidRPr="002C6D71">
        <w:rPr>
          <w:vertAlign w:val="subscript"/>
        </w:rPr>
        <w:t>th</w:t>
      </w:r>
      <w:proofErr w:type="spellEnd"/>
      <w:r w:rsidR="00901673">
        <w:t>/m</w:t>
      </w:r>
      <w:r w:rsidR="00901673" w:rsidRPr="002C6D71">
        <w:rPr>
          <w:vertAlign w:val="superscript"/>
        </w:rPr>
        <w:t>2</w:t>
      </w:r>
      <w:r w:rsidR="00901673">
        <w:t>/y]</w:t>
      </w:r>
      <w:r w:rsidR="002E0369">
        <w:t xml:space="preserve"> and [</w:t>
      </w:r>
      <w:proofErr w:type="spellStart"/>
      <w:r w:rsidR="002E0369">
        <w:t>kWh</w:t>
      </w:r>
      <w:r w:rsidR="002E0369" w:rsidRPr="002C6D71">
        <w:rPr>
          <w:vertAlign w:val="subscript"/>
        </w:rPr>
        <w:t>e</w:t>
      </w:r>
      <w:proofErr w:type="spellEnd"/>
      <w:r w:rsidR="002E0369">
        <w:t>/m</w:t>
      </w:r>
      <w:r w:rsidR="002E0369" w:rsidRPr="002C6D71">
        <w:rPr>
          <w:vertAlign w:val="superscript"/>
        </w:rPr>
        <w:t>2</w:t>
      </w:r>
      <w:r w:rsidR="002E0369">
        <w:t>/y</w:t>
      </w:r>
      <w:r w:rsidR="002C6D71">
        <w:t>]</w:t>
      </w:r>
      <w:r w:rsidR="002E0369">
        <w:t xml:space="preserve">, </w:t>
      </w:r>
      <w:r w:rsidR="00E651AC">
        <w:t>respectively</w:t>
      </w:r>
      <w:r w:rsidR="006D2CCF">
        <w:t>)</w:t>
      </w:r>
      <w:r w:rsidR="00901673">
        <w:t xml:space="preserve">, </w:t>
      </w:r>
      <w:r w:rsidR="00B528D1">
        <w:t>which quantif</w:t>
      </w:r>
      <w:r w:rsidR="00B54A56">
        <w:t>y</w:t>
      </w:r>
      <w:r w:rsidR="00B528D1">
        <w:t xml:space="preserve"> </w:t>
      </w:r>
      <w:r w:rsidR="00B528D1">
        <w:lastRenderedPageBreak/>
        <w:t>how much solar energy has been collected and transferred to the system</w:t>
      </w:r>
      <w:r w:rsidR="00563245">
        <w:t xml:space="preserve"> either</w:t>
      </w:r>
      <w:r w:rsidR="00B528D1">
        <w:t xml:space="preserve"> by the solar thermal </w:t>
      </w:r>
      <w:r w:rsidR="00220311">
        <w:t>collectors</w:t>
      </w:r>
      <w:r w:rsidR="00A33E6C">
        <w:t xml:space="preserve"> </w:t>
      </w:r>
      <w:r w:rsidR="00563245">
        <w:t xml:space="preserve">or the PV system </w:t>
      </w:r>
      <w:r w:rsidR="00A33E6C">
        <w:t xml:space="preserve">during </w:t>
      </w:r>
      <w:r w:rsidR="00B54A56">
        <w:t>one</w:t>
      </w:r>
      <w:r w:rsidR="00A33E6C">
        <w:t xml:space="preserve"> year</w:t>
      </w:r>
      <w:r w:rsidR="00B54A56">
        <w:t xml:space="preserve"> of operations</w:t>
      </w:r>
      <w:r w:rsidR="00A33E6C">
        <w:t xml:space="preserve">; </w:t>
      </w:r>
      <w:r w:rsidR="00901673">
        <w:t xml:space="preserve">the </w:t>
      </w:r>
      <w:r w:rsidR="001E675D">
        <w:t>s</w:t>
      </w:r>
      <w:r w:rsidR="00901673">
        <w:t xml:space="preserve">olar </w:t>
      </w:r>
      <w:r w:rsidR="001E675D">
        <w:t>f</w:t>
      </w:r>
      <w:r w:rsidR="00901673">
        <w:t>raction SF</w:t>
      </w:r>
      <w:r w:rsidR="001E675D">
        <w:t>,</w:t>
      </w:r>
      <w:r w:rsidR="00901673">
        <w:t xml:space="preserve"> in </w:t>
      </w:r>
      <w:r w:rsidR="00A33E6C">
        <w:t xml:space="preserve">[%], which is the </w:t>
      </w:r>
      <w:r w:rsidR="00D32D6A">
        <w:t>portion</w:t>
      </w:r>
      <w:r w:rsidR="00A33E6C">
        <w:t xml:space="preserve"> </w:t>
      </w:r>
      <w:r w:rsidR="00736CF6">
        <w:t>of the energy demand covered by solar energy</w:t>
      </w:r>
      <w:r w:rsidR="00563245">
        <w:t xml:space="preserve"> (in the </w:t>
      </w:r>
      <w:r w:rsidR="00305304">
        <w:t xml:space="preserve">HP cases, it is the </w:t>
      </w:r>
      <w:r w:rsidR="003E4514">
        <w:t>portion</w:t>
      </w:r>
      <w:r w:rsidR="00305304">
        <w:t xml:space="preserve"> of the energy demand covered by the HP </w:t>
      </w:r>
      <w:r w:rsidR="00322E3E">
        <w:t>using</w:t>
      </w:r>
      <w:r w:rsidR="00305304">
        <w:t xml:space="preserve"> PV electricity)</w:t>
      </w:r>
      <w:r w:rsidR="00736CF6">
        <w:t xml:space="preserve">; </w:t>
      </w:r>
      <w:r w:rsidR="00BE26F0">
        <w:t xml:space="preserve">the </w:t>
      </w:r>
      <w:r w:rsidR="000A0AF2">
        <w:t>fuel consumption</w:t>
      </w:r>
      <w:r w:rsidR="008241E0">
        <w:t>, in</w:t>
      </w:r>
      <w:r w:rsidR="003E4514">
        <w:t xml:space="preserve"> [kg/y]</w:t>
      </w:r>
      <w:r w:rsidR="008241E0">
        <w:t>,</w:t>
      </w:r>
      <w:r w:rsidR="000A0AF2">
        <w:t xml:space="preserve"> </w:t>
      </w:r>
      <w:r w:rsidR="00220311">
        <w:t xml:space="preserve">and its </w:t>
      </w:r>
      <w:r w:rsidR="00B8041C">
        <w:t>per</w:t>
      </w:r>
      <w:r w:rsidR="00306729">
        <w:t>centage</w:t>
      </w:r>
      <w:r w:rsidR="00220311">
        <w:t xml:space="preserve"> change </w:t>
      </w:r>
      <w:r w:rsidR="000A0AF2">
        <w:t xml:space="preserve">with </w:t>
      </w:r>
      <w:r w:rsidR="00AA6492">
        <w:t>respect</w:t>
      </w:r>
      <w:r w:rsidR="000A0AF2">
        <w:t xml:space="preserve"> to the </w:t>
      </w:r>
      <w:r w:rsidR="00AA6492">
        <w:t>reference</w:t>
      </w:r>
      <w:r w:rsidR="000A0AF2">
        <w:t xml:space="preserve"> case</w:t>
      </w:r>
      <w:r w:rsidR="00BE26F0">
        <w:t xml:space="preserve">; </w:t>
      </w:r>
      <w:r w:rsidR="00322E3E">
        <w:t xml:space="preserve">the electricity self-consumption, in [%], quantifying how much </w:t>
      </w:r>
      <w:r w:rsidR="00A43796">
        <w:t xml:space="preserve">of the </w:t>
      </w:r>
      <w:r w:rsidR="00322E3E">
        <w:t xml:space="preserve">PV </w:t>
      </w:r>
      <w:r w:rsidR="00A43796">
        <w:t>e</w:t>
      </w:r>
      <w:r w:rsidR="00322E3E">
        <w:t>lectricity is</w:t>
      </w:r>
      <w:r w:rsidR="00A43796">
        <w:t xml:space="preserve"> consumed on-site by the HP and </w:t>
      </w:r>
      <w:r w:rsidR="00BD66B8">
        <w:t xml:space="preserve">the </w:t>
      </w:r>
      <w:r w:rsidR="00624AB3">
        <w:t>system</w:t>
      </w:r>
      <w:r w:rsidR="00203FD7">
        <w:t>.</w:t>
      </w:r>
    </w:p>
    <w:tbl>
      <w:tblPr>
        <w:tblStyle w:val="Grilledutableau"/>
        <w:tblpPr w:leftFromText="142" w:rightFromText="142" w:bottomFromText="142" w:vertAnchor="text" w:horzAnchor="margin" w:tblpY="10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2552"/>
        <w:gridCol w:w="1412"/>
      </w:tblGrid>
      <w:tr w:rsidR="005C5BED" w:rsidRPr="001E3A2D" w14:paraId="317C5168" w14:textId="77777777" w:rsidTr="005C5BED">
        <w:tc>
          <w:tcPr>
            <w:tcW w:w="9062" w:type="dxa"/>
            <w:gridSpan w:val="3"/>
            <w:tcBorders>
              <w:bottom w:val="single" w:sz="4" w:space="0" w:color="auto"/>
            </w:tcBorders>
          </w:tcPr>
          <w:p w14:paraId="07A3C9AB" w14:textId="77777777" w:rsidR="005C5BED" w:rsidRDefault="005C5BED" w:rsidP="005C5BED">
            <w:pPr>
              <w:pStyle w:val="SWCTableFigureCaption"/>
              <w:rPr>
                <w:sz w:val="18"/>
                <w:lang w:val="en-GB"/>
              </w:rPr>
            </w:pPr>
            <w:bookmarkStart w:id="5" w:name="_Ref238227472"/>
            <w:r>
              <w:t xml:space="preserve">Table </w:t>
            </w:r>
            <w:r>
              <w:fldChar w:fldCharType="begin"/>
            </w:r>
            <w:r>
              <w:instrText xml:space="preserve"> SEQ Table \* ARABIC </w:instrText>
            </w:r>
            <w:r>
              <w:fldChar w:fldCharType="separate"/>
            </w:r>
            <w:r>
              <w:rPr>
                <w:noProof/>
              </w:rPr>
              <w:t>1</w:t>
            </w:r>
            <w:r>
              <w:fldChar w:fldCharType="end"/>
            </w:r>
            <w:bookmarkEnd w:id="5"/>
            <w:r>
              <w:t>: Common parameters applied in the discounted-cash flow models to estimate the LCOH values in each configuration.</w:t>
            </w:r>
          </w:p>
        </w:tc>
      </w:tr>
      <w:tr w:rsidR="005C5BED" w:rsidRPr="001E3A2D" w14:paraId="49CD6F2F" w14:textId="77777777" w:rsidTr="005C5BED">
        <w:tc>
          <w:tcPr>
            <w:tcW w:w="5098" w:type="dxa"/>
            <w:tcBorders>
              <w:top w:val="single" w:sz="4" w:space="0" w:color="auto"/>
              <w:bottom w:val="single" w:sz="4" w:space="0" w:color="auto"/>
            </w:tcBorders>
          </w:tcPr>
          <w:p w14:paraId="094BC3AC" w14:textId="77777777" w:rsidR="005C5BED" w:rsidRPr="00F0099E" w:rsidRDefault="005C5BED" w:rsidP="005C5BED">
            <w:pPr>
              <w:rPr>
                <w:sz w:val="18"/>
                <w:lang w:val="en-GB"/>
              </w:rPr>
            </w:pPr>
            <w:r>
              <w:rPr>
                <w:sz w:val="18"/>
                <w:lang w:val="en-GB"/>
              </w:rPr>
              <w:t>Parameter</w:t>
            </w:r>
          </w:p>
        </w:tc>
        <w:tc>
          <w:tcPr>
            <w:tcW w:w="2552" w:type="dxa"/>
            <w:tcBorders>
              <w:top w:val="single" w:sz="4" w:space="0" w:color="auto"/>
              <w:bottom w:val="single" w:sz="4" w:space="0" w:color="auto"/>
            </w:tcBorders>
          </w:tcPr>
          <w:p w14:paraId="3A9E5C80" w14:textId="77777777" w:rsidR="005C5BED" w:rsidRPr="00F0099E" w:rsidRDefault="005C5BED" w:rsidP="005C5BED">
            <w:pPr>
              <w:rPr>
                <w:sz w:val="18"/>
                <w:lang w:val="en-GB"/>
              </w:rPr>
            </w:pPr>
            <w:r>
              <w:rPr>
                <w:sz w:val="18"/>
                <w:lang w:val="en-GB"/>
              </w:rPr>
              <w:t>Value</w:t>
            </w:r>
          </w:p>
        </w:tc>
        <w:tc>
          <w:tcPr>
            <w:tcW w:w="1412" w:type="dxa"/>
            <w:tcBorders>
              <w:top w:val="single" w:sz="4" w:space="0" w:color="auto"/>
              <w:bottom w:val="single" w:sz="4" w:space="0" w:color="auto"/>
            </w:tcBorders>
          </w:tcPr>
          <w:p w14:paraId="684F6B1F" w14:textId="77777777" w:rsidR="005C5BED" w:rsidRPr="00F0099E" w:rsidRDefault="005C5BED" w:rsidP="005C5BED">
            <w:pPr>
              <w:rPr>
                <w:sz w:val="18"/>
                <w:lang w:val="en-GB"/>
              </w:rPr>
            </w:pPr>
            <w:r>
              <w:rPr>
                <w:sz w:val="18"/>
                <w:lang w:val="en-GB"/>
              </w:rPr>
              <w:t>Unit</w:t>
            </w:r>
          </w:p>
        </w:tc>
      </w:tr>
      <w:tr w:rsidR="005C5BED" w14:paraId="295A680F" w14:textId="77777777" w:rsidTr="005C5BED">
        <w:tc>
          <w:tcPr>
            <w:tcW w:w="5098" w:type="dxa"/>
            <w:tcBorders>
              <w:top w:val="single" w:sz="4" w:space="0" w:color="auto"/>
            </w:tcBorders>
          </w:tcPr>
          <w:p w14:paraId="692F3FA1" w14:textId="77777777" w:rsidR="005C5BED" w:rsidRPr="00F0099E" w:rsidRDefault="005C5BED" w:rsidP="005C5BED">
            <w:pPr>
              <w:rPr>
                <w:sz w:val="18"/>
                <w:lang w:val="en-GB"/>
              </w:rPr>
            </w:pPr>
            <w:r>
              <w:rPr>
                <w:sz w:val="18"/>
                <w:lang w:val="en-GB"/>
              </w:rPr>
              <w:t xml:space="preserve">Lifetime of solar plant / DH connection piping </w:t>
            </w:r>
          </w:p>
        </w:tc>
        <w:tc>
          <w:tcPr>
            <w:tcW w:w="2552" w:type="dxa"/>
            <w:tcBorders>
              <w:top w:val="single" w:sz="4" w:space="0" w:color="auto"/>
            </w:tcBorders>
          </w:tcPr>
          <w:p w14:paraId="54A8F05C" w14:textId="77777777" w:rsidR="005C5BED" w:rsidRPr="00F0099E" w:rsidRDefault="005C5BED" w:rsidP="005C5BED">
            <w:pPr>
              <w:rPr>
                <w:sz w:val="18"/>
                <w:lang w:val="en-GB"/>
              </w:rPr>
            </w:pPr>
            <w:r w:rsidRPr="00F0099E">
              <w:rPr>
                <w:sz w:val="18"/>
                <w:lang w:val="en-GB"/>
              </w:rPr>
              <w:t>25</w:t>
            </w:r>
          </w:p>
        </w:tc>
        <w:tc>
          <w:tcPr>
            <w:tcW w:w="1412" w:type="dxa"/>
            <w:tcBorders>
              <w:top w:val="single" w:sz="4" w:space="0" w:color="auto"/>
            </w:tcBorders>
          </w:tcPr>
          <w:p w14:paraId="7019D056" w14:textId="77777777" w:rsidR="005C5BED" w:rsidRPr="00F0099E" w:rsidRDefault="005C5BED" w:rsidP="005C5BED">
            <w:pPr>
              <w:rPr>
                <w:sz w:val="18"/>
                <w:lang w:val="en-GB"/>
              </w:rPr>
            </w:pPr>
            <w:r>
              <w:rPr>
                <w:sz w:val="18"/>
                <w:lang w:val="en-GB"/>
              </w:rPr>
              <w:t>y</w:t>
            </w:r>
          </w:p>
        </w:tc>
      </w:tr>
      <w:tr w:rsidR="005C5BED" w14:paraId="32ABDCF6" w14:textId="77777777" w:rsidTr="005C5BED">
        <w:tc>
          <w:tcPr>
            <w:tcW w:w="5098" w:type="dxa"/>
          </w:tcPr>
          <w:p w14:paraId="0C56C1D2" w14:textId="77777777" w:rsidR="005C5BED" w:rsidRPr="00F0099E" w:rsidRDefault="005C5BED" w:rsidP="005C5BED">
            <w:pPr>
              <w:rPr>
                <w:sz w:val="18"/>
                <w:lang w:val="en-GB"/>
              </w:rPr>
            </w:pPr>
            <w:r>
              <w:rPr>
                <w:sz w:val="18"/>
                <w:lang w:val="en-GB"/>
              </w:rPr>
              <w:t>TES lifetime</w:t>
            </w:r>
          </w:p>
        </w:tc>
        <w:tc>
          <w:tcPr>
            <w:tcW w:w="2552" w:type="dxa"/>
          </w:tcPr>
          <w:p w14:paraId="77565BDE" w14:textId="77777777" w:rsidR="005C5BED" w:rsidRPr="00F0099E" w:rsidRDefault="005C5BED" w:rsidP="005C5BED">
            <w:pPr>
              <w:rPr>
                <w:sz w:val="18"/>
                <w:lang w:val="en-GB"/>
              </w:rPr>
            </w:pPr>
            <w:r w:rsidRPr="00F0099E">
              <w:rPr>
                <w:sz w:val="18"/>
                <w:lang w:val="en-GB"/>
              </w:rPr>
              <w:t>50</w:t>
            </w:r>
          </w:p>
        </w:tc>
        <w:tc>
          <w:tcPr>
            <w:tcW w:w="1412" w:type="dxa"/>
          </w:tcPr>
          <w:p w14:paraId="470F57E6" w14:textId="77777777" w:rsidR="005C5BED" w:rsidRPr="00F0099E" w:rsidRDefault="005C5BED" w:rsidP="005C5BED">
            <w:pPr>
              <w:rPr>
                <w:sz w:val="18"/>
                <w:lang w:val="en-GB"/>
              </w:rPr>
            </w:pPr>
            <w:r>
              <w:rPr>
                <w:sz w:val="18"/>
                <w:lang w:val="en-GB"/>
              </w:rPr>
              <w:t>y</w:t>
            </w:r>
          </w:p>
        </w:tc>
      </w:tr>
      <w:tr w:rsidR="005C5BED" w14:paraId="0C7FA225" w14:textId="77777777" w:rsidTr="005C5BED">
        <w:tc>
          <w:tcPr>
            <w:tcW w:w="5098" w:type="dxa"/>
          </w:tcPr>
          <w:p w14:paraId="06488B02" w14:textId="77777777" w:rsidR="005C5BED" w:rsidRPr="00F0099E" w:rsidRDefault="005C5BED" w:rsidP="005C5BED">
            <w:pPr>
              <w:rPr>
                <w:sz w:val="18"/>
                <w:lang w:val="en-GB"/>
              </w:rPr>
            </w:pPr>
            <w:r w:rsidRPr="00F0099E">
              <w:rPr>
                <w:sz w:val="18"/>
                <w:lang w:val="en-GB"/>
              </w:rPr>
              <w:t>OPEX (</w:t>
            </w:r>
            <w:r>
              <w:rPr>
                <w:sz w:val="18"/>
                <w:lang w:val="en-GB"/>
              </w:rPr>
              <w:t>repair pieces</w:t>
            </w:r>
            <w:r w:rsidRPr="00F0099E">
              <w:rPr>
                <w:sz w:val="18"/>
                <w:lang w:val="en-GB"/>
              </w:rPr>
              <w:t>)</w:t>
            </w:r>
          </w:p>
        </w:tc>
        <w:tc>
          <w:tcPr>
            <w:tcW w:w="2552" w:type="dxa"/>
          </w:tcPr>
          <w:p w14:paraId="280983B3" w14:textId="77777777" w:rsidR="005C5BED" w:rsidRPr="00F0099E" w:rsidRDefault="005C5BED" w:rsidP="005C5BED">
            <w:pPr>
              <w:rPr>
                <w:sz w:val="18"/>
                <w:lang w:val="en-GB"/>
              </w:rPr>
            </w:pPr>
            <w:r w:rsidRPr="00F0099E">
              <w:rPr>
                <w:sz w:val="18"/>
                <w:lang w:val="en-GB"/>
              </w:rPr>
              <w:t>1</w:t>
            </w:r>
          </w:p>
        </w:tc>
        <w:tc>
          <w:tcPr>
            <w:tcW w:w="1412" w:type="dxa"/>
          </w:tcPr>
          <w:p w14:paraId="100E37CE" w14:textId="77777777" w:rsidR="005C5BED" w:rsidRPr="00F0099E" w:rsidRDefault="005C5BED" w:rsidP="005C5BED">
            <w:pPr>
              <w:rPr>
                <w:sz w:val="18"/>
                <w:lang w:val="en-GB"/>
              </w:rPr>
            </w:pPr>
            <w:r w:rsidRPr="00F0099E">
              <w:rPr>
                <w:sz w:val="18"/>
                <w:lang w:val="en-GB"/>
              </w:rPr>
              <w:t>%/</w:t>
            </w:r>
            <w:r>
              <w:rPr>
                <w:sz w:val="18"/>
                <w:lang w:val="en-GB"/>
              </w:rPr>
              <w:t>y</w:t>
            </w:r>
          </w:p>
        </w:tc>
      </w:tr>
      <w:tr w:rsidR="005C5BED" w14:paraId="2AFBBD98" w14:textId="77777777" w:rsidTr="005C5BED">
        <w:tc>
          <w:tcPr>
            <w:tcW w:w="5098" w:type="dxa"/>
          </w:tcPr>
          <w:p w14:paraId="177C23C9" w14:textId="77777777" w:rsidR="005C5BED" w:rsidRPr="00F0099E" w:rsidRDefault="005C5BED" w:rsidP="005C5BED">
            <w:pPr>
              <w:rPr>
                <w:sz w:val="18"/>
                <w:lang w:val="en-GB"/>
              </w:rPr>
            </w:pPr>
            <w:r>
              <w:rPr>
                <w:sz w:val="18"/>
                <w:lang w:val="en-GB"/>
              </w:rPr>
              <w:t>Discount rate</w:t>
            </w:r>
          </w:p>
        </w:tc>
        <w:tc>
          <w:tcPr>
            <w:tcW w:w="2552" w:type="dxa"/>
          </w:tcPr>
          <w:p w14:paraId="10758E4B" w14:textId="77777777" w:rsidR="005C5BED" w:rsidRPr="00F0099E" w:rsidRDefault="005C5BED" w:rsidP="005C5BED">
            <w:pPr>
              <w:rPr>
                <w:sz w:val="18"/>
                <w:lang w:val="en-GB"/>
              </w:rPr>
            </w:pPr>
            <w:r w:rsidRPr="00F0099E">
              <w:rPr>
                <w:sz w:val="18"/>
                <w:lang w:val="en-GB"/>
              </w:rPr>
              <w:t>3</w:t>
            </w:r>
          </w:p>
        </w:tc>
        <w:tc>
          <w:tcPr>
            <w:tcW w:w="1412" w:type="dxa"/>
          </w:tcPr>
          <w:p w14:paraId="08E09689" w14:textId="77777777" w:rsidR="005C5BED" w:rsidRPr="00F0099E" w:rsidRDefault="005C5BED" w:rsidP="005C5BED">
            <w:pPr>
              <w:rPr>
                <w:sz w:val="18"/>
                <w:lang w:val="en-GB"/>
              </w:rPr>
            </w:pPr>
            <w:r w:rsidRPr="00F0099E">
              <w:rPr>
                <w:sz w:val="18"/>
                <w:lang w:val="en-GB"/>
              </w:rPr>
              <w:t>%</w:t>
            </w:r>
          </w:p>
        </w:tc>
      </w:tr>
      <w:tr w:rsidR="005C5BED" w14:paraId="2F2FAF89" w14:textId="77777777" w:rsidTr="005C5BED">
        <w:tc>
          <w:tcPr>
            <w:tcW w:w="5098" w:type="dxa"/>
          </w:tcPr>
          <w:p w14:paraId="16A5300F" w14:textId="77777777" w:rsidR="005C5BED" w:rsidRPr="00F0099E" w:rsidRDefault="005C5BED" w:rsidP="005C5BED">
            <w:pPr>
              <w:rPr>
                <w:sz w:val="18"/>
                <w:lang w:val="en-GB"/>
              </w:rPr>
            </w:pPr>
            <w:r>
              <w:rPr>
                <w:sz w:val="18"/>
                <w:lang w:val="en-GB"/>
              </w:rPr>
              <w:t>Fuel density</w:t>
            </w:r>
          </w:p>
        </w:tc>
        <w:tc>
          <w:tcPr>
            <w:tcW w:w="2552" w:type="dxa"/>
          </w:tcPr>
          <w:p w14:paraId="5A317FFF" w14:textId="77777777" w:rsidR="005C5BED" w:rsidRPr="00F0099E" w:rsidRDefault="005C5BED" w:rsidP="005C5BED">
            <w:pPr>
              <w:rPr>
                <w:sz w:val="18"/>
                <w:lang w:val="en-GB"/>
              </w:rPr>
            </w:pPr>
            <w:r w:rsidRPr="00F0099E">
              <w:rPr>
                <w:sz w:val="18"/>
                <w:lang w:val="en-GB"/>
              </w:rPr>
              <w:t>240</w:t>
            </w:r>
          </w:p>
        </w:tc>
        <w:tc>
          <w:tcPr>
            <w:tcW w:w="1412" w:type="dxa"/>
          </w:tcPr>
          <w:p w14:paraId="38083D98" w14:textId="77777777" w:rsidR="005C5BED" w:rsidRPr="00F0099E" w:rsidRDefault="005C5BED" w:rsidP="005C5BED">
            <w:pPr>
              <w:rPr>
                <w:sz w:val="18"/>
                <w:lang w:val="en-GB"/>
              </w:rPr>
            </w:pPr>
            <w:r w:rsidRPr="00F0099E">
              <w:rPr>
                <w:sz w:val="18"/>
                <w:lang w:val="en-GB"/>
              </w:rPr>
              <w:t>kg/m</w:t>
            </w:r>
            <w:r w:rsidRPr="00A45CE1">
              <w:rPr>
                <w:sz w:val="18"/>
                <w:vertAlign w:val="superscript"/>
                <w:lang w:val="en-GB"/>
              </w:rPr>
              <w:t>3</w:t>
            </w:r>
          </w:p>
        </w:tc>
      </w:tr>
      <w:tr w:rsidR="005C5BED" w14:paraId="679A7D51" w14:textId="77777777" w:rsidTr="005C5BED">
        <w:tc>
          <w:tcPr>
            <w:tcW w:w="5098" w:type="dxa"/>
          </w:tcPr>
          <w:p w14:paraId="536DE0E7" w14:textId="0171B2BA" w:rsidR="005C5BED" w:rsidRPr="00F0099E" w:rsidRDefault="00AA1D7E" w:rsidP="005C5BED">
            <w:pPr>
              <w:rPr>
                <w:sz w:val="18"/>
                <w:lang w:val="en-GB"/>
              </w:rPr>
            </w:pPr>
            <w:r>
              <w:rPr>
                <w:sz w:val="18"/>
                <w:lang w:val="en-GB"/>
              </w:rPr>
              <w:t>F</w:t>
            </w:r>
            <w:r w:rsidR="005C5BED">
              <w:rPr>
                <w:sz w:val="18"/>
                <w:lang w:val="en-GB"/>
              </w:rPr>
              <w:t>uel HHV</w:t>
            </w:r>
            <w:r w:rsidR="005C5BED" w:rsidRPr="00F0099E">
              <w:rPr>
                <w:sz w:val="18"/>
                <w:lang w:val="en-GB"/>
              </w:rPr>
              <w:t xml:space="preserve"> </w:t>
            </w:r>
            <w:r w:rsidR="00E1454F">
              <w:rPr>
                <w:sz w:val="18"/>
                <w:lang w:val="en-GB"/>
              </w:rPr>
              <w:t>(absolute humidity: 60%)</w:t>
            </w:r>
          </w:p>
        </w:tc>
        <w:tc>
          <w:tcPr>
            <w:tcW w:w="2552" w:type="dxa"/>
          </w:tcPr>
          <w:p w14:paraId="3959D85B" w14:textId="77777777" w:rsidR="005C5BED" w:rsidRPr="00F0099E" w:rsidRDefault="005C5BED" w:rsidP="005C5BED">
            <w:pPr>
              <w:rPr>
                <w:sz w:val="18"/>
                <w:lang w:val="en-GB"/>
              </w:rPr>
            </w:pPr>
            <w:r w:rsidRPr="00F0099E">
              <w:rPr>
                <w:sz w:val="18"/>
                <w:lang w:val="en-GB"/>
              </w:rPr>
              <w:t>22570</w:t>
            </w:r>
          </w:p>
        </w:tc>
        <w:tc>
          <w:tcPr>
            <w:tcW w:w="1412" w:type="dxa"/>
          </w:tcPr>
          <w:p w14:paraId="46CDFE1D" w14:textId="77777777" w:rsidR="005C5BED" w:rsidRPr="00F0099E" w:rsidRDefault="005C5BED" w:rsidP="005C5BED">
            <w:pPr>
              <w:rPr>
                <w:sz w:val="18"/>
                <w:lang w:val="en-GB"/>
              </w:rPr>
            </w:pPr>
            <w:r w:rsidRPr="00F0099E">
              <w:rPr>
                <w:sz w:val="18"/>
                <w:lang w:val="en-GB"/>
              </w:rPr>
              <w:t>kJ/kg</w:t>
            </w:r>
          </w:p>
        </w:tc>
      </w:tr>
      <w:tr w:rsidR="005C5BED" w14:paraId="4D56BB6D" w14:textId="77777777" w:rsidTr="005C5BED">
        <w:tc>
          <w:tcPr>
            <w:tcW w:w="5098" w:type="dxa"/>
          </w:tcPr>
          <w:p w14:paraId="2CC68403" w14:textId="77777777" w:rsidR="005C5BED" w:rsidRPr="00F0099E" w:rsidRDefault="005C5BED" w:rsidP="005C5BED">
            <w:pPr>
              <w:rPr>
                <w:sz w:val="18"/>
                <w:lang w:val="en-GB"/>
              </w:rPr>
            </w:pPr>
            <w:r>
              <w:rPr>
                <w:sz w:val="18"/>
                <w:lang w:val="en-GB"/>
              </w:rPr>
              <w:t xml:space="preserve">Electricity fares for indirect air HP </w:t>
            </w:r>
          </w:p>
        </w:tc>
        <w:tc>
          <w:tcPr>
            <w:tcW w:w="2552" w:type="dxa"/>
          </w:tcPr>
          <w:p w14:paraId="56C33D08" w14:textId="77777777" w:rsidR="005C5BED" w:rsidRPr="00F0099E" w:rsidRDefault="005C5BED" w:rsidP="005C5BED">
            <w:pPr>
              <w:rPr>
                <w:sz w:val="18"/>
                <w:lang w:val="en-GB"/>
              </w:rPr>
            </w:pPr>
            <w:r>
              <w:rPr>
                <w:sz w:val="18"/>
                <w:lang w:val="en-GB"/>
              </w:rPr>
              <w:t>22.57 – 30.78</w:t>
            </w:r>
          </w:p>
        </w:tc>
        <w:tc>
          <w:tcPr>
            <w:tcW w:w="1412" w:type="dxa"/>
          </w:tcPr>
          <w:p w14:paraId="1B0942DC" w14:textId="77777777" w:rsidR="005C5BED" w:rsidRPr="00F0099E" w:rsidRDefault="005C5BED" w:rsidP="005C5BED">
            <w:pPr>
              <w:rPr>
                <w:sz w:val="18"/>
                <w:lang w:val="en-GB"/>
              </w:rPr>
            </w:pPr>
            <w:proofErr w:type="spellStart"/>
            <w:r>
              <w:rPr>
                <w:sz w:val="18"/>
                <w:lang w:val="en-GB"/>
              </w:rPr>
              <w:t>ctsCHF</w:t>
            </w:r>
            <w:proofErr w:type="spellEnd"/>
            <w:r>
              <w:rPr>
                <w:sz w:val="18"/>
                <w:lang w:val="en-GB"/>
              </w:rPr>
              <w:t>/</w:t>
            </w:r>
            <w:proofErr w:type="spellStart"/>
            <w:r>
              <w:rPr>
                <w:sz w:val="18"/>
                <w:lang w:val="en-GB"/>
              </w:rPr>
              <w:t>kWhe</w:t>
            </w:r>
            <w:proofErr w:type="spellEnd"/>
          </w:p>
        </w:tc>
      </w:tr>
      <w:tr w:rsidR="005C5BED" w14:paraId="2D14B775" w14:textId="77777777" w:rsidTr="005C5BED">
        <w:tc>
          <w:tcPr>
            <w:tcW w:w="5098" w:type="dxa"/>
          </w:tcPr>
          <w:p w14:paraId="136125B5" w14:textId="22A418EF" w:rsidR="005C5BED" w:rsidRDefault="005C5BED" w:rsidP="005C5BED">
            <w:pPr>
              <w:rPr>
                <w:sz w:val="18"/>
                <w:lang w:val="en-GB"/>
              </w:rPr>
            </w:pPr>
            <w:r>
              <w:rPr>
                <w:sz w:val="18"/>
                <w:lang w:val="en-GB"/>
              </w:rPr>
              <w:t>Electricity fares for groundwater HP (range)</w:t>
            </w:r>
          </w:p>
        </w:tc>
        <w:tc>
          <w:tcPr>
            <w:tcW w:w="2552" w:type="dxa"/>
          </w:tcPr>
          <w:p w14:paraId="10F053D1" w14:textId="77777777" w:rsidR="005C5BED" w:rsidRPr="00F0099E" w:rsidRDefault="005C5BED" w:rsidP="005C5BED">
            <w:pPr>
              <w:rPr>
                <w:sz w:val="18"/>
                <w:lang w:val="en-GB"/>
              </w:rPr>
            </w:pPr>
            <w:r w:rsidRPr="00D8170F">
              <w:rPr>
                <w:sz w:val="18"/>
                <w:lang w:val="en-GB"/>
              </w:rPr>
              <w:t>21.52 – 28.82</w:t>
            </w:r>
          </w:p>
        </w:tc>
        <w:tc>
          <w:tcPr>
            <w:tcW w:w="1412" w:type="dxa"/>
          </w:tcPr>
          <w:p w14:paraId="6ECC4234" w14:textId="77777777" w:rsidR="005C5BED" w:rsidRPr="00F0099E" w:rsidRDefault="005C5BED" w:rsidP="005C5BED">
            <w:pPr>
              <w:rPr>
                <w:sz w:val="18"/>
                <w:lang w:val="en-GB"/>
              </w:rPr>
            </w:pPr>
            <w:proofErr w:type="spellStart"/>
            <w:r>
              <w:rPr>
                <w:sz w:val="18"/>
                <w:lang w:val="en-GB"/>
              </w:rPr>
              <w:t>ctsCHF</w:t>
            </w:r>
            <w:proofErr w:type="spellEnd"/>
            <w:r>
              <w:rPr>
                <w:sz w:val="18"/>
                <w:lang w:val="en-GB"/>
              </w:rPr>
              <w:t>/</w:t>
            </w:r>
            <w:proofErr w:type="spellStart"/>
            <w:r>
              <w:rPr>
                <w:sz w:val="18"/>
                <w:lang w:val="en-GB"/>
              </w:rPr>
              <w:t>kWhe</w:t>
            </w:r>
            <w:proofErr w:type="spellEnd"/>
          </w:p>
        </w:tc>
      </w:tr>
      <w:tr w:rsidR="005C5BED" w14:paraId="05891257" w14:textId="77777777" w:rsidTr="005C5BED">
        <w:tc>
          <w:tcPr>
            <w:tcW w:w="5098" w:type="dxa"/>
          </w:tcPr>
          <w:p w14:paraId="0ECED302" w14:textId="77777777" w:rsidR="005C5BED" w:rsidRDefault="005C5BED" w:rsidP="005C5BED">
            <w:pPr>
              <w:rPr>
                <w:sz w:val="18"/>
                <w:lang w:val="en-GB"/>
              </w:rPr>
            </w:pPr>
            <w:r>
              <w:rPr>
                <w:sz w:val="18"/>
                <w:lang w:val="en-GB"/>
              </w:rPr>
              <w:t>Feed-in tariff (range)</w:t>
            </w:r>
          </w:p>
        </w:tc>
        <w:tc>
          <w:tcPr>
            <w:tcW w:w="2552" w:type="dxa"/>
          </w:tcPr>
          <w:p w14:paraId="2F819C7D" w14:textId="77777777" w:rsidR="005C5BED" w:rsidRPr="00D8170F" w:rsidRDefault="005C5BED" w:rsidP="005C5BED">
            <w:pPr>
              <w:rPr>
                <w:sz w:val="18"/>
                <w:lang w:val="en-GB"/>
              </w:rPr>
            </w:pPr>
            <w:r>
              <w:rPr>
                <w:sz w:val="18"/>
                <w:lang w:val="en-GB"/>
              </w:rPr>
              <w:t>8.26 to 9.65</w:t>
            </w:r>
          </w:p>
        </w:tc>
        <w:tc>
          <w:tcPr>
            <w:tcW w:w="1412" w:type="dxa"/>
          </w:tcPr>
          <w:p w14:paraId="1A5D3A0F" w14:textId="77777777" w:rsidR="005C5BED" w:rsidRDefault="005C5BED" w:rsidP="005C5BED">
            <w:pPr>
              <w:rPr>
                <w:sz w:val="18"/>
                <w:lang w:val="en-GB"/>
              </w:rPr>
            </w:pPr>
            <w:proofErr w:type="spellStart"/>
            <w:r>
              <w:rPr>
                <w:sz w:val="18"/>
                <w:lang w:val="en-GB"/>
              </w:rPr>
              <w:t>ctsCHF</w:t>
            </w:r>
            <w:proofErr w:type="spellEnd"/>
            <w:r>
              <w:rPr>
                <w:sz w:val="18"/>
                <w:lang w:val="en-GB"/>
              </w:rPr>
              <w:t>/</w:t>
            </w:r>
            <w:proofErr w:type="spellStart"/>
            <w:r>
              <w:rPr>
                <w:sz w:val="18"/>
                <w:lang w:val="en-GB"/>
              </w:rPr>
              <w:t>kWhe</w:t>
            </w:r>
            <w:proofErr w:type="spellEnd"/>
          </w:p>
        </w:tc>
      </w:tr>
      <w:tr w:rsidR="005C5BED" w14:paraId="77669085" w14:textId="77777777" w:rsidTr="005C5BED">
        <w:tc>
          <w:tcPr>
            <w:tcW w:w="5098" w:type="dxa"/>
            <w:tcBorders>
              <w:bottom w:val="single" w:sz="4" w:space="0" w:color="auto"/>
            </w:tcBorders>
          </w:tcPr>
          <w:p w14:paraId="7691529E" w14:textId="46D38CE7" w:rsidR="005C5BED" w:rsidRDefault="00302AAA" w:rsidP="005C5BED">
            <w:pPr>
              <w:rPr>
                <w:sz w:val="18"/>
                <w:lang w:val="en-GB"/>
              </w:rPr>
            </w:pPr>
            <w:r>
              <w:rPr>
                <w:sz w:val="18"/>
                <w:lang w:val="en-GB"/>
              </w:rPr>
              <w:t>Government subsidy for s</w:t>
            </w:r>
            <w:r w:rsidR="005C5BED">
              <w:rPr>
                <w:sz w:val="18"/>
                <w:lang w:val="en-GB"/>
              </w:rPr>
              <w:t xml:space="preserve">olar thermal </w:t>
            </w:r>
          </w:p>
        </w:tc>
        <w:tc>
          <w:tcPr>
            <w:tcW w:w="3964" w:type="dxa"/>
            <w:gridSpan w:val="2"/>
            <w:tcBorders>
              <w:bottom w:val="single" w:sz="4" w:space="0" w:color="auto"/>
            </w:tcBorders>
          </w:tcPr>
          <w:p w14:paraId="401B6E63" w14:textId="77777777" w:rsidR="005C5BED" w:rsidRDefault="005C5BED" w:rsidP="005C5BED">
            <w:pPr>
              <w:rPr>
                <w:sz w:val="18"/>
                <w:lang w:val="en-GB"/>
              </w:rPr>
            </w:pPr>
            <w:r>
              <w:rPr>
                <w:sz w:val="18"/>
                <w:lang w:val="en-GB"/>
              </w:rPr>
              <w:t>2400 CHF + 1000 CHF/</w:t>
            </w:r>
            <w:proofErr w:type="spellStart"/>
            <w:r>
              <w:rPr>
                <w:sz w:val="18"/>
                <w:lang w:val="en-GB"/>
              </w:rPr>
              <w:t>kW</w:t>
            </w:r>
            <w:r w:rsidRPr="0017584B">
              <w:rPr>
                <w:sz w:val="18"/>
                <w:vertAlign w:val="subscript"/>
                <w:lang w:val="en-GB"/>
              </w:rPr>
              <w:t>th</w:t>
            </w:r>
            <w:proofErr w:type="spellEnd"/>
          </w:p>
        </w:tc>
      </w:tr>
    </w:tbl>
    <w:p w14:paraId="288904A1" w14:textId="7A195E77" w:rsidR="00415B43" w:rsidRPr="00EB7C9A" w:rsidRDefault="00EF7FFE" w:rsidP="00BF3736">
      <w:pPr>
        <w:pStyle w:val="SWCText"/>
      </w:pPr>
      <w:r>
        <w:t xml:space="preserve">By adopting a discounted cash-flow model (see </w:t>
      </w:r>
      <w:r>
        <w:fldChar w:fldCharType="begin"/>
      </w:r>
      <w:r>
        <w:instrText xml:space="preserve"> REF _Ref238227472 \h </w:instrText>
      </w:r>
      <w:r>
        <w:fldChar w:fldCharType="separate"/>
      </w:r>
      <w:r>
        <w:t>Table </w:t>
      </w:r>
      <w:r>
        <w:rPr>
          <w:noProof/>
        </w:rPr>
        <w:t>1</w:t>
      </w:r>
      <w:r>
        <w:fldChar w:fldCharType="end"/>
      </w:r>
      <w:r w:rsidR="002B7302">
        <w:t xml:space="preserve"> for some of the main parameters</w:t>
      </w:r>
      <w:r>
        <w:t xml:space="preserve">), the comparison was then focused on the Levelized Cost Of Heat (LCOH, [18]), the mean cost of production required to justify the investment over the lifetime of a particular configuration. </w:t>
      </w:r>
      <w:r w:rsidR="00203FD7">
        <w:t>F</w:t>
      </w:r>
      <w:r>
        <w:t>or the reference case</w:t>
      </w:r>
      <w:r w:rsidR="006E0FA1">
        <w:t>, instead,</w:t>
      </w:r>
      <w:r>
        <w:t xml:space="preserve"> the real production costs and their composition, derived from private communications with the management of the DHN of les Ponts de Martel, were used to compute the baseline cost over which to derive the final LCOH of the hybrid configurations.</w:t>
      </w:r>
      <w:r w:rsidR="00EB7C9A">
        <w:t xml:space="preserve"> </w:t>
      </w:r>
      <w:r w:rsidR="000E49C7">
        <w:t>Moreover</w:t>
      </w:r>
      <w:r w:rsidR="00014B31">
        <w:t>, the production cost of the reference system (</w:t>
      </w:r>
      <w:proofErr w:type="spellStart"/>
      <w:r w:rsidR="00014B31">
        <w:t>LCOH</w:t>
      </w:r>
      <w:r w:rsidR="00014B31" w:rsidRPr="00414BBF">
        <w:rPr>
          <w:vertAlign w:val="subscript"/>
        </w:rPr>
        <w:t>bio,ref</w:t>
      </w:r>
      <w:proofErr w:type="spellEnd"/>
      <w:r w:rsidR="00014B31">
        <w:t xml:space="preserve">) </w:t>
      </w:r>
      <w:r w:rsidR="00414BBF">
        <w:t>wa</w:t>
      </w:r>
      <w:r w:rsidR="00F00617">
        <w:t>s</w:t>
      </w:r>
      <w:r w:rsidR="00014B31">
        <w:t xml:space="preserve"> adapted to take into account the decrease in fuel consumption and its impact on the portion of the cost related to the amortization of the boiler</w:t>
      </w:r>
      <w:r w:rsidR="00414BBF">
        <w:t xml:space="preserve"> and other fixed costs non-directly related to the fuel consumption</w:t>
      </w:r>
      <w:r w:rsidR="00444604">
        <w:t xml:space="preserve"> (</w:t>
      </w:r>
      <w:r w:rsidR="00E00D02">
        <w:t xml:space="preserve">see </w:t>
      </w:r>
      <w:r w:rsidR="00444604">
        <w:t>equation 1</w:t>
      </w:r>
      <w:r w:rsidR="00A22D7B">
        <w:t xml:space="preserve">, where </w:t>
      </w:r>
      <w:proofErr w:type="spellStart"/>
      <w:r w:rsidR="00A22D7B">
        <w:t>F</w:t>
      </w:r>
      <w:r w:rsidR="00A22D7B" w:rsidRPr="00496591">
        <w:rPr>
          <w:vertAlign w:val="subscript"/>
        </w:rPr>
        <w:t>v</w:t>
      </w:r>
      <w:proofErr w:type="spellEnd"/>
      <w:r w:rsidR="00A22D7B">
        <w:t xml:space="preserve"> is the</w:t>
      </w:r>
      <w:r w:rsidR="00E9739A">
        <w:t xml:space="preserve"> fraction of </w:t>
      </w:r>
      <w:proofErr w:type="spellStart"/>
      <w:r w:rsidR="00E9739A">
        <w:t>LCOH</w:t>
      </w:r>
      <w:r w:rsidR="00E9739A" w:rsidRPr="00E9739A">
        <w:rPr>
          <w:vertAlign w:val="subscript"/>
        </w:rPr>
        <w:t>ref</w:t>
      </w:r>
      <w:proofErr w:type="spellEnd"/>
      <w:r w:rsidR="00E9739A">
        <w:t xml:space="preserve"> related to fuel</w:t>
      </w:r>
      <w:r w:rsidR="00746538">
        <w:t xml:space="preserve"> </w:t>
      </w:r>
      <w:r w:rsidR="000218A1">
        <w:t>expenditures</w:t>
      </w:r>
      <w:r w:rsidR="00FF1012">
        <w:t xml:space="preserve"> and 1 – </w:t>
      </w:r>
      <w:proofErr w:type="spellStart"/>
      <w:r w:rsidR="00FF1012">
        <w:t>F</w:t>
      </w:r>
      <w:r w:rsidR="00FF1012" w:rsidRPr="00496591">
        <w:rPr>
          <w:vertAlign w:val="subscript"/>
        </w:rPr>
        <w:t>v</w:t>
      </w:r>
      <w:proofErr w:type="spellEnd"/>
      <w:r w:rsidR="00FF1012">
        <w:t xml:space="preserve"> corresponds to the expenditure for amortization, rent, insurance</w:t>
      </w:r>
      <w:r w:rsidR="00AF2F24">
        <w:t>, etc..</w:t>
      </w:r>
      <w:r w:rsidR="00444604">
        <w:t>)</w:t>
      </w:r>
      <w:r w:rsidR="00014B31">
        <w:t>.</w:t>
      </w:r>
      <w:r w:rsidR="009479BE">
        <w:t xml:space="preserve"> </w:t>
      </w:r>
      <w:r w:rsidR="007E358C">
        <w:t>The reference production cost, in fact, is based on the assumption that the boiler runs a certain amount of hours per year; if a portion of the energy demand is covered by solar energy, the production cost of the biomass unit increases, since the amortization per k</w:t>
      </w:r>
      <w:r w:rsidR="00AC162B">
        <w:t>W</w:t>
      </w:r>
      <w:r w:rsidR="007E358C">
        <w:t xml:space="preserve">h generated is required to increase to justify the investment during the same </w:t>
      </w:r>
      <w:r w:rsidR="007043DA">
        <w:t>life</w:t>
      </w:r>
      <w:r w:rsidR="007E358C">
        <w:t xml:space="preserve">time (i.e., for negligible Net Present Value at </w:t>
      </w:r>
      <w:r w:rsidR="00111F12">
        <w:t>the end of the service lifetime</w:t>
      </w:r>
      <w:r w:rsidR="007E358C">
        <w:t>).</w:t>
      </w:r>
    </w:p>
    <w:p w14:paraId="4C77A71A" w14:textId="5A4B3CCE" w:rsidR="00444604" w:rsidRDefault="009479BE" w:rsidP="00811D22">
      <w:pPr>
        <w:pStyle w:val="SWCText"/>
      </w:pPr>
      <w:r>
        <w:t>On the other hand, the calculation of the cost of production of the solar part added to the reference system (</w:t>
      </w:r>
      <w:proofErr w:type="spellStart"/>
      <w:r>
        <w:t>LCOH</w:t>
      </w:r>
      <w:r w:rsidRPr="00A35817">
        <w:rPr>
          <w:vertAlign w:val="subscript"/>
        </w:rPr>
        <w:t>sol</w:t>
      </w:r>
      <w:proofErr w:type="spellEnd"/>
      <w:r>
        <w:t>) ha</w:t>
      </w:r>
      <w:r w:rsidR="001123F9">
        <w:t>d</w:t>
      </w:r>
      <w:r>
        <w:t xml:space="preserve"> to </w:t>
      </w:r>
      <w:r w:rsidR="007043DA">
        <w:t>consider</w:t>
      </w:r>
      <w:r>
        <w:t xml:space="preserve"> </w:t>
      </w:r>
      <w:r w:rsidR="00023E86" w:rsidRPr="00023E86">
        <w:t>the differing operational lifespans of the individual components</w:t>
      </w:r>
      <w:r>
        <w:t xml:space="preserve">. To </w:t>
      </w:r>
      <w:r w:rsidR="006751EE">
        <w:t>partially</w:t>
      </w:r>
      <w:r>
        <w:t xml:space="preserve"> solve this, the </w:t>
      </w:r>
      <w:proofErr w:type="spellStart"/>
      <w:r>
        <w:t>LCOH</w:t>
      </w:r>
      <w:r w:rsidRPr="00F22921">
        <w:rPr>
          <w:vertAlign w:val="subscript"/>
        </w:rPr>
        <w:t>sol</w:t>
      </w:r>
      <w:proofErr w:type="spellEnd"/>
      <w:r>
        <w:t xml:space="preserve"> is computed for the hybrid plants by assuming a lifetime of 50 years for the TES tank, 25 years for the TES insulation, 25 years for the solar collector field and piping, 25 years for the HP units</w:t>
      </w:r>
      <w:r w:rsidR="00E6383B">
        <w:t>,</w:t>
      </w:r>
      <w:r>
        <w:t xml:space="preserve"> and a complete overhaul of the systems on the 26</w:t>
      </w:r>
      <w:r w:rsidRPr="0022226F">
        <w:rPr>
          <w:vertAlign w:val="superscript"/>
        </w:rPr>
        <w:t>th</w:t>
      </w:r>
      <w:r>
        <w:t xml:space="preserve"> year of operation (</w:t>
      </w:r>
      <w:r w:rsidR="00CD5033">
        <w:t xml:space="preserve">see </w:t>
      </w:r>
      <w:r>
        <w:t xml:space="preserve">equation </w:t>
      </w:r>
      <w:r w:rsidR="00214585">
        <w:t>2</w:t>
      </w:r>
      <w:r w:rsidR="008C6305">
        <w:t xml:space="preserve">, where CAPEX is the expenditures for </w:t>
      </w:r>
      <w:r w:rsidR="00D36AF6">
        <w:t xml:space="preserve">material costs, </w:t>
      </w:r>
      <w:r w:rsidR="004236A5">
        <w:t>OPEX</w:t>
      </w:r>
      <w:r w:rsidR="00D36AF6">
        <w:t xml:space="preserve"> are expenditures due to operation and fuel consumption</w:t>
      </w:r>
      <w:r w:rsidR="00E344B0">
        <w:t xml:space="preserve">, r is the discount rate, N is </w:t>
      </w:r>
      <w:r w:rsidR="00E6383B">
        <w:t>the TES lifetime</w:t>
      </w:r>
      <w:r>
        <w:t>)</w:t>
      </w:r>
      <w:r w:rsidR="00E344B0">
        <w:t>.</w:t>
      </w:r>
      <w:r w:rsidR="002D17B6">
        <w:t xml:space="preserve"> Combining the </w:t>
      </w:r>
      <w:proofErr w:type="spellStart"/>
      <w:r w:rsidR="002D17B6">
        <w:t>LCOH</w:t>
      </w:r>
      <w:r w:rsidR="002D17B6" w:rsidRPr="00F22921">
        <w:rPr>
          <w:vertAlign w:val="subscript"/>
        </w:rPr>
        <w:t>bio</w:t>
      </w:r>
      <w:proofErr w:type="spellEnd"/>
      <w:r w:rsidR="002D17B6">
        <w:t xml:space="preserve"> and the </w:t>
      </w:r>
      <w:proofErr w:type="spellStart"/>
      <w:r w:rsidR="002D17B6">
        <w:t>LCOH</w:t>
      </w:r>
      <w:r w:rsidR="002D17B6" w:rsidRPr="00F22921">
        <w:rPr>
          <w:vertAlign w:val="subscript"/>
        </w:rPr>
        <w:t>sol</w:t>
      </w:r>
      <w:proofErr w:type="spellEnd"/>
      <w:r w:rsidR="002D17B6">
        <w:t xml:space="preserve"> allows computing the </w:t>
      </w:r>
      <w:proofErr w:type="spellStart"/>
      <w:r w:rsidR="002D17B6">
        <w:t>LCOH</w:t>
      </w:r>
      <w:r w:rsidR="002D17B6" w:rsidRPr="00F22921">
        <w:rPr>
          <w:vertAlign w:val="subscript"/>
        </w:rPr>
        <w:t>hybr</w:t>
      </w:r>
      <w:proofErr w:type="spellEnd"/>
      <w:r w:rsidR="00CA7337">
        <w:t xml:space="preserve"> </w:t>
      </w:r>
      <w:r w:rsidR="00F51C0D">
        <w:t>as a function of the SF</w:t>
      </w:r>
      <w:r w:rsidR="00E957E1">
        <w:t xml:space="preserve"> (equation 3).</w:t>
      </w:r>
    </w:p>
    <w:p w14:paraId="211A0034" w14:textId="77777777" w:rsidR="00444604" w:rsidRPr="002A5729" w:rsidRDefault="00433F10" w:rsidP="00444604">
      <w:pPr>
        <w:pStyle w:val="SWCText"/>
        <w:numPr>
          <w:ilvl w:val="0"/>
          <w:numId w:val="27"/>
        </w:numPr>
      </w:pPr>
      <m:oMath>
        <m:sSub>
          <m:sSubPr>
            <m:ctrlPr>
              <w:rPr>
                <w:rFonts w:ascii="Cambria Math" w:hAnsi="Cambria Math"/>
                <w:i/>
                <w:sz w:val="22"/>
              </w:rPr>
            </m:ctrlPr>
          </m:sSubPr>
          <m:e>
            <m:r>
              <w:rPr>
                <w:rFonts w:ascii="Cambria Math" w:hAnsi="Cambria Math"/>
                <w:sz w:val="22"/>
              </w:rPr>
              <m:t>LCOH</m:t>
            </m:r>
          </m:e>
          <m:sub>
            <m:r>
              <w:rPr>
                <w:rFonts w:ascii="Cambria Math" w:hAnsi="Cambria Math"/>
                <w:sz w:val="22"/>
              </w:rPr>
              <m:t>bio</m:t>
            </m:r>
          </m:sub>
        </m:sSub>
        <m:r>
          <w:rPr>
            <w:rFonts w:ascii="Cambria Math" w:hAnsi="Cambria Math"/>
            <w:sz w:val="22"/>
          </w:rPr>
          <m:t>=</m:t>
        </m:r>
        <m:f>
          <m:fPr>
            <m:ctrlPr>
              <w:rPr>
                <w:rFonts w:ascii="Cambria Math" w:hAnsi="Cambria Math"/>
                <w:i/>
                <w:sz w:val="22"/>
              </w:rPr>
            </m:ctrlPr>
          </m:fPr>
          <m:num>
            <m:sSub>
              <m:sSubPr>
                <m:ctrlPr>
                  <w:rPr>
                    <w:rFonts w:ascii="Cambria Math" w:hAnsi="Cambria Math"/>
                    <w:i/>
                    <w:sz w:val="22"/>
                  </w:rPr>
                </m:ctrlPr>
              </m:sSubPr>
              <m:e>
                <m:r>
                  <w:rPr>
                    <w:rFonts w:ascii="Cambria Math" w:hAnsi="Cambria Math"/>
                    <w:sz w:val="22"/>
                  </w:rPr>
                  <m:t>(1-F</m:t>
                </m:r>
              </m:e>
              <m:sub>
                <m:r>
                  <w:rPr>
                    <w:rFonts w:ascii="Cambria Math" w:hAnsi="Cambria Math"/>
                    <w:sz w:val="22"/>
                  </w:rPr>
                  <m:t>V</m:t>
                </m:r>
              </m:sub>
            </m:sSub>
            <m:r>
              <w:rPr>
                <w:rFonts w:ascii="Cambria Math" w:hAnsi="Cambria Math"/>
                <w:sz w:val="22"/>
              </w:rPr>
              <m:t>) ∙</m:t>
            </m:r>
            <m:sSub>
              <m:sSubPr>
                <m:ctrlPr>
                  <w:rPr>
                    <w:rFonts w:ascii="Cambria Math" w:hAnsi="Cambria Math"/>
                    <w:i/>
                    <w:sz w:val="22"/>
                  </w:rPr>
                </m:ctrlPr>
              </m:sSubPr>
              <m:e>
                <m:r>
                  <w:rPr>
                    <w:rFonts w:ascii="Cambria Math" w:hAnsi="Cambria Math"/>
                    <w:sz w:val="22"/>
                  </w:rPr>
                  <m:t>LCOH</m:t>
                </m:r>
              </m:e>
              <m:sub>
                <m:r>
                  <w:rPr>
                    <w:rFonts w:ascii="Cambria Math" w:hAnsi="Cambria Math"/>
                    <w:sz w:val="22"/>
                  </w:rPr>
                  <m:t>bio,ref</m:t>
                </m:r>
              </m:sub>
            </m:sSub>
          </m:num>
          <m:den>
            <m:r>
              <w:rPr>
                <w:rFonts w:ascii="Cambria Math" w:hAnsi="Cambria Math"/>
                <w:sz w:val="22"/>
              </w:rPr>
              <m:t>(1-FS)</m:t>
            </m:r>
          </m:den>
        </m:f>
        <m:r>
          <w:rPr>
            <w:rFonts w:ascii="Cambria Math" w:hAnsi="Cambria Math"/>
            <w:sz w:val="22"/>
          </w:rPr>
          <m:t>+</m:t>
        </m:r>
        <m:sSub>
          <m:sSubPr>
            <m:ctrlPr>
              <w:rPr>
                <w:rFonts w:ascii="Cambria Math" w:hAnsi="Cambria Math"/>
                <w:i/>
                <w:sz w:val="22"/>
              </w:rPr>
            </m:ctrlPr>
          </m:sSubPr>
          <m:e>
            <m:r>
              <w:rPr>
                <w:rFonts w:ascii="Cambria Math" w:hAnsi="Cambria Math"/>
                <w:sz w:val="22"/>
              </w:rPr>
              <m:t>F</m:t>
            </m:r>
          </m:e>
          <m:sub>
            <m:r>
              <w:rPr>
                <w:rFonts w:ascii="Cambria Math" w:hAnsi="Cambria Math"/>
                <w:sz w:val="22"/>
              </w:rPr>
              <m:t>V</m:t>
            </m:r>
          </m:sub>
        </m:sSub>
        <m:r>
          <w:rPr>
            <w:rFonts w:ascii="Cambria Math" w:hAnsi="Cambria Math"/>
            <w:sz w:val="22"/>
          </w:rPr>
          <m:t>∙</m:t>
        </m:r>
        <m:sSub>
          <m:sSubPr>
            <m:ctrlPr>
              <w:rPr>
                <w:rFonts w:ascii="Cambria Math" w:hAnsi="Cambria Math"/>
                <w:i/>
                <w:sz w:val="22"/>
              </w:rPr>
            </m:ctrlPr>
          </m:sSubPr>
          <m:e>
            <m:r>
              <w:rPr>
                <w:rFonts w:ascii="Cambria Math" w:hAnsi="Cambria Math"/>
                <w:sz w:val="22"/>
              </w:rPr>
              <m:t>LCOH</m:t>
            </m:r>
          </m:e>
          <m:sub>
            <m:r>
              <w:rPr>
                <w:rFonts w:ascii="Cambria Math" w:hAnsi="Cambria Math"/>
                <w:sz w:val="22"/>
              </w:rPr>
              <m:t>bio,ref</m:t>
            </m:r>
          </m:sub>
        </m:sSub>
        <m:r>
          <w:rPr>
            <w:rFonts w:ascii="Cambria Math" w:hAnsi="Cambria Math"/>
            <w:sz w:val="22"/>
          </w:rPr>
          <m:t xml:space="preserve">, en </m:t>
        </m:r>
        <m:d>
          <m:dPr>
            <m:begChr m:val="["/>
            <m:endChr m:val="]"/>
            <m:ctrlPr>
              <w:rPr>
                <w:rFonts w:ascii="Cambria Math" w:hAnsi="Cambria Math"/>
                <w:i/>
                <w:sz w:val="22"/>
              </w:rPr>
            </m:ctrlPr>
          </m:dPr>
          <m:e>
            <m:f>
              <m:fPr>
                <m:ctrlPr>
                  <w:rPr>
                    <w:rFonts w:ascii="Cambria Math" w:hAnsi="Cambria Math"/>
                    <w:i/>
                    <w:sz w:val="22"/>
                  </w:rPr>
                </m:ctrlPr>
              </m:fPr>
              <m:num>
                <m:r>
                  <w:rPr>
                    <w:rFonts w:ascii="Cambria Math" w:hAnsi="Cambria Math"/>
                    <w:sz w:val="22"/>
                  </w:rPr>
                  <m:t>CHF</m:t>
                </m:r>
              </m:num>
              <m:den>
                <m:r>
                  <w:rPr>
                    <w:rFonts w:ascii="Cambria Math" w:hAnsi="Cambria Math"/>
                    <w:sz w:val="22"/>
                  </w:rPr>
                  <m:t>MWh</m:t>
                </m:r>
              </m:den>
            </m:f>
          </m:e>
        </m:d>
      </m:oMath>
    </w:p>
    <w:p w14:paraId="6BE46BFC" w14:textId="77777777" w:rsidR="006751EE" w:rsidRPr="002A5729" w:rsidRDefault="00433F10" w:rsidP="006751EE">
      <w:pPr>
        <w:pStyle w:val="SWCText"/>
        <w:numPr>
          <w:ilvl w:val="0"/>
          <w:numId w:val="27"/>
        </w:numPr>
      </w:pPr>
      <m:oMath>
        <m:sSub>
          <m:sSubPr>
            <m:ctrlPr>
              <w:rPr>
                <w:rFonts w:ascii="Cambria Math" w:hAnsi="Cambria Math"/>
                <w:i/>
                <w:sz w:val="22"/>
              </w:rPr>
            </m:ctrlPr>
          </m:sSubPr>
          <m:e>
            <m:r>
              <w:rPr>
                <w:rFonts w:ascii="Cambria Math" w:hAnsi="Cambria Math"/>
                <w:sz w:val="22"/>
              </w:rPr>
              <m:t>LCOH</m:t>
            </m:r>
          </m:e>
          <m:sub>
            <m:r>
              <w:rPr>
                <w:rFonts w:ascii="Cambria Math" w:hAnsi="Cambria Math"/>
                <w:sz w:val="22"/>
              </w:rPr>
              <m:t>sol</m:t>
            </m:r>
          </m:sub>
        </m:sSub>
        <m:r>
          <w:rPr>
            <w:rFonts w:ascii="Cambria Math" w:hAnsi="Cambria Math"/>
            <w:sz w:val="22"/>
          </w:rPr>
          <m:t>=</m:t>
        </m:r>
        <m:f>
          <m:fPr>
            <m:ctrlPr>
              <w:rPr>
                <w:rFonts w:ascii="Cambria Math" w:hAnsi="Cambria Math"/>
                <w:i/>
                <w:sz w:val="22"/>
              </w:rPr>
            </m:ctrlPr>
          </m:fPr>
          <m:num>
            <m:sSub>
              <m:sSubPr>
                <m:ctrlPr>
                  <w:rPr>
                    <w:rFonts w:ascii="Cambria Math" w:hAnsi="Cambria Math"/>
                    <w:i/>
                    <w:sz w:val="22"/>
                  </w:rPr>
                </m:ctrlPr>
              </m:sSubPr>
              <m:e>
                <m:r>
                  <w:rPr>
                    <w:rFonts w:ascii="Cambria Math" w:hAnsi="Cambria Math"/>
                    <w:sz w:val="22"/>
                  </w:rPr>
                  <m:t>Capex</m:t>
                </m:r>
              </m:e>
              <m:sub>
                <m:r>
                  <w:rPr>
                    <w:rFonts w:ascii="Cambria Math" w:hAnsi="Cambria Math"/>
                    <w:sz w:val="22"/>
                  </w:rPr>
                  <m:t>TES</m:t>
                </m:r>
              </m:sub>
            </m:sSub>
            <m:r>
              <w:rPr>
                <w:rFonts w:ascii="Cambria Math" w:hAnsi="Cambria Math"/>
                <w:sz w:val="22"/>
              </w:rPr>
              <m:t xml:space="preserve"> + </m:t>
            </m:r>
            <m:sSub>
              <m:sSubPr>
                <m:ctrlPr>
                  <w:rPr>
                    <w:rFonts w:ascii="Cambria Math" w:hAnsi="Cambria Math"/>
                    <w:i/>
                    <w:sz w:val="22"/>
                  </w:rPr>
                </m:ctrlPr>
              </m:sSubPr>
              <m:e>
                <m:r>
                  <w:rPr>
                    <w:rFonts w:ascii="Cambria Math" w:hAnsi="Cambria Math"/>
                    <w:sz w:val="22"/>
                  </w:rPr>
                  <m:t>Capex</m:t>
                </m:r>
              </m:e>
              <m:sub>
                <m:r>
                  <w:rPr>
                    <w:rFonts w:ascii="Cambria Math" w:hAnsi="Cambria Math"/>
                    <w:sz w:val="22"/>
                  </w:rPr>
                  <m:t>ST</m:t>
                </m:r>
              </m:sub>
            </m:sSub>
            <m:r>
              <w:rPr>
                <w:rFonts w:ascii="Cambria Math" w:hAnsi="Cambria Math"/>
                <w:sz w:val="22"/>
              </w:rPr>
              <m:t>∙</m:t>
            </m:r>
            <m:sSup>
              <m:sSupPr>
                <m:ctrlPr>
                  <w:rPr>
                    <w:rFonts w:ascii="Cambria Math" w:hAnsi="Cambria Math"/>
                    <w:i/>
                    <w:sz w:val="22"/>
                  </w:rPr>
                </m:ctrlPr>
              </m:sSupPr>
              <m:e>
                <m:d>
                  <m:dPr>
                    <m:ctrlPr>
                      <w:rPr>
                        <w:rFonts w:ascii="Cambria Math" w:hAnsi="Cambria Math"/>
                        <w:i/>
                        <w:sz w:val="22"/>
                      </w:rPr>
                    </m:ctrlPr>
                  </m:dPr>
                  <m:e>
                    <m:r>
                      <w:rPr>
                        <w:rFonts w:ascii="Cambria Math" w:hAnsi="Cambria Math"/>
                        <w:sz w:val="22"/>
                      </w:rPr>
                      <m:t>1+r</m:t>
                    </m:r>
                  </m:e>
                </m:d>
              </m:e>
              <m:sup>
                <m:r>
                  <w:rPr>
                    <w:rFonts w:ascii="Cambria Math" w:hAnsi="Cambria Math"/>
                    <w:sz w:val="22"/>
                  </w:rPr>
                  <m:t>-</m:t>
                </m:r>
                <m:f>
                  <m:fPr>
                    <m:ctrlPr>
                      <w:rPr>
                        <w:rFonts w:ascii="Cambria Math" w:hAnsi="Cambria Math"/>
                        <w:i/>
                        <w:sz w:val="22"/>
                      </w:rPr>
                    </m:ctrlPr>
                  </m:fPr>
                  <m:num>
                    <m:r>
                      <w:rPr>
                        <w:rFonts w:ascii="Cambria Math" w:hAnsi="Cambria Math"/>
                        <w:sz w:val="22"/>
                      </w:rPr>
                      <m:t>N</m:t>
                    </m:r>
                  </m:num>
                  <m:den>
                    <m:r>
                      <w:rPr>
                        <w:rFonts w:ascii="Cambria Math" w:hAnsi="Cambria Math"/>
                        <w:sz w:val="22"/>
                      </w:rPr>
                      <m:t>2</m:t>
                    </m:r>
                  </m:den>
                </m:f>
              </m:sup>
            </m:sSup>
            <m:r>
              <w:rPr>
                <w:rFonts w:ascii="Cambria Math" w:hAnsi="Cambria Math"/>
                <w:sz w:val="22"/>
              </w:rPr>
              <m:t xml:space="preserve"> +</m:t>
            </m:r>
            <m:sSub>
              <m:sSubPr>
                <m:ctrlPr>
                  <w:rPr>
                    <w:rFonts w:ascii="Cambria Math" w:hAnsi="Cambria Math"/>
                    <w:i/>
                    <w:sz w:val="22"/>
                  </w:rPr>
                </m:ctrlPr>
              </m:sSubPr>
              <m:e>
                <m:r>
                  <w:rPr>
                    <w:rFonts w:ascii="Cambria Math" w:hAnsi="Cambria Math"/>
                    <w:sz w:val="22"/>
                  </w:rPr>
                  <m:t xml:space="preserve"> Capex</m:t>
                </m:r>
              </m:e>
              <m:sub>
                <m:r>
                  <w:rPr>
                    <w:rFonts w:ascii="Cambria Math" w:hAnsi="Cambria Math"/>
                    <w:sz w:val="22"/>
                  </w:rPr>
                  <m:t>pp</m:t>
                </m:r>
              </m:sub>
            </m:sSub>
            <m:r>
              <w:rPr>
                <w:rFonts w:ascii="Cambria Math" w:hAnsi="Cambria Math"/>
                <w:sz w:val="22"/>
              </w:rPr>
              <m:t>∙</m:t>
            </m:r>
            <m:sSup>
              <m:sSupPr>
                <m:ctrlPr>
                  <w:rPr>
                    <w:rFonts w:ascii="Cambria Math" w:hAnsi="Cambria Math"/>
                    <w:i/>
                    <w:sz w:val="22"/>
                  </w:rPr>
                </m:ctrlPr>
              </m:sSupPr>
              <m:e>
                <m:d>
                  <m:dPr>
                    <m:ctrlPr>
                      <w:rPr>
                        <w:rFonts w:ascii="Cambria Math" w:hAnsi="Cambria Math"/>
                        <w:i/>
                        <w:sz w:val="22"/>
                      </w:rPr>
                    </m:ctrlPr>
                  </m:dPr>
                  <m:e>
                    <m:r>
                      <w:rPr>
                        <w:rFonts w:ascii="Cambria Math" w:hAnsi="Cambria Math"/>
                        <w:sz w:val="22"/>
                      </w:rPr>
                      <m:t>1+r</m:t>
                    </m:r>
                  </m:e>
                </m:d>
              </m:e>
              <m:sup>
                <m:r>
                  <w:rPr>
                    <w:rFonts w:ascii="Cambria Math" w:hAnsi="Cambria Math"/>
                    <w:sz w:val="22"/>
                  </w:rPr>
                  <m:t>-</m:t>
                </m:r>
                <m:f>
                  <m:fPr>
                    <m:ctrlPr>
                      <w:rPr>
                        <w:rFonts w:ascii="Cambria Math" w:hAnsi="Cambria Math"/>
                        <w:i/>
                        <w:sz w:val="22"/>
                      </w:rPr>
                    </m:ctrlPr>
                  </m:fPr>
                  <m:num>
                    <m:r>
                      <w:rPr>
                        <w:rFonts w:ascii="Cambria Math" w:hAnsi="Cambria Math"/>
                        <w:sz w:val="22"/>
                      </w:rPr>
                      <m:t>N</m:t>
                    </m:r>
                  </m:num>
                  <m:den>
                    <m:r>
                      <w:rPr>
                        <w:rFonts w:ascii="Cambria Math" w:hAnsi="Cambria Math"/>
                        <w:sz w:val="22"/>
                      </w:rPr>
                      <m:t xml:space="preserve">2  </m:t>
                    </m:r>
                  </m:den>
                </m:f>
                <m:r>
                  <w:rPr>
                    <w:rFonts w:ascii="Cambria Math" w:hAnsi="Cambria Math"/>
                    <w:sz w:val="22"/>
                  </w:rPr>
                  <m:t xml:space="preserve"> </m:t>
                </m:r>
              </m:sup>
            </m:sSup>
            <m:r>
              <w:rPr>
                <w:rFonts w:ascii="Cambria Math" w:hAnsi="Cambria Math"/>
                <w:sz w:val="22"/>
              </w:rPr>
              <m:t xml:space="preserve">+ </m:t>
            </m:r>
            <m:nary>
              <m:naryPr>
                <m:chr m:val="∑"/>
                <m:limLoc m:val="subSup"/>
                <m:ctrlPr>
                  <w:rPr>
                    <w:rFonts w:ascii="Cambria Math" w:hAnsi="Cambria Math"/>
                    <w:i/>
                    <w:sz w:val="22"/>
                  </w:rPr>
                </m:ctrlPr>
              </m:naryPr>
              <m:sub>
                <m:r>
                  <w:rPr>
                    <w:rFonts w:ascii="Cambria Math" w:hAnsi="Cambria Math"/>
                    <w:sz w:val="22"/>
                  </w:rPr>
                  <m:t>t=1</m:t>
                </m:r>
              </m:sub>
              <m:sup>
                <m:r>
                  <w:rPr>
                    <w:rFonts w:ascii="Cambria Math" w:hAnsi="Cambria Math"/>
                    <w:sz w:val="22"/>
                  </w:rPr>
                  <m:t>N</m:t>
                </m:r>
              </m:sup>
              <m:e>
                <m:f>
                  <m:fPr>
                    <m:ctrlPr>
                      <w:rPr>
                        <w:rFonts w:ascii="Cambria Math" w:hAnsi="Cambria Math"/>
                        <w:i/>
                        <w:sz w:val="22"/>
                      </w:rPr>
                    </m:ctrlPr>
                  </m:fPr>
                  <m:num>
                    <m:sSub>
                      <m:sSubPr>
                        <m:ctrlPr>
                          <w:rPr>
                            <w:rFonts w:ascii="Cambria Math" w:hAnsi="Cambria Math"/>
                            <w:i/>
                            <w:sz w:val="22"/>
                          </w:rPr>
                        </m:ctrlPr>
                      </m:sSubPr>
                      <m:e>
                        <m:r>
                          <w:rPr>
                            <w:rFonts w:ascii="Cambria Math" w:hAnsi="Cambria Math"/>
                            <w:sz w:val="22"/>
                          </w:rPr>
                          <m:t>OPEX</m:t>
                        </m:r>
                      </m:e>
                      <m:sub>
                        <m:r>
                          <w:rPr>
                            <w:rFonts w:ascii="Cambria Math" w:hAnsi="Cambria Math"/>
                            <w:sz w:val="22"/>
                          </w:rPr>
                          <m:t>t</m:t>
                        </m:r>
                      </m:sub>
                    </m:sSub>
                  </m:num>
                  <m:den>
                    <m:sSup>
                      <m:sSupPr>
                        <m:ctrlPr>
                          <w:rPr>
                            <w:rFonts w:ascii="Cambria Math" w:hAnsi="Cambria Math"/>
                            <w:i/>
                            <w:sz w:val="22"/>
                          </w:rPr>
                        </m:ctrlPr>
                      </m:sSupPr>
                      <m:e>
                        <m:d>
                          <m:dPr>
                            <m:ctrlPr>
                              <w:rPr>
                                <w:rFonts w:ascii="Cambria Math" w:hAnsi="Cambria Math"/>
                                <w:i/>
                                <w:sz w:val="22"/>
                              </w:rPr>
                            </m:ctrlPr>
                          </m:dPr>
                          <m:e>
                            <m:r>
                              <w:rPr>
                                <w:rFonts w:ascii="Cambria Math" w:hAnsi="Cambria Math"/>
                                <w:sz w:val="22"/>
                              </w:rPr>
                              <m:t>1+r</m:t>
                            </m:r>
                          </m:e>
                        </m:d>
                      </m:e>
                      <m:sup>
                        <m:r>
                          <w:rPr>
                            <w:rFonts w:ascii="Cambria Math" w:hAnsi="Cambria Math"/>
                            <w:sz w:val="22"/>
                          </w:rPr>
                          <m:t>-t</m:t>
                        </m:r>
                      </m:sup>
                    </m:sSup>
                  </m:den>
                </m:f>
              </m:e>
            </m:nary>
          </m:num>
          <m:den>
            <m:nary>
              <m:naryPr>
                <m:chr m:val="∑"/>
                <m:limLoc m:val="subSup"/>
                <m:ctrlPr>
                  <w:rPr>
                    <w:rFonts w:ascii="Cambria Math" w:hAnsi="Cambria Math"/>
                    <w:i/>
                    <w:sz w:val="22"/>
                  </w:rPr>
                </m:ctrlPr>
              </m:naryPr>
              <m:sub>
                <m:r>
                  <w:rPr>
                    <w:rFonts w:ascii="Cambria Math" w:hAnsi="Cambria Math"/>
                    <w:sz w:val="22"/>
                  </w:rPr>
                  <m:t>t=1</m:t>
                </m:r>
              </m:sub>
              <m:sup>
                <m:r>
                  <w:rPr>
                    <w:rFonts w:ascii="Cambria Math" w:hAnsi="Cambria Math"/>
                    <w:sz w:val="22"/>
                  </w:rPr>
                  <m:t>N</m:t>
                </m:r>
              </m:sup>
              <m:e>
                <m:f>
                  <m:fPr>
                    <m:ctrlPr>
                      <w:rPr>
                        <w:rFonts w:ascii="Cambria Math" w:hAnsi="Cambria Math"/>
                        <w:i/>
                        <w:sz w:val="22"/>
                      </w:rPr>
                    </m:ctrlPr>
                  </m:fPr>
                  <m:num>
                    <m:sSub>
                      <m:sSubPr>
                        <m:ctrlPr>
                          <w:rPr>
                            <w:rFonts w:ascii="Cambria Math" w:hAnsi="Cambria Math"/>
                            <w:i/>
                            <w:sz w:val="22"/>
                          </w:rPr>
                        </m:ctrlPr>
                      </m:sSubPr>
                      <m:e>
                        <m:r>
                          <w:rPr>
                            <w:rFonts w:ascii="Cambria Math" w:hAnsi="Cambria Math"/>
                            <w:sz w:val="22"/>
                          </w:rPr>
                          <m:t>Q</m:t>
                        </m:r>
                      </m:e>
                      <m:sub>
                        <m:r>
                          <w:rPr>
                            <w:rFonts w:ascii="Cambria Math" w:hAnsi="Cambria Math"/>
                            <w:sz w:val="22"/>
                          </w:rPr>
                          <m:t>t</m:t>
                        </m:r>
                      </m:sub>
                    </m:sSub>
                  </m:num>
                  <m:den>
                    <m:sSup>
                      <m:sSupPr>
                        <m:ctrlPr>
                          <w:rPr>
                            <w:rFonts w:ascii="Cambria Math" w:hAnsi="Cambria Math"/>
                            <w:i/>
                            <w:sz w:val="22"/>
                          </w:rPr>
                        </m:ctrlPr>
                      </m:sSupPr>
                      <m:e>
                        <m:d>
                          <m:dPr>
                            <m:ctrlPr>
                              <w:rPr>
                                <w:rFonts w:ascii="Cambria Math" w:hAnsi="Cambria Math"/>
                                <w:i/>
                                <w:sz w:val="22"/>
                              </w:rPr>
                            </m:ctrlPr>
                          </m:dPr>
                          <m:e>
                            <m:r>
                              <w:rPr>
                                <w:rFonts w:ascii="Cambria Math" w:hAnsi="Cambria Math"/>
                                <w:sz w:val="22"/>
                              </w:rPr>
                              <m:t>1+r</m:t>
                            </m:r>
                          </m:e>
                        </m:d>
                      </m:e>
                      <m:sup>
                        <m:r>
                          <w:rPr>
                            <w:rFonts w:ascii="Cambria Math" w:hAnsi="Cambria Math"/>
                            <w:sz w:val="22"/>
                          </w:rPr>
                          <m:t>t</m:t>
                        </m:r>
                      </m:sup>
                    </m:sSup>
                  </m:den>
                </m:f>
              </m:e>
            </m:nary>
          </m:den>
        </m:f>
        <m:r>
          <w:rPr>
            <w:rFonts w:ascii="Cambria Math" w:hAnsi="Cambria Math"/>
            <w:sz w:val="22"/>
          </w:rPr>
          <m:t xml:space="preserve">, en </m:t>
        </m:r>
        <m:d>
          <m:dPr>
            <m:begChr m:val="["/>
            <m:endChr m:val="]"/>
            <m:ctrlPr>
              <w:rPr>
                <w:rFonts w:ascii="Cambria Math" w:hAnsi="Cambria Math"/>
                <w:i/>
                <w:sz w:val="22"/>
              </w:rPr>
            </m:ctrlPr>
          </m:dPr>
          <m:e>
            <m:f>
              <m:fPr>
                <m:ctrlPr>
                  <w:rPr>
                    <w:rFonts w:ascii="Cambria Math" w:hAnsi="Cambria Math"/>
                    <w:i/>
                    <w:sz w:val="22"/>
                  </w:rPr>
                </m:ctrlPr>
              </m:fPr>
              <m:num>
                <m:r>
                  <w:rPr>
                    <w:rFonts w:ascii="Cambria Math" w:hAnsi="Cambria Math"/>
                    <w:sz w:val="22"/>
                  </w:rPr>
                  <m:t>CHF</m:t>
                </m:r>
              </m:num>
              <m:den>
                <m:r>
                  <w:rPr>
                    <w:rFonts w:ascii="Cambria Math" w:hAnsi="Cambria Math"/>
                    <w:sz w:val="22"/>
                  </w:rPr>
                  <m:t>MWh</m:t>
                </m:r>
              </m:den>
            </m:f>
          </m:e>
        </m:d>
      </m:oMath>
    </w:p>
    <w:p w14:paraId="649F1161" w14:textId="72F1C0FA" w:rsidR="00444604" w:rsidRPr="008A1F76" w:rsidRDefault="00433F10" w:rsidP="00C206BF">
      <w:pPr>
        <w:pStyle w:val="ECREP2024standard-text-fr"/>
        <w:numPr>
          <w:ilvl w:val="0"/>
          <w:numId w:val="27"/>
        </w:numPr>
      </w:pPr>
      <m:oMath>
        <m:sSub>
          <m:sSubPr>
            <m:ctrlPr>
              <w:rPr>
                <w:rFonts w:ascii="Cambria Math" w:hAnsi="Cambria Math"/>
                <w:i/>
                <w:sz w:val="22"/>
                <w:szCs w:val="22"/>
              </w:rPr>
            </m:ctrlPr>
          </m:sSubPr>
          <m:e>
            <m:r>
              <w:rPr>
                <w:rFonts w:ascii="Cambria Math" w:hAnsi="Cambria Math"/>
                <w:sz w:val="22"/>
                <w:szCs w:val="22"/>
              </w:rPr>
              <m:t>LCOH</m:t>
            </m:r>
          </m:e>
          <m:sub>
            <m:r>
              <w:rPr>
                <w:rFonts w:ascii="Cambria Math" w:hAnsi="Cambria Math"/>
                <w:sz w:val="22"/>
                <w:szCs w:val="22"/>
              </w:rPr>
              <m:t>hybr</m:t>
            </m:r>
          </m:sub>
        </m:sSub>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1-SF</m:t>
            </m:r>
          </m:e>
        </m:d>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LCOH</m:t>
            </m:r>
          </m:e>
          <m:sub>
            <m:r>
              <w:rPr>
                <w:rFonts w:ascii="Cambria Math" w:hAnsi="Cambria Math"/>
                <w:sz w:val="22"/>
                <w:szCs w:val="22"/>
              </w:rPr>
              <m:t>bio</m:t>
            </m:r>
          </m:sub>
        </m:sSub>
        <m:r>
          <w:rPr>
            <w:rFonts w:ascii="Cambria Math" w:hAnsi="Cambria Math"/>
            <w:sz w:val="22"/>
            <w:szCs w:val="22"/>
          </w:rPr>
          <m:t>+SF*</m:t>
        </m:r>
        <m:sSub>
          <m:sSubPr>
            <m:ctrlPr>
              <w:rPr>
                <w:rFonts w:ascii="Cambria Math" w:hAnsi="Cambria Math"/>
                <w:i/>
                <w:sz w:val="22"/>
                <w:szCs w:val="22"/>
              </w:rPr>
            </m:ctrlPr>
          </m:sSubPr>
          <m:e>
            <m:r>
              <w:rPr>
                <w:rFonts w:ascii="Cambria Math" w:hAnsi="Cambria Math"/>
                <w:sz w:val="22"/>
                <w:szCs w:val="22"/>
              </w:rPr>
              <m:t>LCOH</m:t>
            </m:r>
          </m:e>
          <m:sub>
            <m:r>
              <w:rPr>
                <w:rFonts w:ascii="Cambria Math" w:hAnsi="Cambria Math"/>
                <w:sz w:val="22"/>
                <w:szCs w:val="22"/>
              </w:rPr>
              <m:t>sol</m:t>
            </m:r>
          </m:sub>
        </m:sSub>
        <m:r>
          <w:rPr>
            <w:rFonts w:ascii="Cambria Math" w:hAnsi="Cambria Math"/>
            <w:sz w:val="22"/>
            <w:szCs w:val="22"/>
          </w:rPr>
          <m:t xml:space="preserve">, en </m:t>
        </m:r>
        <m:d>
          <m:dPr>
            <m:begChr m:val="["/>
            <m:endChr m:val="]"/>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CHF</m:t>
                </m:r>
              </m:num>
              <m:den>
                <m:r>
                  <w:rPr>
                    <w:rFonts w:ascii="Cambria Math" w:hAnsi="Cambria Math"/>
                    <w:sz w:val="22"/>
                    <w:szCs w:val="22"/>
                  </w:rPr>
                  <m:t>MWh</m:t>
                </m:r>
              </m:den>
            </m:f>
          </m:e>
        </m:d>
      </m:oMath>
    </w:p>
    <w:p w14:paraId="5E084638" w14:textId="7BC28AA8" w:rsidR="008A1F76" w:rsidRPr="00AF25D4" w:rsidRDefault="00433F10" w:rsidP="008A1F76">
      <w:pPr>
        <w:pStyle w:val="ECREP2024standard-text-fr"/>
        <w:numPr>
          <w:ilvl w:val="0"/>
          <w:numId w:val="27"/>
        </w:numPr>
        <w:rPr>
          <w:rFonts w:eastAsiaTheme="minorEastAsia"/>
        </w:rPr>
      </w:pPr>
      <m:oMath>
        <m:sSub>
          <m:sSubPr>
            <m:ctrlPr>
              <w:rPr>
                <w:rFonts w:ascii="Cambria Math" w:hAnsi="Cambria Math"/>
                <w:i/>
              </w:rPr>
            </m:ctrlPr>
          </m:sSubPr>
          <m:e>
            <m:r>
              <w:rPr>
                <w:rFonts w:ascii="Cambria Math" w:hAnsi="Cambria Math"/>
              </w:rPr>
              <m:t>f</m:t>
            </m:r>
          </m:e>
          <m:sub>
            <m:r>
              <w:rPr>
                <w:rFonts w:ascii="Cambria Math" w:hAnsi="Cambria Math"/>
              </w:rPr>
              <m:t>hybr,</m:t>
            </m:r>
            <m:d>
              <m:dPr>
                <m:begChr m:val="["/>
                <m:endChr m:val="]"/>
                <m:ctrlPr>
                  <w:rPr>
                    <w:rFonts w:ascii="Cambria Math" w:hAnsi="Cambria Math"/>
                    <w:i/>
                  </w:rPr>
                </m:ctrlPr>
              </m:dPr>
              <m:e>
                <m:r>
                  <w:rPr>
                    <w:rFonts w:ascii="Cambria Math" w:hAnsi="Cambria Math"/>
                  </w:rPr>
                  <m:t>CO,NOx,FiPar</m:t>
                </m:r>
              </m:e>
            </m:d>
          </m:sub>
        </m:sSub>
        <m:r>
          <w:rPr>
            <w:rFonts w:ascii="Cambria Math" w:hAnsi="Cambria Math"/>
          </w:rPr>
          <m:t>=</m:t>
        </m:r>
        <m:f>
          <m:fPr>
            <m:ctrlPr>
              <w:rPr>
                <w:rFonts w:ascii="Cambria Math" w:hAnsi="Cambria Math"/>
                <w:i/>
              </w:rPr>
            </m:ctrlPr>
          </m:fPr>
          <m:num>
            <m:r>
              <w:rPr>
                <w:rFonts w:ascii="Cambria Math" w:hAnsi="Cambria Math"/>
              </w:rPr>
              <m:t>gEmissions</m:t>
            </m:r>
            <m:d>
              <m:dPr>
                <m:begChr m:val="["/>
                <m:endChr m:val="]"/>
                <m:ctrlPr>
                  <w:rPr>
                    <w:rFonts w:ascii="Cambria Math" w:hAnsi="Cambria Math"/>
                    <w:i/>
                  </w:rPr>
                </m:ctrlPr>
              </m:dPr>
              <m:e>
                <m:r>
                  <w:rPr>
                    <w:rFonts w:ascii="Cambria Math" w:hAnsi="Cambria Math"/>
                  </w:rPr>
                  <m:t>CO,NOx,FiPAr</m:t>
                </m:r>
              </m:e>
            </m:d>
          </m:num>
          <m:den>
            <m:sSub>
              <m:sSubPr>
                <m:ctrlPr>
                  <w:rPr>
                    <w:rFonts w:ascii="Cambria Math" w:hAnsi="Cambria Math"/>
                    <w:i/>
                  </w:rPr>
                </m:ctrlPr>
              </m:sSubPr>
              <m:e>
                <m:r>
                  <w:rPr>
                    <w:rFonts w:ascii="Cambria Math" w:hAnsi="Cambria Math"/>
                  </w:rPr>
                  <m:t>E</m:t>
                </m:r>
              </m:e>
              <m:sub>
                <m:r>
                  <w:rPr>
                    <w:rFonts w:ascii="Cambria Math" w:hAnsi="Cambria Math"/>
                  </w:rPr>
                  <m:t>DH</m:t>
                </m:r>
              </m:sub>
            </m:sSub>
          </m:den>
        </m:f>
        <m:r>
          <w:rPr>
            <w:rFonts w:ascii="Cambria Math" w:hAnsi="Cambria Math"/>
          </w:rPr>
          <m:t xml:space="preserve"> in </m:t>
        </m:r>
        <m:f>
          <m:fPr>
            <m:ctrlPr>
              <w:rPr>
                <w:rFonts w:ascii="Cambria Math" w:hAnsi="Cambria Math"/>
                <w:i/>
              </w:rPr>
            </m:ctrlPr>
          </m:fPr>
          <m:num>
            <m:r>
              <w:rPr>
                <w:rFonts w:ascii="Cambria Math" w:hAnsi="Cambria Math"/>
              </w:rPr>
              <m:t>g</m:t>
            </m:r>
            <m:d>
              <m:dPr>
                <m:begChr m:val="["/>
                <m:endChr m:val="]"/>
                <m:ctrlPr>
                  <w:rPr>
                    <w:rFonts w:ascii="Cambria Math" w:hAnsi="Cambria Math"/>
                    <w:i/>
                  </w:rPr>
                </m:ctrlPr>
              </m:dPr>
              <m:e>
                <m:r>
                  <w:rPr>
                    <w:rFonts w:ascii="Cambria Math" w:hAnsi="Cambria Math"/>
                  </w:rPr>
                  <m:t>CO,NOx,FiPar</m:t>
                </m:r>
              </m:e>
            </m:d>
          </m:num>
          <m:den>
            <m:r>
              <w:rPr>
                <w:rFonts w:ascii="Cambria Math" w:hAnsi="Cambria Math"/>
              </w:rPr>
              <m:t>GJ</m:t>
            </m:r>
          </m:den>
        </m:f>
      </m:oMath>
    </w:p>
    <w:p w14:paraId="22334032" w14:textId="77777777" w:rsidR="00691682" w:rsidRDefault="009D6879" w:rsidP="001527FC">
      <w:pPr>
        <w:pStyle w:val="SWCText"/>
        <w:spacing w:before="240"/>
      </w:pPr>
      <w:r>
        <w:t xml:space="preserve">Once </w:t>
      </w:r>
      <w:r w:rsidR="000F40AE">
        <w:t xml:space="preserve">the technical and economic </w:t>
      </w:r>
      <w:r>
        <w:t>perspective had been treated</w:t>
      </w:r>
      <w:r w:rsidR="00CC48A6">
        <w:t xml:space="preserve">, the emissions of </w:t>
      </w:r>
      <w:r w:rsidR="00DE7B45">
        <w:t>pollutants</w:t>
      </w:r>
      <w:r w:rsidR="00CC48A6">
        <w:t xml:space="preserve"> </w:t>
      </w:r>
      <w:r w:rsidR="00894ADC">
        <w:t>such as</w:t>
      </w:r>
      <w:r w:rsidR="00CC48A6">
        <w:t xml:space="preserve"> CO, NOx and fine particulate </w:t>
      </w:r>
      <w:r w:rsidR="00D87EF2">
        <w:t xml:space="preserve">were quantified for the different configurations and scenarios </w:t>
      </w:r>
      <w:r w:rsidR="00F96214">
        <w:t xml:space="preserve">based on the current emission model </w:t>
      </w:r>
      <w:r w:rsidR="002D68ED">
        <w:t xml:space="preserve">issued by the QM </w:t>
      </w:r>
      <w:proofErr w:type="spellStart"/>
      <w:r w:rsidR="002D68ED">
        <w:t>Bois</w:t>
      </w:r>
      <w:proofErr w:type="spellEnd"/>
      <w:r w:rsidR="002D68ED">
        <w:t xml:space="preserve"> association [</w:t>
      </w:r>
      <w:r w:rsidR="00CD11F0">
        <w:t>19</w:t>
      </w:r>
      <w:r w:rsidR="002D68ED">
        <w:t>]</w:t>
      </w:r>
      <w:r w:rsidR="00FD79F7">
        <w:t>. This latter</w:t>
      </w:r>
      <w:r w:rsidR="007D2D6B">
        <w:t xml:space="preserve"> provid</w:t>
      </w:r>
      <w:r w:rsidR="00FD79F7">
        <w:t>es</w:t>
      </w:r>
      <w:r w:rsidR="007D2D6B">
        <w:t xml:space="preserve"> emission factor</w:t>
      </w:r>
      <w:r w:rsidR="00176401">
        <w:t>s</w:t>
      </w:r>
      <w:r w:rsidR="00B93DFC">
        <w:t xml:space="preserve"> for the different phases of the biomass </w:t>
      </w:r>
      <w:r w:rsidR="00610271">
        <w:t>burner</w:t>
      </w:r>
      <w:r w:rsidR="00B93DFC">
        <w:t xml:space="preserve"> cycle </w:t>
      </w:r>
      <w:r w:rsidR="00176401">
        <w:t xml:space="preserve">and different pollutants </w:t>
      </w:r>
      <w:r w:rsidR="00B93DFC">
        <w:t xml:space="preserve">(see </w:t>
      </w:r>
      <w:r w:rsidR="005A6B1B" w:rsidRPr="005A6B1B">
        <w:fldChar w:fldCharType="begin"/>
      </w:r>
      <w:r w:rsidR="005A6B1B" w:rsidRPr="005A6B1B">
        <w:instrText xml:space="preserve"> REF _Ref238541041 \h  \* MERGEFORMAT </w:instrText>
      </w:r>
      <w:r w:rsidR="005A6B1B" w:rsidRPr="005A6B1B">
        <w:fldChar w:fldCharType="separate"/>
      </w:r>
      <w:r w:rsidR="005A6B1B" w:rsidRPr="005A6B1B">
        <w:rPr>
          <w:color w:val="auto"/>
          <w:szCs w:val="20"/>
        </w:rPr>
        <w:t xml:space="preserve">Table </w:t>
      </w:r>
      <w:r w:rsidR="005A6B1B" w:rsidRPr="005A6B1B">
        <w:rPr>
          <w:noProof/>
          <w:color w:val="auto"/>
          <w:szCs w:val="20"/>
        </w:rPr>
        <w:t>2</w:t>
      </w:r>
      <w:r w:rsidR="005A6B1B" w:rsidRPr="005A6B1B">
        <w:fldChar w:fldCharType="end"/>
      </w:r>
      <w:r w:rsidR="005A6B1B">
        <w:t>)</w:t>
      </w:r>
      <w:r w:rsidR="002D68ED">
        <w:t xml:space="preserve">. </w:t>
      </w:r>
      <w:r w:rsidR="00DE33CE">
        <w:t>To compare the emissions in the different configurations, the emission factor of the hybrid plant</w:t>
      </w:r>
      <w:r w:rsidR="005D65A0">
        <w:t xml:space="preserve"> (</w:t>
      </w:r>
      <w:proofErr w:type="spellStart"/>
      <w:r w:rsidR="005D65A0">
        <w:t>f</w:t>
      </w:r>
      <w:r w:rsidR="005D65A0" w:rsidRPr="003A0351">
        <w:rPr>
          <w:vertAlign w:val="subscript"/>
        </w:rPr>
        <w:t>hybr</w:t>
      </w:r>
      <w:proofErr w:type="spellEnd"/>
      <w:r w:rsidR="003A0351" w:rsidRPr="003A0351">
        <w:t>, equation 4</w:t>
      </w:r>
      <w:r w:rsidR="005D65A0">
        <w:t>)</w:t>
      </w:r>
      <w:r w:rsidR="00DE33CE">
        <w:t xml:space="preserve"> </w:t>
      </w:r>
      <w:r w:rsidR="007D2D6B">
        <w:t xml:space="preserve">and </w:t>
      </w:r>
      <w:r w:rsidR="003A0351">
        <w:t xml:space="preserve">that </w:t>
      </w:r>
      <w:r w:rsidR="007D2D6B">
        <w:t xml:space="preserve">of the </w:t>
      </w:r>
      <w:r w:rsidR="005137E1">
        <w:t>biomass generating units</w:t>
      </w:r>
      <w:r w:rsidR="007D2D6B">
        <w:t xml:space="preserve"> </w:t>
      </w:r>
      <w:r w:rsidR="003A0351">
        <w:t>(</w:t>
      </w:r>
      <w:proofErr w:type="spellStart"/>
      <w:r w:rsidR="003A0351">
        <w:t>f</w:t>
      </w:r>
      <w:r w:rsidR="003A0351" w:rsidRPr="003A0351">
        <w:rPr>
          <w:vertAlign w:val="subscript"/>
        </w:rPr>
        <w:t>bio</w:t>
      </w:r>
      <w:proofErr w:type="spellEnd"/>
      <w:r w:rsidR="003A0351">
        <w:rPr>
          <w:vertAlign w:val="subscript"/>
        </w:rPr>
        <w:t>,</w:t>
      </w:r>
      <w:r w:rsidR="003A0351">
        <w:t xml:space="preserve">) </w:t>
      </w:r>
      <w:r w:rsidR="007B0BC4">
        <w:t>were</w:t>
      </w:r>
      <w:r w:rsidR="00DE33CE">
        <w:t xml:space="preserve"> com</w:t>
      </w:r>
      <w:r w:rsidR="00D2663C">
        <w:t>puted</w:t>
      </w:r>
      <w:r w:rsidR="005137E1">
        <w:t xml:space="preserve">. </w:t>
      </w:r>
    </w:p>
    <w:tbl>
      <w:tblPr>
        <w:tblStyle w:val="TableauGrille4-Accentuation3"/>
        <w:tblpPr w:leftFromText="142" w:rightFromText="142" w:bottomFromText="142" w:vertAnchor="text" w:horzAnchor="margin" w:tblpY="74"/>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7"/>
        <w:gridCol w:w="1983"/>
        <w:gridCol w:w="2835"/>
        <w:gridCol w:w="1842"/>
      </w:tblGrid>
      <w:tr w:rsidR="00691682" w:rsidRPr="0009226B" w14:paraId="62EABEFB" w14:textId="77777777" w:rsidTr="006916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4"/>
            <w:tcBorders>
              <w:top w:val="none" w:sz="0" w:space="0" w:color="auto"/>
              <w:left w:val="none" w:sz="0" w:space="0" w:color="auto"/>
              <w:bottom w:val="single" w:sz="4" w:space="0" w:color="auto"/>
              <w:right w:val="none" w:sz="0" w:space="0" w:color="auto"/>
            </w:tcBorders>
            <w:shd w:val="clear" w:color="auto" w:fill="auto"/>
          </w:tcPr>
          <w:p w14:paraId="23327CCE" w14:textId="77777777" w:rsidR="00691682" w:rsidRPr="001527FC" w:rsidRDefault="00691682" w:rsidP="00691682">
            <w:pPr>
              <w:pStyle w:val="SWCTableFigureCaption"/>
              <w:rPr>
                <w:rFonts w:ascii="Times New Roman" w:eastAsia="Times New Roman" w:hAnsi="Times New Roman"/>
                <w:color w:val="auto"/>
                <w:szCs w:val="20"/>
              </w:rPr>
            </w:pPr>
            <w:bookmarkStart w:id="6" w:name="_Ref238541041"/>
            <w:r w:rsidRPr="005A6B1B">
              <w:rPr>
                <w:rFonts w:ascii="Times New Roman" w:eastAsia="Times New Roman" w:hAnsi="Times New Roman"/>
                <w:b/>
                <w:bCs w:val="0"/>
                <w:color w:val="auto"/>
                <w:szCs w:val="20"/>
              </w:rPr>
              <w:lastRenderedPageBreak/>
              <w:t xml:space="preserve">Table </w:t>
            </w:r>
            <w:r w:rsidRPr="005A6B1B">
              <w:rPr>
                <w:color w:val="auto"/>
              </w:rPr>
              <w:fldChar w:fldCharType="begin"/>
            </w:r>
            <w:r w:rsidRPr="005A6B1B">
              <w:rPr>
                <w:rFonts w:ascii="Times New Roman" w:eastAsia="Times New Roman" w:hAnsi="Times New Roman"/>
                <w:b/>
                <w:bCs w:val="0"/>
                <w:color w:val="auto"/>
                <w:szCs w:val="20"/>
              </w:rPr>
              <w:instrText xml:space="preserve"> SEQ Table \* ARABIC </w:instrText>
            </w:r>
            <w:r w:rsidRPr="005A6B1B">
              <w:rPr>
                <w:color w:val="auto"/>
              </w:rPr>
              <w:fldChar w:fldCharType="separate"/>
            </w:r>
            <w:r w:rsidRPr="005A6B1B">
              <w:rPr>
                <w:rFonts w:ascii="Times New Roman" w:eastAsia="Times New Roman" w:hAnsi="Times New Roman"/>
                <w:b/>
                <w:bCs w:val="0"/>
                <w:noProof/>
                <w:color w:val="auto"/>
                <w:szCs w:val="20"/>
              </w:rPr>
              <w:t>2</w:t>
            </w:r>
            <w:r w:rsidRPr="005A6B1B">
              <w:rPr>
                <w:color w:val="auto"/>
              </w:rPr>
              <w:fldChar w:fldCharType="end"/>
            </w:r>
            <w:bookmarkEnd w:id="6"/>
            <w:r w:rsidRPr="005A6B1B">
              <w:rPr>
                <w:rFonts w:ascii="Times New Roman" w:eastAsia="Times New Roman" w:hAnsi="Times New Roman"/>
                <w:b/>
                <w:bCs w:val="0"/>
                <w:color w:val="auto"/>
                <w:szCs w:val="20"/>
              </w:rPr>
              <w:t xml:space="preserve">: Emission factors for industrial pellet boilers of power larger than 500 </w:t>
            </w:r>
            <w:proofErr w:type="spellStart"/>
            <w:r w:rsidRPr="005A6B1B">
              <w:rPr>
                <w:rFonts w:ascii="Times New Roman" w:eastAsia="Times New Roman" w:hAnsi="Times New Roman"/>
                <w:b/>
                <w:bCs w:val="0"/>
                <w:color w:val="auto"/>
                <w:szCs w:val="20"/>
              </w:rPr>
              <w:t>kW</w:t>
            </w:r>
            <w:r w:rsidRPr="00B85005">
              <w:rPr>
                <w:rFonts w:ascii="Times New Roman" w:eastAsia="Times New Roman" w:hAnsi="Times New Roman"/>
                <w:b/>
                <w:bCs w:val="0"/>
                <w:color w:val="auto"/>
                <w:szCs w:val="20"/>
                <w:vertAlign w:val="subscript"/>
              </w:rPr>
              <w:t>th</w:t>
            </w:r>
            <w:proofErr w:type="spellEnd"/>
            <w:r w:rsidRPr="005A6B1B">
              <w:rPr>
                <w:rFonts w:ascii="Times New Roman" w:eastAsia="Times New Roman" w:hAnsi="Times New Roman"/>
                <w:b/>
                <w:bCs w:val="0"/>
                <w:color w:val="auto"/>
                <w:szCs w:val="20"/>
              </w:rPr>
              <w:t xml:space="preserve"> for each operating phase (source </w:t>
            </w:r>
            <w:r>
              <w:rPr>
                <w:rFonts w:ascii="Times New Roman" w:eastAsia="Times New Roman" w:hAnsi="Times New Roman"/>
                <w:b/>
                <w:bCs w:val="0"/>
                <w:color w:val="auto"/>
                <w:szCs w:val="20"/>
              </w:rPr>
              <w:t>[19]</w:t>
            </w:r>
            <w:r w:rsidRPr="005A6B1B">
              <w:rPr>
                <w:rFonts w:ascii="Times New Roman" w:eastAsia="Times New Roman" w:hAnsi="Times New Roman"/>
                <w:b/>
                <w:bCs w:val="0"/>
                <w:color w:val="auto"/>
                <w:szCs w:val="20"/>
              </w:rPr>
              <w:t>)</w:t>
            </w:r>
          </w:p>
        </w:tc>
      </w:tr>
      <w:tr w:rsidR="00691682" w:rsidRPr="00656997" w14:paraId="755D3846" w14:textId="77777777" w:rsidTr="006916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Borders>
              <w:top w:val="single" w:sz="4" w:space="0" w:color="auto"/>
              <w:bottom w:val="single" w:sz="4" w:space="0" w:color="auto"/>
            </w:tcBorders>
            <w:shd w:val="clear" w:color="auto" w:fill="auto"/>
          </w:tcPr>
          <w:p w14:paraId="62AD7C59" w14:textId="77777777" w:rsidR="00691682" w:rsidRPr="00415B43" w:rsidRDefault="00691682" w:rsidP="00691682">
            <w:pPr>
              <w:rPr>
                <w:rFonts w:ascii="Times New Roman" w:eastAsia="Times New Roman" w:hAnsi="Times New Roman"/>
                <w:b w:val="0"/>
                <w:bCs w:val="0"/>
                <w:sz w:val="18"/>
                <w:lang w:val="en-GB"/>
              </w:rPr>
            </w:pPr>
            <w:r>
              <w:rPr>
                <w:rFonts w:ascii="Times New Roman" w:eastAsia="Times New Roman" w:hAnsi="Times New Roman"/>
                <w:b w:val="0"/>
                <w:bCs w:val="0"/>
                <w:sz w:val="18"/>
                <w:lang w:val="en-GB"/>
              </w:rPr>
              <w:t>Operating phase</w:t>
            </w:r>
          </w:p>
        </w:tc>
        <w:tc>
          <w:tcPr>
            <w:tcW w:w="1983" w:type="dxa"/>
            <w:tcBorders>
              <w:top w:val="single" w:sz="4" w:space="0" w:color="auto"/>
              <w:bottom w:val="single" w:sz="4" w:space="0" w:color="auto"/>
            </w:tcBorders>
            <w:shd w:val="clear" w:color="auto" w:fill="auto"/>
          </w:tcPr>
          <w:p w14:paraId="34884204" w14:textId="77777777" w:rsidR="00691682" w:rsidRPr="00415B43" w:rsidRDefault="00691682" w:rsidP="006916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8"/>
                <w:lang w:val="en-GB"/>
              </w:rPr>
            </w:pPr>
            <w:r w:rsidRPr="00415B43">
              <w:rPr>
                <w:rFonts w:ascii="Times New Roman" w:eastAsia="Times New Roman" w:hAnsi="Times New Roman"/>
                <w:sz w:val="18"/>
                <w:lang w:val="en-GB"/>
              </w:rPr>
              <w:t xml:space="preserve">CO, </w:t>
            </w:r>
            <w:r>
              <w:rPr>
                <w:rFonts w:ascii="Times New Roman" w:eastAsia="Times New Roman" w:hAnsi="Times New Roman"/>
                <w:sz w:val="18"/>
                <w:lang w:val="en-GB"/>
              </w:rPr>
              <w:t>in</w:t>
            </w:r>
            <w:r w:rsidRPr="00415B43">
              <w:rPr>
                <w:rFonts w:ascii="Times New Roman" w:eastAsia="Times New Roman" w:hAnsi="Times New Roman"/>
                <w:sz w:val="18"/>
                <w:lang w:val="en-GB"/>
              </w:rPr>
              <w:t xml:space="preserve"> [g/GJ]</w:t>
            </w:r>
          </w:p>
        </w:tc>
        <w:tc>
          <w:tcPr>
            <w:tcW w:w="2835" w:type="dxa"/>
            <w:tcBorders>
              <w:top w:val="single" w:sz="4" w:space="0" w:color="auto"/>
              <w:bottom w:val="single" w:sz="4" w:space="0" w:color="auto"/>
            </w:tcBorders>
            <w:shd w:val="clear" w:color="auto" w:fill="auto"/>
          </w:tcPr>
          <w:p w14:paraId="6A596B91" w14:textId="77777777" w:rsidR="00691682" w:rsidRPr="00415B43" w:rsidRDefault="00691682" w:rsidP="006916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8"/>
                <w:lang w:val="en-GB"/>
              </w:rPr>
            </w:pPr>
            <w:r>
              <w:rPr>
                <w:rFonts w:ascii="Times New Roman" w:eastAsia="Times New Roman" w:hAnsi="Times New Roman"/>
                <w:sz w:val="18"/>
                <w:lang w:val="en-GB"/>
              </w:rPr>
              <w:t>Fine particulate</w:t>
            </w:r>
            <w:r w:rsidRPr="00B57C95">
              <w:rPr>
                <w:rFonts w:ascii="Times New Roman" w:eastAsia="Times New Roman" w:hAnsi="Times New Roman"/>
                <w:sz w:val="18"/>
                <w:vertAlign w:val="superscript"/>
                <w:lang w:val="en-GB"/>
              </w:rPr>
              <w:t>+</w:t>
            </w:r>
            <w:r w:rsidRPr="00415B43">
              <w:rPr>
                <w:rFonts w:ascii="Times New Roman" w:eastAsia="Times New Roman" w:hAnsi="Times New Roman"/>
                <w:sz w:val="18"/>
                <w:lang w:val="en-GB"/>
              </w:rPr>
              <w:t xml:space="preserve">, </w:t>
            </w:r>
            <w:r>
              <w:rPr>
                <w:rFonts w:ascii="Times New Roman" w:eastAsia="Times New Roman" w:hAnsi="Times New Roman"/>
                <w:sz w:val="18"/>
                <w:lang w:val="en-GB"/>
              </w:rPr>
              <w:t>in</w:t>
            </w:r>
            <w:r w:rsidRPr="00415B43">
              <w:rPr>
                <w:rFonts w:ascii="Times New Roman" w:eastAsia="Times New Roman" w:hAnsi="Times New Roman"/>
                <w:sz w:val="18"/>
                <w:lang w:val="en-GB"/>
              </w:rPr>
              <w:t xml:space="preserve"> [g/GJ]</w:t>
            </w:r>
          </w:p>
        </w:tc>
        <w:tc>
          <w:tcPr>
            <w:tcW w:w="1842" w:type="dxa"/>
            <w:tcBorders>
              <w:top w:val="single" w:sz="4" w:space="0" w:color="auto"/>
              <w:bottom w:val="single" w:sz="4" w:space="0" w:color="auto"/>
            </w:tcBorders>
            <w:shd w:val="clear" w:color="auto" w:fill="auto"/>
          </w:tcPr>
          <w:p w14:paraId="03808AE5" w14:textId="77777777" w:rsidR="00691682" w:rsidRPr="00415B43" w:rsidRDefault="00691682" w:rsidP="006916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18"/>
                <w:lang w:val="en-GB"/>
              </w:rPr>
            </w:pPr>
            <w:r w:rsidRPr="00415B43">
              <w:rPr>
                <w:rFonts w:ascii="Times New Roman" w:eastAsia="Times New Roman" w:hAnsi="Times New Roman"/>
                <w:sz w:val="18"/>
                <w:lang w:val="en-GB"/>
              </w:rPr>
              <w:t xml:space="preserve">NOx, </w:t>
            </w:r>
            <w:r>
              <w:rPr>
                <w:rFonts w:ascii="Times New Roman" w:eastAsia="Times New Roman" w:hAnsi="Times New Roman"/>
                <w:sz w:val="18"/>
                <w:lang w:val="en-GB"/>
              </w:rPr>
              <w:t>in</w:t>
            </w:r>
            <w:r w:rsidRPr="00415B43">
              <w:rPr>
                <w:rFonts w:ascii="Times New Roman" w:eastAsia="Times New Roman" w:hAnsi="Times New Roman"/>
                <w:sz w:val="18"/>
                <w:lang w:val="en-GB"/>
              </w:rPr>
              <w:t xml:space="preserve"> [g/GJ]</w:t>
            </w:r>
          </w:p>
        </w:tc>
      </w:tr>
      <w:tr w:rsidR="00691682" w:rsidRPr="00D47789" w14:paraId="19641088" w14:textId="77777777" w:rsidTr="00691682">
        <w:tc>
          <w:tcPr>
            <w:cnfStyle w:val="001000000000" w:firstRow="0" w:lastRow="0" w:firstColumn="1" w:lastColumn="0" w:oddVBand="0" w:evenVBand="0" w:oddHBand="0" w:evenHBand="0" w:firstRowFirstColumn="0" w:firstRowLastColumn="0" w:lastRowFirstColumn="0" w:lastRowLastColumn="0"/>
            <w:tcW w:w="2407" w:type="dxa"/>
            <w:tcBorders>
              <w:top w:val="single" w:sz="4" w:space="0" w:color="auto"/>
            </w:tcBorders>
            <w:shd w:val="clear" w:color="auto" w:fill="auto"/>
          </w:tcPr>
          <w:p w14:paraId="1444C168" w14:textId="77777777" w:rsidR="00691682" w:rsidRPr="00415B43" w:rsidRDefault="00691682" w:rsidP="00691682">
            <w:pPr>
              <w:rPr>
                <w:rFonts w:ascii="Times New Roman" w:eastAsia="Times New Roman" w:hAnsi="Times New Roman"/>
                <w:b w:val="0"/>
                <w:bCs w:val="0"/>
                <w:sz w:val="18"/>
                <w:lang w:val="en-GB"/>
              </w:rPr>
            </w:pPr>
            <w:r>
              <w:rPr>
                <w:rFonts w:ascii="Times New Roman" w:eastAsia="Times New Roman" w:hAnsi="Times New Roman"/>
                <w:b w:val="0"/>
                <w:bCs w:val="0"/>
                <w:sz w:val="18"/>
                <w:lang w:val="en-GB"/>
              </w:rPr>
              <w:t>Start</w:t>
            </w:r>
          </w:p>
        </w:tc>
        <w:tc>
          <w:tcPr>
            <w:tcW w:w="1983" w:type="dxa"/>
            <w:tcBorders>
              <w:top w:val="single" w:sz="4" w:space="0" w:color="auto"/>
            </w:tcBorders>
            <w:shd w:val="clear" w:color="auto" w:fill="auto"/>
          </w:tcPr>
          <w:p w14:paraId="2CBC5C85" w14:textId="77777777" w:rsidR="00691682" w:rsidRPr="00415B43" w:rsidRDefault="00691682" w:rsidP="006916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lang w:val="en-GB"/>
              </w:rPr>
            </w:pPr>
            <w:r w:rsidRPr="00415B43">
              <w:rPr>
                <w:rFonts w:ascii="Times New Roman" w:eastAsia="Times New Roman" w:hAnsi="Times New Roman"/>
                <w:sz w:val="18"/>
                <w:lang w:val="en-GB"/>
              </w:rPr>
              <w:t>685</w:t>
            </w:r>
          </w:p>
        </w:tc>
        <w:tc>
          <w:tcPr>
            <w:tcW w:w="2835" w:type="dxa"/>
            <w:tcBorders>
              <w:top w:val="single" w:sz="4" w:space="0" w:color="auto"/>
            </w:tcBorders>
            <w:shd w:val="clear" w:color="auto" w:fill="auto"/>
          </w:tcPr>
          <w:p w14:paraId="51361476" w14:textId="77777777" w:rsidR="00691682" w:rsidRPr="00415B43" w:rsidRDefault="00691682" w:rsidP="006916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lang w:val="en-GB"/>
              </w:rPr>
            </w:pPr>
            <w:r w:rsidRPr="00415B43">
              <w:rPr>
                <w:rFonts w:ascii="Times New Roman" w:eastAsia="Times New Roman" w:hAnsi="Times New Roman"/>
                <w:sz w:val="18"/>
                <w:lang w:val="en-GB"/>
              </w:rPr>
              <w:t>50</w:t>
            </w:r>
          </w:p>
        </w:tc>
        <w:tc>
          <w:tcPr>
            <w:tcW w:w="1842" w:type="dxa"/>
            <w:tcBorders>
              <w:top w:val="single" w:sz="4" w:space="0" w:color="auto"/>
            </w:tcBorders>
            <w:shd w:val="clear" w:color="auto" w:fill="auto"/>
          </w:tcPr>
          <w:p w14:paraId="22BBCAE9" w14:textId="77777777" w:rsidR="00691682" w:rsidRPr="00415B43" w:rsidRDefault="00691682" w:rsidP="006916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lang w:val="en-GB"/>
              </w:rPr>
            </w:pPr>
            <w:r w:rsidRPr="00415B43">
              <w:rPr>
                <w:rFonts w:ascii="Times New Roman" w:eastAsia="Times New Roman" w:hAnsi="Times New Roman"/>
                <w:sz w:val="18"/>
                <w:lang w:val="en-GB"/>
              </w:rPr>
              <w:t>182</w:t>
            </w:r>
          </w:p>
        </w:tc>
      </w:tr>
      <w:tr w:rsidR="00691682" w:rsidRPr="00D47789" w14:paraId="32941237" w14:textId="77777777" w:rsidTr="006916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shd w:val="clear" w:color="auto" w:fill="auto"/>
          </w:tcPr>
          <w:p w14:paraId="2EDAFA9D" w14:textId="77777777" w:rsidR="00691682" w:rsidRPr="00415B43" w:rsidRDefault="00691682" w:rsidP="00691682">
            <w:pPr>
              <w:rPr>
                <w:rFonts w:ascii="Times New Roman" w:eastAsia="Times New Roman" w:hAnsi="Times New Roman"/>
                <w:b w:val="0"/>
                <w:bCs w:val="0"/>
                <w:sz w:val="18"/>
                <w:lang w:val="en-GB"/>
              </w:rPr>
            </w:pPr>
            <w:r>
              <w:rPr>
                <w:rFonts w:ascii="Times New Roman" w:eastAsia="Times New Roman" w:hAnsi="Times New Roman"/>
                <w:b w:val="0"/>
                <w:bCs w:val="0"/>
                <w:sz w:val="18"/>
                <w:lang w:val="en-GB"/>
              </w:rPr>
              <w:t>Stop</w:t>
            </w:r>
          </w:p>
        </w:tc>
        <w:tc>
          <w:tcPr>
            <w:tcW w:w="1983" w:type="dxa"/>
            <w:shd w:val="clear" w:color="auto" w:fill="auto"/>
          </w:tcPr>
          <w:p w14:paraId="21CD1E45" w14:textId="77777777" w:rsidR="00691682" w:rsidRPr="00415B43" w:rsidRDefault="00691682" w:rsidP="006916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8"/>
                <w:lang w:val="en-GB"/>
              </w:rPr>
            </w:pPr>
            <w:r w:rsidRPr="00415B43">
              <w:rPr>
                <w:rFonts w:ascii="Times New Roman" w:eastAsia="Times New Roman" w:hAnsi="Times New Roman"/>
                <w:sz w:val="18"/>
                <w:lang w:val="en-GB"/>
              </w:rPr>
              <w:t>1209</w:t>
            </w:r>
          </w:p>
        </w:tc>
        <w:tc>
          <w:tcPr>
            <w:tcW w:w="2835" w:type="dxa"/>
            <w:shd w:val="clear" w:color="auto" w:fill="auto"/>
          </w:tcPr>
          <w:p w14:paraId="550F109C" w14:textId="77777777" w:rsidR="00691682" w:rsidRPr="00415B43" w:rsidRDefault="00691682" w:rsidP="006916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8"/>
                <w:lang w:val="en-GB"/>
              </w:rPr>
            </w:pPr>
            <w:r w:rsidRPr="00415B43">
              <w:rPr>
                <w:rFonts w:ascii="Times New Roman" w:eastAsia="Times New Roman" w:hAnsi="Times New Roman"/>
                <w:sz w:val="18"/>
                <w:lang w:val="en-GB"/>
              </w:rPr>
              <w:t>50</w:t>
            </w:r>
          </w:p>
        </w:tc>
        <w:tc>
          <w:tcPr>
            <w:tcW w:w="1842" w:type="dxa"/>
            <w:shd w:val="clear" w:color="auto" w:fill="auto"/>
          </w:tcPr>
          <w:p w14:paraId="3DFD1ED1" w14:textId="77777777" w:rsidR="00691682" w:rsidRPr="00415B43" w:rsidRDefault="00691682" w:rsidP="006916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8"/>
                <w:lang w:val="en-GB"/>
              </w:rPr>
            </w:pPr>
            <w:r w:rsidRPr="00415B43">
              <w:rPr>
                <w:rFonts w:ascii="Times New Roman" w:eastAsia="Times New Roman" w:hAnsi="Times New Roman"/>
                <w:sz w:val="18"/>
                <w:lang w:val="en-GB"/>
              </w:rPr>
              <w:t>139</w:t>
            </w:r>
          </w:p>
        </w:tc>
      </w:tr>
      <w:tr w:rsidR="00691682" w:rsidRPr="00D47789" w14:paraId="656052C9" w14:textId="77777777" w:rsidTr="00691682">
        <w:tc>
          <w:tcPr>
            <w:cnfStyle w:val="001000000000" w:firstRow="0" w:lastRow="0" w:firstColumn="1" w:lastColumn="0" w:oddVBand="0" w:evenVBand="0" w:oddHBand="0" w:evenHBand="0" w:firstRowFirstColumn="0" w:firstRowLastColumn="0" w:lastRowFirstColumn="0" w:lastRowLastColumn="0"/>
            <w:tcW w:w="2407" w:type="dxa"/>
            <w:shd w:val="clear" w:color="auto" w:fill="auto"/>
          </w:tcPr>
          <w:p w14:paraId="758B9D19" w14:textId="77777777" w:rsidR="00691682" w:rsidRPr="00415B43" w:rsidRDefault="00691682" w:rsidP="00691682">
            <w:pPr>
              <w:rPr>
                <w:rFonts w:ascii="Times New Roman" w:eastAsia="Times New Roman" w:hAnsi="Times New Roman"/>
                <w:b w:val="0"/>
                <w:bCs w:val="0"/>
                <w:sz w:val="18"/>
                <w:lang w:val="en-GB"/>
              </w:rPr>
            </w:pPr>
            <w:r>
              <w:rPr>
                <w:rFonts w:ascii="Times New Roman" w:eastAsia="Times New Roman" w:hAnsi="Times New Roman"/>
                <w:b w:val="0"/>
                <w:bCs w:val="0"/>
                <w:sz w:val="18"/>
                <w:lang w:val="en-GB"/>
              </w:rPr>
              <w:t>Full load</w:t>
            </w:r>
          </w:p>
        </w:tc>
        <w:tc>
          <w:tcPr>
            <w:tcW w:w="1983" w:type="dxa"/>
            <w:shd w:val="clear" w:color="auto" w:fill="auto"/>
          </w:tcPr>
          <w:p w14:paraId="0816AF1D" w14:textId="77777777" w:rsidR="00691682" w:rsidRPr="00415B43" w:rsidRDefault="00691682" w:rsidP="006916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lang w:val="en-GB"/>
              </w:rPr>
            </w:pPr>
            <w:r w:rsidRPr="00415B43">
              <w:rPr>
                <w:rFonts w:ascii="Times New Roman" w:eastAsia="Times New Roman" w:hAnsi="Times New Roman"/>
                <w:sz w:val="18"/>
                <w:lang w:val="en-GB"/>
              </w:rPr>
              <w:t>45</w:t>
            </w:r>
          </w:p>
        </w:tc>
        <w:tc>
          <w:tcPr>
            <w:tcW w:w="2835" w:type="dxa"/>
            <w:shd w:val="clear" w:color="auto" w:fill="auto"/>
          </w:tcPr>
          <w:p w14:paraId="694895B8" w14:textId="77777777" w:rsidR="00691682" w:rsidRPr="00415B43" w:rsidRDefault="00691682" w:rsidP="006916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lang w:val="en-GB"/>
              </w:rPr>
            </w:pPr>
            <w:r w:rsidRPr="00415B43">
              <w:rPr>
                <w:rFonts w:ascii="Times New Roman" w:eastAsia="Times New Roman" w:hAnsi="Times New Roman"/>
                <w:sz w:val="18"/>
                <w:lang w:val="en-GB"/>
              </w:rPr>
              <w:t>10</w:t>
            </w:r>
          </w:p>
        </w:tc>
        <w:tc>
          <w:tcPr>
            <w:tcW w:w="1842" w:type="dxa"/>
            <w:shd w:val="clear" w:color="auto" w:fill="auto"/>
          </w:tcPr>
          <w:p w14:paraId="20A497CD" w14:textId="77777777" w:rsidR="00691682" w:rsidRPr="00415B43" w:rsidRDefault="00691682" w:rsidP="006916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lang w:val="en-GB"/>
              </w:rPr>
            </w:pPr>
            <w:r w:rsidRPr="00415B43">
              <w:rPr>
                <w:rFonts w:ascii="Times New Roman" w:eastAsia="Times New Roman" w:hAnsi="Times New Roman"/>
                <w:sz w:val="18"/>
                <w:lang w:val="en-GB"/>
              </w:rPr>
              <w:t>125</w:t>
            </w:r>
          </w:p>
        </w:tc>
      </w:tr>
      <w:tr w:rsidR="00691682" w:rsidRPr="00D47789" w14:paraId="06DF6344" w14:textId="77777777" w:rsidTr="006916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shd w:val="clear" w:color="auto" w:fill="auto"/>
          </w:tcPr>
          <w:p w14:paraId="3B54D584" w14:textId="77777777" w:rsidR="00691682" w:rsidRPr="00415B43" w:rsidRDefault="00691682" w:rsidP="00691682">
            <w:pPr>
              <w:rPr>
                <w:rFonts w:ascii="Times New Roman" w:eastAsia="Times New Roman" w:hAnsi="Times New Roman"/>
                <w:b w:val="0"/>
                <w:bCs w:val="0"/>
                <w:sz w:val="18"/>
                <w:lang w:val="en-GB"/>
              </w:rPr>
            </w:pPr>
            <w:r>
              <w:rPr>
                <w:rFonts w:ascii="Times New Roman" w:eastAsia="Times New Roman" w:hAnsi="Times New Roman"/>
                <w:b w:val="0"/>
                <w:bCs w:val="0"/>
                <w:sz w:val="18"/>
                <w:lang w:val="en-GB"/>
              </w:rPr>
              <w:t>Partial load</w:t>
            </w:r>
          </w:p>
        </w:tc>
        <w:tc>
          <w:tcPr>
            <w:tcW w:w="1983" w:type="dxa"/>
            <w:shd w:val="clear" w:color="auto" w:fill="auto"/>
          </w:tcPr>
          <w:p w14:paraId="40900364" w14:textId="77777777" w:rsidR="00691682" w:rsidRPr="00415B43" w:rsidRDefault="00691682" w:rsidP="006916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8"/>
                <w:lang w:val="en-GB"/>
              </w:rPr>
            </w:pPr>
            <w:r w:rsidRPr="00415B43">
              <w:rPr>
                <w:rFonts w:ascii="Times New Roman" w:eastAsia="Times New Roman" w:hAnsi="Times New Roman"/>
                <w:sz w:val="18"/>
                <w:lang w:val="en-GB"/>
              </w:rPr>
              <w:t>64</w:t>
            </w:r>
          </w:p>
        </w:tc>
        <w:tc>
          <w:tcPr>
            <w:tcW w:w="2835" w:type="dxa"/>
            <w:shd w:val="clear" w:color="auto" w:fill="auto"/>
          </w:tcPr>
          <w:p w14:paraId="6FDEF661" w14:textId="77777777" w:rsidR="00691682" w:rsidRPr="00415B43" w:rsidRDefault="00691682" w:rsidP="006916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8"/>
                <w:lang w:val="en-GB"/>
              </w:rPr>
            </w:pPr>
            <w:r w:rsidRPr="00415B43">
              <w:rPr>
                <w:rFonts w:ascii="Times New Roman" w:eastAsia="Times New Roman" w:hAnsi="Times New Roman"/>
                <w:sz w:val="18"/>
                <w:lang w:val="en-GB"/>
              </w:rPr>
              <w:t>2.8</w:t>
            </w:r>
          </w:p>
        </w:tc>
        <w:tc>
          <w:tcPr>
            <w:tcW w:w="1842" w:type="dxa"/>
            <w:shd w:val="clear" w:color="auto" w:fill="auto"/>
          </w:tcPr>
          <w:p w14:paraId="579EEC62" w14:textId="77777777" w:rsidR="00691682" w:rsidRPr="00415B43" w:rsidRDefault="00691682" w:rsidP="006916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8"/>
                <w:lang w:val="en-GB"/>
              </w:rPr>
            </w:pPr>
            <w:r w:rsidRPr="00415B43">
              <w:rPr>
                <w:rFonts w:ascii="Times New Roman" w:eastAsia="Times New Roman" w:hAnsi="Times New Roman"/>
                <w:sz w:val="18"/>
                <w:lang w:val="en-GB"/>
              </w:rPr>
              <w:t>104</w:t>
            </w:r>
          </w:p>
        </w:tc>
      </w:tr>
      <w:tr w:rsidR="00691682" w:rsidRPr="00D47789" w14:paraId="23D83F62" w14:textId="77777777" w:rsidTr="00691682">
        <w:tc>
          <w:tcPr>
            <w:cnfStyle w:val="001000000000" w:firstRow="0" w:lastRow="0" w:firstColumn="1" w:lastColumn="0" w:oddVBand="0" w:evenVBand="0" w:oddHBand="0" w:evenHBand="0" w:firstRowFirstColumn="0" w:firstRowLastColumn="0" w:lastRowFirstColumn="0" w:lastRowLastColumn="0"/>
            <w:tcW w:w="2407" w:type="dxa"/>
            <w:tcBorders>
              <w:bottom w:val="single" w:sz="4" w:space="0" w:color="auto"/>
            </w:tcBorders>
            <w:shd w:val="clear" w:color="auto" w:fill="auto"/>
          </w:tcPr>
          <w:p w14:paraId="42EFDE40" w14:textId="77777777" w:rsidR="00691682" w:rsidRPr="00415B43" w:rsidRDefault="00691682" w:rsidP="00691682">
            <w:pPr>
              <w:rPr>
                <w:rFonts w:ascii="Times New Roman" w:eastAsia="Times New Roman" w:hAnsi="Times New Roman"/>
                <w:b w:val="0"/>
                <w:bCs w:val="0"/>
                <w:sz w:val="18"/>
                <w:lang w:val="en-GB"/>
              </w:rPr>
            </w:pPr>
            <w:r w:rsidRPr="00415B43">
              <w:rPr>
                <w:rFonts w:ascii="Times New Roman" w:eastAsia="Times New Roman" w:hAnsi="Times New Roman"/>
                <w:b w:val="0"/>
                <w:bCs w:val="0"/>
                <w:sz w:val="18"/>
                <w:lang w:val="en-GB"/>
              </w:rPr>
              <w:t>Standby</w:t>
            </w:r>
          </w:p>
        </w:tc>
        <w:tc>
          <w:tcPr>
            <w:tcW w:w="1983" w:type="dxa"/>
            <w:tcBorders>
              <w:bottom w:val="single" w:sz="4" w:space="0" w:color="auto"/>
            </w:tcBorders>
            <w:shd w:val="clear" w:color="auto" w:fill="auto"/>
          </w:tcPr>
          <w:p w14:paraId="072E2016" w14:textId="77777777" w:rsidR="00691682" w:rsidRPr="00415B43" w:rsidRDefault="00691682" w:rsidP="006916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lang w:val="en-GB"/>
              </w:rPr>
            </w:pPr>
            <w:r w:rsidRPr="00415B43">
              <w:rPr>
                <w:rFonts w:ascii="Times New Roman" w:eastAsia="Times New Roman" w:hAnsi="Times New Roman"/>
                <w:sz w:val="18"/>
                <w:lang w:val="en-GB"/>
              </w:rPr>
              <w:t>665</w:t>
            </w:r>
          </w:p>
        </w:tc>
        <w:tc>
          <w:tcPr>
            <w:tcW w:w="2835" w:type="dxa"/>
            <w:tcBorders>
              <w:bottom w:val="single" w:sz="4" w:space="0" w:color="auto"/>
            </w:tcBorders>
            <w:shd w:val="clear" w:color="auto" w:fill="auto"/>
          </w:tcPr>
          <w:p w14:paraId="0F918F83" w14:textId="77777777" w:rsidR="00691682" w:rsidRPr="00415B43" w:rsidRDefault="00691682" w:rsidP="006916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lang w:val="en-GB"/>
              </w:rPr>
            </w:pPr>
            <w:r w:rsidRPr="00415B43">
              <w:rPr>
                <w:rFonts w:ascii="Times New Roman" w:eastAsia="Times New Roman" w:hAnsi="Times New Roman"/>
                <w:sz w:val="18"/>
                <w:lang w:val="en-GB"/>
              </w:rPr>
              <w:t>10</w:t>
            </w:r>
          </w:p>
        </w:tc>
        <w:tc>
          <w:tcPr>
            <w:tcW w:w="1842" w:type="dxa"/>
            <w:tcBorders>
              <w:bottom w:val="single" w:sz="4" w:space="0" w:color="auto"/>
            </w:tcBorders>
            <w:shd w:val="clear" w:color="auto" w:fill="auto"/>
          </w:tcPr>
          <w:p w14:paraId="5E3B4BCF" w14:textId="77777777" w:rsidR="00691682" w:rsidRPr="00415B43" w:rsidRDefault="00691682" w:rsidP="006916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lang w:val="en-GB"/>
              </w:rPr>
            </w:pPr>
            <w:r w:rsidRPr="00415B43">
              <w:rPr>
                <w:rFonts w:ascii="Times New Roman" w:eastAsia="Times New Roman" w:hAnsi="Times New Roman"/>
                <w:sz w:val="18"/>
                <w:lang w:val="en-GB"/>
              </w:rPr>
              <w:t>101</w:t>
            </w:r>
          </w:p>
        </w:tc>
      </w:tr>
      <w:tr w:rsidR="00691682" w:rsidRPr="00B57C95" w14:paraId="548D9612" w14:textId="77777777" w:rsidTr="006916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4"/>
            <w:tcBorders>
              <w:top w:val="single" w:sz="4" w:space="0" w:color="auto"/>
            </w:tcBorders>
            <w:shd w:val="clear" w:color="auto" w:fill="auto"/>
          </w:tcPr>
          <w:p w14:paraId="3A045DC1" w14:textId="77777777" w:rsidR="00691682" w:rsidRPr="00B57C95" w:rsidRDefault="00691682" w:rsidP="00691682">
            <w:pPr>
              <w:rPr>
                <w:rFonts w:ascii="Times New Roman" w:eastAsia="Times New Roman" w:hAnsi="Times New Roman"/>
                <w:b w:val="0"/>
                <w:bCs w:val="0"/>
                <w:sz w:val="18"/>
                <w:lang w:val="en-GB"/>
              </w:rPr>
            </w:pPr>
            <w:r w:rsidRPr="00B57C95">
              <w:rPr>
                <w:rFonts w:ascii="Times New Roman" w:eastAsia="Times New Roman" w:hAnsi="Times New Roman"/>
                <w:b w:val="0"/>
                <w:bCs w:val="0"/>
                <w:sz w:val="18"/>
                <w:vertAlign w:val="superscript"/>
                <w:lang w:val="en-GB"/>
              </w:rPr>
              <w:t>+</w:t>
            </w:r>
            <w:r w:rsidRPr="00B57C95">
              <w:rPr>
                <w:rFonts w:ascii="Times New Roman" w:eastAsia="Times New Roman" w:hAnsi="Times New Roman"/>
                <w:b w:val="0"/>
                <w:bCs w:val="0"/>
                <w:sz w:val="18"/>
                <w:lang w:val="en-GB"/>
              </w:rPr>
              <w:t>fine particulate</w:t>
            </w:r>
            <w:r>
              <w:rPr>
                <w:rFonts w:ascii="Times New Roman" w:eastAsia="Times New Roman" w:hAnsi="Times New Roman"/>
                <w:b w:val="0"/>
                <w:bCs w:val="0"/>
                <w:sz w:val="18"/>
                <w:lang w:val="en-GB"/>
              </w:rPr>
              <w:t xml:space="preserve"> matter</w:t>
            </w:r>
            <w:r w:rsidRPr="00B57C95">
              <w:rPr>
                <w:rFonts w:ascii="Times New Roman" w:eastAsia="Times New Roman" w:hAnsi="Times New Roman"/>
                <w:b w:val="0"/>
                <w:bCs w:val="0"/>
                <w:sz w:val="18"/>
                <w:lang w:val="en-GB"/>
              </w:rPr>
              <w:t xml:space="preserve"> (PM2,5) </w:t>
            </w:r>
            <w:r>
              <w:rPr>
                <w:rFonts w:ascii="Times New Roman" w:eastAsia="Times New Roman" w:hAnsi="Times New Roman"/>
                <w:b w:val="0"/>
                <w:bCs w:val="0"/>
                <w:sz w:val="18"/>
                <w:lang w:val="en-GB"/>
              </w:rPr>
              <w:t>and in sus</w:t>
            </w:r>
            <w:r w:rsidRPr="00B57C95">
              <w:rPr>
                <w:rFonts w:ascii="Times New Roman" w:eastAsia="Times New Roman" w:hAnsi="Times New Roman"/>
                <w:b w:val="0"/>
                <w:bCs w:val="0"/>
                <w:sz w:val="18"/>
                <w:lang w:val="en-GB"/>
              </w:rPr>
              <w:t>pension (PM10)</w:t>
            </w:r>
          </w:p>
        </w:tc>
      </w:tr>
    </w:tbl>
    <w:p w14:paraId="1D30ADC7" w14:textId="152F5103" w:rsidR="001B278B" w:rsidRDefault="005137E1" w:rsidP="001527FC">
      <w:pPr>
        <w:pStyle w:val="SWCText"/>
        <w:spacing w:before="240"/>
        <w:rPr>
          <w:color w:val="auto"/>
        </w:rPr>
      </w:pPr>
      <w:r>
        <w:t xml:space="preserve">The </w:t>
      </w:r>
      <w:r w:rsidR="007F5485">
        <w:t>former is</w:t>
      </w:r>
      <w:r w:rsidR="00D2663C">
        <w:t xml:space="preserve"> </w:t>
      </w:r>
      <w:r w:rsidR="007F5485">
        <w:t>equal to the</w:t>
      </w:r>
      <w:r w:rsidR="00D2663C">
        <w:t xml:space="preserve"> annual emissions divided by the</w:t>
      </w:r>
      <w:r w:rsidR="007F5485">
        <w:t xml:space="preserve"> annual DHN </w:t>
      </w:r>
      <w:r w:rsidR="00D2663C">
        <w:t>energy demand</w:t>
      </w:r>
      <w:r w:rsidR="007F5485">
        <w:t>, while</w:t>
      </w:r>
      <w:r w:rsidR="00BC0B35">
        <w:t xml:space="preserve"> the latter </w:t>
      </w:r>
      <w:r w:rsidR="00BC0B35" w:rsidRPr="005A6B1B">
        <w:rPr>
          <w:color w:val="auto"/>
        </w:rPr>
        <w:t xml:space="preserve">is equal to the annual emissions divided </w:t>
      </w:r>
      <w:r w:rsidR="00242915" w:rsidRPr="005A6B1B">
        <w:rPr>
          <w:color w:val="auto"/>
        </w:rPr>
        <w:t xml:space="preserve">by </w:t>
      </w:r>
      <w:r w:rsidR="00BC0B35" w:rsidRPr="005A6B1B">
        <w:rPr>
          <w:color w:val="auto"/>
        </w:rPr>
        <w:t xml:space="preserve">the energy </w:t>
      </w:r>
      <w:r w:rsidR="00FB409A" w:rsidRPr="005A6B1B">
        <w:rPr>
          <w:color w:val="auto"/>
        </w:rPr>
        <w:t xml:space="preserve">produced </w:t>
      </w:r>
      <w:r w:rsidR="002673DC">
        <w:rPr>
          <w:color w:val="auto"/>
        </w:rPr>
        <w:t>by</w:t>
      </w:r>
      <w:r w:rsidR="00FB409A" w:rsidRPr="005A6B1B">
        <w:rPr>
          <w:color w:val="auto"/>
        </w:rPr>
        <w:t xml:space="preserve"> </w:t>
      </w:r>
      <w:r w:rsidR="002673DC">
        <w:rPr>
          <w:color w:val="auto"/>
        </w:rPr>
        <w:t xml:space="preserve">the </w:t>
      </w:r>
      <w:r w:rsidR="00FB409A" w:rsidRPr="005A6B1B">
        <w:rPr>
          <w:color w:val="auto"/>
        </w:rPr>
        <w:t>biomass</w:t>
      </w:r>
      <w:r w:rsidR="002673DC">
        <w:rPr>
          <w:color w:val="auto"/>
        </w:rPr>
        <w:t xml:space="preserve"> boiler</w:t>
      </w:r>
      <w:r w:rsidR="00643A1E" w:rsidRPr="005A6B1B">
        <w:rPr>
          <w:color w:val="auto"/>
        </w:rPr>
        <w:t>.</w:t>
      </w:r>
    </w:p>
    <w:p w14:paraId="1AE580E4" w14:textId="74AC29AE" w:rsidR="00A522FD" w:rsidRDefault="00147F2C" w:rsidP="0017132B">
      <w:pPr>
        <w:pStyle w:val="SWCHeading11"/>
      </w:pPr>
      <w:r>
        <w:t>Dynamic</w:t>
      </w:r>
      <w:r w:rsidR="00A522FD">
        <w:t xml:space="preserve"> </w:t>
      </w:r>
      <w:r w:rsidR="00D37F81">
        <w:t>modelling</w:t>
      </w:r>
    </w:p>
    <w:p w14:paraId="718E7441" w14:textId="20F9F2A5" w:rsidR="00A522FD" w:rsidRDefault="00147F2C" w:rsidP="00A522FD">
      <w:pPr>
        <w:pStyle w:val="SWCText"/>
      </w:pPr>
      <w:r>
        <w:t xml:space="preserve">To compare the performance of the different </w:t>
      </w:r>
      <w:r w:rsidR="00B7174C">
        <w:t>configurations with the reference biomass only scenario</w:t>
      </w:r>
      <w:r w:rsidR="00F65CF2">
        <w:t>, s</w:t>
      </w:r>
      <w:r w:rsidR="0051734C">
        <w:t>everal</w:t>
      </w:r>
      <w:r w:rsidR="00F65CF2">
        <w:t xml:space="preserve"> models were </w:t>
      </w:r>
      <w:r w:rsidR="005C2E8E">
        <w:t>developed</w:t>
      </w:r>
      <w:r w:rsidR="00F65CF2">
        <w:t xml:space="preserve"> under</w:t>
      </w:r>
      <w:r w:rsidR="0051734C">
        <w:t xml:space="preserve"> TRNSYS</w:t>
      </w:r>
      <w:r w:rsidR="00F65CF2">
        <w:t>.</w:t>
      </w:r>
      <w:r w:rsidR="00D12F32">
        <w:t xml:space="preserve"> Apart from the basic TRNSYS t</w:t>
      </w:r>
      <w:r w:rsidR="00DE04EC">
        <w:t>y</w:t>
      </w:r>
      <w:r w:rsidR="00D12F32">
        <w:t>pes adopted for</w:t>
      </w:r>
      <w:r w:rsidR="00DE04EC">
        <w:t xml:space="preserve"> modeling the</w:t>
      </w:r>
      <w:r w:rsidR="00D12F32">
        <w:t xml:space="preserve"> </w:t>
      </w:r>
      <w:r w:rsidR="002F6081">
        <w:t xml:space="preserve">hydronics </w:t>
      </w:r>
      <w:r w:rsidR="00E00A10">
        <w:t>and control of the circuits, each model was built as an extension of the reference system. This latter</w:t>
      </w:r>
      <w:r w:rsidR="00EB3465">
        <w:t>, composed mainly by</w:t>
      </w:r>
      <w:r w:rsidR="00240D17">
        <w:t xml:space="preserve"> the </w:t>
      </w:r>
      <w:r w:rsidR="008E2046">
        <w:t>two-boiler</w:t>
      </w:r>
      <w:r w:rsidR="00240D17">
        <w:t xml:space="preserve"> cascade and a dedicated TES</w:t>
      </w:r>
      <w:r w:rsidR="00133788">
        <w:t>,</w:t>
      </w:r>
      <w:r w:rsidR="00FC55A5">
        <w:t xml:space="preserve"> adopted </w:t>
      </w:r>
      <w:r w:rsidR="00102542">
        <w:t xml:space="preserve">TYPE869 </w:t>
      </w:r>
      <w:r w:rsidR="00B349F7">
        <w:t>f</w:t>
      </w:r>
      <w:r w:rsidR="00102542">
        <w:t>or the boiler</w:t>
      </w:r>
      <w:r w:rsidR="00533E1F">
        <w:t xml:space="preserve"> [</w:t>
      </w:r>
      <w:r w:rsidR="008D0C23">
        <w:t>20</w:t>
      </w:r>
      <w:r w:rsidR="00533E1F">
        <w:t>]</w:t>
      </w:r>
      <w:r w:rsidR="00133788">
        <w:t xml:space="preserve"> and</w:t>
      </w:r>
      <w:r w:rsidR="001616BB">
        <w:t xml:space="preserve"> TYPE340 for the </w:t>
      </w:r>
      <w:r w:rsidR="00AD0C41">
        <w:t xml:space="preserve">water </w:t>
      </w:r>
      <w:r w:rsidR="008E2046">
        <w:t>tank-based</w:t>
      </w:r>
      <w:r w:rsidR="00AD0C41">
        <w:t xml:space="preserve"> TES.</w:t>
      </w:r>
      <w:r w:rsidR="00133788">
        <w:t xml:space="preserve"> </w:t>
      </w:r>
      <w:r w:rsidR="005F4B94">
        <w:t xml:space="preserve">The hybrid solar-biomass plants </w:t>
      </w:r>
      <w:r w:rsidR="00562395">
        <w:t>adopt</w:t>
      </w:r>
      <w:r w:rsidR="008E2046">
        <w:t>ed</w:t>
      </w:r>
      <w:r w:rsidR="00996993">
        <w:t xml:space="preserve"> then the solar field model of the SolarCADII plant</w:t>
      </w:r>
      <w:r w:rsidR="0086254D">
        <w:t xml:space="preserve"> [16]</w:t>
      </w:r>
      <w:r w:rsidR="00996993">
        <w:t xml:space="preserve">, </w:t>
      </w:r>
      <w:r w:rsidR="00067A16">
        <w:t xml:space="preserve">mainly </w:t>
      </w:r>
      <w:r w:rsidR="008E2046">
        <w:t xml:space="preserve">consisting </w:t>
      </w:r>
      <w:r w:rsidR="00522186">
        <w:t>of</w:t>
      </w:r>
      <w:r w:rsidR="00F32DC2">
        <w:t xml:space="preserve"> </w:t>
      </w:r>
      <w:r w:rsidR="00D5053D">
        <w:t>TYPE</w:t>
      </w:r>
      <w:r w:rsidR="004C33D6">
        <w:t>832</w:t>
      </w:r>
      <w:r w:rsidR="0088612F">
        <w:t>v501</w:t>
      </w:r>
      <w:r w:rsidR="004C33D6">
        <w:t xml:space="preserve"> for the </w:t>
      </w:r>
      <w:r w:rsidR="00067A16">
        <w:t xml:space="preserve">thermal </w:t>
      </w:r>
      <w:r w:rsidR="004C33D6">
        <w:t>collector</w:t>
      </w:r>
      <w:r w:rsidR="00067A16">
        <w:t xml:space="preserve"> field</w:t>
      </w:r>
      <w:r w:rsidR="00C34B16">
        <w:t>, TYPE55 for the solar heat-exchanger</w:t>
      </w:r>
      <w:r w:rsidR="00533182">
        <w:t xml:space="preserve"> and TYPE16 for the processing of the radiation data </w:t>
      </w:r>
      <w:r w:rsidR="00444437">
        <w:t xml:space="preserve">for Pont-Les-Martel </w:t>
      </w:r>
      <w:r w:rsidR="00A62019">
        <w:t>(</w:t>
      </w:r>
      <w:r w:rsidR="00EF3C9A">
        <w:t>s</w:t>
      </w:r>
      <w:r w:rsidR="00A62019" w:rsidRPr="00A62019">
        <w:t>ource</w:t>
      </w:r>
      <w:r w:rsidR="00EF3C9A">
        <w:t xml:space="preserve"> of the weather data</w:t>
      </w:r>
      <w:r w:rsidR="00A62019" w:rsidRPr="00A62019">
        <w:t>: MétéoSuisse</w:t>
      </w:r>
      <w:r w:rsidR="00A62019">
        <w:t>)</w:t>
      </w:r>
      <w:r w:rsidR="005C2E8E">
        <w:t>.</w:t>
      </w:r>
      <w:r w:rsidR="000F3486">
        <w:t xml:space="preserve"> </w:t>
      </w:r>
      <w:r w:rsidR="00E2338B">
        <w:t>Given the different layout</w:t>
      </w:r>
      <w:r w:rsidR="00605D28">
        <w:t>s</w:t>
      </w:r>
      <w:r w:rsidR="00E2338B">
        <w:t xml:space="preserve">, </w:t>
      </w:r>
      <w:r w:rsidR="00935809">
        <w:t xml:space="preserve">a total of </w:t>
      </w:r>
      <w:r w:rsidR="00605D28">
        <w:t xml:space="preserve">four </w:t>
      </w:r>
      <w:r w:rsidR="002766EE">
        <w:t xml:space="preserve">base </w:t>
      </w:r>
      <w:r w:rsidR="00E2338B">
        <w:t xml:space="preserve">models were </w:t>
      </w:r>
      <w:r w:rsidR="00605D28">
        <w:t>developed</w:t>
      </w:r>
      <w:r w:rsidR="00E2338B">
        <w:t xml:space="preserve">, one </w:t>
      </w:r>
      <w:r w:rsidR="002766EE">
        <w:t xml:space="preserve">for each </w:t>
      </w:r>
      <w:r w:rsidR="00654F69">
        <w:t>hybrid biomass-solar configuration.</w:t>
      </w:r>
      <w:r w:rsidR="002766EE">
        <w:t xml:space="preserve"> </w:t>
      </w:r>
      <w:r w:rsidR="000A011E">
        <w:t xml:space="preserve">Finally, other two base models were </w:t>
      </w:r>
      <w:r w:rsidR="006A7916">
        <w:t>developed</w:t>
      </w:r>
      <w:r w:rsidR="000A011E">
        <w:t xml:space="preserve"> for the </w:t>
      </w:r>
      <w:r w:rsidR="00EC4EA0">
        <w:t xml:space="preserve">monovalent and bivalent </w:t>
      </w:r>
      <w:r w:rsidR="000A011E">
        <w:t>HP case</w:t>
      </w:r>
      <w:r w:rsidR="00EC4EA0">
        <w:t xml:space="preserve">s. </w:t>
      </w:r>
      <w:r w:rsidR="0087330D">
        <w:t xml:space="preserve">In the bivalent case, </w:t>
      </w:r>
      <w:r w:rsidR="00092E30">
        <w:t xml:space="preserve">other than those used to model boiler and TES, </w:t>
      </w:r>
      <w:r w:rsidR="00EC4EA0">
        <w:t>TYPE</w:t>
      </w:r>
      <w:r w:rsidR="0022133E">
        <w:t xml:space="preserve">194 was used for the PV </w:t>
      </w:r>
      <w:r w:rsidR="000A15C1">
        <w:t xml:space="preserve">field </w:t>
      </w:r>
      <w:r w:rsidR="0022133E">
        <w:t>with inverter</w:t>
      </w:r>
      <w:r w:rsidR="0087330D">
        <w:t>, TYPE</w:t>
      </w:r>
      <w:r w:rsidR="00092E30">
        <w:t>927 for the HP and TYPE511 for the dry</w:t>
      </w:r>
      <w:r w:rsidR="00403AE7">
        <w:t xml:space="preserve"> </w:t>
      </w:r>
      <w:r w:rsidR="00092E30">
        <w:t>cooler</w:t>
      </w:r>
      <w:r w:rsidR="009D0D2A">
        <w:t xml:space="preserve">, while in the </w:t>
      </w:r>
      <w:r w:rsidR="00EE6DCD">
        <w:t>monovalent</w:t>
      </w:r>
      <w:r w:rsidR="009D0D2A">
        <w:t xml:space="preserve"> case the HP was modeled with TYPE</w:t>
      </w:r>
      <w:r w:rsidR="00B1343A">
        <w:t>402</w:t>
      </w:r>
      <w:r w:rsidR="00B617F1">
        <w:t xml:space="preserve">. </w:t>
      </w:r>
      <w:r w:rsidR="00F3570A">
        <w:t>The</w:t>
      </w:r>
      <w:r w:rsidR="00B617F1">
        <w:t xml:space="preserve"> performance tables </w:t>
      </w:r>
      <w:r w:rsidR="00A42D4A">
        <w:t>for each</w:t>
      </w:r>
      <w:r w:rsidR="00F3570A">
        <w:t xml:space="preserve"> HP unit </w:t>
      </w:r>
      <w:r w:rsidR="00B617F1">
        <w:t>were derived from the thermodynamic model results</w:t>
      </w:r>
      <w:r w:rsidR="004B176F">
        <w:t xml:space="preserve"> </w:t>
      </w:r>
      <w:r w:rsidR="006A7916">
        <w:t>presented in</w:t>
      </w:r>
      <w:r w:rsidR="00F3570A">
        <w:t xml:space="preserve"> </w:t>
      </w:r>
      <w:r w:rsidR="00F3570A">
        <w:fldChar w:fldCharType="begin"/>
      </w:r>
      <w:r w:rsidR="00F3570A">
        <w:instrText xml:space="preserve"> REF _Ref238203409 \h </w:instrText>
      </w:r>
      <w:r w:rsidR="00F3570A">
        <w:fldChar w:fldCharType="separate"/>
      </w:r>
      <w:r w:rsidR="00F3570A">
        <w:t xml:space="preserve">Figure </w:t>
      </w:r>
      <w:r w:rsidR="00F3570A">
        <w:rPr>
          <w:noProof/>
        </w:rPr>
        <w:t>5</w:t>
      </w:r>
      <w:r w:rsidR="00F3570A">
        <w:fldChar w:fldCharType="end"/>
      </w:r>
      <w:r w:rsidR="004B176F">
        <w:t>.</w:t>
      </w:r>
      <w:r w:rsidR="00EC4EA0">
        <w:t xml:space="preserve"> </w:t>
      </w:r>
    </w:p>
    <w:p w14:paraId="71D0E1FA" w14:textId="3F67EDC5" w:rsidR="00350554" w:rsidRDefault="00A93DB5" w:rsidP="00A522FD">
      <w:pPr>
        <w:pStyle w:val="SWCText"/>
      </w:pPr>
      <w:r>
        <w:t>Given the difference among the systems, each model required a</w:t>
      </w:r>
      <w:r w:rsidR="00ED7172">
        <w:t>n adapted</w:t>
      </w:r>
      <w:r w:rsidR="00001F2B">
        <w:t xml:space="preserve"> control algorithm</w:t>
      </w:r>
      <w:r w:rsidR="00A061D0">
        <w:t xml:space="preserve">. In the reference system, the boiler cascade </w:t>
      </w:r>
      <w:r w:rsidR="001D27F8">
        <w:t>was</w:t>
      </w:r>
      <w:r w:rsidR="00A061D0">
        <w:t xml:space="preserve"> implemented based on the calendar </w:t>
      </w:r>
      <w:r w:rsidR="00171AA9">
        <w:t>embedded</w:t>
      </w:r>
      <w:r w:rsidR="00A061D0">
        <w:t xml:space="preserve"> in </w:t>
      </w:r>
      <w:r w:rsidR="00171AA9">
        <w:fldChar w:fldCharType="begin"/>
      </w:r>
      <w:r w:rsidR="00171AA9">
        <w:instrText xml:space="preserve"> REF _Ref238126145 \h </w:instrText>
      </w:r>
      <w:r w:rsidR="00171AA9">
        <w:fldChar w:fldCharType="separate"/>
      </w:r>
      <w:r w:rsidR="00171AA9" w:rsidRPr="005D5E12">
        <w:t xml:space="preserve">Figure </w:t>
      </w:r>
      <w:r w:rsidR="00171AA9">
        <w:rPr>
          <w:noProof/>
        </w:rPr>
        <w:t>1</w:t>
      </w:r>
      <w:r w:rsidR="00171AA9">
        <w:fldChar w:fldCharType="end"/>
      </w:r>
      <w:r w:rsidR="00CE348B">
        <w:t>.</w:t>
      </w:r>
      <w:r w:rsidR="00ED7172">
        <w:t xml:space="preserve"> </w:t>
      </w:r>
      <w:r w:rsidR="00CE348B">
        <w:t>B</w:t>
      </w:r>
      <w:r w:rsidR="008F1F1D">
        <w:t xml:space="preserve">oiler operation </w:t>
      </w:r>
      <w:r w:rsidR="00AC25A0">
        <w:t>was</w:t>
      </w:r>
      <w:r w:rsidR="008F1F1D">
        <w:t xml:space="preserve"> dictated by the required DHN </w:t>
      </w:r>
      <w:r w:rsidR="002A7557">
        <w:t xml:space="preserve">supply </w:t>
      </w:r>
      <w:r w:rsidR="008F1F1D">
        <w:t>temperature</w:t>
      </w:r>
      <w:r w:rsidR="002A7557">
        <w:t xml:space="preserve"> and flowrate</w:t>
      </w:r>
      <w:r w:rsidR="004C6C70">
        <w:t>,</w:t>
      </w:r>
      <w:r w:rsidR="006E6C6B">
        <w:t xml:space="preserve"> and </w:t>
      </w:r>
      <w:r w:rsidR="006C1F3A">
        <w:t xml:space="preserve">by </w:t>
      </w:r>
      <w:r w:rsidR="004C6C70">
        <w:t xml:space="preserve">the </w:t>
      </w:r>
      <w:r w:rsidR="006E6C6B">
        <w:t>State of Charge (SoC) of the TES</w:t>
      </w:r>
      <w:r w:rsidR="00EE58DF">
        <w:t xml:space="preserve">. This latter </w:t>
      </w:r>
      <w:r w:rsidR="00C746D3">
        <w:t>was</w:t>
      </w:r>
      <w:r w:rsidR="00EE58DF">
        <w:t xml:space="preserve"> defined</w:t>
      </w:r>
      <w:r w:rsidR="004665B0">
        <w:t xml:space="preserve"> based on the temperatures in 5 layers of the TES</w:t>
      </w:r>
      <w:r w:rsidR="00403AE7">
        <w:t>,</w:t>
      </w:r>
      <w:r w:rsidR="004665B0">
        <w:t xml:space="preserve"> and</w:t>
      </w:r>
      <w:r w:rsidR="00450A04">
        <w:t xml:space="preserve"> it</w:t>
      </w:r>
      <w:r w:rsidR="004665B0">
        <w:t xml:space="preserve"> </w:t>
      </w:r>
      <w:r w:rsidR="000F0C6F">
        <w:t>allowed quantifying</w:t>
      </w:r>
      <w:r w:rsidR="004665B0">
        <w:t xml:space="preserve"> </w:t>
      </w:r>
      <w:r w:rsidR="003106FD">
        <w:t xml:space="preserve">how much of the TES capacity </w:t>
      </w:r>
      <w:r w:rsidR="00781DB2">
        <w:t>was</w:t>
      </w:r>
      <w:r w:rsidR="003106FD">
        <w:t xml:space="preserve"> avai</w:t>
      </w:r>
      <w:r w:rsidR="0069276A">
        <w:t>la</w:t>
      </w:r>
      <w:r w:rsidR="003106FD">
        <w:t xml:space="preserve">ble at the DHN supply </w:t>
      </w:r>
      <w:r w:rsidR="0069276A">
        <w:t>temperature</w:t>
      </w:r>
      <w:r w:rsidR="00F705E9">
        <w:t xml:space="preserve"> at a given time</w:t>
      </w:r>
      <w:r w:rsidR="006C1F3A">
        <w:t>. In the implementation, if the</w:t>
      </w:r>
      <w:r w:rsidR="005C6C04">
        <w:t xml:space="preserve"> SoC</w:t>
      </w:r>
      <w:r w:rsidR="008F1F1D">
        <w:t xml:space="preserve"> </w:t>
      </w:r>
      <w:r w:rsidR="00DE3413">
        <w:t>is</w:t>
      </w:r>
      <w:r w:rsidR="0069276A">
        <w:t xml:space="preserve"> less than </w:t>
      </w:r>
      <w:r w:rsidR="006C1F3A">
        <w:t>2</w:t>
      </w:r>
      <w:r w:rsidR="0069276A">
        <w:t xml:space="preserve">0% </w:t>
      </w:r>
      <w:r w:rsidR="00FE15CD">
        <w:t>the boiler starts</w:t>
      </w:r>
      <w:r w:rsidR="0090292D">
        <w:t xml:space="preserve">, while </w:t>
      </w:r>
      <w:r w:rsidR="00242933">
        <w:t xml:space="preserve">it </w:t>
      </w:r>
      <w:r w:rsidR="0090292D">
        <w:t>is s</w:t>
      </w:r>
      <w:r w:rsidR="00DE089B">
        <w:t>top</w:t>
      </w:r>
      <w:r w:rsidR="0090292D">
        <w:t>ped</w:t>
      </w:r>
      <w:r w:rsidR="00DE089B">
        <w:t xml:space="preserve"> when the </w:t>
      </w:r>
      <w:r w:rsidR="0069276A">
        <w:t xml:space="preserve">SoC </w:t>
      </w:r>
      <w:r w:rsidR="0097386A">
        <w:t>reaches</w:t>
      </w:r>
      <w:r w:rsidR="0069276A">
        <w:t xml:space="preserve"> 90%.</w:t>
      </w:r>
      <w:r w:rsidR="00B811F0">
        <w:t xml:space="preserve"> </w:t>
      </w:r>
      <w:r w:rsidR="002E1D56">
        <w:t xml:space="preserve">While this control algorithm was </w:t>
      </w:r>
      <w:r w:rsidR="00C31B68">
        <w:t>applied</w:t>
      </w:r>
      <w:r w:rsidR="002E1D56">
        <w:t xml:space="preserve"> </w:t>
      </w:r>
      <w:r w:rsidR="00C31B68">
        <w:t>to each</w:t>
      </w:r>
      <w:r w:rsidR="002E1D56">
        <w:t xml:space="preserve"> mo</w:t>
      </w:r>
      <w:r w:rsidR="0041737B">
        <w:t>de</w:t>
      </w:r>
      <w:r w:rsidR="002E1D56">
        <w:t>l</w:t>
      </w:r>
      <w:r w:rsidR="0041737B">
        <w:t xml:space="preserve"> adopting </w:t>
      </w:r>
      <w:r w:rsidR="00C31B68">
        <w:t>a</w:t>
      </w:r>
      <w:r w:rsidR="0041737B">
        <w:t xml:space="preserve"> biomass boiler</w:t>
      </w:r>
      <w:r w:rsidR="002E1D56">
        <w:t>, it</w:t>
      </w:r>
      <w:r w:rsidR="00C7694A">
        <w:t xml:space="preserve"> </w:t>
      </w:r>
      <w:r w:rsidR="00AE73CD">
        <w:t>ha</w:t>
      </w:r>
      <w:r w:rsidR="000A3089">
        <w:t>d to</w:t>
      </w:r>
      <w:r w:rsidR="00AE73CD">
        <w:t xml:space="preserve"> be</w:t>
      </w:r>
      <w:r w:rsidR="003A7939">
        <w:t xml:space="preserve"> tailored</w:t>
      </w:r>
      <w:r w:rsidR="00C7694A">
        <w:t xml:space="preserve"> to </w:t>
      </w:r>
      <w:r w:rsidR="009C7E1D">
        <w:t xml:space="preserve">each </w:t>
      </w:r>
      <w:r w:rsidR="00C7694A">
        <w:t xml:space="preserve">different case. As such, for the biomass-solar hybrid </w:t>
      </w:r>
      <w:r w:rsidR="000D4335">
        <w:t>circuits</w:t>
      </w:r>
      <w:r w:rsidR="00C46BAF">
        <w:t xml:space="preserve">, the control algorithm has </w:t>
      </w:r>
      <w:r w:rsidR="000D4335">
        <w:t xml:space="preserve">been extended to include </w:t>
      </w:r>
      <w:r w:rsidR="00C46BAF">
        <w:t xml:space="preserve">a solar control based on irradiance </w:t>
      </w:r>
      <w:r w:rsidR="009E64B2">
        <w:t xml:space="preserve">(i.e., the fluid starts to circulate when the solar irradiance on the plan of array </w:t>
      </w:r>
      <w:r w:rsidR="00A76FEE">
        <w:t>is</w:t>
      </w:r>
      <w:r w:rsidR="009E64B2">
        <w:t xml:space="preserve"> larger than </w:t>
      </w:r>
      <w:r w:rsidR="000D4335">
        <w:t>150 W/m</w:t>
      </w:r>
      <w:r w:rsidR="000D4335" w:rsidRPr="0029437E">
        <w:rPr>
          <w:vertAlign w:val="superscript"/>
        </w:rPr>
        <w:t>2</w:t>
      </w:r>
      <w:r w:rsidR="000D4335">
        <w:t>)</w:t>
      </w:r>
      <w:r w:rsidR="00A76FEE">
        <w:t xml:space="preserve"> and </w:t>
      </w:r>
      <w:r w:rsidR="004D3334">
        <w:t>the operating nominal temperature</w:t>
      </w:r>
      <w:r w:rsidR="00AE532D">
        <w:t xml:space="preserve"> range</w:t>
      </w:r>
      <w:r w:rsidR="004D3334">
        <w:t xml:space="preserve"> (via a </w:t>
      </w:r>
      <w:r w:rsidR="00DF6ED1">
        <w:t>match flow</w:t>
      </w:r>
      <w:r w:rsidR="00AE532D">
        <w:t xml:space="preserve"> control on </w:t>
      </w:r>
      <w:r w:rsidR="0081478A">
        <w:t>the circulation</w:t>
      </w:r>
      <w:r w:rsidR="00AE73CD">
        <w:t xml:space="preserve"> pump</w:t>
      </w:r>
      <w:r w:rsidR="0081478A">
        <w:t>s</w:t>
      </w:r>
      <w:r w:rsidR="00AE532D">
        <w:t>)</w:t>
      </w:r>
      <w:r w:rsidR="0081478A">
        <w:t xml:space="preserve">. </w:t>
      </w:r>
      <w:r w:rsidR="00975384">
        <w:t>But while in Circuit 1, solar heat is produced</w:t>
      </w:r>
      <w:r w:rsidR="00033275">
        <w:t>,</w:t>
      </w:r>
      <w:r w:rsidR="00975384">
        <w:t xml:space="preserve"> </w:t>
      </w:r>
      <w:r w:rsidR="008A0AFE">
        <w:t>when possible</w:t>
      </w:r>
      <w:r w:rsidR="00033275">
        <w:t>,</w:t>
      </w:r>
      <w:r w:rsidR="008A0AFE">
        <w:t xml:space="preserve"> at the DHN supply temperature,</w:t>
      </w:r>
      <w:r w:rsidR="005D6F67">
        <w:t xml:space="preserve"> in Circuit 2, 3 and 4 of </w:t>
      </w:r>
      <w:r w:rsidR="005D6F67">
        <w:fldChar w:fldCharType="begin"/>
      </w:r>
      <w:r w:rsidR="005D6F67">
        <w:instrText xml:space="preserve"> REF _Ref238137016 \h </w:instrText>
      </w:r>
      <w:r w:rsidR="005D6F67">
        <w:fldChar w:fldCharType="separate"/>
      </w:r>
      <w:r w:rsidR="005D6F67">
        <w:t xml:space="preserve">Figure </w:t>
      </w:r>
      <w:r w:rsidR="005D6F67">
        <w:rPr>
          <w:noProof/>
        </w:rPr>
        <w:t>2</w:t>
      </w:r>
      <w:r w:rsidR="005D6F67">
        <w:fldChar w:fldCharType="end"/>
      </w:r>
      <w:r w:rsidR="000B1FB3">
        <w:t xml:space="preserve"> the temperature imposed to the solar production </w:t>
      </w:r>
      <w:r w:rsidR="00235FE1">
        <w:t>is adjusted based on the season</w:t>
      </w:r>
      <w:r w:rsidR="001934D2">
        <w:t xml:space="preserve"> to</w:t>
      </w:r>
      <w:r w:rsidR="00301D47">
        <w:t xml:space="preserve"> increase </w:t>
      </w:r>
      <w:r w:rsidR="00DC3B65">
        <w:t xml:space="preserve">productivity </w:t>
      </w:r>
      <w:r w:rsidR="005240D7">
        <w:t xml:space="preserve">when the sun is low </w:t>
      </w:r>
      <w:r w:rsidR="00DC3B65">
        <w:t>and</w:t>
      </w:r>
      <w:r w:rsidR="005240D7">
        <w:t xml:space="preserve"> to</w:t>
      </w:r>
      <w:r w:rsidR="001934D2">
        <w:t xml:space="preserve"> maximize </w:t>
      </w:r>
      <w:r w:rsidR="005240D7">
        <w:t>the coverage of the summer</w:t>
      </w:r>
      <w:r w:rsidR="001934D2">
        <w:t xml:space="preserve"> load</w:t>
      </w:r>
      <w:r w:rsidR="009C7CE5">
        <w:t xml:space="preserve">. </w:t>
      </w:r>
    </w:p>
    <w:p w14:paraId="73A5B048" w14:textId="1758D044" w:rsidR="00C22F66" w:rsidRDefault="006A35E4" w:rsidP="00A522FD">
      <w:pPr>
        <w:pStyle w:val="SWCText"/>
      </w:pPr>
      <w:r>
        <w:t>Analogously</w:t>
      </w:r>
      <w:r w:rsidR="00501E66">
        <w:t>, the configurations equipped with HP units</w:t>
      </w:r>
      <w:r w:rsidR="003A1BC0">
        <w:t xml:space="preserve"> </w:t>
      </w:r>
      <w:r w:rsidR="00886E6F">
        <w:t>required</w:t>
      </w:r>
      <w:r w:rsidR="003A1BC0">
        <w:t xml:space="preserve"> the HP control algorithm </w:t>
      </w:r>
      <w:r w:rsidR="00B60472">
        <w:t>adapted to each</w:t>
      </w:r>
      <w:r w:rsidR="003A1BC0">
        <w:t xml:space="preserve"> case. While the </w:t>
      </w:r>
      <w:r w:rsidR="00474219">
        <w:t xml:space="preserve">monovalent case </w:t>
      </w:r>
      <w:r>
        <w:t>was</w:t>
      </w:r>
      <w:r w:rsidR="00474219">
        <w:t xml:space="preserve"> handled as the biomass only case, with the HP </w:t>
      </w:r>
      <w:r w:rsidR="00B60472">
        <w:t>production based on the SoC of</w:t>
      </w:r>
      <w:r w:rsidR="00535C0E">
        <w:t xml:space="preserve"> the TES </w:t>
      </w:r>
      <w:r w:rsidR="00546F56">
        <w:t>d</w:t>
      </w:r>
      <w:r w:rsidR="00535C0E">
        <w:t xml:space="preserve">uring the whole year, the HP operations for the bivalent case </w:t>
      </w:r>
      <w:r w:rsidR="00274F60">
        <w:t xml:space="preserve">were </w:t>
      </w:r>
      <w:r w:rsidR="00546F56">
        <w:t>constrained</w:t>
      </w:r>
      <w:r w:rsidR="00535C0E">
        <w:t xml:space="preserve"> to the same schedule </w:t>
      </w:r>
      <w:r w:rsidR="00274F60">
        <w:t>of the smaller biomass boiler unit of the reference plant</w:t>
      </w:r>
      <w:r w:rsidR="002B51A4">
        <w:t xml:space="preserve"> (</w:t>
      </w:r>
      <w:r w:rsidR="008E0593">
        <w:t>i.e.,</w:t>
      </w:r>
      <w:r w:rsidR="002B51A4">
        <w:t xml:space="preserve"> the indirect air HP substitutes the smaller biomass boiler unit dimensioned on the DHW </w:t>
      </w:r>
      <w:r w:rsidR="00546F56">
        <w:t>load of 600</w:t>
      </w:r>
      <w:r w:rsidR="00A21100">
        <w:t xml:space="preserve"> </w:t>
      </w:r>
      <w:proofErr w:type="spellStart"/>
      <w:r w:rsidR="00546F56">
        <w:t>kW</w:t>
      </w:r>
      <w:r w:rsidR="00546F56" w:rsidRPr="008E0593">
        <w:rPr>
          <w:vertAlign w:val="subscript"/>
        </w:rPr>
        <w:t>th</w:t>
      </w:r>
      <w:proofErr w:type="spellEnd"/>
      <w:r w:rsidR="00546F56">
        <w:t>).</w:t>
      </w:r>
      <w:r w:rsidR="00A21100">
        <w:t xml:space="preserve"> </w:t>
      </w:r>
      <w:r w:rsidR="00AB36EC">
        <w:t xml:space="preserve">In this latter case, when enabled, the HP preheats the lower part </w:t>
      </w:r>
      <w:r w:rsidR="00B12B1B">
        <w:t>of the TES during winter and inter-seasons or directly suppl</w:t>
      </w:r>
      <w:r w:rsidR="00D24580">
        <w:t>ies</w:t>
      </w:r>
      <w:r w:rsidR="00B12B1B">
        <w:t xml:space="preserve"> the DHN during summer. In both configurations, PV generation </w:t>
      </w:r>
      <w:r w:rsidR="00B75A51">
        <w:t>was</w:t>
      </w:r>
      <w:r w:rsidR="00B12B1B">
        <w:t xml:space="preserve"> enabled continuously with the excess electricity non consumed by the HPs considered fed back to an ideal grid.</w:t>
      </w:r>
    </w:p>
    <w:p w14:paraId="1F5BABDF" w14:textId="6D6A365B" w:rsidR="00BE4610" w:rsidRDefault="00165C15" w:rsidP="003A7939">
      <w:pPr>
        <w:pStyle w:val="SWCHeading11"/>
      </w:pPr>
      <w:r>
        <w:t>Cost functions</w:t>
      </w:r>
    </w:p>
    <w:p w14:paraId="7757ECB1" w14:textId="272106DC" w:rsidR="00041D22" w:rsidRDefault="0040482B" w:rsidP="00041D22">
      <w:pPr>
        <w:pStyle w:val="SWCText"/>
      </w:pPr>
      <w:r>
        <w:t>The calculation of the LCOH</w:t>
      </w:r>
      <w:r w:rsidR="00AF10BE">
        <w:t xml:space="preserve"> </w:t>
      </w:r>
      <w:r w:rsidR="00B96F1D">
        <w:t>was</w:t>
      </w:r>
      <w:r w:rsidR="00AF10BE">
        <w:t xml:space="preserve"> based on a discounted cash-flow model </w:t>
      </w:r>
      <w:r w:rsidR="004A567F">
        <w:t>applied to each configuration</w:t>
      </w:r>
      <w:r w:rsidR="007348C2">
        <w:t>.</w:t>
      </w:r>
      <w:r w:rsidR="008243ED">
        <w:t xml:space="preserve"> </w:t>
      </w:r>
      <w:r w:rsidR="007348C2">
        <w:t>E</w:t>
      </w:r>
      <w:r w:rsidR="008243ED" w:rsidRPr="004E0194">
        <w:t xml:space="preserve">xpenditures and earnings over the </w:t>
      </w:r>
      <w:r w:rsidR="007348C2">
        <w:t>lifetime o</w:t>
      </w:r>
      <w:r w:rsidR="00EF5502">
        <w:t>f the project (assumed 50 y, as the lifetime of the TES)</w:t>
      </w:r>
      <w:r w:rsidR="007348C2">
        <w:t xml:space="preserve"> </w:t>
      </w:r>
      <w:r w:rsidR="00707533">
        <w:t>were</w:t>
      </w:r>
      <w:r w:rsidR="008243ED" w:rsidRPr="004E0194">
        <w:t xml:space="preserve"> discounted back to the time of the initial investment using the net present value method </w:t>
      </w:r>
      <w:r w:rsidR="00707533">
        <w:t xml:space="preserve">[18]. </w:t>
      </w:r>
      <w:r w:rsidR="002A6679">
        <w:t xml:space="preserve">The main </w:t>
      </w:r>
      <w:r w:rsidR="00861C99" w:rsidRPr="00861C99">
        <w:t>cost</w:t>
      </w:r>
      <w:r w:rsidR="002D3A71">
        <w:t>s</w:t>
      </w:r>
      <w:r w:rsidR="00861C99" w:rsidRPr="00861C99">
        <w:t xml:space="preserve"> </w:t>
      </w:r>
      <w:r w:rsidR="00707533">
        <w:t xml:space="preserve">considered </w:t>
      </w:r>
      <w:r w:rsidR="00861C99" w:rsidRPr="00861C99">
        <w:t>include</w:t>
      </w:r>
      <w:r w:rsidR="00B96F1D">
        <w:t>d</w:t>
      </w:r>
      <w:r w:rsidR="00861C99" w:rsidRPr="00861C99">
        <w:t xml:space="preserve"> the initial investment</w:t>
      </w:r>
      <w:r w:rsidR="006E282F">
        <w:t xml:space="preserve"> (i.e. CAPEX)</w:t>
      </w:r>
      <w:r w:rsidR="00861C99" w:rsidRPr="00861C99">
        <w:t xml:space="preserve">, operation and maintenance costs </w:t>
      </w:r>
      <w:r w:rsidR="002D53BE">
        <w:rPr>
          <w:rFonts w:ascii="Cambria Math" w:hAnsi="Cambria Math" w:cs="Cambria Math"/>
        </w:rPr>
        <w:t>(I.e., OPEX)</w:t>
      </w:r>
      <w:r w:rsidR="00861C99" w:rsidRPr="00861C99">
        <w:t xml:space="preserve">, </w:t>
      </w:r>
      <w:r w:rsidR="00861C99" w:rsidRPr="00861C99">
        <w:lastRenderedPageBreak/>
        <w:t>replacement costs</w:t>
      </w:r>
      <w:r w:rsidR="00E85966">
        <w:t xml:space="preserve"> on the 26</w:t>
      </w:r>
      <w:r w:rsidR="00E85966" w:rsidRPr="00E85966">
        <w:rPr>
          <w:vertAlign w:val="superscript"/>
        </w:rPr>
        <w:t>th</w:t>
      </w:r>
      <w:r w:rsidR="00E85966">
        <w:t xml:space="preserve"> year for solar thermal field, boilers and </w:t>
      </w:r>
      <w:r w:rsidR="00865F0C">
        <w:t>HP</w:t>
      </w:r>
      <w:r w:rsidR="00861C99" w:rsidRPr="00861C99">
        <w:t xml:space="preserve">, as well as </w:t>
      </w:r>
      <w:r w:rsidR="00090830">
        <w:t xml:space="preserve">government </w:t>
      </w:r>
      <w:r w:rsidR="00861C99" w:rsidRPr="00861C99">
        <w:t xml:space="preserve">subsidies for </w:t>
      </w:r>
      <w:r w:rsidR="005666F3">
        <w:t>solar thermal and PV</w:t>
      </w:r>
      <w:r w:rsidR="00861C99">
        <w:t>.</w:t>
      </w:r>
      <w:r w:rsidR="004A567F">
        <w:t xml:space="preserve"> Since</w:t>
      </w:r>
      <w:r w:rsidR="00C376CC">
        <w:t xml:space="preserve"> the heat-cost for biomass only generation </w:t>
      </w:r>
      <w:r w:rsidR="00865F0C">
        <w:t>was</w:t>
      </w:r>
      <w:r w:rsidR="00C376CC">
        <w:t xml:space="preserve"> known</w:t>
      </w:r>
      <w:r w:rsidR="00865F0C">
        <w:t xml:space="preserve"> and derived from field data</w:t>
      </w:r>
      <w:r w:rsidR="00C376CC">
        <w:t xml:space="preserve">, the economic model </w:t>
      </w:r>
      <w:r w:rsidR="000C5336">
        <w:t>estimated the costs</w:t>
      </w:r>
      <w:r w:rsidR="00C376CC">
        <w:t xml:space="preserve"> only </w:t>
      </w:r>
      <w:r w:rsidR="000C5336">
        <w:t>for some subsystems for</w:t>
      </w:r>
      <w:r w:rsidR="002E1DD7">
        <w:t xml:space="preserve"> each </w:t>
      </w:r>
      <w:r w:rsidR="000C5336">
        <w:t>configuration</w:t>
      </w:r>
      <w:r w:rsidR="002E1DD7">
        <w:t xml:space="preserve">. </w:t>
      </w:r>
      <w:r w:rsidR="00754D40">
        <w:t>The CAPEX f</w:t>
      </w:r>
      <w:r w:rsidR="002E1DD7">
        <w:t xml:space="preserve">or the solar thermal – biomass </w:t>
      </w:r>
      <w:r w:rsidR="00754D40">
        <w:t>hybrid configurations</w:t>
      </w:r>
      <w:r w:rsidR="00E259D4">
        <w:t xml:space="preserve"> included the solar thermal f</w:t>
      </w:r>
      <w:r w:rsidR="00E67E24">
        <w:t>i</w:t>
      </w:r>
      <w:r w:rsidR="00E259D4">
        <w:t>eld, the TES</w:t>
      </w:r>
      <w:r w:rsidR="002F1FF4">
        <w:t xml:space="preserve"> and</w:t>
      </w:r>
      <w:r w:rsidR="00E259D4">
        <w:t xml:space="preserve"> the main DH connection piping</w:t>
      </w:r>
      <w:r w:rsidR="00C7534E">
        <w:t xml:space="preserve">, while in the </w:t>
      </w:r>
      <w:r w:rsidR="00CF4E3A">
        <w:t xml:space="preserve">HP et PV cases, the model </w:t>
      </w:r>
      <w:r w:rsidR="00FC347D">
        <w:t>included</w:t>
      </w:r>
      <w:r w:rsidR="00CF4E3A">
        <w:t xml:space="preserve"> the </w:t>
      </w:r>
      <w:r w:rsidR="005E2F89">
        <w:t>investments</w:t>
      </w:r>
      <w:r w:rsidR="00CF4E3A">
        <w:t xml:space="preserve"> for the HP, the groundwater</w:t>
      </w:r>
      <w:r w:rsidR="00E95A0D">
        <w:t xml:space="preserve"> HP wells</w:t>
      </w:r>
      <w:r w:rsidR="00E67E24">
        <w:t>,</w:t>
      </w:r>
      <w:r w:rsidR="00E95A0D">
        <w:t xml:space="preserve"> the external dry-cooler</w:t>
      </w:r>
      <w:r w:rsidR="00E60A91">
        <w:t xml:space="preserve"> for the indirect air HP case</w:t>
      </w:r>
      <w:r w:rsidR="00FC347D">
        <w:t xml:space="preserve"> and</w:t>
      </w:r>
      <w:r w:rsidR="00E60A91">
        <w:t xml:space="preserve"> the </w:t>
      </w:r>
      <w:r w:rsidR="001476D8">
        <w:t>M</w:t>
      </w:r>
      <w:r w:rsidR="001276C1" w:rsidRPr="001276C1">
        <w:t xml:space="preserve">edium </w:t>
      </w:r>
      <w:r w:rsidR="001476D8">
        <w:t>V</w:t>
      </w:r>
      <w:r w:rsidR="001276C1" w:rsidRPr="001276C1">
        <w:t>oltage</w:t>
      </w:r>
      <w:r w:rsidR="001476D8">
        <w:t xml:space="preserve"> (MV)</w:t>
      </w:r>
      <w:r w:rsidR="001276C1" w:rsidRPr="001276C1">
        <w:t xml:space="preserve"> electrical substation</w:t>
      </w:r>
      <w:r w:rsidR="00E60A91">
        <w:t xml:space="preserve"> required by the large power HP</w:t>
      </w:r>
      <w:r w:rsidR="00C55A1E">
        <w:t xml:space="preserve">. </w:t>
      </w:r>
      <w:r w:rsidR="00041D22">
        <w:t>The adopted cost</w:t>
      </w:r>
      <w:r w:rsidR="00EB212B">
        <w:t xml:space="preserve"> function</w:t>
      </w:r>
      <w:r w:rsidR="00041D22">
        <w:t>s</w:t>
      </w:r>
      <w:r w:rsidR="00EB212B">
        <w:t xml:space="preserve"> </w:t>
      </w:r>
      <w:r w:rsidR="00041D22">
        <w:t xml:space="preserve">are </w:t>
      </w:r>
      <w:r w:rsidR="00F75972">
        <w:t>listed</w:t>
      </w:r>
      <w:r w:rsidR="00041D22">
        <w:t xml:space="preserve"> in the Appendix.</w:t>
      </w:r>
    </w:p>
    <w:p w14:paraId="58DF52FF" w14:textId="097B6FD8" w:rsidR="00C55A1E" w:rsidRDefault="000304E4" w:rsidP="000304E4">
      <w:pPr>
        <w:pStyle w:val="SWCHeading1"/>
      </w:pPr>
      <w:r>
        <w:t>Results and discussion</w:t>
      </w:r>
    </w:p>
    <w:p w14:paraId="655509D9" w14:textId="3E0E7856" w:rsidR="00C55A1E" w:rsidRDefault="00962EE9" w:rsidP="009F5CBA">
      <w:pPr>
        <w:pStyle w:val="SWCHeading11"/>
      </w:pPr>
      <w:r>
        <w:t>Performance c</w:t>
      </w:r>
      <w:r w:rsidR="00835541">
        <w:t xml:space="preserve">omparison </w:t>
      </w:r>
      <w:r w:rsidR="00593AED">
        <w:t>among solar-biomass configurations</w:t>
      </w:r>
    </w:p>
    <w:p w14:paraId="36F9A171" w14:textId="74D4938F" w:rsidR="00C22F66" w:rsidRDefault="003E669B" w:rsidP="009F5CBA">
      <w:pPr>
        <w:pStyle w:val="SWCText"/>
      </w:pPr>
      <w:r>
        <w:t>The dynamic models developed under TRNSY</w:t>
      </w:r>
      <w:r w:rsidR="00FB6E4C">
        <w:t xml:space="preserve"> were used to </w:t>
      </w:r>
      <w:r w:rsidR="00E07791">
        <w:t>c</w:t>
      </w:r>
      <w:r w:rsidR="00FB6E4C">
        <w:t xml:space="preserve">ompare the technical performance of the four hydraulic configurations </w:t>
      </w:r>
      <w:r w:rsidR="0034137D">
        <w:t>presented in</w:t>
      </w:r>
      <w:r w:rsidR="00E07791">
        <w:t xml:space="preserve"> </w:t>
      </w:r>
      <w:r w:rsidR="0062236E">
        <w:fldChar w:fldCharType="begin"/>
      </w:r>
      <w:r w:rsidR="0062236E">
        <w:instrText xml:space="preserve"> REF _Ref238137016 \h </w:instrText>
      </w:r>
      <w:r w:rsidR="0062236E">
        <w:fldChar w:fldCharType="separate"/>
      </w:r>
      <w:r w:rsidR="0062236E">
        <w:t xml:space="preserve">Figure </w:t>
      </w:r>
      <w:r w:rsidR="0062236E">
        <w:rPr>
          <w:noProof/>
        </w:rPr>
        <w:t>2</w:t>
      </w:r>
      <w:r w:rsidR="0062236E">
        <w:fldChar w:fldCharType="end"/>
      </w:r>
      <w:r w:rsidR="00DE00A0">
        <w:t xml:space="preserve"> to determine the</w:t>
      </w:r>
      <w:r w:rsidR="006D40EC">
        <w:t xml:space="preserve"> best way to integrate a solar thermal field with a TES to a DHN network</w:t>
      </w:r>
      <w:r w:rsidR="00E643BD">
        <w:t xml:space="preserve"> supplied by a biomass boiler</w:t>
      </w:r>
      <w:r w:rsidR="0062236E">
        <w:t xml:space="preserve">. </w:t>
      </w:r>
      <w:r w:rsidR="00FE2909">
        <w:t xml:space="preserve">The simulations investigated the performance of each circuit </w:t>
      </w:r>
      <w:r w:rsidR="00821EFB">
        <w:t xml:space="preserve">for </w:t>
      </w:r>
      <w:r w:rsidR="00A111D8">
        <w:t>s</w:t>
      </w:r>
      <w:r w:rsidR="004C53D6">
        <w:t>ize</w:t>
      </w:r>
      <w:r w:rsidR="00821EFB">
        <w:t>s</w:t>
      </w:r>
      <w:r w:rsidR="004C53D6">
        <w:t xml:space="preserve"> of the solar field (A</w:t>
      </w:r>
      <w:r w:rsidR="004C53D6" w:rsidRPr="004C53D6">
        <w:rPr>
          <w:vertAlign w:val="subscript"/>
        </w:rPr>
        <w:t>SF</w:t>
      </w:r>
      <w:r w:rsidR="004C53D6">
        <w:t>)</w:t>
      </w:r>
      <w:r w:rsidR="00821EFB">
        <w:t xml:space="preserve"> between 1000 and </w:t>
      </w:r>
      <w:r w:rsidR="00F31BE6">
        <w:t>6</w:t>
      </w:r>
      <w:r w:rsidR="00821EFB">
        <w:t>000 m</w:t>
      </w:r>
      <w:r w:rsidR="00821EFB" w:rsidRPr="006B1976">
        <w:rPr>
          <w:vertAlign w:val="superscript"/>
        </w:rPr>
        <w:t>2</w:t>
      </w:r>
      <w:r w:rsidR="004C53D6">
        <w:t xml:space="preserve"> and</w:t>
      </w:r>
      <w:r w:rsidR="00821EFB">
        <w:t xml:space="preserve"> for values of</w:t>
      </w:r>
      <w:r w:rsidR="004C53D6">
        <w:t xml:space="preserve"> the specific volume of the TES (</w:t>
      </w:r>
      <w:proofErr w:type="spellStart"/>
      <w:r w:rsidR="004C53D6">
        <w:t>V</w:t>
      </w:r>
      <w:r w:rsidR="004C53D6" w:rsidRPr="004C53D6">
        <w:rPr>
          <w:vertAlign w:val="subscript"/>
        </w:rPr>
        <w:t>sp,TES</w:t>
      </w:r>
      <w:proofErr w:type="spellEnd"/>
      <w:r w:rsidR="00821EFB">
        <w:t>) between 0.075 and 0.2</w:t>
      </w:r>
      <w:r w:rsidR="009F5CBA">
        <w:t> </w:t>
      </w:r>
      <w:r w:rsidR="004C53D6">
        <w:t>m</w:t>
      </w:r>
      <w:r w:rsidR="004C53D6" w:rsidRPr="00FE2909">
        <w:rPr>
          <w:vertAlign w:val="superscript"/>
        </w:rPr>
        <w:t>3</w:t>
      </w:r>
      <w:r w:rsidR="004C53D6">
        <w:t>/m</w:t>
      </w:r>
      <w:r w:rsidR="004C53D6" w:rsidRPr="00FE2909">
        <w:rPr>
          <w:vertAlign w:val="superscript"/>
        </w:rPr>
        <w:t>2</w:t>
      </w:r>
      <w:r w:rsidR="006B1976">
        <w:t xml:space="preserve">. </w:t>
      </w:r>
    </w:p>
    <w:tbl>
      <w:tblPr>
        <w:tblStyle w:val="Grilledutableau"/>
        <w:tblpPr w:leftFromText="141" w:rightFromText="141" w:vertAnchor="text" w:horzAnchor="margin" w:tblpY="10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2"/>
      </w:tblGrid>
      <w:tr w:rsidR="0043055D" w14:paraId="35DFC06A" w14:textId="77777777" w:rsidTr="0043055D">
        <w:tc>
          <w:tcPr>
            <w:tcW w:w="4532" w:type="dxa"/>
            <w:vAlign w:val="center"/>
          </w:tcPr>
          <w:p w14:paraId="648BD243" w14:textId="55A72D46" w:rsidR="0043055D" w:rsidRDefault="00A911E3" w:rsidP="0043055D">
            <w:pPr>
              <w:pStyle w:val="SWCText"/>
              <w:jc w:val="center"/>
            </w:pPr>
            <w:r>
              <w:rPr>
                <w:noProof/>
              </w:rPr>
              <w:drawing>
                <wp:inline distT="0" distB="0" distL="0" distR="0" wp14:anchorId="0980BE5C" wp14:editId="0FBCB968">
                  <wp:extent cx="2114220" cy="1589523"/>
                  <wp:effectExtent l="0" t="0" r="635" b="0"/>
                  <wp:docPr id="6" name="Graphiqu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2142368" cy="1610685"/>
                          </a:xfrm>
                          <a:prstGeom prst="rect">
                            <a:avLst/>
                          </a:prstGeom>
                        </pic:spPr>
                      </pic:pic>
                    </a:graphicData>
                  </a:graphic>
                </wp:inline>
              </w:drawing>
            </w:r>
          </w:p>
        </w:tc>
        <w:tc>
          <w:tcPr>
            <w:tcW w:w="4532" w:type="dxa"/>
            <w:vAlign w:val="center"/>
          </w:tcPr>
          <w:p w14:paraId="630E47A7" w14:textId="26BDE939" w:rsidR="0043055D" w:rsidRDefault="00137CF6" w:rsidP="0043055D">
            <w:pPr>
              <w:pStyle w:val="SWCText"/>
              <w:jc w:val="center"/>
            </w:pPr>
            <w:r>
              <w:rPr>
                <w:noProof/>
              </w:rPr>
              <w:drawing>
                <wp:inline distT="0" distB="0" distL="0" distR="0" wp14:anchorId="5EA9044D" wp14:editId="32AD0FA0">
                  <wp:extent cx="2070000" cy="1555200"/>
                  <wp:effectExtent l="0" t="0" r="6985" b="6985"/>
                  <wp:docPr id="12" name="Graphiqu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2070000" cy="1555200"/>
                          </a:xfrm>
                          <a:prstGeom prst="rect">
                            <a:avLst/>
                          </a:prstGeom>
                        </pic:spPr>
                      </pic:pic>
                    </a:graphicData>
                  </a:graphic>
                </wp:inline>
              </w:drawing>
            </w:r>
          </w:p>
        </w:tc>
      </w:tr>
      <w:tr w:rsidR="0043055D" w:rsidRPr="00E25FD2" w14:paraId="2DDA8DB6" w14:textId="77777777" w:rsidTr="0043055D">
        <w:tc>
          <w:tcPr>
            <w:tcW w:w="4532" w:type="dxa"/>
            <w:vAlign w:val="center"/>
          </w:tcPr>
          <w:p w14:paraId="63E567D1" w14:textId="77777777" w:rsidR="0043055D" w:rsidRPr="00E25FD2" w:rsidRDefault="0043055D" w:rsidP="0043055D">
            <w:pPr>
              <w:pStyle w:val="SWCText"/>
              <w:spacing w:after="0"/>
              <w:jc w:val="center"/>
            </w:pPr>
            <w:r w:rsidRPr="00E25FD2">
              <w:t>Circuit 1</w:t>
            </w:r>
          </w:p>
        </w:tc>
        <w:tc>
          <w:tcPr>
            <w:tcW w:w="4532" w:type="dxa"/>
            <w:vAlign w:val="center"/>
          </w:tcPr>
          <w:p w14:paraId="72CC9770" w14:textId="77777777" w:rsidR="0043055D" w:rsidRPr="00E25FD2" w:rsidRDefault="0043055D" w:rsidP="0043055D">
            <w:pPr>
              <w:pStyle w:val="SWCText"/>
              <w:spacing w:after="0"/>
              <w:jc w:val="center"/>
            </w:pPr>
            <w:r w:rsidRPr="00E25FD2">
              <w:t>Circuit 2</w:t>
            </w:r>
          </w:p>
        </w:tc>
      </w:tr>
      <w:tr w:rsidR="0043055D" w14:paraId="6E723CEC" w14:textId="77777777" w:rsidTr="0043055D">
        <w:tc>
          <w:tcPr>
            <w:tcW w:w="4532" w:type="dxa"/>
            <w:vAlign w:val="center"/>
          </w:tcPr>
          <w:p w14:paraId="347B59DB" w14:textId="6DEA06FD" w:rsidR="0043055D" w:rsidRDefault="00022072" w:rsidP="0043055D">
            <w:pPr>
              <w:pStyle w:val="SWCText"/>
              <w:jc w:val="center"/>
            </w:pPr>
            <w:r>
              <w:rPr>
                <w:noProof/>
              </w:rPr>
              <w:drawing>
                <wp:inline distT="0" distB="0" distL="0" distR="0" wp14:anchorId="461B1245" wp14:editId="1798AC5F">
                  <wp:extent cx="1876370" cy="1410635"/>
                  <wp:effectExtent l="0" t="0" r="0" b="0"/>
                  <wp:docPr id="2" name="Graphiqu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1932566" cy="1452883"/>
                          </a:xfrm>
                          <a:prstGeom prst="rect">
                            <a:avLst/>
                          </a:prstGeom>
                        </pic:spPr>
                      </pic:pic>
                    </a:graphicData>
                  </a:graphic>
                </wp:inline>
              </w:drawing>
            </w:r>
          </w:p>
        </w:tc>
        <w:tc>
          <w:tcPr>
            <w:tcW w:w="4532" w:type="dxa"/>
            <w:vAlign w:val="center"/>
          </w:tcPr>
          <w:p w14:paraId="7B32FF1F" w14:textId="73E2CDDE" w:rsidR="0043055D" w:rsidRDefault="003703AF" w:rsidP="0043055D">
            <w:pPr>
              <w:pStyle w:val="SWCText"/>
              <w:jc w:val="center"/>
            </w:pPr>
            <w:r>
              <w:rPr>
                <w:noProof/>
              </w:rPr>
              <w:drawing>
                <wp:inline distT="0" distB="0" distL="0" distR="0" wp14:anchorId="5F00B887" wp14:editId="72B85EE1">
                  <wp:extent cx="2070000" cy="1555200"/>
                  <wp:effectExtent l="0" t="0" r="6985" b="6985"/>
                  <wp:docPr id="18" name="Graphiqu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2070000" cy="1555200"/>
                          </a:xfrm>
                          <a:prstGeom prst="rect">
                            <a:avLst/>
                          </a:prstGeom>
                        </pic:spPr>
                      </pic:pic>
                    </a:graphicData>
                  </a:graphic>
                </wp:inline>
              </w:drawing>
            </w:r>
          </w:p>
        </w:tc>
      </w:tr>
      <w:tr w:rsidR="0043055D" w14:paraId="077BA877" w14:textId="77777777" w:rsidTr="0043055D">
        <w:tc>
          <w:tcPr>
            <w:tcW w:w="4532" w:type="dxa"/>
            <w:vAlign w:val="center"/>
          </w:tcPr>
          <w:p w14:paraId="2F9822E5" w14:textId="77777777" w:rsidR="0043055D" w:rsidRDefault="0043055D" w:rsidP="0043055D">
            <w:pPr>
              <w:pStyle w:val="SWCText"/>
              <w:spacing w:after="0"/>
              <w:jc w:val="center"/>
            </w:pPr>
            <w:r>
              <w:t>Circuit 3</w:t>
            </w:r>
          </w:p>
        </w:tc>
        <w:tc>
          <w:tcPr>
            <w:tcW w:w="4532" w:type="dxa"/>
            <w:vAlign w:val="center"/>
          </w:tcPr>
          <w:p w14:paraId="7A7F7A16" w14:textId="77777777" w:rsidR="0043055D" w:rsidRDefault="0043055D" w:rsidP="0043055D">
            <w:pPr>
              <w:pStyle w:val="SWCText"/>
              <w:spacing w:after="0"/>
              <w:jc w:val="center"/>
            </w:pPr>
            <w:r>
              <w:t>Circuit 4</w:t>
            </w:r>
          </w:p>
        </w:tc>
      </w:tr>
      <w:tr w:rsidR="0043055D" w14:paraId="7EAB5726" w14:textId="77777777" w:rsidTr="0043055D">
        <w:tc>
          <w:tcPr>
            <w:tcW w:w="9064" w:type="dxa"/>
            <w:gridSpan w:val="2"/>
            <w:vAlign w:val="center"/>
          </w:tcPr>
          <w:p w14:paraId="2DFA841F" w14:textId="77777777" w:rsidR="0043055D" w:rsidRDefault="0043055D" w:rsidP="0043055D">
            <w:pPr>
              <w:pStyle w:val="SWCTableFigureCaption"/>
            </w:pPr>
            <w:bookmarkStart w:id="7" w:name="_Ref238476095"/>
            <w:r>
              <w:t xml:space="preserve">Figure </w:t>
            </w:r>
            <w:r>
              <w:fldChar w:fldCharType="begin"/>
            </w:r>
            <w:r>
              <w:instrText xml:space="preserve"> SEQ Figure \* ARABIC </w:instrText>
            </w:r>
            <w:r>
              <w:fldChar w:fldCharType="separate"/>
            </w:r>
            <w:r>
              <w:rPr>
                <w:noProof/>
              </w:rPr>
              <w:t>6</w:t>
            </w:r>
            <w:r>
              <w:fldChar w:fldCharType="end"/>
            </w:r>
            <w:bookmarkEnd w:id="7"/>
            <w:r>
              <w:t xml:space="preserve">: Specific productivity </w:t>
            </w:r>
            <w:proofErr w:type="spellStart"/>
            <w:r>
              <w:t>Y</w:t>
            </w:r>
            <w:r w:rsidRPr="004C3B4E">
              <w:rPr>
                <w:vertAlign w:val="subscript"/>
              </w:rPr>
              <w:t>sol</w:t>
            </w:r>
            <w:proofErr w:type="spellEnd"/>
            <w:r>
              <w:t xml:space="preserve"> and solar fraction (SF) as a function of the aperture area of the solar field and the specific TES volume for the four hydraulic layouts under investigation for the integration of solar and biomass energies.</w:t>
            </w:r>
          </w:p>
        </w:tc>
      </w:tr>
    </w:tbl>
    <w:p w14:paraId="1F9ED764" w14:textId="1EDED863" w:rsidR="0001303E" w:rsidRDefault="002A07BE" w:rsidP="009F5CBA">
      <w:pPr>
        <w:pStyle w:val="SWCText"/>
      </w:pPr>
      <w:r>
        <w:t xml:space="preserve">As shown in </w:t>
      </w:r>
      <w:r>
        <w:fldChar w:fldCharType="begin"/>
      </w:r>
      <w:r>
        <w:instrText xml:space="preserve"> REF _Ref238476095 \h </w:instrText>
      </w:r>
      <w:r>
        <w:fldChar w:fldCharType="separate"/>
      </w:r>
      <w:r w:rsidR="0057322F">
        <w:t xml:space="preserve">Figure </w:t>
      </w:r>
      <w:r w:rsidR="0057322F">
        <w:rPr>
          <w:noProof/>
        </w:rPr>
        <w:t>6</w:t>
      </w:r>
      <w:r>
        <w:fldChar w:fldCharType="end"/>
      </w:r>
      <w:r>
        <w:t xml:space="preserve">, </w:t>
      </w:r>
      <w:r w:rsidR="004B2DFD">
        <w:t xml:space="preserve">in each configuration </w:t>
      </w:r>
      <w:r w:rsidR="00DE00A0">
        <w:t xml:space="preserve">the </w:t>
      </w:r>
      <w:r w:rsidR="0070145D">
        <w:t xml:space="preserve">increase in solar field </w:t>
      </w:r>
      <w:r w:rsidR="00BF5780">
        <w:t>area</w:t>
      </w:r>
      <w:r w:rsidR="0070145D">
        <w:t xml:space="preserve"> </w:t>
      </w:r>
      <w:r w:rsidR="006401B5">
        <w:t>increases</w:t>
      </w:r>
      <w:r w:rsidR="0070145D">
        <w:t xml:space="preserve"> the solar frac</w:t>
      </w:r>
      <w:r w:rsidR="00767918">
        <w:t>tion</w:t>
      </w:r>
      <w:r w:rsidR="00DE00A0">
        <w:t xml:space="preserve"> </w:t>
      </w:r>
      <w:r w:rsidR="00C64664">
        <w:t xml:space="preserve">but </w:t>
      </w:r>
      <w:r w:rsidR="00606276">
        <w:t xml:space="preserve">with lowering marginal </w:t>
      </w:r>
      <w:r w:rsidR="00C64664">
        <w:t>gains</w:t>
      </w:r>
      <w:r w:rsidR="008E1E47">
        <w:t>. On the</w:t>
      </w:r>
      <w:r w:rsidR="004C600D">
        <w:t xml:space="preserve"> other</w:t>
      </w:r>
      <w:r w:rsidR="008E1E47">
        <w:t xml:space="preserve"> hand</w:t>
      </w:r>
      <w:r w:rsidR="00024887">
        <w:t>,</w:t>
      </w:r>
      <w:r w:rsidR="008E1E47">
        <w:t xml:space="preserve"> the specific productivity lowers with increasing area of the solar collectors. Both </w:t>
      </w:r>
      <w:r w:rsidR="00C06681">
        <w:t>happen because</w:t>
      </w:r>
      <w:r w:rsidR="00AB6E58">
        <w:t xml:space="preserve"> the solar field </w:t>
      </w:r>
      <w:r w:rsidR="001B4531">
        <w:t>is increasingly</w:t>
      </w:r>
      <w:r w:rsidR="00AB6E58">
        <w:t xml:space="preserve"> </w:t>
      </w:r>
      <w:r w:rsidR="006401B5">
        <w:t>over</w:t>
      </w:r>
      <w:r w:rsidR="008A0D1A">
        <w:t xml:space="preserve">sized </w:t>
      </w:r>
      <w:r w:rsidR="00AB6E58">
        <w:t>with respect to</w:t>
      </w:r>
      <w:r w:rsidR="00FD5E2D">
        <w:t xml:space="preserve"> the</w:t>
      </w:r>
      <w:r w:rsidR="00AB6E58">
        <w:t xml:space="preserve"> </w:t>
      </w:r>
      <w:r w:rsidR="00A471F5">
        <w:t>amount of energy the DH system can absorb</w:t>
      </w:r>
      <w:r w:rsidR="00344FEA">
        <w:t xml:space="preserve">, especially in summer. A larger part of solar energy is then lost to the </w:t>
      </w:r>
      <w:r w:rsidR="0056377C">
        <w:t xml:space="preserve">environment </w:t>
      </w:r>
      <w:r w:rsidR="00DC5BE5">
        <w:t>through</w:t>
      </w:r>
      <w:r w:rsidR="001E116E">
        <w:t xml:space="preserve"> increased collector losses or </w:t>
      </w:r>
      <w:r w:rsidR="001E4C63">
        <w:t xml:space="preserve">due to </w:t>
      </w:r>
      <w:r w:rsidR="001E116E">
        <w:t>the solar production</w:t>
      </w:r>
      <w:r w:rsidR="00484EA3">
        <w:t xml:space="preserve"> being stopped</w:t>
      </w:r>
      <w:r w:rsidR="00FD5E2D">
        <w:t xml:space="preserve"> </w:t>
      </w:r>
      <w:r w:rsidR="00A52273">
        <w:t>to avoid</w:t>
      </w:r>
      <w:r w:rsidR="00AF06B0">
        <w:t xml:space="preserve"> </w:t>
      </w:r>
      <w:r w:rsidR="00F06EE5">
        <w:t>overheating</w:t>
      </w:r>
      <w:r w:rsidR="00A52273">
        <w:t xml:space="preserve">, </w:t>
      </w:r>
      <w:r w:rsidR="00E23514">
        <w:t>decreasing</w:t>
      </w:r>
      <w:r w:rsidR="004D36A0">
        <w:t xml:space="preserve"> </w:t>
      </w:r>
      <w:r w:rsidR="00BD193F">
        <w:t xml:space="preserve">the amount of </w:t>
      </w:r>
      <w:r w:rsidR="00DC5BE5">
        <w:t>energy that</w:t>
      </w:r>
      <w:r w:rsidR="00BD193F">
        <w:t xml:space="preserve"> a m</w:t>
      </w:r>
      <w:r w:rsidR="00BD193F" w:rsidRPr="00375437">
        <w:rPr>
          <w:vertAlign w:val="superscript"/>
        </w:rPr>
        <w:t>2</w:t>
      </w:r>
      <w:r w:rsidR="00BD193F">
        <w:t xml:space="preserve"> of collector can deliver </w:t>
      </w:r>
      <w:r w:rsidR="00A25EC3">
        <w:t>in</w:t>
      </w:r>
      <w:r w:rsidR="00BD193F">
        <w:t xml:space="preserve"> one year. Circuit</w:t>
      </w:r>
      <w:r w:rsidR="001F0AB4">
        <w:t xml:space="preserve"> </w:t>
      </w:r>
      <w:r w:rsidR="00BD193F">
        <w:t xml:space="preserve">1, where the solar field is compelled to </w:t>
      </w:r>
      <w:r w:rsidR="007E6A90">
        <w:t>produce energy at the DHN</w:t>
      </w:r>
      <w:r w:rsidR="00BD193F">
        <w:t xml:space="preserve"> supply temperature</w:t>
      </w:r>
      <w:r w:rsidR="007E6A90">
        <w:t>, features the lowest specific productivity and solar fraction</w:t>
      </w:r>
      <w:r w:rsidR="001B236F">
        <w:t xml:space="preserve"> of all configurations</w:t>
      </w:r>
      <w:r w:rsidR="00375437">
        <w:t>, while Circuit</w:t>
      </w:r>
      <w:r w:rsidR="0090310D">
        <w:t> </w:t>
      </w:r>
      <w:r w:rsidR="00375437">
        <w:t>2 perform</w:t>
      </w:r>
      <w:r w:rsidR="00CA59F0">
        <w:t>s</w:t>
      </w:r>
      <w:r w:rsidR="00666924">
        <w:t xml:space="preserve"> the</w:t>
      </w:r>
      <w:r w:rsidR="00B8650B">
        <w:t xml:space="preserve"> best. </w:t>
      </w:r>
      <w:r w:rsidR="0090310D">
        <w:t>This</w:t>
      </w:r>
      <w:r w:rsidR="008B1AB9">
        <w:t xml:space="preserve"> latter</w:t>
      </w:r>
      <w:r w:rsidR="0090310D">
        <w:t xml:space="preserve"> type of integration</w:t>
      </w:r>
      <w:r w:rsidR="00895351">
        <w:t xml:space="preserve"> assure</w:t>
      </w:r>
      <w:r w:rsidR="00CA59F0">
        <w:t>s</w:t>
      </w:r>
      <w:r w:rsidR="00895351">
        <w:t xml:space="preserve"> that the solar field </w:t>
      </w:r>
      <w:r w:rsidR="003C117D">
        <w:t xml:space="preserve">produces energy at the lowest temperature possible, while the possibility to bypass the biomass circuit </w:t>
      </w:r>
      <w:r w:rsidR="006E628E">
        <w:t>ha</w:t>
      </w:r>
      <w:r w:rsidR="00D245D4">
        <w:t>s</w:t>
      </w:r>
      <w:r w:rsidR="006E628E">
        <w:t xml:space="preserve"> </w:t>
      </w:r>
      <w:r w:rsidR="0001303E">
        <w:t xml:space="preserve">a </w:t>
      </w:r>
      <w:r w:rsidR="00A26B50">
        <w:t>greater</w:t>
      </w:r>
      <w:r w:rsidR="0001303E">
        <w:t xml:space="preserve"> impact tha</w:t>
      </w:r>
      <w:r w:rsidR="00A25EC3">
        <w:t>n</w:t>
      </w:r>
      <w:r w:rsidR="0001303E">
        <w:t xml:space="preserve"> </w:t>
      </w:r>
      <w:r w:rsidR="002A4087">
        <w:t>the unique TES of</w:t>
      </w:r>
      <w:r w:rsidR="0001303E">
        <w:t xml:space="preserve"> </w:t>
      </w:r>
      <w:r w:rsidR="006F52CD">
        <w:t>C</w:t>
      </w:r>
      <w:r w:rsidR="0001303E">
        <w:t>ircuit 4</w:t>
      </w:r>
      <w:r w:rsidR="00D245D4">
        <w:t>.</w:t>
      </w:r>
      <w:r w:rsidR="00661CEF">
        <w:t xml:space="preserve"> </w:t>
      </w:r>
      <w:r w:rsidR="00005B22">
        <w:t>In most cases, t</w:t>
      </w:r>
      <w:r w:rsidR="00661CEF">
        <w:t xml:space="preserve">he increase of </w:t>
      </w:r>
      <w:r w:rsidR="00005B22">
        <w:t xml:space="preserve">the </w:t>
      </w:r>
      <w:r w:rsidR="00661CEF">
        <w:t xml:space="preserve">specific TES volume has a positive impact on the specific </w:t>
      </w:r>
      <w:r w:rsidR="00005B22">
        <w:t>productivity</w:t>
      </w:r>
      <w:r w:rsidR="0026026B">
        <w:t xml:space="preserve"> and the SF</w:t>
      </w:r>
      <w:r w:rsidR="00931BD9">
        <w:t>, while</w:t>
      </w:r>
      <w:r w:rsidR="00364B3E">
        <w:t xml:space="preserve"> in Circuit 3 and 4, an</w:t>
      </w:r>
      <w:r w:rsidR="00931BD9">
        <w:t xml:space="preserve"> increase in the TES volume </w:t>
      </w:r>
      <w:r w:rsidR="00997F8D">
        <w:t xml:space="preserve">at low values of </w:t>
      </w:r>
      <w:proofErr w:type="spellStart"/>
      <w:r w:rsidR="00997F8D">
        <w:t>V</w:t>
      </w:r>
      <w:r w:rsidR="00997F8D" w:rsidRPr="004C1214">
        <w:rPr>
          <w:vertAlign w:val="subscript"/>
        </w:rPr>
        <w:t>spTES</w:t>
      </w:r>
      <w:proofErr w:type="spellEnd"/>
      <w:r w:rsidR="00997F8D">
        <w:t xml:space="preserve"> </w:t>
      </w:r>
      <w:r w:rsidR="004A4784">
        <w:t>decreases</w:t>
      </w:r>
      <w:r w:rsidR="003463E0">
        <w:t xml:space="preserve"> the performance</w:t>
      </w:r>
      <w:r w:rsidR="00E67E5B">
        <w:t xml:space="preserve">, </w:t>
      </w:r>
      <w:r w:rsidR="00081015">
        <w:t>indicating</w:t>
      </w:r>
      <w:r w:rsidR="00E67E5B">
        <w:t xml:space="preserve"> that</w:t>
      </w:r>
      <w:r w:rsidR="000063D5">
        <w:t xml:space="preserve"> </w:t>
      </w:r>
      <w:r w:rsidR="00292B4E">
        <w:t>losses are larger for these two configurations at low TES capacity</w:t>
      </w:r>
      <w:r w:rsidR="00E67E5B">
        <w:t>.</w:t>
      </w:r>
    </w:p>
    <w:tbl>
      <w:tblPr>
        <w:tblStyle w:val="Grilledutableau"/>
        <w:tblpPr w:leftFromText="141" w:rightFromText="141" w:vertAnchor="text" w:horzAnchor="margin" w:tblpY="12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2"/>
      </w:tblGrid>
      <w:tr w:rsidR="00B072A3" w14:paraId="4C84B8C5" w14:textId="77777777" w:rsidTr="00B072A3">
        <w:tc>
          <w:tcPr>
            <w:tcW w:w="4532" w:type="dxa"/>
          </w:tcPr>
          <w:p w14:paraId="5F0AC1C4" w14:textId="77777777" w:rsidR="00B072A3" w:rsidRDefault="00B072A3" w:rsidP="00B072A3">
            <w:pPr>
              <w:pStyle w:val="SWCText"/>
            </w:pPr>
            <w:r>
              <w:rPr>
                <w:noProof/>
              </w:rPr>
              <w:lastRenderedPageBreak/>
              <w:drawing>
                <wp:inline distT="0" distB="0" distL="0" distR="0" wp14:anchorId="6B3CC9D2" wp14:editId="16176B70">
                  <wp:extent cx="2507347" cy="1885070"/>
                  <wp:effectExtent l="0" t="0" r="7620" b="1270"/>
                  <wp:docPr id="26" name="Graphiqu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2566395" cy="1929463"/>
                          </a:xfrm>
                          <a:prstGeom prst="rect">
                            <a:avLst/>
                          </a:prstGeom>
                        </pic:spPr>
                      </pic:pic>
                    </a:graphicData>
                  </a:graphic>
                </wp:inline>
              </w:drawing>
            </w:r>
          </w:p>
        </w:tc>
        <w:tc>
          <w:tcPr>
            <w:tcW w:w="4532" w:type="dxa"/>
          </w:tcPr>
          <w:p w14:paraId="3AB8543F" w14:textId="77777777" w:rsidR="00B072A3" w:rsidRDefault="00B072A3" w:rsidP="00B072A3">
            <w:pPr>
              <w:pStyle w:val="SWCText"/>
            </w:pPr>
            <w:r>
              <w:rPr>
                <w:noProof/>
              </w:rPr>
              <w:drawing>
                <wp:inline distT="0" distB="0" distL="0" distR="0" wp14:anchorId="1B815BC4" wp14:editId="4CAA2AE5">
                  <wp:extent cx="2506830" cy="1884680"/>
                  <wp:effectExtent l="0" t="0" r="8255" b="1270"/>
                  <wp:docPr id="27" name="Graphiqu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2561114" cy="1925491"/>
                          </a:xfrm>
                          <a:prstGeom prst="rect">
                            <a:avLst/>
                          </a:prstGeom>
                        </pic:spPr>
                      </pic:pic>
                    </a:graphicData>
                  </a:graphic>
                </wp:inline>
              </w:drawing>
            </w:r>
          </w:p>
        </w:tc>
      </w:tr>
      <w:tr w:rsidR="00B072A3" w14:paraId="1EE8FCF3" w14:textId="77777777" w:rsidTr="00B072A3">
        <w:tc>
          <w:tcPr>
            <w:tcW w:w="9064" w:type="dxa"/>
            <w:gridSpan w:val="2"/>
          </w:tcPr>
          <w:p w14:paraId="1AB14D23" w14:textId="7D06907D" w:rsidR="00B072A3" w:rsidRDefault="00B072A3" w:rsidP="00B072A3">
            <w:pPr>
              <w:pStyle w:val="SWCTableFigureCaption"/>
            </w:pPr>
            <w:bookmarkStart w:id="8" w:name="_Ref238572127"/>
            <w:bookmarkStart w:id="9" w:name="_Ref238481106"/>
            <w:r>
              <w:t xml:space="preserve">Figure </w:t>
            </w:r>
            <w:r>
              <w:fldChar w:fldCharType="begin"/>
            </w:r>
            <w:r>
              <w:instrText xml:space="preserve"> SEQ Figure \* ARABIC </w:instrText>
            </w:r>
            <w:r>
              <w:fldChar w:fldCharType="separate"/>
            </w:r>
            <w:r>
              <w:rPr>
                <w:noProof/>
              </w:rPr>
              <w:t>7</w:t>
            </w:r>
            <w:r>
              <w:fldChar w:fldCharType="end"/>
            </w:r>
            <w:bookmarkEnd w:id="8"/>
            <w:r>
              <w:t>: Specific solar productivity (</w:t>
            </w:r>
            <w:proofErr w:type="spellStart"/>
            <w:r>
              <w:t>Y</w:t>
            </w:r>
            <w:r w:rsidRPr="009D5FB9">
              <w:rPr>
                <w:vertAlign w:val="subscript"/>
              </w:rPr>
              <w:t>sol</w:t>
            </w:r>
            <w:proofErr w:type="spellEnd"/>
            <w:r>
              <w:t>) as a function of the SF (left) and change in wood consumption for the four circuit under investigation.</w:t>
            </w:r>
            <w:bookmarkEnd w:id="9"/>
          </w:p>
        </w:tc>
      </w:tr>
    </w:tbl>
    <w:p w14:paraId="0D6C1CDE" w14:textId="1AAFAACB" w:rsidR="003463E0" w:rsidRDefault="0057322F" w:rsidP="009F5CBA">
      <w:pPr>
        <w:pStyle w:val="SWCText"/>
      </w:pPr>
      <w:r>
        <w:fldChar w:fldCharType="begin"/>
      </w:r>
      <w:r>
        <w:instrText xml:space="preserve"> REF _Ref238572127 \h </w:instrText>
      </w:r>
      <w:r>
        <w:fldChar w:fldCharType="separate"/>
      </w:r>
      <w:r>
        <w:t xml:space="preserve">Figure </w:t>
      </w:r>
      <w:r>
        <w:rPr>
          <w:noProof/>
        </w:rPr>
        <w:t>7</w:t>
      </w:r>
      <w:r>
        <w:fldChar w:fldCharType="end"/>
      </w:r>
      <w:r w:rsidR="00B3629D">
        <w:t xml:space="preserve"> </w:t>
      </w:r>
      <w:r w:rsidR="003463E0">
        <w:t xml:space="preserve">shows the </w:t>
      </w:r>
      <w:r w:rsidR="00556ECB">
        <w:t>performance</w:t>
      </w:r>
      <w:r w:rsidR="00AE7E70">
        <w:t xml:space="preserve"> comparison</w:t>
      </w:r>
      <w:r w:rsidR="00556ECB">
        <w:t xml:space="preserve"> </w:t>
      </w:r>
      <w:r w:rsidR="00AE7E70">
        <w:t>among</w:t>
      </w:r>
      <w:r w:rsidR="00556ECB">
        <w:t xml:space="preserve"> </w:t>
      </w:r>
      <w:r w:rsidR="003463E0">
        <w:t>the 4 solar biomass h</w:t>
      </w:r>
      <w:r w:rsidR="00556ECB">
        <w:t xml:space="preserve">ybrid </w:t>
      </w:r>
      <w:r w:rsidR="00AE7E70">
        <w:t xml:space="preserve">configuration in terms of specific productivity </w:t>
      </w:r>
      <w:r w:rsidR="00BB309C">
        <w:t xml:space="preserve">as </w:t>
      </w:r>
      <w:r w:rsidR="007407C6">
        <w:t>a function</w:t>
      </w:r>
      <w:r w:rsidR="00BB309C">
        <w:t xml:space="preserve"> of the solar fraction</w:t>
      </w:r>
      <w:r w:rsidR="00E7569A">
        <w:t xml:space="preserve"> and </w:t>
      </w:r>
      <w:r w:rsidR="006279FE">
        <w:t>for value</w:t>
      </w:r>
      <w:r w:rsidR="0064748A">
        <w:t>s</w:t>
      </w:r>
      <w:r w:rsidR="006279FE">
        <w:t xml:space="preserve"> of </w:t>
      </w:r>
      <w:proofErr w:type="spellStart"/>
      <w:r w:rsidR="007407C6">
        <w:t>V</w:t>
      </w:r>
      <w:r w:rsidR="00E7569A" w:rsidRPr="007407C6">
        <w:rPr>
          <w:vertAlign w:val="subscript"/>
        </w:rPr>
        <w:t>sp,TES</w:t>
      </w:r>
      <w:proofErr w:type="spellEnd"/>
      <w:r w:rsidR="00E7569A">
        <w:t xml:space="preserve"> of 0.075 and 0.2 m</w:t>
      </w:r>
      <w:r w:rsidR="00E7569A" w:rsidRPr="006279FE">
        <w:rPr>
          <w:vertAlign w:val="superscript"/>
        </w:rPr>
        <w:t>3</w:t>
      </w:r>
      <w:r w:rsidR="00E7569A">
        <w:t>/m</w:t>
      </w:r>
      <w:r w:rsidR="00E7569A" w:rsidRPr="006279FE">
        <w:rPr>
          <w:vertAlign w:val="superscript"/>
        </w:rPr>
        <w:t>2</w:t>
      </w:r>
      <w:r w:rsidR="00E7569A">
        <w:t>.</w:t>
      </w:r>
      <w:r w:rsidR="0064748A">
        <w:t xml:space="preserve"> Circuit</w:t>
      </w:r>
      <w:r w:rsidR="002832B5">
        <w:t xml:space="preserve"> 2 and </w:t>
      </w:r>
      <w:r w:rsidR="00AB313C">
        <w:t xml:space="preserve">Circuit </w:t>
      </w:r>
      <w:r w:rsidR="002832B5">
        <w:t xml:space="preserve">4 </w:t>
      </w:r>
      <w:r w:rsidR="00CF3C32">
        <w:t>allow</w:t>
      </w:r>
      <w:r w:rsidR="002832B5">
        <w:t xml:space="preserve"> the hybrid installation to supply the DHN with more solar energy than Circuit 1 and </w:t>
      </w:r>
      <w:r w:rsidR="00AB313C">
        <w:t xml:space="preserve">Circuit </w:t>
      </w:r>
      <w:r w:rsidR="002832B5">
        <w:t>3</w:t>
      </w:r>
      <w:r w:rsidR="00095B7C">
        <w:t xml:space="preserve"> due to the favorable conditions for production and the fact the solar energy is integrated in the lower part of the TES</w:t>
      </w:r>
      <w:r w:rsidR="0047232B">
        <w:t xml:space="preserve"> </w:t>
      </w:r>
      <w:r w:rsidR="00625E66">
        <w:t>systematically</w:t>
      </w:r>
      <w:r w:rsidR="0047232B">
        <w:t>.</w:t>
      </w:r>
      <w:r w:rsidR="00CD7234">
        <w:t xml:space="preserve"> </w:t>
      </w:r>
      <w:r w:rsidR="00CF237F">
        <w:t>The way solar energy is integrated into the upper part of the biomass TES might</w:t>
      </w:r>
      <w:r w:rsidR="0023496C">
        <w:t xml:space="preserve"> be </w:t>
      </w:r>
      <w:r w:rsidR="00007AA7">
        <w:t>the cause</w:t>
      </w:r>
      <w:r w:rsidR="0023496C">
        <w:t xml:space="preserve"> of a</w:t>
      </w:r>
      <w:r w:rsidR="00F7207D">
        <w:t xml:space="preserve">n increase </w:t>
      </w:r>
      <w:r w:rsidR="00B04589">
        <w:t>in</w:t>
      </w:r>
      <w:r w:rsidR="006D4993">
        <w:t xml:space="preserve"> the</w:t>
      </w:r>
      <w:r w:rsidR="00F7207D">
        <w:t xml:space="preserve"> system losses </w:t>
      </w:r>
      <w:r w:rsidR="006D4993">
        <w:t>of</w:t>
      </w:r>
      <w:r w:rsidR="00F7207D">
        <w:t xml:space="preserve"> the case of Circuit 3</w:t>
      </w:r>
      <w:r w:rsidR="0010536D">
        <w:t xml:space="preserve">. </w:t>
      </w:r>
      <w:r w:rsidR="00F343DF">
        <w:t>The adoption of a bigger value of specific TES volume</w:t>
      </w:r>
      <w:r w:rsidR="00AB0325">
        <w:t xml:space="preserve"> increase</w:t>
      </w:r>
      <w:r w:rsidR="006D4993">
        <w:t>s</w:t>
      </w:r>
      <w:r w:rsidR="00AB0325">
        <w:t xml:space="preserve"> </w:t>
      </w:r>
      <w:r w:rsidR="005340FF">
        <w:t>both</w:t>
      </w:r>
      <w:r w:rsidR="00AB0325">
        <w:t xml:space="preserve"> the solar yield </w:t>
      </w:r>
      <w:r w:rsidR="00625E66">
        <w:t>and</w:t>
      </w:r>
      <w:r w:rsidR="00AB0325">
        <w:t xml:space="preserve"> the solar fraction</w:t>
      </w:r>
      <w:r w:rsidR="00BD09B9">
        <w:t xml:space="preserve">. </w:t>
      </w:r>
    </w:p>
    <w:p w14:paraId="5EB88620" w14:textId="1A6F1244" w:rsidR="00B072A3" w:rsidRDefault="00BD09B9" w:rsidP="009F5CBA">
      <w:pPr>
        <w:pStyle w:val="SWCText"/>
      </w:pPr>
      <w:r>
        <w:t>These relative performances are reflected in the wood consumption</w:t>
      </w:r>
      <w:r w:rsidR="00D0087A">
        <w:t xml:space="preserve"> for each configuration</w:t>
      </w:r>
      <w:r w:rsidR="002F4AF2">
        <w:t>,</w:t>
      </w:r>
      <w:r w:rsidR="00D0087A">
        <w:t xml:space="preserve"> which diminishes </w:t>
      </w:r>
      <w:r w:rsidR="00370917">
        <w:t>with increasing solar field area</w:t>
      </w:r>
      <w:r w:rsidR="002F4AF2">
        <w:t xml:space="preserve">, as shown in </w:t>
      </w:r>
      <w:r w:rsidR="00CF3C32">
        <w:fldChar w:fldCharType="begin"/>
      </w:r>
      <w:r w:rsidR="00CF3C32">
        <w:instrText xml:space="preserve"> REF _Ref238572127 \h </w:instrText>
      </w:r>
      <w:r w:rsidR="00CF3C32">
        <w:fldChar w:fldCharType="separate"/>
      </w:r>
      <w:r w:rsidR="0057322F">
        <w:t xml:space="preserve">Figure </w:t>
      </w:r>
      <w:r w:rsidR="0057322F">
        <w:rPr>
          <w:noProof/>
        </w:rPr>
        <w:t>7</w:t>
      </w:r>
      <w:r w:rsidR="00CF3C32">
        <w:fldChar w:fldCharType="end"/>
      </w:r>
      <w:r w:rsidR="003F6A07">
        <w:t xml:space="preserve">. For </w:t>
      </w:r>
      <w:r w:rsidR="00882817">
        <w:t>the</w:t>
      </w:r>
      <w:r w:rsidR="003F6A07">
        <w:t xml:space="preserve"> same configuration with </w:t>
      </w:r>
      <w:r w:rsidR="00B23E83">
        <w:t>the same solar field,</w:t>
      </w:r>
      <w:r w:rsidR="00370917">
        <w:t xml:space="preserve"> bigger values of specific TES volume</w:t>
      </w:r>
      <w:r w:rsidR="00B23E83">
        <w:t xml:space="preserve"> </w:t>
      </w:r>
      <w:r w:rsidR="00C22F66">
        <w:t>tend</w:t>
      </w:r>
      <w:r w:rsidR="00B23E83">
        <w:t xml:space="preserve"> to </w:t>
      </w:r>
      <w:r w:rsidR="00DB05EE">
        <w:t>l</w:t>
      </w:r>
      <w:r w:rsidR="00DB05EE" w:rsidRPr="00DB05EE">
        <w:t>imit the wood saving potential</w:t>
      </w:r>
      <w:r w:rsidR="00B23E83">
        <w:t xml:space="preserve"> with respect to the system with smaller specific TES volumes</w:t>
      </w:r>
      <w:r w:rsidR="001F0E03">
        <w:t xml:space="preserve">. The marginal </w:t>
      </w:r>
      <w:r w:rsidR="0054156B">
        <w:t xml:space="preserve">reduction </w:t>
      </w:r>
      <w:r w:rsidR="001F0E03">
        <w:t>in wood consumption</w:t>
      </w:r>
      <w:r w:rsidR="0054156B">
        <w:t xml:space="preserve"> decreases with bigger solar fields as </w:t>
      </w:r>
      <w:r w:rsidR="00C753B3">
        <w:t>more heat is produced in excess during the year.</w:t>
      </w:r>
    </w:p>
    <w:tbl>
      <w:tblPr>
        <w:tblStyle w:val="Grilledutableau"/>
        <w:tblpPr w:leftFromText="141" w:rightFromText="141" w:vertAnchor="text" w:horzAnchor="margin" w:tblpY="1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4"/>
        <w:gridCol w:w="2966"/>
        <w:gridCol w:w="3054"/>
      </w:tblGrid>
      <w:tr w:rsidR="002D6040" w14:paraId="3A03C434" w14:textId="77777777" w:rsidTr="002D6040">
        <w:tc>
          <w:tcPr>
            <w:tcW w:w="3054" w:type="dxa"/>
          </w:tcPr>
          <w:p w14:paraId="21A4D5EF" w14:textId="77777777" w:rsidR="002D6040" w:rsidRDefault="002D6040" w:rsidP="002D6040">
            <w:pPr>
              <w:pStyle w:val="SWCText"/>
            </w:pPr>
            <w:r>
              <w:rPr>
                <w:noProof/>
              </w:rPr>
              <w:drawing>
                <wp:inline distT="0" distB="0" distL="0" distR="0" wp14:anchorId="7D5D0752" wp14:editId="74EEC747">
                  <wp:extent cx="1840242" cy="1383527"/>
                  <wp:effectExtent l="0" t="0" r="7620" b="7620"/>
                  <wp:docPr id="7" name="Graphiqu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96DAC541-7B7A-43D3-8B79-37D633B846F1}">
                                <asvg:svgBlip xmlns:asvg="http://schemas.microsoft.com/office/drawing/2016/SVG/main" r:embed="rId40"/>
                              </a:ext>
                            </a:extLst>
                          </a:blip>
                          <a:stretch>
                            <a:fillRect/>
                          </a:stretch>
                        </pic:blipFill>
                        <pic:spPr>
                          <a:xfrm>
                            <a:off x="0" y="0"/>
                            <a:ext cx="1858460" cy="1397224"/>
                          </a:xfrm>
                          <a:prstGeom prst="rect">
                            <a:avLst/>
                          </a:prstGeom>
                        </pic:spPr>
                      </pic:pic>
                    </a:graphicData>
                  </a:graphic>
                </wp:inline>
              </w:drawing>
            </w:r>
          </w:p>
        </w:tc>
        <w:tc>
          <w:tcPr>
            <w:tcW w:w="2966" w:type="dxa"/>
          </w:tcPr>
          <w:p w14:paraId="4BAFFC01" w14:textId="77777777" w:rsidR="002D6040" w:rsidRDefault="002D6040" w:rsidP="002D6040">
            <w:pPr>
              <w:pStyle w:val="SWCText"/>
            </w:pPr>
            <w:r>
              <w:rPr>
                <w:noProof/>
              </w:rPr>
              <w:drawing>
                <wp:inline distT="0" distB="0" distL="0" distR="0" wp14:anchorId="075FDD9E" wp14:editId="03C59C64">
                  <wp:extent cx="1785933" cy="1342698"/>
                  <wp:effectExtent l="0" t="0" r="5080" b="0"/>
                  <wp:docPr id="8" name="Graphiqu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96DAC541-7B7A-43D3-8B79-37D633B846F1}">
                                <asvg:svgBlip xmlns:asvg="http://schemas.microsoft.com/office/drawing/2016/SVG/main" r:embed="rId42"/>
                              </a:ext>
                            </a:extLst>
                          </a:blip>
                          <a:stretch>
                            <a:fillRect/>
                          </a:stretch>
                        </pic:blipFill>
                        <pic:spPr>
                          <a:xfrm>
                            <a:off x="0" y="0"/>
                            <a:ext cx="1821788" cy="1369654"/>
                          </a:xfrm>
                          <a:prstGeom prst="rect">
                            <a:avLst/>
                          </a:prstGeom>
                        </pic:spPr>
                      </pic:pic>
                    </a:graphicData>
                  </a:graphic>
                </wp:inline>
              </w:drawing>
            </w:r>
          </w:p>
        </w:tc>
        <w:tc>
          <w:tcPr>
            <w:tcW w:w="3054" w:type="dxa"/>
          </w:tcPr>
          <w:p w14:paraId="39638576" w14:textId="77777777" w:rsidR="002D6040" w:rsidRDefault="002D6040" w:rsidP="002D6040">
            <w:pPr>
              <w:pStyle w:val="SWCText"/>
            </w:pPr>
            <w:r>
              <w:rPr>
                <w:noProof/>
              </w:rPr>
              <w:drawing>
                <wp:inline distT="0" distB="0" distL="0" distR="0" wp14:anchorId="4F0D5F53" wp14:editId="4F0ED96E">
                  <wp:extent cx="1841533" cy="1384498"/>
                  <wp:effectExtent l="0" t="0" r="6350" b="6350"/>
                  <wp:docPr id="10" name="Graphiqu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1861071" cy="1399187"/>
                          </a:xfrm>
                          <a:prstGeom prst="rect">
                            <a:avLst/>
                          </a:prstGeom>
                        </pic:spPr>
                      </pic:pic>
                    </a:graphicData>
                  </a:graphic>
                </wp:inline>
              </w:drawing>
            </w:r>
          </w:p>
        </w:tc>
      </w:tr>
      <w:tr w:rsidR="002D6040" w:rsidRPr="00A2710E" w14:paraId="24DF6B91" w14:textId="77777777" w:rsidTr="002D6040">
        <w:tc>
          <w:tcPr>
            <w:tcW w:w="3054" w:type="dxa"/>
          </w:tcPr>
          <w:p w14:paraId="3D8ACB8B" w14:textId="77777777" w:rsidR="002D6040" w:rsidRPr="00A2710E" w:rsidRDefault="002D6040" w:rsidP="002D6040">
            <w:pPr>
              <w:pStyle w:val="SWCText"/>
              <w:jc w:val="center"/>
            </w:pPr>
            <w:r w:rsidRPr="00A2710E">
              <w:t>Carbon monoxide</w:t>
            </w:r>
          </w:p>
        </w:tc>
        <w:tc>
          <w:tcPr>
            <w:tcW w:w="2966" w:type="dxa"/>
          </w:tcPr>
          <w:p w14:paraId="10AF665F" w14:textId="77777777" w:rsidR="002D6040" w:rsidRPr="00A2710E" w:rsidRDefault="002D6040" w:rsidP="002D6040">
            <w:pPr>
              <w:pStyle w:val="SWCText"/>
              <w:jc w:val="center"/>
            </w:pPr>
            <w:r w:rsidRPr="00A2710E">
              <w:t>Particulate matter</w:t>
            </w:r>
          </w:p>
        </w:tc>
        <w:tc>
          <w:tcPr>
            <w:tcW w:w="3054" w:type="dxa"/>
          </w:tcPr>
          <w:p w14:paraId="33F6F9F1" w14:textId="77777777" w:rsidR="002D6040" w:rsidRPr="00A2710E" w:rsidRDefault="002D6040" w:rsidP="002D6040">
            <w:pPr>
              <w:pStyle w:val="SWCText"/>
              <w:jc w:val="center"/>
            </w:pPr>
            <w:r w:rsidRPr="00A2710E">
              <w:t>Nitrogen oxides</w:t>
            </w:r>
          </w:p>
        </w:tc>
      </w:tr>
      <w:tr w:rsidR="002D6040" w14:paraId="51DBEE97" w14:textId="77777777" w:rsidTr="002D6040">
        <w:tc>
          <w:tcPr>
            <w:tcW w:w="9074" w:type="dxa"/>
            <w:gridSpan w:val="3"/>
          </w:tcPr>
          <w:p w14:paraId="2A2E6B6D" w14:textId="77777777" w:rsidR="002D6040" w:rsidRDefault="002D6040" w:rsidP="002D6040">
            <w:pPr>
              <w:pStyle w:val="SWCTableFigureCaption"/>
            </w:pPr>
            <w:bookmarkStart w:id="10" w:name="_Ref238545893"/>
            <w:r>
              <w:t xml:space="preserve">Figure </w:t>
            </w:r>
            <w:r>
              <w:fldChar w:fldCharType="begin"/>
            </w:r>
            <w:r>
              <w:instrText xml:space="preserve"> SEQ Figure \* ARABIC </w:instrText>
            </w:r>
            <w:r>
              <w:fldChar w:fldCharType="separate"/>
            </w:r>
            <w:r>
              <w:rPr>
                <w:noProof/>
              </w:rPr>
              <w:t>8</w:t>
            </w:r>
            <w:r>
              <w:fldChar w:fldCharType="end"/>
            </w:r>
            <w:bookmarkEnd w:id="10"/>
            <w:r>
              <w:t>: Change in emission factor of the hybrid plant for CO, particulate matter and NOx as a function of the SF.</w:t>
            </w:r>
          </w:p>
        </w:tc>
      </w:tr>
    </w:tbl>
    <w:p w14:paraId="1D3190D3" w14:textId="57C42FE1" w:rsidR="00AF79DF" w:rsidRDefault="00AF79DF" w:rsidP="002F4AF2">
      <w:pPr>
        <w:pStyle w:val="SWCHeading11"/>
      </w:pPr>
      <w:r>
        <w:t>Emission factor of hybrid-solar configurations</w:t>
      </w:r>
    </w:p>
    <w:p w14:paraId="5A9C5336" w14:textId="768B9AE4" w:rsidR="00571D88" w:rsidRDefault="00571D88" w:rsidP="00571D88">
      <w:pPr>
        <w:pStyle w:val="SWCText"/>
      </w:pPr>
      <w:r>
        <w:t>The addition of a solar installation, particularly when coupled with a</w:t>
      </w:r>
      <w:r w:rsidR="00A008D6">
        <w:t xml:space="preserve"> large</w:t>
      </w:r>
      <w:r>
        <w:t xml:space="preserve"> </w:t>
      </w:r>
      <w:r w:rsidR="00A008D6">
        <w:t>TES</w:t>
      </w:r>
      <w:r>
        <w:t xml:space="preserve">, </w:t>
      </w:r>
      <w:r w:rsidR="00A008D6">
        <w:t>strongly</w:t>
      </w:r>
      <w:r>
        <w:t xml:space="preserve"> affects the operation of wood-fired boilers. </w:t>
      </w:r>
      <w:r w:rsidR="00140F88">
        <w:t>Solar energy causes</w:t>
      </w:r>
      <w:r>
        <w:t xml:space="preserve"> the boilers to shut down more frequently</w:t>
      </w:r>
      <w:r w:rsidR="00140F88">
        <w:t xml:space="preserve"> and</w:t>
      </w:r>
      <w:r>
        <w:t xml:space="preserve"> it can </w:t>
      </w:r>
      <w:r w:rsidR="007C6DFA">
        <w:t>increase</w:t>
      </w:r>
      <w:r>
        <w:t xml:space="preserve"> the number of operating cycles</w:t>
      </w:r>
      <w:r w:rsidR="00BC2974">
        <w:t>. This latter has the effect of changing the emis</w:t>
      </w:r>
      <w:r w:rsidR="009C4B13">
        <w:t xml:space="preserve">sions from the boiler due to the </w:t>
      </w:r>
      <w:r w:rsidR="007C26B0">
        <w:t>variable</w:t>
      </w:r>
      <w:r w:rsidR="009C4B13">
        <w:t xml:space="preserve"> </w:t>
      </w:r>
      <w:r w:rsidR="00C43479">
        <w:t xml:space="preserve">emission </w:t>
      </w:r>
      <w:r w:rsidR="004821AD">
        <w:t>factors</w:t>
      </w:r>
      <w:r w:rsidR="00C43479">
        <w:t xml:space="preserve"> </w:t>
      </w:r>
      <w:r w:rsidR="004821AD">
        <w:t xml:space="preserve">that the </w:t>
      </w:r>
      <w:r w:rsidR="00C43479">
        <w:t xml:space="preserve">pollutants </w:t>
      </w:r>
      <w:r w:rsidR="004821AD">
        <w:t xml:space="preserve">have during </w:t>
      </w:r>
      <w:r w:rsidR="00CF485F">
        <w:t xml:space="preserve">the </w:t>
      </w:r>
      <w:r w:rsidR="00EB20A3">
        <w:t>different</w:t>
      </w:r>
      <w:r w:rsidR="00C43479">
        <w:t xml:space="preserve"> phase</w:t>
      </w:r>
      <w:r w:rsidR="004821AD">
        <w:t>s</w:t>
      </w:r>
      <w:r w:rsidR="00C43479">
        <w:t xml:space="preserve"> of the burner cycle (see </w:t>
      </w:r>
      <w:r w:rsidR="00542C0C">
        <w:fldChar w:fldCharType="begin"/>
      </w:r>
      <w:r w:rsidR="00542C0C">
        <w:instrText xml:space="preserve"> REF _Ref238226267 \h </w:instrText>
      </w:r>
      <w:r w:rsidR="00542C0C">
        <w:fldChar w:fldCharType="separate"/>
      </w:r>
      <w:r w:rsidR="00542C0C">
        <w:t xml:space="preserve">Table </w:t>
      </w:r>
      <w:r w:rsidR="00542C0C">
        <w:rPr>
          <w:noProof/>
        </w:rPr>
        <w:t>2</w:t>
      </w:r>
      <w:r w:rsidR="00542C0C">
        <w:fldChar w:fldCharType="end"/>
      </w:r>
      <w:r w:rsidR="00C43479">
        <w:t>)</w:t>
      </w:r>
      <w:r w:rsidR="00140F88">
        <w:t>.</w:t>
      </w:r>
    </w:p>
    <w:p w14:paraId="3A313514" w14:textId="6D62D882" w:rsidR="00056FAA" w:rsidRDefault="0089374D" w:rsidP="00056FAA">
      <w:pPr>
        <w:pStyle w:val="SWCText"/>
      </w:pPr>
      <w:r>
        <w:t xml:space="preserve">The way the solar plant is integrated into the DHN has an impact on the final emission of the </w:t>
      </w:r>
      <w:r w:rsidR="00C51295">
        <w:t xml:space="preserve">plant, as shown in </w:t>
      </w:r>
      <w:r w:rsidR="00B44998">
        <w:fldChar w:fldCharType="begin"/>
      </w:r>
      <w:r w:rsidR="00B44998">
        <w:instrText xml:space="preserve"> REF _Ref238545893 </w:instrText>
      </w:r>
      <w:r w:rsidR="00B44998">
        <w:fldChar w:fldCharType="separate"/>
      </w:r>
      <w:r w:rsidR="0057322F">
        <w:t xml:space="preserve">Figure </w:t>
      </w:r>
      <w:r w:rsidR="0057322F">
        <w:rPr>
          <w:noProof/>
        </w:rPr>
        <w:t>8</w:t>
      </w:r>
      <w:r w:rsidR="00B44998">
        <w:fldChar w:fldCharType="end"/>
      </w:r>
      <w:r w:rsidR="00B44998">
        <w:t xml:space="preserve"> </w:t>
      </w:r>
      <w:r w:rsidR="00C51295">
        <w:t xml:space="preserve">for </w:t>
      </w:r>
      <w:r w:rsidR="009300B4">
        <w:t>carbon monoxide (CO)</w:t>
      </w:r>
      <w:r w:rsidR="00C51295">
        <w:t xml:space="preserve">, </w:t>
      </w:r>
      <w:r w:rsidR="009258FC">
        <w:t>nitrogen oxides (</w:t>
      </w:r>
      <w:r w:rsidR="00C51295">
        <w:t>NOx</w:t>
      </w:r>
      <w:r w:rsidR="009258FC">
        <w:t>)</w:t>
      </w:r>
      <w:r w:rsidR="00C51295">
        <w:t xml:space="preserve"> and </w:t>
      </w:r>
      <w:r w:rsidR="00CA4B61">
        <w:t xml:space="preserve">fine </w:t>
      </w:r>
      <w:r w:rsidR="009258FC">
        <w:t xml:space="preserve">particulate </w:t>
      </w:r>
      <w:r w:rsidR="00CA4B61">
        <w:t>(</w:t>
      </w:r>
      <w:proofErr w:type="spellStart"/>
      <w:r w:rsidR="00CA4B61">
        <w:t>FiPar</w:t>
      </w:r>
      <w:proofErr w:type="spellEnd"/>
      <w:r w:rsidR="00A131CB">
        <w:t xml:space="preserve"> in </w:t>
      </w:r>
      <w:r w:rsidR="00EB20A3">
        <w:t>the image</w:t>
      </w:r>
      <w:r w:rsidR="00A131CB">
        <w:t>)</w:t>
      </w:r>
      <w:r>
        <w:t xml:space="preserve"> </w:t>
      </w:r>
      <w:r w:rsidR="00542C0C">
        <w:t xml:space="preserve">and </w:t>
      </w:r>
      <w:r w:rsidR="00B44998">
        <w:t>for</w:t>
      </w:r>
      <w:r w:rsidR="00542C0C">
        <w:t xml:space="preserve"> the </w:t>
      </w:r>
      <w:r w:rsidR="00B44998">
        <w:t>four</w:t>
      </w:r>
      <w:r w:rsidR="00542C0C">
        <w:t xml:space="preserve"> circuits under examination. </w:t>
      </w:r>
      <w:r w:rsidR="00DF0F61">
        <w:t>While solar energy decreases the consumption of wood, allowing precious resource</w:t>
      </w:r>
      <w:r w:rsidR="007465B9">
        <w:t>s to be spared</w:t>
      </w:r>
      <w:r w:rsidR="00470C57">
        <w:t>, it increases the number of cycles which the biomass boiler undergoes, increas</w:t>
      </w:r>
      <w:r w:rsidR="00362ED4">
        <w:t>ing</w:t>
      </w:r>
      <w:r w:rsidR="00470C57">
        <w:t xml:space="preserve"> the </w:t>
      </w:r>
      <w:r w:rsidR="00E37B7D">
        <w:t>amount</w:t>
      </w:r>
      <w:r w:rsidR="00470C57">
        <w:t xml:space="preserve"> of </w:t>
      </w:r>
      <w:r w:rsidR="00362ED4">
        <w:t xml:space="preserve">time the boiler is in the </w:t>
      </w:r>
      <w:r w:rsidR="00470C57">
        <w:t>startu</w:t>
      </w:r>
      <w:r w:rsidR="00AB11C9">
        <w:t xml:space="preserve">p </w:t>
      </w:r>
      <w:r w:rsidR="00362ED4">
        <w:t>phase</w:t>
      </w:r>
      <w:r w:rsidR="00AB11C9">
        <w:t xml:space="preserve">, </w:t>
      </w:r>
      <w:r w:rsidR="00362ED4">
        <w:t>where</w:t>
      </w:r>
      <w:r w:rsidR="00AB11C9">
        <w:t xml:space="preserve"> CO emission</w:t>
      </w:r>
      <w:r w:rsidR="00E37B7D">
        <w:t>s</w:t>
      </w:r>
      <w:r w:rsidR="00AB11C9">
        <w:t xml:space="preserve"> dominate. The solar hybridization has instead a </w:t>
      </w:r>
      <w:r w:rsidR="004B6461">
        <w:t>better</w:t>
      </w:r>
      <w:r w:rsidR="00AB11C9">
        <w:t xml:space="preserve"> effect for</w:t>
      </w:r>
      <w:r w:rsidR="00E37B7D">
        <w:t xml:space="preserve"> </w:t>
      </w:r>
      <w:r w:rsidR="00AB11C9">
        <w:t>particulate</w:t>
      </w:r>
      <w:r w:rsidR="004B6461">
        <w:t xml:space="preserve"> matter, </w:t>
      </w:r>
      <w:r w:rsidR="009409F9">
        <w:t>and</w:t>
      </w:r>
      <w:r w:rsidR="004B6461">
        <w:t>, especially, allow</w:t>
      </w:r>
      <w:r w:rsidR="00136CDB">
        <w:t>s</w:t>
      </w:r>
      <w:r w:rsidR="004B6461">
        <w:t xml:space="preserve"> </w:t>
      </w:r>
      <w:r w:rsidR="00AB11C9">
        <w:t>NOx emissions</w:t>
      </w:r>
      <w:r w:rsidR="00A2710E">
        <w:t xml:space="preserve"> </w:t>
      </w:r>
      <w:r w:rsidR="005E7A51">
        <w:t xml:space="preserve">to be reduced </w:t>
      </w:r>
      <w:r w:rsidR="00A2710E">
        <w:t>considerably</w:t>
      </w:r>
      <w:r w:rsidR="00AB11C9">
        <w:t>.</w:t>
      </w:r>
    </w:p>
    <w:tbl>
      <w:tblPr>
        <w:tblStyle w:val="Grilledutableau"/>
        <w:tblpPr w:leftFromText="141" w:rightFromText="141" w:vertAnchor="text" w:horzAnchor="margin" w:tblpY="23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2"/>
      </w:tblGrid>
      <w:tr w:rsidR="00B072A3" w14:paraId="0035FDE7" w14:textId="77777777" w:rsidTr="00B072A3">
        <w:tc>
          <w:tcPr>
            <w:tcW w:w="4532" w:type="dxa"/>
          </w:tcPr>
          <w:p w14:paraId="1914E69A" w14:textId="77777777" w:rsidR="00B072A3" w:rsidRDefault="00B072A3" w:rsidP="00B072A3">
            <w:pPr>
              <w:pStyle w:val="SWCText"/>
            </w:pPr>
            <w:r>
              <w:rPr>
                <w:noProof/>
              </w:rPr>
              <w:lastRenderedPageBreak/>
              <w:drawing>
                <wp:inline distT="0" distB="0" distL="0" distR="0" wp14:anchorId="2401A2B2" wp14:editId="111E2595">
                  <wp:extent cx="2311200" cy="1738800"/>
                  <wp:effectExtent l="0" t="0" r="0" b="0"/>
                  <wp:docPr id="11" name="Graphiqu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96DAC541-7B7A-43D3-8B79-37D633B846F1}">
                                <asvg:svgBlip xmlns:asvg="http://schemas.microsoft.com/office/drawing/2016/SVG/main" r:embed="rId46"/>
                              </a:ext>
                            </a:extLst>
                          </a:blip>
                          <a:stretch>
                            <a:fillRect/>
                          </a:stretch>
                        </pic:blipFill>
                        <pic:spPr>
                          <a:xfrm>
                            <a:off x="0" y="0"/>
                            <a:ext cx="2311200" cy="1738800"/>
                          </a:xfrm>
                          <a:prstGeom prst="rect">
                            <a:avLst/>
                          </a:prstGeom>
                        </pic:spPr>
                      </pic:pic>
                    </a:graphicData>
                  </a:graphic>
                </wp:inline>
              </w:drawing>
            </w:r>
          </w:p>
        </w:tc>
        <w:tc>
          <w:tcPr>
            <w:tcW w:w="4532" w:type="dxa"/>
          </w:tcPr>
          <w:p w14:paraId="51DF57BE" w14:textId="77777777" w:rsidR="00B072A3" w:rsidRDefault="00B072A3" w:rsidP="00B072A3">
            <w:pPr>
              <w:pStyle w:val="SWCText"/>
            </w:pPr>
            <w:r>
              <w:rPr>
                <w:noProof/>
              </w:rPr>
              <w:drawing>
                <wp:inline distT="0" distB="0" distL="0" distR="0" wp14:anchorId="2D78CF97" wp14:editId="4C948FFB">
                  <wp:extent cx="2394000" cy="1800000"/>
                  <wp:effectExtent l="0" t="0" r="6350" b="0"/>
                  <wp:docPr id="19" name="Graphiqu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96DAC541-7B7A-43D3-8B79-37D633B846F1}">
                                <asvg:svgBlip xmlns:asvg="http://schemas.microsoft.com/office/drawing/2016/SVG/main" r:embed="rId48"/>
                              </a:ext>
                            </a:extLst>
                          </a:blip>
                          <a:stretch>
                            <a:fillRect/>
                          </a:stretch>
                        </pic:blipFill>
                        <pic:spPr>
                          <a:xfrm>
                            <a:off x="0" y="0"/>
                            <a:ext cx="2394000" cy="1800000"/>
                          </a:xfrm>
                          <a:prstGeom prst="rect">
                            <a:avLst/>
                          </a:prstGeom>
                        </pic:spPr>
                      </pic:pic>
                    </a:graphicData>
                  </a:graphic>
                </wp:inline>
              </w:drawing>
            </w:r>
          </w:p>
        </w:tc>
      </w:tr>
      <w:tr w:rsidR="00B072A3" w14:paraId="4887FCFF" w14:textId="77777777" w:rsidTr="00B072A3">
        <w:tc>
          <w:tcPr>
            <w:tcW w:w="9064" w:type="dxa"/>
            <w:gridSpan w:val="2"/>
          </w:tcPr>
          <w:p w14:paraId="325A2D48" w14:textId="77777777" w:rsidR="00B072A3" w:rsidRDefault="00B072A3" w:rsidP="00B072A3">
            <w:pPr>
              <w:pStyle w:val="SWCTableFigureCaption"/>
              <w:rPr>
                <w:noProof/>
              </w:rPr>
            </w:pPr>
            <w:bookmarkStart w:id="11" w:name="_Ref238485583"/>
            <w:r>
              <w:t xml:space="preserve">Figure </w:t>
            </w:r>
            <w:r>
              <w:fldChar w:fldCharType="begin"/>
            </w:r>
            <w:r>
              <w:instrText xml:space="preserve"> SEQ Figure \* ARABIC </w:instrText>
            </w:r>
            <w:r>
              <w:fldChar w:fldCharType="separate"/>
            </w:r>
            <w:r>
              <w:rPr>
                <w:noProof/>
              </w:rPr>
              <w:t>9</w:t>
            </w:r>
            <w:r>
              <w:fldChar w:fldCharType="end"/>
            </w:r>
            <w:bookmarkEnd w:id="11"/>
            <w:r>
              <w:t xml:space="preserve">: </w:t>
            </w:r>
            <w:proofErr w:type="spellStart"/>
            <w:r>
              <w:t>LCOH</w:t>
            </w:r>
            <w:r w:rsidRPr="00C0154E">
              <w:rPr>
                <w:vertAlign w:val="subscript"/>
              </w:rPr>
              <w:t>sol</w:t>
            </w:r>
            <w:proofErr w:type="spellEnd"/>
            <w:r>
              <w:t xml:space="preserve"> (left) and  </w:t>
            </w:r>
            <w:proofErr w:type="spellStart"/>
            <w:r>
              <w:t>LCOH</w:t>
            </w:r>
            <w:r w:rsidRPr="00C0154E">
              <w:rPr>
                <w:vertAlign w:val="subscript"/>
              </w:rPr>
              <w:t>hyb</w:t>
            </w:r>
            <w:proofErr w:type="spellEnd"/>
            <w:r>
              <w:t xml:space="preserve"> (right) for the solar-biomass hybrid circuits.</w:t>
            </w:r>
          </w:p>
        </w:tc>
      </w:tr>
    </w:tbl>
    <w:p w14:paraId="090C83A4" w14:textId="01984CCD" w:rsidR="00F56DAE" w:rsidRDefault="00F56DAE" w:rsidP="00F56DAE">
      <w:pPr>
        <w:pStyle w:val="SWCHeading11"/>
      </w:pPr>
      <w:r>
        <w:t>LCOH</w:t>
      </w:r>
      <w:r w:rsidR="008B2F94">
        <w:t xml:space="preserve"> calculations</w:t>
      </w:r>
    </w:p>
    <w:p w14:paraId="3DBC20EB" w14:textId="2DC1DF17" w:rsidR="002A07BE" w:rsidRDefault="008B2F94" w:rsidP="009F5CBA">
      <w:pPr>
        <w:pStyle w:val="SWCText"/>
      </w:pPr>
      <w:r>
        <w:t xml:space="preserve">Once </w:t>
      </w:r>
      <w:r w:rsidR="003218BB">
        <w:t xml:space="preserve">the </w:t>
      </w:r>
      <w:r w:rsidR="00552AB2">
        <w:t>performance of</w:t>
      </w:r>
      <w:r w:rsidR="003218BB">
        <w:t xml:space="preserve"> each </w:t>
      </w:r>
      <w:r w:rsidR="00810B3E">
        <w:t xml:space="preserve">solar biomass hybrid </w:t>
      </w:r>
      <w:r w:rsidR="003218BB">
        <w:t>configuration</w:t>
      </w:r>
      <w:r w:rsidR="007535AA">
        <w:t xml:space="preserve"> </w:t>
      </w:r>
      <w:r w:rsidR="008272BB">
        <w:t xml:space="preserve">was </w:t>
      </w:r>
      <w:r w:rsidR="007535AA">
        <w:t>established</w:t>
      </w:r>
      <w:r>
        <w:t>, t</w:t>
      </w:r>
      <w:r w:rsidR="00550B1E">
        <w:t>he discounted cash flow model was</w:t>
      </w:r>
      <w:r w:rsidR="00110186">
        <w:t xml:space="preserve"> applied</w:t>
      </w:r>
      <w:r w:rsidR="00824072">
        <w:t xml:space="preserve"> to derive the mean cost of production</w:t>
      </w:r>
      <w:r w:rsidR="00D42774">
        <w:t>,</w:t>
      </w:r>
      <w:r w:rsidR="00110186">
        <w:t xml:space="preserve"> </w:t>
      </w:r>
      <w:r w:rsidR="009409F9">
        <w:t>considering</w:t>
      </w:r>
      <w:r w:rsidR="00F23CC3">
        <w:t>, among others, solar field and TES</w:t>
      </w:r>
      <w:r w:rsidR="00110186">
        <w:t xml:space="preserve"> dimensions, wood </w:t>
      </w:r>
      <w:r w:rsidR="00552AB2">
        <w:t>and</w:t>
      </w:r>
      <w:r w:rsidR="00110186">
        <w:t xml:space="preserve"> electric</w:t>
      </w:r>
      <w:r w:rsidR="002C1CA2">
        <w:t>ity</w:t>
      </w:r>
      <w:r w:rsidR="00110186">
        <w:t xml:space="preserve"> consumption</w:t>
      </w:r>
      <w:r w:rsidR="00F23CC3">
        <w:t xml:space="preserve"> and</w:t>
      </w:r>
      <w:r w:rsidR="002C1CA2">
        <w:t xml:space="preserve"> heat sales</w:t>
      </w:r>
      <w:r w:rsidR="00D42774">
        <w:t>.</w:t>
      </w:r>
      <w:r w:rsidR="00354A94">
        <w:t xml:space="preserve"> </w:t>
      </w:r>
      <w:r w:rsidR="00D42774">
        <w:t>By</w:t>
      </w:r>
      <w:r w:rsidR="00606C9C">
        <w:t xml:space="preserve"> computing the </w:t>
      </w:r>
      <w:proofErr w:type="spellStart"/>
      <w:r w:rsidR="00606C9C">
        <w:t>LCOH</w:t>
      </w:r>
      <w:r w:rsidR="00606C9C" w:rsidRPr="0032077B">
        <w:rPr>
          <w:vertAlign w:val="subscript"/>
        </w:rPr>
        <w:t>sol</w:t>
      </w:r>
      <w:proofErr w:type="spellEnd"/>
      <w:r w:rsidR="000C3323">
        <w:t>,</w:t>
      </w:r>
      <w:r w:rsidR="00B77A60">
        <w:t xml:space="preserve"> the </w:t>
      </w:r>
      <w:proofErr w:type="spellStart"/>
      <w:r w:rsidR="00606C9C">
        <w:t>LCOH</w:t>
      </w:r>
      <w:r w:rsidR="00606C9C" w:rsidRPr="000C3323">
        <w:rPr>
          <w:vertAlign w:val="subscript"/>
        </w:rPr>
        <w:t>hyb</w:t>
      </w:r>
      <w:proofErr w:type="spellEnd"/>
      <w:r w:rsidR="00B77A60">
        <w:t xml:space="preserve"> was derived by combining</w:t>
      </w:r>
      <w:r w:rsidR="007554EA">
        <w:t xml:space="preserve"> it wi</w:t>
      </w:r>
      <w:r w:rsidR="0057322F">
        <w:t>t</w:t>
      </w:r>
      <w:r w:rsidR="007554EA">
        <w:t>h the</w:t>
      </w:r>
      <w:r w:rsidR="00B77A60">
        <w:t xml:space="preserve"> effective </w:t>
      </w:r>
      <w:proofErr w:type="spellStart"/>
      <w:r w:rsidR="00B77A60">
        <w:t>LCO</w:t>
      </w:r>
      <w:r w:rsidR="000B71AF">
        <w:t>H</w:t>
      </w:r>
      <w:r w:rsidR="00B77A60" w:rsidRPr="000C3323">
        <w:rPr>
          <w:vertAlign w:val="subscript"/>
        </w:rPr>
        <w:t>bio</w:t>
      </w:r>
      <w:proofErr w:type="spellEnd"/>
      <w:r w:rsidR="007554EA">
        <w:t xml:space="preserve"> </w:t>
      </w:r>
      <w:r w:rsidR="002D3987">
        <w:t>(</w:t>
      </w:r>
      <w:r w:rsidR="007554EA">
        <w:t>as illustrated in the methodology section</w:t>
      </w:r>
      <w:r w:rsidR="002D3987">
        <w:t>)</w:t>
      </w:r>
      <w:r w:rsidR="007554EA">
        <w:t>, and applied over the service lifetime of the installation, assumed to coincide with the lifetime of the TES</w:t>
      </w:r>
      <w:r w:rsidR="002D3987">
        <w:t xml:space="preserve"> (i.e.</w:t>
      </w:r>
      <w:r w:rsidR="007554EA">
        <w:t xml:space="preserve"> 50</w:t>
      </w:r>
      <w:r w:rsidR="0093788F">
        <w:t xml:space="preserve"> </w:t>
      </w:r>
      <w:r w:rsidR="007554EA">
        <w:t>y</w:t>
      </w:r>
      <w:r w:rsidR="002D3987">
        <w:t>)</w:t>
      </w:r>
      <w:r w:rsidR="007554EA">
        <w:t>.</w:t>
      </w:r>
      <w:r w:rsidR="0093788F">
        <w:t xml:space="preserve"> By adopting a refurbishment at mid-life</w:t>
      </w:r>
      <w:r w:rsidR="00CA12A3">
        <w:t xml:space="preserve">, the service lifetime of solar fields and biomass boiler were aligned to that </w:t>
      </w:r>
      <w:r w:rsidR="002D3987">
        <w:t>of</w:t>
      </w:r>
      <w:r w:rsidR="00CA12A3">
        <w:t xml:space="preserve"> the TES.</w:t>
      </w:r>
    </w:p>
    <w:tbl>
      <w:tblPr>
        <w:tblStyle w:val="Grilledutableau"/>
        <w:tblpPr w:leftFromText="141" w:rightFromText="141" w:vertAnchor="text" w:horzAnchor="margin" w:tblpY="4608"/>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6"/>
      </w:tblGrid>
      <w:tr w:rsidR="002A07BE" w14:paraId="09DF6791" w14:textId="77777777" w:rsidTr="002D6040">
        <w:tc>
          <w:tcPr>
            <w:tcW w:w="4531" w:type="dxa"/>
          </w:tcPr>
          <w:p w14:paraId="13FF53B6" w14:textId="77777777" w:rsidR="002A07BE" w:rsidRDefault="002A07BE" w:rsidP="002D6040">
            <w:pPr>
              <w:pStyle w:val="SWCText"/>
              <w:jc w:val="center"/>
            </w:pPr>
            <w:r>
              <w:rPr>
                <w:noProof/>
              </w:rPr>
              <w:drawing>
                <wp:inline distT="0" distB="0" distL="0" distR="0" wp14:anchorId="06E7CE3E" wp14:editId="05DFC731">
                  <wp:extent cx="2601408" cy="1955800"/>
                  <wp:effectExtent l="0" t="0" r="8890" b="6350"/>
                  <wp:docPr id="15" name="Graphiqu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2642858" cy="1986963"/>
                          </a:xfrm>
                          <a:prstGeom prst="rect">
                            <a:avLst/>
                          </a:prstGeom>
                        </pic:spPr>
                      </pic:pic>
                    </a:graphicData>
                  </a:graphic>
                </wp:inline>
              </w:drawing>
            </w:r>
          </w:p>
        </w:tc>
        <w:tc>
          <w:tcPr>
            <w:tcW w:w="4536" w:type="dxa"/>
          </w:tcPr>
          <w:p w14:paraId="453B2AA2" w14:textId="77777777" w:rsidR="002A07BE" w:rsidRDefault="002A07BE" w:rsidP="002D6040">
            <w:pPr>
              <w:pStyle w:val="SWCText"/>
              <w:jc w:val="center"/>
              <w:rPr>
                <w:noProof/>
              </w:rPr>
            </w:pPr>
            <w:r>
              <w:rPr>
                <w:noProof/>
              </w:rPr>
              <w:drawing>
                <wp:inline distT="0" distB="0" distL="0" distR="0" wp14:anchorId="74E94BC9" wp14:editId="350D4592">
                  <wp:extent cx="2601409" cy="1955800"/>
                  <wp:effectExtent l="0" t="0" r="8890" b="6350"/>
                  <wp:docPr id="17" name="Graphiqu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2641748" cy="1986128"/>
                          </a:xfrm>
                          <a:prstGeom prst="rect">
                            <a:avLst/>
                          </a:prstGeom>
                        </pic:spPr>
                      </pic:pic>
                    </a:graphicData>
                  </a:graphic>
                </wp:inline>
              </w:drawing>
            </w:r>
          </w:p>
        </w:tc>
      </w:tr>
      <w:tr w:rsidR="002A07BE" w14:paraId="190599BE" w14:textId="77777777" w:rsidTr="002D6040">
        <w:tc>
          <w:tcPr>
            <w:tcW w:w="9067" w:type="dxa"/>
            <w:gridSpan w:val="2"/>
          </w:tcPr>
          <w:p w14:paraId="5A94C991" w14:textId="11FCF9C7" w:rsidR="002A07BE" w:rsidRDefault="002A07BE" w:rsidP="002D6040">
            <w:pPr>
              <w:pStyle w:val="SWCTableFigureCaption"/>
            </w:pPr>
            <w:bookmarkStart w:id="12" w:name="_Ref238563964"/>
            <w:r>
              <w:t xml:space="preserve">Figure </w:t>
            </w:r>
            <w:r>
              <w:fldChar w:fldCharType="begin"/>
            </w:r>
            <w:r>
              <w:instrText xml:space="preserve"> SEQ Figure \* ARABIC </w:instrText>
            </w:r>
            <w:r>
              <w:fldChar w:fldCharType="separate"/>
            </w:r>
            <w:r w:rsidR="00A87539">
              <w:rPr>
                <w:noProof/>
              </w:rPr>
              <w:t>10</w:t>
            </w:r>
            <w:r>
              <w:fldChar w:fldCharType="end"/>
            </w:r>
            <w:bookmarkEnd w:id="12"/>
            <w:r>
              <w:t xml:space="preserve"> : Comparison of the LCOH of hybrid </w:t>
            </w:r>
            <w:r w:rsidR="00132A9E">
              <w:t>plants as</w:t>
            </w:r>
            <w:r>
              <w:t xml:space="preserve"> a function of the SF (left) or the solar surface area (right).</w:t>
            </w:r>
          </w:p>
        </w:tc>
      </w:tr>
    </w:tbl>
    <w:p w14:paraId="46B775F8" w14:textId="73F65D03" w:rsidR="0059340D" w:rsidRDefault="001478C9" w:rsidP="009F5CBA">
      <w:pPr>
        <w:pStyle w:val="SWCText"/>
      </w:pPr>
      <w:r>
        <w:t>The impact of the different hydraulic configuration</w:t>
      </w:r>
      <w:r w:rsidR="00C74C71">
        <w:t>s</w:t>
      </w:r>
      <w:r>
        <w:t xml:space="preserve"> </w:t>
      </w:r>
      <w:r w:rsidR="00970019">
        <w:t xml:space="preserve">on the </w:t>
      </w:r>
      <w:proofErr w:type="spellStart"/>
      <w:r w:rsidR="00970019">
        <w:t>LCOH</w:t>
      </w:r>
      <w:r w:rsidR="00224CBB" w:rsidRPr="009A076F">
        <w:rPr>
          <w:vertAlign w:val="subscript"/>
        </w:rPr>
        <w:t>sol</w:t>
      </w:r>
      <w:proofErr w:type="spellEnd"/>
      <w:r w:rsidR="00970019">
        <w:t xml:space="preserve"> is shown in </w:t>
      </w:r>
      <w:r w:rsidR="009A076F">
        <w:fldChar w:fldCharType="begin"/>
      </w:r>
      <w:r w:rsidR="009A076F">
        <w:instrText xml:space="preserve"> REF _Ref238485583 \h </w:instrText>
      </w:r>
      <w:r w:rsidR="009A076F">
        <w:fldChar w:fldCharType="separate"/>
      </w:r>
      <w:r w:rsidR="001C12FC">
        <w:t xml:space="preserve">Figure </w:t>
      </w:r>
      <w:r w:rsidR="001C12FC">
        <w:rPr>
          <w:noProof/>
        </w:rPr>
        <w:t>9</w:t>
      </w:r>
      <w:r w:rsidR="009A076F">
        <w:fldChar w:fldCharType="end"/>
      </w:r>
      <w:r w:rsidR="00C7024D">
        <w:t xml:space="preserve"> (left)</w:t>
      </w:r>
      <w:r w:rsidR="009A076F">
        <w:t xml:space="preserve"> </w:t>
      </w:r>
      <w:r w:rsidR="00970019">
        <w:t>for the 4 circuits</w:t>
      </w:r>
      <w:r w:rsidR="006A76A8">
        <w:t xml:space="preserve">, </w:t>
      </w:r>
      <w:r w:rsidR="001C4F1F">
        <w:t xml:space="preserve">while the </w:t>
      </w:r>
      <w:proofErr w:type="spellStart"/>
      <w:r w:rsidR="001C4F1F">
        <w:t>L</w:t>
      </w:r>
      <w:r w:rsidR="00357FFE">
        <w:t>COH</w:t>
      </w:r>
      <w:r w:rsidR="00357FFE" w:rsidRPr="009A076F">
        <w:rPr>
          <w:vertAlign w:val="subscript"/>
        </w:rPr>
        <w:t>hyb</w:t>
      </w:r>
      <w:proofErr w:type="spellEnd"/>
      <w:r w:rsidR="00357FFE">
        <w:t xml:space="preserve"> is shown in </w:t>
      </w:r>
      <w:r w:rsidR="0073678A">
        <w:fldChar w:fldCharType="begin"/>
      </w:r>
      <w:r w:rsidR="0073678A">
        <w:instrText xml:space="preserve"> REF _Ref238485583 \h </w:instrText>
      </w:r>
      <w:r w:rsidR="0073678A">
        <w:fldChar w:fldCharType="separate"/>
      </w:r>
      <w:r w:rsidR="001C12FC">
        <w:t xml:space="preserve">Figure </w:t>
      </w:r>
      <w:r w:rsidR="001C12FC">
        <w:rPr>
          <w:noProof/>
        </w:rPr>
        <w:t>9</w:t>
      </w:r>
      <w:r w:rsidR="0073678A">
        <w:fldChar w:fldCharType="end"/>
      </w:r>
      <w:r w:rsidR="00AD48DC">
        <w:t xml:space="preserve"> (right)</w:t>
      </w:r>
      <w:r w:rsidR="00357FFE">
        <w:t>.</w:t>
      </w:r>
      <w:r w:rsidR="00364B96">
        <w:t xml:space="preserve"> The </w:t>
      </w:r>
      <w:r w:rsidR="009A076F">
        <w:t>calculation</w:t>
      </w:r>
      <w:r w:rsidR="00364B96">
        <w:t xml:space="preserve"> for the LCOH from the solar and TES</w:t>
      </w:r>
      <w:r w:rsidR="009A076F">
        <w:t xml:space="preserve"> subsystems</w:t>
      </w:r>
      <w:r w:rsidR="00364B96">
        <w:t xml:space="preserve"> includes the subsides for solar thermal energy in Switzerland</w:t>
      </w:r>
      <w:r w:rsidR="004E7A74">
        <w:t xml:space="preserve"> (2</w:t>
      </w:r>
      <w:r w:rsidR="00375AF1">
        <w:t>4</w:t>
      </w:r>
      <w:r w:rsidR="004E7A74">
        <w:t>00</w:t>
      </w:r>
      <w:r w:rsidR="00D55934">
        <w:t xml:space="preserve"> </w:t>
      </w:r>
      <w:r w:rsidR="004E7A74">
        <w:t xml:space="preserve">CHF + 1000 * </w:t>
      </w:r>
      <w:proofErr w:type="spellStart"/>
      <w:r w:rsidR="004E7A74">
        <w:t>kW</w:t>
      </w:r>
      <w:r w:rsidR="004E7A74" w:rsidRPr="004E7A74">
        <w:rPr>
          <w:vertAlign w:val="subscript"/>
        </w:rPr>
        <w:t>nom</w:t>
      </w:r>
      <w:proofErr w:type="spellEnd"/>
      <w:r w:rsidR="004E7A74">
        <w:t xml:space="preserve">, where the </w:t>
      </w:r>
      <w:r w:rsidR="00D87AF2">
        <w:t xml:space="preserve">nominal collector power </w:t>
      </w:r>
      <w:proofErr w:type="spellStart"/>
      <w:r w:rsidR="004E7A74">
        <w:t>kW</w:t>
      </w:r>
      <w:r w:rsidR="004E7A74" w:rsidRPr="004F68D9">
        <w:rPr>
          <w:vertAlign w:val="subscript"/>
        </w:rPr>
        <w:t>nom</w:t>
      </w:r>
      <w:proofErr w:type="spellEnd"/>
      <w:r w:rsidR="004E7A74">
        <w:t xml:space="preserve"> is determined based on </w:t>
      </w:r>
      <w:r w:rsidR="004F68D9">
        <w:t xml:space="preserve">the Solar Keymark </w:t>
      </w:r>
      <w:r w:rsidR="009A076F">
        <w:t xml:space="preserve">performance </w:t>
      </w:r>
      <w:r w:rsidR="004F68D9">
        <w:t>test report)</w:t>
      </w:r>
      <w:r w:rsidR="000C1AC2">
        <w:t xml:space="preserve">, which allow solar heat to be competitive when considered alone. Yet, the fact of hybridizing </w:t>
      </w:r>
      <w:r w:rsidR="00C03672">
        <w:t xml:space="preserve">a biomass plant implies that </w:t>
      </w:r>
      <w:r w:rsidR="00A200D7">
        <w:t xml:space="preserve">a part of the sold energy won’t be used to amortize the biomass part, increasing the reference costs of heat </w:t>
      </w:r>
      <w:r w:rsidR="00C0390B">
        <w:t>from biomass</w:t>
      </w:r>
      <w:r w:rsidR="00BB5F38">
        <w:t>. Inevitably, under these assumptions,</w:t>
      </w:r>
      <w:r w:rsidR="00D54137">
        <w:t xml:space="preserve"> the cost</w:t>
      </w:r>
      <w:r w:rsidR="00B274A8">
        <w:t xml:space="preserve"> of production for</w:t>
      </w:r>
      <w:r w:rsidR="00D54137">
        <w:t xml:space="preserve"> the hybrid plant</w:t>
      </w:r>
      <w:r w:rsidR="00FC5143">
        <w:t xml:space="preserve"> </w:t>
      </w:r>
      <w:r w:rsidR="00B274A8">
        <w:t>is</w:t>
      </w:r>
      <w:r w:rsidR="00FC5143">
        <w:t xml:space="preserve"> </w:t>
      </w:r>
      <w:r w:rsidR="007A4063">
        <w:t xml:space="preserve">often </w:t>
      </w:r>
      <w:r w:rsidR="00FC5143">
        <w:t>greater than the production co</w:t>
      </w:r>
      <w:r w:rsidR="00B274A8">
        <w:t>s</w:t>
      </w:r>
      <w:r w:rsidR="00FC5143">
        <w:t>t of the biomass only plant</w:t>
      </w:r>
      <w:r w:rsidR="00B274A8">
        <w:t xml:space="preserve">, as shown in </w:t>
      </w:r>
      <w:r w:rsidR="00064555">
        <w:fldChar w:fldCharType="begin"/>
      </w:r>
      <w:r w:rsidR="00064555">
        <w:instrText xml:space="preserve"> REF _Ref238485583 \h </w:instrText>
      </w:r>
      <w:r w:rsidR="00064555">
        <w:fldChar w:fldCharType="separate"/>
      </w:r>
      <w:r w:rsidR="00D55934">
        <w:t xml:space="preserve">Figure </w:t>
      </w:r>
      <w:r w:rsidR="00D55934">
        <w:rPr>
          <w:noProof/>
        </w:rPr>
        <w:t>9</w:t>
      </w:r>
      <w:r w:rsidR="00064555">
        <w:fldChar w:fldCharType="end"/>
      </w:r>
      <w:r w:rsidR="004D2EF9">
        <w:t xml:space="preserve"> for a reference </w:t>
      </w:r>
      <w:r w:rsidR="00BF2151">
        <w:t xml:space="preserve">heat production </w:t>
      </w:r>
      <w:r w:rsidR="00E304EE">
        <w:t>cost</w:t>
      </w:r>
      <w:r w:rsidR="00BF2151">
        <w:t xml:space="preserve"> of 100 CHF/</w:t>
      </w:r>
      <w:proofErr w:type="spellStart"/>
      <w:r w:rsidR="00BF2151">
        <w:t>MWh</w:t>
      </w:r>
      <w:r w:rsidR="00BF2151" w:rsidRPr="00E304EE">
        <w:rPr>
          <w:vertAlign w:val="subscript"/>
        </w:rPr>
        <w:t>th</w:t>
      </w:r>
      <w:proofErr w:type="spellEnd"/>
      <w:r w:rsidR="00106842">
        <w:t>. Only the configuration</w:t>
      </w:r>
      <w:r w:rsidR="00BA66AD">
        <w:t xml:space="preserve"> with a common storage tank</w:t>
      </w:r>
      <w:r w:rsidR="00BA3A07">
        <w:t>, Circuit 4,</w:t>
      </w:r>
      <w:r w:rsidR="00BA66AD">
        <w:t xml:space="preserve"> </w:t>
      </w:r>
      <w:r w:rsidR="006325E1">
        <w:t>can</w:t>
      </w:r>
      <w:r w:rsidR="00BA66AD">
        <w:t xml:space="preserve"> generate heat at a lower LCOH than the reference plant</w:t>
      </w:r>
      <w:r w:rsidR="00F71328">
        <w:t>, and only at very low values</w:t>
      </w:r>
      <w:r w:rsidR="008D76AB">
        <w:t xml:space="preserve"> of SF</w:t>
      </w:r>
      <w:r w:rsidR="007D6F33">
        <w:t xml:space="preserve">. </w:t>
      </w:r>
      <w:r w:rsidR="00C8784D">
        <w:t xml:space="preserve">While increasing the </w:t>
      </w:r>
      <w:proofErr w:type="spellStart"/>
      <w:r w:rsidR="00C8784D">
        <w:t>V</w:t>
      </w:r>
      <w:r w:rsidR="00C8784D">
        <w:rPr>
          <w:vertAlign w:val="subscript"/>
        </w:rPr>
        <w:t>sp,TES</w:t>
      </w:r>
      <w:proofErr w:type="spellEnd"/>
      <w:r w:rsidR="00C8784D">
        <w:t xml:space="preserve"> allows </w:t>
      </w:r>
      <w:r w:rsidR="003E5107">
        <w:t>SF</w:t>
      </w:r>
      <w:r w:rsidR="00C8784D">
        <w:t xml:space="preserve"> to rise, it also significantly increases the plant's final </w:t>
      </w:r>
      <w:proofErr w:type="spellStart"/>
      <w:r w:rsidR="00C8784D">
        <w:t>LCOH</w:t>
      </w:r>
      <w:r w:rsidR="003E5107" w:rsidRPr="003E5107">
        <w:rPr>
          <w:vertAlign w:val="subscript"/>
        </w:rPr>
        <w:t>hyb</w:t>
      </w:r>
      <w:proofErr w:type="spellEnd"/>
      <w:r w:rsidR="00C8784D">
        <w:t>, demonstrating that an oversized storage system negatively impacts the overall economic performance.</w:t>
      </w:r>
    </w:p>
    <w:p w14:paraId="0FFEF4E5" w14:textId="7EE68841" w:rsidR="00052CAE" w:rsidRDefault="00C8784D" w:rsidP="009F5CBA">
      <w:pPr>
        <w:pStyle w:val="SWCText"/>
      </w:pPr>
      <w:r>
        <w:t>To</w:t>
      </w:r>
      <w:r w:rsidR="004D317C">
        <w:t xml:space="preserve"> position the solar-biomass hybrid solution on the Swiss</w:t>
      </w:r>
      <w:r w:rsidR="00211EBF">
        <w:t xml:space="preserve"> domestic</w:t>
      </w:r>
      <w:r w:rsidR="004D317C">
        <w:t xml:space="preserve"> market</w:t>
      </w:r>
      <w:r w:rsidR="001C599F">
        <w:t xml:space="preserve">, </w:t>
      </w:r>
      <w:r w:rsidR="00355CAD">
        <w:t xml:space="preserve">their </w:t>
      </w:r>
      <w:r w:rsidR="00402355">
        <w:t xml:space="preserve">values of </w:t>
      </w:r>
      <w:proofErr w:type="spellStart"/>
      <w:r w:rsidR="00355CAD">
        <w:t>LCOH</w:t>
      </w:r>
      <w:r w:rsidR="003E5107" w:rsidRPr="003E5107">
        <w:rPr>
          <w:vertAlign w:val="subscript"/>
        </w:rPr>
        <w:t>hyb</w:t>
      </w:r>
      <w:proofErr w:type="spellEnd"/>
      <w:r w:rsidR="00355CAD">
        <w:t xml:space="preserve"> w</w:t>
      </w:r>
      <w:r w:rsidR="00402355">
        <w:t>ere</w:t>
      </w:r>
      <w:r w:rsidR="00355CAD">
        <w:t xml:space="preserve"> then compared to th</w:t>
      </w:r>
      <w:r w:rsidR="001C12FC">
        <w:t xml:space="preserve">ose </w:t>
      </w:r>
      <w:r w:rsidR="00355CAD">
        <w:t>of the solutions base</w:t>
      </w:r>
      <w:r w:rsidR="00FC1BBD">
        <w:t>d</w:t>
      </w:r>
      <w:r w:rsidR="00355CAD">
        <w:t xml:space="preserve"> on HP units</w:t>
      </w:r>
      <w:r w:rsidR="00FC1BBD">
        <w:t xml:space="preserve">. </w:t>
      </w:r>
      <w:r w:rsidR="00A570B5">
        <w:fldChar w:fldCharType="begin"/>
      </w:r>
      <w:r w:rsidR="00A570B5">
        <w:instrText xml:space="preserve"> REF _Ref238563964 \h </w:instrText>
      </w:r>
      <w:r w:rsidR="00A570B5">
        <w:fldChar w:fldCharType="separate"/>
      </w:r>
      <w:r w:rsidR="00D55934">
        <w:t xml:space="preserve">Figure </w:t>
      </w:r>
      <w:r w:rsidR="00D55934">
        <w:rPr>
          <w:noProof/>
        </w:rPr>
        <w:t>10</w:t>
      </w:r>
      <w:r w:rsidR="00A570B5">
        <w:fldChar w:fldCharType="end"/>
      </w:r>
      <w:r w:rsidR="0019177C">
        <w:t xml:space="preserve"> (left)</w:t>
      </w:r>
      <w:r w:rsidR="00A570B5">
        <w:t xml:space="preserve"> </w:t>
      </w:r>
      <w:r w:rsidR="00FC1BBD">
        <w:t xml:space="preserve">shows the </w:t>
      </w:r>
      <w:r w:rsidR="0056552B">
        <w:t xml:space="preserve">comparison among the </w:t>
      </w:r>
      <w:proofErr w:type="spellStart"/>
      <w:r w:rsidR="00FC1BBD">
        <w:t>LCOH</w:t>
      </w:r>
      <w:r w:rsidR="0019177C" w:rsidRPr="0019177C">
        <w:rPr>
          <w:vertAlign w:val="subscript"/>
        </w:rPr>
        <w:t>hyb</w:t>
      </w:r>
      <w:proofErr w:type="spellEnd"/>
      <w:r w:rsidR="0056552B">
        <w:t xml:space="preserve"> of </w:t>
      </w:r>
      <w:r w:rsidR="00DC6415">
        <w:t xml:space="preserve">the </w:t>
      </w:r>
      <w:r w:rsidR="006F28D7">
        <w:t>b</w:t>
      </w:r>
      <w:r w:rsidR="00DC6415">
        <w:t xml:space="preserve">est hydraulic layouts (Circuit 2 </w:t>
      </w:r>
      <w:r w:rsidR="006F28D7">
        <w:t>a</w:t>
      </w:r>
      <w:r w:rsidR="00DC6415">
        <w:t xml:space="preserve">nd Circuit 4) together with the LCOH computed for the </w:t>
      </w:r>
      <w:r w:rsidR="006F28D7">
        <w:t>bivalent</w:t>
      </w:r>
      <w:r w:rsidR="004D17F2">
        <w:t xml:space="preserve"> indirect air HP case and for the </w:t>
      </w:r>
      <w:r w:rsidR="006F28D7">
        <w:t>monovalent</w:t>
      </w:r>
      <w:r w:rsidR="004D17F2">
        <w:t xml:space="preserve"> groundwater HP case</w:t>
      </w:r>
      <w:r w:rsidR="00227079">
        <w:t xml:space="preserve">. Apart from </w:t>
      </w:r>
      <w:r w:rsidR="006F28D7">
        <w:t>this latter</w:t>
      </w:r>
      <w:r w:rsidR="00833926">
        <w:t xml:space="preserve">, the LCOH </w:t>
      </w:r>
      <w:r w:rsidR="00C76527">
        <w:t>of the hybrid plants (biomass – solar thermal or biomass – PV and HP</w:t>
      </w:r>
      <w:r w:rsidR="00106E51">
        <w:t xml:space="preserve">) </w:t>
      </w:r>
      <w:r w:rsidR="00833926">
        <w:t>depends on the generation cost for biomass only</w:t>
      </w:r>
      <w:r w:rsidR="00A57AA4">
        <w:t xml:space="preserve"> (assumed at </w:t>
      </w:r>
      <w:r w:rsidR="00A57AA4">
        <w:lastRenderedPageBreak/>
        <w:t>100</w:t>
      </w:r>
      <w:r w:rsidR="00AD3AFB">
        <w:t> </w:t>
      </w:r>
      <w:r w:rsidR="00A57AA4">
        <w:t>CHF/MWh</w:t>
      </w:r>
      <w:r w:rsidR="005700FF">
        <w:t>, 40% due to fixed costs and the rest to the fuel</w:t>
      </w:r>
      <w:r w:rsidR="00A57AA4">
        <w:t>)</w:t>
      </w:r>
      <w:r w:rsidR="00106E51">
        <w:t>. The solar fraction</w:t>
      </w:r>
      <w:r w:rsidR="000466D1">
        <w:t xml:space="preserve"> for the HP was computed taking into consideration the heat generated by the HP with PV electricity.</w:t>
      </w:r>
      <w:r w:rsidR="007F08E6">
        <w:t xml:space="preserve"> </w:t>
      </w:r>
      <w:r w:rsidR="008B4EA6">
        <w:t>A</w:t>
      </w:r>
      <w:r w:rsidR="004D47D3">
        <w:t xml:space="preserve">s shown in </w:t>
      </w:r>
      <w:r w:rsidR="004D47D3">
        <w:fldChar w:fldCharType="begin"/>
      </w:r>
      <w:r w:rsidR="004D47D3">
        <w:instrText xml:space="preserve"> REF _Ref238563964 \h </w:instrText>
      </w:r>
      <w:r w:rsidR="004D47D3">
        <w:fldChar w:fldCharType="separate"/>
      </w:r>
      <w:r w:rsidR="00D55934">
        <w:t xml:space="preserve">Figure </w:t>
      </w:r>
      <w:r w:rsidR="00D55934">
        <w:rPr>
          <w:noProof/>
        </w:rPr>
        <w:t>10</w:t>
      </w:r>
      <w:r w:rsidR="004D47D3">
        <w:fldChar w:fldCharType="end"/>
      </w:r>
      <w:r w:rsidR="00BB4FDE">
        <w:t>(left)</w:t>
      </w:r>
      <w:r w:rsidR="004D47D3">
        <w:t xml:space="preserve">, </w:t>
      </w:r>
      <w:r w:rsidR="001F5AA6">
        <w:t>a hybrid biomass-</w:t>
      </w:r>
      <w:r w:rsidR="004D47D3">
        <w:t>HP</w:t>
      </w:r>
      <w:r w:rsidR="001F5AA6">
        <w:t xml:space="preserve"> with PV features </w:t>
      </w:r>
      <w:r w:rsidR="00B0522C">
        <w:t xml:space="preserve">an LCOH which </w:t>
      </w:r>
      <w:r w:rsidR="005F5FAC">
        <w:t>has a</w:t>
      </w:r>
      <w:r w:rsidR="00B0522C">
        <w:t xml:space="preserve"> considerably higher</w:t>
      </w:r>
      <w:r w:rsidR="005F5FAC">
        <w:t xml:space="preserve"> value</w:t>
      </w:r>
      <w:r w:rsidR="00B0522C">
        <w:t xml:space="preserve"> than</w:t>
      </w:r>
      <w:r w:rsidR="005F5FAC">
        <w:t xml:space="preserve"> those featured by the</w:t>
      </w:r>
      <w:r w:rsidR="00B0522C">
        <w:t xml:space="preserve"> hybrid solution</w:t>
      </w:r>
      <w:r w:rsidR="00FF4C7D">
        <w:t>s</w:t>
      </w:r>
      <w:r w:rsidR="00B0522C">
        <w:t xml:space="preserve"> </w:t>
      </w:r>
      <w:r w:rsidR="001F5132">
        <w:t>deploying</w:t>
      </w:r>
      <w:r w:rsidR="00B0522C">
        <w:t xml:space="preserve"> solar thermal collectors. </w:t>
      </w:r>
      <w:r w:rsidR="002B1146">
        <w:t xml:space="preserve">This </w:t>
      </w:r>
      <w:r w:rsidR="00352914">
        <w:t>happens</w:t>
      </w:r>
      <w:r w:rsidR="002B1146">
        <w:t xml:space="preserve"> </w:t>
      </w:r>
      <w:r w:rsidR="006F45C3">
        <w:t>mainly</w:t>
      </w:r>
      <w:r w:rsidR="002B1146">
        <w:t xml:space="preserve"> </w:t>
      </w:r>
      <w:r w:rsidR="005603E9">
        <w:t>b</w:t>
      </w:r>
      <w:r w:rsidR="006F45C3">
        <w:t>e</w:t>
      </w:r>
      <w:r w:rsidR="005603E9">
        <w:t>cause</w:t>
      </w:r>
      <w:r w:rsidR="002B1146">
        <w:t xml:space="preserve"> the HP operates a limited number of hours and its amo</w:t>
      </w:r>
      <w:r w:rsidR="00127C5A">
        <w:t xml:space="preserve">rtization constitutes a non negligeable charge. </w:t>
      </w:r>
      <w:r w:rsidR="00B0522C">
        <w:t xml:space="preserve">Furthermore, </w:t>
      </w:r>
      <w:r w:rsidR="00B34EA9">
        <w:t>without batteries, the SF that is possible to obtain is quite limited</w:t>
      </w:r>
      <w:r w:rsidR="00C96995">
        <w:t xml:space="preserve">. </w:t>
      </w:r>
      <w:r w:rsidR="00127C5A">
        <w:t xml:space="preserve">On the other </w:t>
      </w:r>
      <w:r w:rsidR="0068590C">
        <w:t xml:space="preserve">hand, a single HP can </w:t>
      </w:r>
      <w:r w:rsidR="00D934F4">
        <w:t xml:space="preserve">cover the whole demand of the DHN, but at a considerable </w:t>
      </w:r>
      <w:r w:rsidR="003243DA">
        <w:t xml:space="preserve">premium on the LCOH. By adopting a larger TES and extending the PV surface, </w:t>
      </w:r>
      <w:r w:rsidR="00915EA1">
        <w:t xml:space="preserve">it is possible </w:t>
      </w:r>
      <w:r w:rsidR="00613428">
        <w:t xml:space="preserve">in the monovalent HP case, </w:t>
      </w:r>
      <w:r w:rsidR="00915EA1">
        <w:t>to increase the SF at levels comparable with those reached with solar thermal collectors</w:t>
      </w:r>
      <w:r w:rsidR="008C1E11">
        <w:t xml:space="preserve">, with the further improvement on the LCOH given by the feed-in </w:t>
      </w:r>
      <w:r w:rsidR="00132A9E">
        <w:t>tariff</w:t>
      </w:r>
      <w:r w:rsidR="008C1E11">
        <w:t xml:space="preserve"> revenue originated by the large PV excess </w:t>
      </w:r>
      <w:r w:rsidR="005016B4">
        <w:t>injected in</w:t>
      </w:r>
      <w:r w:rsidR="00E71006">
        <w:t>to</w:t>
      </w:r>
      <w:r w:rsidR="005016B4">
        <w:t xml:space="preserve"> the grid. Yet, this comes at the cost of covering a surface with PV panels </w:t>
      </w:r>
      <w:r w:rsidR="00F628ED">
        <w:t xml:space="preserve">which is about 3 </w:t>
      </w:r>
      <w:r w:rsidR="00FB7767">
        <w:t>times</w:t>
      </w:r>
      <w:r w:rsidR="00F628ED">
        <w:t xml:space="preserve"> that </w:t>
      </w:r>
      <w:r w:rsidR="00407B56">
        <w:t xml:space="preserve">needed by </w:t>
      </w:r>
      <w:r w:rsidR="00F628ED">
        <w:t>an equivalent solution based</w:t>
      </w:r>
      <w:r w:rsidR="00FB7767">
        <w:t xml:space="preserve"> on</w:t>
      </w:r>
      <w:r w:rsidR="00F628ED">
        <w:t xml:space="preserve"> </w:t>
      </w:r>
      <w:r w:rsidR="00407B56">
        <w:t xml:space="preserve">solar thermal </w:t>
      </w:r>
      <w:r w:rsidR="004C2792">
        <w:t>collectors</w:t>
      </w:r>
      <w:r w:rsidR="00407B56">
        <w:t xml:space="preserve"> (</w:t>
      </w:r>
      <w:r w:rsidR="00FB7767">
        <w:t>s</w:t>
      </w:r>
      <w:r w:rsidR="00407B56">
        <w:t xml:space="preserve">ee </w:t>
      </w:r>
      <w:r w:rsidR="00FB7767">
        <w:fldChar w:fldCharType="begin"/>
      </w:r>
      <w:r w:rsidR="00FB7767">
        <w:instrText xml:space="preserve"> REF _Ref238563964 \h </w:instrText>
      </w:r>
      <w:r w:rsidR="00FB7767">
        <w:fldChar w:fldCharType="separate"/>
      </w:r>
      <w:r w:rsidR="00FB7767">
        <w:t xml:space="preserve">Figure </w:t>
      </w:r>
      <w:r w:rsidR="00FB7767">
        <w:rPr>
          <w:noProof/>
        </w:rPr>
        <w:t>12</w:t>
      </w:r>
      <w:r w:rsidR="00FB7767">
        <w:fldChar w:fldCharType="end"/>
      </w:r>
      <w:r w:rsidR="00407B56">
        <w:t>).</w:t>
      </w:r>
    </w:p>
    <w:p w14:paraId="7E4C1117" w14:textId="77777777" w:rsidR="007F08E6" w:rsidRDefault="007F08E6" w:rsidP="007F08E6">
      <w:pPr>
        <w:pStyle w:val="SWCHeading1"/>
      </w:pPr>
      <w:r>
        <w:t>Conclusions</w:t>
      </w:r>
    </w:p>
    <w:p w14:paraId="29A81A7A" w14:textId="6B684F74" w:rsidR="00C43395" w:rsidRDefault="00390B39" w:rsidP="00C74C71">
      <w:pPr>
        <w:pStyle w:val="SWCText"/>
      </w:pPr>
      <w:r>
        <w:t>Hybrid</w:t>
      </w:r>
      <w:r w:rsidR="00356596">
        <w:t xml:space="preserve"> biomass-solar plants </w:t>
      </w:r>
      <w:r w:rsidR="00843334">
        <w:t>are a promising solution to reduce the wood consumption</w:t>
      </w:r>
      <w:r w:rsidR="005B5BD2">
        <w:t xml:space="preserve"> of DHN in view of their future development and expansion.</w:t>
      </w:r>
      <w:r w:rsidR="00743987">
        <w:t xml:space="preserve"> </w:t>
      </w:r>
      <w:r w:rsidR="00AD464A">
        <w:t>The f</w:t>
      </w:r>
      <w:r w:rsidR="00A540D8">
        <w:t xml:space="preserve">indings from the </w:t>
      </w:r>
      <w:proofErr w:type="spellStart"/>
      <w:r w:rsidR="00A540D8">
        <w:t>OptiCADSol</w:t>
      </w:r>
      <w:proofErr w:type="spellEnd"/>
      <w:r w:rsidR="00A540D8">
        <w:t xml:space="preserve"> project suggest that widespread adoption of these hybrid systems could preserve critical biomass resources by restricting their use to peak winter demand or industrial processes. Based on Swiss Confederation data—in which DHNs </w:t>
      </w:r>
      <w:r w:rsidR="004B5CFA">
        <w:t xml:space="preserve">is projected to </w:t>
      </w:r>
      <w:r w:rsidR="00A540D8">
        <w:t xml:space="preserve">grow to cover 50% of </w:t>
      </w:r>
      <w:r w:rsidR="004B5CFA">
        <w:t>the total</w:t>
      </w:r>
      <w:r w:rsidR="00A540D8">
        <w:t xml:space="preserve"> Swiss residential heating demand—the maximum potential reduction in biomass consumption could reach approximately 1 </w:t>
      </w:r>
      <w:proofErr w:type="spellStart"/>
      <w:r w:rsidR="00A540D8">
        <w:t>TWh</w:t>
      </w:r>
      <w:proofErr w:type="spellEnd"/>
      <w:r w:rsidR="00A540D8">
        <w:t xml:space="preserve"> by 2050.</w:t>
      </w:r>
    </w:p>
    <w:p w14:paraId="25CB0B11" w14:textId="1633EE12" w:rsidR="006E27EE" w:rsidRDefault="00A96C33" w:rsidP="00C74C71">
      <w:pPr>
        <w:pStyle w:val="SWCText"/>
      </w:pPr>
      <w:r>
        <w:t>But even if biomass-solar h</w:t>
      </w:r>
      <w:r w:rsidR="00A33281">
        <w:t xml:space="preserve">ybrid plants </w:t>
      </w:r>
      <w:r w:rsidR="002B0000">
        <w:t xml:space="preserve">can decrease </w:t>
      </w:r>
      <w:r w:rsidR="00A33281">
        <w:t>biomass consumption</w:t>
      </w:r>
      <w:r w:rsidR="002B0000">
        <w:t xml:space="preserve">, </w:t>
      </w:r>
      <w:r w:rsidR="00156CA6">
        <w:t xml:space="preserve">the </w:t>
      </w:r>
      <w:r w:rsidR="00301A6D">
        <w:t>economics</w:t>
      </w:r>
      <w:r w:rsidR="00156CA6">
        <w:t xml:space="preserve"> of hybridiz</w:t>
      </w:r>
      <w:r w:rsidR="00301A6D">
        <w:t>ation</w:t>
      </w:r>
      <w:r w:rsidR="00156CA6">
        <w:t xml:space="preserve"> </w:t>
      </w:r>
      <w:r w:rsidR="00301A6D">
        <w:t>is complicated by</w:t>
      </w:r>
      <w:r w:rsidR="00103FEA">
        <w:t xml:space="preserve"> </w:t>
      </w:r>
      <w:r w:rsidR="00862AE7">
        <w:t>the amortization</w:t>
      </w:r>
      <w:r w:rsidR="00103FEA">
        <w:t xml:space="preserve"> of several generators over a limited number of hours.</w:t>
      </w:r>
      <w:r w:rsidR="00862AE7">
        <w:t xml:space="preserve"> Hence, </w:t>
      </w:r>
      <w:r w:rsidR="00E87B2A">
        <w:t>the solutions based on HP don’t seem to be well adapted to the hybridization</w:t>
      </w:r>
      <w:r w:rsidR="005D39E0">
        <w:t xml:space="preserve"> with biomass</w:t>
      </w:r>
      <w:r w:rsidR="00C85A6D">
        <w:t>, while</w:t>
      </w:r>
      <w:r w:rsidR="00556CE2">
        <w:t>,</w:t>
      </w:r>
      <w:r w:rsidR="00C85A6D">
        <w:t xml:space="preserve"> when used as the sole heat supplier</w:t>
      </w:r>
      <w:r w:rsidR="00556CE2">
        <w:t xml:space="preserve">, they require </w:t>
      </w:r>
      <w:r w:rsidR="00731D7D">
        <w:t>large</w:t>
      </w:r>
      <w:r w:rsidR="00556CE2">
        <w:t xml:space="preserve"> area</w:t>
      </w:r>
      <w:r w:rsidR="002754F2">
        <w:t>s</w:t>
      </w:r>
      <w:r w:rsidR="00556CE2">
        <w:t xml:space="preserve"> to install PV</w:t>
      </w:r>
      <w:r w:rsidR="0090193A">
        <w:t xml:space="preserve"> modules</w:t>
      </w:r>
      <w:r w:rsidR="00556CE2">
        <w:t xml:space="preserve"> to </w:t>
      </w:r>
      <w:r w:rsidR="0090193A">
        <w:t>surpass</w:t>
      </w:r>
      <w:r w:rsidR="00556CE2">
        <w:t xml:space="preserve"> the </w:t>
      </w:r>
      <w:r w:rsidR="006E27EE">
        <w:t xml:space="preserve">solar fraction </w:t>
      </w:r>
      <w:r w:rsidR="000E75BF">
        <w:t>achievable</w:t>
      </w:r>
      <w:r w:rsidR="006E27EE">
        <w:t xml:space="preserve"> with thermal collectors.</w:t>
      </w:r>
    </w:p>
    <w:p w14:paraId="5F38B0D7" w14:textId="45823A5C" w:rsidR="00A467B8" w:rsidRDefault="00A974CF" w:rsidP="00A974CF">
      <w:pPr>
        <w:pStyle w:val="SWCHeading1"/>
      </w:pPr>
      <w:r>
        <w:t>Acknowledgements</w:t>
      </w:r>
    </w:p>
    <w:p w14:paraId="116FC032" w14:textId="2017667A" w:rsidR="00A27C48" w:rsidRDefault="001F118B" w:rsidP="001F118B">
      <w:pPr>
        <w:pStyle w:val="SWCText"/>
        <w:rPr>
          <w:lang w:val="en-GB"/>
        </w:rPr>
      </w:pPr>
      <w:r w:rsidRPr="000E4F02">
        <w:rPr>
          <w:lang w:val="en-GB"/>
        </w:rPr>
        <w:t xml:space="preserve">The authors gratefully acknowledge the financial support provided by the Swiss Federal Office of Energy (SFOE) for the </w:t>
      </w:r>
      <w:proofErr w:type="spellStart"/>
      <w:r w:rsidRPr="000E4F02">
        <w:rPr>
          <w:lang w:val="en-GB"/>
        </w:rPr>
        <w:t>OptiCADSol</w:t>
      </w:r>
      <w:proofErr w:type="spellEnd"/>
      <w:r w:rsidRPr="000E4F02">
        <w:rPr>
          <w:lang w:val="en-GB"/>
        </w:rPr>
        <w:t xml:space="preserve"> project</w:t>
      </w:r>
      <w:r w:rsidR="00A27C48">
        <w:rPr>
          <w:lang w:val="en-GB"/>
        </w:rPr>
        <w:t xml:space="preserve"> (</w:t>
      </w:r>
      <w:r w:rsidRPr="000E4F02">
        <w:rPr>
          <w:lang w:val="en-GB"/>
        </w:rPr>
        <w:t>contract No. SI/502569-01</w:t>
      </w:r>
      <w:r w:rsidR="006B36D7">
        <w:rPr>
          <w:lang w:val="en-GB"/>
        </w:rPr>
        <w:t xml:space="preserve">: </w:t>
      </w:r>
      <w:r w:rsidR="006B36D7" w:rsidRPr="002C47A6">
        <w:rPr>
          <w:lang w:val="en-GB"/>
        </w:rPr>
        <w:t>www.aramis.admin.ch/Grunddaten/?ProjectID=51653</w:t>
      </w:r>
      <w:r w:rsidR="006B36D7">
        <w:rPr>
          <w:lang w:val="en-GB"/>
        </w:rPr>
        <w:t>)</w:t>
      </w:r>
    </w:p>
    <w:p w14:paraId="451C85D4" w14:textId="343D5127" w:rsidR="00A974CF" w:rsidRPr="00A467B8" w:rsidRDefault="00FD223A" w:rsidP="00A974CF">
      <w:pPr>
        <w:pStyle w:val="SWCHeading1"/>
      </w:pPr>
      <w:r>
        <w:t>References</w:t>
      </w:r>
    </w:p>
    <w:p w14:paraId="41B634E8" w14:textId="34FF240A" w:rsidR="0079647E" w:rsidRPr="00D032B7" w:rsidRDefault="0079647E" w:rsidP="00CF19E5">
      <w:pPr>
        <w:pStyle w:val="SWCBibliography"/>
        <w:ind w:left="425" w:hanging="357"/>
      </w:pPr>
      <w:r w:rsidRPr="00D032B7">
        <w:t xml:space="preserve">Office </w:t>
      </w:r>
      <w:proofErr w:type="spellStart"/>
      <w:r w:rsidRPr="00D032B7">
        <w:t>fédéral</w:t>
      </w:r>
      <w:proofErr w:type="spellEnd"/>
      <w:r w:rsidRPr="00D032B7">
        <w:t xml:space="preserve"> de </w:t>
      </w:r>
      <w:proofErr w:type="spellStart"/>
      <w:r w:rsidRPr="00D032B7">
        <w:t>l'énergie</w:t>
      </w:r>
      <w:proofErr w:type="spellEnd"/>
      <w:r w:rsidRPr="00D032B7">
        <w:t xml:space="preserve"> (OFEN). (2020) Perspectives </w:t>
      </w:r>
      <w:proofErr w:type="spellStart"/>
      <w:r w:rsidRPr="00D032B7">
        <w:t>énergétiques</w:t>
      </w:r>
      <w:proofErr w:type="spellEnd"/>
      <w:r w:rsidRPr="00D032B7">
        <w:t xml:space="preserve"> 2050+. Résumé des </w:t>
      </w:r>
      <w:proofErr w:type="spellStart"/>
      <w:r w:rsidRPr="00D032B7">
        <w:t>principaux</w:t>
      </w:r>
      <w:proofErr w:type="spellEnd"/>
      <w:r w:rsidRPr="00D032B7">
        <w:t xml:space="preserve"> </w:t>
      </w:r>
      <w:proofErr w:type="spellStart"/>
      <w:r w:rsidRPr="00D032B7">
        <w:t>résultats</w:t>
      </w:r>
      <w:proofErr w:type="spellEnd"/>
      <w:r w:rsidRPr="00D032B7">
        <w:t xml:space="preserve">. Bern, </w:t>
      </w:r>
    </w:p>
    <w:p w14:paraId="0618869F" w14:textId="77777777" w:rsidR="0079647E" w:rsidRPr="00D032B7" w:rsidRDefault="0079647E" w:rsidP="00CF19E5">
      <w:pPr>
        <w:pStyle w:val="SWCBibliography"/>
        <w:ind w:left="425" w:hanging="357"/>
      </w:pPr>
      <w:bookmarkStart w:id="13" w:name="_Ref222142988"/>
      <w:r w:rsidRPr="00D032B7">
        <w:t xml:space="preserve">Nussbaumer T, (2018) Guide de planification - </w:t>
      </w:r>
      <w:proofErr w:type="spellStart"/>
      <w:r w:rsidRPr="00D032B7">
        <w:t>Chauffage</w:t>
      </w:r>
      <w:proofErr w:type="spellEnd"/>
      <w:r w:rsidRPr="00D032B7">
        <w:t xml:space="preserve"> à distance. Bern.</w:t>
      </w:r>
      <w:bookmarkEnd w:id="13"/>
    </w:p>
    <w:p w14:paraId="75F1292C" w14:textId="77777777" w:rsidR="0079647E" w:rsidRPr="00D032B7" w:rsidRDefault="0079647E" w:rsidP="00CF19E5">
      <w:pPr>
        <w:pStyle w:val="SWCBibliography"/>
        <w:ind w:left="425" w:hanging="357"/>
      </w:pPr>
      <w:r w:rsidRPr="00D032B7">
        <w:t xml:space="preserve">CSD </w:t>
      </w:r>
      <w:proofErr w:type="spellStart"/>
      <w:r w:rsidRPr="00D032B7">
        <w:t>ingénieurs</w:t>
      </w:r>
      <w:proofErr w:type="spellEnd"/>
      <w:r w:rsidRPr="00D032B7">
        <w:t xml:space="preserve"> SA, (2021) Perspectives </w:t>
      </w:r>
      <w:proofErr w:type="spellStart"/>
      <w:r w:rsidRPr="00D032B7">
        <w:t>chaleur</w:t>
      </w:r>
      <w:proofErr w:type="spellEnd"/>
      <w:r w:rsidRPr="00D032B7">
        <w:t xml:space="preserve"> - Perspectives de </w:t>
      </w:r>
      <w:proofErr w:type="spellStart"/>
      <w:r w:rsidRPr="00D032B7">
        <w:t>valorisation</w:t>
      </w:r>
      <w:proofErr w:type="spellEnd"/>
      <w:r w:rsidRPr="00D032B7">
        <w:t xml:space="preserve"> du </w:t>
      </w:r>
      <w:proofErr w:type="spellStart"/>
      <w:r w:rsidRPr="00D032B7">
        <w:t>potentiel</w:t>
      </w:r>
      <w:proofErr w:type="spellEnd"/>
      <w:r w:rsidRPr="00D032B7">
        <w:t xml:space="preserve"> de </w:t>
      </w:r>
      <w:proofErr w:type="spellStart"/>
      <w:r w:rsidRPr="00D032B7">
        <w:t>chaleur</w:t>
      </w:r>
      <w:proofErr w:type="spellEnd"/>
      <w:r w:rsidRPr="00D032B7">
        <w:t xml:space="preserve"> </w:t>
      </w:r>
      <w:proofErr w:type="spellStart"/>
      <w:r w:rsidRPr="00D032B7">
        <w:t>renouvelable</w:t>
      </w:r>
      <w:proofErr w:type="spellEnd"/>
      <w:r w:rsidRPr="00D032B7">
        <w:t xml:space="preserve"> du canton de Vaud. Lausanne</w:t>
      </w:r>
    </w:p>
    <w:p w14:paraId="3FC56BA7" w14:textId="47541704" w:rsidR="0079647E" w:rsidRPr="00D032B7" w:rsidRDefault="0079647E" w:rsidP="00CF19E5">
      <w:pPr>
        <w:pStyle w:val="SWCBibliography"/>
        <w:ind w:left="425" w:hanging="357"/>
      </w:pPr>
      <w:r w:rsidRPr="00D032B7">
        <w:t xml:space="preserve">Von Gunten D et al., (2022) </w:t>
      </w:r>
      <w:proofErr w:type="spellStart"/>
      <w:r w:rsidRPr="00D032B7">
        <w:t>SolCAD</w:t>
      </w:r>
      <w:proofErr w:type="spellEnd"/>
      <w:r w:rsidRPr="00D032B7">
        <w:t xml:space="preserve"> – </w:t>
      </w:r>
      <w:proofErr w:type="spellStart"/>
      <w:r w:rsidRPr="00D032B7">
        <w:t>Potentiel</w:t>
      </w:r>
      <w:proofErr w:type="spellEnd"/>
      <w:r w:rsidRPr="00D032B7">
        <w:t xml:space="preserve"> du </w:t>
      </w:r>
      <w:proofErr w:type="spellStart"/>
      <w:r w:rsidRPr="00D032B7">
        <w:t>solaire</w:t>
      </w:r>
      <w:proofErr w:type="spellEnd"/>
      <w:r w:rsidRPr="00D032B7">
        <w:t xml:space="preserve"> </w:t>
      </w:r>
      <w:proofErr w:type="spellStart"/>
      <w:r w:rsidRPr="00D032B7">
        <w:t>thermique</w:t>
      </w:r>
      <w:proofErr w:type="spellEnd"/>
      <w:r w:rsidRPr="00D032B7">
        <w:t xml:space="preserve"> </w:t>
      </w:r>
      <w:r w:rsidR="00435B57">
        <w:t xml:space="preserve">dans les </w:t>
      </w:r>
      <w:proofErr w:type="spellStart"/>
      <w:r w:rsidRPr="00D032B7">
        <w:t>chauffages</w:t>
      </w:r>
      <w:proofErr w:type="spellEnd"/>
      <w:r w:rsidRPr="00D032B7">
        <w:t xml:space="preserve"> à distance </w:t>
      </w:r>
      <w:proofErr w:type="spellStart"/>
      <w:r w:rsidRPr="00D032B7">
        <w:t>en</w:t>
      </w:r>
      <w:proofErr w:type="spellEnd"/>
      <w:r w:rsidRPr="00D032B7">
        <w:t xml:space="preserve"> Suisse. Bern.</w:t>
      </w:r>
    </w:p>
    <w:p w14:paraId="13BFCA73" w14:textId="47F335CA" w:rsidR="0079647E" w:rsidRPr="00D032B7" w:rsidRDefault="0079647E" w:rsidP="00CF19E5">
      <w:pPr>
        <w:pStyle w:val="SWCBibliography"/>
        <w:ind w:left="425" w:hanging="357"/>
      </w:pPr>
      <w:proofErr w:type="spellStart"/>
      <w:r w:rsidRPr="00D032B7">
        <w:t>Faninger</w:t>
      </w:r>
      <w:proofErr w:type="spellEnd"/>
      <w:r w:rsidRPr="00D032B7">
        <w:t xml:space="preserve">, G. (2000). Combined solar-biomass district heating in Austria. Solar Energy, 69(6). </w:t>
      </w:r>
    </w:p>
    <w:p w14:paraId="3FC65D04" w14:textId="1B228607" w:rsidR="0079647E" w:rsidRPr="00D032B7" w:rsidRDefault="0079647E" w:rsidP="00CF19E5">
      <w:pPr>
        <w:pStyle w:val="SWCBibliography"/>
        <w:ind w:left="425" w:hanging="357"/>
      </w:pPr>
      <w:proofErr w:type="spellStart"/>
      <w:r w:rsidRPr="00D032B7">
        <w:t>Mohaghegh</w:t>
      </w:r>
      <w:proofErr w:type="spellEnd"/>
      <w:r w:rsidRPr="00D032B7">
        <w:t xml:space="preserve">, M. R., Heidari, M., Tasnim, S., Dutta, A., &amp; Mahmud, S. (2025). Latest advances on hybrid solar–biomass power plants. In Energy Sources, Part A (Vol. 47, Issue 1). </w:t>
      </w:r>
    </w:p>
    <w:p w14:paraId="37EB47FB" w14:textId="77777777" w:rsidR="0079647E" w:rsidRPr="00D032B7" w:rsidRDefault="0079647E" w:rsidP="00CF19E5">
      <w:pPr>
        <w:pStyle w:val="SWCBibliography"/>
        <w:ind w:left="425" w:hanging="357"/>
      </w:pPr>
      <w:r w:rsidRPr="00D032B7">
        <w:t xml:space="preserve">Ilie, A., &amp; </w:t>
      </w:r>
      <w:proofErr w:type="spellStart"/>
      <w:r w:rsidRPr="00D032B7">
        <w:t>Vişa</w:t>
      </w:r>
      <w:proofErr w:type="spellEnd"/>
      <w:r w:rsidRPr="00D032B7">
        <w:t>, I. (2019). Hybrid solar-biomass system for district heating. E3S Web of Conferences, 85. https://doi.org/10.1051/e3sconf/20198504006</w:t>
      </w:r>
    </w:p>
    <w:p w14:paraId="583546BE" w14:textId="167C7836" w:rsidR="0079647E" w:rsidRPr="00D032B7" w:rsidRDefault="0079647E" w:rsidP="00CF19E5">
      <w:pPr>
        <w:pStyle w:val="SWCBibliography"/>
        <w:ind w:left="425" w:hanging="357"/>
      </w:pPr>
      <w:r w:rsidRPr="00D032B7">
        <w:t xml:space="preserve">Haller, M., Bales, C., &amp; Streicher, W. (2016). Combined Solar and Pellet Heating Systems for Houses: Improvement of Energy Efficiency and Reduction of Boiler On/Off Cycling. </w:t>
      </w:r>
    </w:p>
    <w:p w14:paraId="0EE7C9B5" w14:textId="71EEA5C5" w:rsidR="0079647E" w:rsidRPr="00D032B7" w:rsidRDefault="0079647E" w:rsidP="00CF19E5">
      <w:pPr>
        <w:pStyle w:val="SWCBibliography"/>
        <w:ind w:left="425" w:hanging="357"/>
      </w:pPr>
      <w:r w:rsidRPr="00D032B7">
        <w:t xml:space="preserve">Lundgren, J., &amp; Hermansson, R. (2005). Solar Assisted Small-Scale Biomass District Heating System in the Northern Part of Sweden. International Journal of Green Energy, 1(4). </w:t>
      </w:r>
    </w:p>
    <w:p w14:paraId="6D31E0B2" w14:textId="6B5A72B8" w:rsidR="0079647E" w:rsidRPr="00D032B7" w:rsidRDefault="0079647E" w:rsidP="00CF19E5">
      <w:pPr>
        <w:pStyle w:val="SWCBibliography"/>
        <w:ind w:left="425" w:hanging="357"/>
      </w:pPr>
      <w:r w:rsidRPr="00D032B7">
        <w:t xml:space="preserve">Fiedler, F., Persson, T., &amp; Bales, C. (2008). Reduction of co-emissions by combining pellet and solar heating systems. </w:t>
      </w:r>
      <w:proofErr w:type="spellStart"/>
      <w:r w:rsidRPr="00D032B7">
        <w:t>Eurosun</w:t>
      </w:r>
      <w:proofErr w:type="spellEnd"/>
      <w:r w:rsidRPr="00D032B7">
        <w:t xml:space="preserve"> 2008, 1–7. </w:t>
      </w:r>
    </w:p>
    <w:p w14:paraId="2D85F27E" w14:textId="19E8BC98" w:rsidR="0079647E" w:rsidRPr="00D032B7" w:rsidRDefault="0079647E" w:rsidP="00CF19E5">
      <w:pPr>
        <w:pStyle w:val="SWCBibliography"/>
        <w:ind w:left="425" w:hanging="357"/>
      </w:pPr>
      <w:r w:rsidRPr="00D032B7">
        <w:t xml:space="preserve">Fiedler, F., Bales, C., &amp; Persson, T. (2007). </w:t>
      </w:r>
      <w:proofErr w:type="spellStart"/>
      <w:r w:rsidRPr="00D032B7">
        <w:t>Optimisation</w:t>
      </w:r>
      <w:proofErr w:type="spellEnd"/>
      <w:r w:rsidRPr="00D032B7">
        <w:t xml:space="preserve"> method for solar heating systems in combination with pellet boilers/stove. </w:t>
      </w:r>
      <w:r w:rsidRPr="00D032B7">
        <w:rPr>
          <w:i/>
          <w:iCs/>
        </w:rPr>
        <w:t>International Journal of Green Energy</w:t>
      </w:r>
      <w:r w:rsidRPr="00D032B7">
        <w:t xml:space="preserve">, </w:t>
      </w:r>
      <w:r w:rsidRPr="00D032B7">
        <w:rPr>
          <w:i/>
          <w:iCs/>
        </w:rPr>
        <w:t>4</w:t>
      </w:r>
      <w:r w:rsidRPr="00D032B7">
        <w:t xml:space="preserve">(3), 325–337. </w:t>
      </w:r>
    </w:p>
    <w:p w14:paraId="06B49FEC" w14:textId="363E51EE" w:rsidR="0079647E" w:rsidRDefault="0079647E" w:rsidP="00CF19E5">
      <w:pPr>
        <w:pStyle w:val="SWCBibliography"/>
        <w:ind w:left="425" w:hanging="357"/>
      </w:pPr>
      <w:bookmarkStart w:id="14" w:name="_Ref222143053"/>
      <w:r>
        <w:t xml:space="preserve">Schneider S et al., (2020). Retour </w:t>
      </w:r>
      <w:proofErr w:type="spellStart"/>
      <w:r>
        <w:t>d’expérience</w:t>
      </w:r>
      <w:proofErr w:type="spellEnd"/>
      <w:r>
        <w:t xml:space="preserve"> </w:t>
      </w:r>
      <w:proofErr w:type="spellStart"/>
      <w:r>
        <w:t>énergétique</w:t>
      </w:r>
      <w:proofErr w:type="spellEnd"/>
      <w:r>
        <w:t xml:space="preserve"> sur le quartier des Vergers à </w:t>
      </w:r>
      <w:proofErr w:type="spellStart"/>
      <w:r>
        <w:t>Meyrin</w:t>
      </w:r>
      <w:proofErr w:type="spellEnd"/>
      <w:r>
        <w:t xml:space="preserve"> - Rapport </w:t>
      </w:r>
      <w:proofErr w:type="spellStart"/>
      <w:r>
        <w:lastRenderedPageBreak/>
        <w:t>intermédiaire</w:t>
      </w:r>
      <w:bookmarkStart w:id="15" w:name="_Ref223965464"/>
      <w:bookmarkEnd w:id="14"/>
      <w:proofErr w:type="spellEnd"/>
      <w:r>
        <w:t>.</w:t>
      </w:r>
      <w:r w:rsidR="00F01BCD">
        <w:t xml:space="preserve"> UNIGE.</w:t>
      </w:r>
    </w:p>
    <w:bookmarkEnd w:id="15"/>
    <w:p w14:paraId="5A67D389" w14:textId="540610F8" w:rsidR="0079647E" w:rsidRDefault="0079647E" w:rsidP="00CF19E5">
      <w:pPr>
        <w:pStyle w:val="SWCBibliography"/>
        <w:ind w:left="425" w:hanging="357"/>
      </w:pPr>
      <w:r w:rsidRPr="00380FB7">
        <w:t xml:space="preserve">Good J et al., (2022) </w:t>
      </w:r>
      <w:proofErr w:type="spellStart"/>
      <w:r w:rsidRPr="00380FB7">
        <w:t>Planungshandbuch</w:t>
      </w:r>
      <w:proofErr w:type="spellEnd"/>
      <w:r w:rsidRPr="00380FB7">
        <w:t xml:space="preserve">, </w:t>
      </w:r>
      <w:proofErr w:type="spellStart"/>
      <w:r w:rsidRPr="00380FB7">
        <w:t>Schriftenreihe</w:t>
      </w:r>
      <w:proofErr w:type="spellEnd"/>
      <w:r w:rsidRPr="00380FB7">
        <w:t xml:space="preserve"> QM </w:t>
      </w:r>
      <w:proofErr w:type="spellStart"/>
      <w:r w:rsidRPr="00380FB7">
        <w:t>Holzheizwerke</w:t>
      </w:r>
      <w:proofErr w:type="spellEnd"/>
      <w:r w:rsidRPr="00380FB7">
        <w:t xml:space="preserve"> Band 4. 3</w:t>
      </w:r>
      <w:r w:rsidR="00C54C09">
        <w:t>,</w:t>
      </w:r>
      <w:r w:rsidRPr="00380FB7">
        <w:t xml:space="preserve"> C.A.R.M.E.N. </w:t>
      </w:r>
      <w:proofErr w:type="spellStart"/>
      <w:r w:rsidRPr="00380FB7">
        <w:t>e.V</w:t>
      </w:r>
      <w:proofErr w:type="spellEnd"/>
      <w:r w:rsidRPr="00380FB7">
        <w:t>..</w:t>
      </w:r>
    </w:p>
    <w:p w14:paraId="5C2B0E74" w14:textId="77777777" w:rsidR="0079647E" w:rsidRDefault="0079647E" w:rsidP="00CF19E5">
      <w:pPr>
        <w:pStyle w:val="SWCBibliography"/>
        <w:ind w:left="425" w:hanging="357"/>
      </w:pPr>
      <w:proofErr w:type="spellStart"/>
      <w:r w:rsidRPr="005F41E7">
        <w:t>Jodeiri</w:t>
      </w:r>
      <w:proofErr w:type="spellEnd"/>
      <w:r w:rsidRPr="005F41E7">
        <w:t xml:space="preserve">, A. M., Goldsworthy, M. J., Buffa, S., &amp; </w:t>
      </w:r>
      <w:proofErr w:type="spellStart"/>
      <w:r w:rsidRPr="005F41E7">
        <w:t>Cozzini</w:t>
      </w:r>
      <w:proofErr w:type="spellEnd"/>
      <w:r w:rsidRPr="005F41E7">
        <w:t xml:space="preserve">, M. (2022). Role of sustainable heat sources in transition towards fourth generation district heating – A review. In </w:t>
      </w:r>
      <w:r w:rsidRPr="005F41E7">
        <w:rPr>
          <w:i/>
          <w:iCs/>
        </w:rPr>
        <w:t>Renewable and Sustainable Energy Reviews</w:t>
      </w:r>
      <w:r w:rsidRPr="005F41E7">
        <w:t xml:space="preserve"> (Vol. 158). </w:t>
      </w:r>
      <w:hyperlink r:id="rId53" w:history="1">
        <w:r w:rsidRPr="00337E5D">
          <w:t>https://doi.org/10.1016/j.rser.2022.112156</w:t>
        </w:r>
      </w:hyperlink>
    </w:p>
    <w:p w14:paraId="7AD65041" w14:textId="74090A9A" w:rsidR="0079647E" w:rsidRPr="00202EDB" w:rsidRDefault="0079647E" w:rsidP="00CF19E5">
      <w:pPr>
        <w:pStyle w:val="SWCBibliography"/>
        <w:ind w:left="425" w:hanging="357"/>
      </w:pPr>
      <w:r>
        <w:t xml:space="preserve">Tamm, S., et al. </w:t>
      </w:r>
      <w:r>
        <w:rPr>
          <w:i/>
          <w:iCs/>
        </w:rPr>
        <w:t>Solar Collector Technologies for District Heating</w:t>
      </w:r>
      <w:r>
        <w:t xml:space="preserve">. IEA SHC Task 68 Report RA1. International Energy Agency Solar Heating and Cooling </w:t>
      </w:r>
      <w:proofErr w:type="spellStart"/>
      <w:r>
        <w:t>Programme</w:t>
      </w:r>
      <w:proofErr w:type="spellEnd"/>
      <w:r>
        <w:t>, 2024</w:t>
      </w:r>
    </w:p>
    <w:p w14:paraId="0AD1BED5" w14:textId="77777777" w:rsidR="0079647E" w:rsidRDefault="0079647E" w:rsidP="00CF19E5">
      <w:pPr>
        <w:pStyle w:val="SWCBibliography"/>
        <w:ind w:left="425" w:hanging="357"/>
      </w:pPr>
      <w:r w:rsidRPr="005F41E7">
        <w:t>Duret, A et al. (2024). Performance Monitoring of an 800m2 Solar Thermal Plant with Evacuated Flat Plate Collectors coupled to a DHN.EuroSUN2022,https://doi.org/10.18086/eurosun.2022.04.02</w:t>
      </w:r>
    </w:p>
    <w:p w14:paraId="2B92B68A" w14:textId="1616CEC3" w:rsidR="0079647E" w:rsidRDefault="0079647E" w:rsidP="00CF19E5">
      <w:pPr>
        <w:pStyle w:val="SWCBibliography"/>
        <w:ind w:left="425" w:hanging="357"/>
      </w:pPr>
      <w:r w:rsidRPr="00473F6B">
        <w:t xml:space="preserve">Pauletta, S., Duret, A., Dupont, G., &amp; Jobard, X. (2023). Performance measurements on WISC collectors under artificial environmental conditions. </w:t>
      </w:r>
      <w:r w:rsidRPr="00473F6B">
        <w:rPr>
          <w:i/>
          <w:iCs/>
        </w:rPr>
        <w:t>Journal of Physics: Conference Series</w:t>
      </w:r>
      <w:r w:rsidRPr="00473F6B">
        <w:t xml:space="preserve">, </w:t>
      </w:r>
      <w:r w:rsidRPr="00473F6B">
        <w:rPr>
          <w:i/>
          <w:iCs/>
        </w:rPr>
        <w:t>2600</w:t>
      </w:r>
      <w:r w:rsidRPr="00473F6B">
        <w:t xml:space="preserve">(4). </w:t>
      </w:r>
    </w:p>
    <w:p w14:paraId="367198B6" w14:textId="77777777" w:rsidR="0079647E" w:rsidRPr="00F143B8" w:rsidRDefault="0079647E" w:rsidP="00CF19E5">
      <w:pPr>
        <w:pStyle w:val="SWCBibliography"/>
        <w:ind w:left="425" w:hanging="357"/>
      </w:pPr>
      <w:r w:rsidRPr="00F143B8">
        <w:t xml:space="preserve">Louvet, Y., Fischer, S., Furbo, S., Giovanetti, F., Mauthner, F., Mugnier, D., &amp; </w:t>
      </w:r>
      <w:proofErr w:type="spellStart"/>
      <w:r w:rsidRPr="00F143B8">
        <w:t>Philippen</w:t>
      </w:r>
      <w:proofErr w:type="spellEnd"/>
      <w:r w:rsidRPr="00F143B8">
        <w:t>, D. (2017). Guideline for levelized cost of heat (</w:t>
      </w:r>
      <w:proofErr w:type="spellStart"/>
      <w:r w:rsidRPr="00F143B8">
        <w:t>LCoH</w:t>
      </w:r>
      <w:proofErr w:type="spellEnd"/>
      <w:r w:rsidRPr="00F143B8">
        <w:t xml:space="preserve">) calculations for solar thermal applications. </w:t>
      </w:r>
      <w:r w:rsidRPr="00F143B8">
        <w:rPr>
          <w:i/>
          <w:iCs/>
        </w:rPr>
        <w:t>IEA: Task 54</w:t>
      </w:r>
      <w:r w:rsidRPr="00F143B8">
        <w:t>, (1).</w:t>
      </w:r>
    </w:p>
    <w:p w14:paraId="3EFC4A05" w14:textId="57E91131" w:rsidR="0079647E" w:rsidRPr="00362B9A" w:rsidRDefault="0079647E" w:rsidP="00CF19E5">
      <w:pPr>
        <w:pStyle w:val="SWCBibliography"/>
        <w:ind w:left="425" w:hanging="357"/>
      </w:pPr>
      <w:bookmarkStart w:id="16" w:name="_Ref184898491"/>
      <w:proofErr w:type="spellStart"/>
      <w:r w:rsidRPr="002536C6">
        <w:rPr>
          <w:lang w:val="de-CH"/>
        </w:rPr>
        <w:t>Zotter</w:t>
      </w:r>
      <w:proofErr w:type="spellEnd"/>
      <w:r w:rsidRPr="002536C6">
        <w:rPr>
          <w:lang w:val="de-CH"/>
        </w:rPr>
        <w:t xml:space="preserve">, P., Nussbaumer, T. (2022). </w:t>
      </w:r>
      <w:r w:rsidRPr="002536C6">
        <w:rPr>
          <w:rStyle w:val="Accentuation"/>
          <w:lang w:val="de-CH"/>
        </w:rPr>
        <w:t>Aktualisierung Emissionsmodell Holzfeuerungen 2020 - Schlussbericht</w:t>
      </w:r>
      <w:r w:rsidRPr="002536C6">
        <w:rPr>
          <w:lang w:val="de-CH"/>
        </w:rPr>
        <w:t xml:space="preserve">. </w:t>
      </w:r>
      <w:r>
        <w:t xml:space="preserve"> (OFEV). </w:t>
      </w:r>
      <w:proofErr w:type="spellStart"/>
      <w:r>
        <w:t>Verenum</w:t>
      </w:r>
      <w:proofErr w:type="spellEnd"/>
      <w:r>
        <w:t xml:space="preserve"> AG, Zurich, 21 </w:t>
      </w:r>
      <w:proofErr w:type="spellStart"/>
      <w:r>
        <w:t>novembre</w:t>
      </w:r>
      <w:proofErr w:type="spellEnd"/>
      <w:r>
        <w:t xml:space="preserve"> 2022</w:t>
      </w:r>
      <w:bookmarkEnd w:id="16"/>
    </w:p>
    <w:p w14:paraId="0B2DD1C9" w14:textId="77777777" w:rsidR="00A570B5" w:rsidRDefault="0079647E" w:rsidP="00A570B5">
      <w:pPr>
        <w:pStyle w:val="SWCBibliography"/>
        <w:ind w:left="425" w:hanging="357"/>
      </w:pPr>
      <w:r w:rsidRPr="004201DB">
        <w:t xml:space="preserve">Carlon, E., Verma, V. K., Schwarz, M., Golicza, L., Prada, A., </w:t>
      </w:r>
      <w:proofErr w:type="spellStart"/>
      <w:r w:rsidRPr="004201DB">
        <w:t>Baratieri</w:t>
      </w:r>
      <w:proofErr w:type="spellEnd"/>
      <w:r w:rsidRPr="004201DB">
        <w:t xml:space="preserve">, M., Haslinger, W., &amp; Schmidl, C. (2015). Experimental validation of a thermodynamic boiler model under steady state and dynamic conditions. </w:t>
      </w:r>
      <w:r w:rsidRPr="004201DB">
        <w:rPr>
          <w:i/>
          <w:iCs/>
        </w:rPr>
        <w:t>Applied Energy</w:t>
      </w:r>
      <w:r w:rsidRPr="004201DB">
        <w:t xml:space="preserve">, </w:t>
      </w:r>
      <w:r w:rsidRPr="004201DB">
        <w:rPr>
          <w:i/>
          <w:iCs/>
        </w:rPr>
        <w:t>138</w:t>
      </w:r>
      <w:r w:rsidRPr="004201DB">
        <w:t xml:space="preserve">. </w:t>
      </w:r>
      <w:hyperlink r:id="rId54" w:history="1">
        <w:r w:rsidR="00A570B5" w:rsidRPr="00A03A31">
          <w:rPr>
            <w:rStyle w:val="Lienhypertexte"/>
          </w:rPr>
          <w:t>https://doi.org/10.1016/j.apenergy.2014.10.031</w:t>
        </w:r>
      </w:hyperlink>
    </w:p>
    <w:p w14:paraId="2364C293" w14:textId="77777777" w:rsidR="00521543" w:rsidRDefault="00A570B5" w:rsidP="00BA1AA5">
      <w:pPr>
        <w:pStyle w:val="SWCBibliography"/>
        <w:ind w:left="425" w:hanging="357"/>
        <w:rPr>
          <w:lang w:eastAsia="de-DE"/>
        </w:rPr>
      </w:pPr>
      <w:r w:rsidRPr="00A570B5">
        <w:t xml:space="preserve">Bloch L, Sauter Y et </w:t>
      </w:r>
      <w:proofErr w:type="spellStart"/>
      <w:r w:rsidRPr="00A570B5">
        <w:t>Jacqmin</w:t>
      </w:r>
      <w:proofErr w:type="spellEnd"/>
      <w:r w:rsidRPr="00A570B5">
        <w:t xml:space="preserve"> F. Observation des prix de </w:t>
      </w:r>
      <w:proofErr w:type="spellStart"/>
      <w:r w:rsidRPr="00A570B5">
        <w:t>marché</w:t>
      </w:r>
      <w:proofErr w:type="spellEnd"/>
      <w:r w:rsidRPr="00A570B5">
        <w:t xml:space="preserve"> </w:t>
      </w:r>
      <w:proofErr w:type="spellStart"/>
      <w:r w:rsidRPr="00A570B5">
        <w:t>photovoltaïque</w:t>
      </w:r>
      <w:proofErr w:type="spellEnd"/>
      <w:r w:rsidRPr="00A570B5">
        <w:t xml:space="preserve"> 2024. Rapport final, 10 </w:t>
      </w:r>
      <w:proofErr w:type="spellStart"/>
      <w:r w:rsidRPr="00A570B5">
        <w:t>juillet</w:t>
      </w:r>
      <w:proofErr w:type="spellEnd"/>
      <w:r w:rsidRPr="00A570B5">
        <w:t xml:space="preserve"> 2025. </w:t>
      </w:r>
      <w:proofErr w:type="spellStart"/>
      <w:r w:rsidRPr="00A570B5">
        <w:t>SuisseÉnergie</w:t>
      </w:r>
      <w:proofErr w:type="spellEnd"/>
      <w:r w:rsidRPr="00A570B5">
        <w:t>, 2025</w:t>
      </w:r>
      <w:bookmarkStart w:id="17" w:name="_Ref210808713"/>
    </w:p>
    <w:p w14:paraId="791880CB" w14:textId="6B893879" w:rsidR="00521543" w:rsidRPr="00D032B7" w:rsidRDefault="00521543" w:rsidP="00BA1AA5">
      <w:pPr>
        <w:pStyle w:val="SWCBibliography"/>
        <w:ind w:left="425" w:hanging="357"/>
        <w:rPr>
          <w:lang w:eastAsia="de-DE"/>
        </w:rPr>
      </w:pPr>
      <w:proofErr w:type="spellStart"/>
      <w:r>
        <w:t>SuisseEnergie</w:t>
      </w:r>
      <w:proofErr w:type="spellEnd"/>
      <w:r>
        <w:t xml:space="preserve">, </w:t>
      </w:r>
      <w:proofErr w:type="spellStart"/>
      <w:r>
        <w:rPr>
          <w:rStyle w:val="Accentuation"/>
        </w:rPr>
        <w:t>Coûts</w:t>
      </w:r>
      <w:proofErr w:type="spellEnd"/>
      <w:r>
        <w:rPr>
          <w:rStyle w:val="Accentuation"/>
        </w:rPr>
        <w:t xml:space="preserve"> </w:t>
      </w:r>
      <w:proofErr w:type="spellStart"/>
      <w:r>
        <w:rPr>
          <w:rStyle w:val="Accentuation"/>
        </w:rPr>
        <w:t>d’exploitation</w:t>
      </w:r>
      <w:proofErr w:type="spellEnd"/>
      <w:r>
        <w:rPr>
          <w:rStyle w:val="Accentuation"/>
        </w:rPr>
        <w:t xml:space="preserve"> des installations </w:t>
      </w:r>
      <w:proofErr w:type="spellStart"/>
      <w:r>
        <w:rPr>
          <w:rStyle w:val="Accentuation"/>
        </w:rPr>
        <w:t>photovoltaïques</w:t>
      </w:r>
      <w:proofErr w:type="spellEnd"/>
      <w:r>
        <w:rPr>
          <w:rStyle w:val="Accentuation"/>
        </w:rPr>
        <w:t>.</w:t>
      </w:r>
      <w:r>
        <w:t xml:space="preserve"> </w:t>
      </w:r>
      <w:proofErr w:type="spellStart"/>
      <w:r>
        <w:t>Consulté</w:t>
      </w:r>
      <w:proofErr w:type="spellEnd"/>
      <w:r>
        <w:t xml:space="preserve"> le 7 </w:t>
      </w:r>
      <w:proofErr w:type="spellStart"/>
      <w:r>
        <w:t>octobre</w:t>
      </w:r>
      <w:proofErr w:type="spellEnd"/>
      <w:r>
        <w:t xml:space="preserve"> 2025. </w:t>
      </w:r>
      <w:bookmarkEnd w:id="17"/>
      <w:r>
        <w:rPr>
          <w:color w:val="auto"/>
        </w:rPr>
        <w:fldChar w:fldCharType="begin"/>
      </w:r>
      <w:r>
        <w:instrText xml:space="preserve"> HYPERLINK "https://pubdb.bfe.admin.ch/fr/publication/download/8665" </w:instrText>
      </w:r>
      <w:r>
        <w:rPr>
          <w:color w:val="auto"/>
        </w:rPr>
        <w:fldChar w:fldCharType="separate"/>
      </w:r>
      <w:r w:rsidRPr="004B618B">
        <w:rPr>
          <w:rStyle w:val="Lienhypertexte"/>
        </w:rPr>
        <w:t>https://pubdb.bfe.admin.ch/fr/publication/download/8665</w:t>
      </w:r>
      <w:r>
        <w:rPr>
          <w:rStyle w:val="Lienhypertexte"/>
        </w:rPr>
        <w:fldChar w:fldCharType="end"/>
      </w:r>
    </w:p>
    <w:p w14:paraId="07210FD3" w14:textId="2ACF2903" w:rsidR="004074A8" w:rsidRDefault="00F32094" w:rsidP="0080062F">
      <w:pPr>
        <w:pStyle w:val="SWCHeading1"/>
      </w:pPr>
      <w:r>
        <w:t>Appendix – Cost function</w:t>
      </w:r>
    </w:p>
    <w:p w14:paraId="6E5207C9" w14:textId="2C63F8BC" w:rsidR="001B7299" w:rsidRDefault="00D73D33" w:rsidP="008F1C6A">
      <w:pPr>
        <w:pStyle w:val="SWCText"/>
        <w:numPr>
          <w:ilvl w:val="0"/>
          <w:numId w:val="31"/>
        </w:numPr>
      </w:pPr>
      <w:r w:rsidRPr="00D73D33">
        <w:t xml:space="preserve">The TES system </w:t>
      </w:r>
      <w:r w:rsidR="00C066E9">
        <w:t xml:space="preserve">cost </w:t>
      </w:r>
      <w:r w:rsidRPr="00D73D33">
        <w:t xml:space="preserve">was estimated as a linear extrapolation of the trend derived from several offers obtained on the Swiss market for off-ground water-based TES tank volumes from 25 up to 800 </w:t>
      </w:r>
      <w:r w:rsidR="001B7299">
        <w:t>m</w:t>
      </w:r>
      <w:r w:rsidR="001B7299" w:rsidRPr="001B7299">
        <w:rPr>
          <w:vertAlign w:val="superscript"/>
        </w:rPr>
        <w:t>3</w:t>
      </w:r>
      <w:r w:rsidR="001B7299">
        <w:t xml:space="preserve">. </w:t>
      </w:r>
    </w:p>
    <w:p w14:paraId="50144784" w14:textId="558C4B11" w:rsidR="00722B47" w:rsidRDefault="00433F10" w:rsidP="001B7299">
      <w:pPr>
        <w:pStyle w:val="SWCText"/>
        <w:numPr>
          <w:ilvl w:val="1"/>
          <w:numId w:val="31"/>
        </w:numPr>
      </w:pPr>
      <m:oMath>
        <m:sSub>
          <m:sSubPr>
            <m:ctrlPr>
              <w:rPr>
                <w:rFonts w:ascii="Cambria Math" w:hAnsi="Cambria Math"/>
                <w:i/>
                <w:sz w:val="18"/>
                <w:szCs w:val="20"/>
              </w:rPr>
            </m:ctrlPr>
          </m:sSubPr>
          <m:e>
            <m:r>
              <w:rPr>
                <w:rFonts w:ascii="Cambria Math" w:hAnsi="Cambria Math"/>
                <w:sz w:val="18"/>
                <w:szCs w:val="20"/>
              </w:rPr>
              <m:t>CAPEX</m:t>
            </m:r>
          </m:e>
          <m:sub>
            <m:r>
              <w:rPr>
                <w:rFonts w:ascii="Cambria Math" w:hAnsi="Cambria Math"/>
                <w:sz w:val="18"/>
                <w:szCs w:val="20"/>
              </w:rPr>
              <m:t>TES</m:t>
            </m:r>
          </m:sub>
        </m:sSub>
        <m:r>
          <w:rPr>
            <w:rFonts w:ascii="Cambria Math" w:hAnsi="Cambria Math"/>
            <w:sz w:val="18"/>
            <w:szCs w:val="20"/>
          </w:rPr>
          <m:t>=540.9*</m:t>
        </m:r>
        <m:sSub>
          <m:sSubPr>
            <m:ctrlPr>
              <w:rPr>
                <w:rFonts w:ascii="Cambria Math" w:hAnsi="Cambria Math"/>
                <w:i/>
                <w:sz w:val="18"/>
                <w:szCs w:val="20"/>
              </w:rPr>
            </m:ctrlPr>
          </m:sSubPr>
          <m:e>
            <m:r>
              <w:rPr>
                <w:rFonts w:ascii="Cambria Math" w:hAnsi="Cambria Math"/>
                <w:sz w:val="18"/>
                <w:szCs w:val="20"/>
              </w:rPr>
              <m:t>V</m:t>
            </m:r>
          </m:e>
          <m:sub>
            <m:r>
              <w:rPr>
                <w:rFonts w:ascii="Cambria Math" w:hAnsi="Cambria Math"/>
                <w:sz w:val="18"/>
                <w:szCs w:val="20"/>
              </w:rPr>
              <m:t>TES</m:t>
            </m:r>
          </m:sub>
        </m:sSub>
        <m:r>
          <w:rPr>
            <w:rFonts w:ascii="Cambria Math" w:hAnsi="Cambria Math"/>
            <w:sz w:val="18"/>
            <w:szCs w:val="20"/>
          </w:rPr>
          <m:t>+9045 CHF/</m:t>
        </m:r>
        <m:sSup>
          <m:sSupPr>
            <m:ctrlPr>
              <w:rPr>
                <w:rFonts w:ascii="Cambria Math" w:hAnsi="Cambria Math"/>
                <w:i/>
                <w:sz w:val="18"/>
                <w:szCs w:val="20"/>
              </w:rPr>
            </m:ctrlPr>
          </m:sSupPr>
          <m:e>
            <m:r>
              <w:rPr>
                <w:rFonts w:ascii="Cambria Math" w:hAnsi="Cambria Math"/>
                <w:sz w:val="18"/>
                <w:szCs w:val="20"/>
              </w:rPr>
              <m:t>m</m:t>
            </m:r>
          </m:e>
          <m:sup>
            <m:r>
              <w:rPr>
                <w:rFonts w:ascii="Cambria Math" w:hAnsi="Cambria Math"/>
                <w:sz w:val="18"/>
                <w:szCs w:val="20"/>
              </w:rPr>
              <m:t>3</m:t>
            </m:r>
          </m:sup>
        </m:sSup>
      </m:oMath>
      <w:r w:rsidR="00483FB0" w:rsidRPr="007420AF">
        <w:rPr>
          <w:sz w:val="18"/>
          <w:szCs w:val="20"/>
        </w:rPr>
        <w:t xml:space="preserve">, </w:t>
      </w:r>
      <w:r w:rsidR="00483FB0">
        <w:t>where the TES volume (V</w:t>
      </w:r>
      <w:r w:rsidR="00483FB0">
        <w:rPr>
          <w:vertAlign w:val="subscript"/>
        </w:rPr>
        <w:t>TES</w:t>
      </w:r>
      <w:r w:rsidR="00483FB0">
        <w:t>) is in [m</w:t>
      </w:r>
      <w:r w:rsidR="00D17073">
        <w:rPr>
          <w:vertAlign w:val="superscript"/>
        </w:rPr>
        <w:t>3</w:t>
      </w:r>
      <w:r w:rsidR="00483FB0">
        <w:t>].</w:t>
      </w:r>
    </w:p>
    <w:p w14:paraId="706B1B2D" w14:textId="3475533B" w:rsidR="009D67E9" w:rsidRDefault="00C4325B" w:rsidP="00C4325B">
      <w:pPr>
        <w:pStyle w:val="SWCText"/>
        <w:numPr>
          <w:ilvl w:val="0"/>
          <w:numId w:val="31"/>
        </w:numPr>
      </w:pPr>
      <w:r w:rsidRPr="00C4325B">
        <w:t>For the solar thermal field</w:t>
      </w:r>
      <w:r>
        <w:t xml:space="preserve">, </w:t>
      </w:r>
      <w:r w:rsidR="000A11A3">
        <w:t>CAPEX</w:t>
      </w:r>
      <w:r w:rsidRPr="00C4325B">
        <w:t xml:space="preserve"> </w:t>
      </w:r>
      <w:r w:rsidR="000A11A3">
        <w:t>was</w:t>
      </w:r>
      <w:r w:rsidRPr="00C4325B">
        <w:t xml:space="preserve"> estimated with the following equation, based on private communications with technical partners of the HEIG-VD and for Switzerland.</w:t>
      </w:r>
    </w:p>
    <w:p w14:paraId="12A44989" w14:textId="0CE5919E" w:rsidR="00A85BAC" w:rsidRDefault="00433F10" w:rsidP="001B554F">
      <w:pPr>
        <w:pStyle w:val="SWCText"/>
        <w:numPr>
          <w:ilvl w:val="1"/>
          <w:numId w:val="31"/>
        </w:numPr>
      </w:pPr>
      <m:oMath>
        <m:sSub>
          <m:sSubPr>
            <m:ctrlPr>
              <w:rPr>
                <w:rFonts w:ascii="Cambria Math" w:hAnsi="Cambria Math"/>
                <w:i/>
                <w:sz w:val="18"/>
                <w:szCs w:val="20"/>
              </w:rPr>
            </m:ctrlPr>
          </m:sSubPr>
          <m:e>
            <m:r>
              <w:rPr>
                <w:rFonts w:ascii="Cambria Math" w:hAnsi="Cambria Math"/>
                <w:sz w:val="18"/>
                <w:szCs w:val="20"/>
              </w:rPr>
              <m:t>CAPEX</m:t>
            </m:r>
          </m:e>
          <m:sub>
            <m:r>
              <w:rPr>
                <w:rFonts w:ascii="Cambria Math" w:hAnsi="Cambria Math"/>
                <w:sz w:val="18"/>
                <w:szCs w:val="20"/>
              </w:rPr>
              <m:t>SF</m:t>
            </m:r>
          </m:sub>
        </m:sSub>
        <m:r>
          <w:rPr>
            <w:rFonts w:ascii="Cambria Math" w:hAnsi="Cambria Math"/>
            <w:sz w:val="18"/>
            <w:szCs w:val="20"/>
          </w:rPr>
          <m:t>=2682*</m:t>
        </m:r>
        <m:sSup>
          <m:sSupPr>
            <m:ctrlPr>
              <w:rPr>
                <w:rFonts w:ascii="Cambria Math" w:hAnsi="Cambria Math"/>
                <w:i/>
                <w:sz w:val="18"/>
                <w:szCs w:val="20"/>
              </w:rPr>
            </m:ctrlPr>
          </m:sSupPr>
          <m:e>
            <m:sSub>
              <m:sSubPr>
                <m:ctrlPr>
                  <w:rPr>
                    <w:rFonts w:ascii="Cambria Math" w:hAnsi="Cambria Math"/>
                    <w:i/>
                    <w:sz w:val="18"/>
                    <w:szCs w:val="20"/>
                  </w:rPr>
                </m:ctrlPr>
              </m:sSubPr>
              <m:e>
                <m:r>
                  <w:rPr>
                    <w:rFonts w:ascii="Cambria Math" w:hAnsi="Cambria Math"/>
                    <w:sz w:val="18"/>
                    <w:szCs w:val="20"/>
                  </w:rPr>
                  <m:t>A</m:t>
                </m:r>
              </m:e>
              <m:sub>
                <m:r>
                  <w:rPr>
                    <w:rFonts w:ascii="Cambria Math" w:hAnsi="Cambria Math"/>
                    <w:sz w:val="18"/>
                    <w:szCs w:val="20"/>
                  </w:rPr>
                  <m:t>SF</m:t>
                </m:r>
              </m:sub>
            </m:sSub>
          </m:e>
          <m:sup>
            <m:r>
              <w:rPr>
                <w:rFonts w:ascii="Cambria Math" w:hAnsi="Cambria Math"/>
                <w:sz w:val="18"/>
                <w:szCs w:val="20"/>
              </w:rPr>
              <m:t>0.826</m:t>
            </m:r>
          </m:sup>
        </m:sSup>
        <m:r>
          <w:rPr>
            <w:rFonts w:ascii="Cambria Math" w:hAnsi="Cambria Math"/>
            <w:sz w:val="18"/>
            <w:szCs w:val="20"/>
          </w:rPr>
          <m:t xml:space="preserve"> CHF</m:t>
        </m:r>
      </m:oMath>
      <w:r w:rsidR="00483FB0" w:rsidRPr="007420AF">
        <w:rPr>
          <w:sz w:val="18"/>
          <w:szCs w:val="20"/>
        </w:rPr>
        <w:t xml:space="preserve">, </w:t>
      </w:r>
      <w:r w:rsidR="00483FB0">
        <w:t>where the solar field area (A</w:t>
      </w:r>
      <w:r w:rsidR="00483FB0" w:rsidRPr="00483FB0">
        <w:rPr>
          <w:vertAlign w:val="subscript"/>
        </w:rPr>
        <w:t>SF</w:t>
      </w:r>
      <w:r w:rsidR="00483FB0">
        <w:t>) is in [m</w:t>
      </w:r>
      <w:r w:rsidR="00483FB0" w:rsidRPr="00483FB0">
        <w:rPr>
          <w:vertAlign w:val="superscript"/>
        </w:rPr>
        <w:t>2</w:t>
      </w:r>
      <w:r w:rsidR="00483FB0">
        <w:t>].</w:t>
      </w:r>
    </w:p>
    <w:p w14:paraId="600F873A" w14:textId="66450D83" w:rsidR="0081335B" w:rsidRDefault="000A573F" w:rsidP="007B7584">
      <w:pPr>
        <w:pStyle w:val="SWCText"/>
        <w:numPr>
          <w:ilvl w:val="0"/>
          <w:numId w:val="31"/>
        </w:numPr>
      </w:pPr>
      <w:r>
        <w:t xml:space="preserve">For </w:t>
      </w:r>
      <w:r w:rsidRPr="000A573F">
        <w:t xml:space="preserve">the connection between the solar field and the </w:t>
      </w:r>
      <w:r w:rsidR="008E6D8C">
        <w:t>DHN</w:t>
      </w:r>
      <w:r w:rsidRPr="000A573F">
        <w:t xml:space="preserve"> substation</w:t>
      </w:r>
      <w:r w:rsidR="008E6D8C">
        <w:t>,</w:t>
      </w:r>
      <w:r w:rsidRPr="000A573F">
        <w:t xml:space="preserve"> </w:t>
      </w:r>
      <w:r w:rsidR="008E6D8C">
        <w:fldChar w:fldCharType="begin"/>
      </w:r>
      <w:r w:rsidR="008E6D8C">
        <w:instrText xml:space="preserve"> REF _Ref238465609 \h </w:instrText>
      </w:r>
      <w:r w:rsidR="008E6D8C">
        <w:fldChar w:fldCharType="separate"/>
      </w:r>
      <w:r w:rsidR="008E6D8C">
        <w:t xml:space="preserve">Table </w:t>
      </w:r>
      <w:r w:rsidR="008E6D8C">
        <w:rPr>
          <w:noProof/>
        </w:rPr>
        <w:t>4</w:t>
      </w:r>
      <w:r w:rsidR="008E6D8C">
        <w:fldChar w:fldCharType="end"/>
      </w:r>
      <w:r w:rsidR="008E6D8C">
        <w:t xml:space="preserve"> </w:t>
      </w:r>
      <w:r>
        <w:t xml:space="preserve">was used. </w:t>
      </w:r>
      <w:r w:rsidRPr="000A573F">
        <w:t xml:space="preserve">The length of the piping </w:t>
      </w:r>
      <w:r w:rsidR="00F617F0">
        <w:t>was</w:t>
      </w:r>
      <w:r w:rsidRPr="000A573F">
        <w:t xml:space="preserve"> estimated </w:t>
      </w:r>
      <w:r w:rsidR="00C047B7">
        <w:t>based on the</w:t>
      </w:r>
      <w:r w:rsidR="00D708C6">
        <w:t xml:space="preserve"> </w:t>
      </w:r>
      <w:r w:rsidRPr="000A573F">
        <w:t xml:space="preserve">surface </w:t>
      </w:r>
      <w:r w:rsidR="00C047B7">
        <w:t>of</w:t>
      </w:r>
      <w:r w:rsidR="00D708C6">
        <w:t xml:space="preserve"> the solar field.</w:t>
      </w:r>
    </w:p>
    <w:tbl>
      <w:tblPr>
        <w:tblStyle w:val="Grilledutableau"/>
        <w:tblW w:w="8359"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8"/>
        <w:gridCol w:w="4181"/>
      </w:tblGrid>
      <w:tr w:rsidR="004A53FF" w14:paraId="0BEF3493" w14:textId="77777777" w:rsidTr="00C206BF">
        <w:tc>
          <w:tcPr>
            <w:tcW w:w="8359" w:type="dxa"/>
            <w:gridSpan w:val="2"/>
            <w:tcBorders>
              <w:bottom w:val="single" w:sz="4" w:space="0" w:color="auto"/>
            </w:tcBorders>
          </w:tcPr>
          <w:p w14:paraId="3F21BA27" w14:textId="79972EB3" w:rsidR="004A53FF" w:rsidRPr="00BE2F3A" w:rsidRDefault="004A53FF" w:rsidP="007420AF">
            <w:pPr>
              <w:pStyle w:val="SWCTableFigureCaption"/>
              <w:rPr>
                <w:sz w:val="18"/>
                <w:lang w:val="en-GB"/>
              </w:rPr>
            </w:pPr>
            <w:bookmarkStart w:id="18" w:name="_Ref238465609"/>
            <w:r>
              <w:t xml:space="preserve">Table </w:t>
            </w:r>
            <w:r w:rsidR="005A6B1B">
              <w:fldChar w:fldCharType="begin"/>
            </w:r>
            <w:r w:rsidR="005A6B1B">
              <w:instrText xml:space="preserve"> SEQ Table \* ARABIC </w:instrText>
            </w:r>
            <w:r w:rsidR="005A6B1B">
              <w:fldChar w:fldCharType="separate"/>
            </w:r>
            <w:r w:rsidR="005A6B1B">
              <w:rPr>
                <w:noProof/>
              </w:rPr>
              <w:t>4</w:t>
            </w:r>
            <w:r w:rsidR="005A6B1B">
              <w:fldChar w:fldCharType="end"/>
            </w:r>
            <w:bookmarkEnd w:id="18"/>
            <w:r>
              <w:t>: CAPEX for DH connection piping</w:t>
            </w:r>
            <w:r w:rsidR="00823279">
              <w:t>, including insulation. Above ground installation.</w:t>
            </w:r>
          </w:p>
        </w:tc>
      </w:tr>
      <w:tr w:rsidR="004A53FF" w14:paraId="580A9820" w14:textId="77777777" w:rsidTr="004A53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78" w:type="dxa"/>
            <w:tcBorders>
              <w:top w:val="single" w:sz="4" w:space="0" w:color="auto"/>
              <w:left w:val="nil"/>
              <w:bottom w:val="single" w:sz="4" w:space="0" w:color="auto"/>
              <w:right w:val="nil"/>
            </w:tcBorders>
          </w:tcPr>
          <w:p w14:paraId="0F937A6A" w14:textId="77777777" w:rsidR="004A53FF" w:rsidRPr="00BE2F3A" w:rsidRDefault="004A53FF" w:rsidP="00C206BF">
            <w:pPr>
              <w:jc w:val="center"/>
              <w:rPr>
                <w:sz w:val="18"/>
                <w:lang w:val="en-GB"/>
              </w:rPr>
            </w:pPr>
            <w:r w:rsidRPr="00BE2F3A">
              <w:rPr>
                <w:sz w:val="18"/>
                <w:lang w:val="en-GB"/>
              </w:rPr>
              <w:t>Inner diameter of conduit, in [mm]</w:t>
            </w:r>
          </w:p>
        </w:tc>
        <w:tc>
          <w:tcPr>
            <w:tcW w:w="4181" w:type="dxa"/>
            <w:tcBorders>
              <w:top w:val="single" w:sz="4" w:space="0" w:color="auto"/>
              <w:left w:val="nil"/>
              <w:bottom w:val="single" w:sz="4" w:space="0" w:color="auto"/>
              <w:right w:val="nil"/>
            </w:tcBorders>
          </w:tcPr>
          <w:p w14:paraId="27CBFF37" w14:textId="77777777" w:rsidR="004A53FF" w:rsidRPr="00BE2F3A" w:rsidRDefault="004A53FF" w:rsidP="00C206BF">
            <w:pPr>
              <w:jc w:val="center"/>
              <w:rPr>
                <w:sz w:val="18"/>
                <w:lang w:val="en-GB"/>
              </w:rPr>
            </w:pPr>
            <w:r w:rsidRPr="00BE2F3A">
              <w:rPr>
                <w:sz w:val="18"/>
                <w:lang w:val="en-GB"/>
              </w:rPr>
              <w:t>Linear cost, in [CHF/m]</w:t>
            </w:r>
          </w:p>
        </w:tc>
      </w:tr>
      <w:tr w:rsidR="008520EA" w14:paraId="7D3895F1" w14:textId="77777777" w:rsidTr="004A53FF">
        <w:tc>
          <w:tcPr>
            <w:tcW w:w="4178" w:type="dxa"/>
            <w:tcBorders>
              <w:top w:val="single" w:sz="4" w:space="0" w:color="auto"/>
            </w:tcBorders>
          </w:tcPr>
          <w:p w14:paraId="72C0AD09" w14:textId="43149419" w:rsidR="008520EA" w:rsidRPr="00BE2F3A" w:rsidRDefault="00BE2F3A" w:rsidP="007A58E4">
            <w:pPr>
              <w:jc w:val="center"/>
              <w:rPr>
                <w:sz w:val="18"/>
                <w:lang w:val="en-GB"/>
              </w:rPr>
            </w:pPr>
            <w:r w:rsidRPr="00BE2F3A">
              <w:rPr>
                <w:sz w:val="18"/>
                <w:lang w:val="en-GB"/>
              </w:rPr>
              <w:t>80</w:t>
            </w:r>
          </w:p>
        </w:tc>
        <w:tc>
          <w:tcPr>
            <w:tcW w:w="4181" w:type="dxa"/>
            <w:tcBorders>
              <w:top w:val="single" w:sz="4" w:space="0" w:color="auto"/>
            </w:tcBorders>
          </w:tcPr>
          <w:p w14:paraId="64BB36F7" w14:textId="68097BA8" w:rsidR="008520EA" w:rsidRPr="00BE2F3A" w:rsidRDefault="00BE2F3A" w:rsidP="007A58E4">
            <w:pPr>
              <w:jc w:val="center"/>
              <w:rPr>
                <w:sz w:val="18"/>
                <w:lang w:val="en-GB"/>
              </w:rPr>
            </w:pPr>
            <w:r w:rsidRPr="00BE2F3A">
              <w:rPr>
                <w:sz w:val="18"/>
                <w:lang w:val="en-GB"/>
              </w:rPr>
              <w:t>478</w:t>
            </w:r>
          </w:p>
        </w:tc>
      </w:tr>
      <w:tr w:rsidR="008520EA" w14:paraId="231BBCA5" w14:textId="77777777" w:rsidTr="004A53FF">
        <w:tc>
          <w:tcPr>
            <w:tcW w:w="4178" w:type="dxa"/>
          </w:tcPr>
          <w:p w14:paraId="7EDD342F" w14:textId="5DF7F15C" w:rsidR="008520EA" w:rsidRPr="00BE2F3A" w:rsidRDefault="00BE2F3A" w:rsidP="007A58E4">
            <w:pPr>
              <w:jc w:val="center"/>
              <w:rPr>
                <w:sz w:val="18"/>
                <w:lang w:val="en-GB"/>
              </w:rPr>
            </w:pPr>
            <w:r w:rsidRPr="00BE2F3A">
              <w:rPr>
                <w:sz w:val="18"/>
                <w:lang w:val="en-GB"/>
              </w:rPr>
              <w:t>100</w:t>
            </w:r>
          </w:p>
        </w:tc>
        <w:tc>
          <w:tcPr>
            <w:tcW w:w="4181" w:type="dxa"/>
          </w:tcPr>
          <w:p w14:paraId="0727F62C" w14:textId="4D32374B" w:rsidR="008520EA" w:rsidRPr="00BE2F3A" w:rsidRDefault="00BE2F3A" w:rsidP="007A58E4">
            <w:pPr>
              <w:jc w:val="center"/>
              <w:rPr>
                <w:sz w:val="18"/>
                <w:lang w:val="en-GB"/>
              </w:rPr>
            </w:pPr>
            <w:r w:rsidRPr="00BE2F3A">
              <w:rPr>
                <w:sz w:val="18"/>
                <w:lang w:val="en-GB"/>
              </w:rPr>
              <w:t>616</w:t>
            </w:r>
          </w:p>
        </w:tc>
      </w:tr>
      <w:tr w:rsidR="008520EA" w14:paraId="22ADEEE4" w14:textId="77777777" w:rsidTr="004A53FF">
        <w:tc>
          <w:tcPr>
            <w:tcW w:w="4178" w:type="dxa"/>
          </w:tcPr>
          <w:p w14:paraId="7A20C46E" w14:textId="1344CB60" w:rsidR="008520EA" w:rsidRPr="00BE2F3A" w:rsidRDefault="00BE2F3A" w:rsidP="007A58E4">
            <w:pPr>
              <w:jc w:val="center"/>
              <w:rPr>
                <w:sz w:val="18"/>
                <w:lang w:val="en-GB"/>
              </w:rPr>
            </w:pPr>
            <w:r w:rsidRPr="00BE2F3A">
              <w:rPr>
                <w:sz w:val="18"/>
                <w:lang w:val="en-GB"/>
              </w:rPr>
              <w:t>125</w:t>
            </w:r>
          </w:p>
        </w:tc>
        <w:tc>
          <w:tcPr>
            <w:tcW w:w="4181" w:type="dxa"/>
          </w:tcPr>
          <w:p w14:paraId="561C9C88" w14:textId="3B6909BF" w:rsidR="008520EA" w:rsidRPr="00BE2F3A" w:rsidRDefault="00BE2F3A" w:rsidP="007A58E4">
            <w:pPr>
              <w:jc w:val="center"/>
              <w:rPr>
                <w:sz w:val="18"/>
                <w:lang w:val="en-GB"/>
              </w:rPr>
            </w:pPr>
            <w:r w:rsidRPr="00BE2F3A">
              <w:rPr>
                <w:sz w:val="18"/>
                <w:lang w:val="en-GB"/>
              </w:rPr>
              <w:t>762</w:t>
            </w:r>
          </w:p>
        </w:tc>
      </w:tr>
      <w:tr w:rsidR="008520EA" w14:paraId="3D90EC83" w14:textId="77777777" w:rsidTr="004A53FF">
        <w:tc>
          <w:tcPr>
            <w:tcW w:w="4178" w:type="dxa"/>
          </w:tcPr>
          <w:p w14:paraId="05B2605F" w14:textId="3771D3F4" w:rsidR="008520EA" w:rsidRPr="00BE2F3A" w:rsidRDefault="00BE2F3A" w:rsidP="007A58E4">
            <w:pPr>
              <w:jc w:val="center"/>
              <w:rPr>
                <w:sz w:val="18"/>
                <w:lang w:val="en-GB"/>
              </w:rPr>
            </w:pPr>
            <w:r w:rsidRPr="00BE2F3A">
              <w:rPr>
                <w:sz w:val="18"/>
                <w:lang w:val="en-GB"/>
              </w:rPr>
              <w:t>150</w:t>
            </w:r>
          </w:p>
        </w:tc>
        <w:tc>
          <w:tcPr>
            <w:tcW w:w="4181" w:type="dxa"/>
          </w:tcPr>
          <w:p w14:paraId="2727D130" w14:textId="40140F57" w:rsidR="008520EA" w:rsidRPr="00BE2F3A" w:rsidRDefault="00BE2F3A" w:rsidP="007A58E4">
            <w:pPr>
              <w:jc w:val="center"/>
              <w:rPr>
                <w:sz w:val="18"/>
                <w:lang w:val="en-GB"/>
              </w:rPr>
            </w:pPr>
            <w:r w:rsidRPr="00BE2F3A">
              <w:rPr>
                <w:sz w:val="18"/>
                <w:lang w:val="en-GB"/>
              </w:rPr>
              <w:t>914</w:t>
            </w:r>
          </w:p>
        </w:tc>
      </w:tr>
      <w:tr w:rsidR="008520EA" w14:paraId="3CB15D27" w14:textId="77777777" w:rsidTr="004A53FF">
        <w:tc>
          <w:tcPr>
            <w:tcW w:w="4178" w:type="dxa"/>
            <w:tcBorders>
              <w:bottom w:val="single" w:sz="4" w:space="0" w:color="auto"/>
            </w:tcBorders>
          </w:tcPr>
          <w:p w14:paraId="7BCE41C4" w14:textId="3695FF6C" w:rsidR="008520EA" w:rsidRPr="00BE2F3A" w:rsidRDefault="00BE2F3A" w:rsidP="007A58E4">
            <w:pPr>
              <w:jc w:val="center"/>
              <w:rPr>
                <w:sz w:val="18"/>
                <w:lang w:val="en-GB"/>
              </w:rPr>
            </w:pPr>
            <w:r w:rsidRPr="00BE2F3A">
              <w:rPr>
                <w:sz w:val="18"/>
                <w:lang w:val="en-GB"/>
              </w:rPr>
              <w:t>200</w:t>
            </w:r>
          </w:p>
        </w:tc>
        <w:tc>
          <w:tcPr>
            <w:tcW w:w="4181" w:type="dxa"/>
            <w:tcBorders>
              <w:bottom w:val="single" w:sz="4" w:space="0" w:color="auto"/>
            </w:tcBorders>
          </w:tcPr>
          <w:p w14:paraId="32BDF6C9" w14:textId="69A008BA" w:rsidR="008520EA" w:rsidRPr="00BE2F3A" w:rsidRDefault="00BE2F3A" w:rsidP="007A58E4">
            <w:pPr>
              <w:jc w:val="center"/>
              <w:rPr>
                <w:sz w:val="18"/>
                <w:lang w:val="en-GB"/>
              </w:rPr>
            </w:pPr>
            <w:r w:rsidRPr="00BE2F3A">
              <w:rPr>
                <w:sz w:val="18"/>
                <w:lang w:val="en-GB"/>
              </w:rPr>
              <w:t>1091</w:t>
            </w:r>
          </w:p>
        </w:tc>
      </w:tr>
    </w:tbl>
    <w:p w14:paraId="609A369E" w14:textId="4106ADAB" w:rsidR="0020313E" w:rsidRDefault="00FD6490" w:rsidP="007B7584">
      <w:pPr>
        <w:pStyle w:val="SWCText"/>
        <w:numPr>
          <w:ilvl w:val="0"/>
          <w:numId w:val="31"/>
        </w:numPr>
      </w:pPr>
      <w:r>
        <w:t>For the PV plant, the costs model was derived from [</w:t>
      </w:r>
      <w:r w:rsidR="00771C02">
        <w:t>21</w:t>
      </w:r>
      <w:r>
        <w:t>]</w:t>
      </w:r>
      <w:r w:rsidR="008C0A5F">
        <w:t xml:space="preserve"> while the O</w:t>
      </w:r>
      <w:r w:rsidR="005D7AFC">
        <w:t xml:space="preserve">PEX </w:t>
      </w:r>
      <w:r w:rsidR="00B35EEE">
        <w:t>(</w:t>
      </w:r>
      <w:r w:rsidR="005D7AFC">
        <w:t xml:space="preserve">3 </w:t>
      </w:r>
      <w:proofErr w:type="spellStart"/>
      <w:r w:rsidR="005D7AFC">
        <w:t>ctsCHF</w:t>
      </w:r>
      <w:proofErr w:type="spellEnd"/>
      <w:r w:rsidR="006F2BF2">
        <w:t xml:space="preserve"> </w:t>
      </w:r>
      <w:r w:rsidR="005D7AFC">
        <w:t>/</w:t>
      </w:r>
      <w:r w:rsidR="006F2BF2">
        <w:t xml:space="preserve"> </w:t>
      </w:r>
      <w:proofErr w:type="spellStart"/>
      <w:r w:rsidR="005D7AFC">
        <w:t>kWh</w:t>
      </w:r>
      <w:r w:rsidR="005D7AFC" w:rsidRPr="005D7AFC">
        <w:rPr>
          <w:vertAlign w:val="subscript"/>
        </w:rPr>
        <w:t>e</w:t>
      </w:r>
      <w:proofErr w:type="spellEnd"/>
      <w:r w:rsidR="008C0A5F">
        <w:t xml:space="preserve"> </w:t>
      </w:r>
      <w:r w:rsidR="00B35EEE">
        <w:t xml:space="preserve">) from </w:t>
      </w:r>
      <w:r w:rsidR="00A85BAC">
        <w:t>[22]</w:t>
      </w:r>
      <w:r w:rsidR="00A60EBC">
        <w:t>:</w:t>
      </w:r>
    </w:p>
    <w:p w14:paraId="7350E379" w14:textId="02887806" w:rsidR="005D7AFC" w:rsidRDefault="00433F10" w:rsidP="005D7AFC">
      <w:pPr>
        <w:pStyle w:val="SWCText"/>
        <w:numPr>
          <w:ilvl w:val="1"/>
          <w:numId w:val="31"/>
        </w:numPr>
      </w:pPr>
      <m:oMath>
        <m:sSub>
          <m:sSubPr>
            <m:ctrlPr>
              <w:rPr>
                <w:rFonts w:ascii="Cambria Math" w:hAnsi="Cambria Math"/>
                <w:i/>
              </w:rPr>
            </m:ctrlPr>
          </m:sSubPr>
          <m:e>
            <m:r>
              <w:rPr>
                <w:rFonts w:ascii="Cambria Math" w:hAnsi="Cambria Math"/>
              </w:rPr>
              <m:t>CAPEX</m:t>
            </m:r>
          </m:e>
          <m:sub>
            <m:r>
              <w:rPr>
                <w:rFonts w:ascii="Cambria Math" w:hAnsi="Cambria Math"/>
              </w:rPr>
              <m:t>PV</m:t>
            </m:r>
          </m:sub>
        </m:sSub>
        <m:r>
          <w:rPr>
            <w:rFonts w:ascii="Cambria Math" w:hAnsi="Cambria Math"/>
          </w:rPr>
          <m:t>=4862*</m:t>
        </m:r>
        <m:sSup>
          <m:sSupPr>
            <m:ctrlPr>
              <w:rPr>
                <w:rFonts w:ascii="Cambria Math" w:hAnsi="Cambria Math"/>
                <w:i/>
              </w:rPr>
            </m:ctrlPr>
          </m:sSupPr>
          <m:e>
            <m:sSub>
              <m:sSubPr>
                <m:ctrlPr>
                  <w:rPr>
                    <w:rFonts w:ascii="Cambria Math" w:hAnsi="Cambria Math"/>
                    <w:i/>
                  </w:rPr>
                </m:ctrlPr>
              </m:sSubPr>
              <m:e>
                <m:r>
                  <w:rPr>
                    <w:rFonts w:ascii="Cambria Math" w:hAnsi="Cambria Math"/>
                  </w:rPr>
                  <m:t>P</m:t>
                </m:r>
              </m:e>
              <m:sub>
                <m:r>
                  <w:rPr>
                    <w:rFonts w:ascii="Cambria Math" w:hAnsi="Cambria Math"/>
                  </w:rPr>
                  <m:t>PV</m:t>
                </m:r>
              </m:sub>
            </m:sSub>
          </m:e>
          <m:sup>
            <m:r>
              <w:rPr>
                <w:rFonts w:ascii="Cambria Math" w:hAnsi="Cambria Math"/>
              </w:rPr>
              <m:t>0.749</m:t>
            </m:r>
          </m:sup>
        </m:sSup>
        <m:r>
          <w:rPr>
            <w:rFonts w:ascii="Cambria Math" w:hAnsi="Cambria Math"/>
          </w:rPr>
          <m:t xml:space="preserve"> CHF</m:t>
        </m:r>
      </m:oMath>
      <w:r w:rsidR="00483FB0">
        <w:t>, where PV is in kWp.</w:t>
      </w:r>
    </w:p>
    <w:p w14:paraId="0CE2460A" w14:textId="35A6902D" w:rsidR="00C84EBA" w:rsidRDefault="00602DA6" w:rsidP="00C84EBA">
      <w:pPr>
        <w:pStyle w:val="SWCText"/>
        <w:numPr>
          <w:ilvl w:val="0"/>
          <w:numId w:val="31"/>
        </w:numPr>
      </w:pPr>
      <w:r>
        <w:t>In the configurations</w:t>
      </w:r>
      <w:r w:rsidR="00C36B6E">
        <w:t xml:space="preserve"> equipped with an </w:t>
      </w:r>
      <w:r w:rsidR="0079501C">
        <w:t xml:space="preserve">indirect </w:t>
      </w:r>
      <w:r w:rsidR="00F5380F">
        <w:t xml:space="preserve">air </w:t>
      </w:r>
      <w:r w:rsidR="00C36B6E">
        <w:t>HP</w:t>
      </w:r>
      <w:r w:rsidR="001F1D44">
        <w:t xml:space="preserve">, </w:t>
      </w:r>
      <w:r w:rsidR="00A71E2E">
        <w:t>the following law</w:t>
      </w:r>
      <w:r w:rsidR="0064408B">
        <w:t>s</w:t>
      </w:r>
      <w:r w:rsidR="00A71E2E">
        <w:t xml:space="preserve"> derived from partner data </w:t>
      </w:r>
      <w:r w:rsidR="0064408B">
        <w:t>were</w:t>
      </w:r>
      <w:r w:rsidR="00A71E2E">
        <w:t xml:space="preserve"> used</w:t>
      </w:r>
      <w:r w:rsidR="0064408B">
        <w:t xml:space="preserve"> for the liquid</w:t>
      </w:r>
      <w:r w:rsidR="00807D22">
        <w:t>-</w:t>
      </w:r>
      <w:r w:rsidR="0064408B">
        <w:t>to</w:t>
      </w:r>
      <w:r w:rsidR="00807D22">
        <w:t>-</w:t>
      </w:r>
      <w:r w:rsidR="0064408B">
        <w:t xml:space="preserve">water HP unit and the </w:t>
      </w:r>
      <w:r>
        <w:t>external dry tow</w:t>
      </w:r>
      <w:r w:rsidR="003950CE">
        <w:t>er</w:t>
      </w:r>
      <w:r w:rsidR="00A71E2E">
        <w:t>:</w:t>
      </w:r>
    </w:p>
    <w:p w14:paraId="259F5167" w14:textId="18D22652" w:rsidR="00A71E2E" w:rsidRDefault="00433F10" w:rsidP="00A71E2E">
      <w:pPr>
        <w:pStyle w:val="SWCText"/>
        <w:numPr>
          <w:ilvl w:val="1"/>
          <w:numId w:val="31"/>
        </w:numPr>
      </w:pPr>
      <m:oMath>
        <m:sSub>
          <m:sSubPr>
            <m:ctrlPr>
              <w:rPr>
                <w:rFonts w:ascii="Cambria Math" w:hAnsi="Cambria Math"/>
                <w:i/>
              </w:rPr>
            </m:ctrlPr>
          </m:sSubPr>
          <m:e>
            <m:r>
              <w:rPr>
                <w:rFonts w:ascii="Cambria Math" w:hAnsi="Cambria Math"/>
              </w:rPr>
              <m:t>CAPEX</m:t>
            </m:r>
          </m:e>
          <m:sub>
            <m:r>
              <w:rPr>
                <w:rFonts w:ascii="Cambria Math" w:hAnsi="Cambria Math"/>
              </w:rPr>
              <m:t>HP</m:t>
            </m:r>
          </m:sub>
        </m:sSub>
        <m:r>
          <w:rPr>
            <w:rFonts w:ascii="Cambria Math" w:hAnsi="Cambria Math"/>
          </w:rPr>
          <m:t>=1953.1-202.9*</m:t>
        </m:r>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HP</m:t>
                    </m:r>
                  </m:sub>
                </m:sSub>
              </m:e>
            </m:d>
          </m:e>
        </m:func>
        <m:r>
          <w:rPr>
            <w:rFonts w:ascii="Cambria Math" w:hAnsi="Cambria Math"/>
          </w:rPr>
          <m:t xml:space="preserve"> CHF/</m:t>
        </m:r>
        <m:sSub>
          <m:sSubPr>
            <m:ctrlPr>
              <w:rPr>
                <w:rFonts w:ascii="Cambria Math" w:hAnsi="Cambria Math"/>
                <w:i/>
              </w:rPr>
            </m:ctrlPr>
          </m:sSubPr>
          <m:e>
            <m:r>
              <w:rPr>
                <w:rFonts w:ascii="Cambria Math" w:hAnsi="Cambria Math"/>
              </w:rPr>
              <m:t>kW</m:t>
            </m:r>
          </m:e>
          <m:sub>
            <m:r>
              <w:rPr>
                <w:rFonts w:ascii="Cambria Math" w:hAnsi="Cambria Math"/>
              </w:rPr>
              <m:t>th</m:t>
            </m:r>
          </m:sub>
        </m:sSub>
      </m:oMath>
      <w:r w:rsidR="00A71E2E">
        <w:t>, where P</w:t>
      </w:r>
      <w:r w:rsidR="00311F5F" w:rsidRPr="00A00C6A">
        <w:rPr>
          <w:vertAlign w:val="subscript"/>
        </w:rPr>
        <w:t>HP</w:t>
      </w:r>
      <w:r w:rsidR="00A71E2E">
        <w:t xml:space="preserve"> is </w:t>
      </w:r>
      <w:r w:rsidR="00311F5F">
        <w:t>the heating power</w:t>
      </w:r>
      <w:r w:rsidR="00A00C6A">
        <w:t>, in</w:t>
      </w:r>
      <w:r w:rsidR="00A71E2E">
        <w:t xml:space="preserve"> </w:t>
      </w:r>
      <w:proofErr w:type="spellStart"/>
      <w:r w:rsidR="00A71E2E">
        <w:t>kW</w:t>
      </w:r>
      <w:r w:rsidR="00A00C6A">
        <w:t>th</w:t>
      </w:r>
      <w:proofErr w:type="spellEnd"/>
      <w:r w:rsidR="00A71E2E">
        <w:t>.</w:t>
      </w:r>
    </w:p>
    <w:p w14:paraId="53172AF5" w14:textId="7E1E3532" w:rsidR="003950CE" w:rsidRDefault="00433F10" w:rsidP="003950CE">
      <w:pPr>
        <w:pStyle w:val="SWCText"/>
        <w:numPr>
          <w:ilvl w:val="1"/>
          <w:numId w:val="31"/>
        </w:numPr>
      </w:pPr>
      <m:oMath>
        <m:sSub>
          <m:sSubPr>
            <m:ctrlPr>
              <w:rPr>
                <w:rFonts w:ascii="Cambria Math" w:hAnsi="Cambria Math"/>
                <w:i/>
              </w:rPr>
            </m:ctrlPr>
          </m:sSubPr>
          <m:e>
            <m:r>
              <w:rPr>
                <w:rFonts w:ascii="Cambria Math" w:hAnsi="Cambria Math"/>
              </w:rPr>
              <m:t>CAPEX</m:t>
            </m:r>
          </m:e>
          <m:sub>
            <m:r>
              <w:rPr>
                <w:rFonts w:ascii="Cambria Math" w:hAnsi="Cambria Math"/>
              </w:rPr>
              <m:t>aerocooler</m:t>
            </m:r>
          </m:sub>
        </m:sSub>
        <m:r>
          <w:rPr>
            <w:rFonts w:ascii="Cambria Math" w:hAnsi="Cambria Math"/>
          </w:rPr>
          <m:t>=1953.1-202.9*</m:t>
        </m:r>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HP</m:t>
                    </m:r>
                  </m:sub>
                </m:sSub>
              </m:e>
            </m:d>
          </m:e>
        </m:func>
        <m:r>
          <w:rPr>
            <w:rFonts w:ascii="Cambria Math" w:hAnsi="Cambria Math"/>
          </w:rPr>
          <m:t xml:space="preserve"> CHF/</m:t>
        </m:r>
        <m:sSub>
          <m:sSubPr>
            <m:ctrlPr>
              <w:rPr>
                <w:rFonts w:ascii="Cambria Math" w:hAnsi="Cambria Math"/>
                <w:i/>
              </w:rPr>
            </m:ctrlPr>
          </m:sSubPr>
          <m:e>
            <m:r>
              <w:rPr>
                <w:rFonts w:ascii="Cambria Math" w:hAnsi="Cambria Math"/>
              </w:rPr>
              <m:t>kW</m:t>
            </m:r>
          </m:e>
          <m:sub>
            <m:r>
              <w:rPr>
                <w:rFonts w:ascii="Cambria Math" w:hAnsi="Cambria Math"/>
              </w:rPr>
              <m:t>th</m:t>
            </m:r>
          </m:sub>
        </m:sSub>
      </m:oMath>
      <w:r w:rsidR="003950CE">
        <w:t>,.</w:t>
      </w:r>
    </w:p>
    <w:p w14:paraId="5896BDD9" w14:textId="43409745" w:rsidR="0056258A" w:rsidRDefault="0056258A" w:rsidP="0056258A">
      <w:pPr>
        <w:pStyle w:val="SWCText"/>
        <w:numPr>
          <w:ilvl w:val="0"/>
          <w:numId w:val="31"/>
        </w:numPr>
      </w:pPr>
      <w:r>
        <w:t>In the configurations equipped with a single groundwater HP</w:t>
      </w:r>
      <w:r w:rsidR="004A6BD5">
        <w:t xml:space="preserve"> of 1800 </w:t>
      </w:r>
      <w:proofErr w:type="spellStart"/>
      <w:r w:rsidR="004A6BD5">
        <w:t>kWth</w:t>
      </w:r>
      <w:proofErr w:type="spellEnd"/>
      <w:r>
        <w:t xml:space="preserve">, </w:t>
      </w:r>
      <w:r w:rsidR="00D52C78">
        <w:t>its CAPEX was derived from</w:t>
      </w:r>
      <w:r>
        <w:t xml:space="preserve"> partner data </w:t>
      </w:r>
      <w:r w:rsidR="00D52C78">
        <w:t>or from direct offer</w:t>
      </w:r>
      <w:r w:rsidR="004A6BD5">
        <w:t>s</w:t>
      </w:r>
      <w:r w:rsidR="006F7A87">
        <w:t>:</w:t>
      </w:r>
    </w:p>
    <w:p w14:paraId="3FF2CDD3" w14:textId="5B70DA40" w:rsidR="005D7AFC" w:rsidRDefault="00433F10" w:rsidP="002E54B2">
      <w:pPr>
        <w:pStyle w:val="SWCText"/>
        <w:numPr>
          <w:ilvl w:val="1"/>
          <w:numId w:val="31"/>
        </w:numPr>
      </w:pPr>
      <m:oMath>
        <m:sSub>
          <m:sSubPr>
            <m:ctrlPr>
              <w:rPr>
                <w:rFonts w:ascii="Cambria Math" w:hAnsi="Cambria Math"/>
                <w:i/>
              </w:rPr>
            </m:ctrlPr>
          </m:sSubPr>
          <m:e>
            <m:r>
              <w:rPr>
                <w:rFonts w:ascii="Cambria Math" w:hAnsi="Cambria Math"/>
              </w:rPr>
              <m:t>CAPEX</m:t>
            </m:r>
          </m:e>
          <m:sub>
            <m:r>
              <w:rPr>
                <w:rFonts w:ascii="Cambria Math" w:hAnsi="Cambria Math"/>
              </w:rPr>
              <m:t>HP</m:t>
            </m:r>
          </m:sub>
        </m:sSub>
        <m:r>
          <w:rPr>
            <w:rFonts w:ascii="Cambria Math" w:hAnsi="Cambria Math"/>
          </w:rPr>
          <m:t xml:space="preserve">=250 </m:t>
        </m:r>
        <m:f>
          <m:fPr>
            <m:ctrlPr>
              <w:rPr>
                <w:rFonts w:ascii="Cambria Math" w:hAnsi="Cambria Math"/>
                <w:i/>
              </w:rPr>
            </m:ctrlPr>
          </m:fPr>
          <m:num>
            <m:r>
              <w:rPr>
                <w:rFonts w:ascii="Cambria Math" w:hAnsi="Cambria Math"/>
              </w:rPr>
              <m:t>CHF</m:t>
            </m:r>
          </m:num>
          <m:den>
            <m:r>
              <w:rPr>
                <w:rFonts w:ascii="Cambria Math" w:hAnsi="Cambria Math"/>
              </w:rPr>
              <m:t>kWth</m:t>
            </m:r>
          </m:den>
        </m:f>
      </m:oMath>
      <w:r w:rsidR="0023507C">
        <w:t xml:space="preserve"> ,</w:t>
      </w:r>
      <m:oMath>
        <m:sSub>
          <m:sSubPr>
            <m:ctrlPr>
              <w:rPr>
                <w:rFonts w:ascii="Cambria Math" w:hAnsi="Cambria Math"/>
                <w:i/>
              </w:rPr>
            </m:ctrlPr>
          </m:sSubPr>
          <m:e>
            <m:r>
              <w:rPr>
                <w:rFonts w:ascii="Cambria Math" w:hAnsi="Cambria Math"/>
              </w:rPr>
              <m:t xml:space="preserve"> CAPEX</m:t>
            </m:r>
          </m:e>
          <m:sub>
            <m:r>
              <w:rPr>
                <w:rFonts w:ascii="Cambria Math" w:hAnsi="Cambria Math"/>
              </w:rPr>
              <m:t>MT</m:t>
            </m:r>
          </m:sub>
        </m:sSub>
        <m:r>
          <w:rPr>
            <w:rFonts w:ascii="Cambria Math" w:hAnsi="Cambria Math"/>
          </w:rPr>
          <m:t>=300,000 CHF</m:t>
        </m:r>
      </m:oMath>
      <w:r w:rsidR="00F5380F">
        <w:t>,</w:t>
      </w:r>
      <w:r w:rsidR="004A6BD5">
        <w:t xml:space="preserve"> </w:t>
      </w:r>
      <m:oMath>
        <m:sSub>
          <m:sSubPr>
            <m:ctrlPr>
              <w:rPr>
                <w:rFonts w:ascii="Cambria Math" w:hAnsi="Cambria Math"/>
                <w:i/>
              </w:rPr>
            </m:ctrlPr>
          </m:sSubPr>
          <m:e>
            <m:r>
              <w:rPr>
                <w:rFonts w:ascii="Cambria Math" w:hAnsi="Cambria Math"/>
              </w:rPr>
              <m:t>CAPEX</m:t>
            </m:r>
          </m:e>
          <m:sub>
            <m:r>
              <w:rPr>
                <w:rFonts w:ascii="Cambria Math" w:hAnsi="Cambria Math"/>
              </w:rPr>
              <m:t>wells</m:t>
            </m:r>
          </m:sub>
        </m:sSub>
        <m:r>
          <w:rPr>
            <w:rFonts w:ascii="Cambria Math" w:hAnsi="Cambria Math"/>
          </w:rPr>
          <m:t xml:space="preserve">=150 </m:t>
        </m:r>
        <m:f>
          <m:fPr>
            <m:ctrlPr>
              <w:rPr>
                <w:rFonts w:ascii="Cambria Math" w:hAnsi="Cambria Math"/>
                <w:i/>
              </w:rPr>
            </m:ctrlPr>
          </m:fPr>
          <m:num>
            <m:r>
              <w:rPr>
                <w:rFonts w:ascii="Cambria Math" w:hAnsi="Cambria Math"/>
              </w:rPr>
              <m:t>CHF</m:t>
            </m:r>
          </m:num>
          <m:den>
            <m:r>
              <w:rPr>
                <w:rFonts w:ascii="Cambria Math" w:hAnsi="Cambria Math"/>
              </w:rPr>
              <m:t>kWth</m:t>
            </m:r>
          </m:den>
        </m:f>
      </m:oMath>
    </w:p>
    <w:sectPr w:rsidR="005D7AFC" w:rsidSect="00B35EEE">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2004D1" w14:textId="77777777" w:rsidR="00433F10" w:rsidRDefault="00433F10">
      <w:r>
        <w:separator/>
      </w:r>
    </w:p>
  </w:endnote>
  <w:endnote w:type="continuationSeparator" w:id="0">
    <w:p w14:paraId="2770BBC8" w14:textId="77777777" w:rsidR="00433F10" w:rsidRDefault="00433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58CD9F" w14:textId="77777777" w:rsidR="00433F10" w:rsidRDefault="00433F10">
      <w:r>
        <w:separator/>
      </w:r>
    </w:p>
  </w:footnote>
  <w:footnote w:type="continuationSeparator" w:id="0">
    <w:p w14:paraId="3EC746B4" w14:textId="77777777" w:rsidR="00433F10" w:rsidRDefault="00433F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epuces"/>
      <w:lvlText w:val=""/>
      <w:lvlJc w:val="left"/>
      <w:pPr>
        <w:tabs>
          <w:tab w:val="num" w:pos="360"/>
        </w:tabs>
        <w:ind w:left="360" w:hanging="360"/>
      </w:pPr>
      <w:rPr>
        <w:rFonts w:ascii="Symbol" w:hAnsi="Symbol" w:hint="default"/>
      </w:rPr>
    </w:lvl>
  </w:abstractNum>
  <w:abstractNum w:abstractNumId="6" w15:restartNumberingAfterBreak="0">
    <w:nsid w:val="012E769A"/>
    <w:multiLevelType w:val="hybridMultilevel"/>
    <w:tmpl w:val="3CA057DC"/>
    <w:lvl w:ilvl="0" w:tplc="100C0011">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05EA15C6"/>
    <w:multiLevelType w:val="hybridMultilevel"/>
    <w:tmpl w:val="E21C00C0"/>
    <w:lvl w:ilvl="0" w:tplc="100C0011">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124E6A33"/>
    <w:multiLevelType w:val="hybridMultilevel"/>
    <w:tmpl w:val="FB4AF37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21877185"/>
    <w:multiLevelType w:val="hybridMultilevel"/>
    <w:tmpl w:val="A7109070"/>
    <w:lvl w:ilvl="0" w:tplc="F6A84334">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2DCB0E96"/>
    <w:multiLevelType w:val="hybridMultilevel"/>
    <w:tmpl w:val="7736B264"/>
    <w:lvl w:ilvl="0" w:tplc="AF5253D2">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4"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5"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6"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15D5F51"/>
    <w:multiLevelType w:val="hybridMultilevel"/>
    <w:tmpl w:val="CC9ABDDA"/>
    <w:lvl w:ilvl="0" w:tplc="100C0011">
      <w:start w:val="1"/>
      <w:numFmt w:val="decimal"/>
      <w:lvlText w:val="%1)"/>
      <w:lvlJc w:val="left"/>
      <w:pPr>
        <w:ind w:left="1080" w:hanging="360"/>
      </w:p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8" w15:restartNumberingAfterBreak="0">
    <w:nsid w:val="434F6E0F"/>
    <w:multiLevelType w:val="hybridMultilevel"/>
    <w:tmpl w:val="A4B2C45E"/>
    <w:lvl w:ilvl="0" w:tplc="AF5253D2">
      <w:numFmt w:val="bullet"/>
      <w:lvlText w:val="-"/>
      <w:lvlJc w:val="left"/>
      <w:pPr>
        <w:ind w:left="720" w:hanging="360"/>
      </w:pPr>
      <w:rPr>
        <w:rFonts w:ascii="Times New Roman" w:eastAsia="Times New Roman" w:hAnsi="Times New Roman" w:cs="Times New Roman"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9"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4"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7"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8"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9" w15:restartNumberingAfterBreak="0">
    <w:nsid w:val="68FB2C61"/>
    <w:multiLevelType w:val="hybridMultilevel"/>
    <w:tmpl w:val="4CD6FF8E"/>
    <w:lvl w:ilvl="0" w:tplc="7DFE0840">
      <w:start w:val="1"/>
      <w:numFmt w:val="decimal"/>
      <w:pStyle w:val="SWCBibliography"/>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0"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6"/>
  </w:num>
  <w:num w:numId="3">
    <w:abstractNumId w:val="15"/>
  </w:num>
  <w:num w:numId="4">
    <w:abstractNumId w:val="30"/>
  </w:num>
  <w:num w:numId="5">
    <w:abstractNumId w:val="4"/>
  </w:num>
  <w:num w:numId="6">
    <w:abstractNumId w:val="3"/>
  </w:num>
  <w:num w:numId="7">
    <w:abstractNumId w:val="0"/>
  </w:num>
  <w:num w:numId="8">
    <w:abstractNumId w:val="2"/>
  </w:num>
  <w:num w:numId="9">
    <w:abstractNumId w:val="1"/>
  </w:num>
  <w:num w:numId="10">
    <w:abstractNumId w:val="9"/>
  </w:num>
  <w:num w:numId="11">
    <w:abstractNumId w:val="25"/>
  </w:num>
  <w:num w:numId="12">
    <w:abstractNumId w:val="21"/>
  </w:num>
  <w:num w:numId="13">
    <w:abstractNumId w:val="9"/>
    <w:lvlOverride w:ilvl="0">
      <w:startOverride w:val="1"/>
    </w:lvlOverride>
  </w:num>
  <w:num w:numId="14">
    <w:abstractNumId w:val="24"/>
  </w:num>
  <w:num w:numId="15">
    <w:abstractNumId w:val="11"/>
  </w:num>
  <w:num w:numId="16">
    <w:abstractNumId w:val="20"/>
  </w:num>
  <w:num w:numId="17">
    <w:abstractNumId w:val="23"/>
  </w:num>
  <w:num w:numId="18">
    <w:abstractNumId w:val="27"/>
  </w:num>
  <w:num w:numId="19">
    <w:abstractNumId w:val="14"/>
  </w:num>
  <w:num w:numId="20">
    <w:abstractNumId w:val="12"/>
  </w:num>
  <w:num w:numId="21">
    <w:abstractNumId w:val="19"/>
  </w:num>
  <w:num w:numId="22">
    <w:abstractNumId w:val="26"/>
  </w:num>
  <w:num w:numId="23">
    <w:abstractNumId w:val="22"/>
  </w:num>
  <w:num w:numId="24">
    <w:abstractNumId w:val="28"/>
  </w:num>
  <w:num w:numId="25">
    <w:abstractNumId w:val="6"/>
  </w:num>
  <w:num w:numId="26">
    <w:abstractNumId w:val="17"/>
  </w:num>
  <w:num w:numId="27">
    <w:abstractNumId w:val="7"/>
  </w:num>
  <w:num w:numId="28">
    <w:abstractNumId w:val="10"/>
  </w:num>
  <w:num w:numId="29">
    <w:abstractNumId w:val="29"/>
  </w:num>
  <w:num w:numId="30">
    <w:abstractNumId w:val="8"/>
  </w:num>
  <w:num w:numId="31">
    <w:abstractNumId w:val="18"/>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09E1"/>
    <w:rsid w:val="00000A87"/>
    <w:rsid w:val="00001F2B"/>
    <w:rsid w:val="00002E2D"/>
    <w:rsid w:val="00005037"/>
    <w:rsid w:val="00005B22"/>
    <w:rsid w:val="000063D5"/>
    <w:rsid w:val="000067DB"/>
    <w:rsid w:val="00007AA7"/>
    <w:rsid w:val="00007FEE"/>
    <w:rsid w:val="00010262"/>
    <w:rsid w:val="0001303E"/>
    <w:rsid w:val="00013400"/>
    <w:rsid w:val="00013AC4"/>
    <w:rsid w:val="00014B31"/>
    <w:rsid w:val="00021461"/>
    <w:rsid w:val="000218A1"/>
    <w:rsid w:val="00022072"/>
    <w:rsid w:val="0002379F"/>
    <w:rsid w:val="00023E86"/>
    <w:rsid w:val="00024887"/>
    <w:rsid w:val="0002655E"/>
    <w:rsid w:val="000304E4"/>
    <w:rsid w:val="00031101"/>
    <w:rsid w:val="000315DA"/>
    <w:rsid w:val="00031F13"/>
    <w:rsid w:val="000321E9"/>
    <w:rsid w:val="00032ADD"/>
    <w:rsid w:val="00033275"/>
    <w:rsid w:val="00034AFD"/>
    <w:rsid w:val="00040007"/>
    <w:rsid w:val="00041D22"/>
    <w:rsid w:val="000422A6"/>
    <w:rsid w:val="0004235D"/>
    <w:rsid w:val="000466D1"/>
    <w:rsid w:val="0005003E"/>
    <w:rsid w:val="000523E8"/>
    <w:rsid w:val="00052CAE"/>
    <w:rsid w:val="000533E4"/>
    <w:rsid w:val="000534F5"/>
    <w:rsid w:val="00053E02"/>
    <w:rsid w:val="000542E1"/>
    <w:rsid w:val="000543BE"/>
    <w:rsid w:val="00054960"/>
    <w:rsid w:val="00055DB9"/>
    <w:rsid w:val="000562FB"/>
    <w:rsid w:val="00056FAA"/>
    <w:rsid w:val="00056FFE"/>
    <w:rsid w:val="00057B5E"/>
    <w:rsid w:val="00060290"/>
    <w:rsid w:val="00062D16"/>
    <w:rsid w:val="00064555"/>
    <w:rsid w:val="00065DD1"/>
    <w:rsid w:val="00065FB8"/>
    <w:rsid w:val="00066B26"/>
    <w:rsid w:val="00066F72"/>
    <w:rsid w:val="000678AC"/>
    <w:rsid w:val="00067A16"/>
    <w:rsid w:val="00071255"/>
    <w:rsid w:val="000712A1"/>
    <w:rsid w:val="00072DAF"/>
    <w:rsid w:val="00074AC5"/>
    <w:rsid w:val="00074DBF"/>
    <w:rsid w:val="000753A7"/>
    <w:rsid w:val="000806AC"/>
    <w:rsid w:val="00080D19"/>
    <w:rsid w:val="00081015"/>
    <w:rsid w:val="000831E3"/>
    <w:rsid w:val="00085F84"/>
    <w:rsid w:val="00090830"/>
    <w:rsid w:val="00091F19"/>
    <w:rsid w:val="0009226B"/>
    <w:rsid w:val="00092E30"/>
    <w:rsid w:val="00092ED5"/>
    <w:rsid w:val="00094ADE"/>
    <w:rsid w:val="0009533B"/>
    <w:rsid w:val="00095B7C"/>
    <w:rsid w:val="00097702"/>
    <w:rsid w:val="00097ED3"/>
    <w:rsid w:val="000A011E"/>
    <w:rsid w:val="000A0ADB"/>
    <w:rsid w:val="000A0AF2"/>
    <w:rsid w:val="000A0FA3"/>
    <w:rsid w:val="000A11A3"/>
    <w:rsid w:val="000A15C1"/>
    <w:rsid w:val="000A1CC8"/>
    <w:rsid w:val="000A3089"/>
    <w:rsid w:val="000A30A5"/>
    <w:rsid w:val="000A36B5"/>
    <w:rsid w:val="000A52A1"/>
    <w:rsid w:val="000A551A"/>
    <w:rsid w:val="000A573F"/>
    <w:rsid w:val="000A67C5"/>
    <w:rsid w:val="000A6B9C"/>
    <w:rsid w:val="000A7BCE"/>
    <w:rsid w:val="000B01DE"/>
    <w:rsid w:val="000B04BE"/>
    <w:rsid w:val="000B09B5"/>
    <w:rsid w:val="000B1F4D"/>
    <w:rsid w:val="000B1FB3"/>
    <w:rsid w:val="000B33BA"/>
    <w:rsid w:val="000B71AF"/>
    <w:rsid w:val="000B7261"/>
    <w:rsid w:val="000C038F"/>
    <w:rsid w:val="000C0FAD"/>
    <w:rsid w:val="000C1AC2"/>
    <w:rsid w:val="000C2344"/>
    <w:rsid w:val="000C3323"/>
    <w:rsid w:val="000C3D09"/>
    <w:rsid w:val="000C4122"/>
    <w:rsid w:val="000C5336"/>
    <w:rsid w:val="000D11D0"/>
    <w:rsid w:val="000D4335"/>
    <w:rsid w:val="000D5F64"/>
    <w:rsid w:val="000D64B9"/>
    <w:rsid w:val="000D65EE"/>
    <w:rsid w:val="000D6E1A"/>
    <w:rsid w:val="000E1855"/>
    <w:rsid w:val="000E1B4A"/>
    <w:rsid w:val="000E49C7"/>
    <w:rsid w:val="000E4F02"/>
    <w:rsid w:val="000E4F52"/>
    <w:rsid w:val="000E54E6"/>
    <w:rsid w:val="000E5721"/>
    <w:rsid w:val="000E6CBA"/>
    <w:rsid w:val="000E6EA1"/>
    <w:rsid w:val="000E75BF"/>
    <w:rsid w:val="000E75DB"/>
    <w:rsid w:val="000E7E36"/>
    <w:rsid w:val="000F0C04"/>
    <w:rsid w:val="000F0C6F"/>
    <w:rsid w:val="000F2727"/>
    <w:rsid w:val="000F3486"/>
    <w:rsid w:val="000F3B48"/>
    <w:rsid w:val="000F40AE"/>
    <w:rsid w:val="000F56D5"/>
    <w:rsid w:val="000F739B"/>
    <w:rsid w:val="001000D2"/>
    <w:rsid w:val="00102542"/>
    <w:rsid w:val="00102A49"/>
    <w:rsid w:val="00103FEA"/>
    <w:rsid w:val="0010501A"/>
    <w:rsid w:val="0010536D"/>
    <w:rsid w:val="00106842"/>
    <w:rsid w:val="001069A3"/>
    <w:rsid w:val="00106E51"/>
    <w:rsid w:val="001079BC"/>
    <w:rsid w:val="00110186"/>
    <w:rsid w:val="0011197F"/>
    <w:rsid w:val="00111F12"/>
    <w:rsid w:val="00112203"/>
    <w:rsid w:val="001123F9"/>
    <w:rsid w:val="00113178"/>
    <w:rsid w:val="00113C01"/>
    <w:rsid w:val="00115778"/>
    <w:rsid w:val="00115D3B"/>
    <w:rsid w:val="001228E2"/>
    <w:rsid w:val="001276C1"/>
    <w:rsid w:val="00127C5A"/>
    <w:rsid w:val="0013005F"/>
    <w:rsid w:val="0013222F"/>
    <w:rsid w:val="00132A9E"/>
    <w:rsid w:val="00133788"/>
    <w:rsid w:val="00133E8C"/>
    <w:rsid w:val="00136177"/>
    <w:rsid w:val="00136CDB"/>
    <w:rsid w:val="00137961"/>
    <w:rsid w:val="00137CF6"/>
    <w:rsid w:val="00140F88"/>
    <w:rsid w:val="00144499"/>
    <w:rsid w:val="00144C9B"/>
    <w:rsid w:val="001476D8"/>
    <w:rsid w:val="001478C9"/>
    <w:rsid w:val="00147F2C"/>
    <w:rsid w:val="0015090D"/>
    <w:rsid w:val="00150B42"/>
    <w:rsid w:val="001518A2"/>
    <w:rsid w:val="00151932"/>
    <w:rsid w:val="001527FC"/>
    <w:rsid w:val="001552CD"/>
    <w:rsid w:val="00155FB8"/>
    <w:rsid w:val="00156CA6"/>
    <w:rsid w:val="00157CE5"/>
    <w:rsid w:val="001616BB"/>
    <w:rsid w:val="001647D2"/>
    <w:rsid w:val="00164F1B"/>
    <w:rsid w:val="00165C15"/>
    <w:rsid w:val="00166B00"/>
    <w:rsid w:val="00166C42"/>
    <w:rsid w:val="00167D44"/>
    <w:rsid w:val="00170927"/>
    <w:rsid w:val="0017132B"/>
    <w:rsid w:val="00171AA9"/>
    <w:rsid w:val="0017584B"/>
    <w:rsid w:val="001758B5"/>
    <w:rsid w:val="00176401"/>
    <w:rsid w:val="00176EF6"/>
    <w:rsid w:val="00177935"/>
    <w:rsid w:val="00181B6A"/>
    <w:rsid w:val="001904A7"/>
    <w:rsid w:val="0019177C"/>
    <w:rsid w:val="0019210F"/>
    <w:rsid w:val="0019232E"/>
    <w:rsid w:val="001934D2"/>
    <w:rsid w:val="00193589"/>
    <w:rsid w:val="001936C5"/>
    <w:rsid w:val="001949CD"/>
    <w:rsid w:val="00194E9A"/>
    <w:rsid w:val="001968B5"/>
    <w:rsid w:val="001969B9"/>
    <w:rsid w:val="001A027E"/>
    <w:rsid w:val="001A117A"/>
    <w:rsid w:val="001A5244"/>
    <w:rsid w:val="001A5B76"/>
    <w:rsid w:val="001A6754"/>
    <w:rsid w:val="001A6C6D"/>
    <w:rsid w:val="001A75C3"/>
    <w:rsid w:val="001A775B"/>
    <w:rsid w:val="001A79BB"/>
    <w:rsid w:val="001A7F40"/>
    <w:rsid w:val="001B13D6"/>
    <w:rsid w:val="001B167B"/>
    <w:rsid w:val="001B236F"/>
    <w:rsid w:val="001B278B"/>
    <w:rsid w:val="001B30FD"/>
    <w:rsid w:val="001B4531"/>
    <w:rsid w:val="001B499D"/>
    <w:rsid w:val="001B554F"/>
    <w:rsid w:val="001B6BCF"/>
    <w:rsid w:val="001B7299"/>
    <w:rsid w:val="001B7914"/>
    <w:rsid w:val="001B7B01"/>
    <w:rsid w:val="001C0B41"/>
    <w:rsid w:val="001C12FC"/>
    <w:rsid w:val="001C3A3D"/>
    <w:rsid w:val="001C3BC1"/>
    <w:rsid w:val="001C3DBB"/>
    <w:rsid w:val="001C4F1F"/>
    <w:rsid w:val="001C599F"/>
    <w:rsid w:val="001C5CCB"/>
    <w:rsid w:val="001C63A2"/>
    <w:rsid w:val="001C7B84"/>
    <w:rsid w:val="001D0384"/>
    <w:rsid w:val="001D27F8"/>
    <w:rsid w:val="001D33FC"/>
    <w:rsid w:val="001D3693"/>
    <w:rsid w:val="001D4912"/>
    <w:rsid w:val="001D4937"/>
    <w:rsid w:val="001D4B9F"/>
    <w:rsid w:val="001D4CB2"/>
    <w:rsid w:val="001D522A"/>
    <w:rsid w:val="001D66E5"/>
    <w:rsid w:val="001D7B61"/>
    <w:rsid w:val="001E116E"/>
    <w:rsid w:val="001E2B93"/>
    <w:rsid w:val="001E313C"/>
    <w:rsid w:val="001E4C63"/>
    <w:rsid w:val="001E6369"/>
    <w:rsid w:val="001E64C6"/>
    <w:rsid w:val="001E675D"/>
    <w:rsid w:val="001F0AB4"/>
    <w:rsid w:val="001F0DFA"/>
    <w:rsid w:val="001F0E03"/>
    <w:rsid w:val="001F118B"/>
    <w:rsid w:val="001F1AAA"/>
    <w:rsid w:val="001F1B08"/>
    <w:rsid w:val="001F1D44"/>
    <w:rsid w:val="001F2881"/>
    <w:rsid w:val="001F38D2"/>
    <w:rsid w:val="001F5132"/>
    <w:rsid w:val="001F5AA6"/>
    <w:rsid w:val="001F6B4B"/>
    <w:rsid w:val="00200CF3"/>
    <w:rsid w:val="0020313E"/>
    <w:rsid w:val="00203FD7"/>
    <w:rsid w:val="00204333"/>
    <w:rsid w:val="00205626"/>
    <w:rsid w:val="00205F18"/>
    <w:rsid w:val="00206116"/>
    <w:rsid w:val="00211EBF"/>
    <w:rsid w:val="00212628"/>
    <w:rsid w:val="00213D94"/>
    <w:rsid w:val="00213EDE"/>
    <w:rsid w:val="002142A5"/>
    <w:rsid w:val="00214501"/>
    <w:rsid w:val="00214585"/>
    <w:rsid w:val="00214E84"/>
    <w:rsid w:val="00215A64"/>
    <w:rsid w:val="00216585"/>
    <w:rsid w:val="00216C27"/>
    <w:rsid w:val="00220311"/>
    <w:rsid w:val="0022133E"/>
    <w:rsid w:val="0022226F"/>
    <w:rsid w:val="0022299B"/>
    <w:rsid w:val="00224CBB"/>
    <w:rsid w:val="00225724"/>
    <w:rsid w:val="00225BF8"/>
    <w:rsid w:val="00226BFE"/>
    <w:rsid w:val="00227079"/>
    <w:rsid w:val="00232461"/>
    <w:rsid w:val="00232640"/>
    <w:rsid w:val="0023319C"/>
    <w:rsid w:val="002331FE"/>
    <w:rsid w:val="0023395A"/>
    <w:rsid w:val="0023496C"/>
    <w:rsid w:val="0023507C"/>
    <w:rsid w:val="00235C56"/>
    <w:rsid w:val="00235FE1"/>
    <w:rsid w:val="0023720A"/>
    <w:rsid w:val="0023773A"/>
    <w:rsid w:val="00240D17"/>
    <w:rsid w:val="00240E09"/>
    <w:rsid w:val="0024212E"/>
    <w:rsid w:val="002421EC"/>
    <w:rsid w:val="00242915"/>
    <w:rsid w:val="00242933"/>
    <w:rsid w:val="00242F12"/>
    <w:rsid w:val="00243214"/>
    <w:rsid w:val="0024432F"/>
    <w:rsid w:val="002470B2"/>
    <w:rsid w:val="00247A55"/>
    <w:rsid w:val="002568E9"/>
    <w:rsid w:val="0026026B"/>
    <w:rsid w:val="002609D8"/>
    <w:rsid w:val="002643AB"/>
    <w:rsid w:val="002647A0"/>
    <w:rsid w:val="00266E47"/>
    <w:rsid w:val="002673DC"/>
    <w:rsid w:val="0027082D"/>
    <w:rsid w:val="00270E75"/>
    <w:rsid w:val="0027288C"/>
    <w:rsid w:val="00273341"/>
    <w:rsid w:val="002745EA"/>
    <w:rsid w:val="00274F60"/>
    <w:rsid w:val="002754F2"/>
    <w:rsid w:val="002766EE"/>
    <w:rsid w:val="00281D0B"/>
    <w:rsid w:val="002832B5"/>
    <w:rsid w:val="00285474"/>
    <w:rsid w:val="002876AF"/>
    <w:rsid w:val="002918B3"/>
    <w:rsid w:val="00292B4E"/>
    <w:rsid w:val="0029437E"/>
    <w:rsid w:val="0029449D"/>
    <w:rsid w:val="00296B17"/>
    <w:rsid w:val="002972D1"/>
    <w:rsid w:val="002A04A9"/>
    <w:rsid w:val="002A07BE"/>
    <w:rsid w:val="002A2B4A"/>
    <w:rsid w:val="002A39BB"/>
    <w:rsid w:val="002A4087"/>
    <w:rsid w:val="002A4F3E"/>
    <w:rsid w:val="002A5729"/>
    <w:rsid w:val="002A5AFD"/>
    <w:rsid w:val="002A6679"/>
    <w:rsid w:val="002A6EA9"/>
    <w:rsid w:val="002A72DE"/>
    <w:rsid w:val="002A7557"/>
    <w:rsid w:val="002B0000"/>
    <w:rsid w:val="002B0D2F"/>
    <w:rsid w:val="002B1146"/>
    <w:rsid w:val="002B2286"/>
    <w:rsid w:val="002B2787"/>
    <w:rsid w:val="002B2EAB"/>
    <w:rsid w:val="002B417A"/>
    <w:rsid w:val="002B5168"/>
    <w:rsid w:val="002B51A4"/>
    <w:rsid w:val="002B7302"/>
    <w:rsid w:val="002C089D"/>
    <w:rsid w:val="002C101B"/>
    <w:rsid w:val="002C168E"/>
    <w:rsid w:val="002C1B76"/>
    <w:rsid w:val="002C1CA2"/>
    <w:rsid w:val="002C2234"/>
    <w:rsid w:val="002C47A6"/>
    <w:rsid w:val="002C68AD"/>
    <w:rsid w:val="002C6D71"/>
    <w:rsid w:val="002C71C5"/>
    <w:rsid w:val="002D17B6"/>
    <w:rsid w:val="002D283A"/>
    <w:rsid w:val="002D322C"/>
    <w:rsid w:val="002D3987"/>
    <w:rsid w:val="002D3A71"/>
    <w:rsid w:val="002D4864"/>
    <w:rsid w:val="002D4BA3"/>
    <w:rsid w:val="002D53BE"/>
    <w:rsid w:val="002D6040"/>
    <w:rsid w:val="002D68ED"/>
    <w:rsid w:val="002E0369"/>
    <w:rsid w:val="002E0B75"/>
    <w:rsid w:val="002E1D56"/>
    <w:rsid w:val="002E1DD7"/>
    <w:rsid w:val="002E5D62"/>
    <w:rsid w:val="002F052C"/>
    <w:rsid w:val="002F1386"/>
    <w:rsid w:val="002F1D87"/>
    <w:rsid w:val="002F1FF4"/>
    <w:rsid w:val="002F38A4"/>
    <w:rsid w:val="002F4AF2"/>
    <w:rsid w:val="002F5C09"/>
    <w:rsid w:val="002F6081"/>
    <w:rsid w:val="002F6B87"/>
    <w:rsid w:val="00300353"/>
    <w:rsid w:val="00301A6D"/>
    <w:rsid w:val="00301D47"/>
    <w:rsid w:val="00301F67"/>
    <w:rsid w:val="003027C3"/>
    <w:rsid w:val="003027D6"/>
    <w:rsid w:val="00302AAA"/>
    <w:rsid w:val="00303345"/>
    <w:rsid w:val="00304227"/>
    <w:rsid w:val="00305304"/>
    <w:rsid w:val="00306725"/>
    <w:rsid w:val="00306729"/>
    <w:rsid w:val="00307B4C"/>
    <w:rsid w:val="003103CB"/>
    <w:rsid w:val="003106FD"/>
    <w:rsid w:val="00311F5F"/>
    <w:rsid w:val="003148AA"/>
    <w:rsid w:val="0031685E"/>
    <w:rsid w:val="00317668"/>
    <w:rsid w:val="00317EA9"/>
    <w:rsid w:val="00320508"/>
    <w:rsid w:val="0032077B"/>
    <w:rsid w:val="00320A12"/>
    <w:rsid w:val="003218BB"/>
    <w:rsid w:val="00322E3E"/>
    <w:rsid w:val="003243DA"/>
    <w:rsid w:val="00324656"/>
    <w:rsid w:val="00331145"/>
    <w:rsid w:val="0033129F"/>
    <w:rsid w:val="00331423"/>
    <w:rsid w:val="003357AC"/>
    <w:rsid w:val="00337E5D"/>
    <w:rsid w:val="0034137D"/>
    <w:rsid w:val="00343EF8"/>
    <w:rsid w:val="00344FEA"/>
    <w:rsid w:val="003463E0"/>
    <w:rsid w:val="00346FB8"/>
    <w:rsid w:val="00347E5B"/>
    <w:rsid w:val="003503BD"/>
    <w:rsid w:val="00350554"/>
    <w:rsid w:val="00352914"/>
    <w:rsid w:val="00353719"/>
    <w:rsid w:val="00354A94"/>
    <w:rsid w:val="00355CAD"/>
    <w:rsid w:val="0035638A"/>
    <w:rsid w:val="00356596"/>
    <w:rsid w:val="00357FFE"/>
    <w:rsid w:val="003605B9"/>
    <w:rsid w:val="00362122"/>
    <w:rsid w:val="00362E13"/>
    <w:rsid w:val="00362ED4"/>
    <w:rsid w:val="00364A52"/>
    <w:rsid w:val="00364B0D"/>
    <w:rsid w:val="00364B3E"/>
    <w:rsid w:val="00364B96"/>
    <w:rsid w:val="003703AF"/>
    <w:rsid w:val="00370917"/>
    <w:rsid w:val="00372EB7"/>
    <w:rsid w:val="00373F97"/>
    <w:rsid w:val="0037406D"/>
    <w:rsid w:val="00374216"/>
    <w:rsid w:val="00375437"/>
    <w:rsid w:val="00375AF1"/>
    <w:rsid w:val="003763C1"/>
    <w:rsid w:val="00376C70"/>
    <w:rsid w:val="00377794"/>
    <w:rsid w:val="003810FC"/>
    <w:rsid w:val="0038545D"/>
    <w:rsid w:val="003869E8"/>
    <w:rsid w:val="00387414"/>
    <w:rsid w:val="00390B39"/>
    <w:rsid w:val="00391288"/>
    <w:rsid w:val="00393777"/>
    <w:rsid w:val="003947E9"/>
    <w:rsid w:val="003950CE"/>
    <w:rsid w:val="00395E5A"/>
    <w:rsid w:val="00395F5E"/>
    <w:rsid w:val="0039742D"/>
    <w:rsid w:val="003A0351"/>
    <w:rsid w:val="003A1BC0"/>
    <w:rsid w:val="003A1D53"/>
    <w:rsid w:val="003A2197"/>
    <w:rsid w:val="003A3A38"/>
    <w:rsid w:val="003A7939"/>
    <w:rsid w:val="003A7DB9"/>
    <w:rsid w:val="003B0A59"/>
    <w:rsid w:val="003B1032"/>
    <w:rsid w:val="003B10BD"/>
    <w:rsid w:val="003B2055"/>
    <w:rsid w:val="003B5C35"/>
    <w:rsid w:val="003C02EC"/>
    <w:rsid w:val="003C0806"/>
    <w:rsid w:val="003C096B"/>
    <w:rsid w:val="003C117D"/>
    <w:rsid w:val="003C18DE"/>
    <w:rsid w:val="003C1B31"/>
    <w:rsid w:val="003C2B1A"/>
    <w:rsid w:val="003C3231"/>
    <w:rsid w:val="003C3593"/>
    <w:rsid w:val="003C39C6"/>
    <w:rsid w:val="003C7E95"/>
    <w:rsid w:val="003D0674"/>
    <w:rsid w:val="003D06A0"/>
    <w:rsid w:val="003D0C22"/>
    <w:rsid w:val="003D6941"/>
    <w:rsid w:val="003E06EF"/>
    <w:rsid w:val="003E0F7E"/>
    <w:rsid w:val="003E1E1C"/>
    <w:rsid w:val="003E3C58"/>
    <w:rsid w:val="003E4514"/>
    <w:rsid w:val="003E5107"/>
    <w:rsid w:val="003E669B"/>
    <w:rsid w:val="003F0403"/>
    <w:rsid w:val="003F052D"/>
    <w:rsid w:val="003F1AC7"/>
    <w:rsid w:val="003F331C"/>
    <w:rsid w:val="003F5B99"/>
    <w:rsid w:val="003F5D03"/>
    <w:rsid w:val="003F64A0"/>
    <w:rsid w:val="003F6A07"/>
    <w:rsid w:val="003F7D86"/>
    <w:rsid w:val="004019FD"/>
    <w:rsid w:val="00402355"/>
    <w:rsid w:val="0040297C"/>
    <w:rsid w:val="00403AE7"/>
    <w:rsid w:val="00403B41"/>
    <w:rsid w:val="00403E6A"/>
    <w:rsid w:val="004043DC"/>
    <w:rsid w:val="0040482B"/>
    <w:rsid w:val="004052BE"/>
    <w:rsid w:val="004053B5"/>
    <w:rsid w:val="00405795"/>
    <w:rsid w:val="00405850"/>
    <w:rsid w:val="0040615A"/>
    <w:rsid w:val="004074A8"/>
    <w:rsid w:val="00407B56"/>
    <w:rsid w:val="00411E29"/>
    <w:rsid w:val="004127FA"/>
    <w:rsid w:val="00412EE8"/>
    <w:rsid w:val="00414BBF"/>
    <w:rsid w:val="004158C2"/>
    <w:rsid w:val="00415B43"/>
    <w:rsid w:val="0041737B"/>
    <w:rsid w:val="0042033E"/>
    <w:rsid w:val="00423526"/>
    <w:rsid w:val="004236A5"/>
    <w:rsid w:val="00425BDB"/>
    <w:rsid w:val="0043055D"/>
    <w:rsid w:val="00430FD7"/>
    <w:rsid w:val="00433BA4"/>
    <w:rsid w:val="00433F10"/>
    <w:rsid w:val="004357AD"/>
    <w:rsid w:val="00435B57"/>
    <w:rsid w:val="00435F08"/>
    <w:rsid w:val="004369DF"/>
    <w:rsid w:val="00440484"/>
    <w:rsid w:val="0044123C"/>
    <w:rsid w:val="00441A10"/>
    <w:rsid w:val="00444437"/>
    <w:rsid w:val="00444604"/>
    <w:rsid w:val="0044546F"/>
    <w:rsid w:val="00447EE1"/>
    <w:rsid w:val="00450A04"/>
    <w:rsid w:val="0045272C"/>
    <w:rsid w:val="00452E91"/>
    <w:rsid w:val="00452FED"/>
    <w:rsid w:val="00453296"/>
    <w:rsid w:val="00453DB8"/>
    <w:rsid w:val="00463B05"/>
    <w:rsid w:val="00463EF7"/>
    <w:rsid w:val="004665B0"/>
    <w:rsid w:val="00466819"/>
    <w:rsid w:val="00467DFD"/>
    <w:rsid w:val="00470C57"/>
    <w:rsid w:val="0047232B"/>
    <w:rsid w:val="00473464"/>
    <w:rsid w:val="00474219"/>
    <w:rsid w:val="00476879"/>
    <w:rsid w:val="004812AD"/>
    <w:rsid w:val="00481302"/>
    <w:rsid w:val="004821AD"/>
    <w:rsid w:val="004827ED"/>
    <w:rsid w:val="00483FB0"/>
    <w:rsid w:val="00484387"/>
    <w:rsid w:val="00484907"/>
    <w:rsid w:val="00484EA3"/>
    <w:rsid w:val="00485F84"/>
    <w:rsid w:val="00487CD2"/>
    <w:rsid w:val="00490F10"/>
    <w:rsid w:val="00491628"/>
    <w:rsid w:val="00493B05"/>
    <w:rsid w:val="00493C81"/>
    <w:rsid w:val="00494006"/>
    <w:rsid w:val="00496591"/>
    <w:rsid w:val="004A0065"/>
    <w:rsid w:val="004A14C9"/>
    <w:rsid w:val="004A3506"/>
    <w:rsid w:val="004A4784"/>
    <w:rsid w:val="004A53FF"/>
    <w:rsid w:val="004A567F"/>
    <w:rsid w:val="004A6BD5"/>
    <w:rsid w:val="004A7DC3"/>
    <w:rsid w:val="004A7E9D"/>
    <w:rsid w:val="004B0B83"/>
    <w:rsid w:val="004B0CD4"/>
    <w:rsid w:val="004B176F"/>
    <w:rsid w:val="004B2732"/>
    <w:rsid w:val="004B2DFD"/>
    <w:rsid w:val="004B4F3D"/>
    <w:rsid w:val="004B5B63"/>
    <w:rsid w:val="004B5CFA"/>
    <w:rsid w:val="004B6461"/>
    <w:rsid w:val="004B753F"/>
    <w:rsid w:val="004B7D82"/>
    <w:rsid w:val="004C00DE"/>
    <w:rsid w:val="004C076B"/>
    <w:rsid w:val="004C0F80"/>
    <w:rsid w:val="004C1214"/>
    <w:rsid w:val="004C2792"/>
    <w:rsid w:val="004C33D6"/>
    <w:rsid w:val="004C39AD"/>
    <w:rsid w:val="004C39F1"/>
    <w:rsid w:val="004C3B4E"/>
    <w:rsid w:val="004C4EE9"/>
    <w:rsid w:val="004C53D6"/>
    <w:rsid w:val="004C600D"/>
    <w:rsid w:val="004C640D"/>
    <w:rsid w:val="004C6C70"/>
    <w:rsid w:val="004D14B3"/>
    <w:rsid w:val="004D17F2"/>
    <w:rsid w:val="004D1FD2"/>
    <w:rsid w:val="004D2EF9"/>
    <w:rsid w:val="004D317C"/>
    <w:rsid w:val="004D3334"/>
    <w:rsid w:val="004D36A0"/>
    <w:rsid w:val="004D47D3"/>
    <w:rsid w:val="004D52CE"/>
    <w:rsid w:val="004D52DF"/>
    <w:rsid w:val="004D6322"/>
    <w:rsid w:val="004D651F"/>
    <w:rsid w:val="004E0194"/>
    <w:rsid w:val="004E0707"/>
    <w:rsid w:val="004E322A"/>
    <w:rsid w:val="004E4DE3"/>
    <w:rsid w:val="004E5D79"/>
    <w:rsid w:val="004E6C0D"/>
    <w:rsid w:val="004E7A74"/>
    <w:rsid w:val="004F4904"/>
    <w:rsid w:val="004F5FF9"/>
    <w:rsid w:val="004F683C"/>
    <w:rsid w:val="004F68D9"/>
    <w:rsid w:val="004F6C67"/>
    <w:rsid w:val="004F6CB5"/>
    <w:rsid w:val="004F72F6"/>
    <w:rsid w:val="004F7C25"/>
    <w:rsid w:val="00500640"/>
    <w:rsid w:val="00500A97"/>
    <w:rsid w:val="00500D7D"/>
    <w:rsid w:val="00501541"/>
    <w:rsid w:val="005016B4"/>
    <w:rsid w:val="00501CE6"/>
    <w:rsid w:val="00501E66"/>
    <w:rsid w:val="005030EA"/>
    <w:rsid w:val="00504F0B"/>
    <w:rsid w:val="005067AC"/>
    <w:rsid w:val="0050691B"/>
    <w:rsid w:val="005137E1"/>
    <w:rsid w:val="005144E9"/>
    <w:rsid w:val="00514890"/>
    <w:rsid w:val="0051584D"/>
    <w:rsid w:val="005161ED"/>
    <w:rsid w:val="00516A36"/>
    <w:rsid w:val="00516DD7"/>
    <w:rsid w:val="00516F28"/>
    <w:rsid w:val="0051734C"/>
    <w:rsid w:val="00521174"/>
    <w:rsid w:val="0052142F"/>
    <w:rsid w:val="00521543"/>
    <w:rsid w:val="00521A24"/>
    <w:rsid w:val="00522186"/>
    <w:rsid w:val="005240D7"/>
    <w:rsid w:val="00524F38"/>
    <w:rsid w:val="00525488"/>
    <w:rsid w:val="0053048D"/>
    <w:rsid w:val="00530635"/>
    <w:rsid w:val="00531F52"/>
    <w:rsid w:val="00532138"/>
    <w:rsid w:val="00533182"/>
    <w:rsid w:val="0053319E"/>
    <w:rsid w:val="005333F2"/>
    <w:rsid w:val="00533E1F"/>
    <w:rsid w:val="005340FF"/>
    <w:rsid w:val="0053532A"/>
    <w:rsid w:val="00535C0E"/>
    <w:rsid w:val="00536806"/>
    <w:rsid w:val="00536975"/>
    <w:rsid w:val="00536A23"/>
    <w:rsid w:val="005404F1"/>
    <w:rsid w:val="0054156B"/>
    <w:rsid w:val="00542C0C"/>
    <w:rsid w:val="00543482"/>
    <w:rsid w:val="00544D85"/>
    <w:rsid w:val="00546866"/>
    <w:rsid w:val="00546F56"/>
    <w:rsid w:val="00550776"/>
    <w:rsid w:val="00550B1E"/>
    <w:rsid w:val="00552AB2"/>
    <w:rsid w:val="00556004"/>
    <w:rsid w:val="00556CE2"/>
    <w:rsid w:val="00556ECB"/>
    <w:rsid w:val="005577FC"/>
    <w:rsid w:val="00557E7F"/>
    <w:rsid w:val="005603E9"/>
    <w:rsid w:val="00562395"/>
    <w:rsid w:val="0056258A"/>
    <w:rsid w:val="00563245"/>
    <w:rsid w:val="0056377C"/>
    <w:rsid w:val="00563B95"/>
    <w:rsid w:val="00564DC6"/>
    <w:rsid w:val="0056503B"/>
    <w:rsid w:val="0056552B"/>
    <w:rsid w:val="00566460"/>
    <w:rsid w:val="005666F3"/>
    <w:rsid w:val="00566B0D"/>
    <w:rsid w:val="00567C07"/>
    <w:rsid w:val="005700FF"/>
    <w:rsid w:val="0057075C"/>
    <w:rsid w:val="0057099F"/>
    <w:rsid w:val="005716C0"/>
    <w:rsid w:val="00571D88"/>
    <w:rsid w:val="005721F8"/>
    <w:rsid w:val="0057322F"/>
    <w:rsid w:val="0057336F"/>
    <w:rsid w:val="00576481"/>
    <w:rsid w:val="00577F91"/>
    <w:rsid w:val="00577FF7"/>
    <w:rsid w:val="0058155C"/>
    <w:rsid w:val="005836C7"/>
    <w:rsid w:val="0058459F"/>
    <w:rsid w:val="0058476E"/>
    <w:rsid w:val="00584A42"/>
    <w:rsid w:val="00586FDD"/>
    <w:rsid w:val="00587B8A"/>
    <w:rsid w:val="00590DA2"/>
    <w:rsid w:val="0059119D"/>
    <w:rsid w:val="005917D1"/>
    <w:rsid w:val="0059340D"/>
    <w:rsid w:val="00593AED"/>
    <w:rsid w:val="00594071"/>
    <w:rsid w:val="00594FDA"/>
    <w:rsid w:val="005A0632"/>
    <w:rsid w:val="005A57D6"/>
    <w:rsid w:val="005A6375"/>
    <w:rsid w:val="005A6B1B"/>
    <w:rsid w:val="005A7583"/>
    <w:rsid w:val="005B18CD"/>
    <w:rsid w:val="005B2A51"/>
    <w:rsid w:val="005B3E86"/>
    <w:rsid w:val="005B5BD2"/>
    <w:rsid w:val="005B6506"/>
    <w:rsid w:val="005B6F55"/>
    <w:rsid w:val="005C168F"/>
    <w:rsid w:val="005C1A15"/>
    <w:rsid w:val="005C1C3A"/>
    <w:rsid w:val="005C1D48"/>
    <w:rsid w:val="005C2E8E"/>
    <w:rsid w:val="005C37CB"/>
    <w:rsid w:val="005C592A"/>
    <w:rsid w:val="005C5BED"/>
    <w:rsid w:val="005C5F8F"/>
    <w:rsid w:val="005C6C04"/>
    <w:rsid w:val="005C6EAE"/>
    <w:rsid w:val="005D1066"/>
    <w:rsid w:val="005D39E0"/>
    <w:rsid w:val="005D5002"/>
    <w:rsid w:val="005D5CF6"/>
    <w:rsid w:val="005D65A0"/>
    <w:rsid w:val="005D6F67"/>
    <w:rsid w:val="005D7AFC"/>
    <w:rsid w:val="005E04EA"/>
    <w:rsid w:val="005E0B4A"/>
    <w:rsid w:val="005E0D7D"/>
    <w:rsid w:val="005E2F89"/>
    <w:rsid w:val="005E44D6"/>
    <w:rsid w:val="005E7208"/>
    <w:rsid w:val="005E7A51"/>
    <w:rsid w:val="005F03C3"/>
    <w:rsid w:val="005F106F"/>
    <w:rsid w:val="005F43EE"/>
    <w:rsid w:val="005F4B94"/>
    <w:rsid w:val="005F52A7"/>
    <w:rsid w:val="005F55BF"/>
    <w:rsid w:val="005F5FAC"/>
    <w:rsid w:val="00600A7C"/>
    <w:rsid w:val="006010D9"/>
    <w:rsid w:val="0060265C"/>
    <w:rsid w:val="00602DA6"/>
    <w:rsid w:val="006046BC"/>
    <w:rsid w:val="00605D28"/>
    <w:rsid w:val="00606276"/>
    <w:rsid w:val="00606C9C"/>
    <w:rsid w:val="0060759A"/>
    <w:rsid w:val="00607C4E"/>
    <w:rsid w:val="00610271"/>
    <w:rsid w:val="006108D5"/>
    <w:rsid w:val="00611DA3"/>
    <w:rsid w:val="0061316D"/>
    <w:rsid w:val="00613428"/>
    <w:rsid w:val="00613AF9"/>
    <w:rsid w:val="0061732F"/>
    <w:rsid w:val="00617744"/>
    <w:rsid w:val="00621345"/>
    <w:rsid w:val="0062236E"/>
    <w:rsid w:val="0062257E"/>
    <w:rsid w:val="006244C7"/>
    <w:rsid w:val="006249BA"/>
    <w:rsid w:val="00624AB3"/>
    <w:rsid w:val="00625665"/>
    <w:rsid w:val="00625B6A"/>
    <w:rsid w:val="00625BC2"/>
    <w:rsid w:val="00625E66"/>
    <w:rsid w:val="00627118"/>
    <w:rsid w:val="006279FE"/>
    <w:rsid w:val="00627E34"/>
    <w:rsid w:val="00627F51"/>
    <w:rsid w:val="006309AA"/>
    <w:rsid w:val="00631ACF"/>
    <w:rsid w:val="006325E1"/>
    <w:rsid w:val="00633473"/>
    <w:rsid w:val="00633E00"/>
    <w:rsid w:val="006379BD"/>
    <w:rsid w:val="006401B5"/>
    <w:rsid w:val="00641A42"/>
    <w:rsid w:val="00643268"/>
    <w:rsid w:val="00643A1E"/>
    <w:rsid w:val="00643B57"/>
    <w:rsid w:val="00643EED"/>
    <w:rsid w:val="0064403B"/>
    <w:rsid w:val="0064408B"/>
    <w:rsid w:val="006458C4"/>
    <w:rsid w:val="0064748A"/>
    <w:rsid w:val="006500EC"/>
    <w:rsid w:val="00652071"/>
    <w:rsid w:val="00652D7E"/>
    <w:rsid w:val="00653551"/>
    <w:rsid w:val="00653713"/>
    <w:rsid w:val="00654F69"/>
    <w:rsid w:val="0065563B"/>
    <w:rsid w:val="00655858"/>
    <w:rsid w:val="006565FC"/>
    <w:rsid w:val="00657180"/>
    <w:rsid w:val="00657AB4"/>
    <w:rsid w:val="00661CEF"/>
    <w:rsid w:val="0066323E"/>
    <w:rsid w:val="00663315"/>
    <w:rsid w:val="00663929"/>
    <w:rsid w:val="006648AC"/>
    <w:rsid w:val="00665459"/>
    <w:rsid w:val="00665471"/>
    <w:rsid w:val="006659A6"/>
    <w:rsid w:val="00666924"/>
    <w:rsid w:val="006722C6"/>
    <w:rsid w:val="00674737"/>
    <w:rsid w:val="006751EE"/>
    <w:rsid w:val="0067594D"/>
    <w:rsid w:val="00675ABD"/>
    <w:rsid w:val="0068590C"/>
    <w:rsid w:val="0068607D"/>
    <w:rsid w:val="00686B31"/>
    <w:rsid w:val="00691682"/>
    <w:rsid w:val="0069276A"/>
    <w:rsid w:val="00692D7F"/>
    <w:rsid w:val="00696A18"/>
    <w:rsid w:val="006A0AE2"/>
    <w:rsid w:val="006A18F6"/>
    <w:rsid w:val="006A2F10"/>
    <w:rsid w:val="006A35E4"/>
    <w:rsid w:val="006A4845"/>
    <w:rsid w:val="006A5CC3"/>
    <w:rsid w:val="006A76A8"/>
    <w:rsid w:val="006A77D0"/>
    <w:rsid w:val="006A7916"/>
    <w:rsid w:val="006B0449"/>
    <w:rsid w:val="006B1976"/>
    <w:rsid w:val="006B1B15"/>
    <w:rsid w:val="006B22D3"/>
    <w:rsid w:val="006B3377"/>
    <w:rsid w:val="006B36D7"/>
    <w:rsid w:val="006B3D49"/>
    <w:rsid w:val="006B4C9F"/>
    <w:rsid w:val="006B5597"/>
    <w:rsid w:val="006B5DAE"/>
    <w:rsid w:val="006C1F3A"/>
    <w:rsid w:val="006C23FA"/>
    <w:rsid w:val="006C441D"/>
    <w:rsid w:val="006C5D8D"/>
    <w:rsid w:val="006C6A8A"/>
    <w:rsid w:val="006C756C"/>
    <w:rsid w:val="006D0438"/>
    <w:rsid w:val="006D19E1"/>
    <w:rsid w:val="006D24C3"/>
    <w:rsid w:val="006D2CCF"/>
    <w:rsid w:val="006D40EC"/>
    <w:rsid w:val="006D4993"/>
    <w:rsid w:val="006D4A96"/>
    <w:rsid w:val="006D4BC5"/>
    <w:rsid w:val="006D5439"/>
    <w:rsid w:val="006D5A3B"/>
    <w:rsid w:val="006D7CBE"/>
    <w:rsid w:val="006E01DD"/>
    <w:rsid w:val="006E0FA1"/>
    <w:rsid w:val="006E27EE"/>
    <w:rsid w:val="006E282F"/>
    <w:rsid w:val="006E628E"/>
    <w:rsid w:val="006E6C6B"/>
    <w:rsid w:val="006F0037"/>
    <w:rsid w:val="006F273C"/>
    <w:rsid w:val="006F28D7"/>
    <w:rsid w:val="006F2BF2"/>
    <w:rsid w:val="006F3259"/>
    <w:rsid w:val="006F3776"/>
    <w:rsid w:val="006F45C3"/>
    <w:rsid w:val="006F4630"/>
    <w:rsid w:val="006F4E38"/>
    <w:rsid w:val="006F52CD"/>
    <w:rsid w:val="006F5B85"/>
    <w:rsid w:val="006F6A78"/>
    <w:rsid w:val="006F76BC"/>
    <w:rsid w:val="006F7A87"/>
    <w:rsid w:val="0070145D"/>
    <w:rsid w:val="007014AF"/>
    <w:rsid w:val="00702AE0"/>
    <w:rsid w:val="007043DA"/>
    <w:rsid w:val="00704A17"/>
    <w:rsid w:val="00706061"/>
    <w:rsid w:val="00707533"/>
    <w:rsid w:val="007075FB"/>
    <w:rsid w:val="00710E7D"/>
    <w:rsid w:val="00711594"/>
    <w:rsid w:val="00711D6F"/>
    <w:rsid w:val="00714F6D"/>
    <w:rsid w:val="00715097"/>
    <w:rsid w:val="00716068"/>
    <w:rsid w:val="007174DA"/>
    <w:rsid w:val="007205C6"/>
    <w:rsid w:val="00722B47"/>
    <w:rsid w:val="00722B51"/>
    <w:rsid w:val="00725ED2"/>
    <w:rsid w:val="007273A3"/>
    <w:rsid w:val="007316CF"/>
    <w:rsid w:val="00731D7D"/>
    <w:rsid w:val="007348C2"/>
    <w:rsid w:val="00736161"/>
    <w:rsid w:val="0073678A"/>
    <w:rsid w:val="00736CF6"/>
    <w:rsid w:val="007400DF"/>
    <w:rsid w:val="007407C6"/>
    <w:rsid w:val="007420AF"/>
    <w:rsid w:val="00743987"/>
    <w:rsid w:val="00744D62"/>
    <w:rsid w:val="007452BE"/>
    <w:rsid w:val="007462D5"/>
    <w:rsid w:val="00746538"/>
    <w:rsid w:val="007465B9"/>
    <w:rsid w:val="00747BFA"/>
    <w:rsid w:val="00751F2C"/>
    <w:rsid w:val="007535AA"/>
    <w:rsid w:val="007535ED"/>
    <w:rsid w:val="0075406E"/>
    <w:rsid w:val="00754D40"/>
    <w:rsid w:val="00755316"/>
    <w:rsid w:val="007554EA"/>
    <w:rsid w:val="00756308"/>
    <w:rsid w:val="00756702"/>
    <w:rsid w:val="0075752A"/>
    <w:rsid w:val="00760535"/>
    <w:rsid w:val="0076168D"/>
    <w:rsid w:val="007625A4"/>
    <w:rsid w:val="00762EA3"/>
    <w:rsid w:val="007661FB"/>
    <w:rsid w:val="007665AE"/>
    <w:rsid w:val="00767918"/>
    <w:rsid w:val="00770DEE"/>
    <w:rsid w:val="00771C02"/>
    <w:rsid w:val="00773002"/>
    <w:rsid w:val="00773EBE"/>
    <w:rsid w:val="00774C2E"/>
    <w:rsid w:val="007763CB"/>
    <w:rsid w:val="00776728"/>
    <w:rsid w:val="00776985"/>
    <w:rsid w:val="00777485"/>
    <w:rsid w:val="007804A7"/>
    <w:rsid w:val="00781C6F"/>
    <w:rsid w:val="00781DB2"/>
    <w:rsid w:val="007829FD"/>
    <w:rsid w:val="007855A9"/>
    <w:rsid w:val="00785BFC"/>
    <w:rsid w:val="007908F6"/>
    <w:rsid w:val="0079149B"/>
    <w:rsid w:val="00792FC2"/>
    <w:rsid w:val="00793589"/>
    <w:rsid w:val="00794E25"/>
    <w:rsid w:val="0079501C"/>
    <w:rsid w:val="007954D9"/>
    <w:rsid w:val="0079647E"/>
    <w:rsid w:val="007A180C"/>
    <w:rsid w:val="007A1909"/>
    <w:rsid w:val="007A26D2"/>
    <w:rsid w:val="007A27AC"/>
    <w:rsid w:val="007A2C6C"/>
    <w:rsid w:val="007A345C"/>
    <w:rsid w:val="007A4063"/>
    <w:rsid w:val="007A58E4"/>
    <w:rsid w:val="007A701A"/>
    <w:rsid w:val="007A7952"/>
    <w:rsid w:val="007B0BC4"/>
    <w:rsid w:val="007B0BDB"/>
    <w:rsid w:val="007B2565"/>
    <w:rsid w:val="007B33DF"/>
    <w:rsid w:val="007B6A26"/>
    <w:rsid w:val="007B7074"/>
    <w:rsid w:val="007B7584"/>
    <w:rsid w:val="007B7945"/>
    <w:rsid w:val="007C067C"/>
    <w:rsid w:val="007C1632"/>
    <w:rsid w:val="007C1B37"/>
    <w:rsid w:val="007C26B0"/>
    <w:rsid w:val="007C348E"/>
    <w:rsid w:val="007C36EF"/>
    <w:rsid w:val="007C6029"/>
    <w:rsid w:val="007C6BDE"/>
    <w:rsid w:val="007C6DFA"/>
    <w:rsid w:val="007C70C5"/>
    <w:rsid w:val="007D0678"/>
    <w:rsid w:val="007D08A2"/>
    <w:rsid w:val="007D169B"/>
    <w:rsid w:val="007D1C2C"/>
    <w:rsid w:val="007D2D6B"/>
    <w:rsid w:val="007D328D"/>
    <w:rsid w:val="007D48A2"/>
    <w:rsid w:val="007D6F33"/>
    <w:rsid w:val="007E02E1"/>
    <w:rsid w:val="007E0F57"/>
    <w:rsid w:val="007E358C"/>
    <w:rsid w:val="007E51B3"/>
    <w:rsid w:val="007E6A90"/>
    <w:rsid w:val="007E7634"/>
    <w:rsid w:val="007E7A4F"/>
    <w:rsid w:val="007F08E6"/>
    <w:rsid w:val="007F1313"/>
    <w:rsid w:val="007F1B78"/>
    <w:rsid w:val="007F5485"/>
    <w:rsid w:val="0080062F"/>
    <w:rsid w:val="00800E25"/>
    <w:rsid w:val="00801634"/>
    <w:rsid w:val="0080537B"/>
    <w:rsid w:val="00807D22"/>
    <w:rsid w:val="00810B3E"/>
    <w:rsid w:val="00811D22"/>
    <w:rsid w:val="0081335B"/>
    <w:rsid w:val="0081478A"/>
    <w:rsid w:val="00815766"/>
    <w:rsid w:val="008219CF"/>
    <w:rsid w:val="00821EFB"/>
    <w:rsid w:val="008228C3"/>
    <w:rsid w:val="00823279"/>
    <w:rsid w:val="008239D4"/>
    <w:rsid w:val="00824072"/>
    <w:rsid w:val="008241E0"/>
    <w:rsid w:val="008243ED"/>
    <w:rsid w:val="008272BB"/>
    <w:rsid w:val="008314FC"/>
    <w:rsid w:val="00832A5A"/>
    <w:rsid w:val="00833926"/>
    <w:rsid w:val="00834062"/>
    <w:rsid w:val="00835541"/>
    <w:rsid w:val="00837104"/>
    <w:rsid w:val="00837D3C"/>
    <w:rsid w:val="00840E8F"/>
    <w:rsid w:val="0084100F"/>
    <w:rsid w:val="00842114"/>
    <w:rsid w:val="00842319"/>
    <w:rsid w:val="0084297D"/>
    <w:rsid w:val="00843071"/>
    <w:rsid w:val="00843334"/>
    <w:rsid w:val="00843B3D"/>
    <w:rsid w:val="00844034"/>
    <w:rsid w:val="00844F36"/>
    <w:rsid w:val="00845644"/>
    <w:rsid w:val="00845AE3"/>
    <w:rsid w:val="0084785E"/>
    <w:rsid w:val="008501BE"/>
    <w:rsid w:val="008520EA"/>
    <w:rsid w:val="00857770"/>
    <w:rsid w:val="00860069"/>
    <w:rsid w:val="00861C99"/>
    <w:rsid w:val="008620D1"/>
    <w:rsid w:val="0086254D"/>
    <w:rsid w:val="00862AE7"/>
    <w:rsid w:val="00865F0C"/>
    <w:rsid w:val="00866B94"/>
    <w:rsid w:val="008673A7"/>
    <w:rsid w:val="0087241B"/>
    <w:rsid w:val="0087330D"/>
    <w:rsid w:val="008743C2"/>
    <w:rsid w:val="008816E8"/>
    <w:rsid w:val="00882817"/>
    <w:rsid w:val="0088612F"/>
    <w:rsid w:val="00886E6F"/>
    <w:rsid w:val="00890034"/>
    <w:rsid w:val="00893500"/>
    <w:rsid w:val="0089374D"/>
    <w:rsid w:val="00894ADC"/>
    <w:rsid w:val="00895351"/>
    <w:rsid w:val="00896888"/>
    <w:rsid w:val="008A0437"/>
    <w:rsid w:val="008A0AFE"/>
    <w:rsid w:val="008A0D1A"/>
    <w:rsid w:val="008A1F76"/>
    <w:rsid w:val="008A4D3D"/>
    <w:rsid w:val="008A4D94"/>
    <w:rsid w:val="008A6A57"/>
    <w:rsid w:val="008A7019"/>
    <w:rsid w:val="008A7EED"/>
    <w:rsid w:val="008B1862"/>
    <w:rsid w:val="008B1AB9"/>
    <w:rsid w:val="008B273D"/>
    <w:rsid w:val="008B2F94"/>
    <w:rsid w:val="008B4EA6"/>
    <w:rsid w:val="008B618F"/>
    <w:rsid w:val="008B6982"/>
    <w:rsid w:val="008C0A5F"/>
    <w:rsid w:val="008C0B1A"/>
    <w:rsid w:val="008C1E11"/>
    <w:rsid w:val="008C4852"/>
    <w:rsid w:val="008C4AB3"/>
    <w:rsid w:val="008C6305"/>
    <w:rsid w:val="008D0C23"/>
    <w:rsid w:val="008D44C5"/>
    <w:rsid w:val="008D76AB"/>
    <w:rsid w:val="008D7E85"/>
    <w:rsid w:val="008E027F"/>
    <w:rsid w:val="008E050B"/>
    <w:rsid w:val="008E0593"/>
    <w:rsid w:val="008E19FF"/>
    <w:rsid w:val="008E1E47"/>
    <w:rsid w:val="008E2046"/>
    <w:rsid w:val="008E53FF"/>
    <w:rsid w:val="008E6D8C"/>
    <w:rsid w:val="008E71BA"/>
    <w:rsid w:val="008E73BB"/>
    <w:rsid w:val="008F03D4"/>
    <w:rsid w:val="008F083B"/>
    <w:rsid w:val="008F1C6A"/>
    <w:rsid w:val="008F1F1D"/>
    <w:rsid w:val="008F249D"/>
    <w:rsid w:val="008F410F"/>
    <w:rsid w:val="008F4F27"/>
    <w:rsid w:val="008F54F8"/>
    <w:rsid w:val="008F56EE"/>
    <w:rsid w:val="008F5C49"/>
    <w:rsid w:val="008F7789"/>
    <w:rsid w:val="009011AA"/>
    <w:rsid w:val="009015EF"/>
    <w:rsid w:val="00901673"/>
    <w:rsid w:val="0090193A"/>
    <w:rsid w:val="0090292D"/>
    <w:rsid w:val="0090310D"/>
    <w:rsid w:val="00904774"/>
    <w:rsid w:val="00906CC3"/>
    <w:rsid w:val="009117AD"/>
    <w:rsid w:val="00913EC7"/>
    <w:rsid w:val="00915EA1"/>
    <w:rsid w:val="00916522"/>
    <w:rsid w:val="00917D56"/>
    <w:rsid w:val="00920471"/>
    <w:rsid w:val="009234EC"/>
    <w:rsid w:val="0092471C"/>
    <w:rsid w:val="00924D8B"/>
    <w:rsid w:val="009258FC"/>
    <w:rsid w:val="00925D79"/>
    <w:rsid w:val="009300B4"/>
    <w:rsid w:val="00930864"/>
    <w:rsid w:val="00931BD9"/>
    <w:rsid w:val="00931C9D"/>
    <w:rsid w:val="0093223E"/>
    <w:rsid w:val="00933A00"/>
    <w:rsid w:val="00933BFD"/>
    <w:rsid w:val="00934DFB"/>
    <w:rsid w:val="009354FF"/>
    <w:rsid w:val="00935809"/>
    <w:rsid w:val="0093788F"/>
    <w:rsid w:val="00937D8C"/>
    <w:rsid w:val="00937F56"/>
    <w:rsid w:val="009409F9"/>
    <w:rsid w:val="00941691"/>
    <w:rsid w:val="00941C5D"/>
    <w:rsid w:val="00942AED"/>
    <w:rsid w:val="00944817"/>
    <w:rsid w:val="00944AF4"/>
    <w:rsid w:val="00944E25"/>
    <w:rsid w:val="00946DB6"/>
    <w:rsid w:val="0094760E"/>
    <w:rsid w:val="009479BE"/>
    <w:rsid w:val="00947DFC"/>
    <w:rsid w:val="00953F15"/>
    <w:rsid w:val="00956057"/>
    <w:rsid w:val="00956737"/>
    <w:rsid w:val="00962EE9"/>
    <w:rsid w:val="009642AB"/>
    <w:rsid w:val="00965E45"/>
    <w:rsid w:val="00967DDC"/>
    <w:rsid w:val="00970019"/>
    <w:rsid w:val="009711EB"/>
    <w:rsid w:val="0097386A"/>
    <w:rsid w:val="00974B8F"/>
    <w:rsid w:val="00975384"/>
    <w:rsid w:val="00976A7F"/>
    <w:rsid w:val="00982920"/>
    <w:rsid w:val="00982BCB"/>
    <w:rsid w:val="00982DA5"/>
    <w:rsid w:val="0098323E"/>
    <w:rsid w:val="00983B24"/>
    <w:rsid w:val="00987065"/>
    <w:rsid w:val="00991188"/>
    <w:rsid w:val="00993F03"/>
    <w:rsid w:val="0099435F"/>
    <w:rsid w:val="00995BE6"/>
    <w:rsid w:val="00996993"/>
    <w:rsid w:val="00996BC5"/>
    <w:rsid w:val="009978C5"/>
    <w:rsid w:val="00997F8D"/>
    <w:rsid w:val="009A076F"/>
    <w:rsid w:val="009A46C2"/>
    <w:rsid w:val="009A4BD0"/>
    <w:rsid w:val="009A65FC"/>
    <w:rsid w:val="009A6D34"/>
    <w:rsid w:val="009A74F8"/>
    <w:rsid w:val="009B0965"/>
    <w:rsid w:val="009B29CE"/>
    <w:rsid w:val="009B4816"/>
    <w:rsid w:val="009B4912"/>
    <w:rsid w:val="009B7FCD"/>
    <w:rsid w:val="009C0FE5"/>
    <w:rsid w:val="009C121A"/>
    <w:rsid w:val="009C1BA8"/>
    <w:rsid w:val="009C2D0D"/>
    <w:rsid w:val="009C3492"/>
    <w:rsid w:val="009C49C6"/>
    <w:rsid w:val="009C4B13"/>
    <w:rsid w:val="009C5AA4"/>
    <w:rsid w:val="009C5D9D"/>
    <w:rsid w:val="009C7CE5"/>
    <w:rsid w:val="009C7E1D"/>
    <w:rsid w:val="009D02D4"/>
    <w:rsid w:val="009D0D2A"/>
    <w:rsid w:val="009D2071"/>
    <w:rsid w:val="009D56FE"/>
    <w:rsid w:val="009D5FB9"/>
    <w:rsid w:val="009D60E3"/>
    <w:rsid w:val="009D67E9"/>
    <w:rsid w:val="009D6879"/>
    <w:rsid w:val="009E0D67"/>
    <w:rsid w:val="009E1A10"/>
    <w:rsid w:val="009E2A00"/>
    <w:rsid w:val="009E4985"/>
    <w:rsid w:val="009E64B2"/>
    <w:rsid w:val="009E664E"/>
    <w:rsid w:val="009E711F"/>
    <w:rsid w:val="009E7814"/>
    <w:rsid w:val="009F0AB9"/>
    <w:rsid w:val="009F0ADB"/>
    <w:rsid w:val="009F16C5"/>
    <w:rsid w:val="009F230C"/>
    <w:rsid w:val="009F36F6"/>
    <w:rsid w:val="009F3E11"/>
    <w:rsid w:val="009F5CBA"/>
    <w:rsid w:val="009F6AF8"/>
    <w:rsid w:val="009F6E78"/>
    <w:rsid w:val="009F7154"/>
    <w:rsid w:val="009F7A4B"/>
    <w:rsid w:val="009F7C7E"/>
    <w:rsid w:val="00A008D6"/>
    <w:rsid w:val="00A00C6A"/>
    <w:rsid w:val="00A01148"/>
    <w:rsid w:val="00A02742"/>
    <w:rsid w:val="00A061D0"/>
    <w:rsid w:val="00A10D98"/>
    <w:rsid w:val="00A111D8"/>
    <w:rsid w:val="00A11B8A"/>
    <w:rsid w:val="00A131CB"/>
    <w:rsid w:val="00A1696D"/>
    <w:rsid w:val="00A1755D"/>
    <w:rsid w:val="00A17632"/>
    <w:rsid w:val="00A200D7"/>
    <w:rsid w:val="00A20133"/>
    <w:rsid w:val="00A21100"/>
    <w:rsid w:val="00A2146E"/>
    <w:rsid w:val="00A22D7B"/>
    <w:rsid w:val="00A2598C"/>
    <w:rsid w:val="00A25EC3"/>
    <w:rsid w:val="00A26B50"/>
    <w:rsid w:val="00A2710E"/>
    <w:rsid w:val="00A27C48"/>
    <w:rsid w:val="00A31DC5"/>
    <w:rsid w:val="00A33281"/>
    <w:rsid w:val="00A33E6C"/>
    <w:rsid w:val="00A35817"/>
    <w:rsid w:val="00A40C81"/>
    <w:rsid w:val="00A40FE6"/>
    <w:rsid w:val="00A41D41"/>
    <w:rsid w:val="00A425EC"/>
    <w:rsid w:val="00A42D4A"/>
    <w:rsid w:val="00A436CD"/>
    <w:rsid w:val="00A43796"/>
    <w:rsid w:val="00A45CE1"/>
    <w:rsid w:val="00A45F63"/>
    <w:rsid w:val="00A467B8"/>
    <w:rsid w:val="00A471F5"/>
    <w:rsid w:val="00A50C34"/>
    <w:rsid w:val="00A5180B"/>
    <w:rsid w:val="00A52273"/>
    <w:rsid w:val="00A522FD"/>
    <w:rsid w:val="00A53F51"/>
    <w:rsid w:val="00A540D8"/>
    <w:rsid w:val="00A55E36"/>
    <w:rsid w:val="00A5626B"/>
    <w:rsid w:val="00A570B5"/>
    <w:rsid w:val="00A57AA4"/>
    <w:rsid w:val="00A60EBC"/>
    <w:rsid w:val="00A612B3"/>
    <w:rsid w:val="00A62019"/>
    <w:rsid w:val="00A62E91"/>
    <w:rsid w:val="00A6457C"/>
    <w:rsid w:val="00A66161"/>
    <w:rsid w:val="00A67635"/>
    <w:rsid w:val="00A71E2E"/>
    <w:rsid w:val="00A7363C"/>
    <w:rsid w:val="00A74318"/>
    <w:rsid w:val="00A74E4F"/>
    <w:rsid w:val="00A76BF4"/>
    <w:rsid w:val="00A76FEE"/>
    <w:rsid w:val="00A8223C"/>
    <w:rsid w:val="00A8579E"/>
    <w:rsid w:val="00A85BAC"/>
    <w:rsid w:val="00A87539"/>
    <w:rsid w:val="00A8757B"/>
    <w:rsid w:val="00A911E3"/>
    <w:rsid w:val="00A92044"/>
    <w:rsid w:val="00A93388"/>
    <w:rsid w:val="00A93B9D"/>
    <w:rsid w:val="00A93DB5"/>
    <w:rsid w:val="00A94FEC"/>
    <w:rsid w:val="00A9555D"/>
    <w:rsid w:val="00A95A59"/>
    <w:rsid w:val="00A95A78"/>
    <w:rsid w:val="00A963E6"/>
    <w:rsid w:val="00A967F4"/>
    <w:rsid w:val="00A96C33"/>
    <w:rsid w:val="00A9727D"/>
    <w:rsid w:val="00A974CF"/>
    <w:rsid w:val="00A97DB9"/>
    <w:rsid w:val="00AA136F"/>
    <w:rsid w:val="00AA16B9"/>
    <w:rsid w:val="00AA1D7E"/>
    <w:rsid w:val="00AA263F"/>
    <w:rsid w:val="00AA28EC"/>
    <w:rsid w:val="00AA29F9"/>
    <w:rsid w:val="00AA349D"/>
    <w:rsid w:val="00AA47DC"/>
    <w:rsid w:val="00AA5AC3"/>
    <w:rsid w:val="00AA6214"/>
    <w:rsid w:val="00AA6492"/>
    <w:rsid w:val="00AB0325"/>
    <w:rsid w:val="00AB11C9"/>
    <w:rsid w:val="00AB1866"/>
    <w:rsid w:val="00AB2CD9"/>
    <w:rsid w:val="00AB313C"/>
    <w:rsid w:val="00AB36EC"/>
    <w:rsid w:val="00AB624E"/>
    <w:rsid w:val="00AB6C6C"/>
    <w:rsid w:val="00AB6E58"/>
    <w:rsid w:val="00AC010B"/>
    <w:rsid w:val="00AC12D6"/>
    <w:rsid w:val="00AC162B"/>
    <w:rsid w:val="00AC25A0"/>
    <w:rsid w:val="00AC2C09"/>
    <w:rsid w:val="00AC3C17"/>
    <w:rsid w:val="00AC44A3"/>
    <w:rsid w:val="00AC6B6F"/>
    <w:rsid w:val="00AC771F"/>
    <w:rsid w:val="00AD0C41"/>
    <w:rsid w:val="00AD2821"/>
    <w:rsid w:val="00AD3AFB"/>
    <w:rsid w:val="00AD464A"/>
    <w:rsid w:val="00AD48DC"/>
    <w:rsid w:val="00AD5EA3"/>
    <w:rsid w:val="00AE11FC"/>
    <w:rsid w:val="00AE4C1D"/>
    <w:rsid w:val="00AE532D"/>
    <w:rsid w:val="00AE5FF1"/>
    <w:rsid w:val="00AE6354"/>
    <w:rsid w:val="00AE6641"/>
    <w:rsid w:val="00AE73CD"/>
    <w:rsid w:val="00AE7DE1"/>
    <w:rsid w:val="00AE7E70"/>
    <w:rsid w:val="00AF06B0"/>
    <w:rsid w:val="00AF10BE"/>
    <w:rsid w:val="00AF15AF"/>
    <w:rsid w:val="00AF2D30"/>
    <w:rsid w:val="00AF2F24"/>
    <w:rsid w:val="00AF3C68"/>
    <w:rsid w:val="00AF57EA"/>
    <w:rsid w:val="00AF6EB4"/>
    <w:rsid w:val="00AF79DF"/>
    <w:rsid w:val="00B00A03"/>
    <w:rsid w:val="00B01141"/>
    <w:rsid w:val="00B02E0C"/>
    <w:rsid w:val="00B02E33"/>
    <w:rsid w:val="00B04589"/>
    <w:rsid w:val="00B04CF2"/>
    <w:rsid w:val="00B0522C"/>
    <w:rsid w:val="00B05EC9"/>
    <w:rsid w:val="00B06698"/>
    <w:rsid w:val="00B06CE0"/>
    <w:rsid w:val="00B072A3"/>
    <w:rsid w:val="00B121F4"/>
    <w:rsid w:val="00B12803"/>
    <w:rsid w:val="00B12B1B"/>
    <w:rsid w:val="00B1343A"/>
    <w:rsid w:val="00B212F2"/>
    <w:rsid w:val="00B214A1"/>
    <w:rsid w:val="00B22D5C"/>
    <w:rsid w:val="00B23E83"/>
    <w:rsid w:val="00B247C6"/>
    <w:rsid w:val="00B24F8F"/>
    <w:rsid w:val="00B263F0"/>
    <w:rsid w:val="00B26B42"/>
    <w:rsid w:val="00B2716E"/>
    <w:rsid w:val="00B274A8"/>
    <w:rsid w:val="00B279E2"/>
    <w:rsid w:val="00B3147E"/>
    <w:rsid w:val="00B31661"/>
    <w:rsid w:val="00B32703"/>
    <w:rsid w:val="00B349F7"/>
    <w:rsid w:val="00B34EA9"/>
    <w:rsid w:val="00B3525B"/>
    <w:rsid w:val="00B3596F"/>
    <w:rsid w:val="00B35EEE"/>
    <w:rsid w:val="00B3629D"/>
    <w:rsid w:val="00B36E62"/>
    <w:rsid w:val="00B3725A"/>
    <w:rsid w:val="00B37710"/>
    <w:rsid w:val="00B431B8"/>
    <w:rsid w:val="00B44998"/>
    <w:rsid w:val="00B46317"/>
    <w:rsid w:val="00B47522"/>
    <w:rsid w:val="00B5097B"/>
    <w:rsid w:val="00B528D1"/>
    <w:rsid w:val="00B53967"/>
    <w:rsid w:val="00B54313"/>
    <w:rsid w:val="00B54A56"/>
    <w:rsid w:val="00B550E7"/>
    <w:rsid w:val="00B56A66"/>
    <w:rsid w:val="00B57C95"/>
    <w:rsid w:val="00B60472"/>
    <w:rsid w:val="00B60907"/>
    <w:rsid w:val="00B60B5F"/>
    <w:rsid w:val="00B617F1"/>
    <w:rsid w:val="00B6238E"/>
    <w:rsid w:val="00B63F39"/>
    <w:rsid w:val="00B64585"/>
    <w:rsid w:val="00B6496F"/>
    <w:rsid w:val="00B67979"/>
    <w:rsid w:val="00B7174C"/>
    <w:rsid w:val="00B735BE"/>
    <w:rsid w:val="00B73FBE"/>
    <w:rsid w:val="00B74211"/>
    <w:rsid w:val="00B75A51"/>
    <w:rsid w:val="00B7758B"/>
    <w:rsid w:val="00B77A60"/>
    <w:rsid w:val="00B8041C"/>
    <w:rsid w:val="00B8064D"/>
    <w:rsid w:val="00B80CBC"/>
    <w:rsid w:val="00B80F06"/>
    <w:rsid w:val="00B811F0"/>
    <w:rsid w:val="00B827C6"/>
    <w:rsid w:val="00B8318E"/>
    <w:rsid w:val="00B84CEB"/>
    <w:rsid w:val="00B85005"/>
    <w:rsid w:val="00B86327"/>
    <w:rsid w:val="00B8650B"/>
    <w:rsid w:val="00B86656"/>
    <w:rsid w:val="00B87C66"/>
    <w:rsid w:val="00B87CCE"/>
    <w:rsid w:val="00B90EAC"/>
    <w:rsid w:val="00B9242D"/>
    <w:rsid w:val="00B92570"/>
    <w:rsid w:val="00B93DFC"/>
    <w:rsid w:val="00B93F09"/>
    <w:rsid w:val="00B9641A"/>
    <w:rsid w:val="00B96F1D"/>
    <w:rsid w:val="00BA23FC"/>
    <w:rsid w:val="00BA37BA"/>
    <w:rsid w:val="00BA3A07"/>
    <w:rsid w:val="00BA5709"/>
    <w:rsid w:val="00BA66AD"/>
    <w:rsid w:val="00BA704A"/>
    <w:rsid w:val="00BB1390"/>
    <w:rsid w:val="00BB1A44"/>
    <w:rsid w:val="00BB2073"/>
    <w:rsid w:val="00BB2CEB"/>
    <w:rsid w:val="00BB309C"/>
    <w:rsid w:val="00BB3423"/>
    <w:rsid w:val="00BB39C7"/>
    <w:rsid w:val="00BB403C"/>
    <w:rsid w:val="00BB4FDE"/>
    <w:rsid w:val="00BB5F38"/>
    <w:rsid w:val="00BB6122"/>
    <w:rsid w:val="00BB63D4"/>
    <w:rsid w:val="00BC0B35"/>
    <w:rsid w:val="00BC12F7"/>
    <w:rsid w:val="00BC2913"/>
    <w:rsid w:val="00BC2974"/>
    <w:rsid w:val="00BC39B0"/>
    <w:rsid w:val="00BC3A68"/>
    <w:rsid w:val="00BC738E"/>
    <w:rsid w:val="00BD0576"/>
    <w:rsid w:val="00BD09B9"/>
    <w:rsid w:val="00BD193F"/>
    <w:rsid w:val="00BD21FF"/>
    <w:rsid w:val="00BD66B8"/>
    <w:rsid w:val="00BD6C7A"/>
    <w:rsid w:val="00BE05C9"/>
    <w:rsid w:val="00BE0FB8"/>
    <w:rsid w:val="00BE26F0"/>
    <w:rsid w:val="00BE2F3A"/>
    <w:rsid w:val="00BE4610"/>
    <w:rsid w:val="00BE4665"/>
    <w:rsid w:val="00BE46EB"/>
    <w:rsid w:val="00BE4E5B"/>
    <w:rsid w:val="00BE50D0"/>
    <w:rsid w:val="00BE662C"/>
    <w:rsid w:val="00BF16FE"/>
    <w:rsid w:val="00BF1CE7"/>
    <w:rsid w:val="00BF2151"/>
    <w:rsid w:val="00BF3736"/>
    <w:rsid w:val="00BF4748"/>
    <w:rsid w:val="00BF5780"/>
    <w:rsid w:val="00C012F5"/>
    <w:rsid w:val="00C0154E"/>
    <w:rsid w:val="00C03672"/>
    <w:rsid w:val="00C0390B"/>
    <w:rsid w:val="00C047B7"/>
    <w:rsid w:val="00C04B4B"/>
    <w:rsid w:val="00C06681"/>
    <w:rsid w:val="00C066E9"/>
    <w:rsid w:val="00C068BC"/>
    <w:rsid w:val="00C073EE"/>
    <w:rsid w:val="00C106A6"/>
    <w:rsid w:val="00C10D1A"/>
    <w:rsid w:val="00C14121"/>
    <w:rsid w:val="00C15554"/>
    <w:rsid w:val="00C17081"/>
    <w:rsid w:val="00C17814"/>
    <w:rsid w:val="00C206BF"/>
    <w:rsid w:val="00C20A85"/>
    <w:rsid w:val="00C2120A"/>
    <w:rsid w:val="00C22F66"/>
    <w:rsid w:val="00C26F7D"/>
    <w:rsid w:val="00C27FD4"/>
    <w:rsid w:val="00C31B68"/>
    <w:rsid w:val="00C34B16"/>
    <w:rsid w:val="00C365E2"/>
    <w:rsid w:val="00C36B6E"/>
    <w:rsid w:val="00C376CC"/>
    <w:rsid w:val="00C37741"/>
    <w:rsid w:val="00C408A4"/>
    <w:rsid w:val="00C40AD3"/>
    <w:rsid w:val="00C417BF"/>
    <w:rsid w:val="00C4270F"/>
    <w:rsid w:val="00C4325B"/>
    <w:rsid w:val="00C43292"/>
    <w:rsid w:val="00C43395"/>
    <w:rsid w:val="00C433E3"/>
    <w:rsid w:val="00C43479"/>
    <w:rsid w:val="00C44990"/>
    <w:rsid w:val="00C44EFB"/>
    <w:rsid w:val="00C453AE"/>
    <w:rsid w:val="00C45AD3"/>
    <w:rsid w:val="00C46647"/>
    <w:rsid w:val="00C46BAF"/>
    <w:rsid w:val="00C47698"/>
    <w:rsid w:val="00C50B7A"/>
    <w:rsid w:val="00C51295"/>
    <w:rsid w:val="00C5410B"/>
    <w:rsid w:val="00C54757"/>
    <w:rsid w:val="00C54C09"/>
    <w:rsid w:val="00C55264"/>
    <w:rsid w:val="00C55A1E"/>
    <w:rsid w:val="00C561FE"/>
    <w:rsid w:val="00C6083E"/>
    <w:rsid w:val="00C62030"/>
    <w:rsid w:val="00C64664"/>
    <w:rsid w:val="00C6505E"/>
    <w:rsid w:val="00C65B17"/>
    <w:rsid w:val="00C6695C"/>
    <w:rsid w:val="00C7024D"/>
    <w:rsid w:val="00C704A6"/>
    <w:rsid w:val="00C70882"/>
    <w:rsid w:val="00C712D6"/>
    <w:rsid w:val="00C746D3"/>
    <w:rsid w:val="00C74C71"/>
    <w:rsid w:val="00C7534E"/>
    <w:rsid w:val="00C753B3"/>
    <w:rsid w:val="00C76513"/>
    <w:rsid w:val="00C76527"/>
    <w:rsid w:val="00C765BD"/>
    <w:rsid w:val="00C7694A"/>
    <w:rsid w:val="00C76D3E"/>
    <w:rsid w:val="00C777DE"/>
    <w:rsid w:val="00C81CCF"/>
    <w:rsid w:val="00C83907"/>
    <w:rsid w:val="00C84EBA"/>
    <w:rsid w:val="00C856B2"/>
    <w:rsid w:val="00C85A6D"/>
    <w:rsid w:val="00C8784D"/>
    <w:rsid w:val="00C90FEB"/>
    <w:rsid w:val="00C945B2"/>
    <w:rsid w:val="00C95134"/>
    <w:rsid w:val="00C96995"/>
    <w:rsid w:val="00C97946"/>
    <w:rsid w:val="00C97B0E"/>
    <w:rsid w:val="00CA0680"/>
    <w:rsid w:val="00CA12A3"/>
    <w:rsid w:val="00CA33AE"/>
    <w:rsid w:val="00CA466D"/>
    <w:rsid w:val="00CA4B61"/>
    <w:rsid w:val="00CA4F91"/>
    <w:rsid w:val="00CA59F0"/>
    <w:rsid w:val="00CA6D6B"/>
    <w:rsid w:val="00CA7337"/>
    <w:rsid w:val="00CA7ABB"/>
    <w:rsid w:val="00CB004F"/>
    <w:rsid w:val="00CB4C4F"/>
    <w:rsid w:val="00CB57E5"/>
    <w:rsid w:val="00CB6F0D"/>
    <w:rsid w:val="00CB7EE8"/>
    <w:rsid w:val="00CC04B8"/>
    <w:rsid w:val="00CC0BDA"/>
    <w:rsid w:val="00CC3B0C"/>
    <w:rsid w:val="00CC445A"/>
    <w:rsid w:val="00CC452F"/>
    <w:rsid w:val="00CC48A6"/>
    <w:rsid w:val="00CC5801"/>
    <w:rsid w:val="00CC5948"/>
    <w:rsid w:val="00CD0270"/>
    <w:rsid w:val="00CD0529"/>
    <w:rsid w:val="00CD11F0"/>
    <w:rsid w:val="00CD2A32"/>
    <w:rsid w:val="00CD3116"/>
    <w:rsid w:val="00CD3D01"/>
    <w:rsid w:val="00CD4B6E"/>
    <w:rsid w:val="00CD4EFC"/>
    <w:rsid w:val="00CD5033"/>
    <w:rsid w:val="00CD6517"/>
    <w:rsid w:val="00CD6961"/>
    <w:rsid w:val="00CD6B38"/>
    <w:rsid w:val="00CD7234"/>
    <w:rsid w:val="00CE1B09"/>
    <w:rsid w:val="00CE348B"/>
    <w:rsid w:val="00CE432C"/>
    <w:rsid w:val="00CE58C5"/>
    <w:rsid w:val="00CE60A7"/>
    <w:rsid w:val="00CE639A"/>
    <w:rsid w:val="00CE63F1"/>
    <w:rsid w:val="00CE6DBB"/>
    <w:rsid w:val="00CF078B"/>
    <w:rsid w:val="00CF19E5"/>
    <w:rsid w:val="00CF237F"/>
    <w:rsid w:val="00CF3C32"/>
    <w:rsid w:val="00CF485F"/>
    <w:rsid w:val="00CF4E3A"/>
    <w:rsid w:val="00CF4FE7"/>
    <w:rsid w:val="00CF58DF"/>
    <w:rsid w:val="00CF63FE"/>
    <w:rsid w:val="00D0087A"/>
    <w:rsid w:val="00D01E5E"/>
    <w:rsid w:val="00D02D7C"/>
    <w:rsid w:val="00D03AED"/>
    <w:rsid w:val="00D0421E"/>
    <w:rsid w:val="00D0520C"/>
    <w:rsid w:val="00D10774"/>
    <w:rsid w:val="00D12F32"/>
    <w:rsid w:val="00D14555"/>
    <w:rsid w:val="00D15439"/>
    <w:rsid w:val="00D17073"/>
    <w:rsid w:val="00D17DCC"/>
    <w:rsid w:val="00D20344"/>
    <w:rsid w:val="00D2154F"/>
    <w:rsid w:val="00D2295C"/>
    <w:rsid w:val="00D230EF"/>
    <w:rsid w:val="00D24580"/>
    <w:rsid w:val="00D245D4"/>
    <w:rsid w:val="00D2663C"/>
    <w:rsid w:val="00D3013C"/>
    <w:rsid w:val="00D31290"/>
    <w:rsid w:val="00D31359"/>
    <w:rsid w:val="00D3155E"/>
    <w:rsid w:val="00D32D6A"/>
    <w:rsid w:val="00D32EF0"/>
    <w:rsid w:val="00D34665"/>
    <w:rsid w:val="00D35BA3"/>
    <w:rsid w:val="00D35E52"/>
    <w:rsid w:val="00D36447"/>
    <w:rsid w:val="00D36AF6"/>
    <w:rsid w:val="00D36FA6"/>
    <w:rsid w:val="00D37F81"/>
    <w:rsid w:val="00D41E9A"/>
    <w:rsid w:val="00D41F71"/>
    <w:rsid w:val="00D42774"/>
    <w:rsid w:val="00D43FA6"/>
    <w:rsid w:val="00D44180"/>
    <w:rsid w:val="00D46780"/>
    <w:rsid w:val="00D5053D"/>
    <w:rsid w:val="00D52C78"/>
    <w:rsid w:val="00D53F31"/>
    <w:rsid w:val="00D54137"/>
    <w:rsid w:val="00D5584D"/>
    <w:rsid w:val="00D55934"/>
    <w:rsid w:val="00D613AC"/>
    <w:rsid w:val="00D61A37"/>
    <w:rsid w:val="00D62269"/>
    <w:rsid w:val="00D62EDC"/>
    <w:rsid w:val="00D63B35"/>
    <w:rsid w:val="00D63D44"/>
    <w:rsid w:val="00D63FC5"/>
    <w:rsid w:val="00D64354"/>
    <w:rsid w:val="00D66863"/>
    <w:rsid w:val="00D67404"/>
    <w:rsid w:val="00D708C6"/>
    <w:rsid w:val="00D71D8A"/>
    <w:rsid w:val="00D73D33"/>
    <w:rsid w:val="00D746E4"/>
    <w:rsid w:val="00D74D44"/>
    <w:rsid w:val="00D8170F"/>
    <w:rsid w:val="00D81967"/>
    <w:rsid w:val="00D81BF8"/>
    <w:rsid w:val="00D854B7"/>
    <w:rsid w:val="00D85926"/>
    <w:rsid w:val="00D87AF2"/>
    <w:rsid w:val="00D87EF2"/>
    <w:rsid w:val="00D934F4"/>
    <w:rsid w:val="00D976DC"/>
    <w:rsid w:val="00DA04CB"/>
    <w:rsid w:val="00DA1577"/>
    <w:rsid w:val="00DA244B"/>
    <w:rsid w:val="00DA35DE"/>
    <w:rsid w:val="00DA4772"/>
    <w:rsid w:val="00DA6213"/>
    <w:rsid w:val="00DA7C10"/>
    <w:rsid w:val="00DA7F88"/>
    <w:rsid w:val="00DB0563"/>
    <w:rsid w:val="00DB05EE"/>
    <w:rsid w:val="00DB0678"/>
    <w:rsid w:val="00DB15D6"/>
    <w:rsid w:val="00DB4C85"/>
    <w:rsid w:val="00DB52E7"/>
    <w:rsid w:val="00DC0318"/>
    <w:rsid w:val="00DC04D9"/>
    <w:rsid w:val="00DC063B"/>
    <w:rsid w:val="00DC3B65"/>
    <w:rsid w:val="00DC5768"/>
    <w:rsid w:val="00DC5BE5"/>
    <w:rsid w:val="00DC6415"/>
    <w:rsid w:val="00DD1D5F"/>
    <w:rsid w:val="00DD209D"/>
    <w:rsid w:val="00DD4CF3"/>
    <w:rsid w:val="00DD7092"/>
    <w:rsid w:val="00DE00A0"/>
    <w:rsid w:val="00DE0269"/>
    <w:rsid w:val="00DE04EC"/>
    <w:rsid w:val="00DE089B"/>
    <w:rsid w:val="00DE1A1B"/>
    <w:rsid w:val="00DE3216"/>
    <w:rsid w:val="00DE33CE"/>
    <w:rsid w:val="00DE3413"/>
    <w:rsid w:val="00DE7B45"/>
    <w:rsid w:val="00DF0F61"/>
    <w:rsid w:val="00DF16E3"/>
    <w:rsid w:val="00DF6ED1"/>
    <w:rsid w:val="00E00A10"/>
    <w:rsid w:val="00E00D02"/>
    <w:rsid w:val="00E01140"/>
    <w:rsid w:val="00E012C5"/>
    <w:rsid w:val="00E023A9"/>
    <w:rsid w:val="00E02800"/>
    <w:rsid w:val="00E033D7"/>
    <w:rsid w:val="00E04666"/>
    <w:rsid w:val="00E0578D"/>
    <w:rsid w:val="00E07791"/>
    <w:rsid w:val="00E07D1B"/>
    <w:rsid w:val="00E1006D"/>
    <w:rsid w:val="00E10D0A"/>
    <w:rsid w:val="00E12C7F"/>
    <w:rsid w:val="00E137A8"/>
    <w:rsid w:val="00E13A70"/>
    <w:rsid w:val="00E1454F"/>
    <w:rsid w:val="00E169DE"/>
    <w:rsid w:val="00E21521"/>
    <w:rsid w:val="00E218E2"/>
    <w:rsid w:val="00E2338B"/>
    <w:rsid w:val="00E233BF"/>
    <w:rsid w:val="00E23514"/>
    <w:rsid w:val="00E23B3E"/>
    <w:rsid w:val="00E23CD4"/>
    <w:rsid w:val="00E23FEE"/>
    <w:rsid w:val="00E25391"/>
    <w:rsid w:val="00E259D4"/>
    <w:rsid w:val="00E25D62"/>
    <w:rsid w:val="00E25FD2"/>
    <w:rsid w:val="00E27BB0"/>
    <w:rsid w:val="00E27CA8"/>
    <w:rsid w:val="00E30471"/>
    <w:rsid w:val="00E304EE"/>
    <w:rsid w:val="00E32AD1"/>
    <w:rsid w:val="00E344B0"/>
    <w:rsid w:val="00E35014"/>
    <w:rsid w:val="00E37B7D"/>
    <w:rsid w:val="00E40EEC"/>
    <w:rsid w:val="00E41660"/>
    <w:rsid w:val="00E4171F"/>
    <w:rsid w:val="00E4280B"/>
    <w:rsid w:val="00E4355F"/>
    <w:rsid w:val="00E444B1"/>
    <w:rsid w:val="00E4452E"/>
    <w:rsid w:val="00E44BDE"/>
    <w:rsid w:val="00E451C5"/>
    <w:rsid w:val="00E460B5"/>
    <w:rsid w:val="00E461CF"/>
    <w:rsid w:val="00E47052"/>
    <w:rsid w:val="00E50872"/>
    <w:rsid w:val="00E5106F"/>
    <w:rsid w:val="00E51159"/>
    <w:rsid w:val="00E5365B"/>
    <w:rsid w:val="00E53698"/>
    <w:rsid w:val="00E53F82"/>
    <w:rsid w:val="00E54103"/>
    <w:rsid w:val="00E548A7"/>
    <w:rsid w:val="00E55058"/>
    <w:rsid w:val="00E5575E"/>
    <w:rsid w:val="00E57745"/>
    <w:rsid w:val="00E57E49"/>
    <w:rsid w:val="00E604A9"/>
    <w:rsid w:val="00E60A91"/>
    <w:rsid w:val="00E61C50"/>
    <w:rsid w:val="00E62AEE"/>
    <w:rsid w:val="00E6383B"/>
    <w:rsid w:val="00E63BE1"/>
    <w:rsid w:val="00E643BD"/>
    <w:rsid w:val="00E651AC"/>
    <w:rsid w:val="00E65D4A"/>
    <w:rsid w:val="00E65E47"/>
    <w:rsid w:val="00E67E24"/>
    <w:rsid w:val="00E67E5B"/>
    <w:rsid w:val="00E70708"/>
    <w:rsid w:val="00E71006"/>
    <w:rsid w:val="00E7237D"/>
    <w:rsid w:val="00E752E7"/>
    <w:rsid w:val="00E7569A"/>
    <w:rsid w:val="00E756A3"/>
    <w:rsid w:val="00E75780"/>
    <w:rsid w:val="00E825DA"/>
    <w:rsid w:val="00E82A59"/>
    <w:rsid w:val="00E85966"/>
    <w:rsid w:val="00E87B2A"/>
    <w:rsid w:val="00E90714"/>
    <w:rsid w:val="00E917F8"/>
    <w:rsid w:val="00E9249A"/>
    <w:rsid w:val="00E957E1"/>
    <w:rsid w:val="00E95A0D"/>
    <w:rsid w:val="00E9631C"/>
    <w:rsid w:val="00E9739A"/>
    <w:rsid w:val="00EA30D0"/>
    <w:rsid w:val="00EA34C6"/>
    <w:rsid w:val="00EA50D7"/>
    <w:rsid w:val="00EA56BF"/>
    <w:rsid w:val="00EB20A3"/>
    <w:rsid w:val="00EB212B"/>
    <w:rsid w:val="00EB3465"/>
    <w:rsid w:val="00EB5134"/>
    <w:rsid w:val="00EB7C9A"/>
    <w:rsid w:val="00EC0C04"/>
    <w:rsid w:val="00EC31AD"/>
    <w:rsid w:val="00EC3533"/>
    <w:rsid w:val="00EC4EA0"/>
    <w:rsid w:val="00ED1B61"/>
    <w:rsid w:val="00ED362A"/>
    <w:rsid w:val="00ED46B1"/>
    <w:rsid w:val="00ED5173"/>
    <w:rsid w:val="00ED7123"/>
    <w:rsid w:val="00ED7172"/>
    <w:rsid w:val="00ED793E"/>
    <w:rsid w:val="00ED79E1"/>
    <w:rsid w:val="00EE0992"/>
    <w:rsid w:val="00EE2022"/>
    <w:rsid w:val="00EE2835"/>
    <w:rsid w:val="00EE40FA"/>
    <w:rsid w:val="00EE42C4"/>
    <w:rsid w:val="00EE58DF"/>
    <w:rsid w:val="00EE6453"/>
    <w:rsid w:val="00EE6DCD"/>
    <w:rsid w:val="00EF073E"/>
    <w:rsid w:val="00EF153A"/>
    <w:rsid w:val="00EF1BC6"/>
    <w:rsid w:val="00EF2F33"/>
    <w:rsid w:val="00EF3158"/>
    <w:rsid w:val="00EF378D"/>
    <w:rsid w:val="00EF3C9A"/>
    <w:rsid w:val="00EF5502"/>
    <w:rsid w:val="00EF5617"/>
    <w:rsid w:val="00EF596C"/>
    <w:rsid w:val="00EF6974"/>
    <w:rsid w:val="00EF798D"/>
    <w:rsid w:val="00EF7FFE"/>
    <w:rsid w:val="00F00617"/>
    <w:rsid w:val="00F0099E"/>
    <w:rsid w:val="00F00E76"/>
    <w:rsid w:val="00F01BCD"/>
    <w:rsid w:val="00F0298C"/>
    <w:rsid w:val="00F02FD3"/>
    <w:rsid w:val="00F03E1F"/>
    <w:rsid w:val="00F06EE5"/>
    <w:rsid w:val="00F070E4"/>
    <w:rsid w:val="00F07750"/>
    <w:rsid w:val="00F07BAA"/>
    <w:rsid w:val="00F10047"/>
    <w:rsid w:val="00F103D9"/>
    <w:rsid w:val="00F11E02"/>
    <w:rsid w:val="00F14CA0"/>
    <w:rsid w:val="00F15984"/>
    <w:rsid w:val="00F17A13"/>
    <w:rsid w:val="00F20A43"/>
    <w:rsid w:val="00F20F18"/>
    <w:rsid w:val="00F20F2B"/>
    <w:rsid w:val="00F221D5"/>
    <w:rsid w:val="00F22921"/>
    <w:rsid w:val="00F23CC3"/>
    <w:rsid w:val="00F25C11"/>
    <w:rsid w:val="00F2650A"/>
    <w:rsid w:val="00F30908"/>
    <w:rsid w:val="00F30A77"/>
    <w:rsid w:val="00F31BE6"/>
    <w:rsid w:val="00F32094"/>
    <w:rsid w:val="00F32DC2"/>
    <w:rsid w:val="00F3400D"/>
    <w:rsid w:val="00F343DF"/>
    <w:rsid w:val="00F3570A"/>
    <w:rsid w:val="00F35EDA"/>
    <w:rsid w:val="00F41788"/>
    <w:rsid w:val="00F42DBE"/>
    <w:rsid w:val="00F4393F"/>
    <w:rsid w:val="00F44361"/>
    <w:rsid w:val="00F45D54"/>
    <w:rsid w:val="00F461E4"/>
    <w:rsid w:val="00F46A3A"/>
    <w:rsid w:val="00F47B4B"/>
    <w:rsid w:val="00F51C0D"/>
    <w:rsid w:val="00F52BA6"/>
    <w:rsid w:val="00F5375D"/>
    <w:rsid w:val="00F5380F"/>
    <w:rsid w:val="00F5454E"/>
    <w:rsid w:val="00F55014"/>
    <w:rsid w:val="00F552E0"/>
    <w:rsid w:val="00F56DAE"/>
    <w:rsid w:val="00F61274"/>
    <w:rsid w:val="00F617F0"/>
    <w:rsid w:val="00F628ED"/>
    <w:rsid w:val="00F62942"/>
    <w:rsid w:val="00F65CF2"/>
    <w:rsid w:val="00F67A0F"/>
    <w:rsid w:val="00F705E9"/>
    <w:rsid w:val="00F71328"/>
    <w:rsid w:val="00F715C3"/>
    <w:rsid w:val="00F718BD"/>
    <w:rsid w:val="00F7207D"/>
    <w:rsid w:val="00F750CF"/>
    <w:rsid w:val="00F7553C"/>
    <w:rsid w:val="00F75972"/>
    <w:rsid w:val="00F75F96"/>
    <w:rsid w:val="00F760EB"/>
    <w:rsid w:val="00F77F3D"/>
    <w:rsid w:val="00F80507"/>
    <w:rsid w:val="00F8197F"/>
    <w:rsid w:val="00F821B3"/>
    <w:rsid w:val="00F83CD3"/>
    <w:rsid w:val="00F84A2C"/>
    <w:rsid w:val="00F85F61"/>
    <w:rsid w:val="00F91BB8"/>
    <w:rsid w:val="00F953F0"/>
    <w:rsid w:val="00F95487"/>
    <w:rsid w:val="00F95689"/>
    <w:rsid w:val="00F95DEF"/>
    <w:rsid w:val="00F96214"/>
    <w:rsid w:val="00F96BC8"/>
    <w:rsid w:val="00F96C5A"/>
    <w:rsid w:val="00FA1553"/>
    <w:rsid w:val="00FA283E"/>
    <w:rsid w:val="00FA4D72"/>
    <w:rsid w:val="00FA4DF8"/>
    <w:rsid w:val="00FA5E37"/>
    <w:rsid w:val="00FA6030"/>
    <w:rsid w:val="00FA6096"/>
    <w:rsid w:val="00FB1B8C"/>
    <w:rsid w:val="00FB223D"/>
    <w:rsid w:val="00FB2348"/>
    <w:rsid w:val="00FB409A"/>
    <w:rsid w:val="00FB45FB"/>
    <w:rsid w:val="00FB6D94"/>
    <w:rsid w:val="00FB6E4C"/>
    <w:rsid w:val="00FB73E3"/>
    <w:rsid w:val="00FB7767"/>
    <w:rsid w:val="00FC09A1"/>
    <w:rsid w:val="00FC1069"/>
    <w:rsid w:val="00FC1374"/>
    <w:rsid w:val="00FC1781"/>
    <w:rsid w:val="00FC1BBD"/>
    <w:rsid w:val="00FC244F"/>
    <w:rsid w:val="00FC2B0D"/>
    <w:rsid w:val="00FC347D"/>
    <w:rsid w:val="00FC3850"/>
    <w:rsid w:val="00FC5143"/>
    <w:rsid w:val="00FC55A5"/>
    <w:rsid w:val="00FC7245"/>
    <w:rsid w:val="00FD0821"/>
    <w:rsid w:val="00FD1082"/>
    <w:rsid w:val="00FD1E84"/>
    <w:rsid w:val="00FD223A"/>
    <w:rsid w:val="00FD3FF7"/>
    <w:rsid w:val="00FD5A86"/>
    <w:rsid w:val="00FD5E2D"/>
    <w:rsid w:val="00FD6490"/>
    <w:rsid w:val="00FD67A3"/>
    <w:rsid w:val="00FD6DDB"/>
    <w:rsid w:val="00FD783C"/>
    <w:rsid w:val="00FD79DA"/>
    <w:rsid w:val="00FD79F7"/>
    <w:rsid w:val="00FE15CD"/>
    <w:rsid w:val="00FE2909"/>
    <w:rsid w:val="00FE2ADC"/>
    <w:rsid w:val="00FE5997"/>
    <w:rsid w:val="00FE783C"/>
    <w:rsid w:val="00FF0950"/>
    <w:rsid w:val="00FF1012"/>
    <w:rsid w:val="00FF3EFF"/>
    <w:rsid w:val="00FF4C7D"/>
    <w:rsid w:val="00FF5484"/>
    <w:rsid w:val="00FF5725"/>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F08E6"/>
    <w:rPr>
      <w:sz w:val="24"/>
      <w:szCs w:val="24"/>
      <w:lang w:val="de-DE" w:eastAsia="de-DE"/>
    </w:rPr>
  </w:style>
  <w:style w:type="paragraph" w:styleId="Titre1">
    <w:name w:val="heading 1"/>
    <w:basedOn w:val="Normal"/>
    <w:next w:val="Normal"/>
    <w:rsid w:val="004C4EE9"/>
    <w:pPr>
      <w:keepNext/>
      <w:outlineLvl w:val="0"/>
    </w:pPr>
    <w:rPr>
      <w:b/>
      <w:sz w:val="28"/>
      <w:szCs w:val="20"/>
      <w:lang w:val="en-GB"/>
    </w:rPr>
  </w:style>
  <w:style w:type="paragraph" w:styleId="Titre2">
    <w:name w:val="heading 2"/>
    <w:basedOn w:val="Normal"/>
    <w:next w:val="Normal"/>
    <w:autoRedefine/>
    <w:rsid w:val="004C4EE9"/>
    <w:pPr>
      <w:keepNext/>
      <w:spacing w:before="240" w:after="60"/>
      <w:outlineLvl w:val="1"/>
    </w:pPr>
    <w:rPr>
      <w:rFonts w:cs="Arial"/>
      <w:bCs/>
      <w:iCs/>
      <w:sz w:val="22"/>
      <w:szCs w:val="22"/>
    </w:rPr>
  </w:style>
  <w:style w:type="paragraph" w:styleId="Titre3">
    <w:name w:val="heading 3"/>
    <w:basedOn w:val="Normal"/>
    <w:next w:val="Normal"/>
    <w:autoRedefine/>
    <w:rsid w:val="004C4EE9"/>
    <w:pPr>
      <w:keepNext/>
      <w:outlineLvl w:val="2"/>
    </w:pPr>
    <w:rPr>
      <w:b/>
      <w:lang w:val="en-GB"/>
    </w:rPr>
  </w:style>
  <w:style w:type="paragraph" w:styleId="Titre4">
    <w:name w:val="heading 4"/>
    <w:basedOn w:val="Normal"/>
    <w:next w:val="Normal"/>
    <w:rsid w:val="004C4EE9"/>
    <w:pPr>
      <w:keepNext/>
      <w:spacing w:before="240" w:after="60"/>
      <w:outlineLvl w:val="3"/>
    </w:pPr>
    <w:rPr>
      <w:b/>
      <w:bCs/>
      <w:sz w:val="28"/>
      <w:szCs w:val="28"/>
    </w:rPr>
  </w:style>
  <w:style w:type="paragraph" w:styleId="Titre5">
    <w:name w:val="heading 5"/>
    <w:basedOn w:val="Normal"/>
    <w:next w:val="Normal"/>
    <w:autoRedefine/>
    <w:rsid w:val="004C4EE9"/>
    <w:pPr>
      <w:keepNext/>
      <w:outlineLvl w:val="4"/>
    </w:pPr>
    <w:rPr>
      <w:b/>
      <w:sz w:val="20"/>
      <w:szCs w:val="20"/>
      <w:lang w:val="en-GB"/>
    </w:rPr>
  </w:style>
  <w:style w:type="paragraph" w:styleId="Titre6">
    <w:name w:val="heading 6"/>
    <w:basedOn w:val="Normal"/>
    <w:next w:val="Normal"/>
    <w:autoRedefine/>
    <w:rsid w:val="004C4EE9"/>
    <w:pPr>
      <w:keepNext/>
      <w:jc w:val="center"/>
      <w:outlineLvl w:val="5"/>
    </w:pPr>
    <w:rPr>
      <w:rFonts w:cs="Arial"/>
      <w:color w:val="000000"/>
      <w:sz w:val="22"/>
      <w:szCs w:val="22"/>
    </w:rPr>
  </w:style>
  <w:style w:type="paragraph" w:styleId="Titre7">
    <w:name w:val="heading 7"/>
    <w:basedOn w:val="Normal"/>
    <w:next w:val="Normal"/>
    <w:rsid w:val="004C4EE9"/>
    <w:pPr>
      <w:spacing w:before="240" w:after="60"/>
      <w:outlineLvl w:val="6"/>
    </w:pPr>
  </w:style>
  <w:style w:type="paragraph" w:styleId="Titre8">
    <w:name w:val="heading 8"/>
    <w:basedOn w:val="Normal"/>
    <w:next w:val="Normal"/>
    <w:rsid w:val="004C4EE9"/>
    <w:pPr>
      <w:spacing w:before="240" w:after="60"/>
      <w:outlineLvl w:val="7"/>
    </w:pPr>
    <w:rPr>
      <w:i/>
      <w:iCs/>
    </w:rPr>
  </w:style>
  <w:style w:type="paragraph" w:styleId="Titre9">
    <w:name w:val="heading 9"/>
    <w:basedOn w:val="Normal"/>
    <w:next w:val="Normal"/>
    <w:rsid w:val="004C4EE9"/>
    <w:pPr>
      <w:spacing w:before="240" w:after="60"/>
      <w:outlineLvl w:val="8"/>
    </w:pPr>
    <w:rPr>
      <w:rFonts w:ascii="Arial" w:hAnsi="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puces">
    <w:name w:val="List Bullet"/>
    <w:basedOn w:val="Normal"/>
    <w:autoRedefine/>
    <w:rsid w:val="00A55E36"/>
    <w:pPr>
      <w:numPr>
        <w:numId w:val="1"/>
      </w:numPr>
    </w:pPr>
  </w:style>
  <w:style w:type="character" w:customStyle="1" w:styleId="texto">
    <w:name w:val="texto"/>
    <w:basedOn w:val="Policepardfaut"/>
    <w:rsid w:val="00A6457C"/>
  </w:style>
  <w:style w:type="character" w:styleId="Marquedecommentaire">
    <w:name w:val="annotation reference"/>
    <w:basedOn w:val="Policepardfaut"/>
    <w:semiHidden/>
    <w:rsid w:val="009E4985"/>
    <w:rPr>
      <w:sz w:val="16"/>
      <w:szCs w:val="16"/>
    </w:rPr>
  </w:style>
  <w:style w:type="paragraph" w:styleId="Commentaire">
    <w:name w:val="annotation text"/>
    <w:basedOn w:val="Normal"/>
    <w:semiHidden/>
    <w:rsid w:val="009E4985"/>
    <w:rPr>
      <w:sz w:val="20"/>
      <w:szCs w:val="20"/>
    </w:rPr>
  </w:style>
  <w:style w:type="character" w:customStyle="1" w:styleId="SWCBulletedListCar">
    <w:name w:val="SWC_BulletedList Car"/>
    <w:basedOn w:val="Policepardfau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Policepardfau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Objetducommentaire">
    <w:name w:val="annotation subject"/>
    <w:basedOn w:val="Commentaire"/>
    <w:next w:val="Commentaire"/>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Lienhypertexte">
    <w:name w:val="Hyperlink"/>
    <w:basedOn w:val="Policepardfaut"/>
    <w:rsid w:val="005D5CF6"/>
    <w:rPr>
      <w:color w:val="0000FF"/>
      <w:u w:val="single"/>
    </w:rPr>
  </w:style>
  <w:style w:type="paragraph" w:styleId="Textedebulles">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Grilledutableau">
    <w:name w:val="Table Grid"/>
    <w:basedOn w:val="TableauNormal"/>
    <w:uiPriority w:val="39"/>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Policepardfau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Notedebasdepage">
    <w:name w:val="footnote text"/>
    <w:basedOn w:val="Normal"/>
    <w:semiHidden/>
    <w:rsid w:val="003869E8"/>
    <w:rPr>
      <w:sz w:val="20"/>
      <w:szCs w:val="20"/>
    </w:rPr>
  </w:style>
  <w:style w:type="character" w:styleId="Appelnotedebasdep">
    <w:name w:val="footnote reference"/>
    <w:basedOn w:val="Policepardfau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Policepardfau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Textedelespacerserv">
    <w:name w:val="Placeholder Text"/>
    <w:basedOn w:val="Policepardfaut"/>
    <w:uiPriority w:val="99"/>
    <w:semiHidden/>
    <w:rsid w:val="00653551"/>
    <w:rPr>
      <w:color w:val="808080"/>
    </w:rPr>
  </w:style>
  <w:style w:type="character" w:customStyle="1" w:styleId="NichtaufgelsteErwhnung1">
    <w:name w:val="Nicht aufgelöste Erwähnung1"/>
    <w:basedOn w:val="Policepardfaut"/>
    <w:uiPriority w:val="99"/>
    <w:semiHidden/>
    <w:unhideWhenUsed/>
    <w:rsid w:val="00E218E2"/>
    <w:rPr>
      <w:color w:val="605E5C"/>
      <w:shd w:val="clear" w:color="auto" w:fill="E1DFDD"/>
    </w:rPr>
  </w:style>
  <w:style w:type="paragraph" w:styleId="Rvision">
    <w:name w:val="Revision"/>
    <w:hidden/>
    <w:uiPriority w:val="99"/>
    <w:semiHidden/>
    <w:rsid w:val="00FA4DF8"/>
    <w:rPr>
      <w:sz w:val="24"/>
      <w:szCs w:val="24"/>
      <w:lang w:val="de-DE" w:eastAsia="de-DE"/>
    </w:rPr>
  </w:style>
  <w:style w:type="paragraph" w:styleId="En-tte">
    <w:name w:val="header"/>
    <w:basedOn w:val="Normal"/>
    <w:link w:val="En-tteCar"/>
    <w:uiPriority w:val="99"/>
    <w:semiHidden/>
    <w:unhideWhenUsed/>
    <w:rsid w:val="00FC1374"/>
    <w:pPr>
      <w:tabs>
        <w:tab w:val="center" w:pos="4536"/>
        <w:tab w:val="right" w:pos="9072"/>
      </w:tabs>
    </w:pPr>
  </w:style>
  <w:style w:type="character" w:customStyle="1" w:styleId="En-tteCar">
    <w:name w:val="En-tête Car"/>
    <w:basedOn w:val="Policepardfaut"/>
    <w:link w:val="En-tte"/>
    <w:uiPriority w:val="99"/>
    <w:semiHidden/>
    <w:rsid w:val="00FC1374"/>
    <w:rPr>
      <w:sz w:val="24"/>
      <w:szCs w:val="24"/>
      <w:lang w:val="de-DE" w:eastAsia="de-DE"/>
    </w:rPr>
  </w:style>
  <w:style w:type="paragraph" w:styleId="Pieddepage">
    <w:name w:val="footer"/>
    <w:basedOn w:val="Normal"/>
    <w:link w:val="PieddepageCar"/>
    <w:uiPriority w:val="99"/>
    <w:semiHidden/>
    <w:unhideWhenUsed/>
    <w:rsid w:val="00FC1374"/>
    <w:pPr>
      <w:tabs>
        <w:tab w:val="center" w:pos="4536"/>
        <w:tab w:val="right" w:pos="9072"/>
      </w:tabs>
    </w:pPr>
  </w:style>
  <w:style w:type="character" w:customStyle="1" w:styleId="PieddepageCar">
    <w:name w:val="Pied de page Car"/>
    <w:basedOn w:val="Policepardfaut"/>
    <w:link w:val="Pieddepage"/>
    <w:uiPriority w:val="99"/>
    <w:semiHidden/>
    <w:rsid w:val="00FC1374"/>
    <w:rPr>
      <w:sz w:val="24"/>
      <w:szCs w:val="24"/>
      <w:lang w:val="de-DE" w:eastAsia="de-DE"/>
    </w:rPr>
  </w:style>
  <w:style w:type="paragraph" w:styleId="Lgende">
    <w:name w:val="caption"/>
    <w:basedOn w:val="Normal"/>
    <w:next w:val="Normal"/>
    <w:uiPriority w:val="35"/>
    <w:unhideWhenUsed/>
    <w:qFormat/>
    <w:rsid w:val="00710E7D"/>
    <w:pPr>
      <w:framePr w:hSpace="141" w:wrap="around" w:vAnchor="text" w:hAnchor="margin" w:y="107"/>
      <w:spacing w:after="200"/>
      <w:jc w:val="both"/>
    </w:pPr>
    <w:rPr>
      <w:rFonts w:ascii="Arial" w:eastAsiaTheme="majorEastAsia" w:hAnsi="Arial" w:cstheme="majorBidi"/>
      <w:szCs w:val="22"/>
      <w:lang w:val="fr-CH" w:eastAsia="en-US"/>
    </w:rPr>
  </w:style>
  <w:style w:type="paragraph" w:customStyle="1" w:styleId="ECREP2024standard-text-fr">
    <w:name w:val="EC_REP_2024_standard-text-fr"/>
    <w:basedOn w:val="Normal"/>
    <w:qFormat/>
    <w:rsid w:val="002A5729"/>
    <w:pPr>
      <w:spacing w:after="120" w:line="240" w:lineRule="atLeast"/>
      <w:jc w:val="both"/>
    </w:pPr>
    <w:rPr>
      <w:rFonts w:ascii="Arial" w:eastAsiaTheme="minorHAnsi" w:hAnsi="Arial" w:cs="Arial"/>
      <w:sz w:val="20"/>
      <w:szCs w:val="20"/>
      <w:lang w:val="fr-CH" w:eastAsia="en-US"/>
    </w:rPr>
  </w:style>
  <w:style w:type="paragraph" w:customStyle="1" w:styleId="ECREP2024table">
    <w:name w:val="EC_REP_2024_table"/>
    <w:basedOn w:val="Normal"/>
    <w:rsid w:val="00415B43"/>
    <w:pPr>
      <w:spacing w:before="60" w:after="60"/>
    </w:pPr>
    <w:rPr>
      <w:rFonts w:ascii="Arial" w:eastAsiaTheme="minorHAnsi" w:hAnsi="Arial" w:cs="Arial"/>
      <w:sz w:val="18"/>
      <w:szCs w:val="18"/>
      <w:lang w:val="fr-CH" w:eastAsia="en-US"/>
    </w:rPr>
  </w:style>
  <w:style w:type="table" w:styleId="TableauGrille4-Accentuation3">
    <w:name w:val="Grid Table 4 Accent 3"/>
    <w:basedOn w:val="TableauNormal"/>
    <w:uiPriority w:val="49"/>
    <w:rsid w:val="00415B43"/>
    <w:rPr>
      <w:rFonts w:ascii="Calibri" w:eastAsia="Times" w:hAnsi="Calibri"/>
      <w:sz w:val="24"/>
      <w:szCs w:val="24"/>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Paragraphedeliste">
    <w:name w:val="List Paragraph"/>
    <w:basedOn w:val="Normal"/>
    <w:uiPriority w:val="34"/>
    <w:qFormat/>
    <w:rsid w:val="0079647E"/>
    <w:pPr>
      <w:spacing w:after="160" w:line="259" w:lineRule="auto"/>
      <w:ind w:left="720"/>
      <w:contextualSpacing/>
    </w:pPr>
    <w:rPr>
      <w:rFonts w:asciiTheme="minorHAnsi" w:eastAsiaTheme="minorHAnsi" w:hAnsiTheme="minorHAnsi" w:cstheme="minorBidi"/>
      <w:sz w:val="22"/>
      <w:szCs w:val="22"/>
      <w:lang w:val="fr-CH" w:eastAsia="en-US"/>
    </w:rPr>
  </w:style>
  <w:style w:type="character" w:styleId="Accentuation">
    <w:name w:val="Emphasis"/>
    <w:basedOn w:val="Policepardfaut"/>
    <w:uiPriority w:val="20"/>
    <w:qFormat/>
    <w:rsid w:val="0079647E"/>
    <w:rPr>
      <w:i/>
      <w:iCs/>
    </w:rPr>
  </w:style>
  <w:style w:type="paragraph" w:customStyle="1" w:styleId="SWCBibliography">
    <w:name w:val="SWC_Bibliography"/>
    <w:basedOn w:val="SWCText"/>
    <w:autoRedefine/>
    <w:rsid w:val="00A570B5"/>
    <w:pPr>
      <w:numPr>
        <w:numId w:val="29"/>
      </w:numPr>
      <w:spacing w:after="80" w:line="240" w:lineRule="auto"/>
      <w:jc w:val="left"/>
    </w:pPr>
    <w:rPr>
      <w:lang w:eastAsia="fr-CH"/>
    </w:rPr>
  </w:style>
  <w:style w:type="character" w:styleId="Mentionnonrsolue">
    <w:name w:val="Unresolved Mention"/>
    <w:basedOn w:val="Policepardfaut"/>
    <w:uiPriority w:val="99"/>
    <w:semiHidden/>
    <w:unhideWhenUsed/>
    <w:rsid w:val="00A570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6950518">
      <w:bodyDiv w:val="1"/>
      <w:marLeft w:val="0"/>
      <w:marRight w:val="0"/>
      <w:marTop w:val="0"/>
      <w:marBottom w:val="0"/>
      <w:divBdr>
        <w:top w:val="none" w:sz="0" w:space="0" w:color="auto"/>
        <w:left w:val="none" w:sz="0" w:space="0" w:color="auto"/>
        <w:bottom w:val="none" w:sz="0" w:space="0" w:color="auto"/>
        <w:right w:val="none" w:sz="0" w:space="0" w:color="auto"/>
      </w:divBdr>
      <w:divsChild>
        <w:div w:id="515189859">
          <w:marLeft w:val="0"/>
          <w:marRight w:val="0"/>
          <w:marTop w:val="0"/>
          <w:marBottom w:val="0"/>
          <w:divBdr>
            <w:top w:val="none" w:sz="0" w:space="0" w:color="auto"/>
            <w:left w:val="none" w:sz="0" w:space="0" w:color="auto"/>
            <w:bottom w:val="none" w:sz="0" w:space="0" w:color="auto"/>
            <w:right w:val="none" w:sz="0" w:space="0" w:color="auto"/>
          </w:divBdr>
          <w:divsChild>
            <w:div w:id="767122286">
              <w:marLeft w:val="0"/>
              <w:marRight w:val="0"/>
              <w:marTop w:val="0"/>
              <w:marBottom w:val="0"/>
              <w:divBdr>
                <w:top w:val="none" w:sz="0" w:space="0" w:color="auto"/>
                <w:left w:val="none" w:sz="0" w:space="0" w:color="auto"/>
                <w:bottom w:val="none" w:sz="0" w:space="0" w:color="auto"/>
                <w:right w:val="none" w:sz="0" w:space="0" w:color="auto"/>
              </w:divBdr>
              <w:divsChild>
                <w:div w:id="69545661">
                  <w:marLeft w:val="0"/>
                  <w:marRight w:val="0"/>
                  <w:marTop w:val="0"/>
                  <w:marBottom w:val="0"/>
                  <w:divBdr>
                    <w:top w:val="none" w:sz="0" w:space="0" w:color="auto"/>
                    <w:left w:val="none" w:sz="0" w:space="0" w:color="auto"/>
                    <w:bottom w:val="none" w:sz="0" w:space="0" w:color="auto"/>
                    <w:right w:val="none" w:sz="0" w:space="0" w:color="auto"/>
                  </w:divBdr>
                  <w:divsChild>
                    <w:div w:id="416439946">
                      <w:marLeft w:val="0"/>
                      <w:marRight w:val="0"/>
                      <w:marTop w:val="0"/>
                      <w:marBottom w:val="0"/>
                      <w:divBdr>
                        <w:top w:val="none" w:sz="0" w:space="0" w:color="auto"/>
                        <w:left w:val="none" w:sz="0" w:space="0" w:color="auto"/>
                        <w:bottom w:val="none" w:sz="0" w:space="0" w:color="auto"/>
                        <w:right w:val="none" w:sz="0" w:space="0" w:color="auto"/>
                      </w:divBdr>
                      <w:divsChild>
                        <w:div w:id="983895472">
                          <w:marLeft w:val="0"/>
                          <w:marRight w:val="0"/>
                          <w:marTop w:val="0"/>
                          <w:marBottom w:val="0"/>
                          <w:divBdr>
                            <w:top w:val="none" w:sz="0" w:space="0" w:color="auto"/>
                            <w:left w:val="none" w:sz="0" w:space="0" w:color="auto"/>
                            <w:bottom w:val="none" w:sz="0" w:space="0" w:color="auto"/>
                            <w:right w:val="none" w:sz="0" w:space="0" w:color="auto"/>
                          </w:divBdr>
                          <w:divsChild>
                            <w:div w:id="1243832902">
                              <w:marLeft w:val="0"/>
                              <w:marRight w:val="0"/>
                              <w:marTop w:val="0"/>
                              <w:marBottom w:val="0"/>
                              <w:divBdr>
                                <w:top w:val="none" w:sz="0" w:space="0" w:color="auto"/>
                                <w:left w:val="none" w:sz="0" w:space="0" w:color="auto"/>
                                <w:bottom w:val="none" w:sz="0" w:space="0" w:color="auto"/>
                                <w:right w:val="none" w:sz="0" w:space="0" w:color="auto"/>
                              </w:divBdr>
                              <w:divsChild>
                                <w:div w:id="1036539235">
                                  <w:marLeft w:val="0"/>
                                  <w:marRight w:val="0"/>
                                  <w:marTop w:val="0"/>
                                  <w:marBottom w:val="0"/>
                                  <w:divBdr>
                                    <w:top w:val="none" w:sz="0" w:space="0" w:color="auto"/>
                                    <w:left w:val="none" w:sz="0" w:space="0" w:color="auto"/>
                                    <w:bottom w:val="none" w:sz="0" w:space="0" w:color="auto"/>
                                    <w:right w:val="none" w:sz="0" w:space="0" w:color="auto"/>
                                  </w:divBdr>
                                  <w:divsChild>
                                    <w:div w:id="32998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svg"/><Relationship Id="rId26" Type="http://schemas.openxmlformats.org/officeDocument/2006/relationships/image" Target="media/image19.sv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svg"/><Relationship Id="rId42" Type="http://schemas.openxmlformats.org/officeDocument/2006/relationships/image" Target="media/image35.svg"/><Relationship Id="rId47" Type="http://schemas.openxmlformats.org/officeDocument/2006/relationships/image" Target="media/image40.png"/><Relationship Id="rId50" Type="http://schemas.openxmlformats.org/officeDocument/2006/relationships/image" Target="media/image43.sv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sv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svg"/><Relationship Id="rId32" Type="http://schemas.openxmlformats.org/officeDocument/2006/relationships/image" Target="media/image25.svg"/><Relationship Id="rId37" Type="http://schemas.openxmlformats.org/officeDocument/2006/relationships/image" Target="media/image30.png"/><Relationship Id="rId40" Type="http://schemas.openxmlformats.org/officeDocument/2006/relationships/image" Target="media/image33.svg"/><Relationship Id="rId45" Type="http://schemas.openxmlformats.org/officeDocument/2006/relationships/image" Target="media/image38.png"/><Relationship Id="rId53" Type="http://schemas.openxmlformats.org/officeDocument/2006/relationships/hyperlink" Target="https://doi.org/10.1016/j.rser.2022.112156" TargetMode="External"/><Relationship Id="rId5" Type="http://schemas.openxmlformats.org/officeDocument/2006/relationships/webSettings" Target="webSettings.xml"/><Relationship Id="rId10" Type="http://schemas.openxmlformats.org/officeDocument/2006/relationships/image" Target="media/image3.sv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svg"/><Relationship Id="rId52" Type="http://schemas.openxmlformats.org/officeDocument/2006/relationships/image" Target="media/image45.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svg"/><Relationship Id="rId22" Type="http://schemas.openxmlformats.org/officeDocument/2006/relationships/image" Target="media/image15.svg"/><Relationship Id="rId27" Type="http://schemas.openxmlformats.org/officeDocument/2006/relationships/image" Target="media/image20.png"/><Relationship Id="rId30" Type="http://schemas.openxmlformats.org/officeDocument/2006/relationships/image" Target="media/image23.sv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sv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sv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svg"/><Relationship Id="rId46" Type="http://schemas.openxmlformats.org/officeDocument/2006/relationships/image" Target="media/image39.svg"/><Relationship Id="rId20" Type="http://schemas.openxmlformats.org/officeDocument/2006/relationships/image" Target="media/image13.emf"/><Relationship Id="rId41" Type="http://schemas.openxmlformats.org/officeDocument/2006/relationships/image" Target="media/image34.png"/><Relationship Id="rId54" Type="http://schemas.openxmlformats.org/officeDocument/2006/relationships/hyperlink" Target="https://doi.org/10.1016/j.apenergy.2014.10.03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svg"/><Relationship Id="rId36" Type="http://schemas.openxmlformats.org/officeDocument/2006/relationships/image" Target="media/image29.svg"/><Relationship Id="rId49" Type="http://schemas.openxmlformats.org/officeDocument/2006/relationships/image" Target="media/image4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12</Pages>
  <Words>6825</Words>
  <Characters>37539</Characters>
  <Application>Microsoft Office Word</Application>
  <DocSecurity>0</DocSecurity>
  <Lines>312</Lines>
  <Paragraphs>88</Paragraphs>
  <ScaleCrop>false</ScaleCrop>
  <HeadingPairs>
    <vt:vector size="2" baseType="variant">
      <vt:variant>
        <vt:lpstr>Titre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44276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Pauletta Stefano</cp:lastModifiedBy>
  <cp:revision>146</cp:revision>
  <cp:lastPrinted>2023-02-22T18:40:00Z</cp:lastPrinted>
  <dcterms:created xsi:type="dcterms:W3CDTF">2026-08-28T11:52:00Z</dcterms:created>
  <dcterms:modified xsi:type="dcterms:W3CDTF">2026-09-02T08:59:00Z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