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5E913CD" w:rsidR="00DB52E7" w:rsidRPr="003B764A" w:rsidRDefault="004053B5" w:rsidP="00E45260">
      <w:pPr>
        <w:pStyle w:val="SWCTitle"/>
      </w:pPr>
      <w:r w:rsidRPr="003B764A">
        <w:t>EuroSun</w:t>
      </w:r>
      <w:r w:rsidR="00FC1781" w:rsidRPr="003B764A">
        <w:t>202</w:t>
      </w:r>
      <w:r w:rsidR="00FA4DF8" w:rsidRPr="003B764A">
        <w:t>6</w:t>
      </w:r>
    </w:p>
    <w:p w14:paraId="480E6796" w14:textId="45080E43" w:rsidR="002A71E3" w:rsidRPr="003B764A" w:rsidRDefault="003F3696" w:rsidP="007A5F17">
      <w:pPr>
        <w:pStyle w:val="SWCTitle"/>
        <w:spacing w:before="240"/>
      </w:pPr>
      <w:r>
        <w:t>TARG</w:t>
      </w:r>
      <w:r w:rsidR="00F7462C">
        <w:t>E</w:t>
      </w:r>
      <w:r>
        <w:t>T-GROUP-ORIENTED TECHNICAL CHARACTERISTICS – A COMPARISON OF CURRENTLY USED PVT MODELS</w:t>
      </w:r>
    </w:p>
    <w:p w14:paraId="7DC3AC17" w14:textId="59E32B27" w:rsidR="00B877EA" w:rsidRPr="003B764A" w:rsidRDefault="00B877EA" w:rsidP="542344AE">
      <w:pPr>
        <w:rPr>
          <w:color w:val="000000" w:themeColor="text1"/>
          <w:sz w:val="20"/>
          <w:szCs w:val="20"/>
          <w:lang w:val="en-US"/>
        </w:rPr>
      </w:pPr>
    </w:p>
    <w:p w14:paraId="256E27F1" w14:textId="4F7992B5" w:rsidR="00B877EA" w:rsidRPr="003B764A" w:rsidRDefault="5473E80B" w:rsidP="006A2A97">
      <w:pPr>
        <w:jc w:val="center"/>
        <w:rPr>
          <w:color w:val="000000" w:themeColor="text1"/>
          <w:sz w:val="20"/>
          <w:szCs w:val="20"/>
          <w:vertAlign w:val="superscript"/>
          <w:lang w:val="es-ES"/>
        </w:rPr>
      </w:pPr>
      <w:r w:rsidRPr="0B96A20D">
        <w:rPr>
          <w:color w:val="000000" w:themeColor="text1"/>
          <w:sz w:val="20"/>
          <w:szCs w:val="20"/>
          <w:lang w:val="es-ES"/>
        </w:rPr>
        <w:t>M</w:t>
      </w:r>
      <w:r w:rsidR="2BC825CD" w:rsidRPr="0B96A20D">
        <w:rPr>
          <w:color w:val="000000" w:themeColor="text1"/>
          <w:sz w:val="20"/>
          <w:szCs w:val="20"/>
          <w:lang w:val="es-ES"/>
        </w:rPr>
        <w:t>aría</w:t>
      </w:r>
      <w:r w:rsidRPr="0B96A20D">
        <w:rPr>
          <w:color w:val="000000" w:themeColor="text1"/>
          <w:sz w:val="20"/>
          <w:szCs w:val="20"/>
          <w:lang w:val="es-ES"/>
        </w:rPr>
        <w:t xml:space="preserve"> Herrando</w:t>
      </w:r>
      <w:r w:rsidRPr="0B96A20D">
        <w:rPr>
          <w:color w:val="000000" w:themeColor="text1"/>
          <w:sz w:val="20"/>
          <w:szCs w:val="20"/>
          <w:vertAlign w:val="superscript"/>
          <w:lang w:val="es-ES"/>
        </w:rPr>
        <w:t>1</w:t>
      </w:r>
      <w:r w:rsidR="3B9695E6" w:rsidRPr="0B96A20D">
        <w:rPr>
          <w:color w:val="000000" w:themeColor="text1"/>
          <w:sz w:val="20"/>
          <w:szCs w:val="20"/>
          <w:vertAlign w:val="superscript"/>
          <w:lang w:val="es-ES"/>
        </w:rPr>
        <w:t>*</w:t>
      </w:r>
      <w:r w:rsidRPr="0B96A20D">
        <w:rPr>
          <w:color w:val="000000" w:themeColor="text1"/>
          <w:sz w:val="20"/>
          <w:szCs w:val="20"/>
          <w:lang w:val="es-ES"/>
        </w:rPr>
        <w:t>, R</w:t>
      </w:r>
      <w:r w:rsidR="315A3EEF" w:rsidRPr="0B96A20D">
        <w:rPr>
          <w:color w:val="000000" w:themeColor="text1"/>
          <w:sz w:val="20"/>
          <w:szCs w:val="20"/>
          <w:lang w:val="es-ES"/>
        </w:rPr>
        <w:t>aquel</w:t>
      </w:r>
      <w:r w:rsidRPr="0B96A20D">
        <w:rPr>
          <w:color w:val="000000" w:themeColor="text1"/>
          <w:sz w:val="20"/>
          <w:szCs w:val="20"/>
          <w:lang w:val="es-ES"/>
        </w:rPr>
        <w:t xml:space="preserve"> Simón</w:t>
      </w:r>
      <w:r w:rsidR="6933E437" w:rsidRPr="0B96A20D">
        <w:rPr>
          <w:color w:val="000000" w:themeColor="text1"/>
          <w:sz w:val="20"/>
          <w:szCs w:val="20"/>
          <w:lang w:val="es-ES"/>
        </w:rPr>
        <w:t>-</w:t>
      </w:r>
      <w:r w:rsidRPr="0B96A20D">
        <w:rPr>
          <w:color w:val="000000" w:themeColor="text1"/>
          <w:sz w:val="20"/>
          <w:szCs w:val="20"/>
          <w:lang w:val="es-ES"/>
        </w:rPr>
        <w:t>Allué</w:t>
      </w:r>
      <w:r w:rsidR="43433836" w:rsidRPr="0B96A20D">
        <w:rPr>
          <w:color w:val="000000" w:themeColor="text1"/>
          <w:sz w:val="20"/>
          <w:szCs w:val="20"/>
          <w:vertAlign w:val="superscript"/>
          <w:lang w:val="es-ES"/>
        </w:rPr>
        <w:t>2</w:t>
      </w:r>
      <w:r w:rsidR="43433836" w:rsidRPr="0B96A20D">
        <w:rPr>
          <w:color w:val="000000" w:themeColor="text1"/>
          <w:sz w:val="20"/>
          <w:szCs w:val="20"/>
          <w:lang w:val="es-ES"/>
        </w:rPr>
        <w:t xml:space="preserve">, Iván </w:t>
      </w:r>
      <w:r w:rsidR="00522BF3" w:rsidRPr="00522BF3">
        <w:rPr>
          <w:color w:val="000000" w:themeColor="text1"/>
          <w:sz w:val="20"/>
          <w:szCs w:val="20"/>
          <w:lang w:val="es-ES"/>
        </w:rPr>
        <w:t>Acosta-Pazmiño</w:t>
      </w:r>
      <w:r w:rsidR="43433836" w:rsidRPr="0B96A20D">
        <w:rPr>
          <w:color w:val="000000" w:themeColor="text1"/>
          <w:sz w:val="20"/>
          <w:szCs w:val="20"/>
          <w:vertAlign w:val="superscript"/>
          <w:lang w:val="es-ES"/>
        </w:rPr>
        <w:t>3</w:t>
      </w:r>
      <w:r w:rsidR="43433836" w:rsidRPr="0B96A20D">
        <w:rPr>
          <w:color w:val="000000" w:themeColor="text1"/>
          <w:sz w:val="20"/>
          <w:szCs w:val="20"/>
          <w:lang w:val="es-ES"/>
        </w:rPr>
        <w:t>, Korbinian Kramer</w:t>
      </w:r>
      <w:r w:rsidR="43433836" w:rsidRPr="0B96A20D">
        <w:rPr>
          <w:color w:val="000000" w:themeColor="text1"/>
          <w:sz w:val="20"/>
          <w:szCs w:val="20"/>
          <w:vertAlign w:val="superscript"/>
          <w:lang w:val="es-ES"/>
        </w:rPr>
        <w:t>4</w:t>
      </w:r>
    </w:p>
    <w:p w14:paraId="63E6BEE2" w14:textId="3ADFE479" w:rsidR="00B877EA" w:rsidRPr="003B764A" w:rsidRDefault="59A89406" w:rsidP="006A2A97">
      <w:pPr>
        <w:ind w:firstLine="720"/>
        <w:jc w:val="center"/>
      </w:pPr>
      <w:r w:rsidRPr="0B96A20D">
        <w:rPr>
          <w:color w:val="000000" w:themeColor="text1"/>
          <w:sz w:val="20"/>
          <w:szCs w:val="20"/>
          <w:vertAlign w:val="superscript"/>
          <w:lang w:val="es-ES"/>
        </w:rPr>
        <w:t>1</w:t>
      </w:r>
      <w:r w:rsidRPr="0B96A20D">
        <w:rPr>
          <w:color w:val="000000" w:themeColor="text1"/>
          <w:sz w:val="20"/>
          <w:szCs w:val="20"/>
          <w:lang w:val="es-ES"/>
        </w:rPr>
        <w:t>Instituto Tecnológico de Aragón, C/ María de Luna</w:t>
      </w:r>
      <w:r w:rsidR="6B5F9751" w:rsidRPr="0B96A20D">
        <w:rPr>
          <w:color w:val="000000" w:themeColor="text1"/>
          <w:sz w:val="20"/>
          <w:szCs w:val="20"/>
          <w:lang w:val="es-ES"/>
        </w:rPr>
        <w:t xml:space="preserve"> </w:t>
      </w:r>
      <w:r w:rsidRPr="0B96A20D">
        <w:rPr>
          <w:color w:val="000000" w:themeColor="text1"/>
          <w:sz w:val="20"/>
          <w:szCs w:val="20"/>
          <w:lang w:val="es-ES"/>
        </w:rPr>
        <w:t>7-8, 50018 Zaragoza (Spain)</w:t>
      </w:r>
    </w:p>
    <w:p w14:paraId="06D4117D" w14:textId="390ACBFA" w:rsidR="59A89406" w:rsidRDefault="59A89406" w:rsidP="006A2A97">
      <w:pPr>
        <w:ind w:firstLine="720"/>
        <w:jc w:val="center"/>
      </w:pPr>
      <w:r w:rsidRPr="0B96A20D">
        <w:rPr>
          <w:color w:val="000000" w:themeColor="text1"/>
          <w:sz w:val="20"/>
          <w:szCs w:val="20"/>
          <w:vertAlign w:val="superscript"/>
          <w:lang w:val="es-ES"/>
        </w:rPr>
        <w:t>2</w:t>
      </w:r>
      <w:r w:rsidRPr="0B96A20D">
        <w:rPr>
          <w:color w:val="000000" w:themeColor="text1"/>
          <w:sz w:val="20"/>
          <w:szCs w:val="20"/>
          <w:lang w:val="es-ES"/>
        </w:rPr>
        <w:t xml:space="preserve"> ENDEF, c/P-B 20, Polígono Ciudad del Transporte, 50820 Zaragoza (Spain)</w:t>
      </w:r>
    </w:p>
    <w:p w14:paraId="3931EF1B" w14:textId="5BDE846E" w:rsidR="59A89406" w:rsidRDefault="59A89406" w:rsidP="006A2A97">
      <w:pPr>
        <w:spacing w:line="259" w:lineRule="auto"/>
        <w:ind w:firstLine="720"/>
        <w:jc w:val="center"/>
      </w:pPr>
      <w:r w:rsidRPr="0B96A20D">
        <w:rPr>
          <w:color w:val="000000" w:themeColor="text1"/>
          <w:sz w:val="20"/>
          <w:szCs w:val="20"/>
          <w:vertAlign w:val="superscript"/>
          <w:lang w:val="en-US"/>
        </w:rPr>
        <w:t>3</w:t>
      </w:r>
      <w:r w:rsidRPr="0B96A20D">
        <w:rPr>
          <w:color w:val="000000" w:themeColor="text1"/>
          <w:sz w:val="20"/>
          <w:szCs w:val="20"/>
          <w:lang w:val="en-US"/>
        </w:rPr>
        <w:t xml:space="preserve"> MG Sustainable Engineering AB, S:t Olofsgatan 11A, 753 21 Uppsala (Sweden)</w:t>
      </w:r>
    </w:p>
    <w:p w14:paraId="5FB1F2E4" w14:textId="22ABE88D" w:rsidR="04147756" w:rsidRDefault="04147756" w:rsidP="006A2A97">
      <w:pPr>
        <w:spacing w:line="259" w:lineRule="auto"/>
        <w:ind w:firstLine="720"/>
        <w:jc w:val="center"/>
      </w:pPr>
      <w:r w:rsidRPr="0B96A20D">
        <w:rPr>
          <w:color w:val="000000" w:themeColor="text1"/>
          <w:sz w:val="20"/>
          <w:szCs w:val="20"/>
          <w:vertAlign w:val="superscript"/>
          <w:lang w:val="en-US"/>
        </w:rPr>
        <w:t>4</w:t>
      </w:r>
      <w:r w:rsidR="7DBBC275" w:rsidRPr="0B96A20D">
        <w:rPr>
          <w:color w:val="000000" w:themeColor="text1"/>
          <w:sz w:val="20"/>
          <w:szCs w:val="20"/>
          <w:lang w:val="en-US"/>
        </w:rPr>
        <w:t xml:space="preserve"> Fraunhofer Institute for Solar Energy Systems ISE, Heidenhofstr. 2, 79110 Freiburg (Germany)</w:t>
      </w:r>
    </w:p>
    <w:p w14:paraId="62A64FB8" w14:textId="06E82E39" w:rsidR="00B877EA" w:rsidRPr="003B764A" w:rsidRDefault="5473E80B" w:rsidP="006A2A97">
      <w:pPr>
        <w:jc w:val="center"/>
      </w:pPr>
      <w:r w:rsidRPr="0B96A20D">
        <w:rPr>
          <w:color w:val="000000" w:themeColor="text1"/>
          <w:sz w:val="20"/>
          <w:szCs w:val="20"/>
          <w:lang w:val="en-US"/>
        </w:rPr>
        <w:t>Email</w:t>
      </w:r>
      <w:r w:rsidR="0A9EA38D" w:rsidRPr="0B96A20D">
        <w:rPr>
          <w:color w:val="000000" w:themeColor="text1"/>
          <w:sz w:val="20"/>
          <w:szCs w:val="20"/>
          <w:lang w:val="en-US"/>
        </w:rPr>
        <w:t xml:space="preserve">: </w:t>
      </w:r>
      <w:hyperlink r:id="rId11">
        <w:r w:rsidR="5363C440" w:rsidRPr="0B96A20D">
          <w:rPr>
            <w:rStyle w:val="Hipervnculo"/>
            <w:sz w:val="20"/>
            <w:szCs w:val="20"/>
            <w:vertAlign w:val="superscript"/>
            <w:lang w:val="en-US"/>
          </w:rPr>
          <w:t>*</w:t>
        </w:r>
        <w:r w:rsidR="0A9EA38D" w:rsidRPr="0B96A20D">
          <w:rPr>
            <w:rStyle w:val="Hipervnculo"/>
            <w:sz w:val="20"/>
            <w:szCs w:val="20"/>
            <w:lang w:val="en-US"/>
          </w:rPr>
          <w:t>mherrando@ita.es</w:t>
        </w:r>
      </w:hyperlink>
      <w:r w:rsidR="5CE98ECA" w:rsidRPr="0B96A20D">
        <w:rPr>
          <w:color w:val="000000" w:themeColor="text1"/>
          <w:sz w:val="20"/>
          <w:szCs w:val="20"/>
          <w:lang w:val="en-US"/>
        </w:rPr>
        <w:t xml:space="preserve">, </w:t>
      </w:r>
      <w:hyperlink r:id="rId12">
        <w:r w:rsidR="5CE98ECA" w:rsidRPr="0B96A20D">
          <w:rPr>
            <w:rStyle w:val="Hipervnculo"/>
            <w:sz w:val="20"/>
            <w:szCs w:val="20"/>
            <w:lang w:val="en-US"/>
          </w:rPr>
          <w:t>raquel.simon@endef.com</w:t>
        </w:r>
      </w:hyperlink>
      <w:r w:rsidR="5CE98ECA" w:rsidRPr="0B96A20D">
        <w:rPr>
          <w:color w:val="000000" w:themeColor="text1"/>
          <w:sz w:val="20"/>
          <w:szCs w:val="20"/>
          <w:lang w:val="en-US"/>
        </w:rPr>
        <w:t xml:space="preserve">, </w:t>
      </w:r>
      <w:hyperlink r:id="rId13">
        <w:r w:rsidR="5CE98ECA" w:rsidRPr="0B96A20D">
          <w:rPr>
            <w:rStyle w:val="Hipervnculo"/>
            <w:sz w:val="20"/>
            <w:szCs w:val="20"/>
            <w:lang w:val="en-US"/>
          </w:rPr>
          <w:t>ivan@mgsust.com</w:t>
        </w:r>
      </w:hyperlink>
      <w:r w:rsidR="5CE98ECA" w:rsidRPr="0B96A20D">
        <w:rPr>
          <w:color w:val="000000" w:themeColor="text1"/>
          <w:sz w:val="20"/>
          <w:szCs w:val="20"/>
          <w:lang w:val="en-US"/>
        </w:rPr>
        <w:t xml:space="preserve">, </w:t>
      </w:r>
      <w:hyperlink r:id="rId14">
        <w:r w:rsidR="5CE98ECA" w:rsidRPr="0B96A20D">
          <w:rPr>
            <w:rStyle w:val="Hipervnculo"/>
            <w:sz w:val="20"/>
            <w:szCs w:val="20"/>
            <w:lang w:val="en-US"/>
          </w:rPr>
          <w:t>korbinian.kramer@ise.fraunhofer.de</w:t>
        </w:r>
      </w:hyperlink>
    </w:p>
    <w:p w14:paraId="66C439CD" w14:textId="23BA34D1" w:rsidR="00B877EA" w:rsidRPr="003B764A" w:rsidRDefault="00B877EA" w:rsidP="542344AE">
      <w:pPr>
        <w:pStyle w:val="SWCSummary"/>
        <w:pBdr>
          <w:bottom w:val="single" w:sz="6" w:space="1" w:color="auto"/>
        </w:pBdr>
        <w:spacing w:before="240"/>
      </w:pPr>
      <w:r>
        <w:t>Summary</w:t>
      </w:r>
    </w:p>
    <w:p w14:paraId="41446954" w14:textId="722D102A" w:rsidR="00790E54" w:rsidRPr="003B764A" w:rsidRDefault="00790E54" w:rsidP="7D522D5D">
      <w:pPr>
        <w:pStyle w:val="SWCText"/>
        <w:pBdr>
          <w:bottom w:val="single" w:sz="6" w:space="1" w:color="auto"/>
        </w:pBdr>
        <w:rPr>
          <w:lang w:val="en-GB"/>
        </w:rPr>
      </w:pPr>
      <w:r w:rsidRPr="003B764A">
        <w:rPr>
          <w:lang w:val="en-GB"/>
        </w:rPr>
        <w:t xml:space="preserve">This work provides a comprehensive overview of solar photovoltaic-thermal (PVT) system configurations and the numerical simulation models currently employed for their performance assessment. Drawing from the ongoing activities of IEA SHC Task 73, it maps the dominant </w:t>
      </w:r>
      <w:r w:rsidR="00B75E49" w:rsidRPr="003B764A">
        <w:rPr>
          <w:lang w:val="en-GB"/>
        </w:rPr>
        <w:t>modelling</w:t>
      </w:r>
      <w:r w:rsidRPr="003B764A">
        <w:rPr>
          <w:lang w:val="en-GB"/>
        </w:rPr>
        <w:t xml:space="preserve"> tools</w:t>
      </w:r>
      <w:r w:rsidR="00B75E49" w:rsidRPr="003B764A">
        <w:rPr>
          <w:lang w:val="en-GB"/>
        </w:rPr>
        <w:t xml:space="preserve"> </w:t>
      </w:r>
      <w:r w:rsidRPr="003B764A">
        <w:rPr>
          <w:lang w:val="en-GB"/>
        </w:rPr>
        <w:t>and evaluates user experiences and learning methods.</w:t>
      </w:r>
      <w:r w:rsidR="00E90D78" w:rsidRPr="003B764A">
        <w:rPr>
          <w:lang w:val="en-GB"/>
        </w:rPr>
        <w:t xml:space="preserve"> </w:t>
      </w:r>
      <w:r w:rsidRPr="003B764A">
        <w:rPr>
          <w:lang w:val="en-GB"/>
        </w:rPr>
        <w:t xml:space="preserve">A critical finding is that system integration, rather than the collector unit itself, constitutes the primary </w:t>
      </w:r>
      <w:r w:rsidR="00001BC7" w:rsidRPr="003B764A">
        <w:rPr>
          <w:lang w:val="en-GB"/>
        </w:rPr>
        <w:t>modelling</w:t>
      </w:r>
      <w:r w:rsidRPr="003B764A">
        <w:rPr>
          <w:lang w:val="en-GB"/>
        </w:rPr>
        <w:t xml:space="preserve"> hurdle,</w:t>
      </w:r>
      <w:r w:rsidR="0086208F">
        <w:rPr>
          <w:lang w:val="en-GB"/>
        </w:rPr>
        <w:t xml:space="preserve"> according to</w:t>
      </w:r>
      <w:r w:rsidRPr="003B764A">
        <w:rPr>
          <w:lang w:val="en-GB"/>
        </w:rPr>
        <w:t xml:space="preserve"> 67% of practitioners. Key data gaps are identified regarding manufacturer performance maps, economic CAPEX/OPEX data, and high-quality experimental validation datasets. Based on these community insights, a target-group-oriented framework is proposed, distinguishing between the specific Key Performance Indicator (KPI) requirements for Market and Research &amp; Development stakeholders. </w:t>
      </w:r>
      <w:r w:rsidR="00983B1E" w:rsidRPr="003B764A">
        <w:rPr>
          <w:lang w:val="en-GB"/>
        </w:rPr>
        <w:t xml:space="preserve">Furthermore, the study highlights "uncovered" physical phenomena, such as icing and condensation. </w:t>
      </w:r>
      <w:r w:rsidRPr="003B764A">
        <w:rPr>
          <w:lang w:val="en-GB"/>
        </w:rPr>
        <w:t>Finally, a roadmap is outlined to prioriti</w:t>
      </w:r>
      <w:r w:rsidR="002D59BB" w:rsidRPr="003B764A">
        <w:rPr>
          <w:lang w:val="en-GB"/>
        </w:rPr>
        <w:t>s</w:t>
      </w:r>
      <w:r w:rsidRPr="003B764A">
        <w:rPr>
          <w:lang w:val="en-GB"/>
        </w:rPr>
        <w:t xml:space="preserve">e </w:t>
      </w:r>
      <w:r w:rsidR="002D59BB" w:rsidRPr="003B764A">
        <w:rPr>
          <w:lang w:val="en-GB"/>
        </w:rPr>
        <w:t xml:space="preserve">the preparation of </w:t>
      </w:r>
      <w:r w:rsidRPr="003B764A">
        <w:rPr>
          <w:lang w:val="en-GB"/>
        </w:rPr>
        <w:t>integration reference cases, open-access reference models, and educational tutorials designed to transition PVT technology from a niche market into a standardised global energy solution</w:t>
      </w:r>
      <w:r w:rsidR="00A252C6" w:rsidRPr="003B764A">
        <w:rPr>
          <w:lang w:val="en-GB"/>
        </w:rPr>
        <w:t xml:space="preserve">. </w:t>
      </w:r>
    </w:p>
    <w:p w14:paraId="5AB3A3E7" w14:textId="325DA361" w:rsidR="00DB52E7" w:rsidRPr="003B764A" w:rsidRDefault="00DB52E7" w:rsidP="00192E9C">
      <w:pPr>
        <w:pStyle w:val="SWCText"/>
        <w:pBdr>
          <w:bottom w:val="single" w:sz="6" w:space="1" w:color="auto"/>
        </w:pBdr>
        <w:spacing w:after="60"/>
        <w:rPr>
          <w:i/>
          <w:iCs/>
          <w:lang w:val="en-GB"/>
        </w:rPr>
      </w:pPr>
      <w:r w:rsidRPr="003B764A">
        <w:rPr>
          <w:i/>
          <w:iCs/>
          <w:lang w:val="en-GB"/>
        </w:rPr>
        <w:t xml:space="preserve">Keywords: </w:t>
      </w:r>
      <w:r w:rsidR="003B764A" w:rsidRPr="003B764A">
        <w:rPr>
          <w:i/>
          <w:iCs/>
          <w:lang w:val="en-GB"/>
        </w:rPr>
        <w:t>Liquid</w:t>
      </w:r>
      <w:r w:rsidR="00577DF8" w:rsidRPr="003B764A">
        <w:rPr>
          <w:i/>
          <w:iCs/>
          <w:lang w:val="en-GB"/>
        </w:rPr>
        <w:t>-</w:t>
      </w:r>
      <w:r w:rsidR="0000043E" w:rsidRPr="003B764A">
        <w:rPr>
          <w:i/>
          <w:iCs/>
          <w:lang w:val="en-GB"/>
        </w:rPr>
        <w:t xml:space="preserve">based </w:t>
      </w:r>
      <w:r w:rsidR="00577DF8" w:rsidRPr="003B764A">
        <w:rPr>
          <w:i/>
          <w:iCs/>
          <w:lang w:val="en-GB"/>
        </w:rPr>
        <w:t>PVT</w:t>
      </w:r>
      <w:r w:rsidR="00F940E6" w:rsidRPr="003B764A">
        <w:rPr>
          <w:i/>
          <w:iCs/>
          <w:lang w:val="en-GB"/>
        </w:rPr>
        <w:t xml:space="preserve"> collectors</w:t>
      </w:r>
      <w:r w:rsidR="00577DF8" w:rsidRPr="003B764A">
        <w:rPr>
          <w:i/>
          <w:iCs/>
          <w:lang w:val="en-GB"/>
        </w:rPr>
        <w:t>; Air-</w:t>
      </w:r>
      <w:r w:rsidR="0000043E" w:rsidRPr="003B764A">
        <w:rPr>
          <w:i/>
          <w:iCs/>
          <w:lang w:val="en-GB"/>
        </w:rPr>
        <w:t xml:space="preserve">based </w:t>
      </w:r>
      <w:r w:rsidR="00577DF8" w:rsidRPr="003B764A">
        <w:rPr>
          <w:i/>
          <w:iCs/>
          <w:lang w:val="en-GB"/>
        </w:rPr>
        <w:t>PVT</w:t>
      </w:r>
      <w:r w:rsidR="00F940E6" w:rsidRPr="003B764A">
        <w:rPr>
          <w:i/>
          <w:iCs/>
          <w:lang w:val="en-GB"/>
        </w:rPr>
        <w:t xml:space="preserve"> collectors</w:t>
      </w:r>
      <w:r w:rsidR="00577DF8" w:rsidRPr="003B764A">
        <w:rPr>
          <w:i/>
          <w:iCs/>
          <w:lang w:val="en-GB"/>
        </w:rPr>
        <w:t xml:space="preserve">, educational, </w:t>
      </w:r>
      <w:r w:rsidR="00F940E6" w:rsidRPr="003B764A">
        <w:rPr>
          <w:i/>
          <w:iCs/>
          <w:lang w:val="en-GB"/>
        </w:rPr>
        <w:t>numerical models.</w:t>
      </w:r>
    </w:p>
    <w:p w14:paraId="01458796" w14:textId="2B973C87" w:rsidR="00FA4DF8" w:rsidRPr="003B764A" w:rsidRDefault="002C089D" w:rsidP="00192E9C">
      <w:pPr>
        <w:pStyle w:val="SWCText"/>
        <w:pBdr>
          <w:bottom w:val="single" w:sz="6" w:space="1" w:color="auto"/>
        </w:pBdr>
        <w:spacing w:after="60"/>
        <w:rPr>
          <w:i/>
          <w:iCs/>
          <w:lang w:val="en-GB"/>
        </w:rPr>
      </w:pPr>
      <w:r w:rsidRPr="003B764A">
        <w:rPr>
          <w:i/>
          <w:iCs/>
          <w:lang w:val="en-GB"/>
        </w:rPr>
        <w:t>Field of application for the findings:</w:t>
      </w:r>
      <w:r w:rsidR="00577DF8" w:rsidRPr="003B764A">
        <w:rPr>
          <w:i/>
          <w:iCs/>
          <w:lang w:val="en-GB"/>
        </w:rPr>
        <w:t xml:space="preserve"> </w:t>
      </w:r>
      <w:r w:rsidR="00D2246E" w:rsidRPr="003B764A">
        <w:rPr>
          <w:i/>
          <w:iCs/>
          <w:lang w:val="en-GB"/>
        </w:rPr>
        <w:t xml:space="preserve">Forecasting </w:t>
      </w:r>
      <w:r w:rsidR="00FD36FE" w:rsidRPr="003B764A">
        <w:rPr>
          <w:i/>
          <w:iCs/>
          <w:lang w:val="en-GB"/>
        </w:rPr>
        <w:t xml:space="preserve">the </w:t>
      </w:r>
      <w:r w:rsidR="00D2246E" w:rsidRPr="003B764A">
        <w:rPr>
          <w:i/>
          <w:iCs/>
          <w:lang w:val="en-GB"/>
        </w:rPr>
        <w:t xml:space="preserve">energy output of </w:t>
      </w:r>
      <w:r w:rsidR="00577DF8" w:rsidRPr="003B764A">
        <w:rPr>
          <w:i/>
          <w:iCs/>
          <w:lang w:val="en-GB"/>
        </w:rPr>
        <w:t xml:space="preserve">PVT </w:t>
      </w:r>
      <w:r w:rsidR="00D4490F" w:rsidRPr="003B764A">
        <w:rPr>
          <w:i/>
          <w:iCs/>
          <w:lang w:val="en-GB"/>
        </w:rPr>
        <w:t>heating systems</w:t>
      </w:r>
    </w:p>
    <w:p w14:paraId="185A319D" w14:textId="6A0F1C0C" w:rsidR="002C089D" w:rsidRPr="003B764A" w:rsidRDefault="00CC3B0C" w:rsidP="00192E9C">
      <w:pPr>
        <w:pStyle w:val="SWCText"/>
        <w:pBdr>
          <w:bottom w:val="single" w:sz="6" w:space="1" w:color="auto"/>
        </w:pBdr>
        <w:spacing w:after="60"/>
        <w:rPr>
          <w:lang w:val="en-GB"/>
        </w:rPr>
      </w:pPr>
      <w:r w:rsidRPr="003B764A">
        <w:rPr>
          <w:i/>
          <w:iCs/>
          <w:lang w:val="en-GB"/>
        </w:rPr>
        <w:t>Addressed audience:</w:t>
      </w:r>
      <w:r w:rsidR="00577DF8" w:rsidRPr="003B764A">
        <w:rPr>
          <w:i/>
          <w:iCs/>
          <w:lang w:val="en-GB"/>
        </w:rPr>
        <w:t xml:space="preserve"> Researchers, students, technical office engineers, </w:t>
      </w:r>
      <w:r w:rsidR="00FD36FE" w:rsidRPr="003B764A">
        <w:rPr>
          <w:i/>
          <w:iCs/>
          <w:lang w:val="en-GB"/>
        </w:rPr>
        <w:t xml:space="preserve">and </w:t>
      </w:r>
      <w:r w:rsidR="00577DF8" w:rsidRPr="003B764A">
        <w:rPr>
          <w:i/>
          <w:iCs/>
          <w:lang w:val="en-GB"/>
        </w:rPr>
        <w:t>public administrations</w:t>
      </w:r>
    </w:p>
    <w:p w14:paraId="691C0985" w14:textId="3551E6EE" w:rsidR="00577DF8" w:rsidRPr="003B764A" w:rsidRDefault="00577DF8" w:rsidP="00E45260">
      <w:pPr>
        <w:pStyle w:val="SWCHeading1"/>
      </w:pPr>
      <w:r w:rsidRPr="003B764A">
        <w:t>Introduction</w:t>
      </w:r>
    </w:p>
    <w:p w14:paraId="5BCD9AE6" w14:textId="409E8032" w:rsidR="00DE176A" w:rsidRPr="003B764A" w:rsidRDefault="00AA758D" w:rsidP="003440C6">
      <w:pPr>
        <w:pStyle w:val="SWCText"/>
        <w:rPr>
          <w:lang w:val="en-GB"/>
        </w:rPr>
      </w:pPr>
      <w:r w:rsidRPr="003B764A">
        <w:rPr>
          <w:lang w:val="en-GB"/>
        </w:rPr>
        <w:t>Global demand for renewable energy continue</w:t>
      </w:r>
      <w:r w:rsidR="00192E9C" w:rsidRPr="003B764A">
        <w:rPr>
          <w:lang w:val="en-GB"/>
        </w:rPr>
        <w:t>s</w:t>
      </w:r>
      <w:r w:rsidRPr="003B764A">
        <w:rPr>
          <w:lang w:val="en-GB"/>
        </w:rPr>
        <w:t xml:space="preserve"> </w:t>
      </w:r>
      <w:r w:rsidR="00192E9C" w:rsidRPr="003B764A">
        <w:rPr>
          <w:lang w:val="en-GB"/>
        </w:rPr>
        <w:t>to rise</w:t>
      </w:r>
      <w:r w:rsidRPr="003B764A">
        <w:rPr>
          <w:lang w:val="en-GB"/>
        </w:rPr>
        <w:t xml:space="preserve"> significantly, driven by environmental awareness and the imperative</w:t>
      </w:r>
      <w:r w:rsidR="00F940E6" w:rsidRPr="003B764A">
        <w:rPr>
          <w:lang w:val="en-GB"/>
        </w:rPr>
        <w:t xml:space="preserve"> for sustainability. While solar thermal and photovoltaic </w:t>
      </w:r>
      <w:r w:rsidR="003440C6" w:rsidRPr="003B764A">
        <w:rPr>
          <w:lang w:val="en-GB"/>
        </w:rPr>
        <w:t xml:space="preserve">(PV) </w:t>
      </w:r>
      <w:r w:rsidR="00F940E6" w:rsidRPr="003B764A">
        <w:rPr>
          <w:lang w:val="en-GB"/>
        </w:rPr>
        <w:t>systems have experienced rapid growth</w:t>
      </w:r>
      <w:r w:rsidR="00113AAF" w:rsidRPr="003B764A">
        <w:rPr>
          <w:lang w:val="en-GB"/>
        </w:rPr>
        <w:t xml:space="preserve">, </w:t>
      </w:r>
      <w:r w:rsidR="00F940E6" w:rsidRPr="003B764A">
        <w:rPr>
          <w:lang w:val="en-GB"/>
        </w:rPr>
        <w:t>averaging 8% and 37% per year</w:t>
      </w:r>
      <w:r w:rsidR="003440C6" w:rsidRPr="003B764A">
        <w:rPr>
          <w:lang w:val="en-GB"/>
        </w:rPr>
        <w:t>,</w:t>
      </w:r>
      <w:r w:rsidR="00F940E6" w:rsidRPr="003B764A">
        <w:rPr>
          <w:lang w:val="en-GB"/>
        </w:rPr>
        <w:t xml:space="preserve"> respectively</w:t>
      </w:r>
      <w:r w:rsidR="003440C6" w:rsidRPr="003B764A">
        <w:rPr>
          <w:lang w:val="en-GB"/>
        </w:rPr>
        <w:t>,</w:t>
      </w:r>
      <w:r w:rsidR="00F940E6" w:rsidRPr="003B764A">
        <w:rPr>
          <w:lang w:val="en-GB"/>
        </w:rPr>
        <w:t xml:space="preserve"> since 2010</w:t>
      </w:r>
      <w:r w:rsidR="00113AAF" w:rsidRPr="003B764A">
        <w:rPr>
          <w:lang w:val="en-GB"/>
        </w:rPr>
        <w:t xml:space="preserve">, </w:t>
      </w:r>
      <w:r w:rsidR="00F940E6" w:rsidRPr="003B764A">
        <w:rPr>
          <w:lang w:val="en-GB"/>
        </w:rPr>
        <w:t>they still constitute a small fraction of total energy consumption</w:t>
      </w:r>
      <w:r w:rsidR="0013630C" w:rsidRPr="003B764A">
        <w:rPr>
          <w:lang w:val="en-GB"/>
        </w:rPr>
        <w:t xml:space="preserve"> </w:t>
      </w:r>
      <w:sdt>
        <w:sdtPr>
          <w:rPr>
            <w:lang w:val="en-GB"/>
          </w:rPr>
          <w:tag w:val="MENDELEY_CITATION_v3_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"/>
          <w:id w:val="344443052"/>
          <w:placeholder>
            <w:docPart w:val="DefaultPlaceholder_-1854013440"/>
          </w:placeholder>
        </w:sdtPr>
        <w:sdtEndPr/>
        <w:sdtContent>
          <w:r w:rsidR="0086208F" w:rsidRPr="0086208F">
            <w:rPr>
              <w:lang w:val="en-GB"/>
            </w:rPr>
            <w:t>(REN21, 2025)</w:t>
          </w:r>
        </w:sdtContent>
      </w:sdt>
      <w:r w:rsidR="00F940E6" w:rsidRPr="003B764A">
        <w:rPr>
          <w:lang w:val="en-GB"/>
        </w:rPr>
        <w:t xml:space="preserve">. Solar energy's advantages include high predictability </w:t>
      </w:r>
      <w:r w:rsidRPr="003B764A">
        <w:rPr>
          <w:lang w:val="en-GB"/>
        </w:rPr>
        <w:t>at annual and daily scales</w:t>
      </w:r>
      <w:r w:rsidR="00F940E6" w:rsidRPr="003B764A">
        <w:rPr>
          <w:lang w:val="en-GB"/>
        </w:rPr>
        <w:t xml:space="preserve">, as well as low degradation rates over a </w:t>
      </w:r>
      <w:r w:rsidR="007B36F4" w:rsidRPr="003B764A">
        <w:rPr>
          <w:lang w:val="en-GB"/>
        </w:rPr>
        <w:t>25-year</w:t>
      </w:r>
      <w:r w:rsidR="00F940E6" w:rsidRPr="003B764A">
        <w:rPr>
          <w:lang w:val="en-GB"/>
        </w:rPr>
        <w:t xml:space="preserve"> lifetime. </w:t>
      </w:r>
      <w:r w:rsidR="00113AAF" w:rsidRPr="003B764A">
        <w:rPr>
          <w:lang w:val="en-GB"/>
        </w:rPr>
        <w:t>Photovoltaic-thermal (</w:t>
      </w:r>
      <w:r w:rsidR="00F940E6" w:rsidRPr="003B764A">
        <w:rPr>
          <w:lang w:val="en-GB"/>
        </w:rPr>
        <w:t>PVT</w:t>
      </w:r>
      <w:r w:rsidR="00113AAF" w:rsidRPr="003B764A">
        <w:rPr>
          <w:lang w:val="en-GB"/>
        </w:rPr>
        <w:t>)</w:t>
      </w:r>
      <w:r w:rsidR="00F940E6" w:rsidRPr="003B764A">
        <w:rPr>
          <w:lang w:val="en-GB"/>
        </w:rPr>
        <w:t xml:space="preserve"> collectors are particularly relevant where efficient</w:t>
      </w:r>
      <w:r w:rsidR="00D4490F" w:rsidRPr="003B764A">
        <w:rPr>
          <w:lang w:val="en-GB"/>
        </w:rPr>
        <w:t xml:space="preserve"> use of</w:t>
      </w:r>
      <w:r w:rsidR="00F940E6" w:rsidRPr="003B764A">
        <w:rPr>
          <w:lang w:val="en-GB"/>
        </w:rPr>
        <w:t xml:space="preserve"> space is essential, as they can be integrated with other solar collectors or HVAC components to meet specific electrical and thermal demands</w:t>
      </w:r>
      <w:r w:rsidR="00577DF8" w:rsidRPr="003B764A">
        <w:rPr>
          <w:lang w:val="en-GB"/>
        </w:rPr>
        <w:t>.</w:t>
      </w:r>
      <w:r w:rsidR="003440C6" w:rsidRPr="003B764A">
        <w:rPr>
          <w:lang w:val="en-GB"/>
        </w:rPr>
        <w:t xml:space="preserve"> Despite their promising potential, PVT installations </w:t>
      </w:r>
      <w:r w:rsidR="00FA4117" w:rsidRPr="003B764A">
        <w:rPr>
          <w:lang w:val="en-GB"/>
        </w:rPr>
        <w:t>remain</w:t>
      </w:r>
      <w:r w:rsidR="003440C6" w:rsidRPr="003B764A">
        <w:rPr>
          <w:lang w:val="en-GB"/>
        </w:rPr>
        <w:t xml:space="preserve"> a niche market compared to stand-alone solar thermal and PV plants</w:t>
      </w:r>
      <w:r w:rsidR="00113AAF" w:rsidRPr="003B764A">
        <w:rPr>
          <w:lang w:val="en-GB"/>
        </w:rPr>
        <w:t xml:space="preserve"> </w:t>
      </w:r>
      <w:sdt>
        <w:sdtPr>
          <w:rPr>
            <w:lang w:val="en-GB"/>
          </w:rPr>
          <w:tag w:val="MENDELEY_CITATION_v3_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"/>
          <w:id w:val="-436057091"/>
          <w:placeholder>
            <w:docPart w:val="DefaultPlaceholder_-1854013440"/>
          </w:placeholder>
        </w:sdtPr>
        <w:sdtEndPr/>
        <w:sdtContent>
          <w:r w:rsidR="0086208F" w:rsidRPr="0086208F">
            <w:rPr>
              <w:lang w:val="en-GB"/>
            </w:rPr>
            <w:t>(AEE INTEC, 2025)</w:t>
          </w:r>
        </w:sdtContent>
      </w:sdt>
      <w:r w:rsidR="003440C6" w:rsidRPr="003B764A">
        <w:rPr>
          <w:lang w:val="en-GB"/>
        </w:rPr>
        <w:t xml:space="preserve">. </w:t>
      </w:r>
    </w:p>
    <w:p w14:paraId="36C8064C" w14:textId="4C89C928" w:rsidR="00577DF8" w:rsidRPr="003B764A" w:rsidRDefault="003440C6" w:rsidP="003440C6">
      <w:pPr>
        <w:pStyle w:val="SWCText"/>
        <w:rPr>
          <w:lang w:val="en-GB"/>
        </w:rPr>
      </w:pPr>
      <w:r w:rsidRPr="003B764A">
        <w:rPr>
          <w:lang w:val="en-GB"/>
        </w:rPr>
        <w:t xml:space="preserve">In this context, the main goals of the ongoing IEA SHC </w:t>
      </w:r>
      <w:r w:rsidR="00AA758D" w:rsidRPr="003B764A">
        <w:rPr>
          <w:lang w:val="en-GB"/>
        </w:rPr>
        <w:t>Task 73</w:t>
      </w:r>
      <w:r w:rsidRPr="003B764A">
        <w:rPr>
          <w:lang w:val="en-GB"/>
        </w:rPr>
        <w:t xml:space="preserve"> PVT </w:t>
      </w:r>
      <w:r w:rsidR="00D2246E" w:rsidRPr="003B764A">
        <w:rPr>
          <w:lang w:val="en-GB"/>
        </w:rPr>
        <w:t>H</w:t>
      </w:r>
      <w:r w:rsidRPr="003B764A">
        <w:rPr>
          <w:lang w:val="en-GB"/>
        </w:rPr>
        <w:t xml:space="preserve">eating </w:t>
      </w:r>
      <w:r w:rsidR="00D2246E" w:rsidRPr="003B764A">
        <w:rPr>
          <w:lang w:val="en-GB"/>
        </w:rPr>
        <w:t>S</w:t>
      </w:r>
      <w:r w:rsidRPr="003B764A">
        <w:rPr>
          <w:lang w:val="en-GB"/>
        </w:rPr>
        <w:t>ystems</w:t>
      </w:r>
      <w:r w:rsidR="00C03C50" w:rsidRPr="003B764A">
        <w:rPr>
          <w:lang w:val="en-GB"/>
        </w:rPr>
        <w:t xml:space="preserve"> </w:t>
      </w:r>
      <w:sdt>
        <w:sdtPr>
          <w:rPr>
            <w:lang w:val="en-GB"/>
          </w:rPr>
          <w:tag w:val="MENDELEY_CITATION_v3_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"/>
          <w:id w:val="-163328056"/>
          <w:placeholder>
            <w:docPart w:val="DefaultPlaceholder_-1854013440"/>
          </w:placeholder>
        </w:sdtPr>
        <w:sdtEndPr/>
        <w:sdtContent>
          <w:r w:rsidR="0086208F" w:rsidRPr="0086208F">
            <w:rPr>
              <w:lang w:val="en-GB"/>
            </w:rPr>
            <w:t>(IEA SHC, 2025)</w:t>
          </w:r>
        </w:sdtContent>
      </w:sdt>
      <w:r w:rsidRPr="003B764A">
        <w:rPr>
          <w:lang w:val="en-GB"/>
        </w:rPr>
        <w:t xml:space="preserve"> are to create factual awareness </w:t>
      </w:r>
      <w:r w:rsidR="00AA758D" w:rsidRPr="003B764A">
        <w:rPr>
          <w:lang w:val="en-GB"/>
        </w:rPr>
        <w:t>of PVT Heating Systems (air- and liquid-based), identify and address hurdles in the innovation systems around PVT heating systems, foster and mobilise the industry and research community on PVT heating systems, and initiate and expand</w:t>
      </w:r>
      <w:r w:rsidRPr="003B764A">
        <w:rPr>
          <w:lang w:val="en-GB"/>
        </w:rPr>
        <w:t xml:space="preserve"> PVT heating installations.</w:t>
      </w:r>
      <w:r w:rsidR="00DE176A" w:rsidRPr="003B764A">
        <w:rPr>
          <w:lang w:val="en-GB"/>
        </w:rPr>
        <w:t xml:space="preserve"> One of the ongoing activities is to map and guide the models in use to simulate PVT heating systems, provide </w:t>
      </w:r>
      <w:r w:rsidR="00D4490F" w:rsidRPr="003B764A">
        <w:rPr>
          <w:lang w:val="en-GB"/>
        </w:rPr>
        <w:t xml:space="preserve">a </w:t>
      </w:r>
      <w:r w:rsidR="00DE176A" w:rsidRPr="003B764A">
        <w:rPr>
          <w:lang w:val="en-GB"/>
        </w:rPr>
        <w:t>gap</w:t>
      </w:r>
      <w:r w:rsidR="00D4490F" w:rsidRPr="003B764A">
        <w:rPr>
          <w:lang w:val="en-GB"/>
        </w:rPr>
        <w:t xml:space="preserve"> report</w:t>
      </w:r>
      <w:r w:rsidR="00DE176A" w:rsidRPr="003B764A">
        <w:rPr>
          <w:lang w:val="en-GB"/>
        </w:rPr>
        <w:t xml:space="preserve"> </w:t>
      </w:r>
      <w:r w:rsidR="006D31B9" w:rsidRPr="003B764A">
        <w:rPr>
          <w:lang w:val="en-GB"/>
        </w:rPr>
        <w:t xml:space="preserve">in modelling, as well as </w:t>
      </w:r>
      <w:r w:rsidR="0024125D" w:rsidRPr="003B764A">
        <w:rPr>
          <w:lang w:val="en-GB"/>
        </w:rPr>
        <w:t>propose</w:t>
      </w:r>
      <w:r w:rsidR="006D31B9" w:rsidRPr="003B764A">
        <w:rPr>
          <w:lang w:val="en-GB"/>
        </w:rPr>
        <w:t xml:space="preserve"> key performance indicators </w:t>
      </w:r>
      <w:r w:rsidR="007B36F4" w:rsidRPr="003B764A">
        <w:rPr>
          <w:lang w:val="en-GB"/>
        </w:rPr>
        <w:t xml:space="preserve">(KPI) </w:t>
      </w:r>
      <w:r w:rsidR="00D4490F" w:rsidRPr="003B764A">
        <w:rPr>
          <w:lang w:val="en-GB"/>
        </w:rPr>
        <w:t xml:space="preserve">sorted </w:t>
      </w:r>
      <w:r w:rsidR="006D31B9" w:rsidRPr="003B764A">
        <w:rPr>
          <w:lang w:val="en-GB"/>
        </w:rPr>
        <w:t xml:space="preserve">by target group that </w:t>
      </w:r>
      <w:r w:rsidR="003B764A" w:rsidRPr="003B764A">
        <w:rPr>
          <w:lang w:val="en-GB"/>
        </w:rPr>
        <w:t>allow</w:t>
      </w:r>
      <w:r w:rsidR="006D31B9" w:rsidRPr="003B764A">
        <w:rPr>
          <w:lang w:val="en-GB"/>
        </w:rPr>
        <w:t xml:space="preserve"> a homogenisation and standardisation of different types of PVT system configurations by location</w:t>
      </w:r>
      <w:r w:rsidR="00AA758D" w:rsidRPr="003B764A">
        <w:rPr>
          <w:lang w:val="en-GB"/>
        </w:rPr>
        <w:t>,</w:t>
      </w:r>
      <w:r w:rsidR="006D31B9" w:rsidRPr="003B764A">
        <w:rPr>
          <w:lang w:val="en-GB"/>
        </w:rPr>
        <w:t xml:space="preserve"> climate</w:t>
      </w:r>
      <w:r w:rsidR="00D4490F" w:rsidRPr="003B764A">
        <w:rPr>
          <w:lang w:val="en-GB"/>
        </w:rPr>
        <w:t xml:space="preserve"> and operation conditions</w:t>
      </w:r>
      <w:r w:rsidR="006D31B9" w:rsidRPr="003B764A">
        <w:rPr>
          <w:lang w:val="en-GB"/>
        </w:rPr>
        <w:t xml:space="preserve">. </w:t>
      </w:r>
    </w:p>
    <w:p w14:paraId="575A32E6" w14:textId="0F06A467" w:rsidR="00BB4368" w:rsidRPr="003B764A" w:rsidRDefault="00BB4368" w:rsidP="00E45260">
      <w:pPr>
        <w:pStyle w:val="SWCHeading1"/>
      </w:pPr>
      <w:r w:rsidRPr="003B764A">
        <w:t xml:space="preserve">Mapping </w:t>
      </w:r>
      <w:r w:rsidR="00D2246E" w:rsidRPr="003B764A">
        <w:t xml:space="preserve">the </w:t>
      </w:r>
      <w:r w:rsidRPr="003B764A">
        <w:t>models in use</w:t>
      </w:r>
    </w:p>
    <w:p w14:paraId="126C8E02" w14:textId="763492EE" w:rsidR="00123097" w:rsidRPr="003B764A" w:rsidRDefault="00123097" w:rsidP="00123097">
      <w:pPr>
        <w:pStyle w:val="SWCText"/>
        <w:rPr>
          <w:lang w:val="en-GB"/>
        </w:rPr>
      </w:pPr>
      <w:r w:rsidRPr="003B764A">
        <w:rPr>
          <w:lang w:val="en-GB"/>
        </w:rPr>
        <w:t xml:space="preserve">Numerical simulation is critical for the success of PVT solutions, spanning proofs of concept, research, design, sizing, and optimisation. IEA SHC Task 60 </w:t>
      </w:r>
      <w:sdt>
        <w:sdtPr>
          <w:rPr>
            <w:lang w:val="en-GB"/>
          </w:rPr>
          <w:tag w:val="MENDELEY_CITATION_v3_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"/>
          <w:id w:val="1624115402"/>
          <w:placeholder>
            <w:docPart w:val="292F367728A440338CB17D38133A4C90"/>
          </w:placeholder>
        </w:sdtPr>
        <w:sdtEndPr/>
        <w:sdtContent>
          <w:r w:rsidR="0086208F" w:rsidRPr="0086208F">
            <w:rPr>
              <w:lang w:val="en-GB"/>
            </w:rPr>
            <w:t>(IEA SHC, 2020)</w:t>
          </w:r>
        </w:sdtContent>
      </w:sdt>
      <w:r w:rsidRPr="003B764A">
        <w:rPr>
          <w:lang w:val="en-GB"/>
        </w:rPr>
        <w:t xml:space="preserve"> gathered community experience using 11 different tools across 24 case studies at both the collector and system levels. The current IEA SHC Task 73 </w:t>
      </w:r>
      <w:sdt>
        <w:sdtPr>
          <w:rPr>
            <w:lang w:val="en-GB"/>
          </w:rPr>
          <w:tag w:val="MENDELEY_CITATION_v3_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"/>
          <w:id w:val="617958147"/>
          <w:placeholder>
            <w:docPart w:val="53A43CFA158849DBA9536033913A6F68"/>
          </w:placeholder>
        </w:sdtPr>
        <w:sdtEndPr/>
        <w:sdtContent>
          <w:r w:rsidR="0086208F" w:rsidRPr="0086208F">
            <w:rPr>
              <w:lang w:val="en-GB"/>
            </w:rPr>
            <w:t xml:space="preserve">(IEA SHC, </w:t>
          </w:r>
          <w:r w:rsidR="0086208F" w:rsidRPr="0086208F">
            <w:rPr>
              <w:lang w:val="en-GB"/>
            </w:rPr>
            <w:lastRenderedPageBreak/>
            <w:t>2025)</w:t>
          </w:r>
        </w:sdtContent>
      </w:sdt>
      <w:r w:rsidRPr="003B764A">
        <w:rPr>
          <w:lang w:val="en-GB"/>
        </w:rPr>
        <w:t xml:space="preserve"> </w:t>
      </w:r>
      <w:r w:rsidR="00316921" w:rsidRPr="003B764A">
        <w:rPr>
          <w:lang w:val="en-GB"/>
        </w:rPr>
        <w:t>aims to take it a step further by mapping PVT system configurations, how they</w:t>
      </w:r>
      <w:r w:rsidRPr="003B764A">
        <w:rPr>
          <w:lang w:val="en-GB"/>
        </w:rPr>
        <w:t xml:space="preserve"> are modelled, their pros and cons, and the main outcomes and uses of the models.</w:t>
      </w:r>
    </w:p>
    <w:p w14:paraId="2F0378CF" w14:textId="000E8B8F" w:rsidR="00703F15" w:rsidRPr="003B764A" w:rsidRDefault="00623810" w:rsidP="00703F15">
      <w:pPr>
        <w:pStyle w:val="SWCHeading11"/>
        <w:ind w:left="576" w:hanging="576"/>
      </w:pPr>
      <w:r w:rsidRPr="003B764A">
        <w:t xml:space="preserve">2.1. </w:t>
      </w:r>
      <w:r w:rsidR="00703F15" w:rsidRPr="003B764A">
        <w:t>Map Distribution using Köppen climate classification</w:t>
      </w:r>
    </w:p>
    <w:p w14:paraId="58264055" w14:textId="138CA7ED" w:rsidR="008C2AA3" w:rsidRPr="003B764A" w:rsidRDefault="00703F15" w:rsidP="008C2AA3">
      <w:pPr>
        <w:pStyle w:val="SWCText"/>
        <w:rPr>
          <w:lang w:val="en-GB"/>
        </w:rPr>
      </w:pPr>
      <w:r w:rsidRPr="003B764A">
        <w:rPr>
          <w:lang w:val="en-GB"/>
        </w:rPr>
        <w:t>The climate classification plays a foundational role in PVT modelling by providing a standardised framework to categorise systems based on regional weather patterns, which directly influence collector selection, system design, and the characterisation of site-specific physical phenomena.</w:t>
      </w:r>
      <w:r w:rsidR="003E3F3F" w:rsidRPr="003B764A">
        <w:rPr>
          <w:lang w:val="en-GB"/>
        </w:rPr>
        <w:t xml:space="preserve"> To address this, </w:t>
      </w:r>
      <w:r w:rsidR="00805EFF">
        <w:rPr>
          <w:lang w:val="en-GB"/>
        </w:rPr>
        <w:t>it is</w:t>
      </w:r>
      <w:r w:rsidR="003E3F3F" w:rsidRPr="003B764A">
        <w:rPr>
          <w:lang w:val="en-GB"/>
        </w:rPr>
        <w:t xml:space="preserve"> propose</w:t>
      </w:r>
      <w:r w:rsidR="00805EFF">
        <w:rPr>
          <w:lang w:val="en-GB"/>
        </w:rPr>
        <w:t>d</w:t>
      </w:r>
      <w:r w:rsidR="003E3F3F" w:rsidRPr="003B764A">
        <w:rPr>
          <w:lang w:val="en-GB"/>
        </w:rPr>
        <w:t xml:space="preserve"> </w:t>
      </w:r>
      <w:r w:rsidR="00805EFF">
        <w:rPr>
          <w:lang w:val="en-GB"/>
        </w:rPr>
        <w:t xml:space="preserve">to </w:t>
      </w:r>
      <w:r w:rsidR="003E3F3F" w:rsidRPr="003B764A">
        <w:rPr>
          <w:lang w:val="en-GB"/>
        </w:rPr>
        <w:t>us</w:t>
      </w:r>
      <w:r w:rsidR="00805EFF">
        <w:rPr>
          <w:lang w:val="en-GB"/>
        </w:rPr>
        <w:t>e</w:t>
      </w:r>
      <w:r w:rsidR="003E3F3F" w:rsidRPr="003B764A">
        <w:rPr>
          <w:lang w:val="en-GB"/>
        </w:rPr>
        <w:t xml:space="preserve"> a simplification of the Köppen-Geiger climate classification</w:t>
      </w:r>
      <w:r w:rsidR="0033611A" w:rsidRPr="003B764A">
        <w:rPr>
          <w:lang w:val="en-GB"/>
        </w:rPr>
        <w:t xml:space="preserve">, in particular Köppen-Geiger-Photovoltaic </w:t>
      </w:r>
      <w:sdt>
        <w:sdtPr>
          <w:rPr>
            <w:lang w:val="en-GB"/>
          </w:rPr>
          <w:tag w:val="MENDELEY_CITATION_v3_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"/>
          <w:id w:val="-704249415"/>
          <w:placeholder>
            <w:docPart w:val="E33B041451C74335B6FD2E8BEA145523"/>
          </w:placeholder>
        </w:sdtPr>
        <w:sdtEndPr/>
        <w:sdtContent>
          <w:r w:rsidR="0086208F" w:rsidRPr="0086208F">
            <w:rPr>
              <w:lang w:val="en-GB"/>
            </w:rPr>
            <w:t>(Ascencio-Vásquez et al., 2019)</w:t>
          </w:r>
        </w:sdtContent>
      </w:sdt>
      <w:r w:rsidR="0033611A" w:rsidRPr="003B764A">
        <w:rPr>
          <w:lang w:val="en-GB"/>
        </w:rPr>
        <w:t xml:space="preserve"> (from now on, KG-PV),</w:t>
      </w:r>
      <w:r w:rsidR="003E3F3F" w:rsidRPr="003B764A">
        <w:rPr>
          <w:lang w:val="en-GB"/>
        </w:rPr>
        <w:t xml:space="preserve"> to </w:t>
      </w:r>
      <w:r w:rsidR="008C2AA3" w:rsidRPr="003B764A">
        <w:rPr>
          <w:lang w:val="en-GB"/>
        </w:rPr>
        <w:t>provide a preliminary framework for grouping PVT systems by environmental trends, facilitating their spatial mapping.</w:t>
      </w:r>
      <w:r w:rsidR="00805EFF">
        <w:rPr>
          <w:lang w:val="en-GB"/>
        </w:rPr>
        <w:t xml:space="preserve"> </w:t>
      </w:r>
      <w:r w:rsidR="00B9166B" w:rsidRPr="003B764A">
        <w:rPr>
          <w:lang w:val="en-GB"/>
        </w:rPr>
        <w:t>KG-PV</w:t>
      </w:r>
      <w:r w:rsidR="008C2AA3" w:rsidRPr="003B764A">
        <w:rPr>
          <w:lang w:val="en-GB"/>
        </w:rPr>
        <w:t xml:space="preserve"> considers 12 climates (see </w:t>
      </w:r>
      <w:r w:rsidR="008C2AA3" w:rsidRPr="003B764A">
        <w:rPr>
          <w:lang w:val="en-GB"/>
        </w:rPr>
        <w:fldChar w:fldCharType="begin"/>
      </w:r>
      <w:r w:rsidR="008C2AA3" w:rsidRPr="003B764A">
        <w:rPr>
          <w:lang w:val="en-GB"/>
        </w:rPr>
        <w:instrText xml:space="preserve"> REF _Ref235778668 \h </w:instrText>
      </w:r>
      <w:r w:rsidR="008C2AA3" w:rsidRPr="003B764A">
        <w:rPr>
          <w:lang w:val="en-GB"/>
        </w:rPr>
      </w:r>
      <w:r w:rsidR="008C2AA3" w:rsidRPr="003B764A">
        <w:rPr>
          <w:lang w:val="en-GB"/>
        </w:rPr>
        <w:fldChar w:fldCharType="separate"/>
      </w:r>
      <w:r w:rsidR="00623810" w:rsidRPr="003B764A">
        <w:rPr>
          <w:lang w:val="en-GB"/>
        </w:rPr>
        <w:t xml:space="preserve">Fig. </w:t>
      </w:r>
      <w:r w:rsidR="00623810" w:rsidRPr="003B764A">
        <w:rPr>
          <w:noProof/>
          <w:lang w:val="en-GB"/>
        </w:rPr>
        <w:t>1</w:t>
      </w:r>
      <w:r w:rsidR="008C2AA3" w:rsidRPr="003B764A">
        <w:rPr>
          <w:lang w:val="en-GB"/>
        </w:rPr>
        <w:fldChar w:fldCharType="end"/>
      </w:r>
      <w:r w:rsidR="008C2AA3" w:rsidRPr="003B764A">
        <w:rPr>
          <w:lang w:val="en-GB"/>
        </w:rPr>
        <w:t>), designated by two-letter codes. The first letter indicates the Temperature-Precipitation (TP)-zones: A-Tropical, B-Desert, C-Steppe, D-Temperate, E-Cold and F- Polar. The second letter indicates the Irradiation (I)-zones: K-Very High, H-High, M-Medium.</w:t>
      </w:r>
    </w:p>
    <w:p w14:paraId="2C6127EB" w14:textId="3C53E3F4" w:rsidR="002D4A18" w:rsidRPr="003B764A" w:rsidRDefault="002D4A18" w:rsidP="00D30B93">
      <w:pPr>
        <w:pStyle w:val="SWCText"/>
        <w:jc w:val="center"/>
        <w:rPr>
          <w:lang w:val="en-GB"/>
        </w:rPr>
      </w:pPr>
      <w:r w:rsidRPr="003B764A">
        <w:rPr>
          <w:noProof/>
          <w:lang w:val="en-GB"/>
        </w:rPr>
        <w:drawing>
          <wp:inline distT="0" distB="0" distL="0" distR="0" wp14:anchorId="62FFDC6D" wp14:editId="58CFDB6F">
            <wp:extent cx="3918210" cy="1855017"/>
            <wp:effectExtent l="0" t="0" r="6350" b="0"/>
            <wp:docPr id="18214989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36459" cy="1863657"/>
                    </a:xfrm>
                    <a:prstGeom prst="rect">
                      <a:avLst/>
                    </a:prstGeom>
                    <a:noFill/>
                    <a:ln>
                      <a:noFill/>
                    </a:ln>
                  </pic:spPr>
                </pic:pic>
              </a:graphicData>
            </a:graphic>
          </wp:inline>
        </w:drawing>
      </w:r>
    </w:p>
    <w:p w14:paraId="30804081" w14:textId="2A0DD862" w:rsidR="008C2AA3" w:rsidRPr="003B764A" w:rsidRDefault="008C2AA3" w:rsidP="008C2AA3">
      <w:pPr>
        <w:pStyle w:val="SWCTableFigureCaption"/>
        <w:rPr>
          <w:lang w:val="en-GB"/>
        </w:rPr>
      </w:pPr>
      <w:bookmarkStart w:id="0" w:name="_Ref235778668"/>
      <w:r w:rsidRPr="003B764A">
        <w:rPr>
          <w:lang w:val="en-GB"/>
        </w:rPr>
        <w:t xml:space="preserve">Fig. </w:t>
      </w:r>
      <w:r w:rsidRPr="003B764A">
        <w:rPr>
          <w:lang w:val="en-GB"/>
        </w:rPr>
        <w:fldChar w:fldCharType="begin"/>
      </w:r>
      <w:r w:rsidRPr="003B764A">
        <w:rPr>
          <w:lang w:val="en-GB"/>
        </w:rPr>
        <w:instrText xml:space="preserve"> SEQ Fig. \* ARABIC </w:instrText>
      </w:r>
      <w:r w:rsidRPr="003B764A">
        <w:rPr>
          <w:lang w:val="en-GB"/>
        </w:rPr>
        <w:fldChar w:fldCharType="separate"/>
      </w:r>
      <w:r w:rsidR="00623810" w:rsidRPr="003B764A">
        <w:rPr>
          <w:noProof/>
          <w:lang w:val="en-GB"/>
        </w:rPr>
        <w:t>1</w:t>
      </w:r>
      <w:r w:rsidRPr="003B764A">
        <w:rPr>
          <w:lang w:val="en-GB"/>
        </w:rPr>
        <w:fldChar w:fldCharType="end"/>
      </w:r>
      <w:bookmarkEnd w:id="0"/>
      <w:r w:rsidRPr="003B764A">
        <w:rPr>
          <w:lang w:val="en-GB"/>
        </w:rPr>
        <w:t xml:space="preserve">: </w:t>
      </w:r>
      <w:r w:rsidR="001D0E73" w:rsidRPr="003B764A">
        <w:rPr>
          <w:lang w:val="en-GB"/>
        </w:rPr>
        <w:t>KG-PV</w:t>
      </w:r>
      <w:r w:rsidR="00853CE6" w:rsidRPr="003B764A">
        <w:rPr>
          <w:lang w:val="en-GB"/>
        </w:rPr>
        <w:t xml:space="preserve"> </w:t>
      </w:r>
      <w:r w:rsidRPr="003B764A">
        <w:rPr>
          <w:lang w:val="en-GB"/>
        </w:rPr>
        <w:t xml:space="preserve">climate classification with the 12 most relevant climate zones (Antarctica excluded) </w:t>
      </w:r>
      <w:sdt>
        <w:sdtPr>
          <w:rPr>
            <w:lang w:val="en-GB"/>
          </w:rPr>
          <w:tag w:val="MENDELEY_CITATION_v3_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"/>
          <w:id w:val="1696420956"/>
          <w:placeholder>
            <w:docPart w:val="9C880C296DB44FB78ADF99D89E5C7A1C"/>
          </w:placeholder>
        </w:sdtPr>
        <w:sdtEndPr/>
        <w:sdtContent>
          <w:r w:rsidR="0086208F" w:rsidRPr="0086208F">
            <w:rPr>
              <w:lang w:val="en-GB"/>
            </w:rPr>
            <w:t>(Ascencio-Vásquez et al., 2019)</w:t>
          </w:r>
        </w:sdtContent>
      </w:sdt>
      <w:r w:rsidRPr="003B764A">
        <w:rPr>
          <w:lang w:val="en-GB"/>
        </w:rPr>
        <w:t>.</w:t>
      </w:r>
    </w:p>
    <w:p w14:paraId="0ADB4E98" w14:textId="40B79C9C" w:rsidR="0033611A" w:rsidRPr="003B764A" w:rsidRDefault="0033611A" w:rsidP="0033611A">
      <w:pPr>
        <w:pStyle w:val="SWCText"/>
        <w:rPr>
          <w:lang w:val="en-GB"/>
        </w:rPr>
      </w:pPr>
      <w:r w:rsidRPr="003B764A">
        <w:rPr>
          <w:lang w:val="en-GB"/>
        </w:rPr>
        <w:t>This climate classification enables a preliminary categorisation of the PVT system configuration by location, which in turn may provide other benefits such as characterising environmental phenomena (</w:t>
      </w:r>
      <w:r w:rsidR="00F455FA" w:rsidRPr="003B764A">
        <w:rPr>
          <w:lang w:val="en-GB"/>
        </w:rPr>
        <w:t>addressing</w:t>
      </w:r>
      <w:r w:rsidRPr="003B764A">
        <w:rPr>
          <w:lang w:val="en-GB"/>
        </w:rPr>
        <w:t xml:space="preserve"> site-specific challenges) and identifying relevant KPIs tailored to specific regions.</w:t>
      </w:r>
    </w:p>
    <w:p w14:paraId="079F93E3" w14:textId="15671B6D" w:rsidR="00BB4368" w:rsidRPr="003B764A" w:rsidRDefault="00623810">
      <w:pPr>
        <w:pStyle w:val="SWCHeading11"/>
        <w:ind w:left="576" w:hanging="576"/>
      </w:pPr>
      <w:r w:rsidRPr="003B764A">
        <w:t xml:space="preserve">2.2. </w:t>
      </w:r>
      <w:r w:rsidR="00BB4368" w:rsidRPr="003B764A">
        <w:t xml:space="preserve">Clustering by main PVT </w:t>
      </w:r>
      <w:r w:rsidR="00E71995" w:rsidRPr="003B764A">
        <w:t xml:space="preserve">system </w:t>
      </w:r>
      <w:r w:rsidR="00BB4368" w:rsidRPr="003B764A">
        <w:t>configuration</w:t>
      </w:r>
    </w:p>
    <w:p w14:paraId="6E9584D5" w14:textId="6010D7C9" w:rsidR="003D7DE4" w:rsidRPr="003B764A" w:rsidRDefault="00AA758D" w:rsidP="00BE649A">
      <w:pPr>
        <w:pStyle w:val="SWCText"/>
        <w:rPr>
          <w:lang w:val="en-GB"/>
        </w:rPr>
      </w:pPr>
      <w:r w:rsidRPr="003B764A">
        <w:rPr>
          <w:lang w:val="en-GB"/>
        </w:rPr>
        <w:t xml:space="preserve">Various PVT system configurations have been proposed in the literature and in installations worldwide, depending on the energy requirements </w:t>
      </w:r>
      <w:r w:rsidR="0053248F" w:rsidRPr="003B764A">
        <w:rPr>
          <w:lang w:val="en-GB"/>
        </w:rPr>
        <w:t xml:space="preserve">and the climate. </w:t>
      </w:r>
      <w:r w:rsidR="003D7DE4" w:rsidRPr="003B764A">
        <w:rPr>
          <w:lang w:val="en-GB"/>
        </w:rPr>
        <w:t xml:space="preserve">Due to the variability among existing systems (differing by collector type, final </w:t>
      </w:r>
      <w:r w:rsidR="00CC2C79" w:rsidRPr="003B764A">
        <w:rPr>
          <w:lang w:val="en-GB"/>
        </w:rPr>
        <w:t xml:space="preserve">energy </w:t>
      </w:r>
      <w:r w:rsidR="003D7DE4" w:rsidRPr="003B764A">
        <w:rPr>
          <w:lang w:val="en-GB"/>
        </w:rPr>
        <w:t xml:space="preserve">use, installation site, </w:t>
      </w:r>
      <w:r w:rsidR="009354AB" w:rsidRPr="003B764A">
        <w:rPr>
          <w:lang w:val="en-GB"/>
        </w:rPr>
        <w:t>system</w:t>
      </w:r>
      <w:r w:rsidR="003D7DE4" w:rsidRPr="003B764A">
        <w:rPr>
          <w:lang w:val="en-GB"/>
        </w:rPr>
        <w:t xml:space="preserve"> integration, etc.), defining an all-inclusive classification proves challenging. Nevertheless, a broad classification is proposed to encompass the most common configurations reported in the literature and commercial deployments. For this study, two main PVT systems are analysed: </w:t>
      </w:r>
      <w:r w:rsidR="003B764A">
        <w:rPr>
          <w:lang w:val="en-GB"/>
        </w:rPr>
        <w:t>liquid</w:t>
      </w:r>
      <w:r w:rsidR="003D7DE4" w:rsidRPr="003B764A">
        <w:rPr>
          <w:lang w:val="en-GB"/>
        </w:rPr>
        <w:t xml:space="preserve"> and air-based, considering flat-plate </w:t>
      </w:r>
      <w:r w:rsidR="00914A6C" w:rsidRPr="003B764A">
        <w:rPr>
          <w:lang w:val="en-GB"/>
        </w:rPr>
        <w:t xml:space="preserve">and evacuated </w:t>
      </w:r>
      <w:r w:rsidR="007B69C2" w:rsidRPr="003B764A">
        <w:rPr>
          <w:lang w:val="en-GB"/>
        </w:rPr>
        <w:t>technolog</w:t>
      </w:r>
      <w:r w:rsidR="00914A6C" w:rsidRPr="003B764A">
        <w:rPr>
          <w:lang w:val="en-GB"/>
        </w:rPr>
        <w:t>ies</w:t>
      </w:r>
      <w:r w:rsidR="003D7DE4" w:rsidRPr="003B764A">
        <w:rPr>
          <w:lang w:val="en-GB"/>
        </w:rPr>
        <w:t xml:space="preserve"> (excluding concentrating </w:t>
      </w:r>
      <w:r w:rsidR="00914A6C" w:rsidRPr="003B764A">
        <w:rPr>
          <w:lang w:val="en-GB"/>
        </w:rPr>
        <w:t>PVT collectors</w:t>
      </w:r>
      <w:r w:rsidR="003D7DE4" w:rsidRPr="003B764A">
        <w:rPr>
          <w:lang w:val="en-GB"/>
        </w:rPr>
        <w:t>).</w:t>
      </w:r>
    </w:p>
    <w:p w14:paraId="41C86764" w14:textId="72F2E65C" w:rsidR="0033611A" w:rsidRDefault="00623810" w:rsidP="00623810">
      <w:pPr>
        <w:pStyle w:val="SWCHeading11"/>
      </w:pPr>
      <w:r w:rsidRPr="003B764A">
        <w:t xml:space="preserve">2.2.1. </w:t>
      </w:r>
      <w:r w:rsidR="003B764A">
        <w:t>Liquid-</w:t>
      </w:r>
      <w:r w:rsidR="00565AA2" w:rsidRPr="003B764A">
        <w:t>based</w:t>
      </w:r>
      <w:r w:rsidR="00091F36" w:rsidRPr="003B764A">
        <w:t xml:space="preserve"> PVT systems</w:t>
      </w:r>
    </w:p>
    <w:p w14:paraId="5A3E1726" w14:textId="77777777" w:rsidR="0086208F" w:rsidRPr="003B764A" w:rsidRDefault="0086208F" w:rsidP="0086208F">
      <w:pPr>
        <w:pStyle w:val="SWCText"/>
        <w:jc w:val="center"/>
        <w:rPr>
          <w:lang w:val="en-GB"/>
        </w:rPr>
      </w:pPr>
      <w:r w:rsidRPr="003B764A">
        <w:rPr>
          <w:noProof/>
          <w:lang w:val="en-GB"/>
        </w:rPr>
        <w:drawing>
          <wp:inline distT="0" distB="0" distL="0" distR="0" wp14:anchorId="0DBA888C" wp14:editId="48150EFE">
            <wp:extent cx="4524610" cy="1589964"/>
            <wp:effectExtent l="0" t="0" r="0" b="0"/>
            <wp:docPr id="7970921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72355" cy="1606742"/>
                    </a:xfrm>
                    <a:prstGeom prst="rect">
                      <a:avLst/>
                    </a:prstGeom>
                    <a:noFill/>
                  </pic:spPr>
                </pic:pic>
              </a:graphicData>
            </a:graphic>
          </wp:inline>
        </w:drawing>
      </w:r>
    </w:p>
    <w:p w14:paraId="15F7B096" w14:textId="6AECFF96" w:rsidR="0086208F" w:rsidRPr="0086208F" w:rsidRDefault="0086208F" w:rsidP="0086208F">
      <w:pPr>
        <w:pStyle w:val="SWCTableFigureCaption"/>
        <w:rPr>
          <w:lang w:val="en-GB"/>
        </w:rPr>
      </w:pPr>
      <w:bookmarkStart w:id="1" w:name="_Ref238553667"/>
      <w:r w:rsidRPr="003B764A">
        <w:rPr>
          <w:lang w:val="en-GB"/>
        </w:rPr>
        <w:t xml:space="preserve">Fig. </w:t>
      </w:r>
      <w:r w:rsidRPr="003B764A">
        <w:rPr>
          <w:lang w:val="en-GB"/>
        </w:rPr>
        <w:fldChar w:fldCharType="begin"/>
      </w:r>
      <w:r w:rsidRPr="003B764A">
        <w:rPr>
          <w:lang w:val="en-GB"/>
        </w:rPr>
        <w:instrText xml:space="preserve"> SEQ Fig. \* ARABIC </w:instrText>
      </w:r>
      <w:r w:rsidRPr="003B764A">
        <w:rPr>
          <w:lang w:val="en-GB"/>
        </w:rPr>
        <w:fldChar w:fldCharType="separate"/>
      </w:r>
      <w:r w:rsidRPr="003B764A">
        <w:rPr>
          <w:noProof/>
          <w:lang w:val="en-GB"/>
        </w:rPr>
        <w:t>2</w:t>
      </w:r>
      <w:r w:rsidRPr="003B764A">
        <w:rPr>
          <w:lang w:val="en-GB"/>
        </w:rPr>
        <w:fldChar w:fldCharType="end"/>
      </w:r>
      <w:bookmarkEnd w:id="1"/>
      <w:r w:rsidRPr="003B764A">
        <w:rPr>
          <w:lang w:val="en-GB"/>
        </w:rPr>
        <w:t xml:space="preserve">: </w:t>
      </w:r>
      <w:r>
        <w:rPr>
          <w:lang w:val="en-GB"/>
        </w:rPr>
        <w:t>Liquid-</w:t>
      </w:r>
      <w:r w:rsidRPr="003B764A">
        <w:rPr>
          <w:lang w:val="en-GB"/>
        </w:rPr>
        <w:t>based PVT systems classification.</w:t>
      </w:r>
    </w:p>
    <w:p w14:paraId="5B20010A" w14:textId="5C155DCD" w:rsidR="007B69C2" w:rsidRPr="003B764A" w:rsidRDefault="003B764A" w:rsidP="00DD6A22">
      <w:pPr>
        <w:pStyle w:val="SWCText"/>
        <w:rPr>
          <w:lang w:val="en-GB"/>
        </w:rPr>
      </w:pPr>
      <w:r>
        <w:rPr>
          <w:lang w:val="en-GB"/>
        </w:rPr>
        <w:t>Liquid-</w:t>
      </w:r>
      <w:r w:rsidR="007B69C2" w:rsidRPr="003B764A">
        <w:rPr>
          <w:lang w:val="en-GB"/>
        </w:rPr>
        <w:t xml:space="preserve">based PVT systems remain the most prevalent to date across market models, PVT </w:t>
      </w:r>
      <w:r w:rsidR="005702FA" w:rsidRPr="003B764A">
        <w:rPr>
          <w:lang w:val="en-GB"/>
        </w:rPr>
        <w:t xml:space="preserve">collector </w:t>
      </w:r>
      <w:r w:rsidR="007B69C2" w:rsidRPr="003B764A">
        <w:rPr>
          <w:lang w:val="en-GB"/>
        </w:rPr>
        <w:t>topologies, and field installations</w:t>
      </w:r>
      <w:r w:rsidR="00AE61E0" w:rsidRPr="003B764A">
        <w:rPr>
          <w:lang w:val="en-GB"/>
        </w:rPr>
        <w:t xml:space="preserve"> </w:t>
      </w:r>
      <w:sdt>
        <w:sdtPr>
          <w:rPr>
            <w:lang w:val="en-GB"/>
          </w:rPr>
          <w:tag w:val="MENDELEY_CITATION_v3_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"/>
          <w:id w:val="-377946876"/>
          <w:placeholder>
            <w:docPart w:val="DefaultPlaceholder_-1854013440"/>
          </w:placeholder>
        </w:sdtPr>
        <w:sdtEndPr/>
        <w:sdtContent>
          <w:r w:rsidR="0086208F" w:rsidRPr="0086208F">
            <w:rPr>
              <w:lang w:val="en-GB"/>
            </w:rPr>
            <w:t>(Herrando et al., 2023)</w:t>
          </w:r>
        </w:sdtContent>
      </w:sdt>
      <w:r w:rsidR="007B69C2" w:rsidRPr="003B764A">
        <w:rPr>
          <w:lang w:val="en-GB"/>
        </w:rPr>
        <w:t>. Their distinguishing feature is the use of water as the heat-transfer fluid, sometimes blended with property-enhancing additives, such as glycol</w:t>
      </w:r>
      <w:r w:rsidR="005702FA" w:rsidRPr="003B764A">
        <w:rPr>
          <w:lang w:val="en-GB"/>
        </w:rPr>
        <w:t>,</w:t>
      </w:r>
      <w:r w:rsidR="007B69C2" w:rsidRPr="003B764A">
        <w:rPr>
          <w:lang w:val="en-GB"/>
        </w:rPr>
        <w:t xml:space="preserve"> to prevent freezing.</w:t>
      </w:r>
      <w:r w:rsidR="00805EFF">
        <w:rPr>
          <w:lang w:val="en-GB"/>
        </w:rPr>
        <w:t xml:space="preserve"> Refrigerants are also used when integrating directly with a heat pump.</w:t>
      </w:r>
      <w:r w:rsidR="007B69C2" w:rsidRPr="003B764A">
        <w:rPr>
          <w:lang w:val="en-GB"/>
        </w:rPr>
        <w:t xml:space="preserve"> </w:t>
      </w:r>
      <w:r w:rsidR="00941D15" w:rsidRPr="003B764A">
        <w:rPr>
          <w:lang w:val="en-GB"/>
        </w:rPr>
        <w:t xml:space="preserve">All cases assume electricity generation aimed at partially </w:t>
      </w:r>
      <w:r w:rsidR="005702FA" w:rsidRPr="003B764A">
        <w:rPr>
          <w:lang w:val="en-GB"/>
        </w:rPr>
        <w:t xml:space="preserve">covering </w:t>
      </w:r>
      <w:r w:rsidR="00941D15" w:rsidRPr="003B764A">
        <w:rPr>
          <w:lang w:val="en-GB"/>
        </w:rPr>
        <w:lastRenderedPageBreak/>
        <w:t>the system's final energy consumption, though this is not used as a classification criterion.</w:t>
      </w:r>
      <w:r w:rsidR="008A6314" w:rsidRPr="003B764A">
        <w:rPr>
          <w:lang w:val="en-GB"/>
        </w:rPr>
        <w:t xml:space="preserve"> </w:t>
      </w:r>
      <w:r w:rsidR="007B69C2" w:rsidRPr="003B764A">
        <w:rPr>
          <w:lang w:val="en-GB"/>
        </w:rPr>
        <w:t xml:space="preserve">According to Task 73, </w:t>
      </w:r>
      <w:r>
        <w:rPr>
          <w:lang w:val="en-GB"/>
        </w:rPr>
        <w:t>liquid-</w:t>
      </w:r>
      <w:r w:rsidR="00941D15" w:rsidRPr="003B764A">
        <w:rPr>
          <w:lang w:val="en-GB"/>
        </w:rPr>
        <w:t>based PVT systems</w:t>
      </w:r>
      <w:r w:rsidR="007B69C2" w:rsidRPr="003B764A">
        <w:rPr>
          <w:lang w:val="en-GB"/>
        </w:rPr>
        <w:t xml:space="preserve"> can be classified into four main categories, as </w:t>
      </w:r>
      <w:r w:rsidR="008A6314" w:rsidRPr="003B764A">
        <w:rPr>
          <w:lang w:val="en-GB"/>
        </w:rPr>
        <w:t xml:space="preserve">shown in </w:t>
      </w:r>
      <w:r w:rsidR="00623810" w:rsidRPr="003B764A">
        <w:rPr>
          <w:lang w:val="en-GB"/>
        </w:rPr>
        <w:fldChar w:fldCharType="begin"/>
      </w:r>
      <w:r w:rsidR="00623810" w:rsidRPr="003B764A">
        <w:rPr>
          <w:lang w:val="en-GB"/>
        </w:rPr>
        <w:instrText xml:space="preserve"> REF _Ref238553667 \h </w:instrText>
      </w:r>
      <w:r w:rsidR="00623810" w:rsidRPr="003B764A">
        <w:rPr>
          <w:lang w:val="en-GB"/>
        </w:rPr>
      </w:r>
      <w:r w:rsidR="00623810" w:rsidRPr="003B764A">
        <w:rPr>
          <w:lang w:val="en-GB"/>
        </w:rPr>
        <w:fldChar w:fldCharType="separate"/>
      </w:r>
      <w:r w:rsidR="00623810" w:rsidRPr="003B764A">
        <w:rPr>
          <w:lang w:val="en-GB"/>
        </w:rPr>
        <w:t xml:space="preserve">Fig. </w:t>
      </w:r>
      <w:r w:rsidR="00623810" w:rsidRPr="003B764A">
        <w:rPr>
          <w:noProof/>
          <w:lang w:val="en-GB"/>
        </w:rPr>
        <w:t>2</w:t>
      </w:r>
      <w:r w:rsidR="00623810" w:rsidRPr="003B764A">
        <w:rPr>
          <w:lang w:val="en-GB"/>
        </w:rPr>
        <w:fldChar w:fldCharType="end"/>
      </w:r>
      <w:r w:rsidR="008A6314" w:rsidRPr="003B764A">
        <w:rPr>
          <w:lang w:val="en-GB"/>
        </w:rPr>
        <w:t xml:space="preserve"> and detailed below.</w:t>
      </w:r>
      <w:r w:rsidR="007B69C2" w:rsidRPr="003B764A">
        <w:rPr>
          <w:lang w:val="en-GB"/>
        </w:rPr>
        <w:t xml:space="preserve"> </w:t>
      </w:r>
    </w:p>
    <w:p w14:paraId="4D14FC57" w14:textId="77777777" w:rsidR="00F75FF3" w:rsidRPr="003B764A" w:rsidRDefault="00F75FF3" w:rsidP="00F75FF3">
      <w:pPr>
        <w:pStyle w:val="SWCText"/>
        <w:rPr>
          <w:b/>
          <w:bCs/>
          <w:u w:val="single"/>
          <w:lang w:val="en-GB"/>
        </w:rPr>
      </w:pPr>
      <w:r w:rsidRPr="003B764A">
        <w:rPr>
          <w:b/>
          <w:bCs/>
          <w:u w:val="single"/>
          <w:lang w:val="en-GB"/>
        </w:rPr>
        <w:t xml:space="preserve">A1: PVT for final usage </w:t>
      </w:r>
    </w:p>
    <w:p w14:paraId="39217990" w14:textId="77777777" w:rsidR="00F75FF3" w:rsidRPr="003B764A" w:rsidRDefault="00F75FF3" w:rsidP="00F75FF3">
      <w:pPr>
        <w:pStyle w:val="SWCText"/>
        <w:rPr>
          <w:lang w:val="en-GB"/>
        </w:rPr>
      </w:pPr>
      <w:r w:rsidRPr="003B764A">
        <w:rPr>
          <w:lang w:val="en-GB"/>
        </w:rPr>
        <w:t>In this case, the heat generated in the collector is directly used in the final application (DHW, swimming pool, heating network, heated floor, etc.). Auxiliary heating is optional but required to meet the heating demand. Based on the inclusion of thermal storage, two types can be distinguished:</w:t>
      </w:r>
    </w:p>
    <w:p w14:paraId="544148A0" w14:textId="77777777" w:rsidR="00F75FF3" w:rsidRPr="003B764A" w:rsidRDefault="00F75FF3" w:rsidP="00F75FF3">
      <w:pPr>
        <w:pStyle w:val="Bullet"/>
      </w:pPr>
      <w:r w:rsidRPr="003B764A">
        <w:rPr>
          <w:b/>
          <w:bCs/>
        </w:rPr>
        <w:t>A1.1: Without thermal storage</w:t>
      </w:r>
      <w:r w:rsidRPr="003B764A">
        <w:t>: PVT-generated heat must be used immediately, restricting applications to daytime thermal demands and making performance highly dependent on solar radiation. While installation is relatively simple, suitable applications are limited to test benches and swimming pools.</w:t>
      </w:r>
    </w:p>
    <w:p w14:paraId="678C0E9E" w14:textId="12DF0B0B" w:rsidR="00F75FF3" w:rsidRPr="003B764A" w:rsidRDefault="00F75FF3" w:rsidP="00F75FF3">
      <w:pPr>
        <w:pStyle w:val="Bullet"/>
      </w:pPr>
      <w:r w:rsidRPr="003B764A">
        <w:rPr>
          <w:b/>
          <w:bCs/>
        </w:rPr>
        <w:t xml:space="preserve">A1.2: With thermal storage </w:t>
      </w:r>
      <w:r w:rsidRPr="003B764A">
        <w:t xml:space="preserve">(see </w:t>
      </w:r>
      <w:r w:rsidRPr="003B764A">
        <w:fldChar w:fldCharType="begin"/>
      </w:r>
      <w:r w:rsidRPr="003B764A">
        <w:instrText xml:space="preserve"> REF _Ref235784927 \h </w:instrText>
      </w:r>
      <w:r w:rsidRPr="003B764A">
        <w:fldChar w:fldCharType="separate"/>
      </w:r>
      <w:r w:rsidR="00623810" w:rsidRPr="003B764A">
        <w:t xml:space="preserve">Fig. </w:t>
      </w:r>
      <w:r w:rsidR="00623810" w:rsidRPr="003B764A">
        <w:rPr>
          <w:noProof/>
        </w:rPr>
        <w:t>3</w:t>
      </w:r>
      <w:r w:rsidRPr="003B764A">
        <w:fldChar w:fldCharType="end"/>
      </w:r>
      <w:r w:rsidRPr="003B764A">
        <w:t xml:space="preserve">): Adding a storage tank downstream of the PVT field decouples heat generation from demand by storing thermal energy for later use. Although this increases installation costs and control complexity, it enables a higher utilisation of the generated heat </w:t>
      </w:r>
      <w:sdt>
        <w:sdtPr>
          <w:tag w:val="MENDELEY_CITATION_v3_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"/>
          <w:id w:val="-775709106"/>
          <w:placeholder>
            <w:docPart w:val="FB07B732F47742B497528CB812104B63"/>
          </w:placeholder>
        </w:sdtPr>
        <w:sdtEndPr/>
        <w:sdtContent>
          <w:r w:rsidR="0086208F" w:rsidRPr="0086208F">
            <w:t>(Axaopoulos and Fylladitakis, 2013)</w:t>
          </w:r>
        </w:sdtContent>
      </w:sdt>
      <w:r w:rsidRPr="003B764A">
        <w:t>.</w:t>
      </w:r>
    </w:p>
    <w:p w14:paraId="7513F908" w14:textId="3262BA02" w:rsidR="00AB36AE" w:rsidRPr="003B764A" w:rsidRDefault="00941D15" w:rsidP="00E47E66">
      <w:pPr>
        <w:pStyle w:val="SWCText"/>
        <w:spacing w:before="120"/>
        <w:rPr>
          <w:lang w:val="en-GB"/>
        </w:rPr>
      </w:pPr>
      <w:r w:rsidRPr="003B764A">
        <w:rPr>
          <w:lang w:val="en-GB"/>
        </w:rPr>
        <w:t>Based</w:t>
      </w:r>
      <w:r w:rsidR="00AB36AE" w:rsidRPr="003B764A">
        <w:rPr>
          <w:lang w:val="en-GB"/>
        </w:rPr>
        <w:t xml:space="preserve"> on the thermal circuit configuration, two types can be </w:t>
      </w:r>
      <w:r w:rsidR="00E47E66" w:rsidRPr="003B764A">
        <w:rPr>
          <w:lang w:val="en-GB"/>
        </w:rPr>
        <w:t>differentiated</w:t>
      </w:r>
      <w:r w:rsidR="00AB36AE" w:rsidRPr="003B764A">
        <w:rPr>
          <w:lang w:val="en-GB"/>
        </w:rPr>
        <w:t xml:space="preserve">: </w:t>
      </w:r>
    </w:p>
    <w:p w14:paraId="37014E2B" w14:textId="7C54C623" w:rsidR="00AB36AE" w:rsidRPr="003B764A" w:rsidRDefault="009A5812" w:rsidP="006D1C4C">
      <w:pPr>
        <w:pStyle w:val="Bullet"/>
      </w:pPr>
      <w:r w:rsidRPr="003B764A">
        <w:rPr>
          <w:b/>
          <w:bCs/>
        </w:rPr>
        <w:t>O</w:t>
      </w:r>
      <w:r w:rsidR="00AB36AE" w:rsidRPr="003B764A">
        <w:rPr>
          <w:b/>
          <w:bCs/>
        </w:rPr>
        <w:t>pen</w:t>
      </w:r>
      <w:r>
        <w:rPr>
          <w:b/>
          <w:bCs/>
        </w:rPr>
        <w:t>-</w:t>
      </w:r>
      <w:r w:rsidR="00AB36AE" w:rsidRPr="003B764A">
        <w:rPr>
          <w:b/>
          <w:bCs/>
        </w:rPr>
        <w:t>loop</w:t>
      </w:r>
      <w:r>
        <w:rPr>
          <w:b/>
          <w:bCs/>
        </w:rPr>
        <w:t xml:space="preserve"> (OL)</w:t>
      </w:r>
      <w:r w:rsidR="00172D1F" w:rsidRPr="003B764A">
        <w:rPr>
          <w:b/>
          <w:bCs/>
        </w:rPr>
        <w:t xml:space="preserve"> </w:t>
      </w:r>
      <w:r w:rsidR="00172D1F" w:rsidRPr="003B764A">
        <w:t xml:space="preserve">(see </w:t>
      </w:r>
      <w:r w:rsidR="00172D1F" w:rsidRPr="003B764A">
        <w:fldChar w:fldCharType="begin"/>
      </w:r>
      <w:r w:rsidR="00172D1F" w:rsidRPr="003B764A">
        <w:instrText xml:space="preserve"> REF _Ref235784927 \h </w:instrText>
      </w:r>
      <w:r w:rsidR="00172D1F" w:rsidRPr="003B764A">
        <w:fldChar w:fldCharType="separate"/>
      </w:r>
      <w:r w:rsidR="00623810" w:rsidRPr="003B764A">
        <w:t xml:space="preserve">Fig. </w:t>
      </w:r>
      <w:r w:rsidR="00623810" w:rsidRPr="003B764A">
        <w:rPr>
          <w:noProof/>
        </w:rPr>
        <w:t>3</w:t>
      </w:r>
      <w:r w:rsidR="00172D1F" w:rsidRPr="003B764A">
        <w:fldChar w:fldCharType="end"/>
      </w:r>
      <w:r w:rsidR="00CE2305" w:rsidRPr="003B764A">
        <w:t xml:space="preserve"> left</w:t>
      </w:r>
      <w:r w:rsidR="00172D1F" w:rsidRPr="003B764A">
        <w:t>)</w:t>
      </w:r>
      <w:r w:rsidR="00AB36AE" w:rsidRPr="003B764A">
        <w:t xml:space="preserve">: </w:t>
      </w:r>
      <w:r w:rsidR="00941D15" w:rsidRPr="003B764A">
        <w:t xml:space="preserve">The same fluid circulates through both the solar collector and the demand circuit, requiring it to meet relevant potable water standards. </w:t>
      </w:r>
      <w:r w:rsidR="00941D15" w:rsidRPr="003B764A">
        <w:rPr>
          <w:i/>
          <w:iCs/>
        </w:rPr>
        <w:t>Example:</w:t>
      </w:r>
      <w:r w:rsidR="00941D15" w:rsidRPr="003B764A">
        <w:t xml:space="preserve"> thermosiphons</w:t>
      </w:r>
      <w:r w:rsidR="003E5A06" w:rsidRPr="003B764A">
        <w:t xml:space="preserve"> </w:t>
      </w:r>
      <w:sdt>
        <w:sdtPr>
          <w:tag w:val="MENDELEY_CITATION_v3_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"/>
          <w:id w:val="-1464259322"/>
          <w:placeholder>
            <w:docPart w:val="DefaultPlaceholder_-1854013440"/>
          </w:placeholder>
        </w:sdtPr>
        <w:sdtEndPr/>
        <w:sdtContent>
          <w:r w:rsidR="0086208F" w:rsidRPr="0086208F">
            <w:t>(Chow et al., 2006)</w:t>
          </w:r>
        </w:sdtContent>
      </w:sdt>
      <w:r w:rsidR="00941D15" w:rsidRPr="003B764A">
        <w:t>.</w:t>
      </w:r>
    </w:p>
    <w:p w14:paraId="70B51826" w14:textId="077126C4" w:rsidR="00305E19" w:rsidRPr="003B764A" w:rsidRDefault="00E274D1" w:rsidP="00853CE6">
      <w:pPr>
        <w:pStyle w:val="Bullet"/>
      </w:pPr>
      <w:r w:rsidRPr="003B764A">
        <w:rPr>
          <w:b/>
          <w:bCs/>
        </w:rPr>
        <w:t>C</w:t>
      </w:r>
      <w:r w:rsidR="00AB36AE" w:rsidRPr="003B764A">
        <w:rPr>
          <w:b/>
          <w:bCs/>
        </w:rPr>
        <w:t>losed-loop</w:t>
      </w:r>
      <w:r w:rsidR="009A5812">
        <w:rPr>
          <w:b/>
          <w:bCs/>
        </w:rPr>
        <w:t xml:space="preserve"> (CL)</w:t>
      </w:r>
      <w:r w:rsidR="00172D1F" w:rsidRPr="003B764A">
        <w:rPr>
          <w:b/>
          <w:bCs/>
        </w:rPr>
        <w:t xml:space="preserve"> </w:t>
      </w:r>
      <w:r w:rsidR="00172D1F" w:rsidRPr="003B764A">
        <w:t xml:space="preserve">(see </w:t>
      </w:r>
      <w:r w:rsidR="00172D1F" w:rsidRPr="003B764A">
        <w:fldChar w:fldCharType="begin"/>
      </w:r>
      <w:r w:rsidR="00172D1F" w:rsidRPr="003B764A">
        <w:instrText xml:space="preserve"> REF _Ref235784927 \h </w:instrText>
      </w:r>
      <w:r w:rsidR="00172D1F" w:rsidRPr="003B764A">
        <w:fldChar w:fldCharType="separate"/>
      </w:r>
      <w:r w:rsidR="00623810" w:rsidRPr="003B764A">
        <w:t xml:space="preserve">Fig. </w:t>
      </w:r>
      <w:r w:rsidR="00623810" w:rsidRPr="003B764A">
        <w:rPr>
          <w:noProof/>
        </w:rPr>
        <w:t>3</w:t>
      </w:r>
      <w:r w:rsidR="00172D1F" w:rsidRPr="003B764A">
        <w:fldChar w:fldCharType="end"/>
      </w:r>
      <w:r w:rsidR="00CE2305" w:rsidRPr="003B764A">
        <w:t xml:space="preserve"> right</w:t>
      </w:r>
      <w:r w:rsidR="00172D1F" w:rsidRPr="003B764A">
        <w:t>)</w:t>
      </w:r>
      <w:r w:rsidR="00AB36AE" w:rsidRPr="003B764A">
        <w:t xml:space="preserve">: </w:t>
      </w:r>
      <w:r w:rsidR="00941D15" w:rsidRPr="003B764A">
        <w:t>Solar and consumption circuits are decoupled via a heat exchanger (either internal or external</w:t>
      </w:r>
      <w:r w:rsidR="009A5812">
        <w:t xml:space="preserve"> </w:t>
      </w:r>
      <w:r w:rsidR="009A5812" w:rsidRPr="003B764A">
        <w:t>to the tank</w:t>
      </w:r>
      <w:r w:rsidR="00941D15" w:rsidRPr="003B764A">
        <w:t>). While this slightly lowers thermal efficiency due to heat exchanger losses, it grants full operational freedom regarding the heat transfer fluid</w:t>
      </w:r>
      <w:r w:rsidR="00B238A9" w:rsidRPr="003B764A">
        <w:t xml:space="preserve"> </w:t>
      </w:r>
      <w:sdt>
        <w:sdtPr>
          <w:tag w:val="MENDELEY_CITATION_v3_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"/>
          <w:id w:val="1834101912"/>
          <w:placeholder>
            <w:docPart w:val="DefaultPlaceholder_-1854013440"/>
          </w:placeholder>
        </w:sdtPr>
        <w:sdtEndPr/>
        <w:sdtContent>
          <w:r w:rsidR="0086208F" w:rsidRPr="0086208F">
            <w:t>(Kalogirou and Tripanagnostopoulos, 2006)</w:t>
          </w:r>
        </w:sdtContent>
      </w:sdt>
      <w:r w:rsidR="00941D15" w:rsidRPr="003B764A">
        <w:t>.</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274D1" w:rsidRPr="003B764A" w14:paraId="77B06AF6" w14:textId="77777777">
        <w:trPr>
          <w:jc w:val="center"/>
        </w:trPr>
        <w:tc>
          <w:tcPr>
            <w:tcW w:w="4531" w:type="dxa"/>
            <w:vAlign w:val="center"/>
          </w:tcPr>
          <w:p w14:paraId="68D4FFA9" w14:textId="77777777" w:rsidR="00E274D1" w:rsidRPr="003B764A" w:rsidRDefault="00E274D1">
            <w:pPr>
              <w:pStyle w:val="SWCText"/>
              <w:spacing w:after="0" w:line="240" w:lineRule="auto"/>
              <w:jc w:val="center"/>
              <w:rPr>
                <w:lang w:val="en-GB"/>
              </w:rPr>
            </w:pPr>
            <w:r w:rsidRPr="003B764A">
              <w:rPr>
                <w:noProof/>
                <w:lang w:val="en-GB"/>
              </w:rPr>
              <w:drawing>
                <wp:inline distT="0" distB="0" distL="0" distR="0" wp14:anchorId="31D92D05" wp14:editId="4CC1AD00">
                  <wp:extent cx="2312285" cy="1510661"/>
                  <wp:effectExtent l="0" t="0" r="0" b="0"/>
                  <wp:docPr id="2" name="image5.png" title="Imagen">
                    <a:extLst xmlns:a="http://schemas.openxmlformats.org/drawingml/2006/main">
                      <a:ext uri="{FF2B5EF4-FFF2-40B4-BE49-F238E27FC236}">
                        <a16:creationId xmlns:a16="http://schemas.microsoft.com/office/drawing/2014/main" id="{00000000-0008-0000-00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5.png" title="Imagen">
                            <a:extLst>
                              <a:ext uri="{FF2B5EF4-FFF2-40B4-BE49-F238E27FC236}">
                                <a16:creationId xmlns:a16="http://schemas.microsoft.com/office/drawing/2014/main" id="{00000000-0008-0000-0000-000002000000}"/>
                              </a:ext>
                            </a:extLst>
                          </pic:cNvPr>
                          <pic:cNvPicPr preferRelativeResize="0"/>
                        </pic:nvPicPr>
                        <pic:blipFill>
                          <a:blip r:embed="rId17" cstate="print"/>
                          <a:stretch>
                            <a:fillRect/>
                          </a:stretch>
                        </pic:blipFill>
                        <pic:spPr>
                          <a:xfrm>
                            <a:off x="0" y="0"/>
                            <a:ext cx="2316932" cy="1513697"/>
                          </a:xfrm>
                          <a:prstGeom prst="rect">
                            <a:avLst/>
                          </a:prstGeom>
                          <a:noFill/>
                        </pic:spPr>
                      </pic:pic>
                    </a:graphicData>
                  </a:graphic>
                </wp:inline>
              </w:drawing>
            </w:r>
          </w:p>
        </w:tc>
        <w:tc>
          <w:tcPr>
            <w:tcW w:w="4531" w:type="dxa"/>
            <w:vAlign w:val="center"/>
          </w:tcPr>
          <w:p w14:paraId="4E60EEA7" w14:textId="77777777" w:rsidR="00E274D1" w:rsidRPr="003B764A" w:rsidRDefault="00E274D1">
            <w:pPr>
              <w:pStyle w:val="SWCText"/>
              <w:spacing w:after="0" w:line="240" w:lineRule="auto"/>
              <w:jc w:val="center"/>
              <w:rPr>
                <w:lang w:val="en-GB"/>
              </w:rPr>
            </w:pPr>
            <w:r w:rsidRPr="003B764A">
              <w:rPr>
                <w:noProof/>
                <w:lang w:val="en-GB"/>
              </w:rPr>
              <w:drawing>
                <wp:inline distT="0" distB="0" distL="0" distR="0" wp14:anchorId="7D370EFB" wp14:editId="4F1C6E7E">
                  <wp:extent cx="2587242" cy="1622569"/>
                  <wp:effectExtent l="0" t="0" r="3810" b="0"/>
                  <wp:docPr id="972335087" name="image12.png" title="Imagen">
                    <a:extLst xmlns:a="http://schemas.openxmlformats.org/drawingml/2006/main">
                      <a:ext uri="{FF2B5EF4-FFF2-40B4-BE49-F238E27FC236}">
                        <a16:creationId xmlns:a16="http://schemas.microsoft.com/office/drawing/2014/main" id="{00000000-0008-0000-0000-000003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2.png" title="Imagen">
                            <a:extLst>
                              <a:ext uri="{FF2B5EF4-FFF2-40B4-BE49-F238E27FC236}">
                                <a16:creationId xmlns:a16="http://schemas.microsoft.com/office/drawing/2014/main" id="{00000000-0008-0000-0000-000003000000}"/>
                              </a:ext>
                            </a:extLst>
                          </pic:cNvPr>
                          <pic:cNvPicPr preferRelativeResize="0"/>
                        </pic:nvPicPr>
                        <pic:blipFill>
                          <a:blip r:embed="rId18" cstate="print"/>
                          <a:stretch>
                            <a:fillRect/>
                          </a:stretch>
                        </pic:blipFill>
                        <pic:spPr>
                          <a:xfrm>
                            <a:off x="0" y="0"/>
                            <a:ext cx="2589350" cy="1623891"/>
                          </a:xfrm>
                          <a:prstGeom prst="rect">
                            <a:avLst/>
                          </a:prstGeom>
                          <a:noFill/>
                        </pic:spPr>
                      </pic:pic>
                    </a:graphicData>
                  </a:graphic>
                </wp:inline>
              </w:drawing>
            </w:r>
          </w:p>
        </w:tc>
      </w:tr>
    </w:tbl>
    <w:p w14:paraId="471F7999" w14:textId="59F18AA0" w:rsidR="00E274D1" w:rsidRPr="003B764A" w:rsidRDefault="00E274D1" w:rsidP="007367D7">
      <w:pPr>
        <w:pStyle w:val="SWCTableFigureCaption"/>
        <w:ind w:left="0"/>
        <w:rPr>
          <w:lang w:val="en-GB"/>
        </w:rPr>
      </w:pPr>
      <w:bookmarkStart w:id="2" w:name="_Ref235784927"/>
      <w:r w:rsidRPr="003B764A">
        <w:rPr>
          <w:lang w:val="en-GB"/>
        </w:rPr>
        <w:t xml:space="preserve">Fig. </w:t>
      </w:r>
      <w:r w:rsidRPr="003B764A">
        <w:rPr>
          <w:lang w:val="en-GB"/>
        </w:rPr>
        <w:fldChar w:fldCharType="begin"/>
      </w:r>
      <w:r w:rsidRPr="003B764A">
        <w:rPr>
          <w:lang w:val="en-GB"/>
        </w:rPr>
        <w:instrText xml:space="preserve"> SEQ Fig. \* ARABIC </w:instrText>
      </w:r>
      <w:r w:rsidRPr="003B764A">
        <w:rPr>
          <w:lang w:val="en-GB"/>
        </w:rPr>
        <w:fldChar w:fldCharType="separate"/>
      </w:r>
      <w:r w:rsidR="00623810" w:rsidRPr="003B764A">
        <w:rPr>
          <w:noProof/>
          <w:lang w:val="en-GB"/>
        </w:rPr>
        <w:t>3</w:t>
      </w:r>
      <w:r w:rsidRPr="003B764A">
        <w:rPr>
          <w:lang w:val="en-GB"/>
        </w:rPr>
        <w:fldChar w:fldCharType="end"/>
      </w:r>
      <w:bookmarkEnd w:id="2"/>
      <w:r w:rsidRPr="003B764A">
        <w:rPr>
          <w:lang w:val="en-GB"/>
        </w:rPr>
        <w:t>: Schemes for PVT</w:t>
      </w:r>
      <w:r w:rsidR="009A5812">
        <w:rPr>
          <w:lang w:val="en-GB"/>
        </w:rPr>
        <w:t xml:space="preserve"> systems</w:t>
      </w:r>
      <w:r w:rsidRPr="003B764A">
        <w:rPr>
          <w:lang w:val="en-GB"/>
        </w:rPr>
        <w:t xml:space="preserve"> for final usage with thermal storage (A1.2): open-loop (</w:t>
      </w:r>
      <w:r w:rsidR="00CE2305" w:rsidRPr="003B764A">
        <w:rPr>
          <w:lang w:val="en-GB"/>
        </w:rPr>
        <w:t>left</w:t>
      </w:r>
      <w:r w:rsidRPr="003B764A">
        <w:rPr>
          <w:lang w:val="en-GB"/>
        </w:rPr>
        <w:t xml:space="preserve">) and </w:t>
      </w:r>
      <w:r w:rsidR="003F0FFD" w:rsidRPr="003B764A">
        <w:rPr>
          <w:lang w:val="en-GB"/>
        </w:rPr>
        <w:t>closed-loop</w:t>
      </w:r>
      <w:r w:rsidRPr="003B764A">
        <w:rPr>
          <w:lang w:val="en-GB"/>
        </w:rPr>
        <w:t xml:space="preserve"> (</w:t>
      </w:r>
      <w:r w:rsidR="00CE2305" w:rsidRPr="003B764A">
        <w:rPr>
          <w:lang w:val="en-GB"/>
        </w:rPr>
        <w:t>right</w:t>
      </w:r>
      <w:r w:rsidRPr="003B764A">
        <w:rPr>
          <w:lang w:val="en-GB"/>
        </w:rPr>
        <w:t>)</w:t>
      </w:r>
    </w:p>
    <w:p w14:paraId="79FC7151" w14:textId="24071B2F" w:rsidR="007B69C2" w:rsidRPr="003B764A" w:rsidRDefault="00DD6A22" w:rsidP="006D1C4C">
      <w:pPr>
        <w:pStyle w:val="SWCText"/>
        <w:rPr>
          <w:b/>
          <w:bCs/>
          <w:u w:val="single"/>
          <w:lang w:val="en-GB"/>
        </w:rPr>
      </w:pPr>
      <w:r w:rsidRPr="003B764A">
        <w:rPr>
          <w:b/>
          <w:bCs/>
          <w:u w:val="single"/>
          <w:lang w:val="en-GB"/>
        </w:rPr>
        <w:t xml:space="preserve">A2: PVT </w:t>
      </w:r>
      <w:r w:rsidR="007175FD">
        <w:rPr>
          <w:b/>
          <w:bCs/>
          <w:u w:val="single"/>
          <w:lang w:val="en-GB"/>
        </w:rPr>
        <w:t>integrated with a</w:t>
      </w:r>
      <w:r w:rsidRPr="003B764A">
        <w:rPr>
          <w:b/>
          <w:bCs/>
          <w:u w:val="single"/>
          <w:lang w:val="en-GB"/>
        </w:rPr>
        <w:t xml:space="preserve"> heat pump </w:t>
      </w:r>
    </w:p>
    <w:p w14:paraId="1E7002DE" w14:textId="77777777" w:rsidR="009A5812" w:rsidRDefault="0042430F" w:rsidP="00E765BA">
      <w:pPr>
        <w:pStyle w:val="SWCText"/>
        <w:rPr>
          <w:lang w:val="en-GB"/>
        </w:rPr>
      </w:pPr>
      <w:r w:rsidRPr="003B764A">
        <w:rPr>
          <w:lang w:val="en-GB"/>
        </w:rPr>
        <w:t>Integrating PVT systems with heat pumps (HPs) enables multiple configurations and use cases,</w:t>
      </w:r>
      <w:r w:rsidR="00E765BA" w:rsidRPr="003B764A">
        <w:rPr>
          <w:lang w:val="en-GB"/>
        </w:rPr>
        <w:t xml:space="preserve"> depending on the specific objective. </w:t>
      </w:r>
      <w:r w:rsidR="009A5812">
        <w:rPr>
          <w:lang w:val="en-GB"/>
        </w:rPr>
        <w:t>F</w:t>
      </w:r>
      <w:r w:rsidR="00E765BA" w:rsidRPr="003B764A">
        <w:rPr>
          <w:lang w:val="en-GB"/>
        </w:rPr>
        <w:t xml:space="preserve">rom the thermal perspective, PVT </w:t>
      </w:r>
      <w:r w:rsidR="00581F3F" w:rsidRPr="003B764A">
        <w:rPr>
          <w:lang w:val="en-GB"/>
        </w:rPr>
        <w:t xml:space="preserve">collectors </w:t>
      </w:r>
      <w:r w:rsidR="00E765BA" w:rsidRPr="003B764A">
        <w:rPr>
          <w:lang w:val="en-GB"/>
        </w:rPr>
        <w:t xml:space="preserve">are frequently used to raise the inlet temperature </w:t>
      </w:r>
      <w:r w:rsidR="009A5812">
        <w:rPr>
          <w:lang w:val="en-GB"/>
        </w:rPr>
        <w:t>of</w:t>
      </w:r>
      <w:r w:rsidR="00E765BA" w:rsidRPr="003B764A">
        <w:rPr>
          <w:lang w:val="en-GB"/>
        </w:rPr>
        <w:t xml:space="preserve"> the </w:t>
      </w:r>
      <w:r w:rsidR="00A711CD" w:rsidRPr="003B764A">
        <w:rPr>
          <w:lang w:val="en-GB"/>
        </w:rPr>
        <w:t>HP</w:t>
      </w:r>
      <w:r w:rsidR="00E765BA" w:rsidRPr="003B764A">
        <w:rPr>
          <w:lang w:val="en-GB"/>
        </w:rPr>
        <w:t xml:space="preserve"> evaporator, thereby improving its coefficient of performance (COP). This PVT-HP integration can be implemented </w:t>
      </w:r>
      <w:r w:rsidR="00B03B65" w:rsidRPr="003B764A">
        <w:rPr>
          <w:lang w:val="en-GB"/>
        </w:rPr>
        <w:t>in series or in paralle</w:t>
      </w:r>
      <w:r w:rsidR="0064451B" w:rsidRPr="003B764A">
        <w:rPr>
          <w:lang w:val="en-GB"/>
        </w:rPr>
        <w:t>l</w:t>
      </w:r>
      <w:r w:rsidR="00B03B65" w:rsidRPr="003B764A">
        <w:rPr>
          <w:lang w:val="en-GB"/>
        </w:rPr>
        <w:t xml:space="preserve">, in direct or indirect </w:t>
      </w:r>
      <w:r w:rsidR="0064451B" w:rsidRPr="003B764A">
        <w:rPr>
          <w:lang w:val="en-GB"/>
        </w:rPr>
        <w:t xml:space="preserve">connection </w:t>
      </w:r>
      <w:r w:rsidR="00B03B65" w:rsidRPr="003B764A">
        <w:rPr>
          <w:lang w:val="en-GB"/>
        </w:rPr>
        <w:t xml:space="preserve">mode and with or without thermal storage. System configuration can become significantly more complex when incorporating reversible </w:t>
      </w:r>
      <w:r w:rsidR="00A711CD" w:rsidRPr="003B764A">
        <w:rPr>
          <w:lang w:val="en-GB"/>
        </w:rPr>
        <w:t>HPs</w:t>
      </w:r>
      <w:r w:rsidR="00B03B65" w:rsidRPr="003B764A">
        <w:rPr>
          <w:lang w:val="en-GB"/>
        </w:rPr>
        <w:t xml:space="preserve"> that allow for thermal energy storage during cooling mode</w:t>
      </w:r>
      <w:r w:rsidR="00A711CD" w:rsidRPr="003B764A">
        <w:rPr>
          <w:lang w:val="en-GB"/>
        </w:rPr>
        <w:t>.</w:t>
      </w:r>
      <w:r w:rsidR="00EA42B3" w:rsidRPr="003B764A">
        <w:rPr>
          <w:lang w:val="en-GB"/>
        </w:rPr>
        <w:t xml:space="preserve"> </w:t>
      </w:r>
      <w:r w:rsidR="00E765BA" w:rsidRPr="003B764A">
        <w:rPr>
          <w:lang w:val="en-GB"/>
        </w:rPr>
        <w:t xml:space="preserve">From the electrical perspective, the electricity generated by the PVT array is typically </w:t>
      </w:r>
      <w:r w:rsidR="00A711CD" w:rsidRPr="003B764A">
        <w:rPr>
          <w:lang w:val="en-GB"/>
        </w:rPr>
        <w:t xml:space="preserve">used </w:t>
      </w:r>
      <w:r w:rsidR="00E765BA" w:rsidRPr="003B764A">
        <w:rPr>
          <w:lang w:val="en-GB"/>
        </w:rPr>
        <w:t xml:space="preserve">to offset </w:t>
      </w:r>
      <w:r w:rsidR="00A711CD" w:rsidRPr="003B764A">
        <w:rPr>
          <w:lang w:val="en-GB"/>
        </w:rPr>
        <w:t>HP</w:t>
      </w:r>
      <w:r w:rsidR="00E765BA" w:rsidRPr="003B764A">
        <w:rPr>
          <w:lang w:val="en-GB"/>
        </w:rPr>
        <w:t xml:space="preserve"> power consumption. Specific electrical coupling configurations, such as grid-connected, off-grid, or battery-assisted systems, are beyond the scope of this classification.</w:t>
      </w:r>
      <w:r w:rsidR="009A5812">
        <w:rPr>
          <w:lang w:val="en-GB"/>
        </w:rPr>
        <w:t xml:space="preserve"> </w:t>
      </w:r>
    </w:p>
    <w:p w14:paraId="71773AFB" w14:textId="64F82353" w:rsidR="00E765BA" w:rsidRPr="003B764A" w:rsidRDefault="00E765BA" w:rsidP="00E765BA">
      <w:pPr>
        <w:pStyle w:val="SWCText"/>
        <w:rPr>
          <w:lang w:val="en-GB"/>
        </w:rPr>
      </w:pPr>
      <w:r w:rsidRPr="003B764A">
        <w:rPr>
          <w:lang w:val="en-GB"/>
        </w:rPr>
        <w:t xml:space="preserve">Based on the thermal circuit configuration, two types can be distinguished: </w:t>
      </w:r>
    </w:p>
    <w:p w14:paraId="435D3BE5" w14:textId="6D0F557B" w:rsidR="00DF3038" w:rsidRPr="003B764A" w:rsidRDefault="00DF3038" w:rsidP="006D1C4C">
      <w:pPr>
        <w:pStyle w:val="Bullet"/>
      </w:pPr>
      <w:r w:rsidRPr="003B764A">
        <w:rPr>
          <w:b/>
          <w:bCs/>
        </w:rPr>
        <w:t>A2.1: Series configuration</w:t>
      </w:r>
      <w:r w:rsidR="00152A92" w:rsidRPr="003B764A">
        <w:rPr>
          <w:b/>
          <w:bCs/>
        </w:rPr>
        <w:t xml:space="preserve"> </w:t>
      </w:r>
      <w:r w:rsidR="00152A92" w:rsidRPr="003B764A">
        <w:t xml:space="preserve">(see </w:t>
      </w:r>
      <w:r w:rsidR="00152A92" w:rsidRPr="003B764A">
        <w:fldChar w:fldCharType="begin"/>
      </w:r>
      <w:r w:rsidR="00152A92" w:rsidRPr="003B764A">
        <w:instrText xml:space="preserve"> REF _Ref235786822 \h </w:instrText>
      </w:r>
      <w:r w:rsidR="00152A92" w:rsidRPr="003B764A">
        <w:fldChar w:fldCharType="separate"/>
      </w:r>
      <w:r w:rsidR="00623810" w:rsidRPr="003B764A">
        <w:t xml:space="preserve">Fig. </w:t>
      </w:r>
      <w:r w:rsidR="00623810" w:rsidRPr="003B764A">
        <w:rPr>
          <w:noProof/>
        </w:rPr>
        <w:t>4</w:t>
      </w:r>
      <w:r w:rsidR="00152A92" w:rsidRPr="003B764A">
        <w:fldChar w:fldCharType="end"/>
      </w:r>
      <w:r w:rsidR="005A6C7E" w:rsidRPr="003B764A">
        <w:t xml:space="preserve"> left</w:t>
      </w:r>
      <w:r w:rsidR="00152A92" w:rsidRPr="003B764A">
        <w:t>)</w:t>
      </w:r>
      <w:r w:rsidRPr="003B764A">
        <w:t xml:space="preserve">: </w:t>
      </w:r>
    </w:p>
    <w:p w14:paraId="1264D1F9" w14:textId="65B26DB9" w:rsidR="00DF3038" w:rsidRPr="003B764A" w:rsidRDefault="00DF3038" w:rsidP="006D1C4C">
      <w:pPr>
        <w:pStyle w:val="Bullet"/>
        <w:numPr>
          <w:ilvl w:val="1"/>
          <w:numId w:val="30"/>
        </w:numPr>
        <w:tabs>
          <w:tab w:val="clear" w:pos="1440"/>
          <w:tab w:val="num" w:pos="709"/>
        </w:tabs>
        <w:ind w:left="709"/>
      </w:pPr>
      <w:r w:rsidRPr="003B764A">
        <w:t xml:space="preserve">Direct connection: The PVT </w:t>
      </w:r>
      <w:r w:rsidR="00CE7296" w:rsidRPr="003B764A">
        <w:t>collector</w:t>
      </w:r>
      <w:r w:rsidRPr="003B764A">
        <w:t xml:space="preserve"> operates as the </w:t>
      </w:r>
      <w:r w:rsidR="00CE7296" w:rsidRPr="003B764A">
        <w:t>HP</w:t>
      </w:r>
      <w:r w:rsidRPr="003B764A">
        <w:t xml:space="preserve"> evaporator, sharing the same working fluid (refrigerant). Thermal demand is connected to the condenser side. </w:t>
      </w:r>
      <w:r w:rsidR="001A7386" w:rsidRPr="003B764A">
        <w:t>Commonly referred to as Direct-Expansion Solar-Assisted Heat Pumps (DX-SAHP)</w:t>
      </w:r>
      <w:r w:rsidR="0006564C" w:rsidRPr="003B764A">
        <w:t xml:space="preserve"> </w:t>
      </w:r>
      <w:sdt>
        <w:sdtPr>
          <w:tag w:val="MENDELEY_CITATION_v3_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"/>
          <w:id w:val="-1750258259"/>
          <w:placeholder>
            <w:docPart w:val="DefaultPlaceholder_-1854013440"/>
          </w:placeholder>
        </w:sdtPr>
        <w:sdtEndPr/>
        <w:sdtContent>
          <w:r w:rsidR="0086208F" w:rsidRPr="0086208F">
            <w:t>(Ji et al., 2009; Vaishak and Bhale, 2020)</w:t>
          </w:r>
        </w:sdtContent>
      </w:sdt>
      <w:r w:rsidR="001A7386" w:rsidRPr="003B764A">
        <w:t>.</w:t>
      </w:r>
    </w:p>
    <w:p w14:paraId="3B4EF55F" w14:textId="544E5E09" w:rsidR="00DF3038" w:rsidRPr="003B764A" w:rsidRDefault="00DF3038" w:rsidP="006D1C4C">
      <w:pPr>
        <w:pStyle w:val="Bullet"/>
        <w:numPr>
          <w:ilvl w:val="1"/>
          <w:numId w:val="30"/>
        </w:numPr>
        <w:tabs>
          <w:tab w:val="clear" w:pos="1440"/>
          <w:tab w:val="num" w:pos="709"/>
        </w:tabs>
        <w:ind w:left="709"/>
      </w:pPr>
      <w:r w:rsidRPr="003B764A">
        <w:t>Indirect connection</w:t>
      </w:r>
      <w:r w:rsidR="00B03B65" w:rsidRPr="003B764A">
        <w:t xml:space="preserve"> without storage</w:t>
      </w:r>
      <w:r w:rsidRPr="003B764A">
        <w:t xml:space="preserve">: The PVT loop is coupled to the </w:t>
      </w:r>
      <w:r w:rsidR="002C1C25" w:rsidRPr="003B764A">
        <w:t>HP</w:t>
      </w:r>
      <w:r w:rsidRPr="003B764A">
        <w:t xml:space="preserve"> evaporator, but in separate circuits. Thus, the </w:t>
      </w:r>
      <w:r w:rsidR="000762A1" w:rsidRPr="003B764A">
        <w:t xml:space="preserve">solar </w:t>
      </w:r>
      <w:r w:rsidRPr="003B764A">
        <w:t>heat</w:t>
      </w:r>
      <w:r w:rsidR="002C1C25" w:rsidRPr="003B764A">
        <w:t>-</w:t>
      </w:r>
      <w:r w:rsidRPr="003B764A">
        <w:t xml:space="preserve">transfer fluid </w:t>
      </w:r>
      <w:r w:rsidR="000762A1" w:rsidRPr="003B764A">
        <w:t xml:space="preserve">is </w:t>
      </w:r>
      <w:r w:rsidRPr="003B764A">
        <w:t xml:space="preserve">separated from the </w:t>
      </w:r>
      <w:r w:rsidR="002C1C25" w:rsidRPr="003B764A">
        <w:t>HP</w:t>
      </w:r>
      <w:r w:rsidRPr="003B764A">
        <w:t xml:space="preserve"> refrigerant. Commonly referred to as Indirect-Expansion Solar-Assisted Heat Pumps (IDX-SAHP)</w:t>
      </w:r>
      <w:r w:rsidR="00A92A36" w:rsidRPr="003B764A">
        <w:t xml:space="preserve"> </w:t>
      </w:r>
      <w:sdt>
        <w:sdtPr>
          <w:tag w:val="MENDELEY_CITATION_v3_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"/>
          <w:id w:val="1394311585"/>
          <w:placeholder>
            <w:docPart w:val="DefaultPlaceholder_-1854013440"/>
          </w:placeholder>
        </w:sdtPr>
        <w:sdtEndPr/>
        <w:sdtContent>
          <w:r w:rsidR="0086208F" w:rsidRPr="0086208F">
            <w:t>(Zhang et al., 2013)</w:t>
          </w:r>
        </w:sdtContent>
      </w:sdt>
      <w:r w:rsidRPr="003B764A">
        <w:t>.</w:t>
      </w:r>
      <w:r w:rsidR="00B03B65" w:rsidRPr="003B764A">
        <w:t xml:space="preserve"> </w:t>
      </w:r>
    </w:p>
    <w:p w14:paraId="1E19DFCC" w14:textId="70F1F356" w:rsidR="00B03B65" w:rsidRPr="003B764A" w:rsidRDefault="00B03B65" w:rsidP="006D1C4C">
      <w:pPr>
        <w:pStyle w:val="Bullet"/>
        <w:numPr>
          <w:ilvl w:val="1"/>
          <w:numId w:val="30"/>
        </w:numPr>
        <w:tabs>
          <w:tab w:val="clear" w:pos="1440"/>
          <w:tab w:val="num" w:pos="709"/>
        </w:tabs>
        <w:ind w:left="709"/>
      </w:pPr>
      <w:r w:rsidRPr="003B764A">
        <w:t>Indirect connection with storage</w:t>
      </w:r>
      <w:r w:rsidR="00B340A7" w:rsidRPr="003B764A">
        <w:t xml:space="preserve"> (see </w:t>
      </w:r>
      <w:r w:rsidR="00B340A7" w:rsidRPr="003B764A">
        <w:fldChar w:fldCharType="begin"/>
      </w:r>
      <w:r w:rsidR="00B340A7" w:rsidRPr="003B764A">
        <w:instrText xml:space="preserve"> REF _Ref235786822 \h  \* MERGEFORMAT </w:instrText>
      </w:r>
      <w:r w:rsidR="00B340A7" w:rsidRPr="003B764A">
        <w:fldChar w:fldCharType="separate"/>
      </w:r>
      <w:r w:rsidR="00623810" w:rsidRPr="003B764A">
        <w:t xml:space="preserve">Fig. </w:t>
      </w:r>
      <w:r w:rsidR="00623810" w:rsidRPr="003B764A">
        <w:rPr>
          <w:noProof/>
        </w:rPr>
        <w:t>4</w:t>
      </w:r>
      <w:r w:rsidR="00B340A7" w:rsidRPr="003B764A">
        <w:fldChar w:fldCharType="end"/>
      </w:r>
      <w:r w:rsidR="005A6C7E" w:rsidRPr="003B764A">
        <w:t xml:space="preserve"> left</w:t>
      </w:r>
      <w:r w:rsidR="00B340A7" w:rsidRPr="003B764A">
        <w:t>)</w:t>
      </w:r>
      <w:r w:rsidRPr="003B764A">
        <w:t xml:space="preserve">: The PVT loop is decoupled </w:t>
      </w:r>
      <w:r w:rsidR="00152A92" w:rsidRPr="003B764A">
        <w:t>from</w:t>
      </w:r>
      <w:r w:rsidRPr="003B764A">
        <w:t xml:space="preserve"> the </w:t>
      </w:r>
      <w:r w:rsidR="001A7386" w:rsidRPr="003B764A">
        <w:t xml:space="preserve">HP </w:t>
      </w:r>
      <w:r w:rsidRPr="003B764A">
        <w:t xml:space="preserve">evaporator </w:t>
      </w:r>
      <w:r w:rsidR="00517CC7" w:rsidRPr="003B764A">
        <w:t>via</w:t>
      </w:r>
      <w:r w:rsidRPr="003B764A">
        <w:t xml:space="preserve"> a storage tank. </w:t>
      </w:r>
      <w:r w:rsidR="00517CC7" w:rsidRPr="003B764A">
        <w:t>It</w:t>
      </w:r>
      <w:r w:rsidRPr="003B764A">
        <w:t xml:space="preserve"> operates via three separate circuits: solar loop, tank-to-evaporator loop, and internal </w:t>
      </w:r>
      <w:r w:rsidR="001A7386" w:rsidRPr="003B764A">
        <w:t>HP</w:t>
      </w:r>
      <w:r w:rsidRPr="003B764A">
        <w:t xml:space="preserve"> circuit. Commonly referred to as </w:t>
      </w:r>
      <w:r w:rsidR="0049422A" w:rsidRPr="003B764A">
        <w:t xml:space="preserve">IDX-SAHP </w:t>
      </w:r>
      <w:r w:rsidRPr="003B764A">
        <w:t>in series</w:t>
      </w:r>
      <w:r w:rsidR="007F5F7F" w:rsidRPr="003B764A">
        <w:t xml:space="preserve"> </w:t>
      </w:r>
      <w:sdt>
        <w:sdtPr>
          <w:tag w:val="MENDELEY_CITATION_v3_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"/>
          <w:id w:val="1783385251"/>
          <w:placeholder>
            <w:docPart w:val="DefaultPlaceholder_-1854013440"/>
          </w:placeholder>
        </w:sdtPr>
        <w:sdtEndPr/>
        <w:sdtContent>
          <w:r w:rsidR="0086208F" w:rsidRPr="0086208F">
            <w:t>(Dannemand et al., 2020; Obalanlege et al., 2020)</w:t>
          </w:r>
        </w:sdtContent>
      </w:sdt>
      <w:r w:rsidRPr="003B764A">
        <w:t xml:space="preserve">. </w:t>
      </w:r>
    </w:p>
    <w:p w14:paraId="6FF24ABF" w14:textId="25FC67B3" w:rsidR="00DF3038" w:rsidRPr="003B764A" w:rsidRDefault="00DF3038" w:rsidP="00CE7296">
      <w:pPr>
        <w:pStyle w:val="Bullet"/>
        <w:tabs>
          <w:tab w:val="clear" w:pos="284"/>
          <w:tab w:val="num" w:pos="426"/>
        </w:tabs>
        <w:ind w:left="360"/>
      </w:pPr>
      <w:r w:rsidRPr="003B764A">
        <w:rPr>
          <w:b/>
          <w:bCs/>
        </w:rPr>
        <w:lastRenderedPageBreak/>
        <w:t>A2.2: Parallel configuration</w:t>
      </w:r>
      <w:r w:rsidR="00152A92" w:rsidRPr="003B764A">
        <w:rPr>
          <w:b/>
          <w:bCs/>
        </w:rPr>
        <w:t xml:space="preserve"> </w:t>
      </w:r>
      <w:r w:rsidR="00152A92" w:rsidRPr="003B764A">
        <w:t xml:space="preserve">(see </w:t>
      </w:r>
      <w:r w:rsidR="00152A92" w:rsidRPr="003B764A">
        <w:fldChar w:fldCharType="begin"/>
      </w:r>
      <w:r w:rsidR="00152A92" w:rsidRPr="003B764A">
        <w:instrText xml:space="preserve"> REF _Ref235786822 \h </w:instrText>
      </w:r>
      <w:r w:rsidR="00152A92" w:rsidRPr="003B764A">
        <w:fldChar w:fldCharType="separate"/>
      </w:r>
      <w:r w:rsidR="00623810" w:rsidRPr="003B764A">
        <w:t xml:space="preserve">Fig. </w:t>
      </w:r>
      <w:r w:rsidR="00623810" w:rsidRPr="003B764A">
        <w:rPr>
          <w:noProof/>
        </w:rPr>
        <w:t>4</w:t>
      </w:r>
      <w:r w:rsidR="00152A92" w:rsidRPr="003B764A">
        <w:fldChar w:fldCharType="end"/>
      </w:r>
      <w:r w:rsidR="005A6C7E" w:rsidRPr="003B764A">
        <w:t xml:space="preserve"> right</w:t>
      </w:r>
      <w:r w:rsidR="00152A92" w:rsidRPr="003B764A">
        <w:t>)</w:t>
      </w:r>
      <w:r w:rsidR="0064451B" w:rsidRPr="003B764A">
        <w:t>:</w:t>
      </w:r>
      <w:r w:rsidR="006D1C4C" w:rsidRPr="003B764A">
        <w:t xml:space="preserve"> </w:t>
      </w:r>
      <w:r w:rsidR="0064451B" w:rsidRPr="003B764A">
        <w:t xml:space="preserve">The PVT </w:t>
      </w:r>
      <w:r w:rsidR="0049422A" w:rsidRPr="003B764A">
        <w:t>collector</w:t>
      </w:r>
      <w:r w:rsidR="0064451B" w:rsidRPr="003B764A">
        <w:t xml:space="preserve"> operates almost independently of the </w:t>
      </w:r>
      <w:r w:rsidR="0049422A" w:rsidRPr="003B764A">
        <w:t>HP</w:t>
      </w:r>
      <w:r w:rsidR="0064451B" w:rsidRPr="003B764A">
        <w:t>, as it is not connected to the evaporator.</w:t>
      </w:r>
      <w:r w:rsidR="0064451B" w:rsidRPr="003B764A">
        <w:rPr>
          <w:color w:val="auto"/>
          <w:sz w:val="24"/>
          <w:szCs w:val="24"/>
        </w:rPr>
        <w:t xml:space="preserve"> </w:t>
      </w:r>
      <w:r w:rsidR="0064451B" w:rsidRPr="003B764A">
        <w:t xml:space="preserve">In this setup, both the PVT field and the HP </w:t>
      </w:r>
      <w:r w:rsidR="009A5812">
        <w:t>work</w:t>
      </w:r>
      <w:r w:rsidR="0064451B" w:rsidRPr="003B764A">
        <w:t xml:space="preserve"> as parallel heat sources operating at low and high temperatures, respectively, with the PVT field preheating the condenser inlet to </w:t>
      </w:r>
      <w:r w:rsidR="002F5806" w:rsidRPr="003B764A">
        <w:t>maximise</w:t>
      </w:r>
      <w:r w:rsidR="0064451B" w:rsidRPr="003B764A">
        <w:t xml:space="preserve"> overall thermal output</w:t>
      </w:r>
      <w:r w:rsidR="00D215D4" w:rsidRPr="003B764A">
        <w:t xml:space="preserve"> </w:t>
      </w:r>
      <w:sdt>
        <w:sdtPr>
          <w:tag w:val="MENDELEY_CITATION_v3_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"/>
          <w:id w:val="1713759943"/>
          <w:placeholder>
            <w:docPart w:val="DefaultPlaceholder_-1854013440"/>
          </w:placeholder>
        </w:sdtPr>
        <w:sdtEndPr/>
        <w:sdtContent>
          <w:r w:rsidR="0086208F" w:rsidRPr="0086208F">
            <w:t>(Coca-Ortegón et al., 2023; Herrando et al., 2023)</w:t>
          </w:r>
        </w:sdtContent>
      </w:sdt>
      <w:r w:rsidR="0064451B" w:rsidRPr="003B764A">
        <w:t xml:space="preserve">. </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7"/>
        <w:gridCol w:w="4505"/>
      </w:tblGrid>
      <w:tr w:rsidR="00E765BA" w:rsidRPr="003B764A" w14:paraId="77F7B2C8" w14:textId="77777777" w:rsidTr="00517CC7">
        <w:trPr>
          <w:jc w:val="center"/>
        </w:trPr>
        <w:tc>
          <w:tcPr>
            <w:tcW w:w="4531" w:type="dxa"/>
            <w:vAlign w:val="center"/>
          </w:tcPr>
          <w:p w14:paraId="2D1D3010" w14:textId="1BA8422E" w:rsidR="00E765BA" w:rsidRPr="003B764A" w:rsidRDefault="00E765BA" w:rsidP="007A5F17">
            <w:pPr>
              <w:pStyle w:val="SWCText"/>
              <w:spacing w:after="0" w:line="240" w:lineRule="auto"/>
              <w:rPr>
                <w:lang w:val="en-GB"/>
              </w:rPr>
            </w:pPr>
            <w:r w:rsidRPr="003B764A">
              <w:rPr>
                <w:noProof/>
                <w:lang w:val="en-GB"/>
              </w:rPr>
              <w:drawing>
                <wp:anchor distT="0" distB="0" distL="114300" distR="114300" simplePos="0" relativeHeight="251658240" behindDoc="0" locked="0" layoutInCell="1" allowOverlap="1" wp14:anchorId="20FFAFDC" wp14:editId="519FA3B8">
                  <wp:simplePos x="0" y="0"/>
                  <wp:positionH relativeFrom="column">
                    <wp:posOffset>22860</wp:posOffset>
                  </wp:positionH>
                  <wp:positionV relativeFrom="paragraph">
                    <wp:posOffset>-1402080</wp:posOffset>
                  </wp:positionV>
                  <wp:extent cx="2802255" cy="1383665"/>
                  <wp:effectExtent l="0" t="0" r="0" b="6985"/>
                  <wp:wrapTopAndBottom/>
                  <wp:docPr id="981430185" name="image8.png" title="Imagen">
                    <a:extLst xmlns:a="http://schemas.openxmlformats.org/drawingml/2006/main">
                      <a:ext uri="{FF2B5EF4-FFF2-40B4-BE49-F238E27FC236}">
                        <a16:creationId xmlns:a16="http://schemas.microsoft.com/office/drawing/2014/main" id="{00000000-0008-0000-0000-000006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8.png" title="Imagen">
                            <a:extLst>
                              <a:ext uri="{FF2B5EF4-FFF2-40B4-BE49-F238E27FC236}">
                                <a16:creationId xmlns:a16="http://schemas.microsoft.com/office/drawing/2014/main" id="{00000000-0008-0000-0000-000006000000}"/>
                              </a:ext>
                            </a:extLst>
                          </pic:cNvPr>
                          <pic:cNvPicPr preferRelativeResize="0"/>
                        </pic:nvPicPr>
                        <pic:blipFill>
                          <a:blip r:embed="rId19" cstate="print">
                            <a:extLst>
                              <a:ext uri="{28A0092B-C50C-407E-A947-70E740481C1C}">
                                <a14:useLocalDpi xmlns:a14="http://schemas.microsoft.com/office/drawing/2010/main" val="0"/>
                              </a:ext>
                            </a:extLst>
                          </a:blip>
                          <a:stretch>
                            <a:fillRect/>
                          </a:stretch>
                        </pic:blipFill>
                        <pic:spPr>
                          <a:xfrm>
                            <a:off x="0" y="0"/>
                            <a:ext cx="2802255" cy="1383665"/>
                          </a:xfrm>
                          <a:prstGeom prst="rect">
                            <a:avLst/>
                          </a:prstGeom>
                          <a:noFill/>
                        </pic:spPr>
                      </pic:pic>
                    </a:graphicData>
                  </a:graphic>
                  <wp14:sizeRelH relativeFrom="page">
                    <wp14:pctWidth>0</wp14:pctWidth>
                  </wp14:sizeRelH>
                  <wp14:sizeRelV relativeFrom="page">
                    <wp14:pctHeight>0</wp14:pctHeight>
                  </wp14:sizeRelV>
                </wp:anchor>
              </w:drawing>
            </w:r>
          </w:p>
        </w:tc>
        <w:tc>
          <w:tcPr>
            <w:tcW w:w="4531" w:type="dxa"/>
            <w:vAlign w:val="center"/>
          </w:tcPr>
          <w:p w14:paraId="53C998CC" w14:textId="7678D896" w:rsidR="00E765BA" w:rsidRPr="003B764A" w:rsidRDefault="00E765BA">
            <w:pPr>
              <w:pStyle w:val="SWCText"/>
              <w:spacing w:after="0" w:line="240" w:lineRule="auto"/>
              <w:jc w:val="center"/>
              <w:rPr>
                <w:lang w:val="en-GB"/>
              </w:rPr>
            </w:pPr>
            <w:r w:rsidRPr="003B764A">
              <w:rPr>
                <w:noProof/>
                <w:lang w:val="en-GB"/>
              </w:rPr>
              <w:drawing>
                <wp:anchor distT="0" distB="0" distL="114300" distR="114300" simplePos="0" relativeHeight="251658241" behindDoc="0" locked="0" layoutInCell="1" allowOverlap="1" wp14:anchorId="77F2FA57" wp14:editId="1667A7DC">
                  <wp:simplePos x="0" y="0"/>
                  <wp:positionH relativeFrom="column">
                    <wp:posOffset>114300</wp:posOffset>
                  </wp:positionH>
                  <wp:positionV relativeFrom="paragraph">
                    <wp:posOffset>-1359535</wp:posOffset>
                  </wp:positionV>
                  <wp:extent cx="2762250" cy="1377315"/>
                  <wp:effectExtent l="0" t="0" r="0" b="0"/>
                  <wp:wrapTopAndBottom/>
                  <wp:docPr id="1162205487"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62250" cy="1377315"/>
                          </a:xfrm>
                          <a:prstGeom prst="rect">
                            <a:avLst/>
                          </a:prstGeom>
                          <a:noFill/>
                        </pic:spPr>
                      </pic:pic>
                    </a:graphicData>
                  </a:graphic>
                  <wp14:sizeRelH relativeFrom="page">
                    <wp14:pctWidth>0</wp14:pctWidth>
                  </wp14:sizeRelH>
                  <wp14:sizeRelV relativeFrom="page">
                    <wp14:pctHeight>0</wp14:pctHeight>
                  </wp14:sizeRelV>
                </wp:anchor>
              </w:drawing>
            </w:r>
          </w:p>
        </w:tc>
      </w:tr>
    </w:tbl>
    <w:p w14:paraId="14C16005" w14:textId="45E1C7DA" w:rsidR="00E765BA" w:rsidRPr="003B764A" w:rsidRDefault="00E765BA" w:rsidP="00E765BA">
      <w:pPr>
        <w:pStyle w:val="SWCTableFigureCaption"/>
        <w:ind w:left="0"/>
        <w:rPr>
          <w:lang w:val="en-GB"/>
        </w:rPr>
      </w:pPr>
      <w:bookmarkStart w:id="3" w:name="_Ref235786822"/>
      <w:r w:rsidRPr="003B764A">
        <w:rPr>
          <w:lang w:val="en-GB"/>
        </w:rPr>
        <w:t xml:space="preserve">Fig. </w:t>
      </w:r>
      <w:r w:rsidRPr="003B764A">
        <w:rPr>
          <w:lang w:val="en-GB"/>
        </w:rPr>
        <w:fldChar w:fldCharType="begin"/>
      </w:r>
      <w:r w:rsidRPr="003B764A">
        <w:rPr>
          <w:lang w:val="en-GB"/>
        </w:rPr>
        <w:instrText xml:space="preserve"> SEQ Fig. \* ARABIC </w:instrText>
      </w:r>
      <w:r w:rsidRPr="003B764A">
        <w:rPr>
          <w:lang w:val="en-GB"/>
        </w:rPr>
        <w:fldChar w:fldCharType="separate"/>
      </w:r>
      <w:r w:rsidR="00623810" w:rsidRPr="003B764A">
        <w:rPr>
          <w:noProof/>
          <w:lang w:val="en-GB"/>
        </w:rPr>
        <w:t>4</w:t>
      </w:r>
      <w:r w:rsidRPr="003B764A">
        <w:rPr>
          <w:lang w:val="en-GB"/>
        </w:rPr>
        <w:fldChar w:fldCharType="end"/>
      </w:r>
      <w:bookmarkEnd w:id="3"/>
      <w:r w:rsidRPr="003B764A">
        <w:rPr>
          <w:lang w:val="en-GB"/>
        </w:rPr>
        <w:t xml:space="preserve">: Schemes for </w:t>
      </w:r>
      <w:r w:rsidR="00DF3038" w:rsidRPr="003B764A">
        <w:rPr>
          <w:lang w:val="en-GB"/>
        </w:rPr>
        <w:t xml:space="preserve">PVT </w:t>
      </w:r>
      <w:r w:rsidR="009A5812">
        <w:rPr>
          <w:lang w:val="en-GB"/>
        </w:rPr>
        <w:t>collectors integrated with an</w:t>
      </w:r>
      <w:r w:rsidR="00DF3038" w:rsidRPr="003B764A">
        <w:rPr>
          <w:lang w:val="en-GB"/>
        </w:rPr>
        <w:t xml:space="preserve"> </w:t>
      </w:r>
      <w:r w:rsidR="002F5806" w:rsidRPr="003B764A">
        <w:rPr>
          <w:lang w:val="en-GB"/>
        </w:rPr>
        <w:t>HP</w:t>
      </w:r>
      <w:r w:rsidR="009A5812">
        <w:rPr>
          <w:lang w:val="en-GB"/>
        </w:rPr>
        <w:t xml:space="preserve"> </w:t>
      </w:r>
      <w:r w:rsidRPr="003B764A">
        <w:rPr>
          <w:lang w:val="en-GB"/>
        </w:rPr>
        <w:t>(A</w:t>
      </w:r>
      <w:r w:rsidR="00DF3038" w:rsidRPr="003B764A">
        <w:rPr>
          <w:lang w:val="en-GB"/>
        </w:rPr>
        <w:t>2</w:t>
      </w:r>
      <w:r w:rsidRPr="003B764A">
        <w:rPr>
          <w:lang w:val="en-GB"/>
        </w:rPr>
        <w:t xml:space="preserve">): </w:t>
      </w:r>
      <w:r w:rsidR="00DF3038" w:rsidRPr="003B764A">
        <w:rPr>
          <w:lang w:val="en-GB"/>
        </w:rPr>
        <w:t>in series</w:t>
      </w:r>
      <w:r w:rsidR="00A44031" w:rsidRPr="003B764A">
        <w:rPr>
          <w:lang w:val="en-GB"/>
        </w:rPr>
        <w:t>,</w:t>
      </w:r>
      <w:r w:rsidRPr="003B764A">
        <w:rPr>
          <w:lang w:val="en-GB"/>
        </w:rPr>
        <w:t xml:space="preserve"> </w:t>
      </w:r>
      <w:r w:rsidR="00B03B65" w:rsidRPr="003B764A">
        <w:rPr>
          <w:lang w:val="en-GB"/>
        </w:rPr>
        <w:t xml:space="preserve">A2.1 </w:t>
      </w:r>
      <w:r w:rsidRPr="003B764A">
        <w:rPr>
          <w:lang w:val="en-GB"/>
        </w:rPr>
        <w:t>(</w:t>
      </w:r>
      <w:r w:rsidR="005A6C7E" w:rsidRPr="003B764A">
        <w:rPr>
          <w:lang w:val="en-GB"/>
        </w:rPr>
        <w:t>left</w:t>
      </w:r>
      <w:r w:rsidRPr="003B764A">
        <w:rPr>
          <w:lang w:val="en-GB"/>
        </w:rPr>
        <w:t xml:space="preserve">) and </w:t>
      </w:r>
      <w:r w:rsidR="00DF3038" w:rsidRPr="003B764A">
        <w:rPr>
          <w:lang w:val="en-GB"/>
        </w:rPr>
        <w:t>in parallel</w:t>
      </w:r>
      <w:r w:rsidR="00A44031" w:rsidRPr="003B764A">
        <w:rPr>
          <w:lang w:val="en-GB"/>
        </w:rPr>
        <w:t>,</w:t>
      </w:r>
      <w:r w:rsidRPr="003B764A">
        <w:rPr>
          <w:lang w:val="en-GB"/>
        </w:rPr>
        <w:t xml:space="preserve"> </w:t>
      </w:r>
      <w:r w:rsidR="00B03B65" w:rsidRPr="003B764A">
        <w:rPr>
          <w:lang w:val="en-GB"/>
        </w:rPr>
        <w:t xml:space="preserve">A2.2 </w:t>
      </w:r>
      <w:r w:rsidRPr="003B764A">
        <w:rPr>
          <w:lang w:val="en-GB"/>
        </w:rPr>
        <w:t>(</w:t>
      </w:r>
      <w:r w:rsidR="005A6C7E" w:rsidRPr="003B764A">
        <w:rPr>
          <w:lang w:val="en-GB"/>
        </w:rPr>
        <w:t>right</w:t>
      </w:r>
      <w:r w:rsidRPr="003B764A">
        <w:rPr>
          <w:lang w:val="en-GB"/>
        </w:rPr>
        <w:t>)</w:t>
      </w:r>
    </w:p>
    <w:p w14:paraId="6733DC25" w14:textId="12815A41" w:rsidR="00DD6A22" w:rsidRPr="003B764A" w:rsidRDefault="00DD6A22" w:rsidP="006D1C4C">
      <w:pPr>
        <w:pStyle w:val="SWCText"/>
        <w:rPr>
          <w:b/>
          <w:bCs/>
          <w:u w:val="single"/>
          <w:lang w:val="en-GB"/>
        </w:rPr>
      </w:pPr>
      <w:r w:rsidRPr="003B764A">
        <w:rPr>
          <w:b/>
          <w:bCs/>
          <w:u w:val="single"/>
          <w:lang w:val="en-GB"/>
        </w:rPr>
        <w:t>A3</w:t>
      </w:r>
      <w:r w:rsidR="007B69C2" w:rsidRPr="003B764A">
        <w:rPr>
          <w:b/>
          <w:bCs/>
          <w:u w:val="single"/>
          <w:lang w:val="en-GB"/>
        </w:rPr>
        <w:t xml:space="preserve">: </w:t>
      </w:r>
      <w:r w:rsidRPr="003B764A">
        <w:rPr>
          <w:b/>
          <w:bCs/>
          <w:u w:val="single"/>
          <w:lang w:val="en-GB"/>
        </w:rPr>
        <w:t>PVT with ground regeneration/ interseasonal storage</w:t>
      </w:r>
    </w:p>
    <w:p w14:paraId="1D5F5CF3" w14:textId="0DFB9F54" w:rsidR="004D3DB9" w:rsidRPr="003B764A" w:rsidRDefault="004D3DB9" w:rsidP="004D3DB9">
      <w:pPr>
        <w:pStyle w:val="SWCText"/>
        <w:rPr>
          <w:lang w:val="en-GB"/>
        </w:rPr>
      </w:pPr>
      <w:r w:rsidRPr="003B764A">
        <w:rPr>
          <w:lang w:val="en-GB"/>
        </w:rPr>
        <w:t>PVT collectors can be integrated with geothermal systems to enhance the utilisation of low-temperature heat and extend operating hours. The recovered thermal energy is used for applications such as borehole regeneration or seasonal storage, helping meet winter heating demands, particularly in cold climates</w:t>
      </w:r>
      <w:r w:rsidR="005D61A4" w:rsidRPr="003B764A">
        <w:rPr>
          <w:lang w:val="en-GB"/>
        </w:rPr>
        <w:t>.</w:t>
      </w:r>
    </w:p>
    <w:tbl>
      <w:tblPr>
        <w:tblStyle w:val="Tablaconcuadrcula"/>
        <w:tblW w:w="90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5"/>
        <w:gridCol w:w="5104"/>
      </w:tblGrid>
      <w:tr w:rsidR="000762A1" w:rsidRPr="003B764A" w14:paraId="6F26A1F7" w14:textId="77777777" w:rsidTr="00C008D0">
        <w:trPr>
          <w:jc w:val="center"/>
        </w:trPr>
        <w:tc>
          <w:tcPr>
            <w:tcW w:w="3855" w:type="dxa"/>
            <w:vAlign w:val="center"/>
          </w:tcPr>
          <w:p w14:paraId="571FF02E" w14:textId="77777777" w:rsidR="000762A1" w:rsidRPr="003B764A" w:rsidRDefault="000762A1" w:rsidP="00C008D0">
            <w:pPr>
              <w:pStyle w:val="SWCTableFigureCaption"/>
              <w:rPr>
                <w:lang w:val="en-GB"/>
              </w:rPr>
            </w:pPr>
            <w:r w:rsidRPr="003B764A">
              <w:rPr>
                <w:noProof/>
                <w:lang w:val="en-GB"/>
              </w:rPr>
              <w:drawing>
                <wp:inline distT="0" distB="0" distL="0" distR="0" wp14:anchorId="50053955" wp14:editId="7891A478">
                  <wp:extent cx="2327166" cy="1415333"/>
                  <wp:effectExtent l="0" t="0" r="0" b="0"/>
                  <wp:docPr id="88835847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30902" cy="1417605"/>
                          </a:xfrm>
                          <a:prstGeom prst="rect">
                            <a:avLst/>
                          </a:prstGeom>
                          <a:noFill/>
                        </pic:spPr>
                      </pic:pic>
                    </a:graphicData>
                  </a:graphic>
                </wp:inline>
              </w:drawing>
            </w:r>
          </w:p>
        </w:tc>
        <w:tc>
          <w:tcPr>
            <w:tcW w:w="5244" w:type="dxa"/>
            <w:vAlign w:val="center"/>
          </w:tcPr>
          <w:p w14:paraId="7F4E051A" w14:textId="77777777" w:rsidR="000762A1" w:rsidRPr="003B764A" w:rsidRDefault="000762A1" w:rsidP="00C008D0">
            <w:pPr>
              <w:pStyle w:val="SWCText"/>
              <w:spacing w:after="0" w:line="240" w:lineRule="auto"/>
              <w:jc w:val="center"/>
              <w:rPr>
                <w:lang w:val="en-GB"/>
              </w:rPr>
            </w:pPr>
            <w:r w:rsidRPr="003B764A">
              <w:rPr>
                <w:noProof/>
                <w:lang w:val="en-GB"/>
              </w:rPr>
              <w:drawing>
                <wp:inline distT="0" distB="0" distL="0" distR="0" wp14:anchorId="7656BE78" wp14:editId="78D5FA26">
                  <wp:extent cx="2880000" cy="1540128"/>
                  <wp:effectExtent l="0" t="0" r="0" b="3175"/>
                  <wp:docPr id="13125942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80000" cy="1540128"/>
                          </a:xfrm>
                          <a:prstGeom prst="rect">
                            <a:avLst/>
                          </a:prstGeom>
                          <a:noFill/>
                        </pic:spPr>
                      </pic:pic>
                    </a:graphicData>
                  </a:graphic>
                </wp:inline>
              </w:drawing>
            </w:r>
          </w:p>
        </w:tc>
      </w:tr>
    </w:tbl>
    <w:p w14:paraId="0647FE5F" w14:textId="4D6D85A9" w:rsidR="000762A1" w:rsidRPr="003B764A" w:rsidRDefault="000762A1" w:rsidP="00453072">
      <w:pPr>
        <w:pStyle w:val="SWCTableFigureCaption"/>
        <w:rPr>
          <w:lang w:val="en-GB"/>
        </w:rPr>
      </w:pPr>
      <w:bookmarkStart w:id="4" w:name="_Ref238548130"/>
      <w:r w:rsidRPr="003B764A">
        <w:rPr>
          <w:lang w:val="en-GB"/>
        </w:rPr>
        <w:t xml:space="preserve">Fig. </w:t>
      </w:r>
      <w:r w:rsidRPr="003B764A">
        <w:rPr>
          <w:lang w:val="en-GB"/>
        </w:rPr>
        <w:fldChar w:fldCharType="begin"/>
      </w:r>
      <w:r w:rsidRPr="003B764A">
        <w:rPr>
          <w:lang w:val="en-GB"/>
        </w:rPr>
        <w:instrText xml:space="preserve"> SEQ Fig. \* ARABIC </w:instrText>
      </w:r>
      <w:r w:rsidRPr="003B764A">
        <w:rPr>
          <w:lang w:val="en-GB"/>
        </w:rPr>
        <w:fldChar w:fldCharType="separate"/>
      </w:r>
      <w:r w:rsidR="00623810" w:rsidRPr="003B764A">
        <w:rPr>
          <w:noProof/>
          <w:lang w:val="en-GB"/>
        </w:rPr>
        <w:t>5</w:t>
      </w:r>
      <w:r w:rsidRPr="003B764A">
        <w:rPr>
          <w:lang w:val="en-GB"/>
        </w:rPr>
        <w:fldChar w:fldCharType="end"/>
      </w:r>
      <w:bookmarkEnd w:id="4"/>
      <w:r w:rsidRPr="003B764A">
        <w:rPr>
          <w:lang w:val="en-GB"/>
        </w:rPr>
        <w:t>: Schemes for PVT with ground regeneration/ interseasonal storage (A3): ground regeneration, A3.1 (left) and seasonal storage, A3.2 (right)</w:t>
      </w:r>
    </w:p>
    <w:p w14:paraId="206D1B8D" w14:textId="46EB838E" w:rsidR="00A44031" w:rsidRPr="003B764A" w:rsidRDefault="00A44031" w:rsidP="00E359F9">
      <w:pPr>
        <w:pStyle w:val="Bullet"/>
      </w:pPr>
      <w:r w:rsidRPr="003B764A">
        <w:rPr>
          <w:b/>
          <w:bCs/>
        </w:rPr>
        <w:t>A3.1: PVT with ground regeneration</w:t>
      </w:r>
      <w:r w:rsidR="005D61A4" w:rsidRPr="003B764A">
        <w:rPr>
          <w:b/>
          <w:bCs/>
        </w:rPr>
        <w:t xml:space="preserve"> </w:t>
      </w:r>
      <w:r w:rsidR="005D61A4" w:rsidRPr="003B764A">
        <w:t xml:space="preserve">(see </w:t>
      </w:r>
      <w:r w:rsidR="00130262" w:rsidRPr="003B764A">
        <w:fldChar w:fldCharType="begin"/>
      </w:r>
      <w:r w:rsidR="00130262" w:rsidRPr="003B764A">
        <w:instrText xml:space="preserve"> REF _Ref238548130 \h </w:instrText>
      </w:r>
      <w:r w:rsidR="00130262" w:rsidRPr="003B764A">
        <w:fldChar w:fldCharType="separate"/>
      </w:r>
      <w:r w:rsidR="00623810" w:rsidRPr="003B764A">
        <w:t xml:space="preserve">Fig. </w:t>
      </w:r>
      <w:r w:rsidR="00623810" w:rsidRPr="003B764A">
        <w:rPr>
          <w:noProof/>
        </w:rPr>
        <w:t>5</w:t>
      </w:r>
      <w:r w:rsidR="00130262" w:rsidRPr="003B764A">
        <w:fldChar w:fldCharType="end"/>
      </w:r>
      <w:r w:rsidR="00A1420B" w:rsidRPr="003B764A">
        <w:t xml:space="preserve"> left</w:t>
      </w:r>
      <w:r w:rsidR="005D61A4" w:rsidRPr="003B764A">
        <w:t>)</w:t>
      </w:r>
      <w:r w:rsidRPr="003B764A">
        <w:t xml:space="preserve">: </w:t>
      </w:r>
      <w:r w:rsidR="00E359F9" w:rsidRPr="003B764A">
        <w:t>Excess PVT heat that is not required for immediate use or heat pump operation can be used to thermally recharge the ground around the geothermal field, which acts as a thermal buffer and secondary heat source. This approach is particularly effective and cost-efficient in cold climates, where excessive ground cooling may occur</w:t>
      </w:r>
      <w:r w:rsidR="003602EF" w:rsidRPr="003B764A">
        <w:t xml:space="preserve"> </w:t>
      </w:r>
      <w:sdt>
        <w:sdtPr>
          <w:tag w:val="MENDELEY_CITATION_v3_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"/>
          <w:id w:val="-673416720"/>
          <w:placeholder>
            <w:docPart w:val="DefaultPlaceholder_-1854013440"/>
          </w:placeholder>
        </w:sdtPr>
        <w:sdtEndPr/>
        <w:sdtContent>
          <w:r w:rsidR="0086208F" w:rsidRPr="0086208F">
            <w:t>(Chhugani et al., 2023; Liravi et al., 2025)</w:t>
          </w:r>
        </w:sdtContent>
      </w:sdt>
      <w:r w:rsidR="00E359F9" w:rsidRPr="003B764A">
        <w:t>.</w:t>
      </w:r>
    </w:p>
    <w:p w14:paraId="11BCE142" w14:textId="6931772E" w:rsidR="00A44031" w:rsidRPr="003B764A" w:rsidRDefault="00A44031" w:rsidP="00570906">
      <w:pPr>
        <w:pStyle w:val="Bullet"/>
      </w:pPr>
      <w:r w:rsidRPr="003B764A">
        <w:rPr>
          <w:b/>
          <w:bCs/>
        </w:rPr>
        <w:t>A3.2: PVT with seasonal storage</w:t>
      </w:r>
      <w:r w:rsidR="00C801BD" w:rsidRPr="003B764A">
        <w:rPr>
          <w:b/>
          <w:bCs/>
        </w:rPr>
        <w:t xml:space="preserve"> </w:t>
      </w:r>
      <w:r w:rsidR="00C801BD" w:rsidRPr="003B764A">
        <w:t xml:space="preserve">(see </w:t>
      </w:r>
      <w:r w:rsidR="00130262" w:rsidRPr="003B764A">
        <w:fldChar w:fldCharType="begin"/>
      </w:r>
      <w:r w:rsidR="00130262" w:rsidRPr="003B764A">
        <w:instrText xml:space="preserve"> REF _Ref238548130 \h </w:instrText>
      </w:r>
      <w:r w:rsidR="00130262" w:rsidRPr="003B764A">
        <w:fldChar w:fldCharType="separate"/>
      </w:r>
      <w:r w:rsidR="00623810" w:rsidRPr="003B764A">
        <w:t xml:space="preserve">Fig. </w:t>
      </w:r>
      <w:r w:rsidR="00623810" w:rsidRPr="003B764A">
        <w:rPr>
          <w:noProof/>
        </w:rPr>
        <w:t>5</w:t>
      </w:r>
      <w:r w:rsidR="00130262" w:rsidRPr="003B764A">
        <w:fldChar w:fldCharType="end"/>
      </w:r>
      <w:r w:rsidR="00A1420B" w:rsidRPr="003B764A">
        <w:t xml:space="preserve"> right</w:t>
      </w:r>
      <w:r w:rsidR="00C801BD" w:rsidRPr="003B764A">
        <w:t>)</w:t>
      </w:r>
      <w:r w:rsidRPr="003B764A">
        <w:t>:</w:t>
      </w:r>
      <w:r w:rsidR="00910742" w:rsidRPr="003B764A">
        <w:rPr>
          <w:color w:val="auto"/>
          <w:sz w:val="24"/>
          <w:szCs w:val="24"/>
        </w:rPr>
        <w:t xml:space="preserve"> </w:t>
      </w:r>
      <w:r w:rsidR="00130262" w:rsidRPr="003B764A">
        <w:t>It</w:t>
      </w:r>
      <w:r w:rsidR="00570906" w:rsidRPr="003B764A">
        <w:t xml:space="preserve"> incorporates long-term thermal storage to </w:t>
      </w:r>
      <w:r w:rsidR="0076589A" w:rsidRPr="003B764A">
        <w:t>tackle</w:t>
      </w:r>
      <w:r w:rsidR="00570906" w:rsidRPr="003B764A">
        <w:t xml:space="preserve"> the seasonal mismatch </w:t>
      </w:r>
      <w:r w:rsidR="000D1993" w:rsidRPr="003B764A">
        <w:t xml:space="preserve">between </w:t>
      </w:r>
      <w:r w:rsidR="00570906" w:rsidRPr="003B764A">
        <w:t>high summer PVT generation and winter heating demand. It requires a large underground storage to minimise thermal losses and enable seasonal energy shifting</w:t>
      </w:r>
      <w:r w:rsidR="00130262" w:rsidRPr="003B764A">
        <w:t xml:space="preserve"> </w:t>
      </w:r>
      <w:sdt>
        <w:sdtPr>
          <w:tag w:val="MENDELEY_CITATION_v3_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"/>
          <w:id w:val="1655648721"/>
          <w:placeholder>
            <w:docPart w:val="DefaultPlaceholder_-1854013440"/>
          </w:placeholder>
        </w:sdtPr>
        <w:sdtEndPr/>
        <w:sdtContent>
          <w:r w:rsidR="0086208F" w:rsidRPr="0086208F">
            <w:t>(Ul-Abdin et al., 2025)</w:t>
          </w:r>
        </w:sdtContent>
      </w:sdt>
      <w:r w:rsidR="00570906" w:rsidRPr="003B764A">
        <w:t>.</w:t>
      </w:r>
    </w:p>
    <w:p w14:paraId="213CBC7C" w14:textId="7A199B31" w:rsidR="00A06DD0" w:rsidRPr="003B764A" w:rsidRDefault="00A06DD0" w:rsidP="00A06DD0">
      <w:pPr>
        <w:pStyle w:val="SWCText"/>
        <w:rPr>
          <w:lang w:val="en-GB"/>
        </w:rPr>
      </w:pPr>
      <w:r w:rsidRPr="003B764A">
        <w:rPr>
          <w:lang w:val="en-GB"/>
        </w:rPr>
        <w:t xml:space="preserve">Note: Configurations where geothermal energy (extracted via boreholes) serves as an additional heat source for the </w:t>
      </w:r>
      <w:r w:rsidR="00570906" w:rsidRPr="003B764A">
        <w:rPr>
          <w:lang w:val="en-GB"/>
        </w:rPr>
        <w:t>HP</w:t>
      </w:r>
      <w:r w:rsidRPr="003B764A">
        <w:rPr>
          <w:lang w:val="en-GB"/>
        </w:rPr>
        <w:t xml:space="preserve">, operating independently of the PVT </w:t>
      </w:r>
      <w:r w:rsidR="00480711" w:rsidRPr="003B764A">
        <w:rPr>
          <w:lang w:val="en-GB"/>
        </w:rPr>
        <w:t>collectors</w:t>
      </w:r>
      <w:r w:rsidRPr="003B764A">
        <w:rPr>
          <w:lang w:val="en-GB"/>
        </w:rPr>
        <w:t xml:space="preserve">, are </w:t>
      </w:r>
      <w:r w:rsidR="00480711" w:rsidRPr="003B764A">
        <w:rPr>
          <w:lang w:val="en-GB"/>
        </w:rPr>
        <w:t>categorised</w:t>
      </w:r>
      <w:r w:rsidRPr="003B764A">
        <w:rPr>
          <w:lang w:val="en-GB"/>
        </w:rPr>
        <w:t xml:space="preserve"> under </w:t>
      </w:r>
      <w:r w:rsidR="00615DD5">
        <w:rPr>
          <w:lang w:val="en-GB"/>
        </w:rPr>
        <w:t>g</w:t>
      </w:r>
      <w:r w:rsidRPr="003B764A">
        <w:rPr>
          <w:lang w:val="en-GB"/>
        </w:rPr>
        <w:t>roup A2.</w:t>
      </w:r>
    </w:p>
    <w:p w14:paraId="4B917851" w14:textId="5D8CFE8F" w:rsidR="00DD6A22" w:rsidRPr="003B764A" w:rsidRDefault="00DD6A22" w:rsidP="006D1C4C">
      <w:pPr>
        <w:pStyle w:val="SWCText"/>
        <w:rPr>
          <w:b/>
          <w:bCs/>
          <w:u w:val="single"/>
          <w:lang w:val="en-GB"/>
        </w:rPr>
      </w:pPr>
      <w:r w:rsidRPr="003B764A">
        <w:rPr>
          <w:b/>
          <w:bCs/>
          <w:u w:val="single"/>
          <w:lang w:val="en-GB"/>
        </w:rPr>
        <w:t>A4</w:t>
      </w:r>
      <w:r w:rsidR="007B69C2" w:rsidRPr="003B764A">
        <w:rPr>
          <w:b/>
          <w:bCs/>
          <w:u w:val="single"/>
          <w:lang w:val="en-GB"/>
        </w:rPr>
        <w:t xml:space="preserve">: </w:t>
      </w:r>
      <w:r w:rsidRPr="003B764A">
        <w:rPr>
          <w:b/>
          <w:bCs/>
          <w:u w:val="single"/>
          <w:lang w:val="en-GB"/>
        </w:rPr>
        <w:t>Other types</w:t>
      </w:r>
      <w:r w:rsidR="008D4BC6" w:rsidRPr="003B764A">
        <w:rPr>
          <w:b/>
          <w:bCs/>
          <w:u w:val="single"/>
          <w:lang w:val="en-GB"/>
        </w:rPr>
        <w:t>/Emerging Systems</w:t>
      </w:r>
    </w:p>
    <w:p w14:paraId="1E1480B7" w14:textId="513E2686" w:rsidR="00BF7B57" w:rsidRPr="003B764A" w:rsidRDefault="00735707" w:rsidP="006D1C4C">
      <w:pPr>
        <w:pStyle w:val="SWCText"/>
        <w:rPr>
          <w:lang w:val="en-GB"/>
        </w:rPr>
      </w:pPr>
      <w:r w:rsidRPr="003B764A">
        <w:rPr>
          <w:lang w:val="en-GB"/>
        </w:rPr>
        <w:t xml:space="preserve">This category includes all setups not captured by previous groups. These are emerging or custom-designed systems </w:t>
      </w:r>
      <w:r w:rsidR="00F46312" w:rsidRPr="003B764A">
        <w:rPr>
          <w:lang w:val="en-GB"/>
        </w:rPr>
        <w:t xml:space="preserve">that integrate PVT collectors with other assets, whose operation and financial feasibility remain areas of ongoing </w:t>
      </w:r>
      <w:r w:rsidRPr="003B764A">
        <w:rPr>
          <w:lang w:val="en-GB"/>
        </w:rPr>
        <w:t>research.</w:t>
      </w:r>
      <w:r w:rsidR="000E6A73" w:rsidRPr="003B764A">
        <w:rPr>
          <w:lang w:val="en-GB"/>
        </w:rPr>
        <w:t xml:space="preserve"> Examples include </w:t>
      </w:r>
      <w:r w:rsidR="00375979" w:rsidRPr="003B764A">
        <w:rPr>
          <w:lang w:val="en-GB"/>
        </w:rPr>
        <w:t>solar combined cooling, heating and power (S-CCHP</w:t>
      </w:r>
      <w:r w:rsidR="0095484E" w:rsidRPr="003B764A">
        <w:rPr>
          <w:lang w:val="en-GB"/>
        </w:rPr>
        <w:t>)</w:t>
      </w:r>
      <w:r w:rsidR="00F46312" w:rsidRPr="003B764A">
        <w:rPr>
          <w:lang w:val="en-GB"/>
        </w:rPr>
        <w:t xml:space="preserve">, desalination, and integration with absorption/adsorption chillers </w:t>
      </w:r>
      <w:sdt>
        <w:sdtPr>
          <w:rPr>
            <w:lang w:val="en-GB"/>
          </w:rPr>
          <w:tag w:val="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"/>
          <w:id w:val="505329562"/>
          <w:placeholder>
            <w:docPart w:val="DefaultPlaceholder_-1854013440"/>
          </w:placeholder>
        </w:sdtPr>
        <w:sdtEndPr/>
        <w:sdtContent>
          <w:r w:rsidR="0086208F" w:rsidRPr="0086208F">
            <w:rPr>
              <w:lang w:val="en-GB"/>
            </w:rPr>
            <w:t>(Buonomano et al., 2017; Chen et al., 2019; Herrando et al., 2020)</w:t>
          </w:r>
        </w:sdtContent>
      </w:sdt>
      <w:r w:rsidR="009C4B8A" w:rsidRPr="003B764A">
        <w:rPr>
          <w:lang w:val="en-GB"/>
        </w:rPr>
        <w:t>.</w:t>
      </w:r>
    </w:p>
    <w:p w14:paraId="7FCAD5EF" w14:textId="6E2F5271" w:rsidR="00565AA2" w:rsidRPr="003B764A" w:rsidRDefault="00623810" w:rsidP="00623810">
      <w:pPr>
        <w:pStyle w:val="SWCHeading11"/>
      </w:pPr>
      <w:r w:rsidRPr="003B764A">
        <w:t xml:space="preserve">2.2.2. </w:t>
      </w:r>
      <w:r w:rsidR="00565AA2" w:rsidRPr="003B764A">
        <w:t>Air-based</w:t>
      </w:r>
      <w:r w:rsidR="00615DD5">
        <w:t xml:space="preserve"> </w:t>
      </w:r>
      <w:r w:rsidR="00615DD5" w:rsidRPr="003B764A">
        <w:t>PVT systems</w:t>
      </w:r>
    </w:p>
    <w:p w14:paraId="208392E1" w14:textId="24B17624" w:rsidR="006811DC" w:rsidRPr="003B764A" w:rsidRDefault="000826DB" w:rsidP="00BA268A">
      <w:pPr>
        <w:pStyle w:val="SWCText"/>
        <w:rPr>
          <w:lang w:val="en-GB"/>
        </w:rPr>
      </w:pPr>
      <w:r w:rsidRPr="003B764A">
        <w:rPr>
          <w:lang w:val="en-GB"/>
        </w:rPr>
        <w:t>Air-based PVT collectors use air as the heat transfer medium. While air has a lower heat capacity than liquid fluids, these systems require less maintenance and eliminate leakage risks. Most reported applications are still at the development stage</w:t>
      </w:r>
      <w:r w:rsidR="00B85152" w:rsidRPr="003B764A">
        <w:rPr>
          <w:lang w:val="en-GB"/>
        </w:rPr>
        <w:t xml:space="preserve"> </w:t>
      </w:r>
      <w:sdt>
        <w:sdtPr>
          <w:rPr>
            <w:lang w:val="en-GB"/>
          </w:rPr>
          <w:tag w:val="MENDELEY_CITATION_v3_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"/>
          <w:id w:val="-1960641421"/>
          <w:placeholder>
            <w:docPart w:val="45BCC60D03B84AA8956467CC64DCF698"/>
          </w:placeholder>
        </w:sdtPr>
        <w:sdtEndPr/>
        <w:sdtContent>
          <w:r w:rsidR="0086208F" w:rsidRPr="0086208F">
            <w:rPr>
              <w:lang w:val="en-GB"/>
            </w:rPr>
            <w:t>(Chaibi et al., 2021; Simón-Allué et al., 2023)</w:t>
          </w:r>
        </w:sdtContent>
      </w:sdt>
      <w:r w:rsidRPr="003B764A">
        <w:rPr>
          <w:lang w:val="en-GB"/>
        </w:rPr>
        <w:t>, with only a few demonstration projects, mainly in façade-integrated systems</w:t>
      </w:r>
      <w:r w:rsidR="00B85152" w:rsidRPr="003B764A">
        <w:rPr>
          <w:lang w:val="en-GB"/>
        </w:rPr>
        <w:t xml:space="preserve"> </w:t>
      </w:r>
      <w:sdt>
        <w:sdtPr>
          <w:rPr>
            <w:lang w:val="en-GB"/>
          </w:rPr>
          <w:tag w:val="MENDELEY_CITATION_v3_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"/>
          <w:id w:val="727959880"/>
          <w:placeholder>
            <w:docPart w:val="DefaultPlaceholder_-1854013440"/>
          </w:placeholder>
        </w:sdtPr>
        <w:sdtEndPr/>
        <w:sdtContent>
          <w:r w:rsidR="0086208F" w:rsidRPr="0086208F">
            <w:rPr>
              <w:lang w:val="en-GB"/>
            </w:rPr>
            <w:t>(Abdelrazik et al., 2022)</w:t>
          </w:r>
        </w:sdtContent>
      </w:sdt>
      <w:r w:rsidRPr="003B764A">
        <w:rPr>
          <w:lang w:val="en-GB"/>
        </w:rPr>
        <w:t>.</w:t>
      </w:r>
      <w:r w:rsidR="00B85152" w:rsidRPr="003B764A">
        <w:rPr>
          <w:lang w:val="en-GB"/>
        </w:rPr>
        <w:t xml:space="preserve"> </w:t>
      </w:r>
      <w:r w:rsidRPr="003B764A">
        <w:rPr>
          <w:lang w:val="en-GB"/>
        </w:rPr>
        <w:t xml:space="preserve">Commercial use is currently limited to real-time heating, as </w:t>
      </w:r>
      <w:r w:rsidR="001B379F" w:rsidRPr="003B764A">
        <w:rPr>
          <w:lang w:val="en-GB"/>
        </w:rPr>
        <w:t>DHW</w:t>
      </w:r>
      <w:r w:rsidRPr="003B764A">
        <w:rPr>
          <w:lang w:val="en-GB"/>
        </w:rPr>
        <w:t xml:space="preserve"> applications remain under development</w:t>
      </w:r>
      <w:r w:rsidR="00EA42B3" w:rsidRPr="003B764A">
        <w:rPr>
          <w:lang w:val="en-GB"/>
        </w:rPr>
        <w:t xml:space="preserve"> </w:t>
      </w:r>
      <w:sdt>
        <w:sdtPr>
          <w:rPr>
            <w:lang w:val="en-GB"/>
          </w:rPr>
          <w:tag w:val="MENDELEY_CITATION_v3_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"/>
          <w:id w:val="-1029022125"/>
          <w:placeholder>
            <w:docPart w:val="DefaultPlaceholder_-1854013440"/>
          </w:placeholder>
        </w:sdtPr>
        <w:sdtEndPr/>
        <w:sdtContent>
          <w:r w:rsidR="0086208F" w:rsidRPr="0086208F">
            <w:rPr>
              <w:lang w:val="en-GB"/>
            </w:rPr>
            <w:t>(Aspetakis and Wang, 2025)</w:t>
          </w:r>
        </w:sdtContent>
      </w:sdt>
      <w:r w:rsidR="001B379F" w:rsidRPr="003B764A">
        <w:rPr>
          <w:lang w:val="en-GB"/>
        </w:rPr>
        <w:t xml:space="preserve">. </w:t>
      </w:r>
      <w:r w:rsidR="007463BE" w:rsidRPr="003B764A">
        <w:rPr>
          <w:lang w:val="en-GB"/>
        </w:rPr>
        <w:t xml:space="preserve">These </w:t>
      </w:r>
      <w:r w:rsidR="001B379F" w:rsidRPr="003B764A">
        <w:rPr>
          <w:lang w:val="en-GB"/>
        </w:rPr>
        <w:t xml:space="preserve">systems </w:t>
      </w:r>
      <w:r w:rsidR="006811DC" w:rsidRPr="003B764A">
        <w:rPr>
          <w:lang w:val="en-GB"/>
        </w:rPr>
        <w:t>can be</w:t>
      </w:r>
      <w:r w:rsidR="00C8094D">
        <w:rPr>
          <w:lang w:val="en-GB"/>
        </w:rPr>
        <w:t xml:space="preserve"> </w:t>
      </w:r>
      <w:r w:rsidR="00C8094D" w:rsidRPr="003B764A">
        <w:rPr>
          <w:lang w:val="en-GB"/>
        </w:rPr>
        <w:t xml:space="preserve">(see </w:t>
      </w:r>
      <w:r w:rsidR="00C8094D" w:rsidRPr="003B764A">
        <w:rPr>
          <w:lang w:val="en-GB"/>
        </w:rPr>
        <w:fldChar w:fldCharType="begin"/>
      </w:r>
      <w:r w:rsidR="00C8094D" w:rsidRPr="003B764A">
        <w:rPr>
          <w:lang w:val="en-GB"/>
        </w:rPr>
        <w:instrText xml:space="preserve"> REF _Ref236218442 \h </w:instrText>
      </w:r>
      <w:r w:rsidR="00C8094D" w:rsidRPr="003B764A">
        <w:rPr>
          <w:lang w:val="en-GB"/>
        </w:rPr>
      </w:r>
      <w:r w:rsidR="00C8094D" w:rsidRPr="003B764A">
        <w:rPr>
          <w:lang w:val="en-GB"/>
        </w:rPr>
        <w:fldChar w:fldCharType="separate"/>
      </w:r>
      <w:r w:rsidR="00C8094D" w:rsidRPr="003B764A">
        <w:rPr>
          <w:lang w:val="en-GB"/>
        </w:rPr>
        <w:t xml:space="preserve">Fig. </w:t>
      </w:r>
      <w:r w:rsidR="00C8094D" w:rsidRPr="003B764A">
        <w:rPr>
          <w:noProof/>
          <w:lang w:val="en-GB"/>
        </w:rPr>
        <w:t>6</w:t>
      </w:r>
      <w:r w:rsidR="00C8094D" w:rsidRPr="003B764A">
        <w:rPr>
          <w:lang w:val="en-GB"/>
        </w:rPr>
        <w:fldChar w:fldCharType="end"/>
      </w:r>
      <w:r w:rsidR="00C8094D" w:rsidRPr="003B764A">
        <w:rPr>
          <w:lang w:val="en-GB"/>
        </w:rPr>
        <w:t>)</w:t>
      </w:r>
      <w:r w:rsidR="006811DC" w:rsidRPr="003B764A">
        <w:rPr>
          <w:lang w:val="en-GB"/>
        </w:rPr>
        <w:t>:</w:t>
      </w:r>
    </w:p>
    <w:p w14:paraId="1CFA371D" w14:textId="7CFADE70" w:rsidR="00BA268A" w:rsidRPr="003B764A" w:rsidRDefault="006811DC" w:rsidP="00F9758D">
      <w:pPr>
        <w:pStyle w:val="Bullet"/>
      </w:pPr>
      <w:r w:rsidRPr="003B764A">
        <w:rPr>
          <w:b/>
          <w:bCs/>
        </w:rPr>
        <w:lastRenderedPageBreak/>
        <w:t>Open/closed loop</w:t>
      </w:r>
      <w:r w:rsidR="00BA268A" w:rsidRPr="003B764A">
        <w:t>: They can operate in a closed loop (recirculating air from inside the building and returning it once heated) or an open loop (taking ambient outdoor air and supplying it indoors).</w:t>
      </w:r>
    </w:p>
    <w:p w14:paraId="56808B87" w14:textId="1519B428" w:rsidR="00BA268A" w:rsidRPr="003B764A" w:rsidRDefault="006811DC" w:rsidP="00F9758D">
      <w:pPr>
        <w:pStyle w:val="Bullet"/>
      </w:pPr>
      <w:r w:rsidRPr="003B764A">
        <w:rPr>
          <w:b/>
          <w:bCs/>
        </w:rPr>
        <w:t>Natural/forced</w:t>
      </w:r>
      <w:r w:rsidR="00BA268A" w:rsidRPr="003B764A">
        <w:t>: Air circulation can be natural (driven by natural convection due to temperature differences) or forced (driven by a fan).</w:t>
      </w:r>
    </w:p>
    <w:p w14:paraId="2A6115C0" w14:textId="245FFCA2" w:rsidR="00B63674" w:rsidRPr="003B764A" w:rsidRDefault="006020A6" w:rsidP="007A5F17">
      <w:pPr>
        <w:pStyle w:val="SWCText"/>
        <w:spacing w:before="120" w:after="0"/>
        <w:jc w:val="center"/>
        <w:rPr>
          <w:lang w:val="en-GB"/>
        </w:rPr>
      </w:pPr>
      <w:r w:rsidRPr="003B764A">
        <w:rPr>
          <w:noProof/>
          <w:lang w:val="en-GB"/>
        </w:rPr>
        <w:drawing>
          <wp:inline distT="0" distB="0" distL="0" distR="0" wp14:anchorId="358F2BDB" wp14:editId="6881EF03">
            <wp:extent cx="3633235" cy="1118538"/>
            <wp:effectExtent l="0" t="0" r="5715" b="5715"/>
            <wp:docPr id="24288905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53412" cy="1124750"/>
                    </a:xfrm>
                    <a:prstGeom prst="rect">
                      <a:avLst/>
                    </a:prstGeom>
                    <a:noFill/>
                  </pic:spPr>
                </pic:pic>
              </a:graphicData>
            </a:graphic>
          </wp:inline>
        </w:drawing>
      </w:r>
    </w:p>
    <w:p w14:paraId="37AE852F" w14:textId="3FC8624D" w:rsidR="00B63674" w:rsidRPr="003B764A" w:rsidRDefault="00B63674" w:rsidP="00B63674">
      <w:pPr>
        <w:pStyle w:val="SWCTableFigureCaption"/>
        <w:rPr>
          <w:lang w:val="en-GB"/>
        </w:rPr>
      </w:pPr>
      <w:bookmarkStart w:id="5" w:name="_Ref236218442"/>
      <w:r w:rsidRPr="003B764A">
        <w:rPr>
          <w:lang w:val="en-GB"/>
        </w:rPr>
        <w:t xml:space="preserve">Fig. </w:t>
      </w:r>
      <w:r w:rsidRPr="003B764A">
        <w:rPr>
          <w:lang w:val="en-GB"/>
        </w:rPr>
        <w:fldChar w:fldCharType="begin"/>
      </w:r>
      <w:r w:rsidRPr="003B764A">
        <w:rPr>
          <w:lang w:val="en-GB"/>
        </w:rPr>
        <w:instrText xml:space="preserve"> SEQ Fig. \* ARABIC </w:instrText>
      </w:r>
      <w:r w:rsidRPr="003B764A">
        <w:rPr>
          <w:lang w:val="en-GB"/>
        </w:rPr>
        <w:fldChar w:fldCharType="separate"/>
      </w:r>
      <w:r w:rsidR="00623810" w:rsidRPr="003B764A">
        <w:rPr>
          <w:noProof/>
          <w:lang w:val="en-GB"/>
        </w:rPr>
        <w:t>6</w:t>
      </w:r>
      <w:r w:rsidRPr="003B764A">
        <w:rPr>
          <w:lang w:val="en-GB"/>
        </w:rPr>
        <w:fldChar w:fldCharType="end"/>
      </w:r>
      <w:bookmarkEnd w:id="5"/>
      <w:r w:rsidRPr="003B764A">
        <w:rPr>
          <w:lang w:val="en-GB"/>
        </w:rPr>
        <w:t xml:space="preserve">: </w:t>
      </w:r>
      <w:r w:rsidR="00277D95" w:rsidRPr="003B764A">
        <w:rPr>
          <w:lang w:val="en-GB"/>
        </w:rPr>
        <w:t>air</w:t>
      </w:r>
      <w:r w:rsidRPr="003B764A">
        <w:rPr>
          <w:lang w:val="en-GB"/>
        </w:rPr>
        <w:t>-based PVT systems classification.</w:t>
      </w:r>
    </w:p>
    <w:p w14:paraId="30A1E104" w14:textId="33734152" w:rsidR="00EA42B3" w:rsidRPr="003B764A" w:rsidRDefault="00EA42B3" w:rsidP="00EA42B3">
      <w:pPr>
        <w:pStyle w:val="SWCText"/>
        <w:spacing w:before="120"/>
        <w:rPr>
          <w:lang w:val="en-GB"/>
        </w:rPr>
      </w:pPr>
      <w:r w:rsidRPr="003B764A">
        <w:rPr>
          <w:lang w:val="en-GB"/>
        </w:rPr>
        <w:t xml:space="preserve">Based on the connection with other equipment, two </w:t>
      </w:r>
      <w:r w:rsidR="00C8094D">
        <w:rPr>
          <w:lang w:val="en-GB"/>
        </w:rPr>
        <w:t xml:space="preserve">main </w:t>
      </w:r>
      <w:r w:rsidRPr="003B764A">
        <w:rPr>
          <w:lang w:val="en-GB"/>
        </w:rPr>
        <w:t xml:space="preserve">types can be distinguished (see </w:t>
      </w:r>
      <w:r w:rsidRPr="003B764A">
        <w:rPr>
          <w:lang w:val="en-GB"/>
        </w:rPr>
        <w:fldChar w:fldCharType="begin"/>
      </w:r>
      <w:r w:rsidRPr="003B764A">
        <w:rPr>
          <w:lang w:val="en-GB"/>
        </w:rPr>
        <w:instrText xml:space="preserve"> REF _Ref236218442 \h </w:instrText>
      </w:r>
      <w:r w:rsidRPr="003B764A">
        <w:rPr>
          <w:lang w:val="en-GB"/>
        </w:rPr>
      </w:r>
      <w:r w:rsidRPr="003B764A">
        <w:rPr>
          <w:lang w:val="en-GB"/>
        </w:rPr>
        <w:fldChar w:fldCharType="separate"/>
      </w:r>
      <w:r w:rsidR="00623810" w:rsidRPr="003B764A">
        <w:rPr>
          <w:lang w:val="en-GB"/>
        </w:rPr>
        <w:t xml:space="preserve">Fig. </w:t>
      </w:r>
      <w:r w:rsidR="00623810" w:rsidRPr="003B764A">
        <w:rPr>
          <w:noProof/>
          <w:lang w:val="en-GB"/>
        </w:rPr>
        <w:t>6</w:t>
      </w:r>
      <w:r w:rsidRPr="003B764A">
        <w:rPr>
          <w:lang w:val="en-GB"/>
        </w:rPr>
        <w:fldChar w:fldCharType="end"/>
      </w:r>
      <w:r w:rsidRPr="003B764A">
        <w:rPr>
          <w:lang w:val="en-GB"/>
        </w:rPr>
        <w:t>)</w:t>
      </w:r>
      <w:r w:rsidR="00C8094D">
        <w:rPr>
          <w:lang w:val="en-GB"/>
        </w:rPr>
        <w:t>:</w:t>
      </w:r>
    </w:p>
    <w:p w14:paraId="1BA5DC85" w14:textId="221FE894" w:rsidR="00BF7B57" w:rsidRPr="003B764A" w:rsidRDefault="00BF7B57" w:rsidP="009061D7">
      <w:pPr>
        <w:pStyle w:val="SWCText"/>
        <w:rPr>
          <w:b/>
          <w:bCs/>
          <w:u w:val="single"/>
          <w:lang w:val="en-GB"/>
        </w:rPr>
      </w:pPr>
      <w:r w:rsidRPr="003B764A">
        <w:rPr>
          <w:b/>
          <w:bCs/>
          <w:u w:val="single"/>
          <w:lang w:val="en-GB"/>
        </w:rPr>
        <w:t>B1: Direct use</w:t>
      </w:r>
      <w:r w:rsidR="00445DB5" w:rsidRPr="003B764A">
        <w:rPr>
          <w:lang w:val="en-GB"/>
        </w:rPr>
        <w:t xml:space="preserve"> (see </w:t>
      </w:r>
      <w:r w:rsidR="00B63674" w:rsidRPr="003B764A">
        <w:rPr>
          <w:lang w:val="en-GB"/>
        </w:rPr>
        <w:fldChar w:fldCharType="begin"/>
      </w:r>
      <w:r w:rsidR="00B63674" w:rsidRPr="003B764A">
        <w:rPr>
          <w:lang w:val="en-GB"/>
        </w:rPr>
        <w:instrText xml:space="preserve"> REF _Ref236218314 \h </w:instrText>
      </w:r>
      <w:r w:rsidR="00B63674" w:rsidRPr="003B764A">
        <w:rPr>
          <w:lang w:val="en-GB"/>
        </w:rPr>
      </w:r>
      <w:r w:rsidR="00B63674" w:rsidRPr="003B764A">
        <w:rPr>
          <w:lang w:val="en-GB"/>
        </w:rPr>
        <w:fldChar w:fldCharType="separate"/>
      </w:r>
      <w:r w:rsidR="00623810" w:rsidRPr="003B764A">
        <w:rPr>
          <w:lang w:val="en-GB"/>
        </w:rPr>
        <w:t xml:space="preserve">Fig. </w:t>
      </w:r>
      <w:r w:rsidR="00623810" w:rsidRPr="003B764A">
        <w:rPr>
          <w:noProof/>
          <w:lang w:val="en-GB"/>
        </w:rPr>
        <w:t>7</w:t>
      </w:r>
      <w:r w:rsidR="00B63674" w:rsidRPr="003B764A">
        <w:rPr>
          <w:lang w:val="en-GB"/>
        </w:rPr>
        <w:fldChar w:fldCharType="end"/>
      </w:r>
      <w:r w:rsidR="00A1420B" w:rsidRPr="003B764A">
        <w:rPr>
          <w:lang w:val="en-GB"/>
        </w:rPr>
        <w:t xml:space="preserve"> left</w:t>
      </w:r>
      <w:r w:rsidR="00445DB5" w:rsidRPr="003B764A">
        <w:rPr>
          <w:lang w:val="en-GB"/>
        </w:rPr>
        <w:t>)</w:t>
      </w:r>
      <w:r w:rsidRPr="003B764A">
        <w:rPr>
          <w:lang w:val="en-GB"/>
        </w:rPr>
        <w:t>:</w:t>
      </w:r>
    </w:p>
    <w:p w14:paraId="54697C8E" w14:textId="10D97F1B" w:rsidR="004825EB" w:rsidRPr="003B764A" w:rsidRDefault="006811DC" w:rsidP="009061D7">
      <w:pPr>
        <w:pStyle w:val="Bullet"/>
      </w:pPr>
      <w:r w:rsidRPr="003B764A">
        <w:rPr>
          <w:b/>
          <w:bCs/>
        </w:rPr>
        <w:t xml:space="preserve">B1.1: </w:t>
      </w:r>
      <w:r w:rsidR="004825EB" w:rsidRPr="003B764A">
        <w:rPr>
          <w:b/>
          <w:bCs/>
        </w:rPr>
        <w:t>Via dampers</w:t>
      </w:r>
      <w:r w:rsidR="004825EB" w:rsidRPr="003B764A">
        <w:t xml:space="preserve">: Thermal energy from the </w:t>
      </w:r>
      <w:r w:rsidR="009061D7" w:rsidRPr="003B764A">
        <w:t>collectors</w:t>
      </w:r>
      <w:r w:rsidR="004825EB" w:rsidRPr="003B764A">
        <w:t xml:space="preserve"> is delivered directly indoors. When space heating is unnecessary, the system must be </w:t>
      </w:r>
      <w:r w:rsidR="00C8094D" w:rsidRPr="003B764A">
        <w:t xml:space="preserve">either </w:t>
      </w:r>
      <w:r w:rsidR="004825EB" w:rsidRPr="003B764A">
        <w:t>deactivated or operated using relief dampers to dissipate excess heat</w:t>
      </w:r>
      <w:r w:rsidR="00445DB5" w:rsidRPr="003B764A">
        <w:t>.</w:t>
      </w:r>
    </w:p>
    <w:p w14:paraId="2C629B7E" w14:textId="3975622B" w:rsidR="004825EB" w:rsidRPr="003B764A" w:rsidRDefault="006811DC" w:rsidP="009061D7">
      <w:pPr>
        <w:pStyle w:val="Bullet"/>
      </w:pPr>
      <w:r w:rsidRPr="003B764A">
        <w:rPr>
          <w:b/>
          <w:bCs/>
        </w:rPr>
        <w:t xml:space="preserve">B1.2: </w:t>
      </w:r>
      <w:r w:rsidR="004825EB" w:rsidRPr="003B764A">
        <w:rPr>
          <w:b/>
          <w:bCs/>
        </w:rPr>
        <w:t xml:space="preserve">Via </w:t>
      </w:r>
      <w:r w:rsidR="009F0129" w:rsidRPr="003B764A">
        <w:rPr>
          <w:b/>
          <w:bCs/>
        </w:rPr>
        <w:t>Heat Recovery Ventilation (HRV) unit</w:t>
      </w:r>
      <w:r w:rsidR="004825EB" w:rsidRPr="003B764A">
        <w:t>: The collector outlet feeds the ventilation system</w:t>
      </w:r>
      <w:r w:rsidR="008704EE" w:rsidRPr="003B764A">
        <w:t xml:space="preserve"> inlet</w:t>
      </w:r>
      <w:r w:rsidR="004825EB" w:rsidRPr="003B764A">
        <w:t xml:space="preserve">, avoiding the intake of cold outdoor air and </w:t>
      </w:r>
      <w:r w:rsidR="002E75B0" w:rsidRPr="003B764A">
        <w:t>minimising</w:t>
      </w:r>
      <w:r w:rsidR="004825EB" w:rsidRPr="003B764A">
        <w:t xml:space="preserve"> thermal losses</w:t>
      </w:r>
      <w:r w:rsidR="00A57A4B" w:rsidRPr="003B764A">
        <w:t xml:space="preserve"> </w:t>
      </w:r>
      <w:sdt>
        <w:sdtPr>
          <w:tag w:val="MENDELEY_CITATION_v3_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"/>
          <w:id w:val="-264241984"/>
          <w:placeholder>
            <w:docPart w:val="DefaultPlaceholder_-1854013440"/>
          </w:placeholder>
        </w:sdtPr>
        <w:sdtEndPr/>
        <w:sdtContent>
          <w:r w:rsidR="0086208F" w:rsidRPr="0086208F">
            <w:t>(Ahn et al., 2015; Lamrani et al., 2021)</w:t>
          </w:r>
        </w:sdtContent>
      </w:sdt>
      <w:r w:rsidR="00A57A4B" w:rsidRPr="003B764A">
        <w:t>.</w:t>
      </w:r>
    </w:p>
    <w:p w14:paraId="19619568" w14:textId="55C20478" w:rsidR="00BF7B57" w:rsidRPr="003B764A" w:rsidRDefault="00BF7B57" w:rsidP="009061D7">
      <w:pPr>
        <w:pStyle w:val="SWCText"/>
        <w:rPr>
          <w:lang w:val="en-GB"/>
        </w:rPr>
      </w:pPr>
      <w:r w:rsidRPr="003B764A">
        <w:rPr>
          <w:b/>
          <w:bCs/>
          <w:u w:val="single"/>
          <w:lang w:val="en-GB"/>
        </w:rPr>
        <w:t>B2: Indirect use</w:t>
      </w:r>
      <w:r w:rsidR="007E070A" w:rsidRPr="003B764A">
        <w:rPr>
          <w:b/>
          <w:bCs/>
          <w:u w:val="single"/>
          <w:lang w:val="en-GB"/>
        </w:rPr>
        <w:t xml:space="preserve"> via HP</w:t>
      </w:r>
      <w:r w:rsidR="004E0F4B" w:rsidRPr="003B764A">
        <w:rPr>
          <w:lang w:val="en-GB"/>
        </w:rPr>
        <w:t xml:space="preserve"> (see </w:t>
      </w:r>
      <w:r w:rsidR="004E0F4B" w:rsidRPr="003B764A">
        <w:rPr>
          <w:lang w:val="en-GB"/>
        </w:rPr>
        <w:fldChar w:fldCharType="begin"/>
      </w:r>
      <w:r w:rsidR="004E0F4B" w:rsidRPr="003B764A">
        <w:rPr>
          <w:lang w:val="en-GB"/>
        </w:rPr>
        <w:instrText xml:space="preserve"> REF _Ref236218314 \h </w:instrText>
      </w:r>
      <w:r w:rsidR="004E0F4B" w:rsidRPr="003B764A">
        <w:rPr>
          <w:lang w:val="en-GB"/>
        </w:rPr>
      </w:r>
      <w:r w:rsidR="004E0F4B" w:rsidRPr="003B764A">
        <w:rPr>
          <w:lang w:val="en-GB"/>
        </w:rPr>
        <w:fldChar w:fldCharType="separate"/>
      </w:r>
      <w:r w:rsidR="00623810" w:rsidRPr="003B764A">
        <w:rPr>
          <w:lang w:val="en-GB"/>
        </w:rPr>
        <w:t xml:space="preserve">Fig. </w:t>
      </w:r>
      <w:r w:rsidR="00623810" w:rsidRPr="003B764A">
        <w:rPr>
          <w:noProof/>
          <w:lang w:val="en-GB"/>
        </w:rPr>
        <w:t>7</w:t>
      </w:r>
      <w:r w:rsidR="004E0F4B" w:rsidRPr="003B764A">
        <w:rPr>
          <w:lang w:val="en-GB"/>
        </w:rPr>
        <w:fldChar w:fldCharType="end"/>
      </w:r>
      <w:r w:rsidR="00A1420B" w:rsidRPr="003B764A">
        <w:rPr>
          <w:lang w:val="en-GB"/>
        </w:rPr>
        <w:t xml:space="preserve"> right</w:t>
      </w:r>
      <w:r w:rsidR="004E0F4B" w:rsidRPr="003B764A">
        <w:rPr>
          <w:lang w:val="en-GB"/>
        </w:rPr>
        <w:t>):</w:t>
      </w:r>
      <w:r w:rsidR="00BA268A" w:rsidRPr="003B764A">
        <w:rPr>
          <w:lang w:val="en-GB"/>
        </w:rPr>
        <w:t xml:space="preserve"> the outlet of the air-based PVT collector is connected to a</w:t>
      </w:r>
      <w:r w:rsidR="00C8094D">
        <w:rPr>
          <w:lang w:val="en-GB"/>
        </w:rPr>
        <w:t>n</w:t>
      </w:r>
      <w:r w:rsidR="00BA268A" w:rsidRPr="003B764A">
        <w:rPr>
          <w:lang w:val="en-GB"/>
        </w:rPr>
        <w:t xml:space="preserve"> </w:t>
      </w:r>
      <w:r w:rsidR="004E0F4B" w:rsidRPr="003B764A">
        <w:rPr>
          <w:lang w:val="en-GB"/>
        </w:rPr>
        <w:t>HP</w:t>
      </w:r>
      <w:r w:rsidR="00BA268A" w:rsidRPr="003B764A">
        <w:rPr>
          <w:lang w:val="en-GB"/>
        </w:rPr>
        <w:t>, typically an air-</w:t>
      </w:r>
      <w:r w:rsidR="001E3795" w:rsidRPr="003B764A">
        <w:rPr>
          <w:lang w:val="en-GB"/>
        </w:rPr>
        <w:t xml:space="preserve">source </w:t>
      </w:r>
      <w:r w:rsidR="00277D95" w:rsidRPr="003B764A">
        <w:rPr>
          <w:lang w:val="en-GB"/>
        </w:rPr>
        <w:t>HP</w:t>
      </w:r>
      <w:r w:rsidR="00BA268A" w:rsidRPr="003B764A">
        <w:rPr>
          <w:lang w:val="en-GB"/>
        </w:rPr>
        <w:t>, enhancing its COP</w:t>
      </w:r>
      <w:r w:rsidR="0092475D" w:rsidRPr="003B764A">
        <w:rPr>
          <w:lang w:val="en-GB"/>
        </w:rPr>
        <w:t xml:space="preserve"> </w:t>
      </w:r>
      <w:sdt>
        <w:sdtPr>
          <w:rPr>
            <w:lang w:val="en-GB"/>
          </w:rPr>
          <w:tag w:val="MENDELEY_CITATION_v3_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"/>
          <w:id w:val="2115714792"/>
          <w:placeholder>
            <w:docPart w:val="DefaultPlaceholder_-1854013440"/>
          </w:placeholder>
        </w:sdtPr>
        <w:sdtEndPr/>
        <w:sdtContent>
          <w:r w:rsidR="0086208F" w:rsidRPr="0086208F">
            <w:rPr>
              <w:lang w:val="en-GB"/>
            </w:rPr>
            <w:t>(Choi et al., 2020; Dumoulin et al., 2021)</w:t>
          </w:r>
        </w:sdtContent>
      </w:sdt>
      <w:r w:rsidR="00BA268A" w:rsidRPr="003B764A">
        <w:rPr>
          <w:lang w:val="en-GB"/>
        </w:rPr>
        <w:t>.</w:t>
      </w:r>
    </w:p>
    <w:p w14:paraId="70F10C57" w14:textId="2AD5BCFF" w:rsidR="008D4BC6" w:rsidRPr="003B764A" w:rsidRDefault="008D4BC6" w:rsidP="009061D7">
      <w:pPr>
        <w:pStyle w:val="SWCText"/>
        <w:rPr>
          <w:lang w:val="en-GB"/>
        </w:rPr>
      </w:pPr>
      <w:r w:rsidRPr="003B764A">
        <w:rPr>
          <w:b/>
          <w:bCs/>
          <w:u w:val="single"/>
          <w:lang w:val="en-GB"/>
        </w:rPr>
        <w:t>B3: Other types/Emerging Systems:</w:t>
      </w:r>
      <w:r w:rsidR="00094C6A" w:rsidRPr="003B764A">
        <w:rPr>
          <w:lang w:val="en-GB"/>
        </w:rPr>
        <w:t xml:space="preserve"> This category includes all setups not captured by previous groups. These are emerging or custom-designed systems integrating air-based PVT collectors with other technologies</w:t>
      </w:r>
      <w:r w:rsidR="00C0761D" w:rsidRPr="003B764A">
        <w:rPr>
          <w:lang w:val="en-GB"/>
        </w:rPr>
        <w:t>, f</w:t>
      </w:r>
      <w:r w:rsidR="00094C6A" w:rsidRPr="003B764A">
        <w:rPr>
          <w:lang w:val="en-GB"/>
        </w:rPr>
        <w:t>or instance, with air-to-water</w:t>
      </w:r>
      <w:r w:rsidR="00F37717" w:rsidRPr="003B764A">
        <w:rPr>
          <w:lang w:val="en-GB"/>
        </w:rPr>
        <w:t xml:space="preserve"> heat exchangers for DHW preheating</w:t>
      </w:r>
      <w:r w:rsidRPr="003B764A">
        <w:rPr>
          <w:lang w:val="en-GB"/>
        </w:rPr>
        <w:t xml:space="preserve"> </w:t>
      </w:r>
      <w:sdt>
        <w:sdtPr>
          <w:rPr>
            <w:lang w:val="en-GB"/>
          </w:rPr>
          <w:tag w:val="MENDELEY_CITATION_v3_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"/>
          <w:id w:val="-248515936"/>
          <w:placeholder>
            <w:docPart w:val="DefaultPlaceholder_-1854013440"/>
          </w:placeholder>
        </w:sdtPr>
        <w:sdtEndPr/>
        <w:sdtContent>
          <w:r w:rsidR="0086208F" w:rsidRPr="0086208F">
            <w:rPr>
              <w:lang w:val="en-GB"/>
            </w:rPr>
            <w:t>(Aspetakis et al., 2026)</w:t>
          </w:r>
        </w:sdtContent>
      </w:sdt>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9694C" w:rsidRPr="003B764A" w14:paraId="3E72E773" w14:textId="77777777" w:rsidTr="00DB3953">
        <w:trPr>
          <w:jc w:val="center"/>
        </w:trPr>
        <w:tc>
          <w:tcPr>
            <w:tcW w:w="4531" w:type="dxa"/>
            <w:vAlign w:val="center"/>
          </w:tcPr>
          <w:p w14:paraId="4270B76F" w14:textId="41EAB95B" w:rsidR="00F9694C" w:rsidRPr="003B764A" w:rsidRDefault="00F9694C" w:rsidP="00DB3953">
            <w:pPr>
              <w:pStyle w:val="SWCText"/>
              <w:spacing w:after="0" w:line="240" w:lineRule="auto"/>
              <w:jc w:val="center"/>
              <w:rPr>
                <w:lang w:val="en-GB"/>
              </w:rPr>
            </w:pPr>
            <w:r w:rsidRPr="003B764A">
              <w:rPr>
                <w:noProof/>
                <w:lang w:val="en-GB"/>
              </w:rPr>
              <w:drawing>
                <wp:inline distT="0" distB="0" distL="0" distR="0" wp14:anchorId="64D5B485" wp14:editId="778C2F5C">
                  <wp:extent cx="2523353" cy="1435735"/>
                  <wp:effectExtent l="0" t="0" r="0" b="0"/>
                  <wp:docPr id="1841808849" name="image13.png" title="Imagen">
                    <a:extLst xmlns:a="http://schemas.openxmlformats.org/drawingml/2006/main">
                      <a:ext uri="{FF2B5EF4-FFF2-40B4-BE49-F238E27FC236}">
                        <a16:creationId xmlns:a16="http://schemas.microsoft.com/office/drawing/2014/main" id="{00000000-0008-0000-01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3.png" title="Imagen">
                            <a:extLst>
                              <a:ext uri="{FF2B5EF4-FFF2-40B4-BE49-F238E27FC236}">
                                <a16:creationId xmlns:a16="http://schemas.microsoft.com/office/drawing/2014/main" id="{00000000-0008-0000-0100-000002000000}"/>
                              </a:ext>
                            </a:extLst>
                          </pic:cNvPr>
                          <pic:cNvPicPr preferRelativeResize="0"/>
                        </pic:nvPicPr>
                        <pic:blipFill>
                          <a:blip r:embed="rId24" cstate="print"/>
                          <a:stretch>
                            <a:fillRect/>
                          </a:stretch>
                        </pic:blipFill>
                        <pic:spPr>
                          <a:xfrm>
                            <a:off x="0" y="0"/>
                            <a:ext cx="2526646" cy="1437608"/>
                          </a:xfrm>
                          <a:prstGeom prst="rect">
                            <a:avLst/>
                          </a:prstGeom>
                          <a:noFill/>
                        </pic:spPr>
                      </pic:pic>
                    </a:graphicData>
                  </a:graphic>
                </wp:inline>
              </w:drawing>
            </w:r>
          </w:p>
        </w:tc>
        <w:tc>
          <w:tcPr>
            <w:tcW w:w="4531" w:type="dxa"/>
            <w:vAlign w:val="center"/>
          </w:tcPr>
          <w:p w14:paraId="7939EE2B" w14:textId="3005DF80" w:rsidR="00F9694C" w:rsidRPr="003B764A" w:rsidRDefault="00F9694C" w:rsidP="00DB3953">
            <w:pPr>
              <w:pStyle w:val="SWCText"/>
              <w:spacing w:after="0" w:line="240" w:lineRule="auto"/>
              <w:jc w:val="center"/>
              <w:rPr>
                <w:lang w:val="en-GB"/>
              </w:rPr>
            </w:pPr>
            <w:r w:rsidRPr="003B764A">
              <w:rPr>
                <w:noProof/>
                <w:lang w:val="en-GB"/>
              </w:rPr>
              <w:drawing>
                <wp:inline distT="0" distB="0" distL="0" distR="0" wp14:anchorId="6C5BFBAD" wp14:editId="5CC64602">
                  <wp:extent cx="2419350" cy="1472731"/>
                  <wp:effectExtent l="0" t="0" r="0" b="0"/>
                  <wp:docPr id="786176283" name="image14.png" title="Imagen">
                    <a:extLst xmlns:a="http://schemas.openxmlformats.org/drawingml/2006/main">
                      <a:ext uri="{FF2B5EF4-FFF2-40B4-BE49-F238E27FC236}">
                        <a16:creationId xmlns:a16="http://schemas.microsoft.com/office/drawing/2014/main" id="{00000000-0008-0000-0100-000003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4.png" title="Imagen">
                            <a:extLst>
                              <a:ext uri="{FF2B5EF4-FFF2-40B4-BE49-F238E27FC236}">
                                <a16:creationId xmlns:a16="http://schemas.microsoft.com/office/drawing/2014/main" id="{00000000-0008-0000-0100-000003000000}"/>
                              </a:ext>
                            </a:extLst>
                          </pic:cNvPr>
                          <pic:cNvPicPr/>
                        </pic:nvPicPr>
                        <pic:blipFill>
                          <a:blip r:embed="rId25" cstate="print"/>
                          <a:stretch>
                            <a:fillRect/>
                          </a:stretch>
                        </pic:blipFill>
                        <pic:spPr>
                          <a:xfrm>
                            <a:off x="0" y="0"/>
                            <a:ext cx="2422938" cy="1474915"/>
                          </a:xfrm>
                          <a:prstGeom prst="rect">
                            <a:avLst/>
                          </a:prstGeom>
                          <a:noFill/>
                        </pic:spPr>
                      </pic:pic>
                    </a:graphicData>
                  </a:graphic>
                </wp:inline>
              </w:drawing>
            </w:r>
          </w:p>
        </w:tc>
      </w:tr>
    </w:tbl>
    <w:p w14:paraId="009951EA" w14:textId="03152D65" w:rsidR="00565AA2" w:rsidRPr="003B764A" w:rsidRDefault="00565AA2" w:rsidP="00565AA2">
      <w:pPr>
        <w:pStyle w:val="SWCTableFigureCaption"/>
        <w:rPr>
          <w:lang w:val="en-GB"/>
        </w:rPr>
      </w:pPr>
      <w:bookmarkStart w:id="6" w:name="_Ref236218314"/>
      <w:r w:rsidRPr="003B764A">
        <w:rPr>
          <w:lang w:val="en-GB"/>
        </w:rPr>
        <w:t xml:space="preserve">Fig. </w:t>
      </w:r>
      <w:r w:rsidRPr="003B764A">
        <w:rPr>
          <w:lang w:val="en-GB"/>
        </w:rPr>
        <w:fldChar w:fldCharType="begin"/>
      </w:r>
      <w:r w:rsidRPr="003B764A">
        <w:rPr>
          <w:lang w:val="en-GB"/>
        </w:rPr>
        <w:instrText xml:space="preserve"> SEQ Fig. \* ARABIC </w:instrText>
      </w:r>
      <w:r w:rsidRPr="003B764A">
        <w:rPr>
          <w:lang w:val="en-GB"/>
        </w:rPr>
        <w:fldChar w:fldCharType="separate"/>
      </w:r>
      <w:r w:rsidR="00623810" w:rsidRPr="003B764A">
        <w:rPr>
          <w:noProof/>
          <w:lang w:val="en-GB"/>
        </w:rPr>
        <w:t>7</w:t>
      </w:r>
      <w:r w:rsidRPr="003B764A">
        <w:rPr>
          <w:lang w:val="en-GB"/>
        </w:rPr>
        <w:fldChar w:fldCharType="end"/>
      </w:r>
      <w:bookmarkEnd w:id="6"/>
      <w:r w:rsidRPr="003B764A">
        <w:rPr>
          <w:lang w:val="en-GB"/>
        </w:rPr>
        <w:t>: Main configuration</w:t>
      </w:r>
      <w:r w:rsidR="00277D95" w:rsidRPr="003B764A">
        <w:rPr>
          <w:lang w:val="en-GB"/>
        </w:rPr>
        <w:t>s</w:t>
      </w:r>
      <w:r w:rsidRPr="003B764A">
        <w:rPr>
          <w:lang w:val="en-GB"/>
        </w:rPr>
        <w:t xml:space="preserve"> for air-based PVT collectors: direct </w:t>
      </w:r>
      <w:r w:rsidR="0076477C" w:rsidRPr="003B764A">
        <w:rPr>
          <w:lang w:val="en-GB"/>
        </w:rPr>
        <w:t xml:space="preserve">use </w:t>
      </w:r>
      <w:r w:rsidRPr="003B764A">
        <w:rPr>
          <w:lang w:val="en-GB"/>
        </w:rPr>
        <w:t xml:space="preserve">through </w:t>
      </w:r>
      <w:r w:rsidR="00277D95" w:rsidRPr="003B764A">
        <w:rPr>
          <w:lang w:val="en-GB"/>
        </w:rPr>
        <w:t>HRV</w:t>
      </w:r>
      <w:r w:rsidR="006811DC" w:rsidRPr="003B764A">
        <w:rPr>
          <w:lang w:val="en-GB"/>
        </w:rPr>
        <w:t>, B1.2</w:t>
      </w:r>
      <w:r w:rsidRPr="003B764A">
        <w:rPr>
          <w:lang w:val="en-GB"/>
        </w:rPr>
        <w:t xml:space="preserve"> (</w:t>
      </w:r>
      <w:r w:rsidR="00A1420B" w:rsidRPr="003B764A">
        <w:rPr>
          <w:lang w:val="en-GB"/>
        </w:rPr>
        <w:t>left</w:t>
      </w:r>
      <w:r w:rsidRPr="003B764A">
        <w:rPr>
          <w:lang w:val="en-GB"/>
        </w:rPr>
        <w:t xml:space="preserve">) and </w:t>
      </w:r>
      <w:r w:rsidR="00614071" w:rsidRPr="003B764A">
        <w:rPr>
          <w:lang w:val="en-GB"/>
        </w:rPr>
        <w:t>indirect</w:t>
      </w:r>
      <w:r w:rsidRPr="003B764A">
        <w:rPr>
          <w:lang w:val="en-GB"/>
        </w:rPr>
        <w:t xml:space="preserve"> </w:t>
      </w:r>
      <w:r w:rsidR="0076477C" w:rsidRPr="003B764A">
        <w:rPr>
          <w:lang w:val="en-GB"/>
        </w:rPr>
        <w:t xml:space="preserve">use via </w:t>
      </w:r>
      <w:r w:rsidRPr="003B764A">
        <w:rPr>
          <w:lang w:val="en-GB"/>
        </w:rPr>
        <w:t>HP</w:t>
      </w:r>
      <w:r w:rsidR="006811DC" w:rsidRPr="003B764A">
        <w:rPr>
          <w:lang w:val="en-GB"/>
        </w:rPr>
        <w:t>, B2</w:t>
      </w:r>
      <w:r w:rsidRPr="003B764A">
        <w:rPr>
          <w:lang w:val="en-GB"/>
        </w:rPr>
        <w:t xml:space="preserve"> (</w:t>
      </w:r>
      <w:r w:rsidR="00A1420B" w:rsidRPr="003B764A">
        <w:rPr>
          <w:lang w:val="en-GB"/>
        </w:rPr>
        <w:t>right</w:t>
      </w:r>
      <w:r w:rsidRPr="003B764A">
        <w:rPr>
          <w:lang w:val="en-GB"/>
        </w:rPr>
        <w:t>)</w:t>
      </w:r>
    </w:p>
    <w:p w14:paraId="1AAA6E3F" w14:textId="4B9F8709" w:rsidR="002D4A18" w:rsidRPr="003B764A" w:rsidRDefault="00623810" w:rsidP="00623810">
      <w:pPr>
        <w:pStyle w:val="SWCHeading11"/>
      </w:pPr>
      <w:r w:rsidRPr="003B764A">
        <w:t xml:space="preserve">2.3. </w:t>
      </w:r>
      <w:r w:rsidR="002D4A18" w:rsidRPr="003B764A">
        <w:t>Map distribution</w:t>
      </w:r>
    </w:p>
    <w:p w14:paraId="758DAB33" w14:textId="1B0AA09E" w:rsidR="00294109" w:rsidRPr="003B764A" w:rsidRDefault="00A115A5" w:rsidP="00204738">
      <w:pPr>
        <w:pStyle w:val="SWCText"/>
        <w:rPr>
          <w:lang w:val="en-GB"/>
        </w:rPr>
      </w:pPr>
      <w:r w:rsidRPr="003B764A">
        <w:rPr>
          <w:lang w:val="en-GB"/>
        </w:rPr>
        <w:t>Given the wide range of PVT systems and applications, a comprehensive location-based classification is not practical. However, common deployment patterns can be identified based on climatic conditions. Using the KG-PV climate classification and the primary system application, the most prevalent PVT configurations can be grouped into the following categories</w:t>
      </w:r>
      <w:r w:rsidR="00204E42" w:rsidRPr="003B764A">
        <w:rPr>
          <w:lang w:val="en-GB"/>
        </w:rPr>
        <w:t xml:space="preserve"> (see </w:t>
      </w:r>
      <w:r w:rsidR="00204E42" w:rsidRPr="003B764A">
        <w:rPr>
          <w:lang w:val="en-GB"/>
        </w:rPr>
        <w:fldChar w:fldCharType="begin"/>
      </w:r>
      <w:r w:rsidR="00204E42" w:rsidRPr="003B764A">
        <w:rPr>
          <w:lang w:val="en-GB"/>
        </w:rPr>
        <w:instrText xml:space="preserve"> REF _Ref237253765 \h </w:instrText>
      </w:r>
      <w:r w:rsidR="00204E42" w:rsidRPr="003B764A">
        <w:rPr>
          <w:lang w:val="en-GB"/>
        </w:rPr>
      </w:r>
      <w:r w:rsidR="00204E42" w:rsidRPr="003B764A">
        <w:rPr>
          <w:lang w:val="en-GB"/>
        </w:rPr>
        <w:fldChar w:fldCharType="separate"/>
      </w:r>
      <w:r w:rsidR="00623810" w:rsidRPr="003B764A">
        <w:rPr>
          <w:lang w:val="en-GB"/>
        </w:rPr>
        <w:t xml:space="preserve">Tab. </w:t>
      </w:r>
      <w:r w:rsidR="00623810" w:rsidRPr="003B764A">
        <w:rPr>
          <w:noProof/>
          <w:lang w:val="en-GB"/>
        </w:rPr>
        <w:t>1</w:t>
      </w:r>
      <w:r w:rsidR="00204E42" w:rsidRPr="003B764A">
        <w:rPr>
          <w:lang w:val="en-GB"/>
        </w:rPr>
        <w:fldChar w:fldCharType="end"/>
      </w:r>
      <w:r w:rsidR="009753D6" w:rsidRPr="003B764A">
        <w:rPr>
          <w:lang w:val="en-GB"/>
        </w:rPr>
        <w:t xml:space="preserve"> and </w:t>
      </w:r>
      <w:r w:rsidR="009753D6" w:rsidRPr="003B764A">
        <w:rPr>
          <w:lang w:val="en-GB"/>
        </w:rPr>
        <w:fldChar w:fldCharType="begin"/>
      </w:r>
      <w:r w:rsidR="009753D6" w:rsidRPr="003B764A">
        <w:rPr>
          <w:lang w:val="en-GB"/>
        </w:rPr>
        <w:instrText xml:space="preserve"> REF _Ref237253810 \h </w:instrText>
      </w:r>
      <w:r w:rsidR="009753D6" w:rsidRPr="003B764A">
        <w:rPr>
          <w:lang w:val="en-GB"/>
        </w:rPr>
      </w:r>
      <w:r w:rsidR="009753D6" w:rsidRPr="003B764A">
        <w:rPr>
          <w:lang w:val="en-GB"/>
        </w:rPr>
        <w:fldChar w:fldCharType="separate"/>
      </w:r>
      <w:r w:rsidR="00623810" w:rsidRPr="003B764A">
        <w:rPr>
          <w:lang w:val="en-GB"/>
        </w:rPr>
        <w:t xml:space="preserve">Fig. </w:t>
      </w:r>
      <w:r w:rsidR="00623810" w:rsidRPr="003B764A">
        <w:rPr>
          <w:noProof/>
          <w:lang w:val="en-GB"/>
        </w:rPr>
        <w:t>8</w:t>
      </w:r>
      <w:r w:rsidR="009753D6" w:rsidRPr="003B764A">
        <w:rPr>
          <w:lang w:val="en-GB"/>
        </w:rPr>
        <w:fldChar w:fldCharType="end"/>
      </w:r>
      <w:r w:rsidR="00204E42" w:rsidRPr="003B764A">
        <w:rPr>
          <w:lang w:val="en-GB"/>
        </w:rPr>
        <w:t>)</w:t>
      </w:r>
      <w:r w:rsidR="00294109" w:rsidRPr="003B764A">
        <w:rPr>
          <w:lang w:val="en-GB"/>
        </w:rPr>
        <w:t>:</w:t>
      </w:r>
    </w:p>
    <w:p w14:paraId="562DFBA6" w14:textId="41579D45" w:rsidR="00F21600" w:rsidRPr="003B764A" w:rsidRDefault="00F21600" w:rsidP="00F21600">
      <w:pPr>
        <w:pStyle w:val="SWCTableFigureCaption"/>
        <w:rPr>
          <w:lang w:val="en-GB"/>
        </w:rPr>
      </w:pPr>
      <w:bookmarkStart w:id="7" w:name="_Ref237253765"/>
      <w:bookmarkStart w:id="8" w:name="_Ref237253747"/>
      <w:r w:rsidRPr="003B764A">
        <w:rPr>
          <w:lang w:val="en-GB"/>
        </w:rPr>
        <w:t xml:space="preserve">Tab. </w:t>
      </w:r>
      <w:r w:rsidRPr="003B764A">
        <w:rPr>
          <w:lang w:val="en-GB"/>
        </w:rPr>
        <w:fldChar w:fldCharType="begin"/>
      </w:r>
      <w:r w:rsidRPr="003B764A">
        <w:rPr>
          <w:lang w:val="en-GB"/>
        </w:rPr>
        <w:instrText xml:space="preserve"> SEQ Tab. \* ARABIC </w:instrText>
      </w:r>
      <w:r w:rsidRPr="003B764A">
        <w:rPr>
          <w:lang w:val="en-GB"/>
        </w:rPr>
        <w:fldChar w:fldCharType="separate"/>
      </w:r>
      <w:r w:rsidR="00623810" w:rsidRPr="003B764A">
        <w:rPr>
          <w:noProof/>
          <w:lang w:val="en-GB"/>
        </w:rPr>
        <w:t>1</w:t>
      </w:r>
      <w:r w:rsidRPr="003B764A">
        <w:rPr>
          <w:lang w:val="en-GB"/>
        </w:rPr>
        <w:fldChar w:fldCharType="end"/>
      </w:r>
      <w:bookmarkEnd w:id="7"/>
      <w:r w:rsidRPr="003B764A">
        <w:rPr>
          <w:lang w:val="en-GB"/>
        </w:rPr>
        <w:t>: Summary of map distribution by system type</w:t>
      </w:r>
      <w:bookmarkEnd w:id="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22"/>
        <w:gridCol w:w="3260"/>
        <w:gridCol w:w="3484"/>
      </w:tblGrid>
      <w:tr w:rsidR="00F21600" w:rsidRPr="003B764A" w14:paraId="4E5B221E" w14:textId="77777777" w:rsidTr="00AC0DFD">
        <w:trPr>
          <w:jc w:val="center"/>
        </w:trPr>
        <w:tc>
          <w:tcPr>
            <w:tcW w:w="2122" w:type="dxa"/>
            <w:hideMark/>
          </w:tcPr>
          <w:p w14:paraId="3D1BF535" w14:textId="77777777" w:rsidR="00F21600" w:rsidRPr="003B764A" w:rsidRDefault="00F21600" w:rsidP="00AC0DFD">
            <w:pPr>
              <w:pStyle w:val="SWCTableHeader"/>
              <w:spacing w:after="0"/>
              <w:rPr>
                <w:sz w:val="18"/>
                <w:szCs w:val="18"/>
              </w:rPr>
            </w:pPr>
            <w:r w:rsidRPr="003B764A">
              <w:rPr>
                <w:sz w:val="18"/>
                <w:szCs w:val="18"/>
              </w:rPr>
              <w:t>PVT System Type</w:t>
            </w:r>
          </w:p>
        </w:tc>
        <w:tc>
          <w:tcPr>
            <w:tcW w:w="3260" w:type="dxa"/>
            <w:hideMark/>
          </w:tcPr>
          <w:p w14:paraId="749ACD4A" w14:textId="77777777" w:rsidR="00F21600" w:rsidRPr="003B764A" w:rsidRDefault="00F21600" w:rsidP="00AC0DFD">
            <w:pPr>
              <w:pStyle w:val="SWCTableHeader"/>
              <w:spacing w:after="0"/>
              <w:rPr>
                <w:sz w:val="18"/>
                <w:szCs w:val="18"/>
              </w:rPr>
            </w:pPr>
            <w:r w:rsidRPr="003B764A">
              <w:rPr>
                <w:sz w:val="18"/>
                <w:szCs w:val="18"/>
              </w:rPr>
              <w:t>Most Common Climates / Locations</w:t>
            </w:r>
          </w:p>
        </w:tc>
        <w:tc>
          <w:tcPr>
            <w:tcW w:w="3484" w:type="dxa"/>
            <w:hideMark/>
          </w:tcPr>
          <w:p w14:paraId="71C28452" w14:textId="77777777" w:rsidR="00F21600" w:rsidRPr="003B764A" w:rsidRDefault="00F21600" w:rsidP="00AC0DFD">
            <w:pPr>
              <w:pStyle w:val="SWCTableHeader"/>
              <w:spacing w:after="0"/>
              <w:rPr>
                <w:sz w:val="18"/>
                <w:szCs w:val="18"/>
              </w:rPr>
            </w:pPr>
            <w:r w:rsidRPr="003B764A">
              <w:rPr>
                <w:sz w:val="18"/>
                <w:szCs w:val="18"/>
              </w:rPr>
              <w:t>Primary Use</w:t>
            </w:r>
          </w:p>
        </w:tc>
      </w:tr>
      <w:tr w:rsidR="00F21600" w:rsidRPr="003B764A" w14:paraId="3F167800" w14:textId="77777777" w:rsidTr="00AC0DFD">
        <w:trPr>
          <w:jc w:val="center"/>
        </w:trPr>
        <w:tc>
          <w:tcPr>
            <w:tcW w:w="2122" w:type="dxa"/>
            <w:vAlign w:val="center"/>
            <w:hideMark/>
          </w:tcPr>
          <w:p w14:paraId="1938BB22" w14:textId="77777777" w:rsidR="00F21600" w:rsidRPr="003B764A" w:rsidRDefault="00F21600" w:rsidP="00AC0DFD">
            <w:pPr>
              <w:pStyle w:val="SWCTableText"/>
              <w:spacing w:after="0"/>
              <w:rPr>
                <w:sz w:val="18"/>
                <w:szCs w:val="18"/>
              </w:rPr>
            </w:pPr>
            <w:r w:rsidRPr="003B764A">
              <w:rPr>
                <w:sz w:val="18"/>
                <w:szCs w:val="18"/>
              </w:rPr>
              <w:t>Air-based PVT: B1, B2</w:t>
            </w:r>
          </w:p>
        </w:tc>
        <w:tc>
          <w:tcPr>
            <w:tcW w:w="3260" w:type="dxa"/>
            <w:hideMark/>
          </w:tcPr>
          <w:p w14:paraId="306FBFD9" w14:textId="77777777" w:rsidR="00F21600" w:rsidRPr="003B764A" w:rsidRDefault="00F21600" w:rsidP="00AC0DFD">
            <w:pPr>
              <w:pStyle w:val="SWCTableText"/>
              <w:spacing w:after="0"/>
              <w:rPr>
                <w:sz w:val="18"/>
                <w:szCs w:val="18"/>
              </w:rPr>
            </w:pPr>
            <w:r w:rsidRPr="003B764A">
              <w:rPr>
                <w:sz w:val="18"/>
                <w:szCs w:val="18"/>
              </w:rPr>
              <w:t>Cold Climates: DL/EL</w:t>
            </w:r>
            <w:r w:rsidRPr="003B764A">
              <w:rPr>
                <w:sz w:val="18"/>
                <w:szCs w:val="18"/>
              </w:rPr>
              <w:br/>
            </w:r>
          </w:p>
        </w:tc>
        <w:tc>
          <w:tcPr>
            <w:tcW w:w="3484" w:type="dxa"/>
            <w:vAlign w:val="center"/>
            <w:hideMark/>
          </w:tcPr>
          <w:p w14:paraId="4A1FC006" w14:textId="77777777" w:rsidR="00F21600" w:rsidRPr="003B764A" w:rsidRDefault="00F21600" w:rsidP="00AC0DFD">
            <w:pPr>
              <w:pStyle w:val="SWCTableText"/>
              <w:spacing w:after="0"/>
              <w:rPr>
                <w:sz w:val="18"/>
                <w:szCs w:val="18"/>
              </w:rPr>
            </w:pPr>
            <w:r w:rsidRPr="003B764A">
              <w:rPr>
                <w:sz w:val="18"/>
                <w:szCs w:val="18"/>
              </w:rPr>
              <w:t>Space heating &amp; ventilation preheating</w:t>
            </w:r>
          </w:p>
        </w:tc>
      </w:tr>
      <w:tr w:rsidR="00F21600" w:rsidRPr="003B764A" w14:paraId="651AD14C" w14:textId="77777777" w:rsidTr="00AC0DFD">
        <w:trPr>
          <w:jc w:val="center"/>
        </w:trPr>
        <w:tc>
          <w:tcPr>
            <w:tcW w:w="2122" w:type="dxa"/>
            <w:vAlign w:val="center"/>
          </w:tcPr>
          <w:p w14:paraId="5C067F53" w14:textId="29C298BF" w:rsidR="00F21600" w:rsidRPr="003B764A" w:rsidRDefault="003B764A" w:rsidP="00AC0DFD">
            <w:pPr>
              <w:pStyle w:val="SWCTableText"/>
              <w:spacing w:after="0"/>
              <w:rPr>
                <w:sz w:val="18"/>
                <w:szCs w:val="18"/>
              </w:rPr>
            </w:pPr>
            <w:r>
              <w:rPr>
                <w:sz w:val="18"/>
                <w:szCs w:val="18"/>
              </w:rPr>
              <w:t>Liquid-</w:t>
            </w:r>
            <w:r w:rsidR="00F21600" w:rsidRPr="003B764A">
              <w:rPr>
                <w:sz w:val="18"/>
                <w:szCs w:val="18"/>
              </w:rPr>
              <w:t>based PVT: A3</w:t>
            </w:r>
          </w:p>
        </w:tc>
        <w:tc>
          <w:tcPr>
            <w:tcW w:w="3260" w:type="dxa"/>
          </w:tcPr>
          <w:p w14:paraId="004F7F81" w14:textId="77777777" w:rsidR="00F21600" w:rsidRPr="003B764A" w:rsidRDefault="00F21600" w:rsidP="00AC0DFD">
            <w:pPr>
              <w:pStyle w:val="SWCTableText"/>
              <w:spacing w:after="0"/>
              <w:rPr>
                <w:sz w:val="18"/>
                <w:szCs w:val="18"/>
              </w:rPr>
            </w:pPr>
            <w:r w:rsidRPr="003B764A">
              <w:rPr>
                <w:sz w:val="18"/>
                <w:szCs w:val="18"/>
              </w:rPr>
              <w:t>Cold Climates: DL/EL</w:t>
            </w:r>
          </w:p>
        </w:tc>
        <w:tc>
          <w:tcPr>
            <w:tcW w:w="3484" w:type="dxa"/>
            <w:vAlign w:val="center"/>
          </w:tcPr>
          <w:p w14:paraId="04DB1E01" w14:textId="77777777" w:rsidR="00F21600" w:rsidRPr="003B764A" w:rsidRDefault="00F21600" w:rsidP="00AC0DFD">
            <w:pPr>
              <w:pStyle w:val="SWCTableText"/>
              <w:spacing w:after="0"/>
              <w:rPr>
                <w:sz w:val="18"/>
                <w:szCs w:val="18"/>
              </w:rPr>
            </w:pPr>
            <w:r w:rsidRPr="003B764A">
              <w:rPr>
                <w:sz w:val="18"/>
                <w:szCs w:val="18"/>
              </w:rPr>
              <w:t>Space heating</w:t>
            </w:r>
          </w:p>
        </w:tc>
      </w:tr>
      <w:tr w:rsidR="00F21600" w:rsidRPr="003B764A" w14:paraId="75FB196B" w14:textId="77777777" w:rsidTr="00AC0DFD">
        <w:trPr>
          <w:trHeight w:val="41"/>
          <w:jc w:val="center"/>
        </w:trPr>
        <w:tc>
          <w:tcPr>
            <w:tcW w:w="2122" w:type="dxa"/>
            <w:vAlign w:val="center"/>
          </w:tcPr>
          <w:p w14:paraId="50DC3D04" w14:textId="7AB6AB6A" w:rsidR="00F21600" w:rsidRPr="003B764A" w:rsidRDefault="003B764A" w:rsidP="00AC0DFD">
            <w:pPr>
              <w:pStyle w:val="SWCTableText"/>
              <w:spacing w:after="0"/>
              <w:rPr>
                <w:sz w:val="18"/>
                <w:szCs w:val="18"/>
              </w:rPr>
            </w:pPr>
            <w:r>
              <w:rPr>
                <w:sz w:val="18"/>
                <w:szCs w:val="18"/>
              </w:rPr>
              <w:t>Liquid-</w:t>
            </w:r>
            <w:r w:rsidR="00F21600" w:rsidRPr="003B764A">
              <w:rPr>
                <w:sz w:val="18"/>
                <w:szCs w:val="18"/>
              </w:rPr>
              <w:t>based PVT: A2</w:t>
            </w:r>
          </w:p>
        </w:tc>
        <w:tc>
          <w:tcPr>
            <w:tcW w:w="3260" w:type="dxa"/>
          </w:tcPr>
          <w:p w14:paraId="2C1DA56F" w14:textId="77777777" w:rsidR="00F21600" w:rsidRPr="003B764A" w:rsidRDefault="00F21600" w:rsidP="00AC0DFD">
            <w:pPr>
              <w:pStyle w:val="SWCTableText"/>
              <w:spacing w:after="0"/>
              <w:rPr>
                <w:sz w:val="18"/>
                <w:szCs w:val="18"/>
              </w:rPr>
            </w:pPr>
            <w:r w:rsidRPr="003B764A">
              <w:rPr>
                <w:sz w:val="18"/>
                <w:szCs w:val="18"/>
              </w:rPr>
              <w:t>Temperate DM/DL</w:t>
            </w:r>
          </w:p>
        </w:tc>
        <w:tc>
          <w:tcPr>
            <w:tcW w:w="3484" w:type="dxa"/>
            <w:vAlign w:val="center"/>
          </w:tcPr>
          <w:p w14:paraId="08606B25" w14:textId="77777777" w:rsidR="00F21600" w:rsidRPr="003B764A" w:rsidRDefault="00F21600" w:rsidP="00AC0DFD">
            <w:pPr>
              <w:pStyle w:val="SWCTableText"/>
              <w:spacing w:after="0"/>
              <w:rPr>
                <w:sz w:val="18"/>
                <w:szCs w:val="18"/>
              </w:rPr>
            </w:pPr>
            <w:r w:rsidRPr="003B764A">
              <w:rPr>
                <w:sz w:val="18"/>
                <w:szCs w:val="18"/>
              </w:rPr>
              <w:t>DHW &amp; space heating</w:t>
            </w:r>
          </w:p>
        </w:tc>
      </w:tr>
      <w:tr w:rsidR="00F21600" w:rsidRPr="003B764A" w14:paraId="051BA259" w14:textId="77777777" w:rsidTr="00AC0DFD">
        <w:trPr>
          <w:jc w:val="center"/>
        </w:trPr>
        <w:tc>
          <w:tcPr>
            <w:tcW w:w="2122" w:type="dxa"/>
            <w:vAlign w:val="center"/>
            <w:hideMark/>
          </w:tcPr>
          <w:p w14:paraId="3D0B19CE" w14:textId="08BAF66B" w:rsidR="00F21600" w:rsidRPr="003B764A" w:rsidRDefault="003B764A" w:rsidP="00AC0DFD">
            <w:pPr>
              <w:pStyle w:val="SWCTableText"/>
              <w:spacing w:after="0"/>
              <w:rPr>
                <w:sz w:val="18"/>
                <w:szCs w:val="18"/>
              </w:rPr>
            </w:pPr>
            <w:r>
              <w:rPr>
                <w:sz w:val="18"/>
                <w:szCs w:val="18"/>
              </w:rPr>
              <w:t>Liquid-</w:t>
            </w:r>
            <w:r w:rsidR="00F21600" w:rsidRPr="003B764A">
              <w:rPr>
                <w:sz w:val="18"/>
                <w:szCs w:val="18"/>
              </w:rPr>
              <w:t>based PVT: A1</w:t>
            </w:r>
          </w:p>
        </w:tc>
        <w:tc>
          <w:tcPr>
            <w:tcW w:w="3260" w:type="dxa"/>
            <w:hideMark/>
          </w:tcPr>
          <w:p w14:paraId="6DE9B818" w14:textId="77777777" w:rsidR="00F21600" w:rsidRPr="003B764A" w:rsidRDefault="00F21600" w:rsidP="00AC0DFD">
            <w:pPr>
              <w:pStyle w:val="SWCTableText"/>
              <w:spacing w:after="0"/>
              <w:rPr>
                <w:sz w:val="18"/>
                <w:szCs w:val="18"/>
              </w:rPr>
            </w:pPr>
            <w:r w:rsidRPr="003B764A">
              <w:rPr>
                <w:sz w:val="18"/>
                <w:szCs w:val="18"/>
              </w:rPr>
              <w:t xml:space="preserve">Steppe/Temperate: CH/DH </w:t>
            </w:r>
            <w:r w:rsidRPr="003B764A">
              <w:rPr>
                <w:sz w:val="18"/>
                <w:szCs w:val="18"/>
              </w:rPr>
              <w:br/>
            </w:r>
          </w:p>
        </w:tc>
        <w:tc>
          <w:tcPr>
            <w:tcW w:w="3484" w:type="dxa"/>
            <w:vAlign w:val="center"/>
            <w:hideMark/>
          </w:tcPr>
          <w:p w14:paraId="3A485CC4" w14:textId="77777777" w:rsidR="00F21600" w:rsidRPr="003B764A" w:rsidRDefault="00F21600" w:rsidP="00AC0DFD">
            <w:pPr>
              <w:pStyle w:val="SWCTableText"/>
              <w:spacing w:after="0"/>
              <w:rPr>
                <w:sz w:val="18"/>
                <w:szCs w:val="18"/>
              </w:rPr>
            </w:pPr>
            <w:r w:rsidRPr="003B764A">
              <w:rPr>
                <w:sz w:val="18"/>
                <w:szCs w:val="18"/>
              </w:rPr>
              <w:t xml:space="preserve">DHW </w:t>
            </w:r>
          </w:p>
        </w:tc>
      </w:tr>
    </w:tbl>
    <w:p w14:paraId="102FED54" w14:textId="09FAB185" w:rsidR="00F21600" w:rsidRPr="003B764A" w:rsidRDefault="00F21600" w:rsidP="00F21600">
      <w:pPr>
        <w:pStyle w:val="SWCText"/>
        <w:spacing w:after="0"/>
        <w:rPr>
          <w:i/>
          <w:iCs/>
          <w:sz w:val="16"/>
          <w:szCs w:val="18"/>
          <w:lang w:val="en-GB"/>
        </w:rPr>
      </w:pPr>
      <w:r w:rsidRPr="003B764A">
        <w:rPr>
          <w:i/>
          <w:iCs/>
          <w:sz w:val="16"/>
          <w:szCs w:val="18"/>
          <w:lang w:val="en-GB"/>
        </w:rPr>
        <w:t xml:space="preserve">*C (Steppe), D (Temperate) and E (Cold) climates represent most of </w:t>
      </w:r>
      <w:r w:rsidR="008704EE" w:rsidRPr="003B764A">
        <w:rPr>
          <w:i/>
          <w:iCs/>
          <w:sz w:val="16"/>
          <w:szCs w:val="18"/>
          <w:lang w:val="en-GB"/>
        </w:rPr>
        <w:t xml:space="preserve">the </w:t>
      </w:r>
      <w:r w:rsidRPr="003B764A">
        <w:rPr>
          <w:i/>
          <w:iCs/>
          <w:sz w:val="16"/>
          <w:szCs w:val="18"/>
          <w:lang w:val="en-GB"/>
        </w:rPr>
        <w:t>case studies within the IEA SHC Task 60 and Task 73 communities.</w:t>
      </w:r>
    </w:p>
    <w:p w14:paraId="4C1EA5FB" w14:textId="51F0B417" w:rsidR="006F3A1A" w:rsidRPr="003B764A" w:rsidRDefault="00294109" w:rsidP="00F21600">
      <w:pPr>
        <w:pStyle w:val="SWCText"/>
        <w:spacing w:before="60" w:after="60"/>
        <w:rPr>
          <w:lang w:val="en-GB"/>
        </w:rPr>
      </w:pPr>
      <w:r w:rsidRPr="003B764A">
        <w:rPr>
          <w:b/>
          <w:bCs/>
          <w:lang w:val="en-GB"/>
        </w:rPr>
        <w:t>1. Cold and High-Latitude Climates (</w:t>
      </w:r>
      <w:r w:rsidR="006811DC" w:rsidRPr="003B764A">
        <w:rPr>
          <w:b/>
          <w:bCs/>
          <w:lang w:val="en-GB"/>
        </w:rPr>
        <w:t>KG-PV</w:t>
      </w:r>
      <w:r w:rsidR="006811DC" w:rsidRPr="003B764A" w:rsidDel="006811DC">
        <w:rPr>
          <w:b/>
          <w:bCs/>
          <w:lang w:val="en-GB"/>
        </w:rPr>
        <w:t xml:space="preserve"> </w:t>
      </w:r>
      <w:r w:rsidRPr="003B764A">
        <w:rPr>
          <w:b/>
          <w:bCs/>
          <w:lang w:val="en-GB"/>
        </w:rPr>
        <w:t>Group</w:t>
      </w:r>
      <w:r w:rsidR="00D318F8" w:rsidRPr="003B764A">
        <w:rPr>
          <w:b/>
          <w:bCs/>
          <w:lang w:val="en-GB"/>
        </w:rPr>
        <w:t>s</w:t>
      </w:r>
      <w:r w:rsidRPr="003B764A">
        <w:rPr>
          <w:b/>
          <w:bCs/>
          <w:lang w:val="en-GB"/>
        </w:rPr>
        <w:t xml:space="preserve"> </w:t>
      </w:r>
      <w:r w:rsidR="006811DC" w:rsidRPr="003B764A">
        <w:rPr>
          <w:b/>
          <w:bCs/>
          <w:lang w:val="en-GB"/>
        </w:rPr>
        <w:t>E</w:t>
      </w:r>
      <w:r w:rsidRPr="003B764A">
        <w:rPr>
          <w:b/>
          <w:bCs/>
          <w:lang w:val="en-GB"/>
        </w:rPr>
        <w:t xml:space="preserve"> and </w:t>
      </w:r>
      <w:r w:rsidR="006811DC" w:rsidRPr="003B764A">
        <w:rPr>
          <w:b/>
          <w:bCs/>
          <w:lang w:val="en-GB"/>
        </w:rPr>
        <w:t>F</w:t>
      </w:r>
      <w:r w:rsidR="00D318F8" w:rsidRPr="003B764A">
        <w:rPr>
          <w:b/>
          <w:bCs/>
          <w:lang w:val="en-GB"/>
        </w:rPr>
        <w:t xml:space="preserve"> border</w:t>
      </w:r>
      <w:r w:rsidRPr="003B764A">
        <w:rPr>
          <w:b/>
          <w:bCs/>
          <w:lang w:val="en-GB"/>
        </w:rPr>
        <w:t>)</w:t>
      </w:r>
      <w:r w:rsidR="006F3A1A" w:rsidRPr="003B764A">
        <w:rPr>
          <w:b/>
          <w:bCs/>
          <w:lang w:val="en-GB"/>
        </w:rPr>
        <w:t xml:space="preserve">: </w:t>
      </w:r>
      <w:r w:rsidR="00987F50" w:rsidRPr="003B764A">
        <w:rPr>
          <w:lang w:val="en-GB"/>
        </w:rPr>
        <w:t xml:space="preserve">In regions such as Denmark, Sweden, </w:t>
      </w:r>
      <w:r w:rsidR="00744BF6" w:rsidRPr="003B764A">
        <w:rPr>
          <w:lang w:val="en-GB"/>
        </w:rPr>
        <w:t xml:space="preserve">the </w:t>
      </w:r>
      <w:r w:rsidR="003F6FCC" w:rsidRPr="003B764A">
        <w:rPr>
          <w:lang w:val="en-GB"/>
        </w:rPr>
        <w:t>Netherlands</w:t>
      </w:r>
      <w:r w:rsidR="008C120A" w:rsidRPr="003B764A">
        <w:rPr>
          <w:lang w:val="en-GB"/>
        </w:rPr>
        <w:t xml:space="preserve">, </w:t>
      </w:r>
      <w:r w:rsidR="00987F50" w:rsidRPr="003B764A">
        <w:rPr>
          <w:lang w:val="en-GB"/>
        </w:rPr>
        <w:t>Canada,</w:t>
      </w:r>
      <w:r w:rsidR="000C65D7" w:rsidRPr="003B764A">
        <w:rPr>
          <w:lang w:val="en-GB"/>
        </w:rPr>
        <w:t xml:space="preserve"> and </w:t>
      </w:r>
      <w:r w:rsidR="00554450" w:rsidRPr="003B764A">
        <w:rPr>
          <w:lang w:val="en-GB"/>
        </w:rPr>
        <w:t xml:space="preserve">northern Germany, </w:t>
      </w:r>
      <w:r w:rsidR="00A02DB8" w:rsidRPr="003B764A">
        <w:rPr>
          <w:lang w:val="en-GB"/>
        </w:rPr>
        <w:t xml:space="preserve">PVT systems are primarily used to maintain PV electrical efficiency under low ambient temperatures while supplying heat for space-heating applications. </w:t>
      </w:r>
      <w:r w:rsidR="006F3A1A" w:rsidRPr="003B764A">
        <w:rPr>
          <w:lang w:val="en-GB"/>
        </w:rPr>
        <w:t xml:space="preserve">Air-based PVT systems are the most common and suitable for these regions because low ambient air temperatures during the day </w:t>
      </w:r>
      <w:r w:rsidR="006F3A1A" w:rsidRPr="003B764A">
        <w:rPr>
          <w:lang w:val="en-GB"/>
        </w:rPr>
        <w:lastRenderedPageBreak/>
        <w:t xml:space="preserve">help maintain the PV electrical efficiency, while the extracted heat is highly valuable for ventilation preheating and space heating. Common </w:t>
      </w:r>
      <w:r w:rsidR="00D84831" w:rsidRPr="003B764A">
        <w:rPr>
          <w:lang w:val="en-GB"/>
        </w:rPr>
        <w:t>c</w:t>
      </w:r>
      <w:r w:rsidR="006F3A1A" w:rsidRPr="003B764A">
        <w:rPr>
          <w:lang w:val="en-GB"/>
        </w:rPr>
        <w:t>onfigurations include</w:t>
      </w:r>
      <w:r w:rsidR="006F3A1A" w:rsidRPr="003B764A">
        <w:rPr>
          <w:b/>
          <w:bCs/>
          <w:lang w:val="en-GB"/>
        </w:rPr>
        <w:t>:</w:t>
      </w:r>
      <w:r w:rsidR="006F3A1A" w:rsidRPr="003B764A">
        <w:rPr>
          <w:lang w:val="en-GB"/>
        </w:rPr>
        <w:t xml:space="preserve"> </w:t>
      </w:r>
    </w:p>
    <w:p w14:paraId="5B09A7F3" w14:textId="4C874B20" w:rsidR="00987F50" w:rsidRPr="003B764A" w:rsidRDefault="00987F50" w:rsidP="00F21600">
      <w:pPr>
        <w:pStyle w:val="Bullet"/>
        <w:spacing w:before="60" w:after="60"/>
      </w:pPr>
      <w:r w:rsidRPr="003B764A">
        <w:t>Air-</w:t>
      </w:r>
      <w:r w:rsidR="00CE1C5E" w:rsidRPr="003B764A">
        <w:t xml:space="preserve">based </w:t>
      </w:r>
      <w:r w:rsidRPr="003B764A">
        <w:t xml:space="preserve">PVT </w:t>
      </w:r>
      <w:r w:rsidR="00D84831" w:rsidRPr="003B764A">
        <w:t xml:space="preserve">collectors </w:t>
      </w:r>
      <w:r w:rsidRPr="003B764A">
        <w:t xml:space="preserve">with </w:t>
      </w:r>
      <w:r w:rsidR="00547CE8" w:rsidRPr="003B764A">
        <w:t>auxiliary</w:t>
      </w:r>
      <w:r w:rsidR="00614071" w:rsidRPr="003B764A">
        <w:t xml:space="preserve"> unit (B1.2)</w:t>
      </w:r>
      <w:r w:rsidRPr="003B764A">
        <w:t xml:space="preserve">: </w:t>
      </w:r>
      <w:r w:rsidR="002B4100" w:rsidRPr="003B764A">
        <w:t>Widely used in building-integrated systems, particularly with façade-mounted collectors</w:t>
      </w:r>
      <w:r w:rsidRPr="003B764A">
        <w:t>.</w:t>
      </w:r>
    </w:p>
    <w:p w14:paraId="1C7CF364" w14:textId="1644B835" w:rsidR="00987F50" w:rsidRPr="003B764A" w:rsidRDefault="00987F50" w:rsidP="00F21600">
      <w:pPr>
        <w:pStyle w:val="Bullet"/>
        <w:spacing w:before="60" w:after="60"/>
      </w:pPr>
      <w:r w:rsidRPr="003B764A">
        <w:t>Air-</w:t>
      </w:r>
      <w:r w:rsidR="00CE1C5E" w:rsidRPr="003B764A">
        <w:t xml:space="preserve">based </w:t>
      </w:r>
      <w:r w:rsidRPr="003B764A">
        <w:t>PVT</w:t>
      </w:r>
      <w:r w:rsidR="00D84831" w:rsidRPr="003B764A">
        <w:t xml:space="preserve"> collectors </w:t>
      </w:r>
      <w:r w:rsidRPr="003B764A">
        <w:t xml:space="preserve">with </w:t>
      </w:r>
      <w:r w:rsidR="00CE1C5E" w:rsidRPr="003B764A">
        <w:t>HPs</w:t>
      </w:r>
      <w:r w:rsidR="00614071" w:rsidRPr="003B764A">
        <w:t xml:space="preserve"> (B2)</w:t>
      </w:r>
      <w:r w:rsidRPr="003B764A">
        <w:t xml:space="preserve">: </w:t>
      </w:r>
      <w:r w:rsidR="002B4100" w:rsidRPr="003B764A">
        <w:t>The collector-heated air serves as a source for an air-to-water HP, reducing frosting risks in heat recovery ventilation (HRV) units during very cold periods</w:t>
      </w:r>
      <w:r w:rsidR="00614071" w:rsidRPr="003B764A">
        <w:t>.</w:t>
      </w:r>
    </w:p>
    <w:p w14:paraId="6E160705" w14:textId="277F1B9D" w:rsidR="0030394B" w:rsidRPr="003B764A" w:rsidRDefault="003B764A" w:rsidP="00F21600">
      <w:pPr>
        <w:pStyle w:val="Bullet"/>
        <w:spacing w:before="60" w:after="60"/>
      </w:pPr>
      <w:r>
        <w:t>Liquid-</w:t>
      </w:r>
      <w:r w:rsidR="00CE1C5E" w:rsidRPr="003B764A">
        <w:t xml:space="preserve">based </w:t>
      </w:r>
      <w:r w:rsidR="0030394B" w:rsidRPr="003B764A">
        <w:t xml:space="preserve">PVT </w:t>
      </w:r>
      <w:r w:rsidR="00614071" w:rsidRPr="003B764A">
        <w:t xml:space="preserve">with ground regeneration (A3.1): </w:t>
      </w:r>
      <w:r w:rsidR="00ED093E" w:rsidRPr="003B764A">
        <w:t xml:space="preserve">PVT-generated heat is used to recharge geothermal loops, mitigating ground overcooling caused by </w:t>
      </w:r>
      <w:r w:rsidR="00B732AD" w:rsidRPr="003B764A">
        <w:t xml:space="preserve">HP </w:t>
      </w:r>
      <w:r w:rsidR="00ED093E" w:rsidRPr="003B764A">
        <w:t>operation and improving long-term system performance</w:t>
      </w:r>
      <w:r w:rsidR="00B732AD" w:rsidRPr="003B764A">
        <w:t>.</w:t>
      </w:r>
    </w:p>
    <w:p w14:paraId="000F83E2" w14:textId="3EBE419E" w:rsidR="0030394B" w:rsidRPr="003B764A" w:rsidRDefault="00FC79B5" w:rsidP="00F21600">
      <w:pPr>
        <w:pStyle w:val="SWCText"/>
        <w:spacing w:before="60" w:after="60"/>
        <w:rPr>
          <w:lang w:val="en-GB"/>
        </w:rPr>
      </w:pPr>
      <w:r w:rsidRPr="003B764A">
        <w:rPr>
          <w:b/>
          <w:bCs/>
          <w:lang w:val="en-GB"/>
        </w:rPr>
        <w:t>2</w:t>
      </w:r>
      <w:r w:rsidR="0030394B" w:rsidRPr="003B764A">
        <w:rPr>
          <w:b/>
          <w:bCs/>
          <w:lang w:val="en-GB"/>
        </w:rPr>
        <w:t>. Central Europe and Temperate Regions (</w:t>
      </w:r>
      <w:r w:rsidR="00D318F8" w:rsidRPr="003B764A">
        <w:rPr>
          <w:b/>
          <w:bCs/>
          <w:lang w:val="en-GB"/>
        </w:rPr>
        <w:t>KG-PV</w:t>
      </w:r>
      <w:r w:rsidR="00D318F8" w:rsidRPr="003B764A" w:rsidDel="006811DC">
        <w:rPr>
          <w:b/>
          <w:bCs/>
          <w:lang w:val="en-GB"/>
        </w:rPr>
        <w:t xml:space="preserve"> </w:t>
      </w:r>
      <w:r w:rsidR="0030394B" w:rsidRPr="003B764A">
        <w:rPr>
          <w:b/>
          <w:bCs/>
          <w:lang w:val="en-GB"/>
        </w:rPr>
        <w:t>Group</w:t>
      </w:r>
      <w:r w:rsidR="00D318F8" w:rsidRPr="003B764A">
        <w:rPr>
          <w:b/>
          <w:bCs/>
          <w:lang w:val="en-GB"/>
        </w:rPr>
        <w:t>s</w:t>
      </w:r>
      <w:r w:rsidR="0030394B" w:rsidRPr="003B764A">
        <w:rPr>
          <w:b/>
          <w:bCs/>
          <w:lang w:val="en-GB"/>
        </w:rPr>
        <w:t xml:space="preserve"> </w:t>
      </w:r>
      <w:r w:rsidR="00D318F8" w:rsidRPr="003B764A">
        <w:rPr>
          <w:b/>
          <w:bCs/>
          <w:lang w:val="en-GB"/>
        </w:rPr>
        <w:t>DM, DL</w:t>
      </w:r>
      <w:r w:rsidR="0030394B" w:rsidRPr="003B764A">
        <w:rPr>
          <w:b/>
          <w:bCs/>
          <w:lang w:val="en-GB"/>
        </w:rPr>
        <w:t xml:space="preserve">): </w:t>
      </w:r>
      <w:r w:rsidR="0030394B" w:rsidRPr="003B764A">
        <w:rPr>
          <w:lang w:val="en-GB"/>
        </w:rPr>
        <w:t xml:space="preserve">In countries </w:t>
      </w:r>
      <w:r w:rsidR="00A82D0F" w:rsidRPr="003B764A">
        <w:rPr>
          <w:lang w:val="en-GB"/>
        </w:rPr>
        <w:t>such as</w:t>
      </w:r>
      <w:r w:rsidR="0030394B" w:rsidRPr="003B764A">
        <w:rPr>
          <w:lang w:val="en-GB"/>
        </w:rPr>
        <w:t xml:space="preserve"> Germany, France, and the UK, configurations are designed for moderate solar resource</w:t>
      </w:r>
      <w:r w:rsidR="00A82D0F" w:rsidRPr="003B764A">
        <w:rPr>
          <w:lang w:val="en-GB"/>
        </w:rPr>
        <w:t>s</w:t>
      </w:r>
      <w:r w:rsidR="0030394B" w:rsidRPr="003B764A">
        <w:rPr>
          <w:lang w:val="en-GB"/>
        </w:rPr>
        <w:t xml:space="preserve"> and seasonal heating needs.</w:t>
      </w:r>
    </w:p>
    <w:p w14:paraId="3172C85D" w14:textId="5AE7E6FD" w:rsidR="008F4C82" w:rsidRPr="003B764A" w:rsidRDefault="003B764A" w:rsidP="00F21600">
      <w:pPr>
        <w:pStyle w:val="Bullet"/>
        <w:spacing w:before="60" w:after="60"/>
      </w:pPr>
      <w:r>
        <w:t>Liquid-</w:t>
      </w:r>
      <w:r w:rsidR="00F5313D" w:rsidRPr="003B764A">
        <w:t xml:space="preserve">based </w:t>
      </w:r>
      <w:r w:rsidR="00D318F8" w:rsidRPr="003B764A">
        <w:t xml:space="preserve">PVT as </w:t>
      </w:r>
      <w:r w:rsidR="00A82D0F" w:rsidRPr="003B764A">
        <w:t>HP</w:t>
      </w:r>
      <w:r w:rsidR="00D318F8" w:rsidRPr="003B764A">
        <w:t xml:space="preserve"> </w:t>
      </w:r>
      <w:r w:rsidR="00A82D0F" w:rsidRPr="003B764A">
        <w:t>c</w:t>
      </w:r>
      <w:r w:rsidR="00D318F8" w:rsidRPr="003B764A">
        <w:t xml:space="preserve">old </w:t>
      </w:r>
      <w:r w:rsidR="00A82D0F" w:rsidRPr="003B764A">
        <w:t>s</w:t>
      </w:r>
      <w:r w:rsidR="00D318F8" w:rsidRPr="003B764A">
        <w:t>ource</w:t>
      </w:r>
      <w:r w:rsidR="00D318F8" w:rsidRPr="003B764A" w:rsidDel="00D318F8">
        <w:t xml:space="preserve"> </w:t>
      </w:r>
      <w:r w:rsidR="00D318F8" w:rsidRPr="003B764A">
        <w:t xml:space="preserve">(A2): </w:t>
      </w:r>
      <w:r w:rsidR="0030394B" w:rsidRPr="003B764A">
        <w:t xml:space="preserve">Liquid-based PVT collectors are integrated with </w:t>
      </w:r>
      <w:r w:rsidR="00F5313D" w:rsidRPr="003B764A">
        <w:t>HPs</w:t>
      </w:r>
      <w:r w:rsidR="00D318F8" w:rsidRPr="003B764A">
        <w:t xml:space="preserve">, both in thermal and electrical components. Mostly found in </w:t>
      </w:r>
      <w:r w:rsidR="00F5313D" w:rsidRPr="003B764A">
        <w:t>s</w:t>
      </w:r>
      <w:r w:rsidR="00D318F8" w:rsidRPr="003B764A">
        <w:t>eries configuration (A2.1)</w:t>
      </w:r>
    </w:p>
    <w:p w14:paraId="4C62D3FB" w14:textId="34C7206A" w:rsidR="008F4C82" w:rsidRPr="003B764A" w:rsidRDefault="003B764A" w:rsidP="00F21600">
      <w:pPr>
        <w:pStyle w:val="Bullet"/>
        <w:spacing w:before="60" w:after="60"/>
      </w:pPr>
      <w:r>
        <w:t>Liquid-</w:t>
      </w:r>
      <w:r w:rsidR="00F5313D" w:rsidRPr="003B764A">
        <w:t xml:space="preserve">based </w:t>
      </w:r>
      <w:r w:rsidR="00D318F8" w:rsidRPr="003B764A">
        <w:t>PVT with ground regeneration (A3.1): PVT collectors are often used to recharge geothermal boreholes or pre-heat the brine loop during winter to improve the Seasonal Performance Factor (SPF)</w:t>
      </w:r>
    </w:p>
    <w:p w14:paraId="6CAFFECF" w14:textId="09738AA4" w:rsidR="007E070A" w:rsidRPr="003B764A" w:rsidRDefault="003B764A" w:rsidP="00F21600">
      <w:pPr>
        <w:pStyle w:val="Bullet"/>
        <w:spacing w:before="60" w:after="60"/>
      </w:pPr>
      <w:r>
        <w:t>Liquid-</w:t>
      </w:r>
      <w:r w:rsidR="00F5313D" w:rsidRPr="003B764A">
        <w:t xml:space="preserve">based </w:t>
      </w:r>
      <w:r w:rsidR="00D318F8" w:rsidRPr="003B764A">
        <w:t xml:space="preserve">PVT with seasonal storage (A3.2): seasonal storage is commonly found in </w:t>
      </w:r>
      <w:r w:rsidR="00F5313D" w:rsidRPr="003B764A">
        <w:t>Central</w:t>
      </w:r>
      <w:r w:rsidR="00D318F8" w:rsidRPr="003B764A">
        <w:t xml:space="preserve"> Europe</w:t>
      </w:r>
      <w:r w:rsidR="00F5313D" w:rsidRPr="003B764A">
        <w:t>; a</w:t>
      </w:r>
      <w:r w:rsidR="00D318F8" w:rsidRPr="003B764A">
        <w:t xml:space="preserve"> combination with district heating can </w:t>
      </w:r>
      <w:r w:rsidR="00F5313D" w:rsidRPr="003B764A">
        <w:t>also be</w:t>
      </w:r>
      <w:r w:rsidR="008F4C82" w:rsidRPr="003B764A">
        <w:t xml:space="preserve"> found</w:t>
      </w:r>
      <w:r w:rsidR="00D318F8" w:rsidRPr="003B764A">
        <w:t>.</w:t>
      </w:r>
    </w:p>
    <w:p w14:paraId="2FEE42F4" w14:textId="3BC6E510" w:rsidR="0030394B" w:rsidRPr="003B764A" w:rsidRDefault="008F4C82" w:rsidP="00F21600">
      <w:pPr>
        <w:pStyle w:val="Bullet"/>
        <w:spacing w:before="60" w:after="60"/>
      </w:pPr>
      <w:r w:rsidRPr="003B764A">
        <w:t>Air-</w:t>
      </w:r>
      <w:r w:rsidR="00F5313D" w:rsidRPr="003B764A">
        <w:t>based</w:t>
      </w:r>
      <w:r w:rsidRPr="003B764A">
        <w:t xml:space="preserve"> PVT collectors with HRV (B1.2): common for building-integrated applications.</w:t>
      </w:r>
    </w:p>
    <w:p w14:paraId="38E4491F" w14:textId="2D83BDDB" w:rsidR="006F3A1A" w:rsidRPr="003B764A" w:rsidRDefault="00FC79B5" w:rsidP="00F21600">
      <w:pPr>
        <w:pStyle w:val="SWCText"/>
        <w:spacing w:before="60" w:after="60"/>
        <w:rPr>
          <w:lang w:val="en-GB"/>
        </w:rPr>
      </w:pPr>
      <w:r w:rsidRPr="003B764A">
        <w:rPr>
          <w:b/>
          <w:bCs/>
          <w:lang w:val="en-GB"/>
        </w:rPr>
        <w:t>3</w:t>
      </w:r>
      <w:r w:rsidR="00294109" w:rsidRPr="003B764A">
        <w:rPr>
          <w:b/>
          <w:bCs/>
          <w:lang w:val="en-GB"/>
        </w:rPr>
        <w:t>. Temperate and Mediterranean Climates (</w:t>
      </w:r>
      <w:r w:rsidR="00D318F8" w:rsidRPr="003B764A">
        <w:rPr>
          <w:b/>
          <w:bCs/>
          <w:lang w:val="en-GB"/>
        </w:rPr>
        <w:t>KG-PV</w:t>
      </w:r>
      <w:r w:rsidR="00D318F8" w:rsidRPr="003B764A" w:rsidDel="006811DC">
        <w:rPr>
          <w:b/>
          <w:bCs/>
          <w:lang w:val="en-GB"/>
        </w:rPr>
        <w:t xml:space="preserve"> </w:t>
      </w:r>
      <w:r w:rsidR="00294109" w:rsidRPr="003B764A">
        <w:rPr>
          <w:b/>
          <w:bCs/>
          <w:lang w:val="en-GB"/>
        </w:rPr>
        <w:t>Group C</w:t>
      </w:r>
      <w:r w:rsidR="00D318F8" w:rsidRPr="003B764A">
        <w:rPr>
          <w:b/>
          <w:bCs/>
          <w:lang w:val="en-GB"/>
        </w:rPr>
        <w:t>H and DH</w:t>
      </w:r>
      <w:r w:rsidR="00294109" w:rsidRPr="003B764A">
        <w:rPr>
          <w:b/>
          <w:bCs/>
          <w:lang w:val="en-GB"/>
        </w:rPr>
        <w:t>)</w:t>
      </w:r>
      <w:r w:rsidR="006F3A1A" w:rsidRPr="003B764A">
        <w:rPr>
          <w:b/>
          <w:bCs/>
          <w:lang w:val="en-GB"/>
        </w:rPr>
        <w:t xml:space="preserve">: </w:t>
      </w:r>
      <w:r w:rsidR="00987F50" w:rsidRPr="003B764A">
        <w:rPr>
          <w:lang w:val="en-GB"/>
        </w:rPr>
        <w:t xml:space="preserve">In regions </w:t>
      </w:r>
      <w:r w:rsidR="004263CD" w:rsidRPr="003B764A">
        <w:rPr>
          <w:lang w:val="en-GB"/>
        </w:rPr>
        <w:t>such as</w:t>
      </w:r>
      <w:r w:rsidR="00987F50" w:rsidRPr="003B764A">
        <w:rPr>
          <w:lang w:val="en-GB"/>
        </w:rPr>
        <w:t xml:space="preserve"> Spain, Italy, and Greece, high solar irradiance makes </w:t>
      </w:r>
      <w:r w:rsidR="003B764A">
        <w:rPr>
          <w:lang w:val="en-GB"/>
        </w:rPr>
        <w:t>liquid-</w:t>
      </w:r>
      <w:r w:rsidR="00987F50" w:rsidRPr="003B764A">
        <w:rPr>
          <w:lang w:val="en-GB"/>
        </w:rPr>
        <w:t xml:space="preserve">based </w:t>
      </w:r>
      <w:r w:rsidR="006F3A1A" w:rsidRPr="003B764A">
        <w:rPr>
          <w:lang w:val="en-GB"/>
        </w:rPr>
        <w:t xml:space="preserve">PVT </w:t>
      </w:r>
      <w:r w:rsidR="00987F50" w:rsidRPr="003B764A">
        <w:rPr>
          <w:lang w:val="en-GB"/>
        </w:rPr>
        <w:t>systems the dominant choice.</w:t>
      </w:r>
      <w:r w:rsidR="006F3A1A" w:rsidRPr="003B764A">
        <w:rPr>
          <w:lang w:val="en-GB"/>
        </w:rPr>
        <w:t xml:space="preserve"> Common </w:t>
      </w:r>
      <w:r w:rsidR="00D84831" w:rsidRPr="003B764A">
        <w:rPr>
          <w:lang w:val="en-GB"/>
        </w:rPr>
        <w:t>c</w:t>
      </w:r>
      <w:r w:rsidR="006F3A1A" w:rsidRPr="003B764A">
        <w:rPr>
          <w:lang w:val="en-GB"/>
        </w:rPr>
        <w:t xml:space="preserve">onfigurations </w:t>
      </w:r>
      <w:r w:rsidR="000F2548" w:rsidRPr="003B764A">
        <w:rPr>
          <w:lang w:val="en-GB"/>
        </w:rPr>
        <w:t>are</w:t>
      </w:r>
      <w:r w:rsidR="006F3A1A" w:rsidRPr="003B764A">
        <w:rPr>
          <w:lang w:val="en-GB"/>
        </w:rPr>
        <w:t xml:space="preserve">: </w:t>
      </w:r>
    </w:p>
    <w:p w14:paraId="0E38D3CA" w14:textId="425012C6" w:rsidR="00987F50" w:rsidRPr="003B764A" w:rsidRDefault="003B764A" w:rsidP="00F21600">
      <w:pPr>
        <w:pStyle w:val="Bullet"/>
        <w:spacing w:before="60" w:after="60"/>
      </w:pPr>
      <w:r>
        <w:t>Liquid-</w:t>
      </w:r>
      <w:r w:rsidR="004263CD" w:rsidRPr="003B764A">
        <w:t xml:space="preserve">based </w:t>
      </w:r>
      <w:r w:rsidR="00F93CD9" w:rsidRPr="003B764A">
        <w:t xml:space="preserve">PVT </w:t>
      </w:r>
      <w:r w:rsidR="004263CD" w:rsidRPr="003B764A">
        <w:t xml:space="preserve">for final usage </w:t>
      </w:r>
      <w:r w:rsidR="00F93CD9" w:rsidRPr="003B764A">
        <w:t>(A1)</w:t>
      </w:r>
      <w:r w:rsidR="00912FAE" w:rsidRPr="003B764A">
        <w:t xml:space="preserve"> (</w:t>
      </w:r>
      <w:r w:rsidR="00F93CD9" w:rsidRPr="003B764A">
        <w:t>open loop</w:t>
      </w:r>
      <w:r w:rsidR="00912FAE" w:rsidRPr="003B764A">
        <w:t>)</w:t>
      </w:r>
      <w:r w:rsidR="00F93CD9" w:rsidRPr="003B764A">
        <w:t xml:space="preserve">: </w:t>
      </w:r>
      <w:r w:rsidR="00952B67" w:rsidRPr="003B764A">
        <w:t>This cost-effective configuration is widely used for DHW production in subtropical climates, where the low risk of freezing eliminates the need for pumps and other complex equipment</w:t>
      </w:r>
      <w:r w:rsidR="00F93CD9" w:rsidRPr="003B764A">
        <w:t>.</w:t>
      </w:r>
    </w:p>
    <w:p w14:paraId="3B84C05A" w14:textId="636F0229" w:rsidR="00F93CD9" w:rsidRPr="003B764A" w:rsidRDefault="003B764A" w:rsidP="00F21600">
      <w:pPr>
        <w:pStyle w:val="Bullet"/>
        <w:spacing w:before="60" w:after="60"/>
      </w:pPr>
      <w:r>
        <w:t>Liquid-</w:t>
      </w:r>
      <w:r w:rsidR="009D6B58" w:rsidRPr="003B764A">
        <w:t xml:space="preserve">based </w:t>
      </w:r>
      <w:r w:rsidR="00F93CD9" w:rsidRPr="003B764A">
        <w:t xml:space="preserve">PVT combined </w:t>
      </w:r>
      <w:r w:rsidR="00DB0A9E" w:rsidRPr="003B764A">
        <w:t>with</w:t>
      </w:r>
      <w:r w:rsidR="00F93CD9" w:rsidRPr="003B764A">
        <w:t xml:space="preserve"> HP: Parallel Configuration (A2.2): </w:t>
      </w:r>
      <w:r w:rsidR="00A051B2" w:rsidRPr="003B764A">
        <w:t>This</w:t>
      </w:r>
      <w:r w:rsidR="00F93CD9" w:rsidRPr="003B764A">
        <w:t xml:space="preserve"> configuration</w:t>
      </w:r>
      <w:r w:rsidR="00BD7220" w:rsidRPr="003B764A">
        <w:t xml:space="preserve"> allows for the provision of heating, cooling and electricity (</w:t>
      </w:r>
      <w:r w:rsidR="00F93CD9" w:rsidRPr="003B764A">
        <w:t>trigeneration system</w:t>
      </w:r>
      <w:r w:rsidR="00BD7220" w:rsidRPr="003B764A">
        <w:t>)</w:t>
      </w:r>
      <w:r w:rsidR="00F93CD9" w:rsidRPr="003B764A">
        <w:t xml:space="preserve">, </w:t>
      </w:r>
      <w:r w:rsidR="00294FD3" w:rsidRPr="003B764A">
        <w:t xml:space="preserve">with the support of storage </w:t>
      </w:r>
      <w:r w:rsidR="00D33390" w:rsidRPr="003B764A">
        <w:t>tanks</w:t>
      </w:r>
      <w:r w:rsidR="005C0C39" w:rsidRPr="003B764A">
        <w:t>.</w:t>
      </w:r>
      <w:r w:rsidR="00050E33" w:rsidRPr="003B764A">
        <w:t xml:space="preserve"> The HP acts </w:t>
      </w:r>
      <w:r w:rsidR="00F74544" w:rsidRPr="003B764A">
        <w:t xml:space="preserve">as </w:t>
      </w:r>
      <w:r w:rsidR="00050E33" w:rsidRPr="003B764A">
        <w:t>a support unit to heat/cool the tank to the setpoint to provide the heating/cooling demands</w:t>
      </w:r>
      <w:r w:rsidR="00F93CD9" w:rsidRPr="003B764A">
        <w:t>.</w:t>
      </w:r>
    </w:p>
    <w:p w14:paraId="352197FE" w14:textId="1287D96F" w:rsidR="00987F50" w:rsidRPr="003B764A" w:rsidRDefault="00F93CD9" w:rsidP="00F21600">
      <w:pPr>
        <w:pStyle w:val="Bullet"/>
        <w:spacing w:before="60" w:after="60"/>
      </w:pPr>
      <w:r w:rsidRPr="003B764A">
        <w:t>Emerging systems (A4): PVT combined</w:t>
      </w:r>
      <w:r w:rsidR="00DB0A9E" w:rsidRPr="003B764A">
        <w:t xml:space="preserve"> with other </w:t>
      </w:r>
      <w:r w:rsidR="00417298" w:rsidRPr="003B764A">
        <w:t>units</w:t>
      </w:r>
      <w:r w:rsidRPr="003B764A">
        <w:t xml:space="preserve"> to produce </w:t>
      </w:r>
      <w:r w:rsidR="00C57985">
        <w:t>cooling, heating and power</w:t>
      </w:r>
      <w:r w:rsidR="00987F50" w:rsidRPr="003B764A">
        <w:t xml:space="preserve"> (S-CCHP): Given the high cooling demand in these climates, PVT collectors </w:t>
      </w:r>
      <w:r w:rsidR="00D84831" w:rsidRPr="003B764A">
        <w:t>can be</w:t>
      </w:r>
      <w:r w:rsidR="00987F50" w:rsidRPr="003B764A">
        <w:t xml:space="preserve"> integrated with </w:t>
      </w:r>
      <w:r w:rsidR="00D84831" w:rsidRPr="003B764A">
        <w:t xml:space="preserve">refrigeration units, such as </w:t>
      </w:r>
      <w:r w:rsidR="00987F50" w:rsidRPr="003B764A">
        <w:t xml:space="preserve">absorption or adsorption chillers. </w:t>
      </w:r>
    </w:p>
    <w:p w14:paraId="57EAEDBE" w14:textId="1203C946" w:rsidR="00F93CD9" w:rsidRDefault="00F93CD9" w:rsidP="00F21600">
      <w:pPr>
        <w:pStyle w:val="Bullet"/>
        <w:spacing w:before="60" w:after="60"/>
      </w:pPr>
      <w:r w:rsidRPr="003B764A">
        <w:t>Air-</w:t>
      </w:r>
      <w:r w:rsidR="009D6B58" w:rsidRPr="003B764A">
        <w:t>based</w:t>
      </w:r>
      <w:r w:rsidRPr="003B764A">
        <w:t xml:space="preserve"> PVT for direct use (B1): the high irradiance and mild winter temperatures of this area allow </w:t>
      </w:r>
      <w:r w:rsidR="008E6391" w:rsidRPr="003B764A">
        <w:t>the direct</w:t>
      </w:r>
      <w:r w:rsidRPr="003B764A">
        <w:t xml:space="preserve"> use </w:t>
      </w:r>
      <w:r w:rsidR="008E6391" w:rsidRPr="003B764A">
        <w:t>of</w:t>
      </w:r>
      <w:r w:rsidRPr="003B764A">
        <w:t xml:space="preserve"> the heat generated in the air-PVT collectors, via dampers (B1).</w:t>
      </w:r>
    </w:p>
    <w:p w14:paraId="1BC781CC" w14:textId="77777777" w:rsidR="0086208F" w:rsidRPr="003B764A" w:rsidRDefault="0086208F" w:rsidP="0086208F">
      <w:pPr>
        <w:pStyle w:val="SWCTableFigureCaption"/>
        <w:spacing w:after="0"/>
        <w:rPr>
          <w:lang w:val="en-GB"/>
        </w:rPr>
      </w:pPr>
      <w:r w:rsidRPr="003B764A">
        <w:rPr>
          <w:noProof/>
          <w:lang w:val="en-GB"/>
        </w:rPr>
        <w:drawing>
          <wp:inline distT="0" distB="0" distL="0" distR="0" wp14:anchorId="41536B23" wp14:editId="3841E5CC">
            <wp:extent cx="4569354" cy="2333768"/>
            <wp:effectExtent l="0" t="0" r="3175" b="0"/>
            <wp:docPr id="7116619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661949" name="Picture 711661949"/>
                    <pic:cNvPicPr/>
                  </pic:nvPicPr>
                  <pic:blipFill>
                    <a:blip r:embed="rId26">
                      <a:extLst>
                        <a:ext uri="{28A0092B-C50C-407E-A947-70E740481C1C}">
                          <a14:useLocalDpi xmlns:a14="http://schemas.microsoft.com/office/drawing/2010/main"/>
                        </a:ext>
                      </a:extLst>
                    </a:blip>
                    <a:stretch>
                      <a:fillRect/>
                    </a:stretch>
                  </pic:blipFill>
                  <pic:spPr>
                    <a:xfrm>
                      <a:off x="0" y="0"/>
                      <a:ext cx="4663812" cy="2382012"/>
                    </a:xfrm>
                    <a:prstGeom prst="rect">
                      <a:avLst/>
                    </a:prstGeom>
                  </pic:spPr>
                </pic:pic>
              </a:graphicData>
            </a:graphic>
          </wp:inline>
        </w:drawing>
      </w:r>
    </w:p>
    <w:p w14:paraId="4FCB323F" w14:textId="77777777" w:rsidR="0086208F" w:rsidRPr="003B764A" w:rsidRDefault="0086208F" w:rsidP="0086208F">
      <w:pPr>
        <w:pStyle w:val="SWCTableFigureCaption"/>
        <w:spacing w:before="60" w:after="120"/>
        <w:rPr>
          <w:lang w:val="en-GB"/>
        </w:rPr>
      </w:pPr>
      <w:bookmarkStart w:id="9" w:name="_Ref237253810"/>
      <w:r w:rsidRPr="003B764A">
        <w:rPr>
          <w:lang w:val="en-GB"/>
        </w:rPr>
        <w:t xml:space="preserve">Fig. </w:t>
      </w:r>
      <w:r w:rsidRPr="003B764A">
        <w:rPr>
          <w:lang w:val="en-GB"/>
        </w:rPr>
        <w:fldChar w:fldCharType="begin"/>
      </w:r>
      <w:r w:rsidRPr="003B764A">
        <w:rPr>
          <w:lang w:val="en-GB"/>
        </w:rPr>
        <w:instrText xml:space="preserve"> SEQ Fig. \* ARABIC </w:instrText>
      </w:r>
      <w:r w:rsidRPr="003B764A">
        <w:rPr>
          <w:lang w:val="en-GB"/>
        </w:rPr>
        <w:fldChar w:fldCharType="separate"/>
      </w:r>
      <w:r w:rsidRPr="003B764A">
        <w:rPr>
          <w:noProof/>
          <w:lang w:val="en-GB"/>
        </w:rPr>
        <w:t>8</w:t>
      </w:r>
      <w:r w:rsidRPr="003B764A">
        <w:rPr>
          <w:lang w:val="en-GB"/>
        </w:rPr>
        <w:fldChar w:fldCharType="end"/>
      </w:r>
      <w:bookmarkEnd w:id="9"/>
      <w:r w:rsidRPr="003B764A">
        <w:rPr>
          <w:lang w:val="en-GB"/>
        </w:rPr>
        <w:t>: Map distribution of the most predominant PVT system in Europe.</w:t>
      </w:r>
    </w:p>
    <w:p w14:paraId="68CAD031" w14:textId="56B87A46" w:rsidR="00987F50" w:rsidRPr="003B764A" w:rsidRDefault="00987F50" w:rsidP="00F21600">
      <w:pPr>
        <w:pStyle w:val="SWCText"/>
        <w:spacing w:before="60" w:after="60"/>
        <w:rPr>
          <w:b/>
          <w:bCs/>
          <w:lang w:val="en-GB"/>
        </w:rPr>
      </w:pPr>
      <w:r w:rsidRPr="003B764A">
        <w:rPr>
          <w:b/>
          <w:bCs/>
          <w:lang w:val="en-GB"/>
        </w:rPr>
        <w:t>4. Tropical and Arid Climates</w:t>
      </w:r>
      <w:r w:rsidR="00294109" w:rsidRPr="003B764A">
        <w:rPr>
          <w:b/>
          <w:bCs/>
          <w:lang w:val="en-GB"/>
        </w:rPr>
        <w:t xml:space="preserve"> (</w:t>
      </w:r>
      <w:r w:rsidR="007C1F2A" w:rsidRPr="003B764A">
        <w:rPr>
          <w:b/>
          <w:bCs/>
          <w:lang w:val="en-GB"/>
        </w:rPr>
        <w:t>KG-PV</w:t>
      </w:r>
      <w:r w:rsidR="007C1F2A" w:rsidRPr="003B764A" w:rsidDel="006811DC">
        <w:rPr>
          <w:b/>
          <w:bCs/>
          <w:lang w:val="en-GB"/>
        </w:rPr>
        <w:t xml:space="preserve"> </w:t>
      </w:r>
      <w:r w:rsidR="00703F15" w:rsidRPr="003B764A">
        <w:rPr>
          <w:b/>
          <w:bCs/>
          <w:lang w:val="en-GB"/>
        </w:rPr>
        <w:t>Groups</w:t>
      </w:r>
      <w:r w:rsidR="00294109" w:rsidRPr="003B764A">
        <w:rPr>
          <w:b/>
          <w:bCs/>
          <w:lang w:val="en-GB"/>
        </w:rPr>
        <w:t xml:space="preserve"> A</w:t>
      </w:r>
      <w:r w:rsidR="007C1F2A" w:rsidRPr="003B764A">
        <w:rPr>
          <w:b/>
          <w:bCs/>
          <w:lang w:val="en-GB"/>
        </w:rPr>
        <w:t xml:space="preserve">, </w:t>
      </w:r>
      <w:r w:rsidR="00294109" w:rsidRPr="003B764A">
        <w:rPr>
          <w:b/>
          <w:bCs/>
          <w:lang w:val="en-GB"/>
        </w:rPr>
        <w:t>B)</w:t>
      </w:r>
      <w:r w:rsidR="00D84831" w:rsidRPr="003B764A">
        <w:rPr>
          <w:b/>
          <w:bCs/>
          <w:lang w:val="en-GB"/>
        </w:rPr>
        <w:t xml:space="preserve">: </w:t>
      </w:r>
    </w:p>
    <w:p w14:paraId="7E01F837" w14:textId="0CD17D59" w:rsidR="00703F15" w:rsidRPr="003B764A" w:rsidRDefault="003B764A" w:rsidP="00F21600">
      <w:pPr>
        <w:pStyle w:val="Bullet"/>
        <w:spacing w:before="60" w:after="60"/>
      </w:pPr>
      <w:r>
        <w:t>Liquid-</w:t>
      </w:r>
      <w:r w:rsidR="007C1F2A" w:rsidRPr="003B764A">
        <w:t xml:space="preserve">PVT for </w:t>
      </w:r>
      <w:r w:rsidR="00C57985" w:rsidRPr="003B764A">
        <w:t xml:space="preserve">final usage </w:t>
      </w:r>
      <w:r w:rsidR="007C1F2A" w:rsidRPr="003B764A">
        <w:t xml:space="preserve">(A1): </w:t>
      </w:r>
      <w:r w:rsidR="00703F15" w:rsidRPr="003B764A">
        <w:t>considered the most efficient technology for these regions due to the high year-round demand for preheating and high ambient temperatures</w:t>
      </w:r>
      <w:r w:rsidR="007C1F2A" w:rsidRPr="003B764A">
        <w:t>.</w:t>
      </w:r>
    </w:p>
    <w:p w14:paraId="355C3A5A" w14:textId="7936AF7C" w:rsidR="00D84831" w:rsidRPr="003B764A" w:rsidRDefault="007C1F2A" w:rsidP="00F21600">
      <w:pPr>
        <w:pStyle w:val="Bullet"/>
        <w:spacing w:before="60" w:after="60"/>
      </w:pPr>
      <w:r w:rsidRPr="003B764A">
        <w:t xml:space="preserve">Emerging systems (A4): </w:t>
      </w:r>
      <w:r w:rsidR="005A1DFD" w:rsidRPr="003B764A">
        <w:t>For instance</w:t>
      </w:r>
      <w:r w:rsidR="000F2548" w:rsidRPr="003B764A">
        <w:t>,</w:t>
      </w:r>
      <w:r w:rsidR="005A1DFD" w:rsidRPr="003B764A">
        <w:t xml:space="preserve"> </w:t>
      </w:r>
      <w:r w:rsidR="003D7F0C" w:rsidRPr="003B764A">
        <w:t>for d</w:t>
      </w:r>
      <w:r w:rsidR="00987F50" w:rsidRPr="003B764A">
        <w:t xml:space="preserve">esalination: In arid regions, PVT systems are configured to drive </w:t>
      </w:r>
      <w:r w:rsidR="00987F50" w:rsidRPr="003B764A">
        <w:lastRenderedPageBreak/>
        <w:t>thermal desalination (e.g., membrane distillation). The thermal energy from the PV cooling process is used to heat saline water, while the electricity runs the auxiliary pumps</w:t>
      </w:r>
      <w:r w:rsidR="00DB1764" w:rsidRPr="003B764A">
        <w:t>.</w:t>
      </w:r>
    </w:p>
    <w:p w14:paraId="6173666A" w14:textId="3F4B5373" w:rsidR="003F6628" w:rsidRPr="003B764A" w:rsidRDefault="00033655" w:rsidP="00E45260">
      <w:pPr>
        <w:pStyle w:val="SWCHeading1"/>
      </w:pPr>
      <w:r w:rsidRPr="003B764A">
        <w:t>S</w:t>
      </w:r>
      <w:r w:rsidR="00F65027" w:rsidRPr="003B764A">
        <w:t>oftware tools</w:t>
      </w:r>
      <w:r w:rsidRPr="003B764A">
        <w:t xml:space="preserve"> for PVT </w:t>
      </w:r>
      <w:r w:rsidR="00A578CD" w:rsidRPr="003B764A">
        <w:t>modelling</w:t>
      </w:r>
      <w:r w:rsidR="00F65027" w:rsidRPr="003B764A">
        <w:t xml:space="preserve"> </w:t>
      </w:r>
    </w:p>
    <w:p w14:paraId="6433B7D8" w14:textId="0E048065" w:rsidR="00BB6E8A" w:rsidRPr="003B764A" w:rsidRDefault="00623810" w:rsidP="00BB6E8A">
      <w:pPr>
        <w:pStyle w:val="SWCHeading11"/>
      </w:pPr>
      <w:r w:rsidRPr="003B764A">
        <w:t xml:space="preserve">3.1. </w:t>
      </w:r>
      <w:r w:rsidR="00DE2EC3" w:rsidRPr="003B764A">
        <w:t>The current PVT software landsc</w:t>
      </w:r>
      <w:r w:rsidR="00ED5CCC" w:rsidRPr="003B764A">
        <w:t>ape</w:t>
      </w:r>
    </w:p>
    <w:p w14:paraId="53CE38CD" w14:textId="6CFC28E3" w:rsidR="00E72D2D" w:rsidRPr="003B764A" w:rsidRDefault="00452140" w:rsidP="00452140">
      <w:pPr>
        <w:pStyle w:val="SWCText"/>
        <w:rPr>
          <w:lang w:val="en-GB"/>
        </w:rPr>
      </w:pPr>
      <w:r w:rsidRPr="003B764A">
        <w:rPr>
          <w:lang w:val="en-GB"/>
        </w:rPr>
        <w:t xml:space="preserve">The PVT community uses a variety of numerical simulation tools, ranging from commercial specific-purpose software for annual performance assessment to general-purpose environments for detailed component analysis. IEA SHC Task 60 outlined an initial analysis of the calculation tools most widely used by the PVT community </w:t>
      </w:r>
      <w:sdt>
        <w:sdtPr>
          <w:rPr>
            <w:lang w:val="en-GB"/>
          </w:rPr>
          <w:tag w:val="MENDELEY_CITATION_v3_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"/>
          <w:id w:val="461931951"/>
          <w:placeholder>
            <w:docPart w:val="71B34F516DB68A41B65685D05D67061A"/>
          </w:placeholder>
        </w:sdtPr>
        <w:sdtEndPr/>
        <w:sdtContent>
          <w:r w:rsidR="0086208F" w:rsidRPr="0086208F">
            <w:rPr>
              <w:lang w:val="en-GB"/>
            </w:rPr>
            <w:t>(Sanz, 2020)</w:t>
          </w:r>
        </w:sdtContent>
      </w:sdt>
      <w:r w:rsidRPr="003B764A">
        <w:rPr>
          <w:lang w:val="en-GB"/>
        </w:rPr>
        <w:t>, highlighting TRNSYS</w:t>
      </w:r>
      <w:r w:rsidRPr="003B764A">
        <w:rPr>
          <w:vertAlign w:val="superscript"/>
          <w:lang w:val="en-GB"/>
        </w:rPr>
        <w:t>®</w:t>
      </w:r>
      <w:r w:rsidRPr="003B764A">
        <w:rPr>
          <w:lang w:val="en-GB"/>
        </w:rPr>
        <w:t xml:space="preserve"> and Polysun</w:t>
      </w:r>
      <w:r w:rsidRPr="003B764A">
        <w:rPr>
          <w:vertAlign w:val="superscript"/>
          <w:lang w:val="en-GB"/>
        </w:rPr>
        <w:t>®</w:t>
      </w:r>
      <w:r w:rsidRPr="003B764A">
        <w:rPr>
          <w:lang w:val="en-GB"/>
        </w:rPr>
        <w:t xml:space="preserve"> as the main specific-purpose software options alongside generic software such as EES, MATLAB, or CFD packages (COMSOL, NX, Ansys Fluent, STAR-CCM+). However, that study did not quantify tool usage or </w:t>
      </w:r>
      <w:r w:rsidR="004A1A60" w:rsidRPr="003B764A">
        <w:rPr>
          <w:lang w:val="en-GB"/>
        </w:rPr>
        <w:t>contrast</w:t>
      </w:r>
      <w:r w:rsidRPr="003B764A">
        <w:rPr>
          <w:lang w:val="en-GB"/>
        </w:rPr>
        <w:t xml:space="preserve"> their capabilities and </w:t>
      </w:r>
      <w:r w:rsidR="004A1A60" w:rsidRPr="003B764A">
        <w:rPr>
          <w:lang w:val="en-GB"/>
        </w:rPr>
        <w:t>modelling</w:t>
      </w:r>
      <w:r w:rsidRPr="003B764A">
        <w:rPr>
          <w:lang w:val="en-GB"/>
        </w:rPr>
        <w:t xml:space="preserve"> </w:t>
      </w:r>
      <w:r w:rsidR="001F4721" w:rsidRPr="003B764A">
        <w:rPr>
          <w:lang w:val="en-GB"/>
        </w:rPr>
        <w:t>frameworks</w:t>
      </w:r>
      <w:r w:rsidRPr="003B764A">
        <w:rPr>
          <w:lang w:val="en-GB"/>
        </w:rPr>
        <w:t xml:space="preserve">. </w:t>
      </w:r>
      <w:r w:rsidR="00E72D2D" w:rsidRPr="003B764A">
        <w:rPr>
          <w:lang w:val="en-GB"/>
        </w:rPr>
        <w:t>To capture this</w:t>
      </w:r>
      <w:r w:rsidR="004A1A60" w:rsidRPr="003B764A">
        <w:rPr>
          <w:lang w:val="en-GB"/>
        </w:rPr>
        <w:t>, a</w:t>
      </w:r>
      <w:r w:rsidR="00E72D2D" w:rsidRPr="003B764A">
        <w:rPr>
          <w:lang w:val="en-GB"/>
        </w:rPr>
        <w:t xml:space="preserve"> </w:t>
      </w:r>
      <w:r w:rsidR="00D36574" w:rsidRPr="003B764A">
        <w:rPr>
          <w:lang w:val="en-GB"/>
        </w:rPr>
        <w:t>similar survey was developed within</w:t>
      </w:r>
      <w:r w:rsidR="00E72D2D" w:rsidRPr="003B764A">
        <w:rPr>
          <w:lang w:val="en-GB"/>
        </w:rPr>
        <w:t xml:space="preserve"> </w:t>
      </w:r>
      <w:r w:rsidR="004A1A60" w:rsidRPr="003B764A">
        <w:rPr>
          <w:lang w:val="en-GB"/>
        </w:rPr>
        <w:t xml:space="preserve">the IEA SHC </w:t>
      </w:r>
      <w:r w:rsidR="00E72D2D" w:rsidRPr="003B764A">
        <w:rPr>
          <w:lang w:val="en-GB"/>
        </w:rPr>
        <w:t>Task 73</w:t>
      </w:r>
      <w:r w:rsidR="00310318" w:rsidRPr="003B764A">
        <w:rPr>
          <w:lang w:val="en-GB"/>
        </w:rPr>
        <w:t xml:space="preserve"> (see </w:t>
      </w:r>
      <w:r w:rsidR="00310318" w:rsidRPr="003B764A">
        <w:rPr>
          <w:lang w:val="en-GB"/>
        </w:rPr>
        <w:fldChar w:fldCharType="begin"/>
      </w:r>
      <w:r w:rsidR="00310318" w:rsidRPr="003B764A">
        <w:rPr>
          <w:lang w:val="en-GB"/>
        </w:rPr>
        <w:instrText xml:space="preserve"> REF _Ref236304300 \h </w:instrText>
      </w:r>
      <w:r w:rsidR="00310318" w:rsidRPr="003B764A">
        <w:rPr>
          <w:lang w:val="en-GB"/>
        </w:rPr>
      </w:r>
      <w:r w:rsidR="00310318" w:rsidRPr="003B764A">
        <w:rPr>
          <w:lang w:val="en-GB"/>
        </w:rPr>
        <w:fldChar w:fldCharType="separate"/>
      </w:r>
      <w:r w:rsidR="00623810" w:rsidRPr="003B764A">
        <w:rPr>
          <w:lang w:val="en-GB"/>
        </w:rPr>
        <w:t xml:space="preserve">Fig. </w:t>
      </w:r>
      <w:r w:rsidR="00623810" w:rsidRPr="003B764A">
        <w:rPr>
          <w:noProof/>
          <w:lang w:val="en-GB"/>
        </w:rPr>
        <w:t>9</w:t>
      </w:r>
      <w:r w:rsidR="00310318" w:rsidRPr="003B764A">
        <w:rPr>
          <w:lang w:val="en-GB"/>
        </w:rPr>
        <w:fldChar w:fldCharType="end"/>
      </w:r>
      <w:r w:rsidR="00310318" w:rsidRPr="003B764A">
        <w:rPr>
          <w:lang w:val="en-GB"/>
        </w:rPr>
        <w:t>)</w:t>
      </w:r>
      <w:r w:rsidR="00D36574" w:rsidRPr="003B764A">
        <w:rPr>
          <w:lang w:val="en-GB"/>
        </w:rPr>
        <w:t>.</w:t>
      </w:r>
    </w:p>
    <w:p w14:paraId="1C400733" w14:textId="7DC48CD2" w:rsidR="00452140" w:rsidRPr="003B764A" w:rsidRDefault="00452140" w:rsidP="00452140">
      <w:pPr>
        <w:pStyle w:val="SWCText"/>
        <w:rPr>
          <w:lang w:val="en-GB"/>
        </w:rPr>
      </w:pPr>
      <w:r w:rsidRPr="003B764A">
        <w:rPr>
          <w:lang w:val="en-GB"/>
        </w:rPr>
        <w:t xml:space="preserve">Beneath the choice of tools lies a more fundamental distinction in the </w:t>
      </w:r>
      <w:r w:rsidR="004A1A60" w:rsidRPr="003B764A">
        <w:rPr>
          <w:lang w:val="en-GB"/>
        </w:rPr>
        <w:t>modelling</w:t>
      </w:r>
      <w:r w:rsidRPr="003B764A">
        <w:rPr>
          <w:lang w:val="en-GB"/>
        </w:rPr>
        <w:t xml:space="preserve"> approach, commonly described as a white-box (physics-based), </w:t>
      </w:r>
      <w:r w:rsidR="00C42942" w:rsidRPr="003B764A">
        <w:rPr>
          <w:lang w:val="en-GB"/>
        </w:rPr>
        <w:t>grey-</w:t>
      </w:r>
      <w:r w:rsidRPr="003B764A">
        <w:rPr>
          <w:lang w:val="en-GB"/>
        </w:rPr>
        <w:t>box (semi-empirical/identified parameters), and black-box (</w:t>
      </w:r>
      <w:r w:rsidR="001F4721" w:rsidRPr="003B764A">
        <w:rPr>
          <w:lang w:val="en-GB"/>
        </w:rPr>
        <w:t>data-driven</w:t>
      </w:r>
      <w:r w:rsidRPr="003B764A">
        <w:rPr>
          <w:lang w:val="en-GB"/>
        </w:rPr>
        <w:t>) spectrum</w:t>
      </w:r>
      <w:r w:rsidR="0012088E" w:rsidRPr="003B764A">
        <w:rPr>
          <w:lang w:val="en-GB"/>
        </w:rPr>
        <w:t xml:space="preserve"> </w:t>
      </w:r>
      <w:sdt>
        <w:sdtPr>
          <w:rPr>
            <w:lang w:val="en-GB"/>
          </w:rPr>
          <w:tag w:val="MENDELEY_CITATION_v3_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"/>
          <w:id w:val="-1956704850"/>
          <w:placeholder>
            <w:docPart w:val="DefaultPlaceholder_-1854013440"/>
          </w:placeholder>
        </w:sdtPr>
        <w:sdtEndPr/>
        <w:sdtContent>
          <w:r w:rsidR="0086208F" w:rsidRPr="0086208F">
            <w:rPr>
              <w:lang w:val="en-GB"/>
            </w:rPr>
            <w:t>(Furbo et al., 2026)</w:t>
          </w:r>
        </w:sdtContent>
      </w:sdt>
      <w:r w:rsidRPr="003B764A">
        <w:rPr>
          <w:lang w:val="en-GB"/>
        </w:rPr>
        <w:t>. White-box models (</w:t>
      </w:r>
      <w:r w:rsidR="00AA2CE6" w:rsidRPr="003B764A">
        <w:rPr>
          <w:lang w:val="en-GB"/>
        </w:rPr>
        <w:t>physics-based</w:t>
      </w:r>
      <w:r w:rsidRPr="003B764A">
        <w:rPr>
          <w:lang w:val="en-GB"/>
        </w:rPr>
        <w:t xml:space="preserve">) </w:t>
      </w:r>
      <w:r w:rsidR="00DB6571" w:rsidRPr="003B764A">
        <w:rPr>
          <w:lang w:val="en-GB"/>
        </w:rPr>
        <w:t>resolve</w:t>
      </w:r>
      <w:r w:rsidRPr="003B764A">
        <w:rPr>
          <w:lang w:val="en-GB"/>
        </w:rPr>
        <w:t xml:space="preserve"> energy, mass and momentum balances across collector layers, up to full CFD. </w:t>
      </w:r>
      <w:r w:rsidR="001F4721" w:rsidRPr="003B764A">
        <w:rPr>
          <w:lang w:val="en-GB"/>
        </w:rPr>
        <w:t>Grey-box</w:t>
      </w:r>
      <w:r w:rsidRPr="003B764A">
        <w:rPr>
          <w:lang w:val="en-GB"/>
        </w:rPr>
        <w:t xml:space="preserve"> models combine a physics-based equation structure with coefficients fitted from standardised tests; the ISO 9806 </w:t>
      </w:r>
      <w:r w:rsidR="006065D9" w:rsidRPr="003B764A">
        <w:rPr>
          <w:lang w:val="en-GB"/>
        </w:rPr>
        <w:t>quasi-dynamic</w:t>
      </w:r>
      <w:r w:rsidRPr="003B764A">
        <w:rPr>
          <w:lang w:val="en-GB"/>
        </w:rPr>
        <w:t xml:space="preserve"> thermal model and the PV temperature-coefficient model are the canonical PVT examples. Black-box models carry no physical structure; they are fast and can reproduce complex measured behaviour, but cannot extrapolate and demand large, validated datasets.</w:t>
      </w:r>
    </w:p>
    <w:p w14:paraId="24A37B82" w14:textId="726AFADA" w:rsidR="00452140" w:rsidRPr="003B764A" w:rsidRDefault="00B14A8C" w:rsidP="00452140">
      <w:pPr>
        <w:pStyle w:val="SWCText"/>
        <w:rPr>
          <w:lang w:val="en-GB"/>
        </w:rPr>
      </w:pPr>
      <w:r w:rsidRPr="003B764A">
        <w:rPr>
          <w:lang w:val="en-GB"/>
        </w:rPr>
        <w:t>F</w:t>
      </w:r>
      <w:r w:rsidR="00452140" w:rsidRPr="003B764A">
        <w:rPr>
          <w:lang w:val="en-GB"/>
        </w:rPr>
        <w:t>lexible environment</w:t>
      </w:r>
      <w:r w:rsidRPr="003B764A">
        <w:rPr>
          <w:lang w:val="en-GB"/>
        </w:rPr>
        <w:t>s</w:t>
      </w:r>
      <w:r w:rsidR="00452140" w:rsidRPr="003B764A">
        <w:rPr>
          <w:lang w:val="en-GB"/>
        </w:rPr>
        <w:t xml:space="preserve"> </w:t>
      </w:r>
      <w:r w:rsidRPr="003B764A">
        <w:rPr>
          <w:lang w:val="en-GB"/>
        </w:rPr>
        <w:t>(</w:t>
      </w:r>
      <w:r w:rsidR="00452140" w:rsidRPr="003B764A">
        <w:rPr>
          <w:lang w:val="en-GB"/>
        </w:rPr>
        <w:t>Python or TRNSYS</w:t>
      </w:r>
      <w:r w:rsidRPr="003B764A">
        <w:rPr>
          <w:lang w:val="en-GB"/>
        </w:rPr>
        <w:t>)</w:t>
      </w:r>
      <w:r w:rsidR="00452140" w:rsidRPr="003B764A">
        <w:rPr>
          <w:lang w:val="en-GB"/>
        </w:rPr>
        <w:t xml:space="preserve"> can implement any of the three, whereas dedicated packages (Polysun, Modelica) predominantly deploy the </w:t>
      </w:r>
      <w:r w:rsidR="00AA2CE6" w:rsidRPr="003B764A">
        <w:rPr>
          <w:lang w:val="en-GB"/>
        </w:rPr>
        <w:t>grey-box</w:t>
      </w:r>
      <w:r w:rsidR="00452140" w:rsidRPr="003B764A">
        <w:rPr>
          <w:lang w:val="en-GB"/>
        </w:rPr>
        <w:t xml:space="preserve"> formulation, and CFD packages are inherently white-box. In practice, the </w:t>
      </w:r>
      <w:r w:rsidR="00C84DDE" w:rsidRPr="003B764A">
        <w:rPr>
          <w:lang w:val="en-GB"/>
        </w:rPr>
        <w:t>grey-box</w:t>
      </w:r>
      <w:r w:rsidR="00452140" w:rsidRPr="003B764A">
        <w:rPr>
          <w:lang w:val="en-GB"/>
        </w:rPr>
        <w:t xml:space="preserve"> ISO 9806 formulation is the de facto standard, which is why manufacturer-independent characterisation matters. </w:t>
      </w:r>
      <w:r w:rsidR="0071798D" w:rsidRPr="003B764A">
        <w:rPr>
          <w:lang w:val="en-GB"/>
        </w:rPr>
        <w:t xml:space="preserve">It is important to mention that the coverage pattern observed in </w:t>
      </w:r>
      <w:r w:rsidR="00B65A84" w:rsidRPr="003B764A">
        <w:rPr>
          <w:lang w:val="en-GB"/>
        </w:rPr>
        <w:fldChar w:fldCharType="begin"/>
      </w:r>
      <w:r w:rsidR="00B65A84" w:rsidRPr="003B764A">
        <w:rPr>
          <w:lang w:val="en-GB"/>
        </w:rPr>
        <w:instrText xml:space="preserve"> REF _Ref237252157 \h </w:instrText>
      </w:r>
      <w:r w:rsidR="00DB6571" w:rsidRPr="003B764A">
        <w:rPr>
          <w:lang w:val="en-GB"/>
        </w:rPr>
        <w:instrText xml:space="preserve"> \* MERGEFORMAT </w:instrText>
      </w:r>
      <w:r w:rsidR="00B65A84" w:rsidRPr="003B764A">
        <w:rPr>
          <w:lang w:val="en-GB"/>
        </w:rPr>
      </w:r>
      <w:r w:rsidR="00B65A84" w:rsidRPr="003B764A">
        <w:rPr>
          <w:lang w:val="en-GB"/>
        </w:rPr>
        <w:fldChar w:fldCharType="separate"/>
      </w:r>
      <w:r w:rsidR="00623810" w:rsidRPr="003B764A">
        <w:rPr>
          <w:lang w:val="en-GB"/>
        </w:rPr>
        <w:t>Tab. 2</w:t>
      </w:r>
      <w:r w:rsidR="00B65A84" w:rsidRPr="003B764A">
        <w:rPr>
          <w:lang w:val="en-GB"/>
        </w:rPr>
        <w:fldChar w:fldCharType="end"/>
      </w:r>
      <w:r w:rsidR="0071798D" w:rsidRPr="003B764A">
        <w:rPr>
          <w:lang w:val="en-GB"/>
        </w:rPr>
        <w:t xml:space="preserve"> is not incidental. The least supported phenomena are those involving latent heat exchange at the collector surface, for which the ISO 9806 formulation </w:t>
      </w:r>
      <w:r w:rsidRPr="003B764A">
        <w:rPr>
          <w:lang w:val="en-GB"/>
        </w:rPr>
        <w:t>lacks</w:t>
      </w:r>
      <w:r w:rsidR="0071798D" w:rsidRPr="003B764A">
        <w:rPr>
          <w:lang w:val="en-GB"/>
        </w:rPr>
        <w:t xml:space="preserve"> a driving variable, as humidity is not part of its set of independent variables. It follows that these gaps are attributable to the modelling approach rather than to a particular software implementation.</w:t>
      </w:r>
    </w:p>
    <w:p w14:paraId="097C5AAB" w14:textId="7AA528DD" w:rsidR="00452140" w:rsidRPr="003B764A" w:rsidRDefault="00452140" w:rsidP="00452140">
      <w:pPr>
        <w:pStyle w:val="SWCTableFigureCaption"/>
        <w:rPr>
          <w:lang w:val="en-GB"/>
        </w:rPr>
      </w:pPr>
      <w:bookmarkStart w:id="10" w:name="_Ref237252157"/>
      <w:r w:rsidRPr="003B764A">
        <w:rPr>
          <w:lang w:val="en-GB"/>
        </w:rPr>
        <w:t xml:space="preserve">Tab. </w:t>
      </w:r>
      <w:r w:rsidRPr="003B764A">
        <w:rPr>
          <w:lang w:val="en-GB"/>
        </w:rPr>
        <w:fldChar w:fldCharType="begin"/>
      </w:r>
      <w:r w:rsidRPr="003B764A">
        <w:rPr>
          <w:lang w:val="en-GB"/>
        </w:rPr>
        <w:instrText xml:space="preserve"> SEQ Tab. \* ARABIC </w:instrText>
      </w:r>
      <w:r w:rsidRPr="003B764A">
        <w:rPr>
          <w:lang w:val="en-GB"/>
        </w:rPr>
        <w:fldChar w:fldCharType="separate"/>
      </w:r>
      <w:r w:rsidR="00623810" w:rsidRPr="003B764A">
        <w:rPr>
          <w:noProof/>
          <w:lang w:val="en-GB"/>
        </w:rPr>
        <w:t>2</w:t>
      </w:r>
      <w:r w:rsidRPr="003B764A">
        <w:rPr>
          <w:lang w:val="en-GB"/>
        </w:rPr>
        <w:fldChar w:fldCharType="end"/>
      </w:r>
      <w:bookmarkEnd w:id="10"/>
      <w:r w:rsidRPr="003B764A">
        <w:rPr>
          <w:lang w:val="en-GB"/>
        </w:rPr>
        <w:t>: Characterisation of PVT modelling approaches and their typical coverage of physical phenomena</w:t>
      </w:r>
    </w:p>
    <w:tbl>
      <w:tblPr>
        <w:tblStyle w:val="Tablaconcuadrcula"/>
        <w:tblW w:w="9067" w:type="dxa"/>
        <w:tblLook w:val="04A0" w:firstRow="1" w:lastRow="0" w:firstColumn="1" w:lastColumn="0" w:noHBand="0" w:noVBand="1"/>
      </w:tblPr>
      <w:tblGrid>
        <w:gridCol w:w="2547"/>
        <w:gridCol w:w="2126"/>
        <w:gridCol w:w="2268"/>
        <w:gridCol w:w="2126"/>
      </w:tblGrid>
      <w:tr w:rsidR="00452140" w:rsidRPr="003B764A" w14:paraId="71F9D4B2" w14:textId="77777777" w:rsidTr="00EE47E8">
        <w:tc>
          <w:tcPr>
            <w:tcW w:w="2547" w:type="dxa"/>
            <w:vAlign w:val="center"/>
          </w:tcPr>
          <w:p w14:paraId="02AF1AE1" w14:textId="77777777" w:rsidR="00452140" w:rsidRPr="003B764A" w:rsidRDefault="00452140" w:rsidP="00EE47E8">
            <w:pPr>
              <w:jc w:val="center"/>
              <w:rPr>
                <w:color w:val="000000" w:themeColor="text1"/>
                <w:lang w:val="en-GB"/>
              </w:rPr>
            </w:pPr>
          </w:p>
        </w:tc>
        <w:tc>
          <w:tcPr>
            <w:tcW w:w="2126" w:type="dxa"/>
            <w:vAlign w:val="center"/>
          </w:tcPr>
          <w:p w14:paraId="12A6EB87" w14:textId="77777777" w:rsidR="00452140" w:rsidRPr="003B764A" w:rsidRDefault="00452140" w:rsidP="00EE47E8">
            <w:pPr>
              <w:jc w:val="center"/>
              <w:rPr>
                <w:color w:val="000000" w:themeColor="text1"/>
                <w:lang w:val="en-GB"/>
              </w:rPr>
            </w:pPr>
            <w:r w:rsidRPr="003B764A">
              <w:rPr>
                <w:rFonts w:eastAsia="Calibri"/>
                <w:b/>
                <w:bCs/>
                <w:color w:val="000000" w:themeColor="text1"/>
                <w:sz w:val="16"/>
                <w:szCs w:val="16"/>
                <w:lang w:val="en-GB"/>
              </w:rPr>
              <w:t>White-box</w:t>
            </w:r>
          </w:p>
        </w:tc>
        <w:tc>
          <w:tcPr>
            <w:tcW w:w="2268" w:type="dxa"/>
            <w:shd w:val="clear" w:color="auto" w:fill="D9D9D9" w:themeFill="background1" w:themeFillShade="D9"/>
            <w:vAlign w:val="center"/>
          </w:tcPr>
          <w:p w14:paraId="28A65FF5" w14:textId="3F67BE9F" w:rsidR="00452140" w:rsidRPr="003B764A" w:rsidRDefault="00452140" w:rsidP="00EE47E8">
            <w:pPr>
              <w:jc w:val="center"/>
              <w:rPr>
                <w:color w:val="000000" w:themeColor="text1"/>
                <w:lang w:val="en-GB"/>
              </w:rPr>
            </w:pPr>
            <w:r w:rsidRPr="003B764A">
              <w:rPr>
                <w:rFonts w:eastAsia="Calibri"/>
                <w:b/>
                <w:bCs/>
                <w:color w:val="000000" w:themeColor="text1"/>
                <w:sz w:val="16"/>
                <w:szCs w:val="16"/>
                <w:lang w:val="en-GB"/>
              </w:rPr>
              <w:t>Gr</w:t>
            </w:r>
            <w:r w:rsidR="008E6CE2" w:rsidRPr="003B764A">
              <w:rPr>
                <w:rFonts w:eastAsia="Calibri"/>
                <w:b/>
                <w:bCs/>
                <w:color w:val="000000" w:themeColor="text1"/>
                <w:sz w:val="16"/>
                <w:szCs w:val="16"/>
                <w:lang w:val="en-GB"/>
              </w:rPr>
              <w:t>e</w:t>
            </w:r>
            <w:r w:rsidRPr="003B764A">
              <w:rPr>
                <w:rFonts w:eastAsia="Calibri"/>
                <w:b/>
                <w:bCs/>
                <w:color w:val="000000" w:themeColor="text1"/>
                <w:sz w:val="16"/>
                <w:szCs w:val="16"/>
                <w:lang w:val="en-GB"/>
              </w:rPr>
              <w:t>y-box</w:t>
            </w:r>
          </w:p>
        </w:tc>
        <w:tc>
          <w:tcPr>
            <w:tcW w:w="2126" w:type="dxa"/>
            <w:shd w:val="clear" w:color="auto" w:fill="000000" w:themeFill="text1"/>
            <w:vAlign w:val="center"/>
          </w:tcPr>
          <w:p w14:paraId="11BBF02E" w14:textId="77777777" w:rsidR="00452140" w:rsidRPr="003B764A" w:rsidRDefault="00452140" w:rsidP="00EE47E8">
            <w:pPr>
              <w:jc w:val="center"/>
              <w:rPr>
                <w:color w:val="000000" w:themeColor="text1"/>
                <w:lang w:val="en-GB"/>
              </w:rPr>
            </w:pPr>
            <w:r w:rsidRPr="003B764A">
              <w:rPr>
                <w:rFonts w:eastAsia="Calibri"/>
                <w:b/>
                <w:bCs/>
                <w:sz w:val="16"/>
                <w:szCs w:val="16"/>
                <w:lang w:val="en-GB"/>
              </w:rPr>
              <w:t>Black-box</w:t>
            </w:r>
          </w:p>
        </w:tc>
      </w:tr>
      <w:tr w:rsidR="00452140" w:rsidRPr="003B764A" w14:paraId="777D3E60" w14:textId="77777777" w:rsidTr="00EE47E8">
        <w:trPr>
          <w:trHeight w:val="227"/>
        </w:trPr>
        <w:tc>
          <w:tcPr>
            <w:tcW w:w="9067" w:type="dxa"/>
            <w:gridSpan w:val="4"/>
            <w:vAlign w:val="center"/>
          </w:tcPr>
          <w:p w14:paraId="1861B584" w14:textId="77777777" w:rsidR="00452140" w:rsidRPr="003B764A" w:rsidRDefault="00452140" w:rsidP="00EE47E8">
            <w:pPr>
              <w:jc w:val="center"/>
              <w:rPr>
                <w:i/>
                <w:iCs/>
                <w:lang w:val="en-GB"/>
              </w:rPr>
            </w:pPr>
            <w:r w:rsidRPr="003B764A">
              <w:rPr>
                <w:rFonts w:eastAsia="Calibri"/>
                <w:b/>
                <w:bCs/>
                <w:i/>
                <w:iCs/>
                <w:color w:val="000000" w:themeColor="text1"/>
                <w:sz w:val="15"/>
                <w:szCs w:val="15"/>
                <w:lang w:val="en-GB"/>
              </w:rPr>
              <w:t>Approach characteristics</w:t>
            </w:r>
          </w:p>
        </w:tc>
      </w:tr>
      <w:tr w:rsidR="00452140" w:rsidRPr="003B764A" w14:paraId="4FD47A68" w14:textId="77777777" w:rsidTr="00EE47E8">
        <w:tc>
          <w:tcPr>
            <w:tcW w:w="2547" w:type="dxa"/>
            <w:vAlign w:val="center"/>
          </w:tcPr>
          <w:p w14:paraId="1ACED646" w14:textId="77777777" w:rsidR="00452140" w:rsidRPr="003B764A" w:rsidRDefault="00452140" w:rsidP="00EE47E8">
            <w:pPr>
              <w:jc w:val="center"/>
              <w:rPr>
                <w:lang w:val="en-GB"/>
              </w:rPr>
            </w:pPr>
            <w:r w:rsidRPr="003B764A">
              <w:rPr>
                <w:rFonts w:eastAsia="Calibri"/>
                <w:b/>
                <w:bCs/>
                <w:color w:val="1A1A1A"/>
                <w:sz w:val="15"/>
                <w:szCs w:val="15"/>
                <w:lang w:val="en-GB"/>
              </w:rPr>
              <w:t>Data needs</w:t>
            </w:r>
          </w:p>
        </w:tc>
        <w:tc>
          <w:tcPr>
            <w:tcW w:w="2126" w:type="dxa"/>
            <w:vAlign w:val="center"/>
          </w:tcPr>
          <w:p w14:paraId="0BFEF667" w14:textId="77777777" w:rsidR="00452140" w:rsidRPr="003B764A" w:rsidRDefault="00452140" w:rsidP="00EE47E8">
            <w:pPr>
              <w:jc w:val="center"/>
              <w:rPr>
                <w:sz w:val="15"/>
                <w:szCs w:val="15"/>
                <w:lang w:val="en-GB"/>
              </w:rPr>
            </w:pPr>
            <w:r w:rsidRPr="003B764A">
              <w:rPr>
                <w:rFonts w:eastAsia="Calibri"/>
                <w:color w:val="1A1A1A"/>
                <w:sz w:val="15"/>
                <w:szCs w:val="15"/>
                <w:lang w:val="en-GB"/>
              </w:rPr>
              <w:t>Geometry &amp; material properties</w:t>
            </w:r>
          </w:p>
        </w:tc>
        <w:tc>
          <w:tcPr>
            <w:tcW w:w="2268" w:type="dxa"/>
            <w:vAlign w:val="center"/>
          </w:tcPr>
          <w:p w14:paraId="4F3F7F05" w14:textId="6FA11177" w:rsidR="00452140" w:rsidRPr="003B764A" w:rsidRDefault="00452140" w:rsidP="00EE47E8">
            <w:pPr>
              <w:jc w:val="center"/>
              <w:rPr>
                <w:sz w:val="15"/>
                <w:szCs w:val="15"/>
                <w:lang w:val="en-GB"/>
              </w:rPr>
            </w:pPr>
            <w:r w:rsidRPr="003B764A">
              <w:rPr>
                <w:rFonts w:eastAsia="Calibri"/>
                <w:color w:val="1A1A1A"/>
                <w:sz w:val="15"/>
                <w:szCs w:val="15"/>
                <w:lang w:val="en-GB"/>
              </w:rPr>
              <w:t xml:space="preserve">Standard test coefficients (ISO 9806; </w:t>
            </w:r>
            <w:r w:rsidRPr="003B764A">
              <w:rPr>
                <w:rFonts w:eastAsia="Calibri"/>
                <w:sz w:val="15"/>
                <w:szCs w:val="15"/>
                <w:lang w:val="en-GB"/>
              </w:rPr>
              <w:t>PV temp</w:t>
            </w:r>
            <w:r w:rsidRPr="003B764A">
              <w:rPr>
                <w:rFonts w:eastAsia="Calibri"/>
                <w:color w:val="1A1A1A"/>
                <w:sz w:val="15"/>
                <w:szCs w:val="15"/>
                <w:lang w:val="en-GB"/>
              </w:rPr>
              <w:t>. coef.)</w:t>
            </w:r>
          </w:p>
        </w:tc>
        <w:tc>
          <w:tcPr>
            <w:tcW w:w="2126" w:type="dxa"/>
            <w:vAlign w:val="center"/>
          </w:tcPr>
          <w:p w14:paraId="51F8C618" w14:textId="7EC0A092" w:rsidR="00452140" w:rsidRPr="003B764A" w:rsidRDefault="008E6CE2" w:rsidP="00EE47E8">
            <w:pPr>
              <w:jc w:val="center"/>
              <w:rPr>
                <w:sz w:val="15"/>
                <w:szCs w:val="15"/>
                <w:lang w:val="en-GB"/>
              </w:rPr>
            </w:pPr>
            <w:r w:rsidRPr="003B764A">
              <w:rPr>
                <w:rFonts w:eastAsia="Calibri"/>
                <w:color w:val="1A1A1A"/>
                <w:sz w:val="15"/>
                <w:szCs w:val="15"/>
                <w:lang w:val="en-GB"/>
              </w:rPr>
              <w:t>Large, validated</w:t>
            </w:r>
            <w:r w:rsidR="00452140" w:rsidRPr="003B764A">
              <w:rPr>
                <w:rFonts w:eastAsia="Calibri"/>
                <w:color w:val="1A1A1A"/>
                <w:sz w:val="15"/>
                <w:szCs w:val="15"/>
                <w:lang w:val="en-GB"/>
              </w:rPr>
              <w:t xml:space="preserve"> monitoring datasets</w:t>
            </w:r>
          </w:p>
        </w:tc>
      </w:tr>
      <w:tr w:rsidR="00452140" w:rsidRPr="003B764A" w14:paraId="3DE4881D" w14:textId="77777777" w:rsidTr="00EE47E8">
        <w:tc>
          <w:tcPr>
            <w:tcW w:w="2547" w:type="dxa"/>
            <w:vAlign w:val="center"/>
          </w:tcPr>
          <w:p w14:paraId="2568D301" w14:textId="77777777" w:rsidR="00452140" w:rsidRPr="003B764A" w:rsidRDefault="00452140" w:rsidP="00EE47E8">
            <w:pPr>
              <w:jc w:val="center"/>
              <w:rPr>
                <w:lang w:val="en-GB"/>
              </w:rPr>
            </w:pPr>
            <w:r w:rsidRPr="003B764A">
              <w:rPr>
                <w:rFonts w:eastAsia="Calibri"/>
                <w:b/>
                <w:bCs/>
                <w:color w:val="1A1A1A"/>
                <w:sz w:val="15"/>
                <w:szCs w:val="15"/>
                <w:lang w:val="en-GB"/>
              </w:rPr>
              <w:t>Strengths</w:t>
            </w:r>
          </w:p>
        </w:tc>
        <w:tc>
          <w:tcPr>
            <w:tcW w:w="2126" w:type="dxa"/>
            <w:vAlign w:val="center"/>
          </w:tcPr>
          <w:p w14:paraId="4173A46E" w14:textId="77777777" w:rsidR="00452140" w:rsidRPr="003B764A" w:rsidRDefault="00452140" w:rsidP="00EE47E8">
            <w:pPr>
              <w:jc w:val="center"/>
              <w:rPr>
                <w:sz w:val="15"/>
                <w:szCs w:val="15"/>
                <w:lang w:val="en-GB"/>
              </w:rPr>
            </w:pPr>
            <w:r w:rsidRPr="003B764A">
              <w:rPr>
                <w:rFonts w:eastAsia="Calibri"/>
                <w:color w:val="1A1A1A"/>
                <w:sz w:val="15"/>
                <w:szCs w:val="15"/>
                <w:lang w:val="en-GB"/>
              </w:rPr>
              <w:t>Predictive; extrapolable; interpretable</w:t>
            </w:r>
          </w:p>
        </w:tc>
        <w:tc>
          <w:tcPr>
            <w:tcW w:w="2268" w:type="dxa"/>
            <w:vAlign w:val="center"/>
          </w:tcPr>
          <w:p w14:paraId="0C77EC5A" w14:textId="77777777" w:rsidR="00452140" w:rsidRPr="003B764A" w:rsidRDefault="00452140" w:rsidP="00EE47E8">
            <w:pPr>
              <w:jc w:val="center"/>
              <w:rPr>
                <w:sz w:val="15"/>
                <w:szCs w:val="15"/>
                <w:lang w:val="en-GB"/>
              </w:rPr>
            </w:pPr>
            <w:r w:rsidRPr="003B764A">
              <w:rPr>
                <w:rFonts w:eastAsia="Calibri"/>
                <w:color w:val="1A1A1A"/>
                <w:sz w:val="15"/>
                <w:szCs w:val="15"/>
                <w:lang w:val="en-GB"/>
              </w:rPr>
              <w:t>Efficient, standardised; good within test range</w:t>
            </w:r>
          </w:p>
        </w:tc>
        <w:tc>
          <w:tcPr>
            <w:tcW w:w="2126" w:type="dxa"/>
            <w:vAlign w:val="center"/>
          </w:tcPr>
          <w:p w14:paraId="6FB2EABF" w14:textId="77777777" w:rsidR="00452140" w:rsidRPr="003B764A" w:rsidRDefault="00452140" w:rsidP="00EE47E8">
            <w:pPr>
              <w:jc w:val="center"/>
              <w:rPr>
                <w:sz w:val="15"/>
                <w:szCs w:val="15"/>
                <w:lang w:val="en-GB"/>
              </w:rPr>
            </w:pPr>
            <w:r w:rsidRPr="003B764A">
              <w:rPr>
                <w:rFonts w:eastAsia="Calibri"/>
                <w:color w:val="1A1A1A"/>
                <w:sz w:val="15"/>
                <w:szCs w:val="15"/>
                <w:lang w:val="en-GB"/>
              </w:rPr>
              <w:t>Fast; captures complex measured behaviour</w:t>
            </w:r>
          </w:p>
        </w:tc>
      </w:tr>
      <w:tr w:rsidR="00452140" w:rsidRPr="003B764A" w14:paraId="1E94E55A" w14:textId="77777777" w:rsidTr="00EE47E8">
        <w:tc>
          <w:tcPr>
            <w:tcW w:w="2547" w:type="dxa"/>
            <w:vAlign w:val="center"/>
          </w:tcPr>
          <w:p w14:paraId="03469B94" w14:textId="77777777" w:rsidR="00452140" w:rsidRPr="003B764A" w:rsidRDefault="00452140" w:rsidP="00EE47E8">
            <w:pPr>
              <w:jc w:val="center"/>
              <w:rPr>
                <w:lang w:val="en-GB"/>
              </w:rPr>
            </w:pPr>
            <w:r w:rsidRPr="003B764A">
              <w:rPr>
                <w:rFonts w:eastAsia="Calibri"/>
                <w:b/>
                <w:bCs/>
                <w:color w:val="1A1A1A"/>
                <w:sz w:val="15"/>
                <w:szCs w:val="15"/>
                <w:lang w:val="en-GB"/>
              </w:rPr>
              <w:t>Limitations</w:t>
            </w:r>
          </w:p>
        </w:tc>
        <w:tc>
          <w:tcPr>
            <w:tcW w:w="2126" w:type="dxa"/>
            <w:vAlign w:val="center"/>
          </w:tcPr>
          <w:p w14:paraId="46CB247A" w14:textId="77777777" w:rsidR="00452140" w:rsidRPr="003B764A" w:rsidRDefault="00452140" w:rsidP="00EE47E8">
            <w:pPr>
              <w:jc w:val="center"/>
              <w:rPr>
                <w:sz w:val="15"/>
                <w:szCs w:val="15"/>
                <w:lang w:val="en-GB"/>
              </w:rPr>
            </w:pPr>
            <w:r w:rsidRPr="003B764A">
              <w:rPr>
                <w:rFonts w:eastAsia="Calibri"/>
                <w:color w:val="1A1A1A"/>
                <w:sz w:val="15"/>
                <w:szCs w:val="15"/>
                <w:lang w:val="en-GB"/>
              </w:rPr>
              <w:t>Computationally heavy; property data</w:t>
            </w:r>
          </w:p>
        </w:tc>
        <w:tc>
          <w:tcPr>
            <w:tcW w:w="2268" w:type="dxa"/>
            <w:vAlign w:val="center"/>
          </w:tcPr>
          <w:p w14:paraId="7A434080" w14:textId="77777777" w:rsidR="00452140" w:rsidRPr="003B764A" w:rsidRDefault="00452140" w:rsidP="00EE47E8">
            <w:pPr>
              <w:jc w:val="center"/>
              <w:rPr>
                <w:sz w:val="15"/>
                <w:szCs w:val="15"/>
                <w:lang w:val="en-GB"/>
              </w:rPr>
            </w:pPr>
            <w:r w:rsidRPr="003B764A">
              <w:rPr>
                <w:rFonts w:eastAsia="Calibri"/>
                <w:color w:val="1A1A1A"/>
                <w:sz w:val="15"/>
                <w:szCs w:val="15"/>
                <w:lang w:val="en-GB"/>
              </w:rPr>
              <w:t>Valid only within tested envelope</w:t>
            </w:r>
          </w:p>
        </w:tc>
        <w:tc>
          <w:tcPr>
            <w:tcW w:w="2126" w:type="dxa"/>
            <w:vAlign w:val="center"/>
          </w:tcPr>
          <w:p w14:paraId="010E59BA" w14:textId="77777777" w:rsidR="00452140" w:rsidRPr="003B764A" w:rsidRDefault="00452140" w:rsidP="00EE47E8">
            <w:pPr>
              <w:jc w:val="center"/>
              <w:rPr>
                <w:sz w:val="15"/>
                <w:szCs w:val="15"/>
                <w:lang w:val="en-GB"/>
              </w:rPr>
            </w:pPr>
            <w:r w:rsidRPr="003B764A">
              <w:rPr>
                <w:rFonts w:eastAsia="Calibri"/>
                <w:color w:val="1A1A1A"/>
                <w:sz w:val="15"/>
                <w:szCs w:val="15"/>
                <w:lang w:val="en-GB"/>
              </w:rPr>
              <w:t>No extrapolation; data-hungry; no insight</w:t>
            </w:r>
          </w:p>
        </w:tc>
      </w:tr>
      <w:tr w:rsidR="00452140" w:rsidRPr="003B764A" w14:paraId="0ECB7B8E" w14:textId="77777777" w:rsidTr="00EE47E8">
        <w:tc>
          <w:tcPr>
            <w:tcW w:w="2547" w:type="dxa"/>
            <w:vAlign w:val="center"/>
          </w:tcPr>
          <w:p w14:paraId="512F6AB0" w14:textId="77777777" w:rsidR="00452140" w:rsidRPr="003B764A" w:rsidRDefault="00452140" w:rsidP="00EE47E8">
            <w:pPr>
              <w:jc w:val="center"/>
              <w:rPr>
                <w:lang w:val="en-GB"/>
              </w:rPr>
            </w:pPr>
            <w:r w:rsidRPr="003B764A">
              <w:rPr>
                <w:rFonts w:eastAsia="Calibri"/>
                <w:b/>
                <w:bCs/>
                <w:color w:val="1A1A1A"/>
                <w:sz w:val="15"/>
                <w:szCs w:val="15"/>
                <w:lang w:val="en-GB"/>
              </w:rPr>
              <w:t>Typical tools</w:t>
            </w:r>
          </w:p>
        </w:tc>
        <w:tc>
          <w:tcPr>
            <w:tcW w:w="2126" w:type="dxa"/>
            <w:vAlign w:val="center"/>
          </w:tcPr>
          <w:p w14:paraId="231CC1BC" w14:textId="77777777" w:rsidR="00452140" w:rsidRPr="0086208F" w:rsidRDefault="00452140" w:rsidP="00EE47E8">
            <w:pPr>
              <w:jc w:val="center"/>
              <w:rPr>
                <w:sz w:val="15"/>
                <w:szCs w:val="15"/>
                <w:lang w:val="es-ES"/>
              </w:rPr>
            </w:pPr>
            <w:r w:rsidRPr="0086208F">
              <w:rPr>
                <w:rFonts w:eastAsia="Calibri"/>
                <w:color w:val="1A1A1A"/>
                <w:sz w:val="15"/>
                <w:szCs w:val="15"/>
                <w:lang w:val="es-ES"/>
              </w:rPr>
              <w:t>Python, Modelica, EES, COMSOL (CFD)</w:t>
            </w:r>
          </w:p>
        </w:tc>
        <w:tc>
          <w:tcPr>
            <w:tcW w:w="2268" w:type="dxa"/>
            <w:vAlign w:val="center"/>
          </w:tcPr>
          <w:p w14:paraId="214118B9" w14:textId="77777777" w:rsidR="00452140" w:rsidRPr="003B764A" w:rsidRDefault="00452140" w:rsidP="00EE47E8">
            <w:pPr>
              <w:jc w:val="center"/>
              <w:rPr>
                <w:sz w:val="15"/>
                <w:szCs w:val="15"/>
                <w:lang w:val="en-GB"/>
              </w:rPr>
            </w:pPr>
            <w:r w:rsidRPr="003B764A">
              <w:rPr>
                <w:rFonts w:eastAsia="Calibri"/>
                <w:color w:val="1A1A1A"/>
                <w:sz w:val="15"/>
                <w:szCs w:val="15"/>
                <w:lang w:val="en-GB"/>
              </w:rPr>
              <w:t>TRNSYS, Polysun, TRANSOL, MATLAB+CARNOT</w:t>
            </w:r>
          </w:p>
        </w:tc>
        <w:tc>
          <w:tcPr>
            <w:tcW w:w="2126" w:type="dxa"/>
            <w:vAlign w:val="center"/>
          </w:tcPr>
          <w:p w14:paraId="595E395D" w14:textId="47904708" w:rsidR="00452140" w:rsidRPr="003B764A" w:rsidRDefault="00452140" w:rsidP="00EE47E8">
            <w:pPr>
              <w:jc w:val="center"/>
              <w:rPr>
                <w:sz w:val="15"/>
                <w:szCs w:val="15"/>
                <w:lang w:val="en-GB"/>
              </w:rPr>
            </w:pPr>
            <w:r w:rsidRPr="003B764A">
              <w:rPr>
                <w:rFonts w:eastAsia="Calibri"/>
                <w:color w:val="1A1A1A"/>
                <w:sz w:val="15"/>
                <w:szCs w:val="15"/>
                <w:lang w:val="en-GB"/>
              </w:rPr>
              <w:t xml:space="preserve">ML in Python/MATLAB; spreadsheet </w:t>
            </w:r>
            <w:r w:rsidR="0000043E" w:rsidRPr="003B764A">
              <w:rPr>
                <w:rFonts w:eastAsia="Calibri"/>
                <w:color w:val="1A1A1A"/>
                <w:sz w:val="15"/>
                <w:szCs w:val="15"/>
                <w:lang w:val="en-GB"/>
              </w:rPr>
              <w:t>lookups</w:t>
            </w:r>
          </w:p>
        </w:tc>
      </w:tr>
      <w:tr w:rsidR="00452140" w:rsidRPr="003B764A" w14:paraId="203022FC" w14:textId="77777777" w:rsidTr="00EE47E8">
        <w:trPr>
          <w:trHeight w:val="227"/>
        </w:trPr>
        <w:tc>
          <w:tcPr>
            <w:tcW w:w="9067" w:type="dxa"/>
            <w:gridSpan w:val="4"/>
            <w:vAlign w:val="center"/>
          </w:tcPr>
          <w:p w14:paraId="2F4FB71A" w14:textId="02A480AF" w:rsidR="00452140" w:rsidRPr="003B764A" w:rsidRDefault="00452140" w:rsidP="00EE47E8">
            <w:pPr>
              <w:jc w:val="center"/>
              <w:rPr>
                <w:i/>
                <w:iCs/>
                <w:lang w:val="en-GB"/>
              </w:rPr>
            </w:pPr>
            <w:r w:rsidRPr="003B764A">
              <w:rPr>
                <w:rFonts w:eastAsia="Calibri"/>
                <w:b/>
                <w:bCs/>
                <w:i/>
                <w:iCs/>
                <w:color w:val="000000" w:themeColor="text1"/>
                <w:sz w:val="15"/>
                <w:szCs w:val="15"/>
                <w:lang w:val="en-GB"/>
              </w:rPr>
              <w:t>Physical-phenomenon coverage</w:t>
            </w:r>
          </w:p>
        </w:tc>
      </w:tr>
      <w:tr w:rsidR="00452140" w:rsidRPr="003B764A" w14:paraId="47323EAF" w14:textId="77777777" w:rsidTr="00EE47E8">
        <w:tc>
          <w:tcPr>
            <w:tcW w:w="2547" w:type="dxa"/>
            <w:vAlign w:val="center"/>
          </w:tcPr>
          <w:p w14:paraId="71BADC69" w14:textId="77777777" w:rsidR="00452140" w:rsidRPr="003B764A" w:rsidRDefault="00452140" w:rsidP="00EE47E8">
            <w:pPr>
              <w:jc w:val="center"/>
              <w:rPr>
                <w:lang w:val="en-GB"/>
              </w:rPr>
            </w:pPr>
            <w:r w:rsidRPr="003B764A">
              <w:rPr>
                <w:rFonts w:eastAsia="Calibri"/>
                <w:b/>
                <w:bCs/>
                <w:color w:val="1A1A1A"/>
                <w:sz w:val="15"/>
                <w:szCs w:val="15"/>
                <w:lang w:val="en-GB"/>
              </w:rPr>
              <w:t>Thermal energy generation</w:t>
            </w:r>
          </w:p>
        </w:tc>
        <w:tc>
          <w:tcPr>
            <w:tcW w:w="2126" w:type="dxa"/>
            <w:vAlign w:val="center"/>
          </w:tcPr>
          <w:p w14:paraId="28A69132" w14:textId="77777777" w:rsidR="00452140" w:rsidRPr="003B764A" w:rsidRDefault="00452140" w:rsidP="00EE47E8">
            <w:pPr>
              <w:jc w:val="center"/>
              <w:rPr>
                <w:color w:val="000000" w:themeColor="text1"/>
                <w:sz w:val="22"/>
                <w:szCs w:val="22"/>
                <w:lang w:val="en-GB"/>
              </w:rPr>
            </w:pPr>
            <w:r w:rsidRPr="003B764A">
              <w:rPr>
                <w:rFonts w:eastAsia="Calibri"/>
                <w:b/>
                <w:bCs/>
                <w:color w:val="000000" w:themeColor="text1"/>
                <w:sz w:val="22"/>
                <w:szCs w:val="22"/>
                <w:lang w:val="en-GB"/>
              </w:rPr>
              <w:t>●</w:t>
            </w:r>
          </w:p>
        </w:tc>
        <w:tc>
          <w:tcPr>
            <w:tcW w:w="2268" w:type="dxa"/>
            <w:vAlign w:val="center"/>
          </w:tcPr>
          <w:p w14:paraId="191CF7F8" w14:textId="77777777" w:rsidR="00452140" w:rsidRPr="003B764A" w:rsidRDefault="00452140" w:rsidP="00EE47E8">
            <w:pPr>
              <w:jc w:val="center"/>
              <w:rPr>
                <w:color w:val="000000" w:themeColor="text1"/>
                <w:sz w:val="22"/>
                <w:szCs w:val="22"/>
                <w:lang w:val="en-GB"/>
              </w:rPr>
            </w:pPr>
            <w:r w:rsidRPr="003B764A">
              <w:rPr>
                <w:rFonts w:eastAsia="Calibri"/>
                <w:b/>
                <w:bCs/>
                <w:color w:val="000000" w:themeColor="text1"/>
                <w:sz w:val="22"/>
                <w:szCs w:val="22"/>
                <w:lang w:val="en-GB"/>
              </w:rPr>
              <w:t>●</w:t>
            </w:r>
          </w:p>
        </w:tc>
        <w:tc>
          <w:tcPr>
            <w:tcW w:w="2126" w:type="dxa"/>
            <w:vAlign w:val="center"/>
          </w:tcPr>
          <w:p w14:paraId="07619F8B" w14:textId="77777777" w:rsidR="00452140" w:rsidRPr="003B764A" w:rsidRDefault="00452140" w:rsidP="00EE47E8">
            <w:pPr>
              <w:jc w:val="center"/>
              <w:rPr>
                <w:color w:val="000000" w:themeColor="text1"/>
                <w:lang w:val="en-GB"/>
              </w:rPr>
            </w:pPr>
            <w:r w:rsidRPr="003B764A">
              <w:rPr>
                <w:rFonts w:ascii="Segoe UI Symbol" w:eastAsia="Calibri" w:hAnsi="Segoe UI Symbol" w:cs="Segoe UI Symbol"/>
                <w:b/>
                <w:bCs/>
                <w:color w:val="000000" w:themeColor="text1"/>
                <w:sz w:val="18"/>
                <w:szCs w:val="18"/>
                <w:lang w:val="en-GB"/>
              </w:rPr>
              <w:t>◐</w:t>
            </w:r>
          </w:p>
        </w:tc>
      </w:tr>
      <w:tr w:rsidR="00452140" w:rsidRPr="003B764A" w14:paraId="70FBC6C2" w14:textId="77777777" w:rsidTr="00EE47E8">
        <w:tc>
          <w:tcPr>
            <w:tcW w:w="2547" w:type="dxa"/>
            <w:vAlign w:val="center"/>
          </w:tcPr>
          <w:p w14:paraId="6D9B9956" w14:textId="77777777" w:rsidR="00452140" w:rsidRPr="003B764A" w:rsidRDefault="00452140" w:rsidP="00EE47E8">
            <w:pPr>
              <w:jc w:val="center"/>
              <w:rPr>
                <w:lang w:val="en-GB"/>
              </w:rPr>
            </w:pPr>
            <w:r w:rsidRPr="003B764A">
              <w:rPr>
                <w:rFonts w:eastAsia="Calibri"/>
                <w:b/>
                <w:bCs/>
                <w:color w:val="1A1A1A"/>
                <w:sz w:val="15"/>
                <w:szCs w:val="15"/>
                <w:lang w:val="en-GB"/>
              </w:rPr>
              <w:t>Electrical (PV) generation</w:t>
            </w:r>
          </w:p>
        </w:tc>
        <w:tc>
          <w:tcPr>
            <w:tcW w:w="2126" w:type="dxa"/>
            <w:vAlign w:val="center"/>
          </w:tcPr>
          <w:p w14:paraId="05566950" w14:textId="77777777" w:rsidR="00452140" w:rsidRPr="003B764A" w:rsidRDefault="00452140" w:rsidP="00EE47E8">
            <w:pPr>
              <w:jc w:val="center"/>
              <w:rPr>
                <w:color w:val="000000" w:themeColor="text1"/>
                <w:sz w:val="22"/>
                <w:szCs w:val="22"/>
                <w:lang w:val="en-GB"/>
              </w:rPr>
            </w:pPr>
            <w:r w:rsidRPr="003B764A">
              <w:rPr>
                <w:rFonts w:eastAsia="Calibri"/>
                <w:b/>
                <w:bCs/>
                <w:color w:val="000000" w:themeColor="text1"/>
                <w:sz w:val="22"/>
                <w:szCs w:val="22"/>
                <w:lang w:val="en-GB"/>
              </w:rPr>
              <w:t>●</w:t>
            </w:r>
          </w:p>
        </w:tc>
        <w:tc>
          <w:tcPr>
            <w:tcW w:w="2268" w:type="dxa"/>
            <w:vAlign w:val="center"/>
          </w:tcPr>
          <w:p w14:paraId="5F12D948" w14:textId="77777777" w:rsidR="00452140" w:rsidRPr="003B764A" w:rsidRDefault="00452140" w:rsidP="00EE47E8">
            <w:pPr>
              <w:jc w:val="center"/>
              <w:rPr>
                <w:color w:val="000000" w:themeColor="text1"/>
                <w:sz w:val="22"/>
                <w:szCs w:val="22"/>
                <w:lang w:val="en-GB"/>
              </w:rPr>
            </w:pPr>
            <w:r w:rsidRPr="003B764A">
              <w:rPr>
                <w:rFonts w:eastAsia="Calibri"/>
                <w:b/>
                <w:bCs/>
                <w:color w:val="000000" w:themeColor="text1"/>
                <w:sz w:val="22"/>
                <w:szCs w:val="22"/>
                <w:lang w:val="en-GB"/>
              </w:rPr>
              <w:t>●</w:t>
            </w:r>
          </w:p>
        </w:tc>
        <w:tc>
          <w:tcPr>
            <w:tcW w:w="2126" w:type="dxa"/>
            <w:vAlign w:val="center"/>
          </w:tcPr>
          <w:p w14:paraId="71269A56" w14:textId="77777777" w:rsidR="00452140" w:rsidRPr="003B764A" w:rsidRDefault="00452140" w:rsidP="00EE47E8">
            <w:pPr>
              <w:jc w:val="center"/>
              <w:rPr>
                <w:color w:val="000000" w:themeColor="text1"/>
                <w:lang w:val="en-GB"/>
              </w:rPr>
            </w:pPr>
            <w:r w:rsidRPr="003B764A">
              <w:rPr>
                <w:rFonts w:ascii="Segoe UI Symbol" w:eastAsia="Calibri" w:hAnsi="Segoe UI Symbol" w:cs="Segoe UI Symbol"/>
                <w:b/>
                <w:bCs/>
                <w:color w:val="000000" w:themeColor="text1"/>
                <w:sz w:val="18"/>
                <w:szCs w:val="18"/>
                <w:lang w:val="en-GB"/>
              </w:rPr>
              <w:t>◐</w:t>
            </w:r>
          </w:p>
        </w:tc>
      </w:tr>
      <w:tr w:rsidR="00452140" w:rsidRPr="003B764A" w14:paraId="085E3588" w14:textId="77777777" w:rsidTr="00EE47E8">
        <w:tc>
          <w:tcPr>
            <w:tcW w:w="2547" w:type="dxa"/>
            <w:vAlign w:val="center"/>
          </w:tcPr>
          <w:p w14:paraId="0604E183" w14:textId="3F09FFE1" w:rsidR="00452140" w:rsidRPr="003B764A" w:rsidRDefault="00452140" w:rsidP="00EE47E8">
            <w:pPr>
              <w:jc w:val="center"/>
              <w:rPr>
                <w:lang w:val="en-GB"/>
              </w:rPr>
            </w:pPr>
            <w:r w:rsidRPr="003B764A">
              <w:rPr>
                <w:rFonts w:eastAsia="Calibri"/>
                <w:b/>
                <w:bCs/>
                <w:color w:val="1A1A1A"/>
                <w:sz w:val="15"/>
                <w:szCs w:val="15"/>
                <w:lang w:val="en-GB"/>
              </w:rPr>
              <w:t>Dynamic behaviour/thermal inertia</w:t>
            </w:r>
          </w:p>
        </w:tc>
        <w:tc>
          <w:tcPr>
            <w:tcW w:w="2126" w:type="dxa"/>
            <w:vAlign w:val="center"/>
          </w:tcPr>
          <w:p w14:paraId="044C1AC3" w14:textId="77777777" w:rsidR="00452140" w:rsidRPr="003B764A" w:rsidRDefault="00452140" w:rsidP="00EE47E8">
            <w:pPr>
              <w:jc w:val="center"/>
              <w:rPr>
                <w:color w:val="000000" w:themeColor="text1"/>
                <w:sz w:val="22"/>
                <w:szCs w:val="22"/>
                <w:lang w:val="en-GB"/>
              </w:rPr>
            </w:pPr>
            <w:r w:rsidRPr="003B764A">
              <w:rPr>
                <w:rFonts w:eastAsia="Calibri"/>
                <w:b/>
                <w:bCs/>
                <w:color w:val="000000" w:themeColor="text1"/>
                <w:sz w:val="22"/>
                <w:szCs w:val="22"/>
                <w:lang w:val="en-GB"/>
              </w:rPr>
              <w:t>●</w:t>
            </w:r>
          </w:p>
        </w:tc>
        <w:tc>
          <w:tcPr>
            <w:tcW w:w="2268" w:type="dxa"/>
            <w:vAlign w:val="center"/>
          </w:tcPr>
          <w:p w14:paraId="76AB58D8" w14:textId="77777777" w:rsidR="00452140" w:rsidRPr="003B764A" w:rsidRDefault="00452140" w:rsidP="00EE47E8">
            <w:pPr>
              <w:jc w:val="center"/>
              <w:rPr>
                <w:color w:val="000000" w:themeColor="text1"/>
                <w:lang w:val="en-GB"/>
              </w:rPr>
            </w:pPr>
            <w:r w:rsidRPr="003B764A">
              <w:rPr>
                <w:rFonts w:ascii="Segoe UI Symbol" w:eastAsia="Calibri" w:hAnsi="Segoe UI Symbol" w:cs="Segoe UI Symbol"/>
                <w:b/>
                <w:bCs/>
                <w:color w:val="000000" w:themeColor="text1"/>
                <w:sz w:val="18"/>
                <w:szCs w:val="18"/>
                <w:lang w:val="en-GB"/>
              </w:rPr>
              <w:t>◐</w:t>
            </w:r>
          </w:p>
        </w:tc>
        <w:tc>
          <w:tcPr>
            <w:tcW w:w="2126" w:type="dxa"/>
            <w:vAlign w:val="center"/>
          </w:tcPr>
          <w:p w14:paraId="267C448A" w14:textId="77777777" w:rsidR="00452140" w:rsidRPr="003B764A" w:rsidRDefault="00452140" w:rsidP="00EE47E8">
            <w:pPr>
              <w:jc w:val="center"/>
              <w:rPr>
                <w:color w:val="000000" w:themeColor="text1"/>
                <w:lang w:val="en-GB"/>
              </w:rPr>
            </w:pPr>
            <w:r w:rsidRPr="003B764A">
              <w:rPr>
                <w:rFonts w:ascii="Segoe UI Symbol" w:eastAsia="Calibri" w:hAnsi="Segoe UI Symbol" w:cs="Segoe UI Symbol"/>
                <w:b/>
                <w:bCs/>
                <w:color w:val="000000" w:themeColor="text1"/>
                <w:sz w:val="18"/>
                <w:szCs w:val="18"/>
                <w:lang w:val="en-GB"/>
              </w:rPr>
              <w:t>◐</w:t>
            </w:r>
          </w:p>
        </w:tc>
      </w:tr>
      <w:tr w:rsidR="00452140" w:rsidRPr="003B764A" w14:paraId="7A87DC91" w14:textId="77777777" w:rsidTr="00EE47E8">
        <w:tc>
          <w:tcPr>
            <w:tcW w:w="2547" w:type="dxa"/>
            <w:vAlign w:val="center"/>
          </w:tcPr>
          <w:p w14:paraId="21385C41" w14:textId="77777777" w:rsidR="00452140" w:rsidRPr="003B764A" w:rsidRDefault="00452140" w:rsidP="00EE47E8">
            <w:pPr>
              <w:jc w:val="center"/>
              <w:rPr>
                <w:lang w:val="en-GB"/>
              </w:rPr>
            </w:pPr>
            <w:r w:rsidRPr="003B764A">
              <w:rPr>
                <w:rFonts w:eastAsia="Calibri"/>
                <w:b/>
                <w:bCs/>
                <w:color w:val="1A1A1A"/>
                <w:sz w:val="15"/>
                <w:szCs w:val="15"/>
                <w:lang w:val="en-GB"/>
              </w:rPr>
              <w:t>Part-load coupling with heat pumps</w:t>
            </w:r>
          </w:p>
        </w:tc>
        <w:tc>
          <w:tcPr>
            <w:tcW w:w="2126" w:type="dxa"/>
            <w:vAlign w:val="center"/>
          </w:tcPr>
          <w:p w14:paraId="0A37E5C9" w14:textId="77777777" w:rsidR="00452140" w:rsidRPr="003B764A" w:rsidRDefault="00452140" w:rsidP="00EE47E8">
            <w:pPr>
              <w:jc w:val="center"/>
              <w:rPr>
                <w:color w:val="000000" w:themeColor="text1"/>
                <w:sz w:val="22"/>
                <w:szCs w:val="22"/>
                <w:lang w:val="en-GB"/>
              </w:rPr>
            </w:pPr>
            <w:r w:rsidRPr="003B764A">
              <w:rPr>
                <w:rFonts w:eastAsia="Calibri"/>
                <w:b/>
                <w:bCs/>
                <w:color w:val="000000" w:themeColor="text1"/>
                <w:sz w:val="22"/>
                <w:szCs w:val="22"/>
                <w:lang w:val="en-GB"/>
              </w:rPr>
              <w:t>●</w:t>
            </w:r>
          </w:p>
        </w:tc>
        <w:tc>
          <w:tcPr>
            <w:tcW w:w="2268" w:type="dxa"/>
            <w:vAlign w:val="center"/>
          </w:tcPr>
          <w:p w14:paraId="1D76FE07" w14:textId="77777777" w:rsidR="00452140" w:rsidRPr="003B764A" w:rsidRDefault="00452140" w:rsidP="00EE47E8">
            <w:pPr>
              <w:jc w:val="center"/>
              <w:rPr>
                <w:color w:val="000000" w:themeColor="text1"/>
                <w:lang w:val="en-GB"/>
              </w:rPr>
            </w:pPr>
            <w:r w:rsidRPr="003B764A">
              <w:rPr>
                <w:rFonts w:ascii="Segoe UI Symbol" w:eastAsia="Calibri" w:hAnsi="Segoe UI Symbol" w:cs="Segoe UI Symbol"/>
                <w:b/>
                <w:bCs/>
                <w:color w:val="000000" w:themeColor="text1"/>
                <w:sz w:val="18"/>
                <w:szCs w:val="18"/>
                <w:lang w:val="en-GB"/>
              </w:rPr>
              <w:t>◐</w:t>
            </w:r>
          </w:p>
        </w:tc>
        <w:tc>
          <w:tcPr>
            <w:tcW w:w="2126" w:type="dxa"/>
            <w:vAlign w:val="center"/>
          </w:tcPr>
          <w:p w14:paraId="78FC1A3F" w14:textId="77777777" w:rsidR="00452140" w:rsidRPr="003B764A" w:rsidRDefault="00452140" w:rsidP="00EE47E8">
            <w:pPr>
              <w:jc w:val="center"/>
              <w:rPr>
                <w:color w:val="000000" w:themeColor="text1"/>
                <w:lang w:val="en-GB"/>
              </w:rPr>
            </w:pPr>
            <w:r w:rsidRPr="003B764A">
              <w:rPr>
                <w:rFonts w:ascii="Segoe UI Symbol" w:eastAsia="Calibri" w:hAnsi="Segoe UI Symbol" w:cs="Segoe UI Symbol"/>
                <w:b/>
                <w:bCs/>
                <w:color w:val="000000" w:themeColor="text1"/>
                <w:sz w:val="18"/>
                <w:szCs w:val="18"/>
                <w:lang w:val="en-GB"/>
              </w:rPr>
              <w:t>◐</w:t>
            </w:r>
          </w:p>
        </w:tc>
      </w:tr>
      <w:tr w:rsidR="00452140" w:rsidRPr="003B764A" w14:paraId="311BA8A4" w14:textId="77777777" w:rsidTr="00EE47E8">
        <w:tc>
          <w:tcPr>
            <w:tcW w:w="2547" w:type="dxa"/>
            <w:vAlign w:val="center"/>
          </w:tcPr>
          <w:p w14:paraId="4925A647" w14:textId="6B0AB91F" w:rsidR="00452140" w:rsidRPr="003B764A" w:rsidRDefault="0013652C" w:rsidP="00EE47E8">
            <w:pPr>
              <w:jc w:val="center"/>
              <w:rPr>
                <w:lang w:val="en-GB"/>
              </w:rPr>
            </w:pPr>
            <w:r w:rsidRPr="003B764A">
              <w:rPr>
                <w:rFonts w:eastAsia="Calibri"/>
                <w:b/>
                <w:bCs/>
                <w:color w:val="1A1A1A"/>
                <w:sz w:val="15"/>
                <w:szCs w:val="15"/>
                <w:lang w:val="en-GB"/>
              </w:rPr>
              <w:t>Overheating/stagnation</w:t>
            </w:r>
          </w:p>
        </w:tc>
        <w:tc>
          <w:tcPr>
            <w:tcW w:w="2126" w:type="dxa"/>
            <w:vAlign w:val="center"/>
          </w:tcPr>
          <w:p w14:paraId="4468D885" w14:textId="77777777" w:rsidR="00452140" w:rsidRPr="003B764A" w:rsidRDefault="00452140" w:rsidP="00EE47E8">
            <w:pPr>
              <w:jc w:val="center"/>
              <w:rPr>
                <w:color w:val="000000" w:themeColor="text1"/>
                <w:sz w:val="22"/>
                <w:szCs w:val="22"/>
                <w:lang w:val="en-GB"/>
              </w:rPr>
            </w:pPr>
            <w:r w:rsidRPr="003B764A">
              <w:rPr>
                <w:rFonts w:eastAsia="Calibri"/>
                <w:b/>
                <w:bCs/>
                <w:color w:val="000000" w:themeColor="text1"/>
                <w:sz w:val="22"/>
                <w:szCs w:val="22"/>
                <w:lang w:val="en-GB"/>
              </w:rPr>
              <w:t>●</w:t>
            </w:r>
          </w:p>
        </w:tc>
        <w:tc>
          <w:tcPr>
            <w:tcW w:w="2268" w:type="dxa"/>
            <w:vAlign w:val="center"/>
          </w:tcPr>
          <w:p w14:paraId="05474149" w14:textId="77777777" w:rsidR="00452140" w:rsidRPr="003B764A" w:rsidRDefault="00452140" w:rsidP="00EE47E8">
            <w:pPr>
              <w:jc w:val="center"/>
              <w:rPr>
                <w:color w:val="000000" w:themeColor="text1"/>
                <w:sz w:val="22"/>
                <w:szCs w:val="22"/>
                <w:lang w:val="en-GB"/>
              </w:rPr>
            </w:pPr>
            <w:r w:rsidRPr="003B764A">
              <w:rPr>
                <w:rFonts w:eastAsia="Calibri"/>
                <w:b/>
                <w:bCs/>
                <w:color w:val="000000" w:themeColor="text1"/>
                <w:sz w:val="22"/>
                <w:szCs w:val="22"/>
                <w:lang w:val="en-GB"/>
              </w:rPr>
              <w:t>○</w:t>
            </w:r>
          </w:p>
        </w:tc>
        <w:tc>
          <w:tcPr>
            <w:tcW w:w="2126" w:type="dxa"/>
            <w:vAlign w:val="center"/>
          </w:tcPr>
          <w:p w14:paraId="19A02E44" w14:textId="77777777" w:rsidR="00452140" w:rsidRPr="003B764A" w:rsidRDefault="00452140" w:rsidP="00EE47E8">
            <w:pPr>
              <w:jc w:val="center"/>
              <w:rPr>
                <w:color w:val="000000" w:themeColor="text1"/>
                <w:sz w:val="22"/>
                <w:szCs w:val="22"/>
                <w:lang w:val="en-GB"/>
              </w:rPr>
            </w:pPr>
            <w:r w:rsidRPr="003B764A">
              <w:rPr>
                <w:rFonts w:eastAsia="Calibri"/>
                <w:b/>
                <w:bCs/>
                <w:color w:val="000000" w:themeColor="text1"/>
                <w:sz w:val="22"/>
                <w:szCs w:val="22"/>
                <w:lang w:val="en-GB"/>
              </w:rPr>
              <w:t>○</w:t>
            </w:r>
          </w:p>
        </w:tc>
      </w:tr>
      <w:tr w:rsidR="00452140" w:rsidRPr="003B764A" w14:paraId="277FEA89" w14:textId="77777777" w:rsidTr="00EE47E8">
        <w:tc>
          <w:tcPr>
            <w:tcW w:w="2547" w:type="dxa"/>
            <w:vAlign w:val="center"/>
          </w:tcPr>
          <w:p w14:paraId="0D216F6D" w14:textId="77777777" w:rsidR="00452140" w:rsidRPr="003B764A" w:rsidRDefault="00452140" w:rsidP="00EE47E8">
            <w:pPr>
              <w:jc w:val="center"/>
              <w:rPr>
                <w:lang w:val="en-GB"/>
              </w:rPr>
            </w:pPr>
            <w:r w:rsidRPr="003B764A">
              <w:rPr>
                <w:rFonts w:eastAsia="Calibri"/>
                <w:b/>
                <w:bCs/>
                <w:color w:val="1A1A1A"/>
                <w:sz w:val="15"/>
                <w:szCs w:val="15"/>
                <w:lang w:val="en-GB"/>
              </w:rPr>
              <w:t>Wind sensitivity</w:t>
            </w:r>
          </w:p>
        </w:tc>
        <w:tc>
          <w:tcPr>
            <w:tcW w:w="2126" w:type="dxa"/>
            <w:vAlign w:val="center"/>
          </w:tcPr>
          <w:p w14:paraId="56BC65E3" w14:textId="77777777" w:rsidR="00452140" w:rsidRPr="003B764A" w:rsidRDefault="00452140" w:rsidP="00EE47E8">
            <w:pPr>
              <w:jc w:val="center"/>
              <w:rPr>
                <w:color w:val="000000" w:themeColor="text1"/>
                <w:sz w:val="22"/>
                <w:szCs w:val="22"/>
                <w:lang w:val="en-GB"/>
              </w:rPr>
            </w:pPr>
            <w:r w:rsidRPr="003B764A">
              <w:rPr>
                <w:rFonts w:eastAsia="Calibri"/>
                <w:b/>
                <w:bCs/>
                <w:color w:val="000000" w:themeColor="text1"/>
                <w:sz w:val="22"/>
                <w:szCs w:val="22"/>
                <w:lang w:val="en-GB"/>
              </w:rPr>
              <w:t>●</w:t>
            </w:r>
          </w:p>
        </w:tc>
        <w:tc>
          <w:tcPr>
            <w:tcW w:w="2268" w:type="dxa"/>
            <w:vAlign w:val="center"/>
          </w:tcPr>
          <w:p w14:paraId="149DA5A3" w14:textId="77777777" w:rsidR="00452140" w:rsidRPr="003B764A" w:rsidRDefault="00452140" w:rsidP="00EE47E8">
            <w:pPr>
              <w:jc w:val="center"/>
              <w:rPr>
                <w:color w:val="000000" w:themeColor="text1"/>
                <w:lang w:val="en-GB"/>
              </w:rPr>
            </w:pPr>
            <w:r w:rsidRPr="003B764A">
              <w:rPr>
                <w:rFonts w:ascii="Segoe UI Symbol" w:eastAsia="Calibri" w:hAnsi="Segoe UI Symbol" w:cs="Segoe UI Symbol"/>
                <w:b/>
                <w:bCs/>
                <w:color w:val="000000" w:themeColor="text1"/>
                <w:sz w:val="18"/>
                <w:szCs w:val="18"/>
                <w:lang w:val="en-GB"/>
              </w:rPr>
              <w:t>◐</w:t>
            </w:r>
          </w:p>
        </w:tc>
        <w:tc>
          <w:tcPr>
            <w:tcW w:w="2126" w:type="dxa"/>
            <w:vAlign w:val="center"/>
          </w:tcPr>
          <w:p w14:paraId="7EE80E77" w14:textId="77777777" w:rsidR="00452140" w:rsidRPr="003B764A" w:rsidRDefault="00452140" w:rsidP="00EE47E8">
            <w:pPr>
              <w:jc w:val="center"/>
              <w:rPr>
                <w:color w:val="000000" w:themeColor="text1"/>
                <w:lang w:val="en-GB"/>
              </w:rPr>
            </w:pPr>
            <w:r w:rsidRPr="003B764A">
              <w:rPr>
                <w:rFonts w:ascii="Segoe UI Symbol" w:eastAsia="Calibri" w:hAnsi="Segoe UI Symbol" w:cs="Segoe UI Symbol"/>
                <w:b/>
                <w:bCs/>
                <w:color w:val="000000" w:themeColor="text1"/>
                <w:sz w:val="18"/>
                <w:szCs w:val="18"/>
                <w:lang w:val="en-GB"/>
              </w:rPr>
              <w:t>◐</w:t>
            </w:r>
          </w:p>
        </w:tc>
      </w:tr>
      <w:tr w:rsidR="00452140" w:rsidRPr="003B764A" w14:paraId="35F90321" w14:textId="77777777" w:rsidTr="00EE47E8">
        <w:tc>
          <w:tcPr>
            <w:tcW w:w="2547" w:type="dxa"/>
            <w:vAlign w:val="center"/>
          </w:tcPr>
          <w:p w14:paraId="7155549F" w14:textId="77777777" w:rsidR="00452140" w:rsidRPr="003B764A" w:rsidRDefault="00452140" w:rsidP="00EE47E8">
            <w:pPr>
              <w:jc w:val="center"/>
              <w:rPr>
                <w:lang w:val="en-GB"/>
              </w:rPr>
            </w:pPr>
            <w:r w:rsidRPr="003B764A">
              <w:rPr>
                <w:rFonts w:eastAsia="Calibri"/>
                <w:b/>
                <w:bCs/>
                <w:color w:val="1A1A1A"/>
                <w:sz w:val="15"/>
                <w:szCs w:val="15"/>
                <w:lang w:val="en-GB"/>
              </w:rPr>
              <w:t>Radiative (sky) cooling</w:t>
            </w:r>
          </w:p>
        </w:tc>
        <w:tc>
          <w:tcPr>
            <w:tcW w:w="2126" w:type="dxa"/>
            <w:vAlign w:val="center"/>
          </w:tcPr>
          <w:p w14:paraId="719C4335" w14:textId="77777777" w:rsidR="00452140" w:rsidRPr="003B764A" w:rsidRDefault="00452140" w:rsidP="00EE47E8">
            <w:pPr>
              <w:jc w:val="center"/>
              <w:rPr>
                <w:color w:val="000000" w:themeColor="text1"/>
                <w:sz w:val="22"/>
                <w:szCs w:val="22"/>
                <w:lang w:val="en-GB"/>
              </w:rPr>
            </w:pPr>
            <w:r w:rsidRPr="003B764A">
              <w:rPr>
                <w:rFonts w:eastAsia="Calibri"/>
                <w:b/>
                <w:bCs/>
                <w:color w:val="000000" w:themeColor="text1"/>
                <w:sz w:val="22"/>
                <w:szCs w:val="22"/>
                <w:lang w:val="en-GB"/>
              </w:rPr>
              <w:t>●</w:t>
            </w:r>
          </w:p>
        </w:tc>
        <w:tc>
          <w:tcPr>
            <w:tcW w:w="2268" w:type="dxa"/>
            <w:vAlign w:val="center"/>
          </w:tcPr>
          <w:p w14:paraId="12CB343B" w14:textId="77777777" w:rsidR="00452140" w:rsidRPr="003B764A" w:rsidRDefault="00452140" w:rsidP="00EE47E8">
            <w:pPr>
              <w:jc w:val="center"/>
              <w:rPr>
                <w:color w:val="000000" w:themeColor="text1"/>
                <w:lang w:val="en-GB"/>
              </w:rPr>
            </w:pPr>
            <w:r w:rsidRPr="003B764A">
              <w:rPr>
                <w:rFonts w:ascii="Segoe UI Symbol" w:eastAsia="Calibri" w:hAnsi="Segoe UI Symbol" w:cs="Segoe UI Symbol"/>
                <w:b/>
                <w:bCs/>
                <w:color w:val="000000" w:themeColor="text1"/>
                <w:sz w:val="18"/>
                <w:szCs w:val="18"/>
                <w:lang w:val="en-GB"/>
              </w:rPr>
              <w:t>◐</w:t>
            </w:r>
          </w:p>
        </w:tc>
        <w:tc>
          <w:tcPr>
            <w:tcW w:w="2126" w:type="dxa"/>
            <w:vAlign w:val="center"/>
          </w:tcPr>
          <w:p w14:paraId="189F652C" w14:textId="77777777" w:rsidR="00452140" w:rsidRPr="003B764A" w:rsidRDefault="00452140" w:rsidP="00EE47E8">
            <w:pPr>
              <w:jc w:val="center"/>
              <w:rPr>
                <w:color w:val="000000" w:themeColor="text1"/>
                <w:lang w:val="en-GB"/>
              </w:rPr>
            </w:pPr>
            <w:r w:rsidRPr="003B764A">
              <w:rPr>
                <w:rFonts w:eastAsia="Calibri"/>
                <w:b/>
                <w:bCs/>
                <w:color w:val="000000" w:themeColor="text1"/>
                <w:sz w:val="22"/>
                <w:szCs w:val="22"/>
                <w:lang w:val="en-GB"/>
              </w:rPr>
              <w:t>○</w:t>
            </w:r>
          </w:p>
        </w:tc>
      </w:tr>
      <w:tr w:rsidR="00452140" w:rsidRPr="003B764A" w14:paraId="680598EB" w14:textId="77777777" w:rsidTr="00EE47E8">
        <w:tc>
          <w:tcPr>
            <w:tcW w:w="2547" w:type="dxa"/>
            <w:vAlign w:val="center"/>
          </w:tcPr>
          <w:p w14:paraId="2CF9E108" w14:textId="77777777" w:rsidR="00452140" w:rsidRPr="003B764A" w:rsidRDefault="00452140" w:rsidP="00EE47E8">
            <w:pPr>
              <w:jc w:val="center"/>
              <w:rPr>
                <w:lang w:val="en-GB"/>
              </w:rPr>
            </w:pPr>
            <w:r w:rsidRPr="003B764A">
              <w:rPr>
                <w:rFonts w:eastAsia="Calibri"/>
                <w:b/>
                <w:bCs/>
                <w:color w:val="1A1A1A"/>
                <w:sz w:val="15"/>
                <w:szCs w:val="15"/>
                <w:lang w:val="en-GB"/>
              </w:rPr>
              <w:t>Condensation gains</w:t>
            </w:r>
          </w:p>
        </w:tc>
        <w:tc>
          <w:tcPr>
            <w:tcW w:w="2126" w:type="dxa"/>
            <w:vAlign w:val="center"/>
          </w:tcPr>
          <w:p w14:paraId="093AB3CC" w14:textId="77777777" w:rsidR="00452140" w:rsidRPr="003B764A" w:rsidRDefault="00452140" w:rsidP="00EE47E8">
            <w:pPr>
              <w:jc w:val="center"/>
              <w:rPr>
                <w:color w:val="000000" w:themeColor="text1"/>
                <w:lang w:val="en-GB"/>
              </w:rPr>
            </w:pPr>
            <w:r w:rsidRPr="003B764A">
              <w:rPr>
                <w:rFonts w:ascii="Segoe UI Symbol" w:eastAsia="Calibri" w:hAnsi="Segoe UI Symbol" w:cs="Segoe UI Symbol"/>
                <w:b/>
                <w:bCs/>
                <w:color w:val="000000" w:themeColor="text1"/>
                <w:sz w:val="18"/>
                <w:szCs w:val="18"/>
                <w:lang w:val="en-GB"/>
              </w:rPr>
              <w:t>◐</w:t>
            </w:r>
          </w:p>
        </w:tc>
        <w:tc>
          <w:tcPr>
            <w:tcW w:w="2268" w:type="dxa"/>
            <w:vAlign w:val="center"/>
          </w:tcPr>
          <w:p w14:paraId="2C103BF4" w14:textId="77777777" w:rsidR="00452140" w:rsidRPr="003B764A" w:rsidRDefault="00452140" w:rsidP="00EE47E8">
            <w:pPr>
              <w:jc w:val="center"/>
              <w:rPr>
                <w:color w:val="000000" w:themeColor="text1"/>
                <w:sz w:val="22"/>
                <w:szCs w:val="22"/>
                <w:lang w:val="en-GB"/>
              </w:rPr>
            </w:pPr>
            <w:r w:rsidRPr="003B764A">
              <w:rPr>
                <w:rFonts w:eastAsia="Calibri"/>
                <w:b/>
                <w:bCs/>
                <w:color w:val="000000" w:themeColor="text1"/>
                <w:sz w:val="22"/>
                <w:szCs w:val="22"/>
                <w:lang w:val="en-GB"/>
              </w:rPr>
              <w:t>○</w:t>
            </w:r>
          </w:p>
        </w:tc>
        <w:tc>
          <w:tcPr>
            <w:tcW w:w="2126" w:type="dxa"/>
            <w:vAlign w:val="center"/>
          </w:tcPr>
          <w:p w14:paraId="05D8C4E1" w14:textId="77777777" w:rsidR="00452140" w:rsidRPr="003B764A" w:rsidRDefault="00452140" w:rsidP="00EE47E8">
            <w:pPr>
              <w:jc w:val="center"/>
              <w:rPr>
                <w:color w:val="000000" w:themeColor="text1"/>
                <w:sz w:val="22"/>
                <w:szCs w:val="22"/>
                <w:lang w:val="en-GB"/>
              </w:rPr>
            </w:pPr>
            <w:r w:rsidRPr="003B764A">
              <w:rPr>
                <w:rFonts w:eastAsia="Calibri"/>
                <w:b/>
                <w:bCs/>
                <w:color w:val="000000" w:themeColor="text1"/>
                <w:sz w:val="22"/>
                <w:szCs w:val="22"/>
                <w:lang w:val="en-GB"/>
              </w:rPr>
              <w:t>○</w:t>
            </w:r>
          </w:p>
        </w:tc>
      </w:tr>
      <w:tr w:rsidR="00452140" w:rsidRPr="003B764A" w14:paraId="3850CADB" w14:textId="77777777" w:rsidTr="00EE47E8">
        <w:tc>
          <w:tcPr>
            <w:tcW w:w="2547" w:type="dxa"/>
            <w:vAlign w:val="center"/>
          </w:tcPr>
          <w:p w14:paraId="39C85D84" w14:textId="77777777" w:rsidR="00452140" w:rsidRPr="003B764A" w:rsidRDefault="00452140" w:rsidP="00EE47E8">
            <w:pPr>
              <w:jc w:val="center"/>
              <w:rPr>
                <w:lang w:val="en-GB"/>
              </w:rPr>
            </w:pPr>
            <w:r w:rsidRPr="003B764A">
              <w:rPr>
                <w:rFonts w:eastAsia="Calibri"/>
                <w:b/>
                <w:bCs/>
                <w:color w:val="1A1A1A"/>
                <w:sz w:val="15"/>
                <w:szCs w:val="15"/>
                <w:lang w:val="en-GB"/>
              </w:rPr>
              <w:t>Ice / frost formation</w:t>
            </w:r>
          </w:p>
        </w:tc>
        <w:tc>
          <w:tcPr>
            <w:tcW w:w="2126" w:type="dxa"/>
            <w:vAlign w:val="center"/>
          </w:tcPr>
          <w:p w14:paraId="56B86B3E" w14:textId="77777777" w:rsidR="00452140" w:rsidRPr="003B764A" w:rsidRDefault="00452140" w:rsidP="00EE47E8">
            <w:pPr>
              <w:jc w:val="center"/>
              <w:rPr>
                <w:color w:val="000000" w:themeColor="text1"/>
                <w:lang w:val="en-GB"/>
              </w:rPr>
            </w:pPr>
            <w:r w:rsidRPr="003B764A">
              <w:rPr>
                <w:rFonts w:ascii="Segoe UI Symbol" w:eastAsia="Calibri" w:hAnsi="Segoe UI Symbol" w:cs="Segoe UI Symbol"/>
                <w:b/>
                <w:bCs/>
                <w:color w:val="000000" w:themeColor="text1"/>
                <w:sz w:val="18"/>
                <w:szCs w:val="18"/>
                <w:lang w:val="en-GB"/>
              </w:rPr>
              <w:t>◐</w:t>
            </w:r>
          </w:p>
        </w:tc>
        <w:tc>
          <w:tcPr>
            <w:tcW w:w="2268" w:type="dxa"/>
            <w:vAlign w:val="center"/>
          </w:tcPr>
          <w:p w14:paraId="7BF6FEA3" w14:textId="77777777" w:rsidR="00452140" w:rsidRPr="003B764A" w:rsidRDefault="00452140" w:rsidP="00EE47E8">
            <w:pPr>
              <w:jc w:val="center"/>
              <w:rPr>
                <w:color w:val="000000" w:themeColor="text1"/>
                <w:sz w:val="22"/>
                <w:szCs w:val="22"/>
                <w:lang w:val="en-GB"/>
              </w:rPr>
            </w:pPr>
            <w:r w:rsidRPr="003B764A">
              <w:rPr>
                <w:rFonts w:eastAsia="Calibri"/>
                <w:b/>
                <w:bCs/>
                <w:color w:val="000000" w:themeColor="text1"/>
                <w:sz w:val="22"/>
                <w:szCs w:val="22"/>
                <w:lang w:val="en-GB"/>
              </w:rPr>
              <w:t>○</w:t>
            </w:r>
          </w:p>
        </w:tc>
        <w:tc>
          <w:tcPr>
            <w:tcW w:w="2126" w:type="dxa"/>
            <w:vAlign w:val="center"/>
          </w:tcPr>
          <w:p w14:paraId="4D93C09B" w14:textId="77777777" w:rsidR="00452140" w:rsidRPr="003B764A" w:rsidRDefault="00452140" w:rsidP="00EE47E8">
            <w:pPr>
              <w:jc w:val="center"/>
              <w:rPr>
                <w:color w:val="000000" w:themeColor="text1"/>
                <w:sz w:val="22"/>
                <w:szCs w:val="22"/>
                <w:lang w:val="en-GB"/>
              </w:rPr>
            </w:pPr>
            <w:r w:rsidRPr="003B764A">
              <w:rPr>
                <w:rFonts w:eastAsia="Calibri"/>
                <w:b/>
                <w:bCs/>
                <w:color w:val="000000" w:themeColor="text1"/>
                <w:sz w:val="22"/>
                <w:szCs w:val="22"/>
                <w:lang w:val="en-GB"/>
              </w:rPr>
              <w:t>○</w:t>
            </w:r>
          </w:p>
        </w:tc>
      </w:tr>
    </w:tbl>
    <w:p w14:paraId="0E831784" w14:textId="77777777" w:rsidR="00452140" w:rsidRPr="0005295C" w:rsidRDefault="00452140" w:rsidP="00452140">
      <w:pPr>
        <w:spacing w:after="20"/>
        <w:rPr>
          <w:i/>
          <w:iCs/>
          <w:color w:val="000000" w:themeColor="text1"/>
          <w:sz w:val="18"/>
          <w:szCs w:val="18"/>
          <w:lang w:val="en-GB"/>
        </w:rPr>
      </w:pPr>
      <w:r w:rsidRPr="0005295C">
        <w:rPr>
          <w:rFonts w:eastAsia="Calibri"/>
          <w:b/>
          <w:bCs/>
          <w:i/>
          <w:iCs/>
          <w:color w:val="000000" w:themeColor="text1"/>
          <w:sz w:val="18"/>
          <w:szCs w:val="18"/>
          <w:lang w:val="en-GB"/>
        </w:rPr>
        <w:t xml:space="preserve">● </w:t>
      </w:r>
      <w:r w:rsidRPr="0005295C">
        <w:rPr>
          <w:rFonts w:eastAsia="Calibri"/>
          <w:i/>
          <w:iCs/>
          <w:color w:val="000000" w:themeColor="text1"/>
          <w:sz w:val="18"/>
          <w:szCs w:val="18"/>
          <w:lang w:val="en-GB"/>
        </w:rPr>
        <w:t xml:space="preserve">well-supported / standard practice   </w:t>
      </w:r>
      <w:r w:rsidRPr="0005295C">
        <w:rPr>
          <w:rFonts w:ascii="Cambria Math" w:eastAsia="Calibri" w:hAnsi="Cambria Math" w:cs="Cambria Math"/>
          <w:b/>
          <w:bCs/>
          <w:i/>
          <w:iCs/>
          <w:color w:val="000000" w:themeColor="text1"/>
          <w:sz w:val="18"/>
          <w:szCs w:val="18"/>
          <w:lang w:val="en-GB"/>
        </w:rPr>
        <w:t>◐</w:t>
      </w:r>
      <w:r w:rsidRPr="0005295C">
        <w:rPr>
          <w:rFonts w:eastAsia="Calibri"/>
          <w:b/>
          <w:bCs/>
          <w:i/>
          <w:iCs/>
          <w:color w:val="000000" w:themeColor="text1"/>
          <w:sz w:val="18"/>
          <w:szCs w:val="18"/>
          <w:lang w:val="en-GB"/>
        </w:rPr>
        <w:t xml:space="preserve"> </w:t>
      </w:r>
      <w:r w:rsidRPr="0005295C">
        <w:rPr>
          <w:rFonts w:eastAsia="Calibri"/>
          <w:i/>
          <w:iCs/>
          <w:color w:val="000000" w:themeColor="text1"/>
          <w:sz w:val="18"/>
          <w:szCs w:val="18"/>
          <w:lang w:val="en-GB"/>
        </w:rPr>
        <w:t xml:space="preserve">achievable with additional effort or data   </w:t>
      </w:r>
      <w:r w:rsidRPr="0005295C">
        <w:rPr>
          <w:rFonts w:eastAsia="Calibri"/>
          <w:b/>
          <w:bCs/>
          <w:i/>
          <w:iCs/>
          <w:color w:val="000000" w:themeColor="text1"/>
          <w:sz w:val="18"/>
          <w:szCs w:val="18"/>
          <w:lang w:val="en-GB"/>
        </w:rPr>
        <w:t xml:space="preserve">○ </w:t>
      </w:r>
      <w:r w:rsidRPr="0005295C">
        <w:rPr>
          <w:rFonts w:eastAsia="Calibri"/>
          <w:i/>
          <w:iCs/>
          <w:color w:val="000000" w:themeColor="text1"/>
          <w:sz w:val="18"/>
          <w:szCs w:val="18"/>
          <w:lang w:val="en-GB"/>
        </w:rPr>
        <w:t>not typically modelled / impractical</w:t>
      </w:r>
    </w:p>
    <w:p w14:paraId="2223BDAE" w14:textId="392DD982" w:rsidR="003C7BF3" w:rsidRPr="003B764A" w:rsidRDefault="00623810" w:rsidP="00970FBA">
      <w:pPr>
        <w:pStyle w:val="SWCHeading11"/>
      </w:pPr>
      <w:r w:rsidRPr="003B764A">
        <w:t xml:space="preserve">3.2. </w:t>
      </w:r>
      <w:r w:rsidR="00BC3520" w:rsidRPr="003B764A">
        <w:t>Adoption across career levels</w:t>
      </w:r>
      <w:r w:rsidR="003C7BF3" w:rsidRPr="003B764A">
        <w:t xml:space="preserve"> </w:t>
      </w:r>
    </w:p>
    <w:p w14:paraId="4929ED2E" w14:textId="64272311" w:rsidR="00AB1CF3" w:rsidRPr="003B764A" w:rsidRDefault="00294109" w:rsidP="00294109">
      <w:pPr>
        <w:pStyle w:val="SWCText"/>
        <w:rPr>
          <w:lang w:val="en-GB"/>
        </w:rPr>
      </w:pPr>
      <w:r w:rsidRPr="003B764A">
        <w:rPr>
          <w:lang w:val="en-GB"/>
        </w:rPr>
        <w:t xml:space="preserve">To better understand the current landscape of PVT </w:t>
      </w:r>
      <w:r w:rsidR="00D34713" w:rsidRPr="003B764A">
        <w:rPr>
          <w:lang w:val="en-GB"/>
        </w:rPr>
        <w:t xml:space="preserve">simulation, a survey was developed within the PVT4EU project </w:t>
      </w:r>
      <w:sdt>
        <w:sdtPr>
          <w:rPr>
            <w:lang w:val="en-GB"/>
          </w:rPr>
          <w:tag w:val="MENDELEY_CITATION_v3_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"/>
          <w:id w:val="-732687929"/>
          <w:placeholder>
            <w:docPart w:val="DefaultPlaceholder_-1854013440"/>
          </w:placeholder>
        </w:sdtPr>
        <w:sdtEndPr/>
        <w:sdtContent>
          <w:r w:rsidR="0086208F" w:rsidRPr="0086208F">
            <w:rPr>
              <w:lang w:val="en-GB"/>
            </w:rPr>
            <w:t>(PVT4EU, 2026)</w:t>
          </w:r>
        </w:sdtContent>
      </w:sdt>
      <w:r w:rsidR="00D34713" w:rsidRPr="003B764A">
        <w:rPr>
          <w:lang w:val="en-GB"/>
        </w:rPr>
        <w:t xml:space="preserve"> to capture how students and early-career researchers </w:t>
      </w:r>
      <w:r w:rsidR="005A557F" w:rsidRPr="003B764A">
        <w:rPr>
          <w:lang w:val="en-GB"/>
        </w:rPr>
        <w:t>model</w:t>
      </w:r>
      <w:r w:rsidR="00D34713" w:rsidRPr="003B764A">
        <w:rPr>
          <w:lang w:val="en-GB"/>
        </w:rPr>
        <w:t xml:space="preserve"> PVT systems: which tools they use, how they learned, what they represent in their models, and where they get stuck. The objective is to surface the key barriers, data gaps</w:t>
      </w:r>
      <w:r w:rsidR="00554AC5" w:rsidRPr="003B764A">
        <w:rPr>
          <w:lang w:val="en-GB"/>
        </w:rPr>
        <w:t>,</w:t>
      </w:r>
      <w:r w:rsidR="00D34713" w:rsidRPr="003B764A">
        <w:rPr>
          <w:lang w:val="en-GB"/>
        </w:rPr>
        <w:t xml:space="preserve"> and training needs so that IEA SHC Task 73 can target its guidelines, tools</w:t>
      </w:r>
      <w:r w:rsidR="00554AC5" w:rsidRPr="003B764A">
        <w:rPr>
          <w:lang w:val="en-GB"/>
        </w:rPr>
        <w:t>,</w:t>
      </w:r>
      <w:r w:rsidR="00D34713" w:rsidRPr="003B764A">
        <w:rPr>
          <w:lang w:val="en-GB"/>
        </w:rPr>
        <w:t xml:space="preserve"> and shared </w:t>
      </w:r>
      <w:r w:rsidR="00D34713" w:rsidRPr="003B764A">
        <w:rPr>
          <w:lang w:val="en-GB"/>
        </w:rPr>
        <w:lastRenderedPageBreak/>
        <w:t xml:space="preserve">resources where they will have the most impact. </w:t>
      </w:r>
      <w:r w:rsidR="003C03B2" w:rsidRPr="003B764A">
        <w:rPr>
          <w:lang w:val="en-GB"/>
        </w:rPr>
        <w:t xml:space="preserve">Master’s students made up 71% of respondents, 67% self-identified as beginners, and 67% had six months or less of PVT experience. Energy Engineering was the dominant background (63%), with respondents </w:t>
      </w:r>
      <w:r w:rsidR="00AB1CF3" w:rsidRPr="003B764A">
        <w:rPr>
          <w:lang w:val="en-GB"/>
        </w:rPr>
        <w:t xml:space="preserve">spread </w:t>
      </w:r>
      <w:r w:rsidR="003C03B2" w:rsidRPr="003B764A">
        <w:rPr>
          <w:lang w:val="en-GB"/>
        </w:rPr>
        <w:t xml:space="preserve">across </w:t>
      </w:r>
      <w:r w:rsidR="00AB1CF3" w:rsidRPr="003B764A">
        <w:rPr>
          <w:lang w:val="en-GB"/>
        </w:rPr>
        <w:t>eleven</w:t>
      </w:r>
      <w:r w:rsidR="003C03B2" w:rsidRPr="003B764A">
        <w:rPr>
          <w:lang w:val="en-GB"/>
        </w:rPr>
        <w:t xml:space="preserve"> countries (led by Sweden and Spain). </w:t>
      </w:r>
    </w:p>
    <w:p w14:paraId="3B41AFDF" w14:textId="42D4EA7C" w:rsidR="00A36C31" w:rsidRPr="003B764A" w:rsidRDefault="00A35D6C" w:rsidP="00294109">
      <w:pPr>
        <w:pStyle w:val="SWCText"/>
        <w:rPr>
          <w:lang w:val="en-GB"/>
        </w:rPr>
      </w:pPr>
      <w:r w:rsidRPr="003B764A">
        <w:rPr>
          <w:lang w:val="en-GB"/>
        </w:rPr>
        <w:t xml:space="preserve">As it was observed in </w:t>
      </w:r>
      <w:r w:rsidR="00DC0D46">
        <w:rPr>
          <w:lang w:val="en-GB"/>
        </w:rPr>
        <w:t xml:space="preserve">IEA SHC </w:t>
      </w:r>
      <w:r w:rsidRPr="003B764A">
        <w:rPr>
          <w:lang w:val="en-GB"/>
        </w:rPr>
        <w:t>Task 60, TRNSYS is the common backbone of both groups</w:t>
      </w:r>
      <w:r w:rsidR="003B2E24" w:rsidRPr="003B764A">
        <w:rPr>
          <w:lang w:val="en-GB"/>
        </w:rPr>
        <w:t xml:space="preserve"> (</w:t>
      </w:r>
      <w:r w:rsidR="003B2E24" w:rsidRPr="003B764A">
        <w:rPr>
          <w:lang w:val="en-GB"/>
        </w:rPr>
        <w:fldChar w:fldCharType="begin"/>
      </w:r>
      <w:r w:rsidR="003B2E24" w:rsidRPr="003B764A">
        <w:rPr>
          <w:lang w:val="en-GB"/>
        </w:rPr>
        <w:instrText xml:space="preserve"> REF _Ref236304300 \h </w:instrText>
      </w:r>
      <w:r w:rsidR="003B2E24" w:rsidRPr="003B764A">
        <w:rPr>
          <w:lang w:val="en-GB"/>
        </w:rPr>
      </w:r>
      <w:r w:rsidR="003B2E24" w:rsidRPr="003B764A">
        <w:rPr>
          <w:lang w:val="en-GB"/>
        </w:rPr>
        <w:fldChar w:fldCharType="separate"/>
      </w:r>
      <w:r w:rsidR="00623810" w:rsidRPr="003B764A">
        <w:rPr>
          <w:lang w:val="en-GB"/>
        </w:rPr>
        <w:t xml:space="preserve">Fig. </w:t>
      </w:r>
      <w:r w:rsidR="00623810" w:rsidRPr="003B764A">
        <w:rPr>
          <w:noProof/>
          <w:lang w:val="en-GB"/>
        </w:rPr>
        <w:t>9</w:t>
      </w:r>
      <w:r w:rsidR="003B2E24" w:rsidRPr="003B764A">
        <w:rPr>
          <w:lang w:val="en-GB"/>
        </w:rPr>
        <w:fldChar w:fldCharType="end"/>
      </w:r>
      <w:r w:rsidR="003B2E24" w:rsidRPr="003B764A">
        <w:rPr>
          <w:lang w:val="en-GB"/>
        </w:rPr>
        <w:t>)</w:t>
      </w:r>
      <w:r w:rsidR="00787F39" w:rsidRPr="003B764A">
        <w:rPr>
          <w:lang w:val="en-GB"/>
        </w:rPr>
        <w:t xml:space="preserve">, reflecting the dominance of the </w:t>
      </w:r>
      <w:r w:rsidR="007739B9" w:rsidRPr="003B764A">
        <w:rPr>
          <w:lang w:val="en-GB"/>
        </w:rPr>
        <w:t>standardised grey-box</w:t>
      </w:r>
      <w:r w:rsidR="00787F39" w:rsidRPr="003B764A">
        <w:rPr>
          <w:lang w:val="en-GB"/>
        </w:rPr>
        <w:t xml:space="preserve"> formulation it hosts. Beyond it</w:t>
      </w:r>
      <w:r w:rsidR="00DC0D46">
        <w:rPr>
          <w:lang w:val="en-GB"/>
        </w:rPr>
        <w:t>,</w:t>
      </w:r>
      <w:r w:rsidR="00787F39" w:rsidRPr="003B764A">
        <w:rPr>
          <w:lang w:val="en-GB"/>
        </w:rPr>
        <w:t xml:space="preserve"> the toolchains diverge: the flexible, code-based environments MATLAB and Python</w:t>
      </w:r>
      <w:r w:rsidR="00A90573" w:rsidRPr="003B764A">
        <w:rPr>
          <w:lang w:val="en-GB"/>
        </w:rPr>
        <w:t>,</w:t>
      </w:r>
      <w:r w:rsidR="00B14783" w:rsidRPr="003B764A">
        <w:rPr>
          <w:lang w:val="en-GB"/>
        </w:rPr>
        <w:t xml:space="preserve"> usual hosts for white-box models, are markedly more prevalent among early</w:t>
      </w:r>
      <w:r w:rsidR="00722F26" w:rsidRPr="003B764A">
        <w:rPr>
          <w:lang w:val="en-GB"/>
        </w:rPr>
        <w:t>-career researchers</w:t>
      </w:r>
      <w:r w:rsidR="00B94CD5" w:rsidRPr="003B764A">
        <w:rPr>
          <w:lang w:val="en-GB"/>
        </w:rPr>
        <w:t xml:space="preserve"> (26% and 23%</w:t>
      </w:r>
      <w:r w:rsidR="00DC0D46">
        <w:rPr>
          <w:lang w:val="en-GB"/>
        </w:rPr>
        <w:t>, respectively</w:t>
      </w:r>
      <w:r w:rsidR="00B94CD5" w:rsidRPr="003B764A">
        <w:rPr>
          <w:lang w:val="en-GB"/>
        </w:rPr>
        <w:t>)</w:t>
      </w:r>
      <w:r w:rsidR="00722F26" w:rsidRPr="003B764A">
        <w:rPr>
          <w:lang w:val="en-GB"/>
        </w:rPr>
        <w:t xml:space="preserve"> than in the expert community</w:t>
      </w:r>
      <w:r w:rsidR="002F1CFA" w:rsidRPr="003B764A">
        <w:rPr>
          <w:lang w:val="en-GB"/>
        </w:rPr>
        <w:t xml:space="preserve"> (7% and 17%</w:t>
      </w:r>
      <w:r w:rsidR="00DC0D46">
        <w:rPr>
          <w:lang w:val="en-GB"/>
        </w:rPr>
        <w:t>, respectively</w:t>
      </w:r>
      <w:r w:rsidR="002F1CFA" w:rsidRPr="003B764A">
        <w:rPr>
          <w:lang w:val="en-GB"/>
        </w:rPr>
        <w:t>)</w:t>
      </w:r>
      <w:r w:rsidR="00722F26" w:rsidRPr="003B764A">
        <w:rPr>
          <w:lang w:val="en-GB"/>
        </w:rPr>
        <w:t xml:space="preserve">, whereas </w:t>
      </w:r>
      <w:r w:rsidR="00B94CD5" w:rsidRPr="003B764A">
        <w:rPr>
          <w:lang w:val="en-GB"/>
        </w:rPr>
        <w:t>the dedicated design tool Polysun is prominent among experts (24%)</w:t>
      </w:r>
      <w:r w:rsidR="002F1CFA" w:rsidRPr="003B764A">
        <w:rPr>
          <w:lang w:val="en-GB"/>
        </w:rPr>
        <w:t xml:space="preserve">. Purely data-driven (black-box) </w:t>
      </w:r>
      <w:r w:rsidR="002D181F" w:rsidRPr="003B764A">
        <w:rPr>
          <w:lang w:val="en-GB"/>
        </w:rPr>
        <w:t>modelling</w:t>
      </w:r>
      <w:r w:rsidR="002F1CFA" w:rsidRPr="003B764A">
        <w:rPr>
          <w:lang w:val="en-GB"/>
        </w:rPr>
        <w:t xml:space="preserve"> remains marginal in both groups, held back by the data scarcity previously mentioned. </w:t>
      </w:r>
    </w:p>
    <w:p w14:paraId="4F37382C" w14:textId="691C113E" w:rsidR="00F84352" w:rsidRPr="003B764A" w:rsidRDefault="00187525" w:rsidP="00F72890">
      <w:pPr>
        <w:pStyle w:val="SWCText"/>
        <w:jc w:val="center"/>
        <w:rPr>
          <w:lang w:val="en-GB"/>
        </w:rPr>
      </w:pPr>
      <w:r w:rsidRPr="003B764A">
        <w:rPr>
          <w:noProof/>
          <w:color w:val="0BD0D9" w:themeColor="accent3"/>
          <w:lang w:val="en-GB"/>
        </w:rPr>
        <w:drawing>
          <wp:inline distT="0" distB="0" distL="0" distR="0" wp14:anchorId="74CE6BF6" wp14:editId="471E0949">
            <wp:extent cx="4563745" cy="1561381"/>
            <wp:effectExtent l="0" t="0" r="8255" b="1270"/>
            <wp:docPr id="1485070706" name="Chart 1">
              <a:extLst xmlns:a="http://schemas.openxmlformats.org/drawingml/2006/main">
                <a:ext uri="{FF2B5EF4-FFF2-40B4-BE49-F238E27FC236}">
                  <a16:creationId xmlns:a16="http://schemas.microsoft.com/office/drawing/2014/main" id="{CCA8612F-253D-C248-B9EB-682703138C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A12F78B" w14:textId="3DB36DC2" w:rsidR="00F72890" w:rsidRPr="003B764A" w:rsidRDefault="00F72890" w:rsidP="00F72890">
      <w:pPr>
        <w:pStyle w:val="SWCTableFigureCaption"/>
        <w:rPr>
          <w:lang w:val="en-GB"/>
        </w:rPr>
      </w:pPr>
      <w:bookmarkStart w:id="11" w:name="_Ref236304300"/>
      <w:r w:rsidRPr="003B764A">
        <w:rPr>
          <w:lang w:val="en-GB"/>
        </w:rPr>
        <w:t xml:space="preserve">Fig. </w:t>
      </w:r>
      <w:r w:rsidRPr="003B764A">
        <w:rPr>
          <w:lang w:val="en-GB"/>
        </w:rPr>
        <w:fldChar w:fldCharType="begin"/>
      </w:r>
      <w:r w:rsidRPr="003B764A">
        <w:rPr>
          <w:lang w:val="en-GB"/>
        </w:rPr>
        <w:instrText xml:space="preserve"> SEQ Fig. \* ARABIC </w:instrText>
      </w:r>
      <w:r w:rsidRPr="003B764A">
        <w:rPr>
          <w:lang w:val="en-GB"/>
        </w:rPr>
        <w:fldChar w:fldCharType="separate"/>
      </w:r>
      <w:r w:rsidR="00623810" w:rsidRPr="003B764A">
        <w:rPr>
          <w:noProof/>
          <w:lang w:val="en-GB"/>
        </w:rPr>
        <w:t>9</w:t>
      </w:r>
      <w:r w:rsidRPr="003B764A">
        <w:rPr>
          <w:lang w:val="en-GB"/>
        </w:rPr>
        <w:fldChar w:fldCharType="end"/>
      </w:r>
      <w:bookmarkEnd w:id="11"/>
      <w:r w:rsidRPr="003B764A">
        <w:rPr>
          <w:lang w:val="en-GB"/>
        </w:rPr>
        <w:t xml:space="preserve">: </w:t>
      </w:r>
      <w:r w:rsidR="00B202BB" w:rsidRPr="003B764A">
        <w:rPr>
          <w:lang w:val="en-GB"/>
        </w:rPr>
        <w:t>Simulation tools used for PVT modelling by career level</w:t>
      </w:r>
      <w:r w:rsidR="00274F49" w:rsidRPr="003B764A">
        <w:rPr>
          <w:lang w:val="en-GB"/>
        </w:rPr>
        <w:t>/</w:t>
      </w:r>
      <w:r w:rsidR="00B202BB" w:rsidRPr="003B764A">
        <w:rPr>
          <w:lang w:val="en-GB"/>
        </w:rPr>
        <w:t xml:space="preserve">early-career researchers (PVT4EU, n = 24) vs. </w:t>
      </w:r>
      <w:r w:rsidR="009C403B" w:rsidRPr="003B764A">
        <w:rPr>
          <w:lang w:val="en-GB"/>
        </w:rPr>
        <w:t>expert/industry</w:t>
      </w:r>
      <w:r w:rsidR="00B202BB" w:rsidRPr="003B764A">
        <w:rPr>
          <w:lang w:val="en-GB"/>
        </w:rPr>
        <w:t xml:space="preserve"> community</w:t>
      </w:r>
      <w:r w:rsidR="00617342" w:rsidRPr="003B764A">
        <w:rPr>
          <w:lang w:val="en-GB"/>
        </w:rPr>
        <w:t xml:space="preserve"> (IEA Task 73, n = </w:t>
      </w:r>
      <w:r w:rsidR="008A2748" w:rsidRPr="003B764A">
        <w:rPr>
          <w:lang w:val="en-GB"/>
        </w:rPr>
        <w:t>42</w:t>
      </w:r>
      <w:r w:rsidR="00274F49" w:rsidRPr="003B764A">
        <w:rPr>
          <w:lang w:val="en-GB"/>
        </w:rPr>
        <w:t>)</w:t>
      </w:r>
      <w:r w:rsidR="008A2748" w:rsidRPr="003B764A">
        <w:rPr>
          <w:lang w:val="en-GB"/>
        </w:rPr>
        <w:t xml:space="preserve"> (</w:t>
      </w:r>
      <w:r w:rsidR="00B202BB" w:rsidRPr="003B764A">
        <w:rPr>
          <w:lang w:val="en-GB"/>
        </w:rPr>
        <w:t>values are each tool’s share of mentions within its group</w:t>
      </w:r>
      <w:r w:rsidR="008A2748" w:rsidRPr="003B764A">
        <w:rPr>
          <w:lang w:val="en-GB"/>
        </w:rPr>
        <w:t>)</w:t>
      </w:r>
      <w:r w:rsidR="00B202BB" w:rsidRPr="003B764A">
        <w:rPr>
          <w:lang w:val="en-GB"/>
        </w:rPr>
        <w:t>.</w:t>
      </w:r>
      <w:r w:rsidRPr="003B764A">
        <w:rPr>
          <w:lang w:val="en-GB"/>
        </w:rPr>
        <w:t xml:space="preserve"> </w:t>
      </w:r>
    </w:p>
    <w:p w14:paraId="75389D76" w14:textId="77777777" w:rsidR="00A051B2" w:rsidRPr="003B764A" w:rsidRDefault="00A051B2" w:rsidP="00A051B2">
      <w:pPr>
        <w:pStyle w:val="SWCText"/>
        <w:rPr>
          <w:lang w:val="en-GB"/>
        </w:rPr>
      </w:pPr>
      <w:r w:rsidRPr="003B764A">
        <w:rPr>
          <w:lang w:val="en-GB"/>
        </w:rPr>
        <w:t xml:space="preserve">It is important to mention that the maturation of large language models has shifted the cost balance between dedicated and general-purpose approaches: implementation tasks that previously constituted one of the main barriers to custom modelling can now be generated with artificial intelligence (AI) assistance from a specified set of governing equations in a small fraction of the time formerly required, so development effort is no longer the binding constraint. The constraint migrates instead to validation, since such implementations reproduce the requested formulation without assurance of physical correctness and must be benchmarked against analytical limits or standardised test data. </w:t>
      </w:r>
    </w:p>
    <w:p w14:paraId="2AC43876" w14:textId="6118CCBC" w:rsidR="009B1656" w:rsidRPr="003B764A" w:rsidRDefault="00692DFD" w:rsidP="00692DFD">
      <w:pPr>
        <w:pStyle w:val="SWCText"/>
        <w:rPr>
          <w:lang w:val="en-GB"/>
        </w:rPr>
      </w:pPr>
      <w:r w:rsidRPr="003B764A">
        <w:rPr>
          <w:lang w:val="en-GB"/>
        </w:rPr>
        <w:t>Across 24 respondents, perceived difficulty averaged 3.4 out of 5 and was essentially flat across experience levels. More experience did not make the task feel easier, because the main obstacles are shared-infrastructure gaps (e.g</w:t>
      </w:r>
      <w:r w:rsidR="008A65C1" w:rsidRPr="003B764A">
        <w:rPr>
          <w:lang w:val="en-GB"/>
        </w:rPr>
        <w:t>.,</w:t>
      </w:r>
      <w:r w:rsidRPr="003B764A">
        <w:rPr>
          <w:lang w:val="en-GB"/>
        </w:rPr>
        <w:t xml:space="preserve"> missing data, open tools, </w:t>
      </w:r>
      <w:r w:rsidR="002441DE" w:rsidRPr="003B764A">
        <w:rPr>
          <w:lang w:val="en-GB"/>
        </w:rPr>
        <w:t>and</w:t>
      </w:r>
      <w:r w:rsidRPr="003B764A">
        <w:rPr>
          <w:lang w:val="en-GB"/>
        </w:rPr>
        <w:t xml:space="preserve"> reference cases) rather than individual capability. </w:t>
      </w:r>
      <w:r w:rsidR="00A578CD" w:rsidRPr="003B764A">
        <w:rPr>
          <w:lang w:val="en-GB"/>
        </w:rPr>
        <w:t xml:space="preserve">It follows that open, validated reference models should target TRNSYS and Python to reach both audiences, while Polysun cannot be ignored where industrial uptake is the goal. </w:t>
      </w:r>
      <w:r w:rsidRPr="003B764A">
        <w:rPr>
          <w:lang w:val="en-GB"/>
        </w:rPr>
        <w:t>This is the</w:t>
      </w:r>
      <w:r w:rsidR="008E59AD" w:rsidRPr="003B764A">
        <w:rPr>
          <w:lang w:val="en-GB"/>
        </w:rPr>
        <w:t xml:space="preserve"> </w:t>
      </w:r>
      <w:r w:rsidR="002B132A" w:rsidRPr="003B764A">
        <w:rPr>
          <w:lang w:val="en-GB"/>
        </w:rPr>
        <w:t xml:space="preserve">type </w:t>
      </w:r>
      <w:r w:rsidR="002B132A">
        <w:rPr>
          <w:lang w:val="en-GB"/>
        </w:rPr>
        <w:t>of challenge</w:t>
      </w:r>
      <w:r w:rsidR="008E59AD" w:rsidRPr="003B764A">
        <w:rPr>
          <w:lang w:val="en-GB"/>
        </w:rPr>
        <w:t xml:space="preserve"> </w:t>
      </w:r>
      <w:r w:rsidRPr="003B764A">
        <w:rPr>
          <w:lang w:val="en-GB"/>
        </w:rPr>
        <w:t xml:space="preserve">that the </w:t>
      </w:r>
      <w:r w:rsidR="002D4DDD" w:rsidRPr="003B764A">
        <w:rPr>
          <w:lang w:val="en-GB"/>
        </w:rPr>
        <w:t>IEA SHC</w:t>
      </w:r>
      <w:r w:rsidRPr="003B764A">
        <w:rPr>
          <w:lang w:val="en-GB"/>
        </w:rPr>
        <w:t xml:space="preserve"> Task 73 </w:t>
      </w:r>
      <w:r w:rsidR="002B132A">
        <w:rPr>
          <w:lang w:val="en-GB"/>
        </w:rPr>
        <w:t xml:space="preserve">aims </w:t>
      </w:r>
      <w:r w:rsidRPr="003B764A">
        <w:rPr>
          <w:lang w:val="en-GB"/>
        </w:rPr>
        <w:t xml:space="preserve">to </w:t>
      </w:r>
      <w:r w:rsidR="002B132A">
        <w:rPr>
          <w:lang w:val="en-GB"/>
        </w:rPr>
        <w:t>tackle</w:t>
      </w:r>
      <w:r w:rsidRPr="003B764A">
        <w:rPr>
          <w:lang w:val="en-GB"/>
        </w:rPr>
        <w:t xml:space="preserve">. </w:t>
      </w:r>
    </w:p>
    <w:p w14:paraId="307AF97A" w14:textId="3F67E0B1" w:rsidR="00294109" w:rsidRPr="003B764A" w:rsidRDefault="00414540" w:rsidP="00294109">
      <w:pPr>
        <w:pStyle w:val="SWCText"/>
        <w:rPr>
          <w:lang w:val="en-GB"/>
        </w:rPr>
      </w:pPr>
      <w:r w:rsidRPr="003B764A">
        <w:rPr>
          <w:lang w:val="en-GB"/>
        </w:rPr>
        <w:t>Modelling</w:t>
      </w:r>
      <w:r w:rsidR="00294109" w:rsidRPr="003B764A">
        <w:rPr>
          <w:lang w:val="en-GB"/>
        </w:rPr>
        <w:t xml:space="preserve"> is primarily conducted at the system and </w:t>
      </w:r>
      <w:bookmarkStart w:id="12" w:name="OLE_LINK1"/>
      <w:r w:rsidR="00294109" w:rsidRPr="003B764A">
        <w:rPr>
          <w:lang w:val="en-GB"/>
        </w:rPr>
        <w:t xml:space="preserve">building </w:t>
      </w:r>
      <w:r w:rsidR="00CE7D4F" w:rsidRPr="003B764A">
        <w:rPr>
          <w:lang w:val="en-GB"/>
        </w:rPr>
        <w:t>scales</w:t>
      </w:r>
      <w:r w:rsidR="00294109" w:rsidRPr="003B764A">
        <w:rPr>
          <w:lang w:val="en-GB"/>
        </w:rPr>
        <w:t xml:space="preserve">, focusing on </w:t>
      </w:r>
      <w:r w:rsidR="003B764A">
        <w:rPr>
          <w:lang w:val="en-GB"/>
        </w:rPr>
        <w:t>liquid-</w:t>
      </w:r>
      <w:r w:rsidR="00294109" w:rsidRPr="003B764A">
        <w:rPr>
          <w:lang w:val="en-GB"/>
        </w:rPr>
        <w:t>based PVT collectors integrated into residential heating systems</w:t>
      </w:r>
      <w:bookmarkEnd w:id="12"/>
      <w:r w:rsidR="00294109" w:rsidRPr="003B764A">
        <w:rPr>
          <w:lang w:val="en-GB"/>
        </w:rPr>
        <w:t>. A significant portion of respondents also model hybrid systems and integration with heat pumps, particularly for series heating and borehole regeneration</w:t>
      </w:r>
      <w:r w:rsidRPr="003B764A">
        <w:rPr>
          <w:lang w:val="en-GB"/>
        </w:rPr>
        <w:t>.</w:t>
      </w:r>
    </w:p>
    <w:p w14:paraId="2EDC9385" w14:textId="77777777" w:rsidR="001054D8" w:rsidRPr="003B764A" w:rsidRDefault="001054D8" w:rsidP="001054D8">
      <w:pPr>
        <w:pStyle w:val="SWCHeading1"/>
      </w:pPr>
      <w:r w:rsidRPr="003B764A">
        <w:t>Key Performance Indicators by target group</w:t>
      </w:r>
    </w:p>
    <w:p w14:paraId="31ACBE9B" w14:textId="1D2AABC5" w:rsidR="001054D8" w:rsidRPr="003B764A" w:rsidRDefault="00EC28C3" w:rsidP="29B4F840">
      <w:pPr>
        <w:pStyle w:val="SWCText"/>
        <w:rPr>
          <w:lang w:val="en-GB"/>
        </w:rPr>
      </w:pPr>
      <w:r w:rsidRPr="003B764A">
        <w:rPr>
          <w:lang w:val="en-GB"/>
        </w:rPr>
        <w:t>O</w:t>
      </w:r>
      <w:r w:rsidR="100071BB" w:rsidRPr="003B764A">
        <w:rPr>
          <w:lang w:val="en-GB"/>
        </w:rPr>
        <w:t xml:space="preserve">ne of the challenges in communicating the benefits of PVT systems is the lack of consensus on KPIs </w:t>
      </w:r>
      <w:r w:rsidRPr="003B764A">
        <w:rPr>
          <w:lang w:val="en-GB"/>
        </w:rPr>
        <w:t>to</w:t>
      </w:r>
      <w:r w:rsidR="100071BB" w:rsidRPr="003B764A">
        <w:rPr>
          <w:lang w:val="en-GB"/>
        </w:rPr>
        <w:t xml:space="preserve"> represent both energy performance and economic investment, allowing for system-to-system comparisons. To address this, a survey was conducted among the PVT expert community of Task 73 to establish a clear list of KPIs </w:t>
      </w:r>
      <w:r w:rsidR="00973431" w:rsidRPr="003B764A">
        <w:rPr>
          <w:lang w:val="en-GB"/>
        </w:rPr>
        <w:t>to</w:t>
      </w:r>
      <w:r w:rsidR="100071BB" w:rsidRPr="003B764A">
        <w:rPr>
          <w:lang w:val="en-GB"/>
        </w:rPr>
        <w:t xml:space="preserve"> serve as a future guide for presenting, evaluating, and comparing potential PVT solutions. The indicators have been </w:t>
      </w:r>
      <w:r w:rsidR="00973431" w:rsidRPr="003B764A">
        <w:rPr>
          <w:lang w:val="en-GB"/>
        </w:rPr>
        <w:t>categorised</w:t>
      </w:r>
      <w:r w:rsidR="100071BB" w:rsidRPr="003B764A">
        <w:rPr>
          <w:lang w:val="en-GB"/>
        </w:rPr>
        <w:t xml:space="preserve"> based on the </w:t>
      </w:r>
      <w:r w:rsidR="00CE472A" w:rsidRPr="003B764A">
        <w:rPr>
          <w:lang w:val="en-GB"/>
        </w:rPr>
        <w:t xml:space="preserve">study </w:t>
      </w:r>
      <w:r w:rsidR="100071BB" w:rsidRPr="003B764A">
        <w:rPr>
          <w:lang w:val="en-GB"/>
        </w:rPr>
        <w:t>scope (energy or economic) and the target group (research and market purposes).</w:t>
      </w:r>
    </w:p>
    <w:p w14:paraId="6CCCE181" w14:textId="39461987" w:rsidR="7A1BA4DE" w:rsidRPr="003B764A" w:rsidRDefault="008B3973" w:rsidP="00F8149D">
      <w:pPr>
        <w:pStyle w:val="SWCText"/>
        <w:rPr>
          <w:lang w:val="en-GB"/>
        </w:rPr>
      </w:pPr>
      <w:r w:rsidRPr="003B764A">
        <w:rPr>
          <w:lang w:val="en-GB"/>
        </w:rPr>
        <w:t xml:space="preserve">The </w:t>
      </w:r>
      <w:r w:rsidR="00643469" w:rsidRPr="003B764A">
        <w:rPr>
          <w:lang w:val="en-GB"/>
        </w:rPr>
        <w:t xml:space="preserve">following </w:t>
      </w:r>
      <w:r w:rsidRPr="003B764A">
        <w:rPr>
          <w:lang w:val="en-GB"/>
        </w:rPr>
        <w:t xml:space="preserve">sections present </w:t>
      </w:r>
      <w:r w:rsidR="00DA524E" w:rsidRPr="003B764A">
        <w:rPr>
          <w:lang w:val="en-GB"/>
        </w:rPr>
        <w:t>a ranked set of energy and economic KPIs for PVT systems and indicate their relevance to each target group</w:t>
      </w:r>
      <w:r w:rsidR="7A1BA4DE" w:rsidRPr="003B764A">
        <w:rPr>
          <w:lang w:val="en-GB"/>
        </w:rPr>
        <w:t xml:space="preserve">. The proposed list of KPIs is a simplified version of </w:t>
      </w:r>
      <w:r w:rsidR="00EB2F93" w:rsidRPr="003B764A">
        <w:rPr>
          <w:lang w:val="en-GB"/>
        </w:rPr>
        <w:t xml:space="preserve">the KPI framework developed in IEA SHC </w:t>
      </w:r>
      <w:r w:rsidR="7A1BA4DE" w:rsidRPr="003B764A">
        <w:rPr>
          <w:lang w:val="en-GB"/>
        </w:rPr>
        <w:t xml:space="preserve">Task 60 </w:t>
      </w:r>
      <w:sdt>
        <w:sdtPr>
          <w:rPr>
            <w:lang w:val="en-GB"/>
          </w:rPr>
          <w:tag w:val="MENDELEY_CITATION_v3_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"/>
          <w:id w:val="548278668"/>
          <w:placeholder>
            <w:docPart w:val="DefaultPlaceholder_-1854013440"/>
          </w:placeholder>
        </w:sdtPr>
        <w:sdtEndPr/>
        <w:sdtContent>
          <w:r w:rsidR="0086208F" w:rsidRPr="0086208F">
            <w:rPr>
              <w:lang w:val="en-GB"/>
            </w:rPr>
            <w:t>(Zenhäusern et al., 2020)</w:t>
          </w:r>
        </w:sdtContent>
      </w:sdt>
      <w:r w:rsidR="004F6DEE" w:rsidRPr="003B764A">
        <w:rPr>
          <w:lang w:val="en-GB"/>
        </w:rPr>
        <w:t>, with n</w:t>
      </w:r>
      <w:r w:rsidR="7A1BA4DE" w:rsidRPr="003B764A">
        <w:rPr>
          <w:lang w:val="en-GB"/>
        </w:rPr>
        <w:t xml:space="preserve">o additional KPIs </w:t>
      </w:r>
      <w:r w:rsidR="00CC0687" w:rsidRPr="003B764A">
        <w:rPr>
          <w:lang w:val="en-GB"/>
        </w:rPr>
        <w:t>identified</w:t>
      </w:r>
      <w:r w:rsidR="7A1BA4DE" w:rsidRPr="003B764A">
        <w:rPr>
          <w:lang w:val="en-GB"/>
        </w:rPr>
        <w:t xml:space="preserve"> during the consultation.</w:t>
      </w:r>
    </w:p>
    <w:p w14:paraId="2179E210" w14:textId="7C0D3CC3" w:rsidR="001054D8" w:rsidRPr="003B764A" w:rsidRDefault="00623810" w:rsidP="00F8149D">
      <w:pPr>
        <w:pStyle w:val="SWCHeading11"/>
        <w:rPr>
          <w:rFonts w:eastAsia="Arial" w:cs="Arial"/>
          <w:i w:val="0"/>
          <w:iCs/>
          <w:szCs w:val="20"/>
        </w:rPr>
      </w:pPr>
      <w:r w:rsidRPr="003B764A">
        <w:t xml:space="preserve">4.1. </w:t>
      </w:r>
      <w:r w:rsidR="70C3AB07" w:rsidRPr="003B764A">
        <w:t>Energy</w:t>
      </w:r>
      <w:r w:rsidR="1BD97D00" w:rsidRPr="003B764A">
        <w:t>-</w:t>
      </w:r>
      <w:r w:rsidR="70C3AB07" w:rsidRPr="003B764A">
        <w:t>related KPIs</w:t>
      </w:r>
    </w:p>
    <w:p w14:paraId="2B8775A8" w14:textId="002C922D" w:rsidR="001054D8" w:rsidRPr="003B764A" w:rsidRDefault="70C3AB07" w:rsidP="00351C99">
      <w:pPr>
        <w:pStyle w:val="SWCText"/>
        <w:rPr>
          <w:color w:val="000000" w:themeColor="text1"/>
          <w:lang w:val="en-GB"/>
        </w:rPr>
      </w:pPr>
      <w:r w:rsidRPr="003B764A">
        <w:rPr>
          <w:lang w:val="en-GB"/>
        </w:rPr>
        <w:t xml:space="preserve">Regarding energy indicators, </w:t>
      </w:r>
      <w:r w:rsidR="00A359DB" w:rsidRPr="003B764A">
        <w:rPr>
          <w:lang w:val="en-GB"/>
        </w:rPr>
        <w:t xml:space="preserve">there is </w:t>
      </w:r>
      <w:r w:rsidRPr="003B764A">
        <w:rPr>
          <w:lang w:val="en-GB"/>
        </w:rPr>
        <w:t>consensus between the two target audiences on the most relevant metrics</w:t>
      </w:r>
      <w:r w:rsidR="0024534E" w:rsidRPr="003B764A">
        <w:rPr>
          <w:lang w:val="en-GB"/>
        </w:rPr>
        <w:t xml:space="preserve"> (see </w:t>
      </w:r>
      <w:r w:rsidR="00351C99" w:rsidRPr="003B764A">
        <w:rPr>
          <w:lang w:val="en-GB"/>
        </w:rPr>
        <w:fldChar w:fldCharType="begin"/>
      </w:r>
      <w:r w:rsidR="00351C99" w:rsidRPr="003B764A">
        <w:rPr>
          <w:lang w:val="en-GB"/>
        </w:rPr>
        <w:instrText xml:space="preserve"> REF _Ref236305214 \h </w:instrText>
      </w:r>
      <w:r w:rsidR="00351C99" w:rsidRPr="003B764A">
        <w:rPr>
          <w:lang w:val="en-GB"/>
        </w:rPr>
      </w:r>
      <w:r w:rsidR="00351C99" w:rsidRPr="003B764A">
        <w:rPr>
          <w:lang w:val="en-GB"/>
        </w:rPr>
        <w:fldChar w:fldCharType="separate"/>
      </w:r>
      <w:r w:rsidR="00623810" w:rsidRPr="003B764A">
        <w:rPr>
          <w:lang w:val="en-GB"/>
        </w:rPr>
        <w:t xml:space="preserve">Fig. </w:t>
      </w:r>
      <w:r w:rsidR="00623810" w:rsidRPr="003B764A">
        <w:rPr>
          <w:noProof/>
          <w:lang w:val="en-GB"/>
        </w:rPr>
        <w:t>10</w:t>
      </w:r>
      <w:r w:rsidR="00351C99" w:rsidRPr="003B764A">
        <w:rPr>
          <w:lang w:val="en-GB"/>
        </w:rPr>
        <w:fldChar w:fldCharType="end"/>
      </w:r>
      <w:r w:rsidR="00351C99" w:rsidRPr="003B764A">
        <w:rPr>
          <w:lang w:val="en-GB"/>
        </w:rPr>
        <w:t>)</w:t>
      </w:r>
      <w:r w:rsidR="003456F5" w:rsidRPr="003B764A">
        <w:rPr>
          <w:lang w:val="en-GB"/>
        </w:rPr>
        <w:t>;</w:t>
      </w:r>
      <w:r w:rsidR="0070636C" w:rsidRPr="003B764A">
        <w:rPr>
          <w:lang w:val="en-GB"/>
        </w:rPr>
        <w:t xml:space="preserve"> </w:t>
      </w:r>
      <w:r w:rsidRPr="003B764A">
        <w:rPr>
          <w:lang w:val="en-GB"/>
        </w:rPr>
        <w:t>Gross Yield (GTY, GEY) and Solar Fraction (SF) were highlighted (both receiving over 60% of the votes), along with the Seasonal Performance Factor</w:t>
      </w:r>
      <w:r w:rsidR="003456F5" w:rsidRPr="003B764A">
        <w:rPr>
          <w:lang w:val="en-GB"/>
        </w:rPr>
        <w:t xml:space="preserve"> (SPF)</w:t>
      </w:r>
      <w:r w:rsidRPr="003B764A">
        <w:rPr>
          <w:lang w:val="en-GB"/>
        </w:rPr>
        <w:t xml:space="preserve"> for </w:t>
      </w:r>
      <w:r w:rsidR="003456F5" w:rsidRPr="003B764A">
        <w:rPr>
          <w:lang w:val="en-GB"/>
        </w:rPr>
        <w:t>HP-</w:t>
      </w:r>
      <w:r w:rsidRPr="003B764A">
        <w:rPr>
          <w:lang w:val="en-GB"/>
        </w:rPr>
        <w:t xml:space="preserve">coupled systems (exceeding 70%). </w:t>
      </w:r>
    </w:p>
    <w:p w14:paraId="26088462" w14:textId="1AC02ACB" w:rsidR="00E13251" w:rsidRPr="003B764A" w:rsidRDefault="70C3AB07" w:rsidP="3FFF3C23">
      <w:pPr>
        <w:keepNext/>
        <w:spacing w:after="120" w:line="276" w:lineRule="auto"/>
        <w:jc w:val="both"/>
        <w:rPr>
          <w:color w:val="000000" w:themeColor="text1"/>
          <w:sz w:val="20"/>
          <w:szCs w:val="20"/>
          <w:lang w:val="en-GB"/>
        </w:rPr>
      </w:pPr>
      <w:r w:rsidRPr="003B764A">
        <w:rPr>
          <w:color w:val="000000" w:themeColor="text1"/>
          <w:sz w:val="20"/>
          <w:szCs w:val="20"/>
          <w:lang w:val="en-GB"/>
        </w:rPr>
        <w:lastRenderedPageBreak/>
        <w:t xml:space="preserve">From a market perspective, the subsequent top-ranked indicators focus on the direct contribution to final energy demand (Self-Consumption Fraction, Primary Energy Consumption) and avoided emissions (Global Warming Potential), which are frequently linked to financial subsidies. Conversely, from a research standpoint, alongside the environmental component, relevant indicators </w:t>
      </w:r>
      <w:r w:rsidR="00002451" w:rsidRPr="003B764A">
        <w:rPr>
          <w:color w:val="000000" w:themeColor="text1"/>
          <w:sz w:val="20"/>
          <w:szCs w:val="20"/>
          <w:lang w:val="en-GB"/>
        </w:rPr>
        <w:t>include</w:t>
      </w:r>
      <w:r w:rsidRPr="003B764A">
        <w:rPr>
          <w:color w:val="000000" w:themeColor="text1"/>
          <w:sz w:val="20"/>
          <w:szCs w:val="20"/>
          <w:lang w:val="en-GB"/>
        </w:rPr>
        <w:t xml:space="preserve"> system performance, such as solar </w:t>
      </w:r>
      <w:r w:rsidR="00002451" w:rsidRPr="003B764A">
        <w:rPr>
          <w:color w:val="000000" w:themeColor="text1"/>
          <w:sz w:val="20"/>
          <w:szCs w:val="20"/>
          <w:lang w:val="en-GB"/>
        </w:rPr>
        <w:t>utilisation</w:t>
      </w:r>
      <w:r w:rsidRPr="003B764A">
        <w:rPr>
          <w:color w:val="000000" w:themeColor="text1"/>
          <w:sz w:val="20"/>
          <w:szCs w:val="20"/>
          <w:lang w:val="en-GB"/>
        </w:rPr>
        <w:t xml:space="preserve"> ratios and instantaneous efficiencies. The largest discrepancy between target groups lies in Non-renewable Primary Energy Consumption, identified as relevant for the market with 54% of the votes, compared to less than 28% for R&amp;D.</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567"/>
        <w:gridCol w:w="8420"/>
      </w:tblGrid>
      <w:tr w:rsidR="00B760B6" w:rsidRPr="003B764A" w14:paraId="68E53A9F" w14:textId="77777777" w:rsidTr="00C9327F">
        <w:trPr>
          <w:cantSplit/>
          <w:trHeight w:val="2258"/>
        </w:trPr>
        <w:tc>
          <w:tcPr>
            <w:tcW w:w="567" w:type="dxa"/>
            <w:shd w:val="clear" w:color="auto" w:fill="F2F2F2" w:themeFill="background1" w:themeFillShade="F2"/>
            <w:textDirection w:val="btLr"/>
            <w:vAlign w:val="center"/>
          </w:tcPr>
          <w:p w14:paraId="03F343C4" w14:textId="17792102" w:rsidR="00B760B6" w:rsidRPr="003B764A" w:rsidRDefault="00B760B6" w:rsidP="00C9327F">
            <w:pPr>
              <w:keepNext/>
              <w:ind w:left="113" w:right="113"/>
              <w:jc w:val="center"/>
              <w:rPr>
                <w:rFonts w:asciiTheme="minorHAnsi" w:hAnsiTheme="minorHAnsi" w:cstheme="minorHAnsi"/>
                <w:color w:val="000000" w:themeColor="text1"/>
                <w:sz w:val="20"/>
                <w:szCs w:val="20"/>
                <w:lang w:val="en-GB"/>
              </w:rPr>
            </w:pPr>
            <w:r w:rsidRPr="003B764A">
              <w:rPr>
                <w:rFonts w:asciiTheme="minorHAnsi" w:hAnsiTheme="minorHAnsi" w:cstheme="minorHAnsi"/>
                <w:color w:val="000000" w:themeColor="text1"/>
                <w:sz w:val="22"/>
                <w:szCs w:val="22"/>
                <w:lang w:val="en-GB"/>
              </w:rPr>
              <w:t>E</w:t>
            </w:r>
            <w:r w:rsidRPr="003B764A">
              <w:rPr>
                <w:rFonts w:asciiTheme="minorHAnsi" w:hAnsiTheme="minorHAnsi" w:cstheme="minorHAnsi"/>
                <w:color w:val="17406D" w:themeColor="text2"/>
                <w:lang w:val="en-GB"/>
              </w:rPr>
              <w:t>nergy KPIs</w:t>
            </w:r>
          </w:p>
        </w:tc>
        <w:tc>
          <w:tcPr>
            <w:tcW w:w="8420" w:type="dxa"/>
            <w:vMerge w:val="restart"/>
            <w:vAlign w:val="center"/>
          </w:tcPr>
          <w:p w14:paraId="267B7286" w14:textId="0878A647" w:rsidR="00B760B6" w:rsidRPr="003B764A" w:rsidRDefault="00C9327F" w:rsidP="00B760B6">
            <w:pPr>
              <w:keepNext/>
              <w:jc w:val="center"/>
              <w:rPr>
                <w:color w:val="000000" w:themeColor="text1"/>
                <w:sz w:val="20"/>
                <w:szCs w:val="20"/>
                <w:lang w:val="en-GB"/>
              </w:rPr>
            </w:pPr>
            <w:r w:rsidRPr="003B764A">
              <w:rPr>
                <w:noProof/>
                <w:lang w:val="en-GB"/>
              </w:rPr>
              <w:drawing>
                <wp:inline distT="0" distB="0" distL="0" distR="0" wp14:anchorId="178F9F21" wp14:editId="3C55A78F">
                  <wp:extent cx="5256000" cy="1692000"/>
                  <wp:effectExtent l="0" t="0" r="1905" b="3810"/>
                  <wp:docPr id="414058081" name="Gráfico 1">
                    <a:extLst xmlns:a="http://schemas.openxmlformats.org/drawingml/2006/main">
                      <a:ext uri="{FF2B5EF4-FFF2-40B4-BE49-F238E27FC236}">
                        <a16:creationId xmlns:a16="http://schemas.microsoft.com/office/drawing/2014/main" id="{DDFA6FA1-D991-40B5-A365-A095109CB7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c>
      </w:tr>
      <w:tr w:rsidR="00B760B6" w:rsidRPr="003B764A" w14:paraId="05F3B0D7" w14:textId="77777777" w:rsidTr="00C9327F">
        <w:tblPrEx>
          <w:tblCellMar>
            <w:left w:w="108" w:type="dxa"/>
            <w:right w:w="108" w:type="dxa"/>
          </w:tblCellMar>
        </w:tblPrEx>
        <w:trPr>
          <w:cantSplit/>
          <w:trHeight w:val="279"/>
        </w:trPr>
        <w:tc>
          <w:tcPr>
            <w:tcW w:w="567" w:type="dxa"/>
            <w:shd w:val="clear" w:color="auto" w:fill="FFFFFF" w:themeFill="background1"/>
            <w:textDirection w:val="btLr"/>
          </w:tcPr>
          <w:p w14:paraId="70D2F2EC" w14:textId="77777777" w:rsidR="00B760B6" w:rsidRPr="003B764A" w:rsidRDefault="00B760B6" w:rsidP="00B760B6">
            <w:pPr>
              <w:keepNext/>
              <w:ind w:left="113" w:right="113"/>
              <w:jc w:val="right"/>
              <w:rPr>
                <w:rFonts w:asciiTheme="minorHAnsi" w:hAnsiTheme="minorHAnsi" w:cstheme="minorHAnsi"/>
                <w:color w:val="000000" w:themeColor="text1"/>
                <w:sz w:val="22"/>
                <w:szCs w:val="22"/>
                <w:lang w:val="en-GB"/>
              </w:rPr>
            </w:pPr>
          </w:p>
        </w:tc>
        <w:tc>
          <w:tcPr>
            <w:tcW w:w="8420" w:type="dxa"/>
            <w:vMerge/>
            <w:vAlign w:val="center"/>
          </w:tcPr>
          <w:p w14:paraId="67BE2DE6" w14:textId="77777777" w:rsidR="00B760B6" w:rsidRPr="003B764A" w:rsidRDefault="00B760B6" w:rsidP="00B760B6">
            <w:pPr>
              <w:keepNext/>
              <w:jc w:val="center"/>
              <w:rPr>
                <w:noProof/>
                <w:color w:val="000000" w:themeColor="text1"/>
                <w:sz w:val="20"/>
                <w:szCs w:val="20"/>
                <w:lang w:val="en-GB"/>
              </w:rPr>
            </w:pPr>
          </w:p>
        </w:tc>
      </w:tr>
    </w:tbl>
    <w:p w14:paraId="4DC18745" w14:textId="37DAC7C7" w:rsidR="00200BD3" w:rsidRPr="003B764A" w:rsidRDefault="00351C99" w:rsidP="00351C99">
      <w:pPr>
        <w:pStyle w:val="SWCTableFigureCaption"/>
        <w:rPr>
          <w:lang w:val="en-GB"/>
        </w:rPr>
      </w:pPr>
      <w:bookmarkStart w:id="13" w:name="_Ref236305214"/>
      <w:bookmarkStart w:id="14" w:name="_Ref236305117"/>
      <w:r w:rsidRPr="003B764A">
        <w:rPr>
          <w:lang w:val="en-GB"/>
        </w:rPr>
        <w:t xml:space="preserve">Fig. </w:t>
      </w:r>
      <w:r w:rsidRPr="003B764A">
        <w:rPr>
          <w:lang w:val="en-GB"/>
        </w:rPr>
        <w:fldChar w:fldCharType="begin"/>
      </w:r>
      <w:r w:rsidRPr="003B764A">
        <w:rPr>
          <w:lang w:val="en-GB"/>
        </w:rPr>
        <w:instrText xml:space="preserve"> SEQ Fig. \* ARABIC </w:instrText>
      </w:r>
      <w:r w:rsidRPr="003B764A">
        <w:rPr>
          <w:lang w:val="en-GB"/>
        </w:rPr>
        <w:fldChar w:fldCharType="separate"/>
      </w:r>
      <w:r w:rsidR="00623810" w:rsidRPr="003B764A">
        <w:rPr>
          <w:noProof/>
          <w:lang w:val="en-GB"/>
        </w:rPr>
        <w:t>10</w:t>
      </w:r>
      <w:r w:rsidRPr="003B764A">
        <w:rPr>
          <w:lang w:val="en-GB"/>
        </w:rPr>
        <w:fldChar w:fldCharType="end"/>
      </w:r>
      <w:bookmarkEnd w:id="13"/>
      <w:r w:rsidRPr="003B764A">
        <w:rPr>
          <w:lang w:val="en-GB"/>
        </w:rPr>
        <w:t>. Ranking of KPIs relevant from the energy point of view</w:t>
      </w:r>
    </w:p>
    <w:bookmarkEnd w:id="14"/>
    <w:p w14:paraId="26CDA085" w14:textId="0040A746" w:rsidR="73EA6899" w:rsidRPr="003B764A" w:rsidRDefault="00623810" w:rsidP="00F8149D">
      <w:pPr>
        <w:pStyle w:val="SWCHeading11"/>
      </w:pPr>
      <w:r w:rsidRPr="003B764A">
        <w:t xml:space="preserve">4.2. </w:t>
      </w:r>
      <w:r w:rsidR="73EA6899" w:rsidRPr="003B764A">
        <w:t>Economics-related KPIs</w:t>
      </w:r>
      <w:r w:rsidR="555B0D96" w:rsidRPr="003B764A">
        <w:t xml:space="preserve"> </w:t>
      </w:r>
    </w:p>
    <w:p w14:paraId="0A812D02" w14:textId="32E0A783" w:rsidR="00B760B6" w:rsidRPr="003B764A" w:rsidRDefault="39BB08D6" w:rsidP="00232283">
      <w:pPr>
        <w:pStyle w:val="SWCText"/>
        <w:rPr>
          <w:lang w:val="en-GB"/>
        </w:rPr>
      </w:pPr>
      <w:r w:rsidRPr="003B764A">
        <w:rPr>
          <w:lang w:val="en-GB"/>
        </w:rPr>
        <w:t xml:space="preserve">Regarding economic indicators, a </w:t>
      </w:r>
      <w:r w:rsidR="00C16B39" w:rsidRPr="003B764A">
        <w:rPr>
          <w:lang w:val="en-GB"/>
        </w:rPr>
        <w:t>larger</w:t>
      </w:r>
      <w:r w:rsidRPr="003B764A">
        <w:rPr>
          <w:lang w:val="en-GB"/>
        </w:rPr>
        <w:t xml:space="preserve"> divergence is observed between the two target audiences</w:t>
      </w:r>
      <w:r w:rsidR="00C16B39" w:rsidRPr="003B764A">
        <w:rPr>
          <w:lang w:val="en-GB"/>
        </w:rPr>
        <w:t xml:space="preserve"> (see </w:t>
      </w:r>
      <w:r w:rsidR="00232283" w:rsidRPr="003B764A">
        <w:rPr>
          <w:lang w:val="en-GB"/>
        </w:rPr>
        <w:fldChar w:fldCharType="begin"/>
      </w:r>
      <w:r w:rsidR="00232283" w:rsidRPr="003B764A">
        <w:rPr>
          <w:lang w:val="en-GB"/>
        </w:rPr>
        <w:instrText xml:space="preserve"> REF _Ref237957023 \h </w:instrText>
      </w:r>
      <w:r w:rsidR="00232283" w:rsidRPr="003B764A">
        <w:rPr>
          <w:lang w:val="en-GB"/>
        </w:rPr>
      </w:r>
      <w:r w:rsidR="00232283" w:rsidRPr="003B764A">
        <w:rPr>
          <w:lang w:val="en-GB"/>
        </w:rPr>
        <w:fldChar w:fldCharType="separate"/>
      </w:r>
      <w:r w:rsidR="00623810" w:rsidRPr="003B764A">
        <w:rPr>
          <w:lang w:val="en-GB"/>
        </w:rPr>
        <w:t xml:space="preserve">Fig. </w:t>
      </w:r>
      <w:r w:rsidR="00623810" w:rsidRPr="003B764A">
        <w:rPr>
          <w:noProof/>
          <w:lang w:val="en-GB"/>
        </w:rPr>
        <w:t>11</w:t>
      </w:r>
      <w:r w:rsidR="00232283" w:rsidRPr="003B764A">
        <w:rPr>
          <w:lang w:val="en-GB"/>
        </w:rPr>
        <w:fldChar w:fldCharType="end"/>
      </w:r>
      <w:r w:rsidR="00C16B39" w:rsidRPr="003B764A">
        <w:rPr>
          <w:lang w:val="en-GB"/>
        </w:rPr>
        <w:t>)</w:t>
      </w:r>
      <w:r w:rsidRPr="003B764A">
        <w:rPr>
          <w:lang w:val="en-GB"/>
        </w:rPr>
        <w:t>. From a market perspective, the most straightforward indicators for a customer are the initial investment and annual savings. These metrics are not only the clearest and simplest to understand but also have a direct impact on the end-user's finances. From a</w:t>
      </w:r>
      <w:r w:rsidRPr="003B764A">
        <w:rPr>
          <w:color w:val="000000" w:themeColor="text1"/>
          <w:lang w:val="en-GB"/>
        </w:rPr>
        <w:t xml:space="preserve"> research </w:t>
      </w:r>
      <w:r w:rsidRPr="003B764A">
        <w:rPr>
          <w:lang w:val="en-GB"/>
        </w:rPr>
        <w:t xml:space="preserve">standpoint, however, the most relevant indicators are those that combine production and economic data, such as the Levelized Cost of Heat and Electricity (LCoH, LCoE), closely followed by the Levelized Cost of Energy (LCE) and annual savings. The largest discrepancy is found in </w:t>
      </w:r>
      <w:r w:rsidR="002E1CF2" w:rsidRPr="003B764A">
        <w:rPr>
          <w:lang w:val="en-GB"/>
        </w:rPr>
        <w:t>initial</w:t>
      </w:r>
      <w:r w:rsidRPr="003B764A">
        <w:rPr>
          <w:lang w:val="en-GB"/>
        </w:rPr>
        <w:t xml:space="preserve"> investment and maintenance costs, both of which are considered significantly more important for the market than for R&amp;D.</w:t>
      </w:r>
      <w:bookmarkStart w:id="15" w:name="_Ref236305480"/>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67"/>
        <w:gridCol w:w="8390"/>
      </w:tblGrid>
      <w:tr w:rsidR="00C9327F" w:rsidRPr="003B764A" w14:paraId="0D1DA9CD" w14:textId="77777777" w:rsidTr="00C008D0">
        <w:trPr>
          <w:cantSplit/>
          <w:trHeight w:val="2191"/>
        </w:trPr>
        <w:tc>
          <w:tcPr>
            <w:tcW w:w="567" w:type="dxa"/>
            <w:shd w:val="clear" w:color="auto" w:fill="F2F2F2" w:themeFill="background1" w:themeFillShade="F2"/>
            <w:textDirection w:val="btLr"/>
            <w:vAlign w:val="center"/>
          </w:tcPr>
          <w:bookmarkEnd w:id="15"/>
          <w:p w14:paraId="3DE8311C" w14:textId="77777777" w:rsidR="00C9327F" w:rsidRPr="003B764A" w:rsidRDefault="00C9327F" w:rsidP="00C008D0">
            <w:pPr>
              <w:keepNext/>
              <w:ind w:left="113" w:right="113"/>
              <w:jc w:val="center"/>
              <w:rPr>
                <w:rFonts w:asciiTheme="minorHAnsi" w:hAnsiTheme="minorHAnsi" w:cstheme="minorHAnsi"/>
                <w:color w:val="000000" w:themeColor="text1"/>
                <w:sz w:val="20"/>
                <w:szCs w:val="20"/>
                <w:lang w:val="en-GB"/>
              </w:rPr>
            </w:pPr>
            <w:r w:rsidRPr="003B764A">
              <w:rPr>
                <w:rFonts w:asciiTheme="minorHAnsi" w:hAnsiTheme="minorHAnsi" w:cstheme="minorHAnsi"/>
                <w:color w:val="17406D" w:themeColor="text2"/>
                <w:lang w:val="en-GB"/>
              </w:rPr>
              <w:t>Economic KPIs</w:t>
            </w:r>
          </w:p>
        </w:tc>
        <w:tc>
          <w:tcPr>
            <w:tcW w:w="8390" w:type="dxa"/>
            <w:vMerge w:val="restart"/>
            <w:vAlign w:val="center"/>
          </w:tcPr>
          <w:p w14:paraId="0FB0CFB9" w14:textId="3DC85637" w:rsidR="00C9327F" w:rsidRPr="003B764A" w:rsidRDefault="00C9327F" w:rsidP="00C008D0">
            <w:pPr>
              <w:keepNext/>
              <w:jc w:val="center"/>
              <w:rPr>
                <w:color w:val="000000" w:themeColor="text1"/>
                <w:sz w:val="20"/>
                <w:szCs w:val="20"/>
                <w:lang w:val="en-GB"/>
              </w:rPr>
            </w:pPr>
            <w:r w:rsidRPr="003B764A">
              <w:rPr>
                <w:noProof/>
                <w:lang w:val="en-GB"/>
              </w:rPr>
              <w:drawing>
                <wp:inline distT="0" distB="0" distL="0" distR="0" wp14:anchorId="49A03F1E" wp14:editId="0EA297B0">
                  <wp:extent cx="5255895" cy="1616659"/>
                  <wp:effectExtent l="0" t="0" r="1905" b="3175"/>
                  <wp:docPr id="67059376" name="Gráfico 1">
                    <a:extLst xmlns:a="http://schemas.openxmlformats.org/drawingml/2006/main">
                      <a:ext uri="{FF2B5EF4-FFF2-40B4-BE49-F238E27FC236}">
                        <a16:creationId xmlns:a16="http://schemas.microsoft.com/office/drawing/2014/main" id="{E05FCAF3-0B23-49F3-A0ED-E7B13B6916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tc>
      </w:tr>
      <w:tr w:rsidR="00C9327F" w:rsidRPr="003B764A" w14:paraId="4AFD5D64" w14:textId="77777777" w:rsidTr="00C008D0">
        <w:trPr>
          <w:cantSplit/>
          <w:trHeight w:val="279"/>
        </w:trPr>
        <w:tc>
          <w:tcPr>
            <w:tcW w:w="567" w:type="dxa"/>
            <w:shd w:val="clear" w:color="auto" w:fill="FFFFFF" w:themeFill="background1"/>
            <w:textDirection w:val="btLr"/>
          </w:tcPr>
          <w:p w14:paraId="4607DCC9" w14:textId="77777777" w:rsidR="00C9327F" w:rsidRPr="003B764A" w:rsidRDefault="00C9327F" w:rsidP="00C008D0">
            <w:pPr>
              <w:keepNext/>
              <w:ind w:left="113" w:right="113"/>
              <w:jc w:val="right"/>
              <w:rPr>
                <w:rFonts w:asciiTheme="minorHAnsi" w:hAnsiTheme="minorHAnsi" w:cstheme="minorHAnsi"/>
                <w:color w:val="000000" w:themeColor="text1"/>
                <w:sz w:val="22"/>
                <w:szCs w:val="22"/>
                <w:lang w:val="en-GB"/>
              </w:rPr>
            </w:pPr>
          </w:p>
        </w:tc>
        <w:tc>
          <w:tcPr>
            <w:tcW w:w="8390" w:type="dxa"/>
            <w:vMerge/>
            <w:vAlign w:val="center"/>
          </w:tcPr>
          <w:p w14:paraId="36ADF784" w14:textId="77777777" w:rsidR="00C9327F" w:rsidRPr="003B764A" w:rsidRDefault="00C9327F" w:rsidP="00C008D0">
            <w:pPr>
              <w:keepNext/>
              <w:jc w:val="center"/>
              <w:rPr>
                <w:noProof/>
                <w:color w:val="000000" w:themeColor="text1"/>
                <w:sz w:val="20"/>
                <w:szCs w:val="20"/>
                <w:lang w:val="en-GB"/>
              </w:rPr>
            </w:pPr>
          </w:p>
        </w:tc>
      </w:tr>
    </w:tbl>
    <w:p w14:paraId="14DF70EF" w14:textId="664CE560" w:rsidR="00274F49" w:rsidRPr="003B764A" w:rsidRDefault="00C9327F" w:rsidP="00C9327F">
      <w:pPr>
        <w:pStyle w:val="SWCTableFigureCaption"/>
        <w:rPr>
          <w:lang w:val="en-GB"/>
        </w:rPr>
      </w:pPr>
      <w:bookmarkStart w:id="16" w:name="_Ref237957023"/>
      <w:r w:rsidRPr="003B764A">
        <w:rPr>
          <w:lang w:val="en-GB"/>
        </w:rPr>
        <w:t xml:space="preserve">Fig. </w:t>
      </w:r>
      <w:r w:rsidRPr="003B764A">
        <w:rPr>
          <w:lang w:val="en-GB"/>
        </w:rPr>
        <w:fldChar w:fldCharType="begin"/>
      </w:r>
      <w:r w:rsidRPr="003B764A">
        <w:rPr>
          <w:lang w:val="en-GB"/>
        </w:rPr>
        <w:instrText xml:space="preserve"> SEQ Fig. \* ARABIC </w:instrText>
      </w:r>
      <w:r w:rsidRPr="003B764A">
        <w:rPr>
          <w:lang w:val="en-GB"/>
        </w:rPr>
        <w:fldChar w:fldCharType="separate"/>
      </w:r>
      <w:r w:rsidR="00623810" w:rsidRPr="003B764A">
        <w:rPr>
          <w:noProof/>
          <w:lang w:val="en-GB"/>
        </w:rPr>
        <w:t>11</w:t>
      </w:r>
      <w:r w:rsidRPr="003B764A">
        <w:rPr>
          <w:lang w:val="en-GB"/>
        </w:rPr>
        <w:fldChar w:fldCharType="end"/>
      </w:r>
      <w:bookmarkEnd w:id="16"/>
      <w:r w:rsidRPr="003B764A">
        <w:rPr>
          <w:lang w:val="en-GB"/>
        </w:rPr>
        <w:t xml:space="preserve">. Ranking of KPIs relevant from </w:t>
      </w:r>
      <w:r w:rsidR="00223E1C" w:rsidRPr="003B764A">
        <w:rPr>
          <w:lang w:val="en-GB"/>
        </w:rPr>
        <w:t xml:space="preserve">an economic </w:t>
      </w:r>
      <w:r w:rsidRPr="003B764A">
        <w:rPr>
          <w:lang w:val="en-GB"/>
        </w:rPr>
        <w:t>point of view</w:t>
      </w:r>
    </w:p>
    <w:p w14:paraId="72EDE18A" w14:textId="2D002E82" w:rsidR="00347F9B" w:rsidRPr="003B764A" w:rsidRDefault="001054D8" w:rsidP="001054D8">
      <w:pPr>
        <w:pStyle w:val="SWCHeading1"/>
      </w:pPr>
      <w:r w:rsidRPr="003B764A">
        <w:t xml:space="preserve">Barriers, uncovered </w:t>
      </w:r>
      <w:r w:rsidR="009D5280" w:rsidRPr="003B764A">
        <w:t>phenomena</w:t>
      </w:r>
      <w:r w:rsidRPr="003B764A">
        <w:t xml:space="preserve"> and gaps in</w:t>
      </w:r>
      <w:r w:rsidR="009D5280" w:rsidRPr="003B764A">
        <w:t xml:space="preserve"> research and</w:t>
      </w:r>
      <w:r w:rsidRPr="003B764A">
        <w:t xml:space="preserve"> modelling</w:t>
      </w:r>
    </w:p>
    <w:p w14:paraId="11C34829" w14:textId="3D851638" w:rsidR="00C15E59" w:rsidRPr="003B764A" w:rsidRDefault="00C15E59" w:rsidP="000C7CA8">
      <w:pPr>
        <w:pStyle w:val="SWCText"/>
        <w:rPr>
          <w:lang w:val="en-GB"/>
        </w:rPr>
      </w:pPr>
      <w:r w:rsidRPr="003B764A">
        <w:rPr>
          <w:lang w:val="en-GB"/>
        </w:rPr>
        <w:t xml:space="preserve">Finally, this study aims to identify existing barriers in PVT system </w:t>
      </w:r>
      <w:r w:rsidR="000C7CA8" w:rsidRPr="003B764A">
        <w:rPr>
          <w:lang w:val="en-GB"/>
        </w:rPr>
        <w:t>modelling</w:t>
      </w:r>
      <w:r w:rsidRPr="003B764A">
        <w:rPr>
          <w:lang w:val="en-GB"/>
        </w:rPr>
        <w:t xml:space="preserve"> and clarify which physical phenomena are fully understood and which demand further </w:t>
      </w:r>
      <w:r w:rsidR="000C7CA8" w:rsidRPr="003B764A">
        <w:rPr>
          <w:lang w:val="en-GB"/>
        </w:rPr>
        <w:t>standardisation</w:t>
      </w:r>
      <w:r w:rsidRPr="003B764A">
        <w:rPr>
          <w:lang w:val="en-GB"/>
        </w:rPr>
        <w:t xml:space="preserve">. This analysis is based on survey findings conducted within the PVT4EU project and </w:t>
      </w:r>
      <w:r w:rsidR="000C7CA8" w:rsidRPr="003B764A">
        <w:rPr>
          <w:lang w:val="en-GB"/>
        </w:rPr>
        <w:t xml:space="preserve">the IEA SHC </w:t>
      </w:r>
      <w:r w:rsidRPr="003B764A">
        <w:rPr>
          <w:lang w:val="en-GB"/>
        </w:rPr>
        <w:t>Task 73.</w:t>
      </w:r>
    </w:p>
    <w:p w14:paraId="038AC4EE" w14:textId="2B3C0583" w:rsidR="000F31FE" w:rsidRPr="003B764A" w:rsidRDefault="00623810">
      <w:pPr>
        <w:pStyle w:val="SWCHeading11"/>
        <w:ind w:left="576" w:hanging="576"/>
      </w:pPr>
      <w:r w:rsidRPr="003B764A">
        <w:t xml:space="preserve">5.1. </w:t>
      </w:r>
      <w:r w:rsidR="000F31FE" w:rsidRPr="003B764A">
        <w:t xml:space="preserve">Barriers </w:t>
      </w:r>
    </w:p>
    <w:p w14:paraId="53A2E064" w14:textId="369E9F43" w:rsidR="00AB1CF3" w:rsidRPr="003B764A" w:rsidRDefault="00C15E59" w:rsidP="00AB1CF3">
      <w:pPr>
        <w:pStyle w:val="SWCText"/>
        <w:rPr>
          <w:lang w:val="en-GB"/>
        </w:rPr>
      </w:pPr>
      <w:r w:rsidRPr="003B764A">
        <w:rPr>
          <w:lang w:val="en-GB"/>
        </w:rPr>
        <w:t>Based on the results, i</w:t>
      </w:r>
      <w:r w:rsidR="00E6633D" w:rsidRPr="003B764A">
        <w:rPr>
          <w:lang w:val="en-GB"/>
        </w:rPr>
        <w:t xml:space="preserve">ntegration knowledge is the </w:t>
      </w:r>
      <w:r w:rsidR="00E13251" w:rsidRPr="003B764A">
        <w:rPr>
          <w:lang w:val="en-GB"/>
        </w:rPr>
        <w:t>number one</w:t>
      </w:r>
      <w:r w:rsidR="00E6633D" w:rsidRPr="003B764A">
        <w:rPr>
          <w:lang w:val="en-GB"/>
        </w:rPr>
        <w:t xml:space="preserve"> barrier</w:t>
      </w:r>
      <w:r w:rsidR="00667DCD" w:rsidRPr="003B764A">
        <w:rPr>
          <w:lang w:val="en-GB"/>
        </w:rPr>
        <w:t xml:space="preserve"> (see </w:t>
      </w:r>
      <w:r w:rsidR="00667DCD" w:rsidRPr="003B764A">
        <w:rPr>
          <w:lang w:val="en-GB"/>
        </w:rPr>
        <w:fldChar w:fldCharType="begin"/>
      </w:r>
      <w:r w:rsidR="00667DCD" w:rsidRPr="003B764A">
        <w:rPr>
          <w:lang w:val="en-GB"/>
        </w:rPr>
        <w:instrText xml:space="preserve"> REF _Ref234830010 \h </w:instrText>
      </w:r>
      <w:r w:rsidR="00667DCD" w:rsidRPr="003B764A">
        <w:rPr>
          <w:lang w:val="en-GB"/>
        </w:rPr>
      </w:r>
      <w:r w:rsidR="00667DCD" w:rsidRPr="003B764A">
        <w:rPr>
          <w:lang w:val="en-GB"/>
        </w:rPr>
        <w:fldChar w:fldCharType="separate"/>
      </w:r>
      <w:r w:rsidR="00623810" w:rsidRPr="003B764A">
        <w:rPr>
          <w:lang w:val="en-GB"/>
        </w:rPr>
        <w:t xml:space="preserve">Fig. </w:t>
      </w:r>
      <w:r w:rsidR="00623810" w:rsidRPr="003B764A">
        <w:rPr>
          <w:noProof/>
          <w:lang w:val="en-GB"/>
        </w:rPr>
        <w:t>12</w:t>
      </w:r>
      <w:r w:rsidR="00667DCD" w:rsidRPr="003B764A">
        <w:rPr>
          <w:lang w:val="en-GB"/>
        </w:rPr>
        <w:fldChar w:fldCharType="end"/>
      </w:r>
      <w:r w:rsidR="003747FD" w:rsidRPr="003B764A">
        <w:rPr>
          <w:lang w:val="en-GB"/>
        </w:rPr>
        <w:t xml:space="preserve"> left</w:t>
      </w:r>
      <w:r w:rsidR="00667DCD" w:rsidRPr="003B764A">
        <w:rPr>
          <w:lang w:val="en-GB"/>
        </w:rPr>
        <w:t>)</w:t>
      </w:r>
      <w:r w:rsidR="00E6633D" w:rsidRPr="003B764A">
        <w:rPr>
          <w:lang w:val="en-GB"/>
        </w:rPr>
        <w:t>.</w:t>
      </w:r>
      <w:r w:rsidR="00E6633D" w:rsidRPr="003B764A">
        <w:rPr>
          <w:b/>
          <w:bCs/>
          <w:lang w:val="en-GB"/>
        </w:rPr>
        <w:t xml:space="preserve"> </w:t>
      </w:r>
      <w:r w:rsidR="00E6633D" w:rsidRPr="003B764A">
        <w:rPr>
          <w:lang w:val="en-GB"/>
        </w:rPr>
        <w:t xml:space="preserve">Two-thirds of </w:t>
      </w:r>
      <w:r w:rsidR="00E13251" w:rsidRPr="003B764A">
        <w:rPr>
          <w:lang w:val="en-GB"/>
        </w:rPr>
        <w:t xml:space="preserve">the survey </w:t>
      </w:r>
      <w:r w:rsidR="00E6633D" w:rsidRPr="003B764A">
        <w:rPr>
          <w:lang w:val="en-GB"/>
        </w:rPr>
        <w:t>respondents cite lack of integration knowledge, ahead of lack of manufacturer data (54%), validation data scarcity (42%) and lack of open tools (42%). The open-text answers reinforce this strongly: the recurring theme is that difficulty arises not in the PVT unit itself but when coupling it with other components</w:t>
      </w:r>
      <w:r w:rsidR="00061A32" w:rsidRPr="003B764A">
        <w:rPr>
          <w:lang w:val="en-GB"/>
        </w:rPr>
        <w:t xml:space="preserve">. </w:t>
      </w:r>
      <w:r w:rsidR="00667DCD" w:rsidRPr="003B764A">
        <w:rPr>
          <w:lang w:val="en-GB"/>
        </w:rPr>
        <w:t xml:space="preserve">The perceived difficulty in PVT modelling has a mean rating of 3.4 out of 5, with most respondents choosing 3 or 4. The rating </w:t>
      </w:r>
      <w:r w:rsidR="00061A32" w:rsidRPr="003B764A">
        <w:rPr>
          <w:lang w:val="en-GB"/>
        </w:rPr>
        <w:t xml:space="preserve">does not show differences </w:t>
      </w:r>
      <w:r w:rsidR="00667DCD" w:rsidRPr="003B764A">
        <w:rPr>
          <w:lang w:val="en-GB"/>
        </w:rPr>
        <w:t>between beginners (3.4) and intermediates (3.4)</w:t>
      </w:r>
      <w:r w:rsidR="00061A32" w:rsidRPr="003B764A">
        <w:rPr>
          <w:lang w:val="en-GB"/>
        </w:rPr>
        <w:t>.</w:t>
      </w:r>
    </w:p>
    <w:p w14:paraId="19392560" w14:textId="3E830CC5" w:rsidR="00AB1CF3" w:rsidRPr="003B764A" w:rsidRDefault="00AB1CF3" w:rsidP="00AB1CF3">
      <w:pPr>
        <w:pStyle w:val="SWCText"/>
        <w:rPr>
          <w:lang w:val="en-GB"/>
        </w:rPr>
      </w:pPr>
      <w:r w:rsidRPr="003B764A">
        <w:rPr>
          <w:lang w:val="en-GB"/>
        </w:rPr>
        <w:t>Concerning data accessibility, economic performance and operational records constitute the primary constraints.</w:t>
      </w:r>
      <w:r w:rsidRPr="003B764A" w:rsidDel="00C15E59">
        <w:rPr>
          <w:lang w:val="en-GB"/>
        </w:rPr>
        <w:t xml:space="preserve"> </w:t>
      </w:r>
      <w:r w:rsidRPr="003B764A">
        <w:rPr>
          <w:lang w:val="en-GB"/>
        </w:rPr>
        <w:t xml:space="preserve">(see </w:t>
      </w:r>
      <w:r w:rsidRPr="003B764A">
        <w:rPr>
          <w:lang w:val="en-GB"/>
        </w:rPr>
        <w:fldChar w:fldCharType="begin"/>
      </w:r>
      <w:r w:rsidRPr="003B764A">
        <w:rPr>
          <w:lang w:val="en-GB"/>
        </w:rPr>
        <w:instrText xml:space="preserve"> REF _Ref234830010 \h </w:instrText>
      </w:r>
      <w:r w:rsidRPr="003B764A">
        <w:rPr>
          <w:lang w:val="en-GB"/>
        </w:rPr>
      </w:r>
      <w:r w:rsidRPr="003B764A">
        <w:rPr>
          <w:lang w:val="en-GB"/>
        </w:rPr>
        <w:fldChar w:fldCharType="separate"/>
      </w:r>
      <w:r w:rsidR="00623810" w:rsidRPr="003B764A">
        <w:rPr>
          <w:lang w:val="en-GB"/>
        </w:rPr>
        <w:t xml:space="preserve">Fig. </w:t>
      </w:r>
      <w:r w:rsidR="00623810" w:rsidRPr="003B764A">
        <w:rPr>
          <w:noProof/>
          <w:lang w:val="en-GB"/>
        </w:rPr>
        <w:t>12</w:t>
      </w:r>
      <w:r w:rsidRPr="003B764A">
        <w:rPr>
          <w:lang w:val="en-GB"/>
        </w:rPr>
        <w:fldChar w:fldCharType="end"/>
      </w:r>
      <w:r w:rsidRPr="003B764A">
        <w:rPr>
          <w:lang w:val="en-GB"/>
        </w:rPr>
        <w:t xml:space="preserve"> right). Cost/economic data (CAPEX/OPEX) and control/operational data are tied as the hardest to </w:t>
      </w:r>
      <w:r w:rsidRPr="003B764A">
        <w:rPr>
          <w:lang w:val="en-GB"/>
        </w:rPr>
        <w:lastRenderedPageBreak/>
        <w:t>obtain (54% each). According to respondents, non-disclosure of manufacturer data, specifically costs, thermal parameters, and control strategies, hampers techno-economic modelling and cross-study comparisons. Missing part-load performance maps restrict dynamic simulations of HP-coupled PVT systems in tools like TRNSYS.</w:t>
      </w:r>
    </w:p>
    <w:p w14:paraId="188AA364" w14:textId="2E86D8E2" w:rsidR="00213FF5" w:rsidRPr="003B764A" w:rsidRDefault="00213FF5" w:rsidP="003E65FE">
      <w:pPr>
        <w:pStyle w:val="SWCText"/>
        <w:jc w:val="left"/>
        <w:rPr>
          <w:lang w:val="en-GB"/>
        </w:rPr>
      </w:pPr>
      <w:r w:rsidRPr="003B764A">
        <w:rPr>
          <w:noProof/>
          <w:sz w:val="18"/>
          <w:szCs w:val="20"/>
          <w:lang w:val="en-GB"/>
        </w:rPr>
        <w:drawing>
          <wp:inline distT="0" distB="0" distL="0" distR="0" wp14:anchorId="35C31FE6" wp14:editId="0EA1F53C">
            <wp:extent cx="2862262" cy="1439545"/>
            <wp:effectExtent l="0" t="0" r="0" b="8255"/>
            <wp:docPr id="2139901138" name="Chart 1">
              <a:extLst xmlns:a="http://schemas.openxmlformats.org/drawingml/2006/main">
                <a:ext uri="{FF2B5EF4-FFF2-40B4-BE49-F238E27FC236}">
                  <a16:creationId xmlns:a16="http://schemas.microsoft.com/office/drawing/2014/main" id="{BE57DB4E-3CB0-42BB-B13F-0733588548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00BA5858" w:rsidRPr="003B764A">
        <w:rPr>
          <w:noProof/>
          <w:lang w:val="en-GB"/>
        </w:rPr>
        <w:drawing>
          <wp:inline distT="0" distB="0" distL="0" distR="0" wp14:anchorId="063B1C63" wp14:editId="7649BE68">
            <wp:extent cx="2880000" cy="1440000"/>
            <wp:effectExtent l="0" t="0" r="0" b="8255"/>
            <wp:docPr id="986019666" name="Chart 1">
              <a:extLst xmlns:a="http://schemas.openxmlformats.org/drawingml/2006/main">
                <a:ext uri="{FF2B5EF4-FFF2-40B4-BE49-F238E27FC236}">
                  <a16:creationId xmlns:a16="http://schemas.microsoft.com/office/drawing/2014/main" id="{3C94DAAC-B379-4513-80A8-EC4F7EBF5A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4C48CD9" w14:textId="109F692F" w:rsidR="00667DCD" w:rsidRPr="003B764A" w:rsidRDefault="00667DCD" w:rsidP="00667DCD">
      <w:pPr>
        <w:pStyle w:val="SWCTableFigureCaption"/>
        <w:rPr>
          <w:lang w:val="en-GB"/>
        </w:rPr>
      </w:pPr>
      <w:bookmarkStart w:id="17" w:name="_Ref234830010"/>
      <w:r w:rsidRPr="003B764A">
        <w:rPr>
          <w:lang w:val="en-GB"/>
        </w:rPr>
        <w:t xml:space="preserve">Fig. </w:t>
      </w:r>
      <w:r w:rsidRPr="003B764A">
        <w:rPr>
          <w:lang w:val="en-GB"/>
        </w:rPr>
        <w:fldChar w:fldCharType="begin"/>
      </w:r>
      <w:r w:rsidRPr="003B764A">
        <w:rPr>
          <w:lang w:val="en-GB"/>
        </w:rPr>
        <w:instrText xml:space="preserve"> SEQ Fig. \* ARABIC </w:instrText>
      </w:r>
      <w:r w:rsidRPr="003B764A">
        <w:rPr>
          <w:lang w:val="en-GB"/>
        </w:rPr>
        <w:fldChar w:fldCharType="separate"/>
      </w:r>
      <w:r w:rsidR="00623810" w:rsidRPr="003B764A">
        <w:rPr>
          <w:noProof/>
          <w:lang w:val="en-GB"/>
        </w:rPr>
        <w:t>12</w:t>
      </w:r>
      <w:r w:rsidRPr="003B764A">
        <w:rPr>
          <w:lang w:val="en-GB"/>
        </w:rPr>
        <w:fldChar w:fldCharType="end"/>
      </w:r>
      <w:bookmarkEnd w:id="17"/>
      <w:r w:rsidRPr="003B764A">
        <w:rPr>
          <w:lang w:val="en-GB"/>
        </w:rPr>
        <w:t xml:space="preserve">: </w:t>
      </w:r>
      <w:r w:rsidR="00522C27" w:rsidRPr="003B764A">
        <w:rPr>
          <w:lang w:val="en-GB"/>
        </w:rPr>
        <w:t>Main barriers to PVT system modelling</w:t>
      </w:r>
      <w:r w:rsidR="00E046FA" w:rsidRPr="003B764A">
        <w:rPr>
          <w:lang w:val="en-GB"/>
        </w:rPr>
        <w:t xml:space="preserve"> (left) </w:t>
      </w:r>
      <w:r w:rsidR="00E30EC2" w:rsidRPr="003B764A">
        <w:rPr>
          <w:lang w:val="en-GB"/>
        </w:rPr>
        <w:t>and</w:t>
      </w:r>
      <w:r w:rsidR="00426553" w:rsidRPr="003B764A">
        <w:rPr>
          <w:lang w:val="en-GB"/>
        </w:rPr>
        <w:t xml:space="preserve"> data types reported as hardest to obtain for PVT modelling</w:t>
      </w:r>
      <w:r w:rsidR="000712AB" w:rsidRPr="003B764A">
        <w:rPr>
          <w:lang w:val="en-GB"/>
        </w:rPr>
        <w:t xml:space="preserve"> (right),</w:t>
      </w:r>
      <w:r w:rsidR="00BA5858" w:rsidRPr="003B764A">
        <w:rPr>
          <w:lang w:val="en-GB"/>
        </w:rPr>
        <w:t xml:space="preserve"> </w:t>
      </w:r>
      <w:r w:rsidR="00522C27" w:rsidRPr="003B764A">
        <w:rPr>
          <w:lang w:val="en-GB"/>
        </w:rPr>
        <w:t>reported by early-career researchers (n = 24; multi-select)</w:t>
      </w:r>
      <w:r w:rsidRPr="003B764A">
        <w:rPr>
          <w:lang w:val="en-GB"/>
        </w:rPr>
        <w:t>.</w:t>
      </w:r>
    </w:p>
    <w:p w14:paraId="0940AC89" w14:textId="3A889E80" w:rsidR="00B7363B" w:rsidRPr="003B764A" w:rsidRDefault="002A0910" w:rsidP="00294109">
      <w:pPr>
        <w:pStyle w:val="SWCText"/>
        <w:rPr>
          <w:lang w:val="en-GB"/>
        </w:rPr>
      </w:pPr>
      <w:r w:rsidRPr="003B764A">
        <w:rPr>
          <w:lang w:val="en-GB"/>
        </w:rPr>
        <w:t>Two other</w:t>
      </w:r>
      <w:r w:rsidR="00061A32" w:rsidRPr="003B764A">
        <w:rPr>
          <w:lang w:val="en-GB"/>
        </w:rPr>
        <w:t xml:space="preserve"> key </w:t>
      </w:r>
      <w:r w:rsidR="005D2AE3" w:rsidRPr="003B764A">
        <w:rPr>
          <w:lang w:val="en-GB"/>
        </w:rPr>
        <w:t>barriers</w:t>
      </w:r>
      <w:r w:rsidR="00061A32" w:rsidRPr="003B764A">
        <w:rPr>
          <w:lang w:val="en-GB"/>
        </w:rPr>
        <w:t xml:space="preserve"> identified </w:t>
      </w:r>
      <w:r w:rsidR="00395E7E" w:rsidRPr="003B764A">
        <w:rPr>
          <w:lang w:val="en-GB"/>
        </w:rPr>
        <w:t xml:space="preserve">are the scarcity of high-quality validation data and the mismatch between datasheet specifications and software input requirements. For the first problem, researchers indicate that open-access datasets from real pilot plants are needed to bridge this gap. For the second one, a "constant bottleneck” is reported to manually translate real-world hardware data into simulation environments, </w:t>
      </w:r>
      <w:r w:rsidR="00232283" w:rsidRPr="003B764A">
        <w:rPr>
          <w:lang w:val="en-GB"/>
        </w:rPr>
        <w:t>which</w:t>
      </w:r>
      <w:r w:rsidR="00232283" w:rsidRPr="003B764A">
        <w:rPr>
          <w:color w:val="auto"/>
          <w:sz w:val="24"/>
          <w:szCs w:val="24"/>
          <w:lang w:val="en-GB"/>
        </w:rPr>
        <w:t xml:space="preserve"> </w:t>
      </w:r>
      <w:r w:rsidR="00232283" w:rsidRPr="003B764A">
        <w:rPr>
          <w:lang w:val="en-GB"/>
        </w:rPr>
        <w:t>forces greater alignment between manufacturers and software developers.</w:t>
      </w:r>
      <w:r w:rsidRPr="003B764A">
        <w:rPr>
          <w:lang w:val="en-GB"/>
        </w:rPr>
        <w:t xml:space="preserve"> </w:t>
      </w:r>
      <w:r w:rsidR="00B7363B" w:rsidRPr="003B764A">
        <w:rPr>
          <w:lang w:val="en-GB"/>
        </w:rPr>
        <w:t xml:space="preserve">Survey respondents answered that what would help the most during PVT modelling are reference models and worked examples. Reference models (71%) top the list of what would help most, followed by case studies (63%), guidelines and tutorials (58% each), training workshops (54%) and open datasets (50%). This is a coherent request for shared, reusable, example-driven resources, and it falls squarely within the deliverable categories of the IEA SHC Task 73. </w:t>
      </w:r>
    </w:p>
    <w:p w14:paraId="451314F3" w14:textId="3F4EA508" w:rsidR="009D5280" w:rsidRPr="003B764A" w:rsidRDefault="00623810" w:rsidP="009D5280">
      <w:pPr>
        <w:pStyle w:val="SWCHeading11"/>
        <w:ind w:left="576" w:hanging="576"/>
      </w:pPr>
      <w:r w:rsidRPr="003B764A">
        <w:t xml:space="preserve">5.2. </w:t>
      </w:r>
      <w:r w:rsidR="009D5280" w:rsidRPr="003B764A">
        <w:t>Uncovered phenomena and gaps in research and modelling</w:t>
      </w:r>
    </w:p>
    <w:p w14:paraId="27908206" w14:textId="3D90BEC6" w:rsidR="002A0910" w:rsidRPr="003B764A" w:rsidRDefault="00BB1175" w:rsidP="002A0910">
      <w:pPr>
        <w:pStyle w:val="SWCText"/>
        <w:rPr>
          <w:lang w:val="en-GB"/>
        </w:rPr>
      </w:pPr>
      <w:r w:rsidRPr="003B764A">
        <w:rPr>
          <w:lang w:val="en-GB"/>
        </w:rPr>
        <w:t>T</w:t>
      </w:r>
      <w:r w:rsidR="00F036A3" w:rsidRPr="003B764A">
        <w:rPr>
          <w:lang w:val="en-GB"/>
        </w:rPr>
        <w:t xml:space="preserve">he </w:t>
      </w:r>
      <w:r w:rsidR="00250FB8" w:rsidRPr="003B764A">
        <w:rPr>
          <w:lang w:val="en-GB"/>
        </w:rPr>
        <w:t xml:space="preserve">survey </w:t>
      </w:r>
      <w:r w:rsidR="002D4344" w:rsidRPr="003B764A">
        <w:rPr>
          <w:lang w:val="en-GB"/>
        </w:rPr>
        <w:t xml:space="preserve">of </w:t>
      </w:r>
      <w:r w:rsidR="00D3294A" w:rsidRPr="003B764A">
        <w:rPr>
          <w:lang w:val="en-GB"/>
        </w:rPr>
        <w:t xml:space="preserve">the IEA SHC </w:t>
      </w:r>
      <w:r w:rsidR="00F036A3" w:rsidRPr="003B764A">
        <w:rPr>
          <w:lang w:val="en-GB"/>
        </w:rPr>
        <w:t xml:space="preserve">Task 73 </w:t>
      </w:r>
      <w:r w:rsidR="002D4344" w:rsidRPr="003B764A">
        <w:rPr>
          <w:lang w:val="en-GB"/>
        </w:rPr>
        <w:t xml:space="preserve">community </w:t>
      </w:r>
      <w:r w:rsidR="00A74BAF" w:rsidRPr="003B764A">
        <w:rPr>
          <w:lang w:val="en-GB"/>
        </w:rPr>
        <w:t xml:space="preserve">(see </w:t>
      </w:r>
      <w:r w:rsidR="00A74BAF" w:rsidRPr="003B764A">
        <w:rPr>
          <w:lang w:val="en-GB"/>
        </w:rPr>
        <w:fldChar w:fldCharType="begin"/>
      </w:r>
      <w:r w:rsidR="00A74BAF" w:rsidRPr="003B764A">
        <w:rPr>
          <w:lang w:val="en-GB"/>
        </w:rPr>
        <w:instrText xml:space="preserve"> REF _Ref236305747 \h </w:instrText>
      </w:r>
      <w:r w:rsidR="00A74BAF" w:rsidRPr="003B764A">
        <w:rPr>
          <w:lang w:val="en-GB"/>
        </w:rPr>
      </w:r>
      <w:r w:rsidR="00A74BAF" w:rsidRPr="003B764A">
        <w:rPr>
          <w:lang w:val="en-GB"/>
        </w:rPr>
        <w:fldChar w:fldCharType="separate"/>
      </w:r>
      <w:r w:rsidR="00623810" w:rsidRPr="003B764A">
        <w:rPr>
          <w:lang w:val="en-GB"/>
        </w:rPr>
        <w:t xml:space="preserve">Fig. </w:t>
      </w:r>
      <w:r w:rsidR="00623810" w:rsidRPr="003B764A">
        <w:rPr>
          <w:noProof/>
          <w:lang w:val="en-GB"/>
        </w:rPr>
        <w:t>13</w:t>
      </w:r>
      <w:r w:rsidR="00A74BAF" w:rsidRPr="003B764A">
        <w:rPr>
          <w:lang w:val="en-GB"/>
        </w:rPr>
        <w:fldChar w:fldCharType="end"/>
      </w:r>
      <w:r w:rsidR="00A74BAF" w:rsidRPr="003B764A">
        <w:rPr>
          <w:lang w:val="en-GB"/>
        </w:rPr>
        <w:t>)</w:t>
      </w:r>
      <w:r w:rsidR="0033611A" w:rsidRPr="003B764A">
        <w:rPr>
          <w:lang w:val="en-GB"/>
        </w:rPr>
        <w:t xml:space="preserve"> shows</w:t>
      </w:r>
      <w:r w:rsidR="00250FB8" w:rsidRPr="003B764A">
        <w:rPr>
          <w:lang w:val="en-GB"/>
        </w:rPr>
        <w:t xml:space="preserve"> a consensus </w:t>
      </w:r>
      <w:r w:rsidR="002D4344" w:rsidRPr="003B764A">
        <w:rPr>
          <w:lang w:val="en-GB"/>
        </w:rPr>
        <w:t xml:space="preserve">in the modelling of </w:t>
      </w:r>
      <w:r w:rsidR="00250FB8" w:rsidRPr="003B764A">
        <w:rPr>
          <w:lang w:val="en-GB"/>
        </w:rPr>
        <w:t>thermal and electrical generation</w:t>
      </w:r>
      <w:r w:rsidR="002D4344" w:rsidRPr="003B764A">
        <w:rPr>
          <w:lang w:val="en-GB"/>
        </w:rPr>
        <w:t xml:space="preserve">, </w:t>
      </w:r>
      <w:r w:rsidR="00D3294A" w:rsidRPr="003B764A">
        <w:rPr>
          <w:lang w:val="en-GB"/>
        </w:rPr>
        <w:t>categorised</w:t>
      </w:r>
      <w:r w:rsidR="002D4344" w:rsidRPr="003B764A">
        <w:rPr>
          <w:lang w:val="en-GB"/>
        </w:rPr>
        <w:t xml:space="preserve"> as</w:t>
      </w:r>
      <w:r w:rsidR="00250FB8" w:rsidRPr="003B764A">
        <w:rPr>
          <w:lang w:val="en-GB"/>
        </w:rPr>
        <w:t xml:space="preserve"> the most well-established phenomena</w:t>
      </w:r>
      <w:r w:rsidR="002D4344" w:rsidRPr="003B764A">
        <w:rPr>
          <w:lang w:val="en-GB"/>
        </w:rPr>
        <w:t xml:space="preserve"> (4/5)</w:t>
      </w:r>
      <w:r w:rsidR="00250FB8" w:rsidRPr="003B764A">
        <w:rPr>
          <w:lang w:val="en-GB"/>
        </w:rPr>
        <w:t>,</w:t>
      </w:r>
      <w:r w:rsidR="002D4344" w:rsidRPr="003B764A">
        <w:rPr>
          <w:lang w:val="en-GB"/>
        </w:rPr>
        <w:t xml:space="preserve"> probably because </w:t>
      </w:r>
      <w:r w:rsidR="00250FB8" w:rsidRPr="003B764A">
        <w:rPr>
          <w:lang w:val="en-GB"/>
        </w:rPr>
        <w:t>they are supported by normative coefficients in standards such as ISO 9806:2017</w:t>
      </w:r>
      <w:r w:rsidR="002D4344" w:rsidRPr="003B764A">
        <w:rPr>
          <w:lang w:val="en-GB"/>
        </w:rPr>
        <w:t xml:space="preserve"> or IEC 61215.</w:t>
      </w:r>
      <w:r w:rsidR="0033611A" w:rsidRPr="003B764A">
        <w:rPr>
          <w:lang w:val="en-GB"/>
        </w:rPr>
        <w:t xml:space="preserve"> However, the survey reveals greater disparity regarding other phenomena, such as wind effects (2.6/5), overheating (3.1/5), and dynamic </w:t>
      </w:r>
      <w:r w:rsidR="00806EF1" w:rsidRPr="003B764A">
        <w:rPr>
          <w:lang w:val="en-GB"/>
        </w:rPr>
        <w:t>behaviour</w:t>
      </w:r>
      <w:r w:rsidR="0033611A" w:rsidRPr="003B764A">
        <w:rPr>
          <w:lang w:val="en-GB"/>
        </w:rPr>
        <w:t xml:space="preserve"> (3.2/5). While mean scores indicate these mechanisms are reasonably well understood and supported by literature models, the scatter in individual responses highlights a clear need for standardi</w:t>
      </w:r>
      <w:r w:rsidR="00C94455" w:rsidRPr="003B764A">
        <w:rPr>
          <w:lang w:val="en-GB"/>
        </w:rPr>
        <w:t>s</w:t>
      </w:r>
      <w:r w:rsidR="0033611A" w:rsidRPr="003B764A">
        <w:rPr>
          <w:lang w:val="en-GB"/>
        </w:rPr>
        <w:t xml:space="preserve">ation, particularly for the latter two. There is a consensus on the lower ratings for radiative cooling (2.2), condensation (1.9) and ice formation (1.8), which highlights a critical disconnection between theoretical equations and practical software implementation. </w:t>
      </w:r>
      <w:r w:rsidR="00C94455" w:rsidRPr="003B764A">
        <w:rPr>
          <w:lang w:val="en-GB"/>
        </w:rPr>
        <w:t>C</w:t>
      </w:r>
      <w:r w:rsidR="0033611A" w:rsidRPr="003B764A">
        <w:rPr>
          <w:lang w:val="en-GB"/>
        </w:rPr>
        <w:t>ondensation and icing are especially poorly addressed, while the</w:t>
      </w:r>
      <w:r w:rsidR="00C94455" w:rsidRPr="003B764A">
        <w:rPr>
          <w:lang w:val="en-GB"/>
        </w:rPr>
        <w:t>se</w:t>
      </w:r>
      <w:r w:rsidR="0033611A" w:rsidRPr="003B764A">
        <w:rPr>
          <w:lang w:val="en-GB"/>
        </w:rPr>
        <w:t xml:space="preserve"> </w:t>
      </w:r>
      <w:r w:rsidR="00C94455" w:rsidRPr="003B764A">
        <w:rPr>
          <w:lang w:val="en-GB"/>
        </w:rPr>
        <w:t xml:space="preserve">phenomena are </w:t>
      </w:r>
      <w:r w:rsidR="0033611A" w:rsidRPr="003B764A">
        <w:rPr>
          <w:lang w:val="en-GB"/>
        </w:rPr>
        <w:t xml:space="preserve">critical to PVT-HP systems operating below ambient. </w:t>
      </w:r>
    </w:p>
    <w:p w14:paraId="4DD98136" w14:textId="3A59F172" w:rsidR="006B6E59" w:rsidRPr="003B764A" w:rsidRDefault="009B2321" w:rsidP="002A0910">
      <w:pPr>
        <w:pStyle w:val="SWCText"/>
        <w:jc w:val="center"/>
        <w:rPr>
          <w:lang w:val="en-GB"/>
        </w:rPr>
      </w:pPr>
      <w:r w:rsidRPr="003B764A">
        <w:rPr>
          <w:noProof/>
          <w:lang w:val="en-GB"/>
        </w:rPr>
        <w:drawing>
          <wp:inline distT="0" distB="0" distL="0" distR="0" wp14:anchorId="14ED192A" wp14:editId="55E9A584">
            <wp:extent cx="5539919" cy="1262418"/>
            <wp:effectExtent l="0" t="0" r="3810" b="0"/>
            <wp:docPr id="63762421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2">
                      <a:extLst>
                        <a:ext uri="{28A0092B-C50C-407E-A947-70E740481C1C}">
                          <a14:useLocalDpi xmlns:a14="http://schemas.microsoft.com/office/drawing/2010/main" val="0"/>
                        </a:ext>
                      </a:extLst>
                    </a:blip>
                    <a:srcRect l="9114" t="10812" r="3028" b="6516"/>
                    <a:stretch>
                      <a:fillRect/>
                    </a:stretch>
                  </pic:blipFill>
                  <pic:spPr bwMode="auto">
                    <a:xfrm>
                      <a:off x="0" y="0"/>
                      <a:ext cx="5579457" cy="1271428"/>
                    </a:xfrm>
                    <a:prstGeom prst="rect">
                      <a:avLst/>
                    </a:prstGeom>
                    <a:noFill/>
                    <a:ln>
                      <a:noFill/>
                    </a:ln>
                    <a:extLst>
                      <a:ext uri="{53640926-AAD7-44D8-BBD7-CCE9431645EC}">
                        <a14:shadowObscured xmlns:a14="http://schemas.microsoft.com/office/drawing/2010/main"/>
                      </a:ext>
                    </a:extLst>
                  </pic:spPr>
                </pic:pic>
              </a:graphicData>
            </a:graphic>
          </wp:inline>
        </w:drawing>
      </w:r>
    </w:p>
    <w:p w14:paraId="4B71A702" w14:textId="696EABBA" w:rsidR="00BE6641" w:rsidRPr="003B764A" w:rsidRDefault="00BE6641" w:rsidP="00BE6641">
      <w:pPr>
        <w:pStyle w:val="SWCTableFigureCaption"/>
        <w:rPr>
          <w:lang w:val="en-GB"/>
        </w:rPr>
      </w:pPr>
      <w:bookmarkStart w:id="18" w:name="_Ref236305747"/>
      <w:r w:rsidRPr="003B764A">
        <w:rPr>
          <w:lang w:val="en-GB"/>
        </w:rPr>
        <w:t xml:space="preserve">Fig. </w:t>
      </w:r>
      <w:r w:rsidRPr="003B764A">
        <w:rPr>
          <w:lang w:val="en-GB"/>
        </w:rPr>
        <w:fldChar w:fldCharType="begin"/>
      </w:r>
      <w:r w:rsidRPr="003B764A">
        <w:rPr>
          <w:lang w:val="en-GB"/>
        </w:rPr>
        <w:instrText xml:space="preserve"> SEQ Fig. \* ARABIC </w:instrText>
      </w:r>
      <w:r w:rsidRPr="003B764A">
        <w:rPr>
          <w:lang w:val="en-GB"/>
        </w:rPr>
        <w:fldChar w:fldCharType="separate"/>
      </w:r>
      <w:r w:rsidR="00623810" w:rsidRPr="003B764A">
        <w:rPr>
          <w:noProof/>
          <w:lang w:val="en-GB"/>
        </w:rPr>
        <w:t>13</w:t>
      </w:r>
      <w:r w:rsidRPr="003B764A">
        <w:rPr>
          <w:lang w:val="en-GB"/>
        </w:rPr>
        <w:fldChar w:fldCharType="end"/>
      </w:r>
      <w:bookmarkEnd w:id="18"/>
      <w:r w:rsidRPr="003B764A">
        <w:rPr>
          <w:lang w:val="en-GB"/>
        </w:rPr>
        <w:t>. Perceived maturity level of the main phenomena occurring in PVT systems according to the IEA SHC Task 73 community.</w:t>
      </w:r>
    </w:p>
    <w:p w14:paraId="72658E3B" w14:textId="1254EF19" w:rsidR="00982B91" w:rsidRPr="003B764A" w:rsidRDefault="00982B91" w:rsidP="00053670">
      <w:pPr>
        <w:pStyle w:val="SWCText"/>
        <w:rPr>
          <w:lang w:val="en-GB"/>
        </w:rPr>
      </w:pPr>
      <w:r w:rsidRPr="003B764A">
        <w:rPr>
          <w:lang w:val="en-GB"/>
        </w:rPr>
        <w:t xml:space="preserve">The PVT community needs to improve </w:t>
      </w:r>
      <w:r w:rsidR="00CD7821" w:rsidRPr="003B764A">
        <w:rPr>
          <w:lang w:val="en-GB"/>
        </w:rPr>
        <w:t>modelling</w:t>
      </w:r>
      <w:r w:rsidRPr="003B764A">
        <w:rPr>
          <w:lang w:val="en-GB"/>
        </w:rPr>
        <w:t xml:space="preserve"> experience and system accuracy</w:t>
      </w:r>
      <w:r w:rsidR="00CD7821" w:rsidRPr="003B764A">
        <w:rPr>
          <w:lang w:val="en-GB"/>
        </w:rPr>
        <w:t xml:space="preserve">. </w:t>
      </w:r>
      <w:r w:rsidR="00F036A3" w:rsidRPr="003B764A">
        <w:rPr>
          <w:lang w:val="en-GB"/>
        </w:rPr>
        <w:t>The s</w:t>
      </w:r>
      <w:r w:rsidR="00CD7821" w:rsidRPr="003B764A">
        <w:rPr>
          <w:lang w:val="en-GB"/>
        </w:rPr>
        <w:t xml:space="preserve">urvey </w:t>
      </w:r>
      <w:r w:rsidRPr="003B764A">
        <w:rPr>
          <w:lang w:val="en-GB"/>
        </w:rPr>
        <w:t>respondents expressed a strong need for standardised guidelines, open-access reference models, and detailed case studies. There is also a call for information tailored to different learning levels to help beginners transition into more advanced PVT system design.</w:t>
      </w:r>
    </w:p>
    <w:p w14:paraId="746106AE" w14:textId="5DDF956A" w:rsidR="00192E9C" w:rsidRPr="003B764A" w:rsidRDefault="003E76AF" w:rsidP="00E45260">
      <w:pPr>
        <w:pStyle w:val="SWCHeading1"/>
      </w:pPr>
      <w:r>
        <w:t xml:space="preserve">Discussion and </w:t>
      </w:r>
      <w:r w:rsidR="00192E9C" w:rsidRPr="003B764A">
        <w:t>Conclusions</w:t>
      </w:r>
    </w:p>
    <w:p w14:paraId="7F37B6D5" w14:textId="0A5E5D13" w:rsidR="00B15EC9" w:rsidRPr="003B764A" w:rsidRDefault="00916FD2" w:rsidP="00B15EC9">
      <w:pPr>
        <w:pStyle w:val="SWCText"/>
        <w:rPr>
          <w:lang w:val="en-GB"/>
        </w:rPr>
      </w:pPr>
      <w:r w:rsidRPr="003B764A">
        <w:rPr>
          <w:lang w:val="en-GB"/>
        </w:rPr>
        <w:t>Th</w:t>
      </w:r>
      <w:r w:rsidR="00A826D2" w:rsidRPr="003B764A">
        <w:rPr>
          <w:lang w:val="en-GB"/>
        </w:rPr>
        <w:t>is</w:t>
      </w:r>
      <w:r w:rsidRPr="003B764A">
        <w:rPr>
          <w:lang w:val="en-GB"/>
        </w:rPr>
        <w:t xml:space="preserve"> work </w:t>
      </w:r>
      <w:r w:rsidR="00A826D2" w:rsidRPr="003B764A">
        <w:rPr>
          <w:lang w:val="en-GB"/>
        </w:rPr>
        <w:t xml:space="preserve">establishes a framework towards </w:t>
      </w:r>
      <w:r w:rsidRPr="003B764A">
        <w:rPr>
          <w:lang w:val="en-GB"/>
        </w:rPr>
        <w:t xml:space="preserve">defining and standardising the monitoring of </w:t>
      </w:r>
      <w:r w:rsidR="005D4534" w:rsidRPr="003B764A">
        <w:rPr>
          <w:lang w:val="en-GB"/>
        </w:rPr>
        <w:t>operational PVT systems</w:t>
      </w:r>
      <w:r w:rsidR="00A826D2" w:rsidRPr="003B764A">
        <w:rPr>
          <w:lang w:val="en-GB"/>
        </w:rPr>
        <w:t xml:space="preserve">, </w:t>
      </w:r>
      <w:r w:rsidR="005D4534" w:rsidRPr="003B764A">
        <w:rPr>
          <w:lang w:val="en-GB"/>
        </w:rPr>
        <w:lastRenderedPageBreak/>
        <w:t xml:space="preserve">by identifying </w:t>
      </w:r>
      <w:r w:rsidR="00676C00" w:rsidRPr="003B764A">
        <w:rPr>
          <w:lang w:val="en-GB"/>
        </w:rPr>
        <w:t xml:space="preserve">the main PVT system configurations, </w:t>
      </w:r>
      <w:r w:rsidR="005D4534" w:rsidRPr="003B764A">
        <w:rPr>
          <w:lang w:val="en-GB"/>
        </w:rPr>
        <w:t xml:space="preserve">mapping their distribution, </w:t>
      </w:r>
      <w:r w:rsidR="00C8320D" w:rsidRPr="003B764A">
        <w:rPr>
          <w:lang w:val="en-GB"/>
        </w:rPr>
        <w:t xml:space="preserve">proposing KPIs, </w:t>
      </w:r>
      <w:r w:rsidR="005D4534" w:rsidRPr="003B764A">
        <w:rPr>
          <w:lang w:val="en-GB"/>
        </w:rPr>
        <w:t>and categorising the primary modelling gaps currently faced by the community</w:t>
      </w:r>
      <w:r w:rsidR="00B15EC9" w:rsidRPr="003B764A">
        <w:rPr>
          <w:lang w:val="en-GB"/>
        </w:rPr>
        <w:t>.</w:t>
      </w:r>
      <w:r w:rsidR="00FD0F8C" w:rsidRPr="003B764A">
        <w:rPr>
          <w:lang w:val="en-GB"/>
        </w:rPr>
        <w:t xml:space="preserve"> </w:t>
      </w:r>
      <w:r w:rsidR="00B15EC9" w:rsidRPr="003B764A">
        <w:rPr>
          <w:lang w:val="en-GB"/>
        </w:rPr>
        <w:t xml:space="preserve">Classification along the </w:t>
      </w:r>
      <w:r w:rsidR="00A70D00" w:rsidRPr="003B764A">
        <w:rPr>
          <w:lang w:val="en-GB"/>
        </w:rPr>
        <w:t>white-to-black-box</w:t>
      </w:r>
      <w:r w:rsidR="00B15EC9" w:rsidRPr="003B764A">
        <w:rPr>
          <w:lang w:val="en-GB"/>
        </w:rPr>
        <w:t xml:space="preserve"> spectrum shows</w:t>
      </w:r>
      <w:r w:rsidR="00FD0F8C" w:rsidRPr="003B764A">
        <w:rPr>
          <w:lang w:val="en-GB"/>
        </w:rPr>
        <w:t xml:space="preserve"> that</w:t>
      </w:r>
      <w:r w:rsidR="00B15EC9" w:rsidRPr="003B764A">
        <w:rPr>
          <w:lang w:val="en-GB"/>
        </w:rPr>
        <w:t xml:space="preserve"> the </w:t>
      </w:r>
      <w:r w:rsidR="00A70D00" w:rsidRPr="003B764A">
        <w:rPr>
          <w:lang w:val="en-GB"/>
        </w:rPr>
        <w:t>grey-box</w:t>
      </w:r>
      <w:r w:rsidR="00B15EC9" w:rsidRPr="003B764A">
        <w:rPr>
          <w:lang w:val="en-GB"/>
        </w:rPr>
        <w:t xml:space="preserve"> ISO 9806 formulation </w:t>
      </w:r>
      <w:r w:rsidR="00FD0F8C" w:rsidRPr="003B764A">
        <w:rPr>
          <w:lang w:val="en-GB"/>
        </w:rPr>
        <w:t>is</w:t>
      </w:r>
      <w:r w:rsidR="00B15EC9" w:rsidRPr="003B764A">
        <w:rPr>
          <w:lang w:val="en-GB"/>
        </w:rPr>
        <w:t xml:space="preserve"> the community’s de facto standard, and the least-covered phenomena</w:t>
      </w:r>
      <w:r w:rsidR="006F2E96" w:rsidRPr="003B764A">
        <w:rPr>
          <w:lang w:val="en-GB"/>
        </w:rPr>
        <w:t>, i.e.</w:t>
      </w:r>
      <w:r w:rsidR="00B15EC9" w:rsidRPr="003B764A">
        <w:rPr>
          <w:lang w:val="en-GB"/>
        </w:rPr>
        <w:t xml:space="preserve"> condensation, frost, radiative cooling and stagnation</w:t>
      </w:r>
      <w:r w:rsidR="006F2E96" w:rsidRPr="003B764A">
        <w:rPr>
          <w:lang w:val="en-GB"/>
        </w:rPr>
        <w:t>,</w:t>
      </w:r>
      <w:r w:rsidR="00B15EC9" w:rsidRPr="003B764A">
        <w:rPr>
          <w:lang w:val="en-GB"/>
        </w:rPr>
        <w:t xml:space="preserve"> are those it cannot represent without extension. The gaps therefore track the modelling approach rather than the software, so community effort is better directed at standardised and validated model extensions than at tool-specific fixes. </w:t>
      </w:r>
    </w:p>
    <w:p w14:paraId="2BB9D55B" w14:textId="2E65C3EA" w:rsidR="00B16493" w:rsidRPr="003B764A" w:rsidRDefault="00916FD2" w:rsidP="00B16493">
      <w:pPr>
        <w:pStyle w:val="SWCText"/>
        <w:rPr>
          <w:lang w:val="en-GB"/>
        </w:rPr>
      </w:pPr>
      <w:r w:rsidRPr="003B764A">
        <w:rPr>
          <w:lang w:val="en-GB"/>
        </w:rPr>
        <w:t xml:space="preserve">A critical outcome is that in PVT modelling, </w:t>
      </w:r>
      <w:r w:rsidR="00DE625B" w:rsidRPr="003B764A">
        <w:rPr>
          <w:lang w:val="en-GB"/>
        </w:rPr>
        <w:t xml:space="preserve">system integration constitutes the primary hurdle rather than the collector unit itself. The most significant barriers cited by practitioners are a lack of integration knowledge and the difficulty in obtaining operational, control, and economic data. These challenges are most pronounced when modellers attempt to couple PVT collectors with </w:t>
      </w:r>
      <w:r w:rsidR="003E76AF">
        <w:rPr>
          <w:lang w:val="en-GB"/>
        </w:rPr>
        <w:t>HPs</w:t>
      </w:r>
      <w:r w:rsidR="00DE625B" w:rsidRPr="003B764A">
        <w:rPr>
          <w:lang w:val="en-GB"/>
        </w:rPr>
        <w:t>, storage tanks, and complex control logic</w:t>
      </w:r>
      <w:r w:rsidR="00025ABD" w:rsidRPr="003B764A">
        <w:rPr>
          <w:lang w:val="en-GB"/>
        </w:rPr>
        <w:t>. Data scarcity remains the binding constraint for achieving model reliability and reproducibility. Key gaps include manufacturer performance maps (</w:t>
      </w:r>
      <w:r w:rsidR="008653BB" w:rsidRPr="003B764A">
        <w:rPr>
          <w:lang w:val="en-GB"/>
        </w:rPr>
        <w:t>e.g.</w:t>
      </w:r>
      <w:r w:rsidR="00025ABD" w:rsidRPr="003B764A">
        <w:rPr>
          <w:lang w:val="en-GB"/>
        </w:rPr>
        <w:t xml:space="preserve"> part-load conditions), economic CAPEX/OPEX data, and high-quality experimental validation datasets. Currently, the absence of comparable validation cases often forces modellers to rely on heavy assumptions, which can lead to non-reproducible results</w:t>
      </w:r>
      <w:r w:rsidR="00CB6613" w:rsidRPr="003B764A">
        <w:rPr>
          <w:lang w:val="en-GB"/>
        </w:rPr>
        <w:t xml:space="preserve">, a constraint that AI-assisted implementation makes more acute rather than less, since models can now be reproduced faster than they can be validated. </w:t>
      </w:r>
    </w:p>
    <w:p w14:paraId="38AAEEB5" w14:textId="3C3778E9" w:rsidR="00916FD2" w:rsidRPr="003B764A" w:rsidRDefault="00B16493" w:rsidP="00916FD2">
      <w:pPr>
        <w:pStyle w:val="SWCText"/>
        <w:rPr>
          <w:spacing w:val="-2"/>
          <w:lang w:val="en-GB"/>
        </w:rPr>
      </w:pPr>
      <w:r w:rsidRPr="003B764A">
        <w:rPr>
          <w:lang w:val="en-GB"/>
        </w:rPr>
        <w:t>T</w:t>
      </w:r>
      <w:r w:rsidR="00733BF3" w:rsidRPr="003B764A">
        <w:rPr>
          <w:lang w:val="en-GB"/>
        </w:rPr>
        <w:t xml:space="preserve">wo different levels of extension </w:t>
      </w:r>
      <w:r w:rsidRPr="003B764A">
        <w:rPr>
          <w:lang w:val="en-GB"/>
        </w:rPr>
        <w:t>are</w:t>
      </w:r>
      <w:r w:rsidR="00733BF3" w:rsidRPr="003B764A">
        <w:rPr>
          <w:lang w:val="en-GB"/>
        </w:rPr>
        <w:t xml:space="preserve"> identified</w:t>
      </w:r>
      <w:r w:rsidRPr="003B764A">
        <w:rPr>
          <w:lang w:val="en-GB"/>
        </w:rPr>
        <w:t xml:space="preserve"> for the modelling of latent heat phenomena</w:t>
      </w:r>
      <w:r w:rsidR="00733BF3" w:rsidRPr="003B764A">
        <w:rPr>
          <w:lang w:val="en-GB"/>
        </w:rPr>
        <w:t xml:space="preserve">. For condensation, an additional coefficient acting on a humidity-potential term could in principle be determined within the </w:t>
      </w:r>
      <w:r w:rsidR="00313C09" w:rsidRPr="003B764A">
        <w:rPr>
          <w:lang w:val="en-GB"/>
        </w:rPr>
        <w:t>grey-box</w:t>
      </w:r>
      <w:r w:rsidR="00733BF3" w:rsidRPr="003B764A">
        <w:rPr>
          <w:lang w:val="en-GB"/>
        </w:rPr>
        <w:t xml:space="preserve"> approach, provided that i) humidity and collector surface temperature are included in the thermal performance test protocol, and ii) the test sequences are designed to decorrelate these variables from the sky radiation and wind effects. For frost formation, this treatment is not sufficient, since the frost thickness behaves as a state variable with memory rather than as an instantaneous flux</w:t>
      </w:r>
      <w:r w:rsidR="002808DF" w:rsidRPr="003B764A">
        <w:rPr>
          <w:lang w:val="en-GB"/>
        </w:rPr>
        <w:t>. I</w:t>
      </w:r>
      <w:r w:rsidR="00733BF3" w:rsidRPr="003B764A">
        <w:rPr>
          <w:lang w:val="en-GB"/>
        </w:rPr>
        <w:t>ts representation therefore requires increasing the order of the model instead of extending its set of coefficients. This distinction is relevant when defining priorities for future standardisation work.</w:t>
      </w:r>
      <w:r w:rsidR="002808DF" w:rsidRPr="003B764A">
        <w:rPr>
          <w:lang w:val="en-GB"/>
        </w:rPr>
        <w:t xml:space="preserve"> </w:t>
      </w:r>
      <w:r w:rsidR="00D7206F" w:rsidRPr="003B764A">
        <w:rPr>
          <w:spacing w:val="-2"/>
          <w:lang w:val="en-GB"/>
        </w:rPr>
        <w:t xml:space="preserve">To address these community needs, further work is proposed in four key areas </w:t>
      </w:r>
      <w:r w:rsidR="00554632" w:rsidRPr="003B764A">
        <w:rPr>
          <w:spacing w:val="-2"/>
          <w:lang w:val="en-GB"/>
        </w:rPr>
        <w:t xml:space="preserve">within </w:t>
      </w:r>
      <w:r w:rsidR="00D7206F" w:rsidRPr="003B764A">
        <w:rPr>
          <w:spacing w:val="-2"/>
          <w:lang w:val="en-GB"/>
        </w:rPr>
        <w:t xml:space="preserve">the ongoing </w:t>
      </w:r>
      <w:r w:rsidR="007061C0" w:rsidRPr="003B764A">
        <w:rPr>
          <w:spacing w:val="-2"/>
          <w:lang w:val="en-GB"/>
        </w:rPr>
        <w:t xml:space="preserve">IEA SHC </w:t>
      </w:r>
      <w:r w:rsidR="00D7206F" w:rsidRPr="003B764A">
        <w:rPr>
          <w:spacing w:val="-2"/>
          <w:lang w:val="en-GB"/>
        </w:rPr>
        <w:t>Task 73</w:t>
      </w:r>
      <w:r w:rsidR="00916FD2" w:rsidRPr="003B764A">
        <w:rPr>
          <w:spacing w:val="-2"/>
          <w:lang w:val="en-GB"/>
        </w:rPr>
        <w:t>:</w:t>
      </w:r>
    </w:p>
    <w:p w14:paraId="10945BBD" w14:textId="6BD56F6C" w:rsidR="00916FD2" w:rsidRPr="003B764A" w:rsidRDefault="00916FD2" w:rsidP="00916FD2">
      <w:pPr>
        <w:pStyle w:val="SWCText"/>
        <w:numPr>
          <w:ilvl w:val="0"/>
          <w:numId w:val="46"/>
        </w:numPr>
        <w:tabs>
          <w:tab w:val="clear" w:pos="720"/>
          <w:tab w:val="num" w:pos="284"/>
        </w:tabs>
        <w:ind w:left="284" w:hanging="284"/>
        <w:rPr>
          <w:lang w:val="en-GB"/>
        </w:rPr>
      </w:pPr>
      <w:r w:rsidRPr="003B764A">
        <w:rPr>
          <w:b/>
          <w:bCs/>
          <w:lang w:val="en-GB"/>
        </w:rPr>
        <w:t>Prioritise integration reference cases:</w:t>
      </w:r>
      <w:r w:rsidRPr="003B764A">
        <w:rPr>
          <w:lang w:val="en-GB"/>
        </w:rPr>
        <w:t xml:space="preserve"> The community requires validated, documented examples of PVT systems coupled with heat pumps, storage, and</w:t>
      </w:r>
      <w:r w:rsidR="00745A79" w:rsidRPr="003B764A">
        <w:rPr>
          <w:lang w:val="en-GB"/>
        </w:rPr>
        <w:t xml:space="preserve"> a</w:t>
      </w:r>
      <w:r w:rsidRPr="003B764A">
        <w:rPr>
          <w:lang w:val="en-GB"/>
        </w:rPr>
        <w:t xml:space="preserve"> realistic control logic.</w:t>
      </w:r>
    </w:p>
    <w:p w14:paraId="26902E2A" w14:textId="62B42968" w:rsidR="00916FD2" w:rsidRPr="003B764A" w:rsidRDefault="00916FD2" w:rsidP="00916FD2">
      <w:pPr>
        <w:pStyle w:val="SWCText"/>
        <w:numPr>
          <w:ilvl w:val="0"/>
          <w:numId w:val="46"/>
        </w:numPr>
        <w:tabs>
          <w:tab w:val="clear" w:pos="720"/>
          <w:tab w:val="num" w:pos="284"/>
        </w:tabs>
        <w:ind w:left="284" w:hanging="284"/>
        <w:rPr>
          <w:lang w:val="en-GB"/>
        </w:rPr>
      </w:pPr>
      <w:r w:rsidRPr="003B764A">
        <w:rPr>
          <w:b/>
          <w:bCs/>
          <w:lang w:val="en-GB"/>
        </w:rPr>
        <w:t>Release open, validated reference models:</w:t>
      </w:r>
      <w:r w:rsidRPr="003B764A">
        <w:rPr>
          <w:lang w:val="en-GB"/>
        </w:rPr>
        <w:t xml:space="preserve"> Efforts should focus on the dominant tools, TRNSYS, MATLAB, and Python, leveraging validated models that community members have offered to contribute.</w:t>
      </w:r>
    </w:p>
    <w:p w14:paraId="0447C632" w14:textId="2D635BD9" w:rsidR="00916FD2" w:rsidRPr="003B764A" w:rsidRDefault="00916FD2" w:rsidP="00916FD2">
      <w:pPr>
        <w:pStyle w:val="SWCText"/>
        <w:numPr>
          <w:ilvl w:val="0"/>
          <w:numId w:val="46"/>
        </w:numPr>
        <w:tabs>
          <w:tab w:val="clear" w:pos="720"/>
          <w:tab w:val="num" w:pos="284"/>
        </w:tabs>
        <w:ind w:left="284" w:hanging="284"/>
        <w:rPr>
          <w:lang w:val="en-GB"/>
        </w:rPr>
      </w:pPr>
      <w:r w:rsidRPr="003B764A">
        <w:rPr>
          <w:b/>
          <w:bCs/>
          <w:lang w:val="en-GB"/>
        </w:rPr>
        <w:t>Publish open datasets and harmonise KPIs:</w:t>
      </w:r>
      <w:r w:rsidRPr="003B764A">
        <w:rPr>
          <w:lang w:val="en-GB"/>
        </w:rPr>
        <w:t xml:space="preserve"> There is an urgent need for open-access economic</w:t>
      </w:r>
      <w:r w:rsidR="002F178E" w:rsidRPr="003B764A">
        <w:rPr>
          <w:lang w:val="en-GB"/>
        </w:rPr>
        <w:t xml:space="preserve">, </w:t>
      </w:r>
      <w:r w:rsidRPr="003B764A">
        <w:rPr>
          <w:lang w:val="en-GB"/>
        </w:rPr>
        <w:t>validation, and high-resolution weather data, while aligning system characterisation with ISO 9806 standards.</w:t>
      </w:r>
    </w:p>
    <w:p w14:paraId="508B23D6" w14:textId="1474C94F" w:rsidR="00916FD2" w:rsidRPr="003B764A" w:rsidRDefault="00916FD2" w:rsidP="00916FD2">
      <w:pPr>
        <w:pStyle w:val="SWCText"/>
        <w:numPr>
          <w:ilvl w:val="0"/>
          <w:numId w:val="46"/>
        </w:numPr>
        <w:tabs>
          <w:tab w:val="clear" w:pos="720"/>
          <w:tab w:val="num" w:pos="284"/>
        </w:tabs>
        <w:ind w:left="284" w:hanging="284"/>
        <w:rPr>
          <w:lang w:val="en-GB"/>
        </w:rPr>
      </w:pPr>
      <w:r w:rsidRPr="003B764A">
        <w:rPr>
          <w:b/>
          <w:bCs/>
          <w:lang w:val="en-GB"/>
        </w:rPr>
        <w:t>Produce tiered guidelines and tutorials:</w:t>
      </w:r>
      <w:r w:rsidRPr="003B764A">
        <w:rPr>
          <w:lang w:val="en-GB"/>
        </w:rPr>
        <w:t xml:space="preserve"> Future educational material </w:t>
      </w:r>
      <w:r w:rsidR="005E3423" w:rsidRPr="003B764A">
        <w:rPr>
          <w:lang w:val="en-GB"/>
        </w:rPr>
        <w:t>should</w:t>
      </w:r>
      <w:r w:rsidRPr="003B764A">
        <w:rPr>
          <w:lang w:val="en-GB"/>
        </w:rPr>
        <w:t xml:space="preserve"> be designed for beginner-to-advanced levels, as current resources are often reported to assume an advanced level of prior knowledge.</w:t>
      </w:r>
    </w:p>
    <w:p w14:paraId="04EAA103" w14:textId="3A11D619" w:rsidR="00916FD2" w:rsidRPr="003B764A" w:rsidRDefault="00916FD2" w:rsidP="00916FD2">
      <w:pPr>
        <w:pStyle w:val="SWCText"/>
        <w:rPr>
          <w:lang w:val="en-GB"/>
        </w:rPr>
      </w:pPr>
      <w:r w:rsidRPr="003B764A">
        <w:rPr>
          <w:lang w:val="en-GB"/>
        </w:rPr>
        <w:t xml:space="preserve">This information </w:t>
      </w:r>
      <w:r w:rsidR="007C73A6" w:rsidRPr="003B764A">
        <w:rPr>
          <w:lang w:val="en-GB"/>
        </w:rPr>
        <w:t>will</w:t>
      </w:r>
      <w:r w:rsidRPr="003B764A">
        <w:rPr>
          <w:lang w:val="en-GB"/>
        </w:rPr>
        <w:t xml:space="preserve"> be further developed and expanded in the coming years alongside the ongoing </w:t>
      </w:r>
      <w:r w:rsidR="007061C0" w:rsidRPr="003B764A">
        <w:rPr>
          <w:lang w:val="en-GB"/>
        </w:rPr>
        <w:t>I</w:t>
      </w:r>
      <w:r w:rsidRPr="003B764A">
        <w:rPr>
          <w:lang w:val="en-GB"/>
        </w:rPr>
        <w:t xml:space="preserve">EA SHC Task 73, aiming to move PVT technology from a niche market into a standardised global energy solution. </w:t>
      </w:r>
    </w:p>
    <w:p w14:paraId="782CECB6" w14:textId="62D41CAE" w:rsidR="003440C6" w:rsidRDefault="003440C6" w:rsidP="002E1CF2">
      <w:pPr>
        <w:pStyle w:val="SWCHeading1"/>
        <w:ind w:left="0" w:firstLine="0"/>
      </w:pPr>
      <w:r w:rsidRPr="003B764A">
        <w:t>References</w:t>
      </w:r>
    </w:p>
    <w:p w14:paraId="36C24E34" w14:textId="77777777" w:rsidR="009E01C4" w:rsidRPr="00035241" w:rsidRDefault="009E01C4" w:rsidP="004C5E4F">
      <w:pPr>
        <w:pStyle w:val="SWCText"/>
        <w:spacing w:before="20" w:after="0" w:line="240" w:lineRule="auto"/>
        <w:rPr>
          <w:spacing w:val="-2"/>
          <w:lang w:val="en-GB"/>
        </w:rPr>
      </w:pPr>
      <w:r w:rsidRPr="00035241">
        <w:rPr>
          <w:spacing w:val="-2"/>
          <w:lang w:val="en-GB"/>
        </w:rPr>
        <w:t>Abdelrazik, A.S., Shboul, B., Elwardany, M., Zohny, R.N., Osama, A., 2022. The recent advancements in the building integrated photovoltaic/thermal (BIPV/T) systems: An updated review. Renew. Sustain. Energy Rev 170, 112988.</w:t>
      </w:r>
    </w:p>
    <w:p w14:paraId="573EFF73" w14:textId="77777777" w:rsidR="009E01C4" w:rsidRPr="00035241" w:rsidRDefault="009E01C4" w:rsidP="004C5E4F">
      <w:pPr>
        <w:pStyle w:val="SWCText"/>
        <w:spacing w:before="20" w:after="0" w:line="240" w:lineRule="auto"/>
        <w:rPr>
          <w:spacing w:val="-2"/>
          <w:lang w:val="en-GB"/>
        </w:rPr>
      </w:pPr>
      <w:r w:rsidRPr="00035241">
        <w:rPr>
          <w:spacing w:val="-2"/>
          <w:lang w:val="en-GB"/>
        </w:rPr>
        <w:t>AEE INTEC, 2025. Solar Heat Worldwide - Global Market Development and Trends 2024.</w:t>
      </w:r>
    </w:p>
    <w:p w14:paraId="26DAC176" w14:textId="77777777" w:rsidR="009E01C4" w:rsidRPr="00035241" w:rsidRDefault="009E01C4" w:rsidP="004C5E4F">
      <w:pPr>
        <w:pStyle w:val="SWCText"/>
        <w:spacing w:before="20" w:after="0" w:line="240" w:lineRule="auto"/>
        <w:rPr>
          <w:spacing w:val="-2"/>
          <w:lang w:val="en-GB"/>
        </w:rPr>
      </w:pPr>
      <w:r w:rsidRPr="00035241">
        <w:rPr>
          <w:spacing w:val="-2"/>
          <w:lang w:val="en-GB"/>
        </w:rPr>
        <w:t>Ahn, J.G., Kim, J.H., Kim, J.T., 2015. A study on experimental performance of air-type PV/T collector with HRV. Energy Procedia 78, 3007–3012.</w:t>
      </w:r>
    </w:p>
    <w:p w14:paraId="313C87D0" w14:textId="77777777" w:rsidR="009E01C4" w:rsidRPr="00035241" w:rsidRDefault="009E01C4" w:rsidP="004C5E4F">
      <w:pPr>
        <w:pStyle w:val="SWCText"/>
        <w:spacing w:before="20" w:after="0" w:line="240" w:lineRule="auto"/>
        <w:rPr>
          <w:spacing w:val="-2"/>
          <w:lang w:val="en-GB"/>
        </w:rPr>
      </w:pPr>
      <w:r w:rsidRPr="00035241">
        <w:rPr>
          <w:spacing w:val="-2"/>
          <w:lang w:val="en-GB"/>
        </w:rPr>
        <w:t>Ascencio-Vásquez, J., Brecl, K., Topič, M., 2019. Methodology of Köppen-Geiger-Photovoltaic climate classification and implications to worldwide mapping of PV system performance. Solar Energy 191, 672–685.</w:t>
      </w:r>
    </w:p>
    <w:p w14:paraId="7A32F606" w14:textId="77777777" w:rsidR="009E01C4" w:rsidRPr="00035241" w:rsidRDefault="009E01C4" w:rsidP="004C5E4F">
      <w:pPr>
        <w:pStyle w:val="SWCText"/>
        <w:spacing w:before="20" w:after="0" w:line="240" w:lineRule="auto"/>
        <w:rPr>
          <w:spacing w:val="-2"/>
          <w:lang w:val="en-GB"/>
        </w:rPr>
      </w:pPr>
      <w:r w:rsidRPr="00035241">
        <w:rPr>
          <w:spacing w:val="-2"/>
          <w:lang w:val="en-GB"/>
        </w:rPr>
        <w:t>Aspetakis, G., Ploskić, A., Wang, Q., 2026. Exploring Air-PVT for buildings in cold climates: Experimentally validated energy system modeling. Appl. Therm. Eng. 292, 130388.</w:t>
      </w:r>
    </w:p>
    <w:p w14:paraId="10153E9E" w14:textId="77777777" w:rsidR="009E01C4" w:rsidRPr="00035241" w:rsidRDefault="009E01C4" w:rsidP="004C5E4F">
      <w:pPr>
        <w:pStyle w:val="SWCText"/>
        <w:spacing w:before="20" w:after="0" w:line="240" w:lineRule="auto"/>
        <w:rPr>
          <w:spacing w:val="-2"/>
          <w:lang w:val="en-GB"/>
        </w:rPr>
      </w:pPr>
      <w:r w:rsidRPr="00035241">
        <w:rPr>
          <w:spacing w:val="-2"/>
          <w:lang w:val="en-GB"/>
        </w:rPr>
        <w:t>Aspetakis, G., Wang, Q., 2025. Critical review of Air-Based PVT technology and its integration to building energy systems. Energy and Built Environment 6, 121–135.</w:t>
      </w:r>
    </w:p>
    <w:p w14:paraId="1A0FDF62" w14:textId="77777777" w:rsidR="009E01C4" w:rsidRPr="00035241" w:rsidRDefault="009E01C4" w:rsidP="004C5E4F">
      <w:pPr>
        <w:pStyle w:val="SWCText"/>
        <w:spacing w:before="20" w:after="0" w:line="240" w:lineRule="auto"/>
        <w:rPr>
          <w:spacing w:val="-2"/>
          <w:lang w:val="en-GB"/>
        </w:rPr>
      </w:pPr>
      <w:r w:rsidRPr="00035241">
        <w:rPr>
          <w:spacing w:val="-2"/>
          <w:lang w:val="en-GB"/>
        </w:rPr>
        <w:t>Axaopoulos, P.J., Fylladitakis, E.D., 2013. Performance and economic evaluation of a hybrid photovoltaic/thermal solar system for residential applications. Energy Build. 65, 488–496.</w:t>
      </w:r>
    </w:p>
    <w:p w14:paraId="6DF97DFA" w14:textId="77777777" w:rsidR="009E01C4" w:rsidRPr="00035241" w:rsidRDefault="009E01C4" w:rsidP="004C5E4F">
      <w:pPr>
        <w:pStyle w:val="SWCText"/>
        <w:spacing w:before="20" w:after="0" w:line="240" w:lineRule="auto"/>
        <w:rPr>
          <w:spacing w:val="-2"/>
          <w:lang w:val="en-GB"/>
        </w:rPr>
      </w:pPr>
      <w:r w:rsidRPr="00035241">
        <w:rPr>
          <w:spacing w:val="-2"/>
          <w:lang w:val="en-GB"/>
        </w:rPr>
        <w:t xml:space="preserve">Buonomano, A., Calise, F., Palombo, A., Vicidomini, M., 2017. Adsorption chiller operation by recovering low-temperature heat from building integrated photovoltaic thermal collectors: Modelling and simulation. Energy </w:t>
      </w:r>
      <w:r w:rsidRPr="00035241">
        <w:rPr>
          <w:spacing w:val="-2"/>
          <w:lang w:val="en-GB"/>
        </w:rPr>
        <w:lastRenderedPageBreak/>
        <w:t>Convers. Manag. 149, 1019–1036.</w:t>
      </w:r>
    </w:p>
    <w:p w14:paraId="1762D5AF" w14:textId="77777777" w:rsidR="009E01C4" w:rsidRPr="00035241" w:rsidRDefault="009E01C4" w:rsidP="004C5E4F">
      <w:pPr>
        <w:pStyle w:val="SWCText"/>
        <w:spacing w:before="20" w:after="0" w:line="240" w:lineRule="auto"/>
        <w:rPr>
          <w:spacing w:val="-2"/>
          <w:lang w:val="en-GB"/>
        </w:rPr>
      </w:pPr>
      <w:r w:rsidRPr="00035241">
        <w:rPr>
          <w:spacing w:val="-2"/>
          <w:lang w:val="en-GB"/>
        </w:rPr>
        <w:t>Chaibi, Y., El Rhafiki, T., Simón-Allué, R., Guedea, I., Luaces, S.C., Gajate, O.C., Kousksou, T., Zeraouli, Y., 2021. Air-based hybrid photovoltaic/thermal systems: A review. J. Clean. Prod. 295.</w:t>
      </w:r>
    </w:p>
    <w:p w14:paraId="45AC69C6" w14:textId="77777777" w:rsidR="009E01C4" w:rsidRPr="00035241" w:rsidRDefault="009E01C4" w:rsidP="004C5E4F">
      <w:pPr>
        <w:pStyle w:val="SWCText"/>
        <w:spacing w:before="20" w:after="0" w:line="240" w:lineRule="auto"/>
        <w:rPr>
          <w:spacing w:val="-2"/>
          <w:lang w:val="en-GB"/>
        </w:rPr>
      </w:pPr>
      <w:r w:rsidRPr="00035241">
        <w:rPr>
          <w:spacing w:val="-2"/>
          <w:lang w:val="en-GB"/>
        </w:rPr>
        <w:t>Chen, H., Li, Z., Xu, Y., 2019. Evaluation and comparison of solar trigeneration systems based on photovoltaic thermal collectors for subtropical climates. Energy Convers. Manag. 199, 111959.</w:t>
      </w:r>
    </w:p>
    <w:p w14:paraId="0262AA8C" w14:textId="77777777" w:rsidR="009E01C4" w:rsidRPr="00035241" w:rsidRDefault="009E01C4" w:rsidP="004C5E4F">
      <w:pPr>
        <w:pStyle w:val="SWCText"/>
        <w:spacing w:before="20" w:after="0" w:line="240" w:lineRule="auto"/>
        <w:rPr>
          <w:spacing w:val="-2"/>
          <w:lang w:val="en-GB"/>
        </w:rPr>
      </w:pPr>
      <w:r w:rsidRPr="00035241">
        <w:rPr>
          <w:spacing w:val="-2"/>
          <w:lang w:val="en-GB"/>
        </w:rPr>
        <w:t>Chhugani, B., Pärisch, P., Helmling, S., Giovannetti, F., 2023. Comparison of PVT - heat pump systems with reference systems for the energy supply of a single-family house. Solar Energy Advances 3.</w:t>
      </w:r>
    </w:p>
    <w:p w14:paraId="1E3579A1" w14:textId="77777777" w:rsidR="009E01C4" w:rsidRPr="00035241" w:rsidRDefault="009E01C4" w:rsidP="004C5E4F">
      <w:pPr>
        <w:pStyle w:val="SWCText"/>
        <w:spacing w:before="20" w:after="0" w:line="240" w:lineRule="auto"/>
        <w:rPr>
          <w:spacing w:val="-2"/>
          <w:lang w:val="en-GB"/>
        </w:rPr>
      </w:pPr>
      <w:r w:rsidRPr="00035241">
        <w:rPr>
          <w:spacing w:val="-2"/>
          <w:lang w:val="en-GB"/>
        </w:rPr>
        <w:t>Choi, H.-U., Kim, Y.-B., Son, C.-H., Yoon, J.-I., Choi, K.-H., 2020. Experimental study on the performance of heat pump water heating system coupled with air type PV/T collector. Appl. Therm. Eng. 178, 115427.</w:t>
      </w:r>
    </w:p>
    <w:p w14:paraId="0487D4E2" w14:textId="77777777" w:rsidR="009E01C4" w:rsidRPr="00035241" w:rsidRDefault="009E01C4" w:rsidP="004C5E4F">
      <w:pPr>
        <w:pStyle w:val="SWCText"/>
        <w:spacing w:before="20" w:after="0" w:line="240" w:lineRule="auto"/>
        <w:rPr>
          <w:spacing w:val="-2"/>
          <w:lang w:val="en-GB"/>
        </w:rPr>
      </w:pPr>
      <w:r w:rsidRPr="00035241">
        <w:rPr>
          <w:spacing w:val="-2"/>
          <w:lang w:val="en-GB"/>
        </w:rPr>
        <w:t>Chow, T.T., He, W., Ji, J., 2006. Hybrid photovoltaic-thermosyphon water heating system for residential application. Solar Energy 80, 298–306.</w:t>
      </w:r>
    </w:p>
    <w:p w14:paraId="69FE9FD7" w14:textId="77777777" w:rsidR="009E01C4" w:rsidRPr="00035241" w:rsidRDefault="009E01C4" w:rsidP="004C5E4F">
      <w:pPr>
        <w:pStyle w:val="SWCText"/>
        <w:spacing w:before="20" w:after="0" w:line="240" w:lineRule="auto"/>
        <w:rPr>
          <w:spacing w:val="-2"/>
          <w:lang w:val="en-GB"/>
        </w:rPr>
      </w:pPr>
      <w:r w:rsidRPr="00035241">
        <w:rPr>
          <w:spacing w:val="-2"/>
          <w:lang w:val="en-GB"/>
        </w:rPr>
        <w:t>Coca-Ortegón, A., Simón-Allué, R., Guedea, I., Brun, G., Villén, R., 2023. Operational performance of trigeneration PVT-assisted HP system. Energy Build. 296.</w:t>
      </w:r>
    </w:p>
    <w:p w14:paraId="6846EEB8" w14:textId="77777777" w:rsidR="009E01C4" w:rsidRPr="00035241" w:rsidRDefault="009E01C4" w:rsidP="004C5E4F">
      <w:pPr>
        <w:pStyle w:val="SWCText"/>
        <w:spacing w:before="20" w:after="0" w:line="240" w:lineRule="auto"/>
        <w:rPr>
          <w:spacing w:val="-2"/>
          <w:lang w:val="en-GB"/>
        </w:rPr>
      </w:pPr>
      <w:r w:rsidRPr="00035241">
        <w:rPr>
          <w:spacing w:val="-2"/>
          <w:lang w:val="en-GB"/>
        </w:rPr>
        <w:t>Dannemand, M., Sifnaios, I., Tian, Z., Furbo, S., 2020. Simulation and optimization of a hybrid unglazed solar photovoltaic-thermal collector and heat pump system with two storage tanks. Energy Convers. Manag. 206, 112429.</w:t>
      </w:r>
    </w:p>
    <w:p w14:paraId="0440ED1A" w14:textId="77777777" w:rsidR="009E01C4" w:rsidRPr="00035241" w:rsidRDefault="009E01C4" w:rsidP="004C5E4F">
      <w:pPr>
        <w:pStyle w:val="SWCText"/>
        <w:spacing w:before="20" w:after="0" w:line="240" w:lineRule="auto"/>
        <w:rPr>
          <w:spacing w:val="-2"/>
          <w:lang w:val="en-GB"/>
        </w:rPr>
      </w:pPr>
      <w:r w:rsidRPr="00035241">
        <w:rPr>
          <w:spacing w:val="-2"/>
          <w:lang w:val="en-GB"/>
        </w:rPr>
        <w:t>Del Amo, A., Martínez-Gracia, A., Pintanel, T., Bayod-Rújula, A.A., Torné, S., 2020. Analysis and optimization of a heat pump system coupled to an installation of PVT panels and a seasonal storage tank on an educational building. Energy Build. 226, 110373.</w:t>
      </w:r>
    </w:p>
    <w:p w14:paraId="49D4B345" w14:textId="77777777" w:rsidR="009E01C4" w:rsidRPr="004C5E4F" w:rsidRDefault="009E01C4" w:rsidP="004C5E4F">
      <w:pPr>
        <w:pStyle w:val="SWCText"/>
        <w:spacing w:before="20" w:after="0" w:line="240" w:lineRule="auto"/>
        <w:rPr>
          <w:spacing w:val="-4"/>
          <w:lang w:val="en-GB"/>
        </w:rPr>
      </w:pPr>
      <w:r w:rsidRPr="004C5E4F">
        <w:rPr>
          <w:spacing w:val="-4"/>
          <w:lang w:val="en-GB"/>
        </w:rPr>
        <w:t>Dumoulin, R., Rounis, E.D., Athienitis, A., 2021. Operation and grid interaction modeling of a house with a building integrated photovoltaic thermal system coupled to an air-source heat pump. Sci. Technol. Built Environ. 27, 1311–1329.</w:t>
      </w:r>
    </w:p>
    <w:p w14:paraId="7FEE3A13" w14:textId="77777777" w:rsidR="009E01C4" w:rsidRPr="00035241" w:rsidRDefault="009E01C4" w:rsidP="004C5E4F">
      <w:pPr>
        <w:pStyle w:val="SWCText"/>
        <w:spacing w:before="20" w:after="0" w:line="240" w:lineRule="auto"/>
        <w:rPr>
          <w:spacing w:val="-2"/>
          <w:lang w:val="en-GB"/>
        </w:rPr>
      </w:pPr>
      <w:r w:rsidRPr="00035241">
        <w:rPr>
          <w:spacing w:val="-2"/>
          <w:lang w:val="en-GB"/>
        </w:rPr>
        <w:t>Furbo, S., Dannemand, M., Cardoso, J.P., Paulo, B., Jahangir, M.T., Arto Delgado, A., 2026. D5.4: Analysis of the integration of model predictive control strategies (PVT4EU-WP5-D5.4, Version 2.0).</w:t>
      </w:r>
    </w:p>
    <w:p w14:paraId="7136ED33" w14:textId="77777777" w:rsidR="009E01C4" w:rsidRPr="00035241" w:rsidRDefault="009E01C4" w:rsidP="004C5E4F">
      <w:pPr>
        <w:pStyle w:val="SWCText"/>
        <w:spacing w:before="20" w:after="0" w:line="240" w:lineRule="auto"/>
        <w:rPr>
          <w:spacing w:val="-2"/>
          <w:lang w:val="en-GB"/>
        </w:rPr>
      </w:pPr>
      <w:r w:rsidRPr="00035241">
        <w:rPr>
          <w:spacing w:val="-2"/>
          <w:lang w:val="en-GB"/>
        </w:rPr>
        <w:t>Herrando, M., Coca-Ortegón, A., Guedea, I., Fueyo, N., 2023. Experimental validation of a solar system based on hybrid photovoltaic-thermal collectors and a reversible heat pump for the energy provision in non-residential buildings. Renewable and Sustainable Energy Reviews 178.</w:t>
      </w:r>
    </w:p>
    <w:p w14:paraId="6336B8EF" w14:textId="77777777" w:rsidR="009E01C4" w:rsidRPr="00035241" w:rsidRDefault="009E01C4" w:rsidP="004C5E4F">
      <w:pPr>
        <w:pStyle w:val="SWCText"/>
        <w:spacing w:before="20" w:after="0" w:line="240" w:lineRule="auto"/>
        <w:rPr>
          <w:spacing w:val="-2"/>
          <w:lang w:val="en-GB"/>
        </w:rPr>
      </w:pPr>
      <w:r w:rsidRPr="00035241">
        <w:rPr>
          <w:spacing w:val="-2"/>
          <w:lang w:val="en-GB"/>
        </w:rPr>
        <w:t>Herrando, M., Simón, R., Guedea, I., Fueyo, N., 2020. The challenges of solar hybrid PVT systems in the food processing industry. Appl. Therm. Eng. 116235.</w:t>
      </w:r>
    </w:p>
    <w:p w14:paraId="456188F5" w14:textId="77777777" w:rsidR="009E01C4" w:rsidRPr="00035241" w:rsidRDefault="009E01C4" w:rsidP="004C5E4F">
      <w:pPr>
        <w:pStyle w:val="SWCText"/>
        <w:spacing w:before="20" w:after="0" w:line="240" w:lineRule="auto"/>
        <w:rPr>
          <w:spacing w:val="-2"/>
          <w:lang w:val="en-GB"/>
        </w:rPr>
      </w:pPr>
      <w:r w:rsidRPr="00035241">
        <w:rPr>
          <w:spacing w:val="-2"/>
          <w:lang w:val="en-GB"/>
        </w:rPr>
        <w:t>Herrando, María, Wang, K., Huang, G., Otanicar, T., Mousa, O.B., Agathokleous, R.A., Ding, Y., Kalogirou, S., Ekins-Daukes, N., Taylor, R.A., Markides, C.N., 2023. A review of solar hybrid photovoltaic-thermal (PV-T) collectors and systems. Prog. Energy Combust. Sci.</w:t>
      </w:r>
    </w:p>
    <w:p w14:paraId="49CFFA91" w14:textId="77777777" w:rsidR="009E01C4" w:rsidRPr="00035241" w:rsidRDefault="009E01C4" w:rsidP="004C5E4F">
      <w:pPr>
        <w:pStyle w:val="SWCText"/>
        <w:spacing w:before="20" w:after="0" w:line="240" w:lineRule="auto"/>
        <w:rPr>
          <w:spacing w:val="-2"/>
          <w:lang w:val="en-GB"/>
        </w:rPr>
      </w:pPr>
      <w:r w:rsidRPr="00035241">
        <w:rPr>
          <w:spacing w:val="-2"/>
          <w:lang w:val="en-GB"/>
        </w:rPr>
        <w:t>IEA SHC, 2025. Task 73 - PVT Heating Systems [WWW Document].</w:t>
      </w:r>
    </w:p>
    <w:p w14:paraId="4ACC652A" w14:textId="77777777" w:rsidR="009E01C4" w:rsidRPr="00035241" w:rsidRDefault="009E01C4" w:rsidP="004C5E4F">
      <w:pPr>
        <w:pStyle w:val="SWCText"/>
        <w:spacing w:before="20" w:after="0" w:line="240" w:lineRule="auto"/>
        <w:rPr>
          <w:spacing w:val="-2"/>
          <w:lang w:val="en-GB"/>
        </w:rPr>
      </w:pPr>
      <w:r w:rsidRPr="00035241">
        <w:rPr>
          <w:spacing w:val="-2"/>
          <w:lang w:val="en-GB"/>
        </w:rPr>
        <w:t>IEA SHC, 2020. Task 60 - Application of PVT Collectors [WWW Document].</w:t>
      </w:r>
    </w:p>
    <w:p w14:paraId="1E51E9F5" w14:textId="77777777" w:rsidR="009E01C4" w:rsidRPr="00035241" w:rsidRDefault="009E01C4" w:rsidP="004C5E4F">
      <w:pPr>
        <w:pStyle w:val="SWCText"/>
        <w:spacing w:before="20" w:after="0" w:line="240" w:lineRule="auto"/>
        <w:rPr>
          <w:spacing w:val="-2"/>
          <w:lang w:val="en-GB"/>
        </w:rPr>
      </w:pPr>
      <w:r w:rsidRPr="00035241">
        <w:rPr>
          <w:spacing w:val="-2"/>
          <w:lang w:val="en-GB"/>
        </w:rPr>
        <w:t>Ji, J., Hanfeng, H., Chow, T., Pei, G., He, W., Liu, K., 2009. Distributed dynamic modeling and experimental study of PV evaporator in a PV/T solar-assisted heat pump. Int. J. Heat Mass Transf. 52, 1365–1373.</w:t>
      </w:r>
    </w:p>
    <w:p w14:paraId="47890C7B" w14:textId="77777777" w:rsidR="009E01C4" w:rsidRPr="00035241" w:rsidRDefault="009E01C4" w:rsidP="004C5E4F">
      <w:pPr>
        <w:pStyle w:val="SWCText"/>
        <w:spacing w:before="20" w:after="0" w:line="240" w:lineRule="auto"/>
        <w:rPr>
          <w:spacing w:val="-2"/>
          <w:lang w:val="en-GB"/>
        </w:rPr>
      </w:pPr>
      <w:r w:rsidRPr="00035241">
        <w:rPr>
          <w:spacing w:val="-2"/>
          <w:lang w:val="en-GB"/>
        </w:rPr>
        <w:t>Kalogirou, S.A., Tripanagnostopoulos, Y., 2006. Hybrid PV/T solar systems for domestic hot water and electricity production. Energy Convers. Manag. 47, 3368–3382.</w:t>
      </w:r>
    </w:p>
    <w:p w14:paraId="6FB0B887" w14:textId="77777777" w:rsidR="009E01C4" w:rsidRPr="00035241" w:rsidRDefault="009E01C4" w:rsidP="004C5E4F">
      <w:pPr>
        <w:pStyle w:val="SWCText"/>
        <w:spacing w:before="20" w:after="0" w:line="240" w:lineRule="auto"/>
        <w:rPr>
          <w:spacing w:val="-2"/>
          <w:lang w:val="en-GB"/>
        </w:rPr>
      </w:pPr>
      <w:r w:rsidRPr="00035241">
        <w:rPr>
          <w:spacing w:val="-2"/>
          <w:lang w:val="en-GB"/>
        </w:rPr>
        <w:t>Lamrani, B., Draoui, A., Kuznik, F., 2021. Thermal performance and environmental assessment of a hybrid solar-electrical wood dryer integrated with Photovoltaic/Thermal air collector and heat recovery system. Solar Energy 221, 60–74.</w:t>
      </w:r>
    </w:p>
    <w:p w14:paraId="69A3F7D2" w14:textId="77777777" w:rsidR="009E01C4" w:rsidRPr="00035241" w:rsidRDefault="009E01C4" w:rsidP="004C5E4F">
      <w:pPr>
        <w:pStyle w:val="SWCText"/>
        <w:spacing w:before="20" w:after="0" w:line="240" w:lineRule="auto"/>
        <w:rPr>
          <w:spacing w:val="-2"/>
          <w:lang w:val="en-GB"/>
        </w:rPr>
      </w:pPr>
      <w:r w:rsidRPr="00035241">
        <w:rPr>
          <w:spacing w:val="-2"/>
          <w:lang w:val="en-GB"/>
        </w:rPr>
        <w:t>Liravi, M., Karkon, E., Dai, Y., Georges, L., 2025. On the proper integration of pre-heating tanks in ground source heat pump systems combined with photovoltaic-thermal panels. Thermal Science and Engineering Progress 60, 103379.</w:t>
      </w:r>
    </w:p>
    <w:p w14:paraId="526718F7" w14:textId="77777777" w:rsidR="009E01C4" w:rsidRPr="00035241" w:rsidRDefault="009E01C4" w:rsidP="004C5E4F">
      <w:pPr>
        <w:pStyle w:val="SWCText"/>
        <w:spacing w:before="20" w:after="0" w:line="240" w:lineRule="auto"/>
        <w:rPr>
          <w:spacing w:val="-2"/>
          <w:lang w:val="en-GB"/>
        </w:rPr>
      </w:pPr>
      <w:r w:rsidRPr="00035241">
        <w:rPr>
          <w:spacing w:val="-2"/>
          <w:lang w:val="en-GB"/>
        </w:rPr>
        <w:t>Obalanlege, M.A., Mahmoudi, Y., Douglas, R., Ebrahimnia-Bajestan, E., Davidson, J., Bailie, D., 2020. Performance assessment of a hybrid photovoltaic-thermal and heat pump system for solar heating and electricity. Renew. Energy 148, 558–572.</w:t>
      </w:r>
    </w:p>
    <w:p w14:paraId="5835A83A" w14:textId="77777777" w:rsidR="009E01C4" w:rsidRPr="00035241" w:rsidRDefault="009E01C4" w:rsidP="004C5E4F">
      <w:pPr>
        <w:pStyle w:val="SWCText"/>
        <w:spacing w:before="20" w:after="0" w:line="240" w:lineRule="auto"/>
        <w:rPr>
          <w:spacing w:val="-2"/>
          <w:lang w:val="en-GB"/>
        </w:rPr>
      </w:pPr>
      <w:r w:rsidRPr="00035241">
        <w:rPr>
          <w:spacing w:val="-2"/>
          <w:lang w:val="en-GB"/>
        </w:rPr>
        <w:t>PVT4EU, PVT4EU project - Photovoltaic Thermal for Europe https://pvt4eu.eu/ (accessed 7.30.26).</w:t>
      </w:r>
    </w:p>
    <w:p w14:paraId="1D839383" w14:textId="77777777" w:rsidR="009E01C4" w:rsidRPr="00035241" w:rsidRDefault="009E01C4" w:rsidP="004C5E4F">
      <w:pPr>
        <w:pStyle w:val="SWCText"/>
        <w:spacing w:before="20" w:after="0" w:line="240" w:lineRule="auto"/>
        <w:rPr>
          <w:spacing w:val="-2"/>
          <w:lang w:val="en-GB"/>
        </w:rPr>
      </w:pPr>
      <w:r w:rsidRPr="00035241">
        <w:rPr>
          <w:spacing w:val="-2"/>
          <w:lang w:val="en-GB"/>
        </w:rPr>
        <w:t>REN21, 2025. Renewables 2025 Global Status Report: Global Overview.</w:t>
      </w:r>
    </w:p>
    <w:p w14:paraId="5BBEC548" w14:textId="77777777" w:rsidR="009E01C4" w:rsidRPr="00035241" w:rsidRDefault="009E01C4" w:rsidP="004C5E4F">
      <w:pPr>
        <w:pStyle w:val="SWCText"/>
        <w:spacing w:before="20" w:after="0" w:line="240" w:lineRule="auto"/>
        <w:rPr>
          <w:spacing w:val="-2"/>
          <w:lang w:val="en-GB"/>
        </w:rPr>
      </w:pPr>
      <w:r w:rsidRPr="00035241">
        <w:rPr>
          <w:spacing w:val="-2"/>
          <w:lang w:val="en-GB"/>
        </w:rPr>
        <w:t>Sanz, A., 2020. Systems Numerical simulation tools for PVT collectors - SHC Task 60/Report C1.</w:t>
      </w:r>
    </w:p>
    <w:p w14:paraId="40A339F1" w14:textId="77777777" w:rsidR="009E01C4" w:rsidRPr="00035241" w:rsidRDefault="009E01C4" w:rsidP="004C5E4F">
      <w:pPr>
        <w:pStyle w:val="SWCText"/>
        <w:spacing w:before="20" w:after="0" w:line="240" w:lineRule="auto"/>
        <w:rPr>
          <w:spacing w:val="-2"/>
          <w:lang w:val="en-GB"/>
        </w:rPr>
      </w:pPr>
      <w:r w:rsidRPr="00035241">
        <w:rPr>
          <w:spacing w:val="-2"/>
          <w:lang w:val="en-GB"/>
        </w:rPr>
        <w:t>Simón-Allué, R., Villén, R., Brun, G., Lara, Y., Guedea, I., 2023. Design, Development, and Performance Evaluation of a New Photovoltaic-Thermal (PVT) Air Collector: From Lab Testing to Field Measurements. Processes 11.</w:t>
      </w:r>
    </w:p>
    <w:p w14:paraId="50F2A3C6" w14:textId="77777777" w:rsidR="009E01C4" w:rsidRPr="00035241" w:rsidRDefault="009E01C4" w:rsidP="004C5E4F">
      <w:pPr>
        <w:pStyle w:val="SWCText"/>
        <w:spacing w:before="20" w:after="0" w:line="240" w:lineRule="auto"/>
        <w:rPr>
          <w:spacing w:val="-2"/>
          <w:lang w:val="en-GB"/>
        </w:rPr>
      </w:pPr>
      <w:r w:rsidRPr="00035241">
        <w:rPr>
          <w:spacing w:val="-2"/>
          <w:lang w:val="en-GB"/>
        </w:rPr>
        <w:t>Ul-Abdin, Z., Isabella, O., Santbergen, R., 2025. Performance evaluation of solar heat systems integrated with seasonal heat storage across varied operating modes for building applications: The case of Netherlands. Solar Energy 299, 113772.</w:t>
      </w:r>
    </w:p>
    <w:p w14:paraId="0781B8E0" w14:textId="77777777" w:rsidR="009E01C4" w:rsidRPr="00035241" w:rsidRDefault="009E01C4" w:rsidP="004C5E4F">
      <w:pPr>
        <w:pStyle w:val="SWCText"/>
        <w:spacing w:before="20" w:after="0" w:line="240" w:lineRule="auto"/>
        <w:rPr>
          <w:spacing w:val="-2"/>
          <w:lang w:val="en-GB"/>
        </w:rPr>
      </w:pPr>
      <w:r w:rsidRPr="00035241">
        <w:rPr>
          <w:spacing w:val="-2"/>
          <w:lang w:val="en-GB"/>
        </w:rPr>
        <w:t>Vaishak, S., Bhale, P. V., 2020. Performance analysis of a heat pump-based photovoltaic/thermal (PV/T) system. Clean Technol. Environ. Policy.</w:t>
      </w:r>
    </w:p>
    <w:p w14:paraId="169E29F7" w14:textId="77777777" w:rsidR="009E01C4" w:rsidRPr="00035241" w:rsidRDefault="009E01C4" w:rsidP="004C5E4F">
      <w:pPr>
        <w:pStyle w:val="SWCText"/>
        <w:spacing w:before="20" w:after="0" w:line="240" w:lineRule="auto"/>
        <w:rPr>
          <w:spacing w:val="-2"/>
          <w:lang w:val="en-GB"/>
        </w:rPr>
      </w:pPr>
      <w:r w:rsidRPr="00035241">
        <w:rPr>
          <w:spacing w:val="-2"/>
          <w:lang w:val="en-GB"/>
        </w:rPr>
        <w:t>Zenhäusern, D., Gagliano, A., Hadorn, J.-C., Lämmle, M., Herrando, M., 2020. Key Performance Indicators for PVT Systems Key Performance Indicators for PVT Systems SHC Task 60/Report D1.</w:t>
      </w:r>
    </w:p>
    <w:p w14:paraId="25CCAB8D" w14:textId="4CBCB23C" w:rsidR="009E01C4" w:rsidRPr="00035241" w:rsidRDefault="009E01C4" w:rsidP="004C5E4F">
      <w:pPr>
        <w:pStyle w:val="SWCText"/>
        <w:spacing w:before="20" w:after="0" w:line="240" w:lineRule="auto"/>
        <w:rPr>
          <w:spacing w:val="-2"/>
          <w:lang w:val="en-GB"/>
        </w:rPr>
      </w:pPr>
      <w:r w:rsidRPr="00035241">
        <w:rPr>
          <w:spacing w:val="-2"/>
          <w:lang w:val="en-GB"/>
        </w:rPr>
        <w:t xml:space="preserve">Zhang, X., Zhao, X., Xu, J., Yu, X., 2013. Characterisation of a solar photovoltaic/loop-heat-pipe heat pump water heating system. Appl. Energy 102, 1229–1245. </w:t>
      </w:r>
    </w:p>
    <w:sectPr w:rsidR="009E01C4" w:rsidRPr="00035241" w:rsidSect="00414540">
      <w:footnotePr>
        <w:numRestart w:val="eachPage"/>
      </w:footnotePr>
      <w:pgSz w:w="11908" w:h="16838" w:code="9"/>
      <w:pgMar w:top="1418" w:right="1418" w:bottom="1134" w:left="1418" w:header="284" w:footer="284" w:gutter="0"/>
      <w:cols w:space="34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127E6" w14:textId="77777777" w:rsidR="003B7164" w:rsidRDefault="003B7164">
      <w:r>
        <w:separator/>
      </w:r>
    </w:p>
  </w:endnote>
  <w:endnote w:type="continuationSeparator" w:id="0">
    <w:p w14:paraId="2F91AE98" w14:textId="77777777" w:rsidR="003B7164" w:rsidRDefault="003B7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B4D7B" w14:textId="77777777" w:rsidR="003B7164" w:rsidRDefault="003B7164">
      <w:r>
        <w:separator/>
      </w:r>
    </w:p>
  </w:footnote>
  <w:footnote w:type="continuationSeparator" w:id="0">
    <w:p w14:paraId="498BB629" w14:textId="77777777" w:rsidR="003B7164" w:rsidRDefault="003B71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E8C6812"/>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0AA2991"/>
    <w:multiLevelType w:val="multilevel"/>
    <w:tmpl w:val="AF70E7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8F0CAB"/>
    <w:multiLevelType w:val="multilevel"/>
    <w:tmpl w:val="56206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E16994"/>
    <w:multiLevelType w:val="multilevel"/>
    <w:tmpl w:val="208CE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303653"/>
    <w:multiLevelType w:val="multilevel"/>
    <w:tmpl w:val="7C2C3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F10F8C"/>
    <w:multiLevelType w:val="multilevel"/>
    <w:tmpl w:val="20ACA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224228"/>
    <w:multiLevelType w:val="multilevel"/>
    <w:tmpl w:val="52863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5503EF"/>
    <w:multiLevelType w:val="multilevel"/>
    <w:tmpl w:val="4F0621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C40101"/>
    <w:multiLevelType w:val="multilevel"/>
    <w:tmpl w:val="5ED0C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230D78"/>
    <w:multiLevelType w:val="multilevel"/>
    <w:tmpl w:val="EAF41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48001E"/>
    <w:multiLevelType w:val="hybridMultilevel"/>
    <w:tmpl w:val="CD6EB0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DF32518"/>
    <w:multiLevelType w:val="multilevel"/>
    <w:tmpl w:val="7786A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FC7A9A"/>
    <w:multiLevelType w:val="hybridMultilevel"/>
    <w:tmpl w:val="6BEA6A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03B2EA2"/>
    <w:multiLevelType w:val="multilevel"/>
    <w:tmpl w:val="6A665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A737B4"/>
    <w:multiLevelType w:val="multilevel"/>
    <w:tmpl w:val="5DAAA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FC1B41"/>
    <w:multiLevelType w:val="multilevel"/>
    <w:tmpl w:val="88A25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7B48B6"/>
    <w:multiLevelType w:val="multilevel"/>
    <w:tmpl w:val="71564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6D2BD9"/>
    <w:multiLevelType w:val="multilevel"/>
    <w:tmpl w:val="C038A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233A4D"/>
    <w:multiLevelType w:val="multilevel"/>
    <w:tmpl w:val="AA028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B11F9A"/>
    <w:multiLevelType w:val="multilevel"/>
    <w:tmpl w:val="1CA2EB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21" w15:restartNumberingAfterBreak="0">
    <w:nsid w:val="3778351D"/>
    <w:multiLevelType w:val="multilevel"/>
    <w:tmpl w:val="C73E4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F74B6C"/>
    <w:multiLevelType w:val="multilevel"/>
    <w:tmpl w:val="81C6E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0737B1"/>
    <w:multiLevelType w:val="multilevel"/>
    <w:tmpl w:val="75B4FD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D61897"/>
    <w:multiLevelType w:val="multilevel"/>
    <w:tmpl w:val="199CC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B0F956"/>
    <w:multiLevelType w:val="hybridMultilevel"/>
    <w:tmpl w:val="33325962"/>
    <w:lvl w:ilvl="0" w:tplc="7FD82862">
      <w:start w:val="1"/>
      <w:numFmt w:val="decimal"/>
      <w:lvlText w:val="%1."/>
      <w:lvlJc w:val="left"/>
      <w:pPr>
        <w:ind w:left="720" w:hanging="360"/>
      </w:pPr>
    </w:lvl>
    <w:lvl w:ilvl="1" w:tplc="82265432">
      <w:start w:val="1"/>
      <w:numFmt w:val="decimal"/>
      <w:lvlText w:val="%2.1"/>
      <w:lvlJc w:val="left"/>
      <w:pPr>
        <w:ind w:left="1440" w:hanging="360"/>
      </w:pPr>
    </w:lvl>
    <w:lvl w:ilvl="2" w:tplc="6298E828">
      <w:start w:val="1"/>
      <w:numFmt w:val="lowerRoman"/>
      <w:lvlText w:val="%3."/>
      <w:lvlJc w:val="right"/>
      <w:pPr>
        <w:ind w:left="2160" w:hanging="180"/>
      </w:pPr>
    </w:lvl>
    <w:lvl w:ilvl="3" w:tplc="D12631F8">
      <w:start w:val="1"/>
      <w:numFmt w:val="decimal"/>
      <w:lvlText w:val="%4."/>
      <w:lvlJc w:val="left"/>
      <w:pPr>
        <w:ind w:left="2880" w:hanging="360"/>
      </w:pPr>
    </w:lvl>
    <w:lvl w:ilvl="4" w:tplc="3CB6A4DA">
      <w:start w:val="1"/>
      <w:numFmt w:val="lowerLetter"/>
      <w:lvlText w:val="%5."/>
      <w:lvlJc w:val="left"/>
      <w:pPr>
        <w:ind w:left="3600" w:hanging="360"/>
      </w:pPr>
    </w:lvl>
    <w:lvl w:ilvl="5" w:tplc="DB1E8C8E">
      <w:start w:val="1"/>
      <w:numFmt w:val="lowerRoman"/>
      <w:lvlText w:val="%6."/>
      <w:lvlJc w:val="right"/>
      <w:pPr>
        <w:ind w:left="4320" w:hanging="180"/>
      </w:pPr>
    </w:lvl>
    <w:lvl w:ilvl="6" w:tplc="C9961796">
      <w:start w:val="1"/>
      <w:numFmt w:val="decimal"/>
      <w:lvlText w:val="%7."/>
      <w:lvlJc w:val="left"/>
      <w:pPr>
        <w:ind w:left="5040" w:hanging="360"/>
      </w:pPr>
    </w:lvl>
    <w:lvl w:ilvl="7" w:tplc="56960CA2">
      <w:start w:val="1"/>
      <w:numFmt w:val="lowerLetter"/>
      <w:lvlText w:val="%8."/>
      <w:lvlJc w:val="left"/>
      <w:pPr>
        <w:ind w:left="5760" w:hanging="360"/>
      </w:pPr>
    </w:lvl>
    <w:lvl w:ilvl="8" w:tplc="1AC6A4FA">
      <w:start w:val="1"/>
      <w:numFmt w:val="lowerRoman"/>
      <w:lvlText w:val="%9."/>
      <w:lvlJc w:val="right"/>
      <w:pPr>
        <w:ind w:left="6480" w:hanging="180"/>
      </w:pPr>
    </w:lvl>
  </w:abstractNum>
  <w:abstractNum w:abstractNumId="26" w15:restartNumberingAfterBreak="0">
    <w:nsid w:val="4924189D"/>
    <w:multiLevelType w:val="hybridMultilevel"/>
    <w:tmpl w:val="76CAA7C6"/>
    <w:lvl w:ilvl="0" w:tplc="CFB6FEE6">
      <w:start w:val="1"/>
      <w:numFmt w:val="decimal"/>
      <w:lvlText w:val="%1."/>
      <w:lvlJc w:val="left"/>
      <w:pPr>
        <w:ind w:left="720" w:hanging="360"/>
      </w:pPr>
    </w:lvl>
    <w:lvl w:ilvl="1" w:tplc="7618034E">
      <w:start w:val="1"/>
      <w:numFmt w:val="decimal"/>
      <w:lvlText w:val="%2.1"/>
      <w:lvlJc w:val="left"/>
      <w:pPr>
        <w:ind w:left="1440" w:hanging="360"/>
      </w:pPr>
    </w:lvl>
    <w:lvl w:ilvl="2" w:tplc="1FF2E89E">
      <w:start w:val="1"/>
      <w:numFmt w:val="lowerRoman"/>
      <w:lvlText w:val="%3."/>
      <w:lvlJc w:val="right"/>
      <w:pPr>
        <w:ind w:left="2160" w:hanging="180"/>
      </w:pPr>
    </w:lvl>
    <w:lvl w:ilvl="3" w:tplc="7AF232DE">
      <w:start w:val="1"/>
      <w:numFmt w:val="decimal"/>
      <w:lvlText w:val="%4."/>
      <w:lvlJc w:val="left"/>
      <w:pPr>
        <w:ind w:left="2880" w:hanging="360"/>
      </w:pPr>
    </w:lvl>
    <w:lvl w:ilvl="4" w:tplc="E538131E">
      <w:start w:val="1"/>
      <w:numFmt w:val="lowerLetter"/>
      <w:lvlText w:val="%5."/>
      <w:lvlJc w:val="left"/>
      <w:pPr>
        <w:ind w:left="3600" w:hanging="360"/>
      </w:pPr>
    </w:lvl>
    <w:lvl w:ilvl="5" w:tplc="AC468CD0">
      <w:start w:val="1"/>
      <w:numFmt w:val="lowerRoman"/>
      <w:lvlText w:val="%6."/>
      <w:lvlJc w:val="right"/>
      <w:pPr>
        <w:ind w:left="4320" w:hanging="180"/>
      </w:pPr>
    </w:lvl>
    <w:lvl w:ilvl="6" w:tplc="8B9EA3B8">
      <w:start w:val="1"/>
      <w:numFmt w:val="decimal"/>
      <w:lvlText w:val="%7."/>
      <w:lvlJc w:val="left"/>
      <w:pPr>
        <w:ind w:left="5040" w:hanging="360"/>
      </w:pPr>
    </w:lvl>
    <w:lvl w:ilvl="7" w:tplc="32EABC78">
      <w:start w:val="1"/>
      <w:numFmt w:val="lowerLetter"/>
      <w:lvlText w:val="%8."/>
      <w:lvlJc w:val="left"/>
      <w:pPr>
        <w:ind w:left="5760" w:hanging="360"/>
      </w:pPr>
    </w:lvl>
    <w:lvl w:ilvl="8" w:tplc="B914C682">
      <w:start w:val="1"/>
      <w:numFmt w:val="lowerRoman"/>
      <w:lvlText w:val="%9."/>
      <w:lvlJc w:val="right"/>
      <w:pPr>
        <w:ind w:left="6480" w:hanging="180"/>
      </w:pPr>
    </w:lvl>
  </w:abstractNum>
  <w:abstractNum w:abstractNumId="27" w15:restartNumberingAfterBreak="0">
    <w:nsid w:val="49DC2F1E"/>
    <w:multiLevelType w:val="hybridMultilevel"/>
    <w:tmpl w:val="B2F853FC"/>
    <w:lvl w:ilvl="0" w:tplc="642EA3F8">
      <w:start w:val="1"/>
      <w:numFmt w:val="decimal"/>
      <w:lvlText w:val="%1."/>
      <w:lvlJc w:val="left"/>
      <w:pPr>
        <w:ind w:left="1440" w:hanging="360"/>
      </w:pPr>
    </w:lvl>
    <w:lvl w:ilvl="1" w:tplc="CA188AA0">
      <w:start w:val="1"/>
      <w:numFmt w:val="decimal"/>
      <w:lvlText w:val="%2."/>
      <w:lvlJc w:val="left"/>
      <w:pPr>
        <w:ind w:left="1440" w:hanging="360"/>
      </w:pPr>
    </w:lvl>
    <w:lvl w:ilvl="2" w:tplc="B0D201A4">
      <w:start w:val="1"/>
      <w:numFmt w:val="decimal"/>
      <w:lvlText w:val="%3."/>
      <w:lvlJc w:val="left"/>
      <w:pPr>
        <w:ind w:left="1440" w:hanging="360"/>
      </w:pPr>
    </w:lvl>
    <w:lvl w:ilvl="3" w:tplc="3C12FE72">
      <w:start w:val="1"/>
      <w:numFmt w:val="decimal"/>
      <w:lvlText w:val="%4."/>
      <w:lvlJc w:val="left"/>
      <w:pPr>
        <w:ind w:left="1440" w:hanging="360"/>
      </w:pPr>
    </w:lvl>
    <w:lvl w:ilvl="4" w:tplc="EBD4E228">
      <w:start w:val="1"/>
      <w:numFmt w:val="decimal"/>
      <w:lvlText w:val="%5."/>
      <w:lvlJc w:val="left"/>
      <w:pPr>
        <w:ind w:left="1440" w:hanging="360"/>
      </w:pPr>
    </w:lvl>
    <w:lvl w:ilvl="5" w:tplc="A3C2B4A4">
      <w:start w:val="1"/>
      <w:numFmt w:val="decimal"/>
      <w:lvlText w:val="%6."/>
      <w:lvlJc w:val="left"/>
      <w:pPr>
        <w:ind w:left="1440" w:hanging="360"/>
      </w:pPr>
    </w:lvl>
    <w:lvl w:ilvl="6" w:tplc="8B9C78B4">
      <w:start w:val="1"/>
      <w:numFmt w:val="decimal"/>
      <w:lvlText w:val="%7."/>
      <w:lvlJc w:val="left"/>
      <w:pPr>
        <w:ind w:left="1440" w:hanging="360"/>
      </w:pPr>
    </w:lvl>
    <w:lvl w:ilvl="7" w:tplc="1D76B306">
      <w:start w:val="1"/>
      <w:numFmt w:val="decimal"/>
      <w:lvlText w:val="%8."/>
      <w:lvlJc w:val="left"/>
      <w:pPr>
        <w:ind w:left="1440" w:hanging="360"/>
      </w:pPr>
    </w:lvl>
    <w:lvl w:ilvl="8" w:tplc="8974CFAE">
      <w:start w:val="1"/>
      <w:numFmt w:val="decimal"/>
      <w:lvlText w:val="%9."/>
      <w:lvlJc w:val="left"/>
      <w:pPr>
        <w:ind w:left="1440" w:hanging="360"/>
      </w:pPr>
    </w:lvl>
  </w:abstractNum>
  <w:abstractNum w:abstractNumId="28" w15:restartNumberingAfterBreak="0">
    <w:nsid w:val="4A31009A"/>
    <w:multiLevelType w:val="multilevel"/>
    <w:tmpl w:val="7CA8B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6D7E16"/>
    <w:multiLevelType w:val="multilevel"/>
    <w:tmpl w:val="AD7E5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C16FD9"/>
    <w:multiLevelType w:val="hybridMultilevel"/>
    <w:tmpl w:val="4BA69604"/>
    <w:lvl w:ilvl="0" w:tplc="BD260D46">
      <w:start w:val="1"/>
      <w:numFmt w:val="decimal"/>
      <w:lvlText w:val="%1."/>
      <w:lvlJc w:val="left"/>
      <w:pPr>
        <w:ind w:left="1440" w:hanging="360"/>
      </w:pPr>
    </w:lvl>
    <w:lvl w:ilvl="1" w:tplc="ABAA345E">
      <w:start w:val="1"/>
      <w:numFmt w:val="decimal"/>
      <w:lvlText w:val="%2."/>
      <w:lvlJc w:val="left"/>
      <w:pPr>
        <w:ind w:left="1440" w:hanging="360"/>
      </w:pPr>
    </w:lvl>
    <w:lvl w:ilvl="2" w:tplc="51B63628">
      <w:start w:val="1"/>
      <w:numFmt w:val="decimal"/>
      <w:lvlText w:val="%3."/>
      <w:lvlJc w:val="left"/>
      <w:pPr>
        <w:ind w:left="1440" w:hanging="360"/>
      </w:pPr>
    </w:lvl>
    <w:lvl w:ilvl="3" w:tplc="24A670AC">
      <w:start w:val="1"/>
      <w:numFmt w:val="decimal"/>
      <w:lvlText w:val="%4."/>
      <w:lvlJc w:val="left"/>
      <w:pPr>
        <w:ind w:left="1440" w:hanging="360"/>
      </w:pPr>
    </w:lvl>
    <w:lvl w:ilvl="4" w:tplc="F242992E">
      <w:start w:val="1"/>
      <w:numFmt w:val="decimal"/>
      <w:lvlText w:val="%5."/>
      <w:lvlJc w:val="left"/>
      <w:pPr>
        <w:ind w:left="1440" w:hanging="360"/>
      </w:pPr>
    </w:lvl>
    <w:lvl w:ilvl="5" w:tplc="F9420914">
      <w:start w:val="1"/>
      <w:numFmt w:val="decimal"/>
      <w:lvlText w:val="%6."/>
      <w:lvlJc w:val="left"/>
      <w:pPr>
        <w:ind w:left="1440" w:hanging="360"/>
      </w:pPr>
    </w:lvl>
    <w:lvl w:ilvl="6" w:tplc="A3847B94">
      <w:start w:val="1"/>
      <w:numFmt w:val="decimal"/>
      <w:lvlText w:val="%7."/>
      <w:lvlJc w:val="left"/>
      <w:pPr>
        <w:ind w:left="1440" w:hanging="360"/>
      </w:pPr>
    </w:lvl>
    <w:lvl w:ilvl="7" w:tplc="4942E84C">
      <w:start w:val="1"/>
      <w:numFmt w:val="decimal"/>
      <w:lvlText w:val="%8."/>
      <w:lvlJc w:val="left"/>
      <w:pPr>
        <w:ind w:left="1440" w:hanging="360"/>
      </w:pPr>
    </w:lvl>
    <w:lvl w:ilvl="8" w:tplc="6E94BCE4">
      <w:start w:val="1"/>
      <w:numFmt w:val="decimal"/>
      <w:lvlText w:val="%9."/>
      <w:lvlJc w:val="left"/>
      <w:pPr>
        <w:ind w:left="1440" w:hanging="360"/>
      </w:pPr>
    </w:lvl>
  </w:abstractNum>
  <w:abstractNum w:abstractNumId="31" w15:restartNumberingAfterBreak="0">
    <w:nsid w:val="511F5E9B"/>
    <w:multiLevelType w:val="multilevel"/>
    <w:tmpl w:val="30A0EB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544CCE"/>
    <w:multiLevelType w:val="multilevel"/>
    <w:tmpl w:val="9C027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0A7103"/>
    <w:multiLevelType w:val="hybridMultilevel"/>
    <w:tmpl w:val="CD6EB09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5A275270"/>
    <w:multiLevelType w:val="multilevel"/>
    <w:tmpl w:val="B66CC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AB76D7"/>
    <w:multiLevelType w:val="multilevel"/>
    <w:tmpl w:val="E5FA4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02740B"/>
    <w:multiLevelType w:val="hybridMultilevel"/>
    <w:tmpl w:val="1868C6CA"/>
    <w:lvl w:ilvl="0" w:tplc="FA682BC4">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0212ECB"/>
    <w:multiLevelType w:val="hybridMultilevel"/>
    <w:tmpl w:val="C5DE8F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640279AF"/>
    <w:multiLevelType w:val="multilevel"/>
    <w:tmpl w:val="0C0A0025"/>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39" w15:restartNumberingAfterBreak="0">
    <w:nsid w:val="64380E8A"/>
    <w:multiLevelType w:val="multilevel"/>
    <w:tmpl w:val="DAB84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F466FA"/>
    <w:multiLevelType w:val="multilevel"/>
    <w:tmpl w:val="C446505C"/>
    <w:lvl w:ilvl="0">
      <w:start w:val="1"/>
      <w:numFmt w:val="bullet"/>
      <w:pStyle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E5C0C7F"/>
    <w:multiLevelType w:val="multilevel"/>
    <w:tmpl w:val="44F24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2CC5F5F"/>
    <w:multiLevelType w:val="multilevel"/>
    <w:tmpl w:val="1C3C9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B50389"/>
    <w:multiLevelType w:val="multilevel"/>
    <w:tmpl w:val="BDC01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534C18"/>
    <w:multiLevelType w:val="multilevel"/>
    <w:tmpl w:val="DA2682E0"/>
    <w:lvl w:ilvl="0">
      <w:start w:val="1"/>
      <w:numFmt w:val="decimal"/>
      <w:pStyle w:val="SWC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5" w15:restartNumberingAfterBreak="0">
    <w:nsid w:val="7921346C"/>
    <w:multiLevelType w:val="multilevel"/>
    <w:tmpl w:val="8F30B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D4C29EA"/>
    <w:multiLevelType w:val="multilevel"/>
    <w:tmpl w:val="6F08E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F94259"/>
    <w:multiLevelType w:val="hybridMultilevel"/>
    <w:tmpl w:val="8D684FB4"/>
    <w:lvl w:ilvl="0" w:tplc="6400B1E0">
      <w:start w:val="4"/>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487283846">
    <w:abstractNumId w:val="26"/>
  </w:num>
  <w:num w:numId="2" w16cid:durableId="619382772">
    <w:abstractNumId w:val="25"/>
  </w:num>
  <w:num w:numId="3" w16cid:durableId="1164541409">
    <w:abstractNumId w:val="0"/>
  </w:num>
  <w:num w:numId="4" w16cid:durableId="1779980318">
    <w:abstractNumId w:val="20"/>
  </w:num>
  <w:num w:numId="5" w16cid:durableId="95492358">
    <w:abstractNumId w:val="38"/>
  </w:num>
  <w:num w:numId="6" w16cid:durableId="954943975">
    <w:abstractNumId w:val="44"/>
  </w:num>
  <w:num w:numId="7" w16cid:durableId="1662811407">
    <w:abstractNumId w:val="24"/>
  </w:num>
  <w:num w:numId="8" w16cid:durableId="491719983">
    <w:abstractNumId w:val="4"/>
  </w:num>
  <w:num w:numId="9" w16cid:durableId="473719645">
    <w:abstractNumId w:val="3"/>
  </w:num>
  <w:num w:numId="10" w16cid:durableId="1761565958">
    <w:abstractNumId w:val="18"/>
  </w:num>
  <w:num w:numId="11" w16cid:durableId="557284050">
    <w:abstractNumId w:val="23"/>
  </w:num>
  <w:num w:numId="12" w16cid:durableId="415329117">
    <w:abstractNumId w:val="7"/>
  </w:num>
  <w:num w:numId="13" w16cid:durableId="2100366995">
    <w:abstractNumId w:val="43"/>
  </w:num>
  <w:num w:numId="14" w16cid:durableId="1991009182">
    <w:abstractNumId w:val="28"/>
  </w:num>
  <w:num w:numId="15" w16cid:durableId="1147043780">
    <w:abstractNumId w:val="1"/>
  </w:num>
  <w:num w:numId="16" w16cid:durableId="1124807218">
    <w:abstractNumId w:val="31"/>
  </w:num>
  <w:num w:numId="17" w16cid:durableId="1152797583">
    <w:abstractNumId w:val="22"/>
  </w:num>
  <w:num w:numId="18" w16cid:durableId="1490513380">
    <w:abstractNumId w:val="34"/>
  </w:num>
  <w:num w:numId="19" w16cid:durableId="1493063525">
    <w:abstractNumId w:val="14"/>
  </w:num>
  <w:num w:numId="20" w16cid:durableId="576285234">
    <w:abstractNumId w:val="21"/>
  </w:num>
  <w:num w:numId="21" w16cid:durableId="1248266658">
    <w:abstractNumId w:val="15"/>
  </w:num>
  <w:num w:numId="22" w16cid:durableId="1689478624">
    <w:abstractNumId w:val="13"/>
  </w:num>
  <w:num w:numId="23" w16cid:durableId="1750274082">
    <w:abstractNumId w:val="29"/>
  </w:num>
  <w:num w:numId="24" w16cid:durableId="1105467198">
    <w:abstractNumId w:val="11"/>
  </w:num>
  <w:num w:numId="25" w16cid:durableId="753740408">
    <w:abstractNumId w:val="39"/>
  </w:num>
  <w:num w:numId="26" w16cid:durableId="1370227799">
    <w:abstractNumId w:val="2"/>
  </w:num>
  <w:num w:numId="27" w16cid:durableId="1579095262">
    <w:abstractNumId w:val="42"/>
  </w:num>
  <w:num w:numId="28" w16cid:durableId="291517837">
    <w:abstractNumId w:val="17"/>
  </w:num>
  <w:num w:numId="29" w16cid:durableId="1248072906">
    <w:abstractNumId w:val="5"/>
  </w:num>
  <w:num w:numId="30" w16cid:durableId="436557403">
    <w:abstractNumId w:val="40"/>
  </w:num>
  <w:num w:numId="31" w16cid:durableId="977996702">
    <w:abstractNumId w:val="8"/>
  </w:num>
  <w:num w:numId="32" w16cid:durableId="575482658">
    <w:abstractNumId w:val="6"/>
  </w:num>
  <w:num w:numId="33" w16cid:durableId="1823153887">
    <w:abstractNumId w:val="16"/>
  </w:num>
  <w:num w:numId="34" w16cid:durableId="1863862091">
    <w:abstractNumId w:val="19"/>
  </w:num>
  <w:num w:numId="35" w16cid:durableId="98568266">
    <w:abstractNumId w:val="32"/>
  </w:num>
  <w:num w:numId="36" w16cid:durableId="1623459672">
    <w:abstractNumId w:val="9"/>
  </w:num>
  <w:num w:numId="37" w16cid:durableId="1360471675">
    <w:abstractNumId w:val="40"/>
  </w:num>
  <w:num w:numId="38" w16cid:durableId="1072628148">
    <w:abstractNumId w:val="40"/>
  </w:num>
  <w:num w:numId="39" w16cid:durableId="309402989">
    <w:abstractNumId w:val="40"/>
  </w:num>
  <w:num w:numId="40" w16cid:durableId="2089226154">
    <w:abstractNumId w:val="40"/>
  </w:num>
  <w:num w:numId="41" w16cid:durableId="615599828">
    <w:abstractNumId w:val="40"/>
  </w:num>
  <w:num w:numId="42" w16cid:durableId="1909487230">
    <w:abstractNumId w:val="27"/>
  </w:num>
  <w:num w:numId="43" w16cid:durableId="2070956721">
    <w:abstractNumId w:val="30"/>
  </w:num>
  <w:num w:numId="44" w16cid:durableId="93285422">
    <w:abstractNumId w:val="46"/>
  </w:num>
  <w:num w:numId="45" w16cid:durableId="2143421423">
    <w:abstractNumId w:val="41"/>
  </w:num>
  <w:num w:numId="46" w16cid:durableId="346564360">
    <w:abstractNumId w:val="45"/>
  </w:num>
  <w:num w:numId="47" w16cid:durableId="1662732309">
    <w:abstractNumId w:val="35"/>
  </w:num>
  <w:num w:numId="48" w16cid:durableId="102459180">
    <w:abstractNumId w:val="33"/>
  </w:num>
  <w:num w:numId="49" w16cid:durableId="508912198">
    <w:abstractNumId w:val="36"/>
  </w:num>
  <w:num w:numId="50" w16cid:durableId="300771639">
    <w:abstractNumId w:val="47"/>
  </w:num>
  <w:num w:numId="51" w16cid:durableId="556473311">
    <w:abstractNumId w:val="10"/>
  </w:num>
  <w:num w:numId="52" w16cid:durableId="619533256">
    <w:abstractNumId w:val="37"/>
  </w:num>
  <w:num w:numId="53" w16cid:durableId="400833607">
    <w:abstractNumId w:val="12"/>
  </w:num>
  <w:num w:numId="54" w16cid:durableId="1223372477">
    <w:abstractNumId w:val="40"/>
  </w:num>
  <w:num w:numId="55" w16cid:durableId="600452567">
    <w:abstractNumId w:val="4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0072"/>
    <w:rsid w:val="0000043E"/>
    <w:rsid w:val="00001BC7"/>
    <w:rsid w:val="00002451"/>
    <w:rsid w:val="00005037"/>
    <w:rsid w:val="00005739"/>
    <w:rsid w:val="000067DB"/>
    <w:rsid w:val="00010262"/>
    <w:rsid w:val="00011FA8"/>
    <w:rsid w:val="00023AFC"/>
    <w:rsid w:val="000245B0"/>
    <w:rsid w:val="0002523B"/>
    <w:rsid w:val="00025ABD"/>
    <w:rsid w:val="00027DAC"/>
    <w:rsid w:val="00030884"/>
    <w:rsid w:val="00032C1F"/>
    <w:rsid w:val="00032DC0"/>
    <w:rsid w:val="00032F71"/>
    <w:rsid w:val="00033655"/>
    <w:rsid w:val="00033662"/>
    <w:rsid w:val="00035241"/>
    <w:rsid w:val="00041D6C"/>
    <w:rsid w:val="0004235D"/>
    <w:rsid w:val="0004247D"/>
    <w:rsid w:val="0004337C"/>
    <w:rsid w:val="00044112"/>
    <w:rsid w:val="00046493"/>
    <w:rsid w:val="00046B58"/>
    <w:rsid w:val="000477FA"/>
    <w:rsid w:val="00050E33"/>
    <w:rsid w:val="0005295C"/>
    <w:rsid w:val="00052C05"/>
    <w:rsid w:val="000533E4"/>
    <w:rsid w:val="000534F5"/>
    <w:rsid w:val="00053670"/>
    <w:rsid w:val="00053BD9"/>
    <w:rsid w:val="00053E02"/>
    <w:rsid w:val="00055DB9"/>
    <w:rsid w:val="0005657E"/>
    <w:rsid w:val="00057B5E"/>
    <w:rsid w:val="0006110C"/>
    <w:rsid w:val="00061A32"/>
    <w:rsid w:val="0006281D"/>
    <w:rsid w:val="0006564C"/>
    <w:rsid w:val="00066B26"/>
    <w:rsid w:val="000678AC"/>
    <w:rsid w:val="000712A1"/>
    <w:rsid w:val="000712AB"/>
    <w:rsid w:val="00072978"/>
    <w:rsid w:val="00074DBF"/>
    <w:rsid w:val="000762A1"/>
    <w:rsid w:val="000826DB"/>
    <w:rsid w:val="00084BDF"/>
    <w:rsid w:val="00086EFD"/>
    <w:rsid w:val="00091F36"/>
    <w:rsid w:val="00092ED5"/>
    <w:rsid w:val="000931BB"/>
    <w:rsid w:val="00094C6A"/>
    <w:rsid w:val="00095010"/>
    <w:rsid w:val="00097BB1"/>
    <w:rsid w:val="00097CC9"/>
    <w:rsid w:val="000A0ADB"/>
    <w:rsid w:val="000A30A5"/>
    <w:rsid w:val="000A36B5"/>
    <w:rsid w:val="000A3E27"/>
    <w:rsid w:val="000A478D"/>
    <w:rsid w:val="000A49C6"/>
    <w:rsid w:val="000A52A1"/>
    <w:rsid w:val="000B04BE"/>
    <w:rsid w:val="000B18CD"/>
    <w:rsid w:val="000B1F4D"/>
    <w:rsid w:val="000B2179"/>
    <w:rsid w:val="000B22A2"/>
    <w:rsid w:val="000C2344"/>
    <w:rsid w:val="000C3345"/>
    <w:rsid w:val="000C4F44"/>
    <w:rsid w:val="000C61A8"/>
    <w:rsid w:val="000C65D7"/>
    <w:rsid w:val="000C7CA8"/>
    <w:rsid w:val="000D048B"/>
    <w:rsid w:val="000D1993"/>
    <w:rsid w:val="000D32A9"/>
    <w:rsid w:val="000D3447"/>
    <w:rsid w:val="000D6E1A"/>
    <w:rsid w:val="000E1855"/>
    <w:rsid w:val="000E1D8A"/>
    <w:rsid w:val="000E5C0D"/>
    <w:rsid w:val="000E6A73"/>
    <w:rsid w:val="000E7E52"/>
    <w:rsid w:val="000F1094"/>
    <w:rsid w:val="000F2548"/>
    <w:rsid w:val="000F2CA0"/>
    <w:rsid w:val="000F31FE"/>
    <w:rsid w:val="000F4901"/>
    <w:rsid w:val="000F4EA8"/>
    <w:rsid w:val="000F6F62"/>
    <w:rsid w:val="000F7324"/>
    <w:rsid w:val="000F739B"/>
    <w:rsid w:val="000F7E17"/>
    <w:rsid w:val="00102F8E"/>
    <w:rsid w:val="00103CE5"/>
    <w:rsid w:val="0010501A"/>
    <w:rsid w:val="001054D8"/>
    <w:rsid w:val="00110DB6"/>
    <w:rsid w:val="00111566"/>
    <w:rsid w:val="00111E37"/>
    <w:rsid w:val="001138A1"/>
    <w:rsid w:val="00113AAF"/>
    <w:rsid w:val="001158C0"/>
    <w:rsid w:val="0011643F"/>
    <w:rsid w:val="00117931"/>
    <w:rsid w:val="0012088E"/>
    <w:rsid w:val="00123097"/>
    <w:rsid w:val="001257E8"/>
    <w:rsid w:val="00127A0F"/>
    <w:rsid w:val="00130262"/>
    <w:rsid w:val="00131D5A"/>
    <w:rsid w:val="00135665"/>
    <w:rsid w:val="0013630C"/>
    <w:rsid w:val="0013652C"/>
    <w:rsid w:val="00136C87"/>
    <w:rsid w:val="0013773A"/>
    <w:rsid w:val="001410F6"/>
    <w:rsid w:val="0015090D"/>
    <w:rsid w:val="00152259"/>
    <w:rsid w:val="00152A92"/>
    <w:rsid w:val="001554DF"/>
    <w:rsid w:val="00155FB8"/>
    <w:rsid w:val="00157CE5"/>
    <w:rsid w:val="001605B1"/>
    <w:rsid w:val="00160FF5"/>
    <w:rsid w:val="001618ED"/>
    <w:rsid w:val="00163CA3"/>
    <w:rsid w:val="001647D2"/>
    <w:rsid w:val="00166C42"/>
    <w:rsid w:val="00170F74"/>
    <w:rsid w:val="00172D1F"/>
    <w:rsid w:val="00176EF6"/>
    <w:rsid w:val="00180E5D"/>
    <w:rsid w:val="00180E8B"/>
    <w:rsid w:val="00182B58"/>
    <w:rsid w:val="00187525"/>
    <w:rsid w:val="001902B5"/>
    <w:rsid w:val="001904A7"/>
    <w:rsid w:val="0019232E"/>
    <w:rsid w:val="00192E9C"/>
    <w:rsid w:val="001932AD"/>
    <w:rsid w:val="0019429F"/>
    <w:rsid w:val="00194E9A"/>
    <w:rsid w:val="00195F67"/>
    <w:rsid w:val="001968B5"/>
    <w:rsid w:val="001969B9"/>
    <w:rsid w:val="001A117A"/>
    <w:rsid w:val="001A1485"/>
    <w:rsid w:val="001A237F"/>
    <w:rsid w:val="001A3305"/>
    <w:rsid w:val="001A48A7"/>
    <w:rsid w:val="001A4A8A"/>
    <w:rsid w:val="001A4C4C"/>
    <w:rsid w:val="001A736F"/>
    <w:rsid w:val="001A7386"/>
    <w:rsid w:val="001A775B"/>
    <w:rsid w:val="001A7F40"/>
    <w:rsid w:val="001B13D6"/>
    <w:rsid w:val="001B299E"/>
    <w:rsid w:val="001B2EB0"/>
    <w:rsid w:val="001B379F"/>
    <w:rsid w:val="001B6BCF"/>
    <w:rsid w:val="001B7295"/>
    <w:rsid w:val="001B7B01"/>
    <w:rsid w:val="001C191A"/>
    <w:rsid w:val="001C2247"/>
    <w:rsid w:val="001C3586"/>
    <w:rsid w:val="001C3A3D"/>
    <w:rsid w:val="001C4106"/>
    <w:rsid w:val="001C5661"/>
    <w:rsid w:val="001C63A2"/>
    <w:rsid w:val="001D0384"/>
    <w:rsid w:val="001D0E73"/>
    <w:rsid w:val="001D4912"/>
    <w:rsid w:val="001D5152"/>
    <w:rsid w:val="001D6775"/>
    <w:rsid w:val="001E02EF"/>
    <w:rsid w:val="001E11D1"/>
    <w:rsid w:val="001E1799"/>
    <w:rsid w:val="001E2B93"/>
    <w:rsid w:val="001E3795"/>
    <w:rsid w:val="001E512D"/>
    <w:rsid w:val="001E7EF8"/>
    <w:rsid w:val="001F25F9"/>
    <w:rsid w:val="001F2881"/>
    <w:rsid w:val="001F3984"/>
    <w:rsid w:val="001F4721"/>
    <w:rsid w:val="001F72F0"/>
    <w:rsid w:val="00200515"/>
    <w:rsid w:val="00200BD3"/>
    <w:rsid w:val="00202E98"/>
    <w:rsid w:val="00204738"/>
    <w:rsid w:val="00204E42"/>
    <w:rsid w:val="00205626"/>
    <w:rsid w:val="00206116"/>
    <w:rsid w:val="00207499"/>
    <w:rsid w:val="00212628"/>
    <w:rsid w:val="00213FF5"/>
    <w:rsid w:val="0022299B"/>
    <w:rsid w:val="00223E1C"/>
    <w:rsid w:val="00225724"/>
    <w:rsid w:val="00232283"/>
    <w:rsid w:val="00232664"/>
    <w:rsid w:val="00233571"/>
    <w:rsid w:val="00234305"/>
    <w:rsid w:val="0023502C"/>
    <w:rsid w:val="0024125D"/>
    <w:rsid w:val="00243214"/>
    <w:rsid w:val="002441DE"/>
    <w:rsid w:val="0024534E"/>
    <w:rsid w:val="002455E7"/>
    <w:rsid w:val="00250FB8"/>
    <w:rsid w:val="00253F31"/>
    <w:rsid w:val="00257A24"/>
    <w:rsid w:val="00260474"/>
    <w:rsid w:val="00260529"/>
    <w:rsid w:val="00263130"/>
    <w:rsid w:val="002647A0"/>
    <w:rsid w:val="00264EF5"/>
    <w:rsid w:val="00266804"/>
    <w:rsid w:val="00266E47"/>
    <w:rsid w:val="00270E75"/>
    <w:rsid w:val="002721FD"/>
    <w:rsid w:val="0027288C"/>
    <w:rsid w:val="00273341"/>
    <w:rsid w:val="00274F49"/>
    <w:rsid w:val="00277D95"/>
    <w:rsid w:val="002808DF"/>
    <w:rsid w:val="00280905"/>
    <w:rsid w:val="00283FF0"/>
    <w:rsid w:val="00285759"/>
    <w:rsid w:val="002911D3"/>
    <w:rsid w:val="002911FF"/>
    <w:rsid w:val="00294109"/>
    <w:rsid w:val="00294FD3"/>
    <w:rsid w:val="00296866"/>
    <w:rsid w:val="002972D1"/>
    <w:rsid w:val="002A04A9"/>
    <w:rsid w:val="002A0910"/>
    <w:rsid w:val="002A0AA4"/>
    <w:rsid w:val="002A39BB"/>
    <w:rsid w:val="002A4EF0"/>
    <w:rsid w:val="002A6549"/>
    <w:rsid w:val="002A71E3"/>
    <w:rsid w:val="002B0EAB"/>
    <w:rsid w:val="002B0FC5"/>
    <w:rsid w:val="002B132A"/>
    <w:rsid w:val="002B29D0"/>
    <w:rsid w:val="002B2A06"/>
    <w:rsid w:val="002B2CC0"/>
    <w:rsid w:val="002B37AC"/>
    <w:rsid w:val="002B4100"/>
    <w:rsid w:val="002B417A"/>
    <w:rsid w:val="002B55F4"/>
    <w:rsid w:val="002B5ACF"/>
    <w:rsid w:val="002C089D"/>
    <w:rsid w:val="002C1C25"/>
    <w:rsid w:val="002C35FB"/>
    <w:rsid w:val="002C370D"/>
    <w:rsid w:val="002C3A40"/>
    <w:rsid w:val="002C5A8D"/>
    <w:rsid w:val="002C5E9A"/>
    <w:rsid w:val="002C68AD"/>
    <w:rsid w:val="002C762B"/>
    <w:rsid w:val="002D10FC"/>
    <w:rsid w:val="002D181F"/>
    <w:rsid w:val="002D2897"/>
    <w:rsid w:val="002D322C"/>
    <w:rsid w:val="002D4344"/>
    <w:rsid w:val="002D4847"/>
    <w:rsid w:val="002D4864"/>
    <w:rsid w:val="002D4A18"/>
    <w:rsid w:val="002D4DDD"/>
    <w:rsid w:val="002D59BB"/>
    <w:rsid w:val="002D5A5E"/>
    <w:rsid w:val="002D645E"/>
    <w:rsid w:val="002E1666"/>
    <w:rsid w:val="002E1CF2"/>
    <w:rsid w:val="002E5D62"/>
    <w:rsid w:val="002E75B0"/>
    <w:rsid w:val="002E7AD7"/>
    <w:rsid w:val="002F1386"/>
    <w:rsid w:val="002F178E"/>
    <w:rsid w:val="002F1A93"/>
    <w:rsid w:val="002F1CFA"/>
    <w:rsid w:val="002F2194"/>
    <w:rsid w:val="002F5806"/>
    <w:rsid w:val="002F6198"/>
    <w:rsid w:val="002F646E"/>
    <w:rsid w:val="002F6B87"/>
    <w:rsid w:val="002F6D77"/>
    <w:rsid w:val="003017E1"/>
    <w:rsid w:val="00303345"/>
    <w:rsid w:val="0030394B"/>
    <w:rsid w:val="00305E19"/>
    <w:rsid w:val="003072DE"/>
    <w:rsid w:val="00307664"/>
    <w:rsid w:val="00310318"/>
    <w:rsid w:val="003122DE"/>
    <w:rsid w:val="003137BC"/>
    <w:rsid w:val="0031395C"/>
    <w:rsid w:val="00313C09"/>
    <w:rsid w:val="00316921"/>
    <w:rsid w:val="00317E06"/>
    <w:rsid w:val="00321E1D"/>
    <w:rsid w:val="00322028"/>
    <w:rsid w:val="00322331"/>
    <w:rsid w:val="003239AB"/>
    <w:rsid w:val="0032634C"/>
    <w:rsid w:val="00333EDA"/>
    <w:rsid w:val="003357AC"/>
    <w:rsid w:val="0033611A"/>
    <w:rsid w:val="00337053"/>
    <w:rsid w:val="0033722D"/>
    <w:rsid w:val="00341E51"/>
    <w:rsid w:val="00342F9A"/>
    <w:rsid w:val="003440C6"/>
    <w:rsid w:val="003456F5"/>
    <w:rsid w:val="00347F9B"/>
    <w:rsid w:val="003502F1"/>
    <w:rsid w:val="00351C99"/>
    <w:rsid w:val="00353070"/>
    <w:rsid w:val="00353699"/>
    <w:rsid w:val="0035638A"/>
    <w:rsid w:val="003565E0"/>
    <w:rsid w:val="0035727C"/>
    <w:rsid w:val="0035733A"/>
    <w:rsid w:val="0035738E"/>
    <w:rsid w:val="003602EF"/>
    <w:rsid w:val="003605B9"/>
    <w:rsid w:val="00361B08"/>
    <w:rsid w:val="00362122"/>
    <w:rsid w:val="00362A57"/>
    <w:rsid w:val="00364A52"/>
    <w:rsid w:val="00372F9D"/>
    <w:rsid w:val="00373F97"/>
    <w:rsid w:val="00374216"/>
    <w:rsid w:val="003747FD"/>
    <w:rsid w:val="00374CC5"/>
    <w:rsid w:val="00375979"/>
    <w:rsid w:val="00375EC2"/>
    <w:rsid w:val="003801A9"/>
    <w:rsid w:val="0038494A"/>
    <w:rsid w:val="003851FD"/>
    <w:rsid w:val="0038545D"/>
    <w:rsid w:val="003869E8"/>
    <w:rsid w:val="00391089"/>
    <w:rsid w:val="00391288"/>
    <w:rsid w:val="00395170"/>
    <w:rsid w:val="00395E5A"/>
    <w:rsid w:val="00395E7E"/>
    <w:rsid w:val="0039688B"/>
    <w:rsid w:val="00396C32"/>
    <w:rsid w:val="0039742D"/>
    <w:rsid w:val="003A20E9"/>
    <w:rsid w:val="003A3A38"/>
    <w:rsid w:val="003A3F4D"/>
    <w:rsid w:val="003A41BF"/>
    <w:rsid w:val="003A7DB9"/>
    <w:rsid w:val="003B2055"/>
    <w:rsid w:val="003B2AA8"/>
    <w:rsid w:val="003B2E24"/>
    <w:rsid w:val="003B458A"/>
    <w:rsid w:val="003B7164"/>
    <w:rsid w:val="003B764A"/>
    <w:rsid w:val="003C03B2"/>
    <w:rsid w:val="003C0806"/>
    <w:rsid w:val="003C18DE"/>
    <w:rsid w:val="003C1B31"/>
    <w:rsid w:val="003C1E83"/>
    <w:rsid w:val="003C2B1A"/>
    <w:rsid w:val="003C37E4"/>
    <w:rsid w:val="003C39C6"/>
    <w:rsid w:val="003C6E88"/>
    <w:rsid w:val="003C7BF3"/>
    <w:rsid w:val="003C7E70"/>
    <w:rsid w:val="003D0C19"/>
    <w:rsid w:val="003D0C22"/>
    <w:rsid w:val="003D7DE4"/>
    <w:rsid w:val="003D7F0C"/>
    <w:rsid w:val="003E1E1C"/>
    <w:rsid w:val="003E2595"/>
    <w:rsid w:val="003E390E"/>
    <w:rsid w:val="003E3F3F"/>
    <w:rsid w:val="003E5A06"/>
    <w:rsid w:val="003E65FE"/>
    <w:rsid w:val="003E76AF"/>
    <w:rsid w:val="003F0403"/>
    <w:rsid w:val="003F0FFD"/>
    <w:rsid w:val="003F1BCC"/>
    <w:rsid w:val="003F3696"/>
    <w:rsid w:val="003F5B99"/>
    <w:rsid w:val="003F6628"/>
    <w:rsid w:val="003F6FCC"/>
    <w:rsid w:val="003F7809"/>
    <w:rsid w:val="00400FB5"/>
    <w:rsid w:val="004019FD"/>
    <w:rsid w:val="00403E6A"/>
    <w:rsid w:val="00404EC4"/>
    <w:rsid w:val="004053B5"/>
    <w:rsid w:val="0040615A"/>
    <w:rsid w:val="00406E62"/>
    <w:rsid w:val="004104BA"/>
    <w:rsid w:val="00411832"/>
    <w:rsid w:val="00411E29"/>
    <w:rsid w:val="00414540"/>
    <w:rsid w:val="00415D7F"/>
    <w:rsid w:val="004168B7"/>
    <w:rsid w:val="00416D05"/>
    <w:rsid w:val="00417298"/>
    <w:rsid w:val="0042033E"/>
    <w:rsid w:val="00421A70"/>
    <w:rsid w:val="00423199"/>
    <w:rsid w:val="00424055"/>
    <w:rsid w:val="0042426F"/>
    <w:rsid w:val="0042430F"/>
    <w:rsid w:val="0042595C"/>
    <w:rsid w:val="00425992"/>
    <w:rsid w:val="004263CD"/>
    <w:rsid w:val="00426553"/>
    <w:rsid w:val="0042757A"/>
    <w:rsid w:val="00427BBA"/>
    <w:rsid w:val="00435724"/>
    <w:rsid w:val="004357AD"/>
    <w:rsid w:val="00435ABE"/>
    <w:rsid w:val="0044334B"/>
    <w:rsid w:val="00444153"/>
    <w:rsid w:val="00444358"/>
    <w:rsid w:val="004456F7"/>
    <w:rsid w:val="00445DB5"/>
    <w:rsid w:val="0044762F"/>
    <w:rsid w:val="00452140"/>
    <w:rsid w:val="00453072"/>
    <w:rsid w:val="00453296"/>
    <w:rsid w:val="00453A0C"/>
    <w:rsid w:val="004573F8"/>
    <w:rsid w:val="00461795"/>
    <w:rsid w:val="00462056"/>
    <w:rsid w:val="00465D5A"/>
    <w:rsid w:val="00467DFD"/>
    <w:rsid w:val="00472A2D"/>
    <w:rsid w:val="00474297"/>
    <w:rsid w:val="004746BA"/>
    <w:rsid w:val="0047496C"/>
    <w:rsid w:val="00476879"/>
    <w:rsid w:val="004775D8"/>
    <w:rsid w:val="00477D85"/>
    <w:rsid w:val="00480711"/>
    <w:rsid w:val="00481735"/>
    <w:rsid w:val="004825EB"/>
    <w:rsid w:val="00483DB2"/>
    <w:rsid w:val="004845AA"/>
    <w:rsid w:val="00484C57"/>
    <w:rsid w:val="00490F10"/>
    <w:rsid w:val="004917D2"/>
    <w:rsid w:val="0049263B"/>
    <w:rsid w:val="00492FD0"/>
    <w:rsid w:val="00493C81"/>
    <w:rsid w:val="00494006"/>
    <w:rsid w:val="0049422A"/>
    <w:rsid w:val="00495A9B"/>
    <w:rsid w:val="00495BB3"/>
    <w:rsid w:val="00496B40"/>
    <w:rsid w:val="00497B45"/>
    <w:rsid w:val="00497F0B"/>
    <w:rsid w:val="004A1A60"/>
    <w:rsid w:val="004A20BF"/>
    <w:rsid w:val="004A3506"/>
    <w:rsid w:val="004A3F75"/>
    <w:rsid w:val="004A4067"/>
    <w:rsid w:val="004A5B14"/>
    <w:rsid w:val="004B0B84"/>
    <w:rsid w:val="004B2442"/>
    <w:rsid w:val="004B66D6"/>
    <w:rsid w:val="004C01EE"/>
    <w:rsid w:val="004C06AD"/>
    <w:rsid w:val="004C09FC"/>
    <w:rsid w:val="004C39AD"/>
    <w:rsid w:val="004C4CA2"/>
    <w:rsid w:val="004C4EE9"/>
    <w:rsid w:val="004C545B"/>
    <w:rsid w:val="004C5E4F"/>
    <w:rsid w:val="004C6CF0"/>
    <w:rsid w:val="004D09C9"/>
    <w:rsid w:val="004D3DB9"/>
    <w:rsid w:val="004D4970"/>
    <w:rsid w:val="004E0F4B"/>
    <w:rsid w:val="004E1D38"/>
    <w:rsid w:val="004E1E2E"/>
    <w:rsid w:val="004E5D79"/>
    <w:rsid w:val="004E6DE3"/>
    <w:rsid w:val="004F2EAD"/>
    <w:rsid w:val="004F4904"/>
    <w:rsid w:val="004F5FF9"/>
    <w:rsid w:val="004F6DEE"/>
    <w:rsid w:val="00500640"/>
    <w:rsid w:val="00500D7D"/>
    <w:rsid w:val="00500F5B"/>
    <w:rsid w:val="005011FD"/>
    <w:rsid w:val="005031A6"/>
    <w:rsid w:val="0050473C"/>
    <w:rsid w:val="00505040"/>
    <w:rsid w:val="00505F40"/>
    <w:rsid w:val="005067AC"/>
    <w:rsid w:val="00510D33"/>
    <w:rsid w:val="0051212D"/>
    <w:rsid w:val="00514204"/>
    <w:rsid w:val="00514890"/>
    <w:rsid w:val="0051584D"/>
    <w:rsid w:val="00517401"/>
    <w:rsid w:val="005176DB"/>
    <w:rsid w:val="00517C7C"/>
    <w:rsid w:val="00517CC7"/>
    <w:rsid w:val="00517D9B"/>
    <w:rsid w:val="00522BF3"/>
    <w:rsid w:val="00522C27"/>
    <w:rsid w:val="00522E61"/>
    <w:rsid w:val="00523783"/>
    <w:rsid w:val="00524E4F"/>
    <w:rsid w:val="005267A3"/>
    <w:rsid w:val="00530E9C"/>
    <w:rsid w:val="00532138"/>
    <w:rsid w:val="0053248F"/>
    <w:rsid w:val="00532ADF"/>
    <w:rsid w:val="00532CED"/>
    <w:rsid w:val="0053532A"/>
    <w:rsid w:val="00535974"/>
    <w:rsid w:val="00536A09"/>
    <w:rsid w:val="005403E7"/>
    <w:rsid w:val="005404F1"/>
    <w:rsid w:val="00541F0B"/>
    <w:rsid w:val="00542E22"/>
    <w:rsid w:val="00544818"/>
    <w:rsid w:val="00547CE8"/>
    <w:rsid w:val="00547F5E"/>
    <w:rsid w:val="00550776"/>
    <w:rsid w:val="00550894"/>
    <w:rsid w:val="00550EAD"/>
    <w:rsid w:val="00553664"/>
    <w:rsid w:val="00554450"/>
    <w:rsid w:val="00554632"/>
    <w:rsid w:val="00554AC5"/>
    <w:rsid w:val="00556004"/>
    <w:rsid w:val="0056089C"/>
    <w:rsid w:val="00561D2C"/>
    <w:rsid w:val="00565AA2"/>
    <w:rsid w:val="00566460"/>
    <w:rsid w:val="005702FA"/>
    <w:rsid w:val="0057075C"/>
    <w:rsid w:val="00570906"/>
    <w:rsid w:val="005721F8"/>
    <w:rsid w:val="00577DF8"/>
    <w:rsid w:val="00580D9F"/>
    <w:rsid w:val="00581521"/>
    <w:rsid w:val="00581F3F"/>
    <w:rsid w:val="005826DA"/>
    <w:rsid w:val="005836C7"/>
    <w:rsid w:val="00583743"/>
    <w:rsid w:val="00586662"/>
    <w:rsid w:val="00590A3A"/>
    <w:rsid w:val="00593DA2"/>
    <w:rsid w:val="005A1DFD"/>
    <w:rsid w:val="005A265C"/>
    <w:rsid w:val="005A557F"/>
    <w:rsid w:val="005A6C7E"/>
    <w:rsid w:val="005B10C7"/>
    <w:rsid w:val="005B1F7E"/>
    <w:rsid w:val="005B3E86"/>
    <w:rsid w:val="005B420D"/>
    <w:rsid w:val="005B4D50"/>
    <w:rsid w:val="005B5A49"/>
    <w:rsid w:val="005B6F55"/>
    <w:rsid w:val="005B732D"/>
    <w:rsid w:val="005C0C39"/>
    <w:rsid w:val="005C20F7"/>
    <w:rsid w:val="005D1AC4"/>
    <w:rsid w:val="005D22E8"/>
    <w:rsid w:val="005D2AE3"/>
    <w:rsid w:val="005D4534"/>
    <w:rsid w:val="005D5CF6"/>
    <w:rsid w:val="005D61A4"/>
    <w:rsid w:val="005E04EA"/>
    <w:rsid w:val="005E0D7D"/>
    <w:rsid w:val="005E2C93"/>
    <w:rsid w:val="005E3423"/>
    <w:rsid w:val="005E3B73"/>
    <w:rsid w:val="005E4507"/>
    <w:rsid w:val="005E4D90"/>
    <w:rsid w:val="005E5AF9"/>
    <w:rsid w:val="005E7208"/>
    <w:rsid w:val="005E79DD"/>
    <w:rsid w:val="005F0121"/>
    <w:rsid w:val="005F13DE"/>
    <w:rsid w:val="005F4B4B"/>
    <w:rsid w:val="005F6E2E"/>
    <w:rsid w:val="005F747E"/>
    <w:rsid w:val="00600458"/>
    <w:rsid w:val="006020A6"/>
    <w:rsid w:val="006065D9"/>
    <w:rsid w:val="00607C4E"/>
    <w:rsid w:val="00613AF9"/>
    <w:rsid w:val="00614071"/>
    <w:rsid w:val="0061430F"/>
    <w:rsid w:val="00615D88"/>
    <w:rsid w:val="00615DD5"/>
    <w:rsid w:val="006160E9"/>
    <w:rsid w:val="0061732F"/>
    <w:rsid w:val="00617342"/>
    <w:rsid w:val="0062053C"/>
    <w:rsid w:val="006217F7"/>
    <w:rsid w:val="0062257E"/>
    <w:rsid w:val="0062292D"/>
    <w:rsid w:val="00623810"/>
    <w:rsid w:val="00623A35"/>
    <w:rsid w:val="00625BC2"/>
    <w:rsid w:val="00625DC3"/>
    <w:rsid w:val="006269A5"/>
    <w:rsid w:val="006275D5"/>
    <w:rsid w:val="00627E34"/>
    <w:rsid w:val="006309AA"/>
    <w:rsid w:val="006326E4"/>
    <w:rsid w:val="00633473"/>
    <w:rsid w:val="00633DB9"/>
    <w:rsid w:val="006355C3"/>
    <w:rsid w:val="006379BD"/>
    <w:rsid w:val="006411EB"/>
    <w:rsid w:val="0064281D"/>
    <w:rsid w:val="00643199"/>
    <w:rsid w:val="00643469"/>
    <w:rsid w:val="0064403B"/>
    <w:rsid w:val="0064451B"/>
    <w:rsid w:val="00644A39"/>
    <w:rsid w:val="0064556A"/>
    <w:rsid w:val="00645A21"/>
    <w:rsid w:val="00647CAC"/>
    <w:rsid w:val="00647DA0"/>
    <w:rsid w:val="006500EC"/>
    <w:rsid w:val="00652071"/>
    <w:rsid w:val="00653538"/>
    <w:rsid w:val="00653551"/>
    <w:rsid w:val="0065563B"/>
    <w:rsid w:val="00657C8A"/>
    <w:rsid w:val="00665285"/>
    <w:rsid w:val="00665471"/>
    <w:rsid w:val="00667DCD"/>
    <w:rsid w:val="00670459"/>
    <w:rsid w:val="00670D38"/>
    <w:rsid w:val="00671BCE"/>
    <w:rsid w:val="006722C6"/>
    <w:rsid w:val="00675303"/>
    <w:rsid w:val="00676C00"/>
    <w:rsid w:val="00677AC5"/>
    <w:rsid w:val="006811DC"/>
    <w:rsid w:val="00682809"/>
    <w:rsid w:val="006850C9"/>
    <w:rsid w:val="006861F0"/>
    <w:rsid w:val="00690A04"/>
    <w:rsid w:val="00692630"/>
    <w:rsid w:val="00692D7F"/>
    <w:rsid w:val="00692DFD"/>
    <w:rsid w:val="00696968"/>
    <w:rsid w:val="00697401"/>
    <w:rsid w:val="006976C2"/>
    <w:rsid w:val="00697E34"/>
    <w:rsid w:val="006A040B"/>
    <w:rsid w:val="006A0AE2"/>
    <w:rsid w:val="006A2779"/>
    <w:rsid w:val="006A2A97"/>
    <w:rsid w:val="006A2F10"/>
    <w:rsid w:val="006A40A9"/>
    <w:rsid w:val="006A48A6"/>
    <w:rsid w:val="006A6574"/>
    <w:rsid w:val="006A77D0"/>
    <w:rsid w:val="006B0BC6"/>
    <w:rsid w:val="006B0E7E"/>
    <w:rsid w:val="006B14D3"/>
    <w:rsid w:val="006B40F7"/>
    <w:rsid w:val="006B4C79"/>
    <w:rsid w:val="006B4C9F"/>
    <w:rsid w:val="006B6E59"/>
    <w:rsid w:val="006C091A"/>
    <w:rsid w:val="006C0A88"/>
    <w:rsid w:val="006C1632"/>
    <w:rsid w:val="006C1BAC"/>
    <w:rsid w:val="006C2705"/>
    <w:rsid w:val="006C5C54"/>
    <w:rsid w:val="006C6303"/>
    <w:rsid w:val="006C67BF"/>
    <w:rsid w:val="006C756C"/>
    <w:rsid w:val="006D1C4C"/>
    <w:rsid w:val="006D31B9"/>
    <w:rsid w:val="006D37ED"/>
    <w:rsid w:val="006D4A96"/>
    <w:rsid w:val="006D4ED0"/>
    <w:rsid w:val="006D5869"/>
    <w:rsid w:val="006E062A"/>
    <w:rsid w:val="006E28F5"/>
    <w:rsid w:val="006E2DAB"/>
    <w:rsid w:val="006E56B8"/>
    <w:rsid w:val="006E68A2"/>
    <w:rsid w:val="006F2E96"/>
    <w:rsid w:val="006F3A1A"/>
    <w:rsid w:val="006F5B85"/>
    <w:rsid w:val="006F5D57"/>
    <w:rsid w:val="00702AE0"/>
    <w:rsid w:val="00703314"/>
    <w:rsid w:val="0070397A"/>
    <w:rsid w:val="00703F15"/>
    <w:rsid w:val="007040BA"/>
    <w:rsid w:val="00706035"/>
    <w:rsid w:val="007061C0"/>
    <w:rsid w:val="00706204"/>
    <w:rsid w:val="0070636C"/>
    <w:rsid w:val="007079D6"/>
    <w:rsid w:val="00712959"/>
    <w:rsid w:val="007136FF"/>
    <w:rsid w:val="007174DA"/>
    <w:rsid w:val="007175FD"/>
    <w:rsid w:val="007178E2"/>
    <w:rsid w:val="0071798D"/>
    <w:rsid w:val="00717C08"/>
    <w:rsid w:val="00722B17"/>
    <w:rsid w:val="00722F26"/>
    <w:rsid w:val="00725ED2"/>
    <w:rsid w:val="00726A33"/>
    <w:rsid w:val="00726DE3"/>
    <w:rsid w:val="00733BF3"/>
    <w:rsid w:val="00734013"/>
    <w:rsid w:val="00734E56"/>
    <w:rsid w:val="00735707"/>
    <w:rsid w:val="007367D7"/>
    <w:rsid w:val="00744BF6"/>
    <w:rsid w:val="00745A79"/>
    <w:rsid w:val="007463BE"/>
    <w:rsid w:val="0074659F"/>
    <w:rsid w:val="007535ED"/>
    <w:rsid w:val="0075406E"/>
    <w:rsid w:val="00756702"/>
    <w:rsid w:val="007608E0"/>
    <w:rsid w:val="00760AB8"/>
    <w:rsid w:val="007611DA"/>
    <w:rsid w:val="00762EA3"/>
    <w:rsid w:val="0076315F"/>
    <w:rsid w:val="0076477C"/>
    <w:rsid w:val="0076589A"/>
    <w:rsid w:val="007715B1"/>
    <w:rsid w:val="007730D5"/>
    <w:rsid w:val="0077380A"/>
    <w:rsid w:val="007739B9"/>
    <w:rsid w:val="007763CB"/>
    <w:rsid w:val="007804A7"/>
    <w:rsid w:val="007825A7"/>
    <w:rsid w:val="00782862"/>
    <w:rsid w:val="00782C35"/>
    <w:rsid w:val="0078428B"/>
    <w:rsid w:val="00784640"/>
    <w:rsid w:val="00786006"/>
    <w:rsid w:val="007865BF"/>
    <w:rsid w:val="007865D2"/>
    <w:rsid w:val="00786F4E"/>
    <w:rsid w:val="00787F39"/>
    <w:rsid w:val="007908F6"/>
    <w:rsid w:val="00790E54"/>
    <w:rsid w:val="00791624"/>
    <w:rsid w:val="0079511C"/>
    <w:rsid w:val="007954D9"/>
    <w:rsid w:val="00795C0D"/>
    <w:rsid w:val="00796F81"/>
    <w:rsid w:val="00797A8E"/>
    <w:rsid w:val="007A102D"/>
    <w:rsid w:val="007A1031"/>
    <w:rsid w:val="007A12DC"/>
    <w:rsid w:val="007A2F67"/>
    <w:rsid w:val="007A4D83"/>
    <w:rsid w:val="007A5F17"/>
    <w:rsid w:val="007A7952"/>
    <w:rsid w:val="007B0BDB"/>
    <w:rsid w:val="007B33DF"/>
    <w:rsid w:val="007B36F4"/>
    <w:rsid w:val="007B4D35"/>
    <w:rsid w:val="007B54D7"/>
    <w:rsid w:val="007B5F99"/>
    <w:rsid w:val="007B69C2"/>
    <w:rsid w:val="007B6B9D"/>
    <w:rsid w:val="007C1117"/>
    <w:rsid w:val="007C1632"/>
    <w:rsid w:val="007C1F2A"/>
    <w:rsid w:val="007C36CE"/>
    <w:rsid w:val="007C36EF"/>
    <w:rsid w:val="007C56D7"/>
    <w:rsid w:val="007C63EC"/>
    <w:rsid w:val="007C6BDE"/>
    <w:rsid w:val="007C7071"/>
    <w:rsid w:val="007C73A6"/>
    <w:rsid w:val="007D0678"/>
    <w:rsid w:val="007D18F0"/>
    <w:rsid w:val="007D1C2C"/>
    <w:rsid w:val="007D2BF3"/>
    <w:rsid w:val="007D4418"/>
    <w:rsid w:val="007D63E7"/>
    <w:rsid w:val="007D64AC"/>
    <w:rsid w:val="007D7EFE"/>
    <w:rsid w:val="007D7FFC"/>
    <w:rsid w:val="007E070A"/>
    <w:rsid w:val="007E0D0C"/>
    <w:rsid w:val="007E7634"/>
    <w:rsid w:val="007F0FB6"/>
    <w:rsid w:val="007F39BD"/>
    <w:rsid w:val="007F5F7F"/>
    <w:rsid w:val="007F749F"/>
    <w:rsid w:val="008003BB"/>
    <w:rsid w:val="00800E25"/>
    <w:rsid w:val="00801634"/>
    <w:rsid w:val="0080253F"/>
    <w:rsid w:val="0080293A"/>
    <w:rsid w:val="00803863"/>
    <w:rsid w:val="00804C9B"/>
    <w:rsid w:val="0080537B"/>
    <w:rsid w:val="008053AC"/>
    <w:rsid w:val="00805437"/>
    <w:rsid w:val="008056F0"/>
    <w:rsid w:val="00805EFF"/>
    <w:rsid w:val="008060D4"/>
    <w:rsid w:val="00806EF1"/>
    <w:rsid w:val="008137E7"/>
    <w:rsid w:val="00814201"/>
    <w:rsid w:val="0081544C"/>
    <w:rsid w:val="0081641F"/>
    <w:rsid w:val="008173F1"/>
    <w:rsid w:val="00820119"/>
    <w:rsid w:val="008219CF"/>
    <w:rsid w:val="008264E9"/>
    <w:rsid w:val="00831C2A"/>
    <w:rsid w:val="00834062"/>
    <w:rsid w:val="00834FB1"/>
    <w:rsid w:val="0083503B"/>
    <w:rsid w:val="00835BB1"/>
    <w:rsid w:val="00837104"/>
    <w:rsid w:val="00840E8F"/>
    <w:rsid w:val="0084100F"/>
    <w:rsid w:val="00841327"/>
    <w:rsid w:val="008441DB"/>
    <w:rsid w:val="0084528F"/>
    <w:rsid w:val="00845AE3"/>
    <w:rsid w:val="00853CE6"/>
    <w:rsid w:val="0086208F"/>
    <w:rsid w:val="008627AC"/>
    <w:rsid w:val="008641C3"/>
    <w:rsid w:val="008653BB"/>
    <w:rsid w:val="00865BFC"/>
    <w:rsid w:val="00865E3F"/>
    <w:rsid w:val="008704EE"/>
    <w:rsid w:val="00871F2A"/>
    <w:rsid w:val="00873E4B"/>
    <w:rsid w:val="0087443E"/>
    <w:rsid w:val="008750EE"/>
    <w:rsid w:val="00876E4E"/>
    <w:rsid w:val="00877F66"/>
    <w:rsid w:val="0088739C"/>
    <w:rsid w:val="0089020A"/>
    <w:rsid w:val="008903B0"/>
    <w:rsid w:val="00893500"/>
    <w:rsid w:val="00896E0C"/>
    <w:rsid w:val="008A0E3B"/>
    <w:rsid w:val="008A2748"/>
    <w:rsid w:val="008A5491"/>
    <w:rsid w:val="008A6314"/>
    <w:rsid w:val="008A6363"/>
    <w:rsid w:val="008A65C1"/>
    <w:rsid w:val="008A72DF"/>
    <w:rsid w:val="008B3973"/>
    <w:rsid w:val="008B618F"/>
    <w:rsid w:val="008C0821"/>
    <w:rsid w:val="008C120A"/>
    <w:rsid w:val="008C2AA3"/>
    <w:rsid w:val="008C378B"/>
    <w:rsid w:val="008C6418"/>
    <w:rsid w:val="008C67DE"/>
    <w:rsid w:val="008C7F3D"/>
    <w:rsid w:val="008D1BAA"/>
    <w:rsid w:val="008D1D63"/>
    <w:rsid w:val="008D44C5"/>
    <w:rsid w:val="008D4BC6"/>
    <w:rsid w:val="008D541C"/>
    <w:rsid w:val="008D5C16"/>
    <w:rsid w:val="008D7E85"/>
    <w:rsid w:val="008E03A8"/>
    <w:rsid w:val="008E186E"/>
    <w:rsid w:val="008E19FF"/>
    <w:rsid w:val="008E2E27"/>
    <w:rsid w:val="008E53FF"/>
    <w:rsid w:val="008E59AD"/>
    <w:rsid w:val="008E6391"/>
    <w:rsid w:val="008E6CE2"/>
    <w:rsid w:val="008E76AD"/>
    <w:rsid w:val="008F1FBF"/>
    <w:rsid w:val="008F249D"/>
    <w:rsid w:val="008F258F"/>
    <w:rsid w:val="008F26F8"/>
    <w:rsid w:val="008F4C82"/>
    <w:rsid w:val="008F54F8"/>
    <w:rsid w:val="009011AA"/>
    <w:rsid w:val="009061D7"/>
    <w:rsid w:val="00906CC3"/>
    <w:rsid w:val="00910742"/>
    <w:rsid w:val="00912FAE"/>
    <w:rsid w:val="0091325A"/>
    <w:rsid w:val="00913A71"/>
    <w:rsid w:val="00914A6C"/>
    <w:rsid w:val="00914DEC"/>
    <w:rsid w:val="00914ECC"/>
    <w:rsid w:val="00916FD2"/>
    <w:rsid w:val="00917D56"/>
    <w:rsid w:val="009203F0"/>
    <w:rsid w:val="00920B41"/>
    <w:rsid w:val="0092475D"/>
    <w:rsid w:val="009274D2"/>
    <w:rsid w:val="00931C9D"/>
    <w:rsid w:val="00933A00"/>
    <w:rsid w:val="00933BFD"/>
    <w:rsid w:val="00933CD3"/>
    <w:rsid w:val="009354AB"/>
    <w:rsid w:val="00941691"/>
    <w:rsid w:val="00941D15"/>
    <w:rsid w:val="00942AED"/>
    <w:rsid w:val="00944E25"/>
    <w:rsid w:val="00944E32"/>
    <w:rsid w:val="00944FBA"/>
    <w:rsid w:val="00947A10"/>
    <w:rsid w:val="00947CCC"/>
    <w:rsid w:val="00951981"/>
    <w:rsid w:val="00952B67"/>
    <w:rsid w:val="00953D9E"/>
    <w:rsid w:val="00953F15"/>
    <w:rsid w:val="0095484E"/>
    <w:rsid w:val="00960284"/>
    <w:rsid w:val="009611FC"/>
    <w:rsid w:val="00962922"/>
    <w:rsid w:val="009642AB"/>
    <w:rsid w:val="00967646"/>
    <w:rsid w:val="00970FBA"/>
    <w:rsid w:val="009713E4"/>
    <w:rsid w:val="00973431"/>
    <w:rsid w:val="009753D6"/>
    <w:rsid w:val="00976D8E"/>
    <w:rsid w:val="009802B4"/>
    <w:rsid w:val="009821DD"/>
    <w:rsid w:val="00982B91"/>
    <w:rsid w:val="00982BCB"/>
    <w:rsid w:val="00983B1E"/>
    <w:rsid w:val="00985B13"/>
    <w:rsid w:val="00987744"/>
    <w:rsid w:val="00987F50"/>
    <w:rsid w:val="00990DDC"/>
    <w:rsid w:val="00992016"/>
    <w:rsid w:val="009933F6"/>
    <w:rsid w:val="00993F03"/>
    <w:rsid w:val="0099435F"/>
    <w:rsid w:val="00996BC5"/>
    <w:rsid w:val="0099744E"/>
    <w:rsid w:val="009A2498"/>
    <w:rsid w:val="009A5812"/>
    <w:rsid w:val="009A5B63"/>
    <w:rsid w:val="009A6D34"/>
    <w:rsid w:val="009A6DFF"/>
    <w:rsid w:val="009A729F"/>
    <w:rsid w:val="009B1656"/>
    <w:rsid w:val="009B2055"/>
    <w:rsid w:val="009B2303"/>
    <w:rsid w:val="009B2321"/>
    <w:rsid w:val="009B4816"/>
    <w:rsid w:val="009C1BA8"/>
    <w:rsid w:val="009C2D0D"/>
    <w:rsid w:val="009C3492"/>
    <w:rsid w:val="009C3ED4"/>
    <w:rsid w:val="009C403B"/>
    <w:rsid w:val="009C4264"/>
    <w:rsid w:val="009C49C6"/>
    <w:rsid w:val="009C4B8A"/>
    <w:rsid w:val="009C5502"/>
    <w:rsid w:val="009C5AA4"/>
    <w:rsid w:val="009C6522"/>
    <w:rsid w:val="009C6AFA"/>
    <w:rsid w:val="009D02D4"/>
    <w:rsid w:val="009D16ED"/>
    <w:rsid w:val="009D3368"/>
    <w:rsid w:val="009D39C2"/>
    <w:rsid w:val="009D5280"/>
    <w:rsid w:val="009D60E3"/>
    <w:rsid w:val="009D657F"/>
    <w:rsid w:val="009D6B58"/>
    <w:rsid w:val="009D6D7F"/>
    <w:rsid w:val="009E01C4"/>
    <w:rsid w:val="009E0D67"/>
    <w:rsid w:val="009E2844"/>
    <w:rsid w:val="009E4985"/>
    <w:rsid w:val="009E4A18"/>
    <w:rsid w:val="009E5C8E"/>
    <w:rsid w:val="009E623A"/>
    <w:rsid w:val="009F007E"/>
    <w:rsid w:val="009F0129"/>
    <w:rsid w:val="009F16C5"/>
    <w:rsid w:val="009F2AF7"/>
    <w:rsid w:val="009F2B38"/>
    <w:rsid w:val="009F3E11"/>
    <w:rsid w:val="009F5295"/>
    <w:rsid w:val="009F6AB3"/>
    <w:rsid w:val="009F6AF8"/>
    <w:rsid w:val="009F6E78"/>
    <w:rsid w:val="009F7760"/>
    <w:rsid w:val="009F7C53"/>
    <w:rsid w:val="009F7C7E"/>
    <w:rsid w:val="00A01148"/>
    <w:rsid w:val="00A024E9"/>
    <w:rsid w:val="00A02DB8"/>
    <w:rsid w:val="00A051B2"/>
    <w:rsid w:val="00A06413"/>
    <w:rsid w:val="00A06DD0"/>
    <w:rsid w:val="00A10718"/>
    <w:rsid w:val="00A115A5"/>
    <w:rsid w:val="00A11E6E"/>
    <w:rsid w:val="00A13747"/>
    <w:rsid w:val="00A1420B"/>
    <w:rsid w:val="00A16FD8"/>
    <w:rsid w:val="00A240F9"/>
    <w:rsid w:val="00A252C6"/>
    <w:rsid w:val="00A31DC5"/>
    <w:rsid w:val="00A359DB"/>
    <w:rsid w:val="00A35D6C"/>
    <w:rsid w:val="00A36C31"/>
    <w:rsid w:val="00A407CB"/>
    <w:rsid w:val="00A40C81"/>
    <w:rsid w:val="00A413E2"/>
    <w:rsid w:val="00A436CD"/>
    <w:rsid w:val="00A4381B"/>
    <w:rsid w:val="00A44031"/>
    <w:rsid w:val="00A450AE"/>
    <w:rsid w:val="00A465C7"/>
    <w:rsid w:val="00A46B36"/>
    <w:rsid w:val="00A5180B"/>
    <w:rsid w:val="00A52C18"/>
    <w:rsid w:val="00A535AF"/>
    <w:rsid w:val="00A54762"/>
    <w:rsid w:val="00A55E36"/>
    <w:rsid w:val="00A578CD"/>
    <w:rsid w:val="00A57A00"/>
    <w:rsid w:val="00A57A4B"/>
    <w:rsid w:val="00A608D4"/>
    <w:rsid w:val="00A6245A"/>
    <w:rsid w:val="00A62E94"/>
    <w:rsid w:val="00A637B8"/>
    <w:rsid w:val="00A64296"/>
    <w:rsid w:val="00A6457C"/>
    <w:rsid w:val="00A6544D"/>
    <w:rsid w:val="00A70D00"/>
    <w:rsid w:val="00A711CD"/>
    <w:rsid w:val="00A72217"/>
    <w:rsid w:val="00A73C22"/>
    <w:rsid w:val="00A73E53"/>
    <w:rsid w:val="00A73F1D"/>
    <w:rsid w:val="00A747C2"/>
    <w:rsid w:val="00A74BAF"/>
    <w:rsid w:val="00A767F4"/>
    <w:rsid w:val="00A77ADD"/>
    <w:rsid w:val="00A826D2"/>
    <w:rsid w:val="00A82D0F"/>
    <w:rsid w:val="00A82E55"/>
    <w:rsid w:val="00A83B10"/>
    <w:rsid w:val="00A84840"/>
    <w:rsid w:val="00A84C93"/>
    <w:rsid w:val="00A8757B"/>
    <w:rsid w:val="00A90573"/>
    <w:rsid w:val="00A92044"/>
    <w:rsid w:val="00A9225D"/>
    <w:rsid w:val="00A92A36"/>
    <w:rsid w:val="00A9727D"/>
    <w:rsid w:val="00A97A78"/>
    <w:rsid w:val="00AA16B9"/>
    <w:rsid w:val="00AA2CE6"/>
    <w:rsid w:val="00AA3E4F"/>
    <w:rsid w:val="00AA47DC"/>
    <w:rsid w:val="00AA758D"/>
    <w:rsid w:val="00AA7B09"/>
    <w:rsid w:val="00AB11DC"/>
    <w:rsid w:val="00AB1CF3"/>
    <w:rsid w:val="00AB36AE"/>
    <w:rsid w:val="00AB42A6"/>
    <w:rsid w:val="00AB624E"/>
    <w:rsid w:val="00AC2C09"/>
    <w:rsid w:val="00AC433B"/>
    <w:rsid w:val="00AC440B"/>
    <w:rsid w:val="00AC5E28"/>
    <w:rsid w:val="00AC652A"/>
    <w:rsid w:val="00AC6B6F"/>
    <w:rsid w:val="00AD33BC"/>
    <w:rsid w:val="00AD60A0"/>
    <w:rsid w:val="00AD7D7F"/>
    <w:rsid w:val="00AE0C77"/>
    <w:rsid w:val="00AE11FC"/>
    <w:rsid w:val="00AE1E83"/>
    <w:rsid w:val="00AE2C01"/>
    <w:rsid w:val="00AE4043"/>
    <w:rsid w:val="00AE4EA6"/>
    <w:rsid w:val="00AE5E97"/>
    <w:rsid w:val="00AE61E0"/>
    <w:rsid w:val="00AE6354"/>
    <w:rsid w:val="00AE7B3D"/>
    <w:rsid w:val="00AF0476"/>
    <w:rsid w:val="00AF15AF"/>
    <w:rsid w:val="00AF3795"/>
    <w:rsid w:val="00AF38DB"/>
    <w:rsid w:val="00AF6EB4"/>
    <w:rsid w:val="00B01141"/>
    <w:rsid w:val="00B01404"/>
    <w:rsid w:val="00B01675"/>
    <w:rsid w:val="00B01F06"/>
    <w:rsid w:val="00B02E33"/>
    <w:rsid w:val="00B03B65"/>
    <w:rsid w:val="00B04CF2"/>
    <w:rsid w:val="00B0624A"/>
    <w:rsid w:val="00B1221C"/>
    <w:rsid w:val="00B14783"/>
    <w:rsid w:val="00B14A8C"/>
    <w:rsid w:val="00B15EC9"/>
    <w:rsid w:val="00B16493"/>
    <w:rsid w:val="00B2011B"/>
    <w:rsid w:val="00B202BB"/>
    <w:rsid w:val="00B214A1"/>
    <w:rsid w:val="00B22D5C"/>
    <w:rsid w:val="00B23305"/>
    <w:rsid w:val="00B238A9"/>
    <w:rsid w:val="00B23EEA"/>
    <w:rsid w:val="00B263F0"/>
    <w:rsid w:val="00B2716E"/>
    <w:rsid w:val="00B32703"/>
    <w:rsid w:val="00B340A7"/>
    <w:rsid w:val="00B34492"/>
    <w:rsid w:val="00B400BD"/>
    <w:rsid w:val="00B416E3"/>
    <w:rsid w:val="00B41DF1"/>
    <w:rsid w:val="00B42E41"/>
    <w:rsid w:val="00B45BA4"/>
    <w:rsid w:val="00B45DE9"/>
    <w:rsid w:val="00B47906"/>
    <w:rsid w:val="00B533AF"/>
    <w:rsid w:val="00B535D2"/>
    <w:rsid w:val="00B54313"/>
    <w:rsid w:val="00B57090"/>
    <w:rsid w:val="00B57622"/>
    <w:rsid w:val="00B57DA4"/>
    <w:rsid w:val="00B60B5F"/>
    <w:rsid w:val="00B60CFD"/>
    <w:rsid w:val="00B624EC"/>
    <w:rsid w:val="00B63674"/>
    <w:rsid w:val="00B6496F"/>
    <w:rsid w:val="00B65A84"/>
    <w:rsid w:val="00B6798E"/>
    <w:rsid w:val="00B732AD"/>
    <w:rsid w:val="00B7363B"/>
    <w:rsid w:val="00B75E49"/>
    <w:rsid w:val="00B75F25"/>
    <w:rsid w:val="00B76077"/>
    <w:rsid w:val="00B760B6"/>
    <w:rsid w:val="00B8064D"/>
    <w:rsid w:val="00B80740"/>
    <w:rsid w:val="00B80F06"/>
    <w:rsid w:val="00B827C6"/>
    <w:rsid w:val="00B82E29"/>
    <w:rsid w:val="00B83F8C"/>
    <w:rsid w:val="00B84C31"/>
    <w:rsid w:val="00B84CEB"/>
    <w:rsid w:val="00B85152"/>
    <w:rsid w:val="00B8543D"/>
    <w:rsid w:val="00B877EA"/>
    <w:rsid w:val="00B9166B"/>
    <w:rsid w:val="00B93F09"/>
    <w:rsid w:val="00B943DB"/>
    <w:rsid w:val="00B94CD5"/>
    <w:rsid w:val="00B95089"/>
    <w:rsid w:val="00B96A52"/>
    <w:rsid w:val="00B96F1B"/>
    <w:rsid w:val="00BA268A"/>
    <w:rsid w:val="00BA4500"/>
    <w:rsid w:val="00BA52FE"/>
    <w:rsid w:val="00BA578F"/>
    <w:rsid w:val="00BA5858"/>
    <w:rsid w:val="00BA6B1B"/>
    <w:rsid w:val="00BA71DC"/>
    <w:rsid w:val="00BA77A3"/>
    <w:rsid w:val="00BB00E0"/>
    <w:rsid w:val="00BB1175"/>
    <w:rsid w:val="00BB1390"/>
    <w:rsid w:val="00BB1AA9"/>
    <w:rsid w:val="00BB40D6"/>
    <w:rsid w:val="00BB4368"/>
    <w:rsid w:val="00BB6E8A"/>
    <w:rsid w:val="00BC10C4"/>
    <w:rsid w:val="00BC1ED1"/>
    <w:rsid w:val="00BC3520"/>
    <w:rsid w:val="00BC3652"/>
    <w:rsid w:val="00BC579D"/>
    <w:rsid w:val="00BC5BCF"/>
    <w:rsid w:val="00BC72CA"/>
    <w:rsid w:val="00BC738E"/>
    <w:rsid w:val="00BC7E53"/>
    <w:rsid w:val="00BC7F88"/>
    <w:rsid w:val="00BD027C"/>
    <w:rsid w:val="00BD0576"/>
    <w:rsid w:val="00BD4E16"/>
    <w:rsid w:val="00BD627A"/>
    <w:rsid w:val="00BD7220"/>
    <w:rsid w:val="00BE2409"/>
    <w:rsid w:val="00BE50D0"/>
    <w:rsid w:val="00BE649A"/>
    <w:rsid w:val="00BE6641"/>
    <w:rsid w:val="00BE6E57"/>
    <w:rsid w:val="00BE7707"/>
    <w:rsid w:val="00BF16FE"/>
    <w:rsid w:val="00BF2EE2"/>
    <w:rsid w:val="00BF3098"/>
    <w:rsid w:val="00BF3F4D"/>
    <w:rsid w:val="00BF7B57"/>
    <w:rsid w:val="00C008D0"/>
    <w:rsid w:val="00C012F5"/>
    <w:rsid w:val="00C02BCE"/>
    <w:rsid w:val="00C03C50"/>
    <w:rsid w:val="00C03F2E"/>
    <w:rsid w:val="00C0558A"/>
    <w:rsid w:val="00C05FAA"/>
    <w:rsid w:val="00C068BC"/>
    <w:rsid w:val="00C06BCD"/>
    <w:rsid w:val="00C0761D"/>
    <w:rsid w:val="00C105E8"/>
    <w:rsid w:val="00C1091F"/>
    <w:rsid w:val="00C12A9B"/>
    <w:rsid w:val="00C13040"/>
    <w:rsid w:val="00C15E59"/>
    <w:rsid w:val="00C16B39"/>
    <w:rsid w:val="00C17081"/>
    <w:rsid w:val="00C20A85"/>
    <w:rsid w:val="00C24E60"/>
    <w:rsid w:val="00C26236"/>
    <w:rsid w:val="00C27AC2"/>
    <w:rsid w:val="00C27FD4"/>
    <w:rsid w:val="00C31253"/>
    <w:rsid w:val="00C365E2"/>
    <w:rsid w:val="00C40FE2"/>
    <w:rsid w:val="00C42942"/>
    <w:rsid w:val="00C43232"/>
    <w:rsid w:val="00C44EFB"/>
    <w:rsid w:val="00C45213"/>
    <w:rsid w:val="00C474BB"/>
    <w:rsid w:val="00C50C69"/>
    <w:rsid w:val="00C51293"/>
    <w:rsid w:val="00C51B48"/>
    <w:rsid w:val="00C55264"/>
    <w:rsid w:val="00C553ED"/>
    <w:rsid w:val="00C56AF3"/>
    <w:rsid w:val="00C56FA4"/>
    <w:rsid w:val="00C57985"/>
    <w:rsid w:val="00C57AE2"/>
    <w:rsid w:val="00C6678B"/>
    <w:rsid w:val="00C6695C"/>
    <w:rsid w:val="00C74A9B"/>
    <w:rsid w:val="00C74E79"/>
    <w:rsid w:val="00C74F62"/>
    <w:rsid w:val="00C76ED1"/>
    <w:rsid w:val="00C77A7F"/>
    <w:rsid w:val="00C801BD"/>
    <w:rsid w:val="00C8094D"/>
    <w:rsid w:val="00C8320D"/>
    <w:rsid w:val="00C84DDE"/>
    <w:rsid w:val="00C9124D"/>
    <w:rsid w:val="00C9327F"/>
    <w:rsid w:val="00C94455"/>
    <w:rsid w:val="00C95253"/>
    <w:rsid w:val="00C97946"/>
    <w:rsid w:val="00CA05F7"/>
    <w:rsid w:val="00CA0BF5"/>
    <w:rsid w:val="00CA0F65"/>
    <w:rsid w:val="00CA158D"/>
    <w:rsid w:val="00CA4F91"/>
    <w:rsid w:val="00CA7ABB"/>
    <w:rsid w:val="00CB1D9B"/>
    <w:rsid w:val="00CB3825"/>
    <w:rsid w:val="00CB3A10"/>
    <w:rsid w:val="00CB57E5"/>
    <w:rsid w:val="00CB6613"/>
    <w:rsid w:val="00CB7CA2"/>
    <w:rsid w:val="00CB7EE8"/>
    <w:rsid w:val="00CC0687"/>
    <w:rsid w:val="00CC06FE"/>
    <w:rsid w:val="00CC0BDA"/>
    <w:rsid w:val="00CC1F41"/>
    <w:rsid w:val="00CC2C79"/>
    <w:rsid w:val="00CC34B9"/>
    <w:rsid w:val="00CC3B0C"/>
    <w:rsid w:val="00CC469E"/>
    <w:rsid w:val="00CC6717"/>
    <w:rsid w:val="00CC733F"/>
    <w:rsid w:val="00CC7A03"/>
    <w:rsid w:val="00CD4EFC"/>
    <w:rsid w:val="00CD7821"/>
    <w:rsid w:val="00CE0226"/>
    <w:rsid w:val="00CE1C4D"/>
    <w:rsid w:val="00CE1C5E"/>
    <w:rsid w:val="00CE2305"/>
    <w:rsid w:val="00CE2442"/>
    <w:rsid w:val="00CE38F1"/>
    <w:rsid w:val="00CE432C"/>
    <w:rsid w:val="00CE472A"/>
    <w:rsid w:val="00CE6B40"/>
    <w:rsid w:val="00CE6DBB"/>
    <w:rsid w:val="00CE7296"/>
    <w:rsid w:val="00CE7D4F"/>
    <w:rsid w:val="00CE7D64"/>
    <w:rsid w:val="00CF211D"/>
    <w:rsid w:val="00CF2DB2"/>
    <w:rsid w:val="00CF5F6A"/>
    <w:rsid w:val="00CF62FD"/>
    <w:rsid w:val="00D001DA"/>
    <w:rsid w:val="00D033DF"/>
    <w:rsid w:val="00D04532"/>
    <w:rsid w:val="00D047F8"/>
    <w:rsid w:val="00D0520C"/>
    <w:rsid w:val="00D057F4"/>
    <w:rsid w:val="00D06BC3"/>
    <w:rsid w:val="00D07152"/>
    <w:rsid w:val="00D12538"/>
    <w:rsid w:val="00D14555"/>
    <w:rsid w:val="00D15B1B"/>
    <w:rsid w:val="00D17DCC"/>
    <w:rsid w:val="00D212DB"/>
    <w:rsid w:val="00D215D4"/>
    <w:rsid w:val="00D22304"/>
    <w:rsid w:val="00D2246E"/>
    <w:rsid w:val="00D25144"/>
    <w:rsid w:val="00D256AE"/>
    <w:rsid w:val="00D26FFF"/>
    <w:rsid w:val="00D30B93"/>
    <w:rsid w:val="00D31359"/>
    <w:rsid w:val="00D316C9"/>
    <w:rsid w:val="00D318F8"/>
    <w:rsid w:val="00D3294A"/>
    <w:rsid w:val="00D32EF0"/>
    <w:rsid w:val="00D33390"/>
    <w:rsid w:val="00D34665"/>
    <w:rsid w:val="00D34713"/>
    <w:rsid w:val="00D35E52"/>
    <w:rsid w:val="00D36574"/>
    <w:rsid w:val="00D36FA6"/>
    <w:rsid w:val="00D4166D"/>
    <w:rsid w:val="00D41E9A"/>
    <w:rsid w:val="00D4490F"/>
    <w:rsid w:val="00D4614A"/>
    <w:rsid w:val="00D478D1"/>
    <w:rsid w:val="00D47E40"/>
    <w:rsid w:val="00D50CE7"/>
    <w:rsid w:val="00D52E82"/>
    <w:rsid w:val="00D53F31"/>
    <w:rsid w:val="00D5475A"/>
    <w:rsid w:val="00D5584D"/>
    <w:rsid w:val="00D56546"/>
    <w:rsid w:val="00D56BCC"/>
    <w:rsid w:val="00D62269"/>
    <w:rsid w:val="00D62EDC"/>
    <w:rsid w:val="00D63D44"/>
    <w:rsid w:val="00D7206F"/>
    <w:rsid w:val="00D725F6"/>
    <w:rsid w:val="00D735CA"/>
    <w:rsid w:val="00D76876"/>
    <w:rsid w:val="00D8332C"/>
    <w:rsid w:val="00D84831"/>
    <w:rsid w:val="00D85EBC"/>
    <w:rsid w:val="00D962B0"/>
    <w:rsid w:val="00D96513"/>
    <w:rsid w:val="00D976DC"/>
    <w:rsid w:val="00D97742"/>
    <w:rsid w:val="00D97A26"/>
    <w:rsid w:val="00DA1611"/>
    <w:rsid w:val="00DA1B1F"/>
    <w:rsid w:val="00DA244B"/>
    <w:rsid w:val="00DA3128"/>
    <w:rsid w:val="00DA40B2"/>
    <w:rsid w:val="00DA4692"/>
    <w:rsid w:val="00DA511F"/>
    <w:rsid w:val="00DA524E"/>
    <w:rsid w:val="00DA7B1E"/>
    <w:rsid w:val="00DA7F88"/>
    <w:rsid w:val="00DB02ED"/>
    <w:rsid w:val="00DB0A9E"/>
    <w:rsid w:val="00DB1764"/>
    <w:rsid w:val="00DB2741"/>
    <w:rsid w:val="00DB3953"/>
    <w:rsid w:val="00DB3F3C"/>
    <w:rsid w:val="00DB4A75"/>
    <w:rsid w:val="00DB52E7"/>
    <w:rsid w:val="00DB642B"/>
    <w:rsid w:val="00DB6571"/>
    <w:rsid w:val="00DB79E9"/>
    <w:rsid w:val="00DC0318"/>
    <w:rsid w:val="00DC0D46"/>
    <w:rsid w:val="00DC183E"/>
    <w:rsid w:val="00DC2288"/>
    <w:rsid w:val="00DC48DD"/>
    <w:rsid w:val="00DD0CE3"/>
    <w:rsid w:val="00DD1D5F"/>
    <w:rsid w:val="00DD4A59"/>
    <w:rsid w:val="00DD6A22"/>
    <w:rsid w:val="00DE0269"/>
    <w:rsid w:val="00DE176A"/>
    <w:rsid w:val="00DE2EC3"/>
    <w:rsid w:val="00DE4A70"/>
    <w:rsid w:val="00DE4E3D"/>
    <w:rsid w:val="00DE6190"/>
    <w:rsid w:val="00DE625B"/>
    <w:rsid w:val="00DE7522"/>
    <w:rsid w:val="00DE79CD"/>
    <w:rsid w:val="00DE7A8B"/>
    <w:rsid w:val="00DF016F"/>
    <w:rsid w:val="00DF29FB"/>
    <w:rsid w:val="00DF3038"/>
    <w:rsid w:val="00DF39C4"/>
    <w:rsid w:val="00E012C5"/>
    <w:rsid w:val="00E023A9"/>
    <w:rsid w:val="00E02D29"/>
    <w:rsid w:val="00E046FA"/>
    <w:rsid w:val="00E06149"/>
    <w:rsid w:val="00E068C3"/>
    <w:rsid w:val="00E07D1B"/>
    <w:rsid w:val="00E13251"/>
    <w:rsid w:val="00E13B61"/>
    <w:rsid w:val="00E160CA"/>
    <w:rsid w:val="00E17D3C"/>
    <w:rsid w:val="00E21634"/>
    <w:rsid w:val="00E218E2"/>
    <w:rsid w:val="00E2344F"/>
    <w:rsid w:val="00E2375B"/>
    <w:rsid w:val="00E23FEE"/>
    <w:rsid w:val="00E24836"/>
    <w:rsid w:val="00E274D1"/>
    <w:rsid w:val="00E30EC2"/>
    <w:rsid w:val="00E34156"/>
    <w:rsid w:val="00E359F9"/>
    <w:rsid w:val="00E35F01"/>
    <w:rsid w:val="00E3786A"/>
    <w:rsid w:val="00E37D08"/>
    <w:rsid w:val="00E41355"/>
    <w:rsid w:val="00E419E3"/>
    <w:rsid w:val="00E421CB"/>
    <w:rsid w:val="00E45260"/>
    <w:rsid w:val="00E46499"/>
    <w:rsid w:val="00E47CBC"/>
    <w:rsid w:val="00E47E66"/>
    <w:rsid w:val="00E510CB"/>
    <w:rsid w:val="00E541BA"/>
    <w:rsid w:val="00E548A7"/>
    <w:rsid w:val="00E56725"/>
    <w:rsid w:val="00E57A57"/>
    <w:rsid w:val="00E57E49"/>
    <w:rsid w:val="00E61743"/>
    <w:rsid w:val="00E61947"/>
    <w:rsid w:val="00E61C50"/>
    <w:rsid w:val="00E634E5"/>
    <w:rsid w:val="00E6427A"/>
    <w:rsid w:val="00E65566"/>
    <w:rsid w:val="00E65D4A"/>
    <w:rsid w:val="00E6633D"/>
    <w:rsid w:val="00E67351"/>
    <w:rsid w:val="00E67577"/>
    <w:rsid w:val="00E7077E"/>
    <w:rsid w:val="00E71995"/>
    <w:rsid w:val="00E7237D"/>
    <w:rsid w:val="00E72D2D"/>
    <w:rsid w:val="00E765BA"/>
    <w:rsid w:val="00E76896"/>
    <w:rsid w:val="00E826C7"/>
    <w:rsid w:val="00E86197"/>
    <w:rsid w:val="00E90D4C"/>
    <w:rsid w:val="00E90D78"/>
    <w:rsid w:val="00E9249A"/>
    <w:rsid w:val="00E95BF3"/>
    <w:rsid w:val="00E965FA"/>
    <w:rsid w:val="00EA35AA"/>
    <w:rsid w:val="00EA3BA7"/>
    <w:rsid w:val="00EA42B3"/>
    <w:rsid w:val="00EA43C4"/>
    <w:rsid w:val="00EA50D7"/>
    <w:rsid w:val="00EA56BF"/>
    <w:rsid w:val="00EA63D8"/>
    <w:rsid w:val="00EA681D"/>
    <w:rsid w:val="00EA6AC3"/>
    <w:rsid w:val="00EB28B2"/>
    <w:rsid w:val="00EB2F93"/>
    <w:rsid w:val="00EB45C3"/>
    <w:rsid w:val="00EC1541"/>
    <w:rsid w:val="00EC1ACF"/>
    <w:rsid w:val="00EC28C3"/>
    <w:rsid w:val="00EC3533"/>
    <w:rsid w:val="00EC3673"/>
    <w:rsid w:val="00EC55DD"/>
    <w:rsid w:val="00EC5BB9"/>
    <w:rsid w:val="00EC776C"/>
    <w:rsid w:val="00ED0271"/>
    <w:rsid w:val="00ED093E"/>
    <w:rsid w:val="00ED113D"/>
    <w:rsid w:val="00ED1BF3"/>
    <w:rsid w:val="00ED5707"/>
    <w:rsid w:val="00ED579B"/>
    <w:rsid w:val="00ED5CCC"/>
    <w:rsid w:val="00ED76B0"/>
    <w:rsid w:val="00ED7F53"/>
    <w:rsid w:val="00EE47E8"/>
    <w:rsid w:val="00EE627C"/>
    <w:rsid w:val="00EE7AB5"/>
    <w:rsid w:val="00EF1DB9"/>
    <w:rsid w:val="00EF2F33"/>
    <w:rsid w:val="00EF596C"/>
    <w:rsid w:val="00F036A3"/>
    <w:rsid w:val="00F054FA"/>
    <w:rsid w:val="00F06633"/>
    <w:rsid w:val="00F07750"/>
    <w:rsid w:val="00F0783F"/>
    <w:rsid w:val="00F10D5C"/>
    <w:rsid w:val="00F113EB"/>
    <w:rsid w:val="00F11E98"/>
    <w:rsid w:val="00F1278D"/>
    <w:rsid w:val="00F131F8"/>
    <w:rsid w:val="00F21600"/>
    <w:rsid w:val="00F22C21"/>
    <w:rsid w:val="00F23DFF"/>
    <w:rsid w:val="00F242B3"/>
    <w:rsid w:val="00F30A77"/>
    <w:rsid w:val="00F33CF5"/>
    <w:rsid w:val="00F34E34"/>
    <w:rsid w:val="00F363F8"/>
    <w:rsid w:val="00F37717"/>
    <w:rsid w:val="00F42A48"/>
    <w:rsid w:val="00F4393F"/>
    <w:rsid w:val="00F43EFD"/>
    <w:rsid w:val="00F44204"/>
    <w:rsid w:val="00F44CB3"/>
    <w:rsid w:val="00F455FA"/>
    <w:rsid w:val="00F46312"/>
    <w:rsid w:val="00F46A3A"/>
    <w:rsid w:val="00F47FC5"/>
    <w:rsid w:val="00F5128C"/>
    <w:rsid w:val="00F5313D"/>
    <w:rsid w:val="00F5324A"/>
    <w:rsid w:val="00F5375D"/>
    <w:rsid w:val="00F537FD"/>
    <w:rsid w:val="00F5454E"/>
    <w:rsid w:val="00F562DD"/>
    <w:rsid w:val="00F572C5"/>
    <w:rsid w:val="00F5736D"/>
    <w:rsid w:val="00F60C96"/>
    <w:rsid w:val="00F63013"/>
    <w:rsid w:val="00F6338D"/>
    <w:rsid w:val="00F63F14"/>
    <w:rsid w:val="00F65027"/>
    <w:rsid w:val="00F6559E"/>
    <w:rsid w:val="00F67A5D"/>
    <w:rsid w:val="00F715C3"/>
    <w:rsid w:val="00F718BD"/>
    <w:rsid w:val="00F72890"/>
    <w:rsid w:val="00F74544"/>
    <w:rsid w:val="00F7462C"/>
    <w:rsid w:val="00F75012"/>
    <w:rsid w:val="00F75FF3"/>
    <w:rsid w:val="00F77514"/>
    <w:rsid w:val="00F80507"/>
    <w:rsid w:val="00F8149D"/>
    <w:rsid w:val="00F82569"/>
    <w:rsid w:val="00F83A84"/>
    <w:rsid w:val="00F83CD3"/>
    <w:rsid w:val="00F84352"/>
    <w:rsid w:val="00F85F61"/>
    <w:rsid w:val="00F871D0"/>
    <w:rsid w:val="00F936FF"/>
    <w:rsid w:val="00F93CD9"/>
    <w:rsid w:val="00F940E6"/>
    <w:rsid w:val="00F95487"/>
    <w:rsid w:val="00F95DEF"/>
    <w:rsid w:val="00F9694C"/>
    <w:rsid w:val="00F9758D"/>
    <w:rsid w:val="00F977FA"/>
    <w:rsid w:val="00FA1553"/>
    <w:rsid w:val="00FA1F58"/>
    <w:rsid w:val="00FA27D9"/>
    <w:rsid w:val="00FA4117"/>
    <w:rsid w:val="00FA4DF8"/>
    <w:rsid w:val="00FA51D8"/>
    <w:rsid w:val="00FA7AC6"/>
    <w:rsid w:val="00FB0DE5"/>
    <w:rsid w:val="00FB12C6"/>
    <w:rsid w:val="00FB45FB"/>
    <w:rsid w:val="00FB5C12"/>
    <w:rsid w:val="00FC09A1"/>
    <w:rsid w:val="00FC1781"/>
    <w:rsid w:val="00FC244F"/>
    <w:rsid w:val="00FC36D0"/>
    <w:rsid w:val="00FC4902"/>
    <w:rsid w:val="00FC649C"/>
    <w:rsid w:val="00FC6DD3"/>
    <w:rsid w:val="00FC79B5"/>
    <w:rsid w:val="00FD01C3"/>
    <w:rsid w:val="00FD0F8C"/>
    <w:rsid w:val="00FD26A4"/>
    <w:rsid w:val="00FD36FE"/>
    <w:rsid w:val="00FD43DD"/>
    <w:rsid w:val="00FD74D9"/>
    <w:rsid w:val="00FD79DA"/>
    <w:rsid w:val="00FE2ADC"/>
    <w:rsid w:val="00FE2C0B"/>
    <w:rsid w:val="00FE2C2E"/>
    <w:rsid w:val="00FE3974"/>
    <w:rsid w:val="00FE5997"/>
    <w:rsid w:val="00FF0950"/>
    <w:rsid w:val="00FF1460"/>
    <w:rsid w:val="00FF5484"/>
    <w:rsid w:val="00FF6788"/>
    <w:rsid w:val="00FF6BDD"/>
    <w:rsid w:val="01269317"/>
    <w:rsid w:val="016C8D9B"/>
    <w:rsid w:val="01C3B64E"/>
    <w:rsid w:val="029C8734"/>
    <w:rsid w:val="02F46FCE"/>
    <w:rsid w:val="03F011F2"/>
    <w:rsid w:val="04147756"/>
    <w:rsid w:val="04B85484"/>
    <w:rsid w:val="053797A7"/>
    <w:rsid w:val="0894A3BA"/>
    <w:rsid w:val="0A9EA38D"/>
    <w:rsid w:val="0B96A20D"/>
    <w:rsid w:val="0C79E7B2"/>
    <w:rsid w:val="0E1F8499"/>
    <w:rsid w:val="0F268F1F"/>
    <w:rsid w:val="100071BB"/>
    <w:rsid w:val="108E6945"/>
    <w:rsid w:val="12C9B257"/>
    <w:rsid w:val="138FE9CB"/>
    <w:rsid w:val="146058E3"/>
    <w:rsid w:val="183E438E"/>
    <w:rsid w:val="18446D61"/>
    <w:rsid w:val="1AACEA66"/>
    <w:rsid w:val="1B451044"/>
    <w:rsid w:val="1BD97D00"/>
    <w:rsid w:val="1CAC50AB"/>
    <w:rsid w:val="22932BC6"/>
    <w:rsid w:val="23674E63"/>
    <w:rsid w:val="25A57348"/>
    <w:rsid w:val="26F4B2B0"/>
    <w:rsid w:val="2715C457"/>
    <w:rsid w:val="296C0815"/>
    <w:rsid w:val="29B4F840"/>
    <w:rsid w:val="29C4C166"/>
    <w:rsid w:val="2A8D4C8D"/>
    <w:rsid w:val="2B4ED824"/>
    <w:rsid w:val="2BC825CD"/>
    <w:rsid w:val="2C4B2211"/>
    <w:rsid w:val="2C8553D4"/>
    <w:rsid w:val="31384F6A"/>
    <w:rsid w:val="3153F5EB"/>
    <w:rsid w:val="315A3EEF"/>
    <w:rsid w:val="32EFBA96"/>
    <w:rsid w:val="338F7389"/>
    <w:rsid w:val="3684B791"/>
    <w:rsid w:val="39099F42"/>
    <w:rsid w:val="39BB08D6"/>
    <w:rsid w:val="3B9695E6"/>
    <w:rsid w:val="3D99B62F"/>
    <w:rsid w:val="3DE42A53"/>
    <w:rsid w:val="3FB15977"/>
    <w:rsid w:val="3FFF3C23"/>
    <w:rsid w:val="4035C2E8"/>
    <w:rsid w:val="4088B708"/>
    <w:rsid w:val="42449747"/>
    <w:rsid w:val="42AB1458"/>
    <w:rsid w:val="43433836"/>
    <w:rsid w:val="456A2768"/>
    <w:rsid w:val="467147D1"/>
    <w:rsid w:val="4871B944"/>
    <w:rsid w:val="48781559"/>
    <w:rsid w:val="4A66626F"/>
    <w:rsid w:val="4CD67E5D"/>
    <w:rsid w:val="4DBB6A9E"/>
    <w:rsid w:val="4E34E5ED"/>
    <w:rsid w:val="51752A15"/>
    <w:rsid w:val="523852D0"/>
    <w:rsid w:val="5363C440"/>
    <w:rsid w:val="542344AE"/>
    <w:rsid w:val="5473E80B"/>
    <w:rsid w:val="547FDDE7"/>
    <w:rsid w:val="555B0D96"/>
    <w:rsid w:val="567937C7"/>
    <w:rsid w:val="59A89406"/>
    <w:rsid w:val="5A01AFE2"/>
    <w:rsid w:val="5ADE500C"/>
    <w:rsid w:val="5B88DE9E"/>
    <w:rsid w:val="5CE98ECA"/>
    <w:rsid w:val="5D1DCE2D"/>
    <w:rsid w:val="5D307376"/>
    <w:rsid w:val="5E373FDB"/>
    <w:rsid w:val="5E615F3D"/>
    <w:rsid w:val="5FB29AC1"/>
    <w:rsid w:val="63C46CD0"/>
    <w:rsid w:val="63D8D14C"/>
    <w:rsid w:val="658A18E2"/>
    <w:rsid w:val="670DC3C4"/>
    <w:rsid w:val="6933E437"/>
    <w:rsid w:val="6B5F9751"/>
    <w:rsid w:val="6C18AE2D"/>
    <w:rsid w:val="6D4AD22F"/>
    <w:rsid w:val="6D7C15F4"/>
    <w:rsid w:val="6DF75202"/>
    <w:rsid w:val="6E4F258B"/>
    <w:rsid w:val="703EA4C6"/>
    <w:rsid w:val="70C3AB07"/>
    <w:rsid w:val="71B149B9"/>
    <w:rsid w:val="73E22E9E"/>
    <w:rsid w:val="73EA6899"/>
    <w:rsid w:val="75B07244"/>
    <w:rsid w:val="76A16DAB"/>
    <w:rsid w:val="76CDF250"/>
    <w:rsid w:val="78E95D51"/>
    <w:rsid w:val="799659EA"/>
    <w:rsid w:val="7A1BA4DE"/>
    <w:rsid w:val="7C5922BD"/>
    <w:rsid w:val="7D522D5D"/>
    <w:rsid w:val="7DBBC275"/>
    <w:rsid w:val="7F768D31"/>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09EEF546-627F-451B-8ACE-FC87405F5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Ttulo1">
    <w:name w:val="heading 1"/>
    <w:basedOn w:val="Normal"/>
    <w:next w:val="Normal"/>
    <w:rsid w:val="004C4EE9"/>
    <w:pPr>
      <w:keepNext/>
      <w:numPr>
        <w:numId w:val="5"/>
      </w:numPr>
      <w:outlineLvl w:val="0"/>
    </w:pPr>
    <w:rPr>
      <w:b/>
      <w:sz w:val="28"/>
      <w:szCs w:val="20"/>
      <w:lang w:val="en-GB"/>
    </w:rPr>
  </w:style>
  <w:style w:type="paragraph" w:styleId="Ttulo2">
    <w:name w:val="heading 2"/>
    <w:basedOn w:val="Normal"/>
    <w:next w:val="Normal"/>
    <w:autoRedefine/>
    <w:rsid w:val="004C4EE9"/>
    <w:pPr>
      <w:keepNext/>
      <w:numPr>
        <w:ilvl w:val="1"/>
        <w:numId w:val="5"/>
      </w:numPr>
      <w:spacing w:before="240" w:after="60"/>
      <w:outlineLvl w:val="1"/>
    </w:pPr>
    <w:rPr>
      <w:rFonts w:cs="Arial"/>
      <w:bCs/>
      <w:iCs/>
      <w:sz w:val="22"/>
      <w:szCs w:val="22"/>
    </w:rPr>
  </w:style>
  <w:style w:type="paragraph" w:styleId="Ttulo3">
    <w:name w:val="heading 3"/>
    <w:basedOn w:val="Normal"/>
    <w:next w:val="Normal"/>
    <w:link w:val="Ttulo3Car"/>
    <w:autoRedefine/>
    <w:rsid w:val="004C4EE9"/>
    <w:pPr>
      <w:keepNext/>
      <w:numPr>
        <w:ilvl w:val="2"/>
        <w:numId w:val="5"/>
      </w:numPr>
      <w:outlineLvl w:val="2"/>
    </w:pPr>
    <w:rPr>
      <w:b/>
      <w:lang w:val="en-GB"/>
    </w:rPr>
  </w:style>
  <w:style w:type="paragraph" w:styleId="Ttulo4">
    <w:name w:val="heading 4"/>
    <w:basedOn w:val="Normal"/>
    <w:next w:val="Normal"/>
    <w:link w:val="Ttulo4Car"/>
    <w:rsid w:val="004C4EE9"/>
    <w:pPr>
      <w:keepNext/>
      <w:numPr>
        <w:ilvl w:val="3"/>
        <w:numId w:val="5"/>
      </w:numPr>
      <w:spacing w:before="240" w:after="60"/>
      <w:outlineLvl w:val="3"/>
    </w:pPr>
    <w:rPr>
      <w:b/>
      <w:bCs/>
      <w:sz w:val="28"/>
      <w:szCs w:val="28"/>
    </w:rPr>
  </w:style>
  <w:style w:type="paragraph" w:styleId="Ttulo5">
    <w:name w:val="heading 5"/>
    <w:basedOn w:val="Normal"/>
    <w:next w:val="Normal"/>
    <w:autoRedefine/>
    <w:rsid w:val="004C4EE9"/>
    <w:pPr>
      <w:keepNext/>
      <w:numPr>
        <w:ilvl w:val="4"/>
        <w:numId w:val="5"/>
      </w:numPr>
      <w:outlineLvl w:val="4"/>
    </w:pPr>
    <w:rPr>
      <w:b/>
      <w:sz w:val="20"/>
      <w:szCs w:val="20"/>
      <w:lang w:val="en-GB"/>
    </w:rPr>
  </w:style>
  <w:style w:type="paragraph" w:styleId="Ttulo6">
    <w:name w:val="heading 6"/>
    <w:basedOn w:val="Normal"/>
    <w:next w:val="Normal"/>
    <w:autoRedefine/>
    <w:rsid w:val="004C4EE9"/>
    <w:pPr>
      <w:keepNext/>
      <w:numPr>
        <w:ilvl w:val="5"/>
        <w:numId w:val="5"/>
      </w:numPr>
      <w:jc w:val="center"/>
      <w:outlineLvl w:val="5"/>
    </w:pPr>
    <w:rPr>
      <w:rFonts w:cs="Arial"/>
      <w:color w:val="000000"/>
      <w:sz w:val="22"/>
      <w:szCs w:val="22"/>
    </w:rPr>
  </w:style>
  <w:style w:type="paragraph" w:styleId="Ttulo7">
    <w:name w:val="heading 7"/>
    <w:basedOn w:val="Normal"/>
    <w:next w:val="Normal"/>
    <w:rsid w:val="004C4EE9"/>
    <w:pPr>
      <w:numPr>
        <w:ilvl w:val="6"/>
        <w:numId w:val="5"/>
      </w:numPr>
      <w:spacing w:before="240" w:after="60"/>
      <w:outlineLvl w:val="6"/>
    </w:pPr>
  </w:style>
  <w:style w:type="paragraph" w:styleId="Ttulo8">
    <w:name w:val="heading 8"/>
    <w:basedOn w:val="Normal"/>
    <w:next w:val="Normal"/>
    <w:rsid w:val="004C4EE9"/>
    <w:pPr>
      <w:numPr>
        <w:ilvl w:val="7"/>
        <w:numId w:val="5"/>
      </w:numPr>
      <w:spacing w:before="240" w:after="60"/>
      <w:outlineLvl w:val="7"/>
    </w:pPr>
    <w:rPr>
      <w:i/>
      <w:iCs/>
    </w:rPr>
  </w:style>
  <w:style w:type="paragraph" w:styleId="Ttulo9">
    <w:name w:val="heading 9"/>
    <w:basedOn w:val="Normal"/>
    <w:next w:val="Normal"/>
    <w:rsid w:val="004C4EE9"/>
    <w:pPr>
      <w:numPr>
        <w:ilvl w:val="8"/>
        <w:numId w:val="5"/>
      </w:numPr>
      <w:spacing w:before="240" w:after="60"/>
      <w:outlineLvl w:val="8"/>
    </w:pPr>
    <w:rPr>
      <w:rFonts w:ascii="Arial" w:hAnsi="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convietas">
    <w:name w:val="List Bullet"/>
    <w:basedOn w:val="Normal"/>
    <w:autoRedefine/>
    <w:rsid w:val="00A55E36"/>
    <w:pPr>
      <w:numPr>
        <w:numId w:val="3"/>
      </w:numPr>
    </w:pPr>
  </w:style>
  <w:style w:type="character" w:customStyle="1" w:styleId="texto">
    <w:name w:val="texto"/>
    <w:basedOn w:val="Fuentedeprrafopredeter"/>
    <w:rsid w:val="00A6457C"/>
  </w:style>
  <w:style w:type="character" w:styleId="Refdecomentario">
    <w:name w:val="annotation reference"/>
    <w:basedOn w:val="Fuentedeprrafopredeter"/>
    <w:uiPriority w:val="99"/>
    <w:semiHidden/>
    <w:unhideWhenUsed/>
    <w:rPr>
      <w:sz w:val="16"/>
      <w:szCs w:val="16"/>
    </w:rPr>
  </w:style>
  <w:style w:type="paragraph" w:styleId="Textocomentario">
    <w:name w:val="annotation text"/>
    <w:basedOn w:val="Normal"/>
    <w:link w:val="TextocomentarioCar"/>
    <w:uiPriority w:val="99"/>
    <w:semiHidden/>
    <w:unhideWhenUsed/>
    <w:rPr>
      <w:sz w:val="20"/>
      <w:szCs w:val="20"/>
    </w:rPr>
  </w:style>
  <w:style w:type="character" w:customStyle="1" w:styleId="SWCBulletedListCar">
    <w:name w:val="SWC_BulletedList Car"/>
    <w:basedOn w:val="Fuentedeprrafopredeter"/>
    <w:link w:val="SWCBulletedList"/>
    <w:rsid w:val="009F6AF8"/>
    <w:rPr>
      <w:rFonts w:cs="Minion Pro"/>
      <w:color w:val="000000"/>
      <w:szCs w:val="22"/>
      <w:lang w:val="en-US" w:eastAsia="de-DE"/>
    </w:rPr>
  </w:style>
  <w:style w:type="paragraph" w:customStyle="1" w:styleId="SWCBulletedList">
    <w:name w:val="SWC_BulletedList"/>
    <w:link w:val="SWCBulletedListCar"/>
    <w:qFormat/>
    <w:rsid w:val="009F6AF8"/>
    <w:pPr>
      <w:numPr>
        <w:numId w:val="4"/>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link w:val="SWCTextCar"/>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Fuentedeprrafopredeter"/>
    <w:link w:val="CPV-7Heading1Character"/>
    <w:rsid w:val="00FE2ADC"/>
    <w:rPr>
      <w:b/>
      <w:color w:val="000000"/>
      <w:sz w:val="22"/>
      <w:szCs w:val="24"/>
      <w:lang w:val="en-US" w:eastAsia="de-DE" w:bidi="ar-SA"/>
    </w:rPr>
  </w:style>
  <w:style w:type="paragraph" w:customStyle="1" w:styleId="SWCHeading11">
    <w:name w:val="SWC_Heading1.1"/>
    <w:basedOn w:val="SWCHeading1"/>
    <w:next w:val="SWCText"/>
    <w:qFormat/>
    <w:rsid w:val="00623810"/>
    <w:pPr>
      <w:numPr>
        <w:numId w:val="0"/>
      </w:numPr>
      <w:spacing w:before="160" w:after="80" w:line="240" w:lineRule="exact"/>
      <w:jc w:val="left"/>
    </w:pPr>
    <w:rPr>
      <w:b w:val="0"/>
      <w:i/>
      <w:szCs w:val="22"/>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ipervnculo">
    <w:name w:val="Hyperlink"/>
    <w:basedOn w:val="Fuentedeprrafopredeter"/>
    <w:rsid w:val="005D5CF6"/>
    <w:rPr>
      <w:color w:val="0000FF"/>
      <w:u w:val="single"/>
    </w:rPr>
  </w:style>
  <w:style w:type="paragraph" w:styleId="Textodeglobo">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aconcuadrcula">
    <w:name w:val="Table Grid"/>
    <w:basedOn w:val="Tabla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Fuentedeprrafopredeter"/>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SWCText"/>
    <w:link w:val="SWCHeading1Car"/>
    <w:qFormat/>
    <w:rsid w:val="00E45260"/>
    <w:pPr>
      <w:numPr>
        <w:numId w:val="6"/>
      </w:numPr>
      <w:spacing w:before="360" w:after="120" w:line="280" w:lineRule="exact"/>
      <w:jc w:val="center"/>
    </w:pPr>
    <w:rPr>
      <w:rFonts w:ascii="Arial" w:hAnsi="Arial"/>
      <w:b/>
      <w:color w:val="000000" w:themeColor="text1"/>
      <w:szCs w:val="24"/>
      <w:lang w:val="en-GB"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Textonotapie">
    <w:name w:val="footnote text"/>
    <w:basedOn w:val="Normal"/>
    <w:semiHidden/>
    <w:rsid w:val="003869E8"/>
    <w:rPr>
      <w:sz w:val="20"/>
      <w:szCs w:val="20"/>
    </w:rPr>
  </w:style>
  <w:style w:type="character" w:styleId="Refdenotaalpie">
    <w:name w:val="footnote reference"/>
    <w:basedOn w:val="Fuentedeprrafopredeter"/>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Fuentedeprrafopredeter"/>
    <w:link w:val="SWCHeading1"/>
    <w:rsid w:val="00E45260"/>
    <w:rPr>
      <w:rFonts w:ascii="Arial" w:hAnsi="Arial"/>
      <w:b/>
      <w:color w:val="000000" w:themeColor="text1"/>
      <w:szCs w:val="24"/>
      <w:lang w:val="en-GB"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Textodelmarcadordeposicin">
    <w:name w:val="Placeholder Text"/>
    <w:basedOn w:val="Fuentedeprrafopredeter"/>
    <w:uiPriority w:val="99"/>
    <w:semiHidden/>
    <w:rsid w:val="00653551"/>
    <w:rPr>
      <w:color w:val="808080"/>
    </w:rPr>
  </w:style>
  <w:style w:type="character" w:customStyle="1" w:styleId="NichtaufgelsteErwhnung1">
    <w:name w:val="Nicht aufgelöste Erwähnung1"/>
    <w:basedOn w:val="Fuentedeprrafopredeter"/>
    <w:uiPriority w:val="99"/>
    <w:semiHidden/>
    <w:unhideWhenUsed/>
    <w:rsid w:val="00E218E2"/>
    <w:rPr>
      <w:color w:val="605E5C"/>
      <w:shd w:val="clear" w:color="auto" w:fill="E1DFDD"/>
    </w:rPr>
  </w:style>
  <w:style w:type="paragraph" w:styleId="Revisin">
    <w:name w:val="Revision"/>
    <w:hidden/>
    <w:uiPriority w:val="99"/>
    <w:semiHidden/>
    <w:rsid w:val="00FA4DF8"/>
    <w:rPr>
      <w:sz w:val="24"/>
      <w:szCs w:val="24"/>
      <w:lang w:val="de-DE" w:eastAsia="de-DE"/>
    </w:rPr>
  </w:style>
  <w:style w:type="character" w:styleId="Mencinsinresolver">
    <w:name w:val="Unresolved Mention"/>
    <w:basedOn w:val="Fuentedeprrafopredeter"/>
    <w:uiPriority w:val="99"/>
    <w:semiHidden/>
    <w:unhideWhenUsed/>
    <w:rsid w:val="00DA1611"/>
    <w:rPr>
      <w:color w:val="605E5C"/>
      <w:shd w:val="clear" w:color="auto" w:fill="E1DFDD"/>
    </w:rPr>
  </w:style>
  <w:style w:type="paragraph" w:customStyle="1" w:styleId="Bullet">
    <w:name w:val="Bullet"/>
    <w:basedOn w:val="SWCText"/>
    <w:link w:val="BulletCar"/>
    <w:qFormat/>
    <w:rsid w:val="006D1C4C"/>
    <w:pPr>
      <w:numPr>
        <w:numId w:val="30"/>
      </w:numPr>
      <w:tabs>
        <w:tab w:val="clear" w:pos="720"/>
        <w:tab w:val="num" w:pos="284"/>
      </w:tabs>
      <w:spacing w:after="0"/>
      <w:ind w:left="284" w:hanging="218"/>
    </w:pPr>
    <w:rPr>
      <w:lang w:val="en-GB"/>
    </w:rPr>
  </w:style>
  <w:style w:type="character" w:customStyle="1" w:styleId="SWCTextCar">
    <w:name w:val="SWC_Text Car"/>
    <w:basedOn w:val="Fuentedeprrafopredeter"/>
    <w:link w:val="SWCText"/>
    <w:rsid w:val="00204738"/>
    <w:rPr>
      <w:color w:val="000000"/>
      <w:szCs w:val="22"/>
      <w:lang w:val="en-US" w:eastAsia="de-DE"/>
    </w:rPr>
  </w:style>
  <w:style w:type="character" w:customStyle="1" w:styleId="BulletCar">
    <w:name w:val="Bullet Car"/>
    <w:basedOn w:val="SWCTextCar"/>
    <w:link w:val="Bullet"/>
    <w:rsid w:val="006D1C4C"/>
    <w:rPr>
      <w:color w:val="000000"/>
      <w:szCs w:val="22"/>
      <w:lang w:val="en-GB" w:eastAsia="de-DE"/>
    </w:rPr>
  </w:style>
  <w:style w:type="paragraph" w:styleId="Descripcin">
    <w:name w:val="caption"/>
    <w:basedOn w:val="Normal"/>
    <w:next w:val="Normal"/>
    <w:uiPriority w:val="35"/>
    <w:unhideWhenUsed/>
    <w:qFormat/>
    <w:rsid w:val="00E13251"/>
    <w:pPr>
      <w:spacing w:after="200"/>
    </w:pPr>
    <w:rPr>
      <w:i/>
      <w:iCs/>
      <w:color w:val="17406D" w:themeColor="text2"/>
      <w:sz w:val="18"/>
      <w:szCs w:val="18"/>
    </w:rPr>
  </w:style>
  <w:style w:type="character" w:customStyle="1" w:styleId="Ttulo3Car">
    <w:name w:val="Título 3 Car"/>
    <w:basedOn w:val="Fuentedeprrafopredeter"/>
    <w:link w:val="Ttulo3"/>
    <w:rsid w:val="003C7BF3"/>
    <w:rPr>
      <w:b/>
      <w:sz w:val="24"/>
      <w:szCs w:val="24"/>
      <w:lang w:val="en-GB" w:eastAsia="de-DE"/>
    </w:rPr>
  </w:style>
  <w:style w:type="character" w:customStyle="1" w:styleId="Ttulo4Car">
    <w:name w:val="Título 4 Car"/>
    <w:basedOn w:val="Fuentedeprrafopredeter"/>
    <w:link w:val="Ttulo4"/>
    <w:rsid w:val="003C7BF3"/>
    <w:rPr>
      <w:b/>
      <w:bCs/>
      <w:sz w:val="28"/>
      <w:szCs w:val="28"/>
      <w:lang w:val="de-DE" w:eastAsia="de-DE"/>
    </w:rPr>
  </w:style>
  <w:style w:type="character" w:customStyle="1" w:styleId="TextocomentarioCar">
    <w:name w:val="Texto comentario Car"/>
    <w:basedOn w:val="Fuentedeprrafopredeter"/>
    <w:link w:val="Textocomentario"/>
    <w:uiPriority w:val="99"/>
    <w:semiHidden/>
    <w:rsid w:val="003C7BF3"/>
    <w:rPr>
      <w:lang w:val="de-DE" w:eastAsia="de-DE"/>
    </w:rPr>
  </w:style>
  <w:style w:type="paragraph" w:styleId="Prrafodelista">
    <w:name w:val="List Paragraph"/>
    <w:basedOn w:val="Normal"/>
    <w:uiPriority w:val="34"/>
    <w:rsid w:val="00E765BA"/>
    <w:pPr>
      <w:ind w:left="720"/>
      <w:contextualSpacing/>
    </w:pPr>
  </w:style>
  <w:style w:type="paragraph" w:styleId="NormalWeb">
    <w:name w:val="Normal (Web)"/>
    <w:basedOn w:val="Normal"/>
    <w:uiPriority w:val="99"/>
    <w:semiHidden/>
    <w:unhideWhenUsed/>
    <w:rsid w:val="00F93CD9"/>
    <w:pPr>
      <w:spacing w:before="100" w:beforeAutospacing="1" w:after="100" w:afterAutospacing="1"/>
    </w:pPr>
    <w:rPr>
      <w:lang w:val="es-ES" w:eastAsia="es-ES"/>
    </w:rPr>
  </w:style>
  <w:style w:type="paragraph" w:styleId="Encabezado">
    <w:name w:val="header"/>
    <w:basedOn w:val="Normal"/>
    <w:link w:val="EncabezadoCar"/>
    <w:uiPriority w:val="99"/>
    <w:unhideWhenUsed/>
    <w:rsid w:val="00E34156"/>
    <w:pPr>
      <w:tabs>
        <w:tab w:val="center" w:pos="4252"/>
        <w:tab w:val="right" w:pos="8504"/>
      </w:tabs>
    </w:pPr>
  </w:style>
  <w:style w:type="character" w:customStyle="1" w:styleId="EncabezadoCar">
    <w:name w:val="Encabezado Car"/>
    <w:basedOn w:val="Fuentedeprrafopredeter"/>
    <w:link w:val="Encabezado"/>
    <w:uiPriority w:val="99"/>
    <w:rsid w:val="00E34156"/>
    <w:rPr>
      <w:sz w:val="24"/>
      <w:szCs w:val="24"/>
      <w:lang w:val="de-DE" w:eastAsia="de-DE"/>
    </w:rPr>
  </w:style>
  <w:style w:type="paragraph" w:styleId="Piedepgina">
    <w:name w:val="footer"/>
    <w:basedOn w:val="Normal"/>
    <w:link w:val="PiedepginaCar"/>
    <w:uiPriority w:val="99"/>
    <w:unhideWhenUsed/>
    <w:rsid w:val="00E34156"/>
    <w:pPr>
      <w:tabs>
        <w:tab w:val="center" w:pos="4252"/>
        <w:tab w:val="right" w:pos="8504"/>
      </w:tabs>
    </w:pPr>
  </w:style>
  <w:style w:type="character" w:customStyle="1" w:styleId="PiedepginaCar">
    <w:name w:val="Pie de página Car"/>
    <w:basedOn w:val="Fuentedeprrafopredeter"/>
    <w:link w:val="Piedepgina"/>
    <w:uiPriority w:val="99"/>
    <w:rsid w:val="00E34156"/>
    <w:rPr>
      <w:sz w:val="24"/>
      <w:szCs w:val="24"/>
      <w:lang w:val="de-DE" w:eastAsia="de-DE"/>
    </w:rPr>
  </w:style>
  <w:style w:type="character" w:customStyle="1" w:styleId="CommentReference">
    <w:name w:val="Comment Reference"/>
    <w:basedOn w:val="Fuentedeprrafopredeter"/>
    <w:semiHidden/>
    <w:rsid w:val="00EA681D"/>
    <w:rPr>
      <w:sz w:val="16"/>
      <w:szCs w:val="16"/>
    </w:rPr>
  </w:style>
  <w:style w:type="paragraph" w:customStyle="1" w:styleId="CommentText">
    <w:name w:val="Comment Text"/>
    <w:basedOn w:val="Normal"/>
    <w:link w:val="CommentTextChar"/>
    <w:semiHidden/>
    <w:rsid w:val="00EA681D"/>
    <w:rPr>
      <w:sz w:val="20"/>
      <w:szCs w:val="20"/>
    </w:rPr>
  </w:style>
  <w:style w:type="paragraph" w:customStyle="1" w:styleId="CommentSubject">
    <w:name w:val="Comment Subject"/>
    <w:basedOn w:val="CommentText"/>
    <w:next w:val="CommentText"/>
    <w:semiHidden/>
    <w:rsid w:val="00EA681D"/>
    <w:rPr>
      <w:b/>
      <w:bCs/>
    </w:rPr>
  </w:style>
  <w:style w:type="character" w:customStyle="1" w:styleId="CommentTextChar">
    <w:name w:val="Comment Text Char"/>
    <w:basedOn w:val="Fuentedeprrafopredeter"/>
    <w:link w:val="CommentText"/>
    <w:semiHidden/>
    <w:rsid w:val="00EA681D"/>
    <w:rPr>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314">
      <w:marLeft w:val="480"/>
      <w:marRight w:val="0"/>
      <w:marTop w:val="0"/>
      <w:marBottom w:val="0"/>
      <w:divBdr>
        <w:top w:val="none" w:sz="0" w:space="0" w:color="auto"/>
        <w:left w:val="none" w:sz="0" w:space="0" w:color="auto"/>
        <w:bottom w:val="none" w:sz="0" w:space="0" w:color="auto"/>
        <w:right w:val="none" w:sz="0" w:space="0" w:color="auto"/>
      </w:divBdr>
    </w:div>
    <w:div w:id="13506713">
      <w:marLeft w:val="480"/>
      <w:marRight w:val="0"/>
      <w:marTop w:val="0"/>
      <w:marBottom w:val="0"/>
      <w:divBdr>
        <w:top w:val="none" w:sz="0" w:space="0" w:color="auto"/>
        <w:left w:val="none" w:sz="0" w:space="0" w:color="auto"/>
        <w:bottom w:val="none" w:sz="0" w:space="0" w:color="auto"/>
        <w:right w:val="none" w:sz="0" w:space="0" w:color="auto"/>
      </w:divBdr>
    </w:div>
    <w:div w:id="28409810">
      <w:marLeft w:val="480"/>
      <w:marRight w:val="0"/>
      <w:marTop w:val="0"/>
      <w:marBottom w:val="0"/>
      <w:divBdr>
        <w:top w:val="none" w:sz="0" w:space="0" w:color="auto"/>
        <w:left w:val="none" w:sz="0" w:space="0" w:color="auto"/>
        <w:bottom w:val="none" w:sz="0" w:space="0" w:color="auto"/>
        <w:right w:val="none" w:sz="0" w:space="0" w:color="auto"/>
      </w:divBdr>
    </w:div>
    <w:div w:id="33122930">
      <w:marLeft w:val="480"/>
      <w:marRight w:val="0"/>
      <w:marTop w:val="0"/>
      <w:marBottom w:val="0"/>
      <w:divBdr>
        <w:top w:val="none" w:sz="0" w:space="0" w:color="auto"/>
        <w:left w:val="none" w:sz="0" w:space="0" w:color="auto"/>
        <w:bottom w:val="none" w:sz="0" w:space="0" w:color="auto"/>
        <w:right w:val="none" w:sz="0" w:space="0" w:color="auto"/>
      </w:divBdr>
    </w:div>
    <w:div w:id="35356255">
      <w:marLeft w:val="480"/>
      <w:marRight w:val="0"/>
      <w:marTop w:val="0"/>
      <w:marBottom w:val="0"/>
      <w:divBdr>
        <w:top w:val="none" w:sz="0" w:space="0" w:color="auto"/>
        <w:left w:val="none" w:sz="0" w:space="0" w:color="auto"/>
        <w:bottom w:val="none" w:sz="0" w:space="0" w:color="auto"/>
        <w:right w:val="none" w:sz="0" w:space="0" w:color="auto"/>
      </w:divBdr>
    </w:div>
    <w:div w:id="36586703">
      <w:marLeft w:val="480"/>
      <w:marRight w:val="0"/>
      <w:marTop w:val="0"/>
      <w:marBottom w:val="0"/>
      <w:divBdr>
        <w:top w:val="none" w:sz="0" w:space="0" w:color="auto"/>
        <w:left w:val="none" w:sz="0" w:space="0" w:color="auto"/>
        <w:bottom w:val="none" w:sz="0" w:space="0" w:color="auto"/>
        <w:right w:val="none" w:sz="0" w:space="0" w:color="auto"/>
      </w:divBdr>
    </w:div>
    <w:div w:id="39747207">
      <w:marLeft w:val="480"/>
      <w:marRight w:val="0"/>
      <w:marTop w:val="0"/>
      <w:marBottom w:val="0"/>
      <w:divBdr>
        <w:top w:val="none" w:sz="0" w:space="0" w:color="auto"/>
        <w:left w:val="none" w:sz="0" w:space="0" w:color="auto"/>
        <w:bottom w:val="none" w:sz="0" w:space="0" w:color="auto"/>
        <w:right w:val="none" w:sz="0" w:space="0" w:color="auto"/>
      </w:divBdr>
    </w:div>
    <w:div w:id="42289259">
      <w:marLeft w:val="480"/>
      <w:marRight w:val="0"/>
      <w:marTop w:val="0"/>
      <w:marBottom w:val="0"/>
      <w:divBdr>
        <w:top w:val="none" w:sz="0" w:space="0" w:color="auto"/>
        <w:left w:val="none" w:sz="0" w:space="0" w:color="auto"/>
        <w:bottom w:val="none" w:sz="0" w:space="0" w:color="auto"/>
        <w:right w:val="none" w:sz="0" w:space="0" w:color="auto"/>
      </w:divBdr>
    </w:div>
    <w:div w:id="42752041">
      <w:marLeft w:val="480"/>
      <w:marRight w:val="0"/>
      <w:marTop w:val="0"/>
      <w:marBottom w:val="0"/>
      <w:divBdr>
        <w:top w:val="none" w:sz="0" w:space="0" w:color="auto"/>
        <w:left w:val="none" w:sz="0" w:space="0" w:color="auto"/>
        <w:bottom w:val="none" w:sz="0" w:space="0" w:color="auto"/>
        <w:right w:val="none" w:sz="0" w:space="0" w:color="auto"/>
      </w:divBdr>
    </w:div>
    <w:div w:id="47919406">
      <w:marLeft w:val="480"/>
      <w:marRight w:val="0"/>
      <w:marTop w:val="0"/>
      <w:marBottom w:val="0"/>
      <w:divBdr>
        <w:top w:val="none" w:sz="0" w:space="0" w:color="auto"/>
        <w:left w:val="none" w:sz="0" w:space="0" w:color="auto"/>
        <w:bottom w:val="none" w:sz="0" w:space="0" w:color="auto"/>
        <w:right w:val="none" w:sz="0" w:space="0" w:color="auto"/>
      </w:divBdr>
    </w:div>
    <w:div w:id="52849581">
      <w:marLeft w:val="480"/>
      <w:marRight w:val="0"/>
      <w:marTop w:val="0"/>
      <w:marBottom w:val="0"/>
      <w:divBdr>
        <w:top w:val="none" w:sz="0" w:space="0" w:color="auto"/>
        <w:left w:val="none" w:sz="0" w:space="0" w:color="auto"/>
        <w:bottom w:val="none" w:sz="0" w:space="0" w:color="auto"/>
        <w:right w:val="none" w:sz="0" w:space="0" w:color="auto"/>
      </w:divBdr>
    </w:div>
    <w:div w:id="54935869">
      <w:marLeft w:val="480"/>
      <w:marRight w:val="0"/>
      <w:marTop w:val="0"/>
      <w:marBottom w:val="0"/>
      <w:divBdr>
        <w:top w:val="none" w:sz="0" w:space="0" w:color="auto"/>
        <w:left w:val="none" w:sz="0" w:space="0" w:color="auto"/>
        <w:bottom w:val="none" w:sz="0" w:space="0" w:color="auto"/>
        <w:right w:val="none" w:sz="0" w:space="0" w:color="auto"/>
      </w:divBdr>
    </w:div>
    <w:div w:id="62024956">
      <w:marLeft w:val="480"/>
      <w:marRight w:val="0"/>
      <w:marTop w:val="0"/>
      <w:marBottom w:val="0"/>
      <w:divBdr>
        <w:top w:val="none" w:sz="0" w:space="0" w:color="auto"/>
        <w:left w:val="none" w:sz="0" w:space="0" w:color="auto"/>
        <w:bottom w:val="none" w:sz="0" w:space="0" w:color="auto"/>
        <w:right w:val="none" w:sz="0" w:space="0" w:color="auto"/>
      </w:divBdr>
    </w:div>
    <w:div w:id="65958072">
      <w:marLeft w:val="480"/>
      <w:marRight w:val="0"/>
      <w:marTop w:val="0"/>
      <w:marBottom w:val="0"/>
      <w:divBdr>
        <w:top w:val="none" w:sz="0" w:space="0" w:color="auto"/>
        <w:left w:val="none" w:sz="0" w:space="0" w:color="auto"/>
        <w:bottom w:val="none" w:sz="0" w:space="0" w:color="auto"/>
        <w:right w:val="none" w:sz="0" w:space="0" w:color="auto"/>
      </w:divBdr>
    </w:div>
    <w:div w:id="75053034">
      <w:marLeft w:val="480"/>
      <w:marRight w:val="0"/>
      <w:marTop w:val="0"/>
      <w:marBottom w:val="0"/>
      <w:divBdr>
        <w:top w:val="none" w:sz="0" w:space="0" w:color="auto"/>
        <w:left w:val="none" w:sz="0" w:space="0" w:color="auto"/>
        <w:bottom w:val="none" w:sz="0" w:space="0" w:color="auto"/>
        <w:right w:val="none" w:sz="0" w:space="0" w:color="auto"/>
      </w:divBdr>
    </w:div>
    <w:div w:id="78715487">
      <w:marLeft w:val="480"/>
      <w:marRight w:val="0"/>
      <w:marTop w:val="0"/>
      <w:marBottom w:val="0"/>
      <w:divBdr>
        <w:top w:val="none" w:sz="0" w:space="0" w:color="auto"/>
        <w:left w:val="none" w:sz="0" w:space="0" w:color="auto"/>
        <w:bottom w:val="none" w:sz="0" w:space="0" w:color="auto"/>
        <w:right w:val="none" w:sz="0" w:space="0" w:color="auto"/>
      </w:divBdr>
    </w:div>
    <w:div w:id="79185649">
      <w:marLeft w:val="480"/>
      <w:marRight w:val="0"/>
      <w:marTop w:val="0"/>
      <w:marBottom w:val="0"/>
      <w:divBdr>
        <w:top w:val="none" w:sz="0" w:space="0" w:color="auto"/>
        <w:left w:val="none" w:sz="0" w:space="0" w:color="auto"/>
        <w:bottom w:val="none" w:sz="0" w:space="0" w:color="auto"/>
        <w:right w:val="none" w:sz="0" w:space="0" w:color="auto"/>
      </w:divBdr>
    </w:div>
    <w:div w:id="83111270">
      <w:marLeft w:val="480"/>
      <w:marRight w:val="0"/>
      <w:marTop w:val="0"/>
      <w:marBottom w:val="0"/>
      <w:divBdr>
        <w:top w:val="none" w:sz="0" w:space="0" w:color="auto"/>
        <w:left w:val="none" w:sz="0" w:space="0" w:color="auto"/>
        <w:bottom w:val="none" w:sz="0" w:space="0" w:color="auto"/>
        <w:right w:val="none" w:sz="0" w:space="0" w:color="auto"/>
      </w:divBdr>
    </w:div>
    <w:div w:id="89931804">
      <w:marLeft w:val="480"/>
      <w:marRight w:val="0"/>
      <w:marTop w:val="0"/>
      <w:marBottom w:val="0"/>
      <w:divBdr>
        <w:top w:val="none" w:sz="0" w:space="0" w:color="auto"/>
        <w:left w:val="none" w:sz="0" w:space="0" w:color="auto"/>
        <w:bottom w:val="none" w:sz="0" w:space="0" w:color="auto"/>
        <w:right w:val="none" w:sz="0" w:space="0" w:color="auto"/>
      </w:divBdr>
    </w:div>
    <w:div w:id="100300164">
      <w:marLeft w:val="480"/>
      <w:marRight w:val="0"/>
      <w:marTop w:val="0"/>
      <w:marBottom w:val="0"/>
      <w:divBdr>
        <w:top w:val="none" w:sz="0" w:space="0" w:color="auto"/>
        <w:left w:val="none" w:sz="0" w:space="0" w:color="auto"/>
        <w:bottom w:val="none" w:sz="0" w:space="0" w:color="auto"/>
        <w:right w:val="none" w:sz="0" w:space="0" w:color="auto"/>
      </w:divBdr>
    </w:div>
    <w:div w:id="103768153">
      <w:marLeft w:val="480"/>
      <w:marRight w:val="0"/>
      <w:marTop w:val="0"/>
      <w:marBottom w:val="0"/>
      <w:divBdr>
        <w:top w:val="none" w:sz="0" w:space="0" w:color="auto"/>
        <w:left w:val="none" w:sz="0" w:space="0" w:color="auto"/>
        <w:bottom w:val="none" w:sz="0" w:space="0" w:color="auto"/>
        <w:right w:val="none" w:sz="0" w:space="0" w:color="auto"/>
      </w:divBdr>
    </w:div>
    <w:div w:id="104812703">
      <w:marLeft w:val="480"/>
      <w:marRight w:val="0"/>
      <w:marTop w:val="0"/>
      <w:marBottom w:val="0"/>
      <w:divBdr>
        <w:top w:val="none" w:sz="0" w:space="0" w:color="auto"/>
        <w:left w:val="none" w:sz="0" w:space="0" w:color="auto"/>
        <w:bottom w:val="none" w:sz="0" w:space="0" w:color="auto"/>
        <w:right w:val="none" w:sz="0" w:space="0" w:color="auto"/>
      </w:divBdr>
    </w:div>
    <w:div w:id="108858982">
      <w:marLeft w:val="480"/>
      <w:marRight w:val="0"/>
      <w:marTop w:val="0"/>
      <w:marBottom w:val="0"/>
      <w:divBdr>
        <w:top w:val="none" w:sz="0" w:space="0" w:color="auto"/>
        <w:left w:val="none" w:sz="0" w:space="0" w:color="auto"/>
        <w:bottom w:val="none" w:sz="0" w:space="0" w:color="auto"/>
        <w:right w:val="none" w:sz="0" w:space="0" w:color="auto"/>
      </w:divBdr>
    </w:div>
    <w:div w:id="111175197">
      <w:marLeft w:val="480"/>
      <w:marRight w:val="0"/>
      <w:marTop w:val="0"/>
      <w:marBottom w:val="0"/>
      <w:divBdr>
        <w:top w:val="none" w:sz="0" w:space="0" w:color="auto"/>
        <w:left w:val="none" w:sz="0" w:space="0" w:color="auto"/>
        <w:bottom w:val="none" w:sz="0" w:space="0" w:color="auto"/>
        <w:right w:val="none" w:sz="0" w:space="0" w:color="auto"/>
      </w:divBdr>
    </w:div>
    <w:div w:id="145900307">
      <w:marLeft w:val="480"/>
      <w:marRight w:val="0"/>
      <w:marTop w:val="0"/>
      <w:marBottom w:val="0"/>
      <w:divBdr>
        <w:top w:val="none" w:sz="0" w:space="0" w:color="auto"/>
        <w:left w:val="none" w:sz="0" w:space="0" w:color="auto"/>
        <w:bottom w:val="none" w:sz="0" w:space="0" w:color="auto"/>
        <w:right w:val="none" w:sz="0" w:space="0" w:color="auto"/>
      </w:divBdr>
    </w:div>
    <w:div w:id="147674942">
      <w:marLeft w:val="480"/>
      <w:marRight w:val="0"/>
      <w:marTop w:val="0"/>
      <w:marBottom w:val="0"/>
      <w:divBdr>
        <w:top w:val="none" w:sz="0" w:space="0" w:color="auto"/>
        <w:left w:val="none" w:sz="0" w:space="0" w:color="auto"/>
        <w:bottom w:val="none" w:sz="0" w:space="0" w:color="auto"/>
        <w:right w:val="none" w:sz="0" w:space="0" w:color="auto"/>
      </w:divBdr>
    </w:div>
    <w:div w:id="152259377">
      <w:marLeft w:val="480"/>
      <w:marRight w:val="0"/>
      <w:marTop w:val="0"/>
      <w:marBottom w:val="0"/>
      <w:divBdr>
        <w:top w:val="none" w:sz="0" w:space="0" w:color="auto"/>
        <w:left w:val="none" w:sz="0" w:space="0" w:color="auto"/>
        <w:bottom w:val="none" w:sz="0" w:space="0" w:color="auto"/>
        <w:right w:val="none" w:sz="0" w:space="0" w:color="auto"/>
      </w:divBdr>
    </w:div>
    <w:div w:id="160589052">
      <w:marLeft w:val="480"/>
      <w:marRight w:val="0"/>
      <w:marTop w:val="0"/>
      <w:marBottom w:val="0"/>
      <w:divBdr>
        <w:top w:val="none" w:sz="0" w:space="0" w:color="auto"/>
        <w:left w:val="none" w:sz="0" w:space="0" w:color="auto"/>
        <w:bottom w:val="none" w:sz="0" w:space="0" w:color="auto"/>
        <w:right w:val="none" w:sz="0" w:space="0" w:color="auto"/>
      </w:divBdr>
    </w:div>
    <w:div w:id="166677033">
      <w:marLeft w:val="480"/>
      <w:marRight w:val="0"/>
      <w:marTop w:val="0"/>
      <w:marBottom w:val="0"/>
      <w:divBdr>
        <w:top w:val="none" w:sz="0" w:space="0" w:color="auto"/>
        <w:left w:val="none" w:sz="0" w:space="0" w:color="auto"/>
        <w:bottom w:val="none" w:sz="0" w:space="0" w:color="auto"/>
        <w:right w:val="none" w:sz="0" w:space="0" w:color="auto"/>
      </w:divBdr>
    </w:div>
    <w:div w:id="170266139">
      <w:marLeft w:val="480"/>
      <w:marRight w:val="0"/>
      <w:marTop w:val="0"/>
      <w:marBottom w:val="0"/>
      <w:divBdr>
        <w:top w:val="none" w:sz="0" w:space="0" w:color="auto"/>
        <w:left w:val="none" w:sz="0" w:space="0" w:color="auto"/>
        <w:bottom w:val="none" w:sz="0" w:space="0" w:color="auto"/>
        <w:right w:val="none" w:sz="0" w:space="0" w:color="auto"/>
      </w:divBdr>
    </w:div>
    <w:div w:id="171604244">
      <w:marLeft w:val="480"/>
      <w:marRight w:val="0"/>
      <w:marTop w:val="0"/>
      <w:marBottom w:val="0"/>
      <w:divBdr>
        <w:top w:val="none" w:sz="0" w:space="0" w:color="auto"/>
        <w:left w:val="none" w:sz="0" w:space="0" w:color="auto"/>
        <w:bottom w:val="none" w:sz="0" w:space="0" w:color="auto"/>
        <w:right w:val="none" w:sz="0" w:space="0" w:color="auto"/>
      </w:divBdr>
    </w:div>
    <w:div w:id="183835340">
      <w:marLeft w:val="480"/>
      <w:marRight w:val="0"/>
      <w:marTop w:val="0"/>
      <w:marBottom w:val="0"/>
      <w:divBdr>
        <w:top w:val="none" w:sz="0" w:space="0" w:color="auto"/>
        <w:left w:val="none" w:sz="0" w:space="0" w:color="auto"/>
        <w:bottom w:val="none" w:sz="0" w:space="0" w:color="auto"/>
        <w:right w:val="none" w:sz="0" w:space="0" w:color="auto"/>
      </w:divBdr>
    </w:div>
    <w:div w:id="191499022">
      <w:marLeft w:val="480"/>
      <w:marRight w:val="0"/>
      <w:marTop w:val="0"/>
      <w:marBottom w:val="0"/>
      <w:divBdr>
        <w:top w:val="none" w:sz="0" w:space="0" w:color="auto"/>
        <w:left w:val="none" w:sz="0" w:space="0" w:color="auto"/>
        <w:bottom w:val="none" w:sz="0" w:space="0" w:color="auto"/>
        <w:right w:val="none" w:sz="0" w:space="0" w:color="auto"/>
      </w:divBdr>
    </w:div>
    <w:div w:id="213664488">
      <w:marLeft w:val="480"/>
      <w:marRight w:val="0"/>
      <w:marTop w:val="0"/>
      <w:marBottom w:val="0"/>
      <w:divBdr>
        <w:top w:val="none" w:sz="0" w:space="0" w:color="auto"/>
        <w:left w:val="none" w:sz="0" w:space="0" w:color="auto"/>
        <w:bottom w:val="none" w:sz="0" w:space="0" w:color="auto"/>
        <w:right w:val="none" w:sz="0" w:space="0" w:color="auto"/>
      </w:divBdr>
    </w:div>
    <w:div w:id="218590399">
      <w:marLeft w:val="480"/>
      <w:marRight w:val="0"/>
      <w:marTop w:val="0"/>
      <w:marBottom w:val="0"/>
      <w:divBdr>
        <w:top w:val="none" w:sz="0" w:space="0" w:color="auto"/>
        <w:left w:val="none" w:sz="0" w:space="0" w:color="auto"/>
        <w:bottom w:val="none" w:sz="0" w:space="0" w:color="auto"/>
        <w:right w:val="none" w:sz="0" w:space="0" w:color="auto"/>
      </w:divBdr>
    </w:div>
    <w:div w:id="220217297">
      <w:marLeft w:val="480"/>
      <w:marRight w:val="0"/>
      <w:marTop w:val="0"/>
      <w:marBottom w:val="0"/>
      <w:divBdr>
        <w:top w:val="none" w:sz="0" w:space="0" w:color="auto"/>
        <w:left w:val="none" w:sz="0" w:space="0" w:color="auto"/>
        <w:bottom w:val="none" w:sz="0" w:space="0" w:color="auto"/>
        <w:right w:val="none" w:sz="0" w:space="0" w:color="auto"/>
      </w:divBdr>
    </w:div>
    <w:div w:id="235167134">
      <w:marLeft w:val="480"/>
      <w:marRight w:val="0"/>
      <w:marTop w:val="0"/>
      <w:marBottom w:val="0"/>
      <w:divBdr>
        <w:top w:val="none" w:sz="0" w:space="0" w:color="auto"/>
        <w:left w:val="none" w:sz="0" w:space="0" w:color="auto"/>
        <w:bottom w:val="none" w:sz="0" w:space="0" w:color="auto"/>
        <w:right w:val="none" w:sz="0" w:space="0" w:color="auto"/>
      </w:divBdr>
    </w:div>
    <w:div w:id="237984955">
      <w:marLeft w:val="480"/>
      <w:marRight w:val="0"/>
      <w:marTop w:val="0"/>
      <w:marBottom w:val="0"/>
      <w:divBdr>
        <w:top w:val="none" w:sz="0" w:space="0" w:color="auto"/>
        <w:left w:val="none" w:sz="0" w:space="0" w:color="auto"/>
        <w:bottom w:val="none" w:sz="0" w:space="0" w:color="auto"/>
        <w:right w:val="none" w:sz="0" w:space="0" w:color="auto"/>
      </w:divBdr>
    </w:div>
    <w:div w:id="239369814">
      <w:marLeft w:val="480"/>
      <w:marRight w:val="0"/>
      <w:marTop w:val="0"/>
      <w:marBottom w:val="0"/>
      <w:divBdr>
        <w:top w:val="none" w:sz="0" w:space="0" w:color="auto"/>
        <w:left w:val="none" w:sz="0" w:space="0" w:color="auto"/>
        <w:bottom w:val="none" w:sz="0" w:space="0" w:color="auto"/>
        <w:right w:val="none" w:sz="0" w:space="0" w:color="auto"/>
      </w:divBdr>
    </w:div>
    <w:div w:id="239560965">
      <w:marLeft w:val="480"/>
      <w:marRight w:val="0"/>
      <w:marTop w:val="0"/>
      <w:marBottom w:val="0"/>
      <w:divBdr>
        <w:top w:val="none" w:sz="0" w:space="0" w:color="auto"/>
        <w:left w:val="none" w:sz="0" w:space="0" w:color="auto"/>
        <w:bottom w:val="none" w:sz="0" w:space="0" w:color="auto"/>
        <w:right w:val="none" w:sz="0" w:space="0" w:color="auto"/>
      </w:divBdr>
    </w:div>
    <w:div w:id="249657173">
      <w:marLeft w:val="480"/>
      <w:marRight w:val="0"/>
      <w:marTop w:val="0"/>
      <w:marBottom w:val="0"/>
      <w:divBdr>
        <w:top w:val="none" w:sz="0" w:space="0" w:color="auto"/>
        <w:left w:val="none" w:sz="0" w:space="0" w:color="auto"/>
        <w:bottom w:val="none" w:sz="0" w:space="0" w:color="auto"/>
        <w:right w:val="none" w:sz="0" w:space="0" w:color="auto"/>
      </w:divBdr>
    </w:div>
    <w:div w:id="255360740">
      <w:marLeft w:val="480"/>
      <w:marRight w:val="0"/>
      <w:marTop w:val="0"/>
      <w:marBottom w:val="0"/>
      <w:divBdr>
        <w:top w:val="none" w:sz="0" w:space="0" w:color="auto"/>
        <w:left w:val="none" w:sz="0" w:space="0" w:color="auto"/>
        <w:bottom w:val="none" w:sz="0" w:space="0" w:color="auto"/>
        <w:right w:val="none" w:sz="0" w:space="0" w:color="auto"/>
      </w:divBdr>
    </w:div>
    <w:div w:id="275673399">
      <w:marLeft w:val="480"/>
      <w:marRight w:val="0"/>
      <w:marTop w:val="0"/>
      <w:marBottom w:val="0"/>
      <w:divBdr>
        <w:top w:val="none" w:sz="0" w:space="0" w:color="auto"/>
        <w:left w:val="none" w:sz="0" w:space="0" w:color="auto"/>
        <w:bottom w:val="none" w:sz="0" w:space="0" w:color="auto"/>
        <w:right w:val="none" w:sz="0" w:space="0" w:color="auto"/>
      </w:divBdr>
    </w:div>
    <w:div w:id="278076835">
      <w:marLeft w:val="480"/>
      <w:marRight w:val="0"/>
      <w:marTop w:val="0"/>
      <w:marBottom w:val="0"/>
      <w:divBdr>
        <w:top w:val="none" w:sz="0" w:space="0" w:color="auto"/>
        <w:left w:val="none" w:sz="0" w:space="0" w:color="auto"/>
        <w:bottom w:val="none" w:sz="0" w:space="0" w:color="auto"/>
        <w:right w:val="none" w:sz="0" w:space="0" w:color="auto"/>
      </w:divBdr>
    </w:div>
    <w:div w:id="279917900">
      <w:marLeft w:val="480"/>
      <w:marRight w:val="0"/>
      <w:marTop w:val="0"/>
      <w:marBottom w:val="0"/>
      <w:divBdr>
        <w:top w:val="none" w:sz="0" w:space="0" w:color="auto"/>
        <w:left w:val="none" w:sz="0" w:space="0" w:color="auto"/>
        <w:bottom w:val="none" w:sz="0" w:space="0" w:color="auto"/>
        <w:right w:val="none" w:sz="0" w:space="0" w:color="auto"/>
      </w:divBdr>
    </w:div>
    <w:div w:id="287712443">
      <w:marLeft w:val="480"/>
      <w:marRight w:val="0"/>
      <w:marTop w:val="0"/>
      <w:marBottom w:val="0"/>
      <w:divBdr>
        <w:top w:val="none" w:sz="0" w:space="0" w:color="auto"/>
        <w:left w:val="none" w:sz="0" w:space="0" w:color="auto"/>
        <w:bottom w:val="none" w:sz="0" w:space="0" w:color="auto"/>
        <w:right w:val="none" w:sz="0" w:space="0" w:color="auto"/>
      </w:divBdr>
    </w:div>
    <w:div w:id="288826328">
      <w:marLeft w:val="480"/>
      <w:marRight w:val="0"/>
      <w:marTop w:val="0"/>
      <w:marBottom w:val="0"/>
      <w:divBdr>
        <w:top w:val="none" w:sz="0" w:space="0" w:color="auto"/>
        <w:left w:val="none" w:sz="0" w:space="0" w:color="auto"/>
        <w:bottom w:val="none" w:sz="0" w:space="0" w:color="auto"/>
        <w:right w:val="none" w:sz="0" w:space="0" w:color="auto"/>
      </w:divBdr>
    </w:div>
    <w:div w:id="296498333">
      <w:marLeft w:val="480"/>
      <w:marRight w:val="0"/>
      <w:marTop w:val="0"/>
      <w:marBottom w:val="0"/>
      <w:divBdr>
        <w:top w:val="none" w:sz="0" w:space="0" w:color="auto"/>
        <w:left w:val="none" w:sz="0" w:space="0" w:color="auto"/>
        <w:bottom w:val="none" w:sz="0" w:space="0" w:color="auto"/>
        <w:right w:val="none" w:sz="0" w:space="0" w:color="auto"/>
      </w:divBdr>
    </w:div>
    <w:div w:id="303699487">
      <w:marLeft w:val="480"/>
      <w:marRight w:val="0"/>
      <w:marTop w:val="0"/>
      <w:marBottom w:val="0"/>
      <w:divBdr>
        <w:top w:val="none" w:sz="0" w:space="0" w:color="auto"/>
        <w:left w:val="none" w:sz="0" w:space="0" w:color="auto"/>
        <w:bottom w:val="none" w:sz="0" w:space="0" w:color="auto"/>
        <w:right w:val="none" w:sz="0" w:space="0" w:color="auto"/>
      </w:divBdr>
    </w:div>
    <w:div w:id="304746952">
      <w:marLeft w:val="480"/>
      <w:marRight w:val="0"/>
      <w:marTop w:val="0"/>
      <w:marBottom w:val="0"/>
      <w:divBdr>
        <w:top w:val="none" w:sz="0" w:space="0" w:color="auto"/>
        <w:left w:val="none" w:sz="0" w:space="0" w:color="auto"/>
        <w:bottom w:val="none" w:sz="0" w:space="0" w:color="auto"/>
        <w:right w:val="none" w:sz="0" w:space="0" w:color="auto"/>
      </w:divBdr>
    </w:div>
    <w:div w:id="305009410">
      <w:marLeft w:val="480"/>
      <w:marRight w:val="0"/>
      <w:marTop w:val="0"/>
      <w:marBottom w:val="0"/>
      <w:divBdr>
        <w:top w:val="none" w:sz="0" w:space="0" w:color="auto"/>
        <w:left w:val="none" w:sz="0" w:space="0" w:color="auto"/>
        <w:bottom w:val="none" w:sz="0" w:space="0" w:color="auto"/>
        <w:right w:val="none" w:sz="0" w:space="0" w:color="auto"/>
      </w:divBdr>
    </w:div>
    <w:div w:id="310839950">
      <w:marLeft w:val="480"/>
      <w:marRight w:val="0"/>
      <w:marTop w:val="0"/>
      <w:marBottom w:val="0"/>
      <w:divBdr>
        <w:top w:val="none" w:sz="0" w:space="0" w:color="auto"/>
        <w:left w:val="none" w:sz="0" w:space="0" w:color="auto"/>
        <w:bottom w:val="none" w:sz="0" w:space="0" w:color="auto"/>
        <w:right w:val="none" w:sz="0" w:space="0" w:color="auto"/>
      </w:divBdr>
    </w:div>
    <w:div w:id="312638441">
      <w:marLeft w:val="480"/>
      <w:marRight w:val="0"/>
      <w:marTop w:val="0"/>
      <w:marBottom w:val="0"/>
      <w:divBdr>
        <w:top w:val="none" w:sz="0" w:space="0" w:color="auto"/>
        <w:left w:val="none" w:sz="0" w:space="0" w:color="auto"/>
        <w:bottom w:val="none" w:sz="0" w:space="0" w:color="auto"/>
        <w:right w:val="none" w:sz="0" w:space="0" w:color="auto"/>
      </w:divBdr>
    </w:div>
    <w:div w:id="318655110">
      <w:marLeft w:val="480"/>
      <w:marRight w:val="0"/>
      <w:marTop w:val="0"/>
      <w:marBottom w:val="0"/>
      <w:divBdr>
        <w:top w:val="none" w:sz="0" w:space="0" w:color="auto"/>
        <w:left w:val="none" w:sz="0" w:space="0" w:color="auto"/>
        <w:bottom w:val="none" w:sz="0" w:space="0" w:color="auto"/>
        <w:right w:val="none" w:sz="0" w:space="0" w:color="auto"/>
      </w:divBdr>
    </w:div>
    <w:div w:id="331301737">
      <w:marLeft w:val="480"/>
      <w:marRight w:val="0"/>
      <w:marTop w:val="0"/>
      <w:marBottom w:val="0"/>
      <w:divBdr>
        <w:top w:val="none" w:sz="0" w:space="0" w:color="auto"/>
        <w:left w:val="none" w:sz="0" w:space="0" w:color="auto"/>
        <w:bottom w:val="none" w:sz="0" w:space="0" w:color="auto"/>
        <w:right w:val="none" w:sz="0" w:space="0" w:color="auto"/>
      </w:divBdr>
    </w:div>
    <w:div w:id="331955450">
      <w:marLeft w:val="480"/>
      <w:marRight w:val="0"/>
      <w:marTop w:val="0"/>
      <w:marBottom w:val="0"/>
      <w:divBdr>
        <w:top w:val="none" w:sz="0" w:space="0" w:color="auto"/>
        <w:left w:val="none" w:sz="0" w:space="0" w:color="auto"/>
        <w:bottom w:val="none" w:sz="0" w:space="0" w:color="auto"/>
        <w:right w:val="none" w:sz="0" w:space="0" w:color="auto"/>
      </w:divBdr>
    </w:div>
    <w:div w:id="342782707">
      <w:marLeft w:val="480"/>
      <w:marRight w:val="0"/>
      <w:marTop w:val="0"/>
      <w:marBottom w:val="0"/>
      <w:divBdr>
        <w:top w:val="none" w:sz="0" w:space="0" w:color="auto"/>
        <w:left w:val="none" w:sz="0" w:space="0" w:color="auto"/>
        <w:bottom w:val="none" w:sz="0" w:space="0" w:color="auto"/>
        <w:right w:val="none" w:sz="0" w:space="0" w:color="auto"/>
      </w:divBdr>
    </w:div>
    <w:div w:id="352540922">
      <w:marLeft w:val="480"/>
      <w:marRight w:val="0"/>
      <w:marTop w:val="0"/>
      <w:marBottom w:val="0"/>
      <w:divBdr>
        <w:top w:val="none" w:sz="0" w:space="0" w:color="auto"/>
        <w:left w:val="none" w:sz="0" w:space="0" w:color="auto"/>
        <w:bottom w:val="none" w:sz="0" w:space="0" w:color="auto"/>
        <w:right w:val="none" w:sz="0" w:space="0" w:color="auto"/>
      </w:divBdr>
    </w:div>
    <w:div w:id="363557852">
      <w:marLeft w:val="480"/>
      <w:marRight w:val="0"/>
      <w:marTop w:val="0"/>
      <w:marBottom w:val="0"/>
      <w:divBdr>
        <w:top w:val="none" w:sz="0" w:space="0" w:color="auto"/>
        <w:left w:val="none" w:sz="0" w:space="0" w:color="auto"/>
        <w:bottom w:val="none" w:sz="0" w:space="0" w:color="auto"/>
        <w:right w:val="none" w:sz="0" w:space="0" w:color="auto"/>
      </w:divBdr>
    </w:div>
    <w:div w:id="375545365">
      <w:marLeft w:val="480"/>
      <w:marRight w:val="0"/>
      <w:marTop w:val="0"/>
      <w:marBottom w:val="0"/>
      <w:divBdr>
        <w:top w:val="none" w:sz="0" w:space="0" w:color="auto"/>
        <w:left w:val="none" w:sz="0" w:space="0" w:color="auto"/>
        <w:bottom w:val="none" w:sz="0" w:space="0" w:color="auto"/>
        <w:right w:val="none" w:sz="0" w:space="0" w:color="auto"/>
      </w:divBdr>
    </w:div>
    <w:div w:id="379129613">
      <w:marLeft w:val="480"/>
      <w:marRight w:val="0"/>
      <w:marTop w:val="0"/>
      <w:marBottom w:val="0"/>
      <w:divBdr>
        <w:top w:val="none" w:sz="0" w:space="0" w:color="auto"/>
        <w:left w:val="none" w:sz="0" w:space="0" w:color="auto"/>
        <w:bottom w:val="none" w:sz="0" w:space="0" w:color="auto"/>
        <w:right w:val="none" w:sz="0" w:space="0" w:color="auto"/>
      </w:divBdr>
    </w:div>
    <w:div w:id="393747037">
      <w:marLeft w:val="480"/>
      <w:marRight w:val="0"/>
      <w:marTop w:val="0"/>
      <w:marBottom w:val="0"/>
      <w:divBdr>
        <w:top w:val="none" w:sz="0" w:space="0" w:color="auto"/>
        <w:left w:val="none" w:sz="0" w:space="0" w:color="auto"/>
        <w:bottom w:val="none" w:sz="0" w:space="0" w:color="auto"/>
        <w:right w:val="none" w:sz="0" w:space="0" w:color="auto"/>
      </w:divBdr>
    </w:div>
    <w:div w:id="407508062">
      <w:marLeft w:val="480"/>
      <w:marRight w:val="0"/>
      <w:marTop w:val="0"/>
      <w:marBottom w:val="0"/>
      <w:divBdr>
        <w:top w:val="none" w:sz="0" w:space="0" w:color="auto"/>
        <w:left w:val="none" w:sz="0" w:space="0" w:color="auto"/>
        <w:bottom w:val="none" w:sz="0" w:space="0" w:color="auto"/>
        <w:right w:val="none" w:sz="0" w:space="0" w:color="auto"/>
      </w:divBdr>
    </w:div>
    <w:div w:id="407967278">
      <w:marLeft w:val="480"/>
      <w:marRight w:val="0"/>
      <w:marTop w:val="0"/>
      <w:marBottom w:val="0"/>
      <w:divBdr>
        <w:top w:val="none" w:sz="0" w:space="0" w:color="auto"/>
        <w:left w:val="none" w:sz="0" w:space="0" w:color="auto"/>
        <w:bottom w:val="none" w:sz="0" w:space="0" w:color="auto"/>
        <w:right w:val="none" w:sz="0" w:space="0" w:color="auto"/>
      </w:divBdr>
    </w:div>
    <w:div w:id="409424418">
      <w:marLeft w:val="480"/>
      <w:marRight w:val="0"/>
      <w:marTop w:val="0"/>
      <w:marBottom w:val="0"/>
      <w:divBdr>
        <w:top w:val="none" w:sz="0" w:space="0" w:color="auto"/>
        <w:left w:val="none" w:sz="0" w:space="0" w:color="auto"/>
        <w:bottom w:val="none" w:sz="0" w:space="0" w:color="auto"/>
        <w:right w:val="none" w:sz="0" w:space="0" w:color="auto"/>
      </w:divBdr>
    </w:div>
    <w:div w:id="415975573">
      <w:marLeft w:val="480"/>
      <w:marRight w:val="0"/>
      <w:marTop w:val="0"/>
      <w:marBottom w:val="0"/>
      <w:divBdr>
        <w:top w:val="none" w:sz="0" w:space="0" w:color="auto"/>
        <w:left w:val="none" w:sz="0" w:space="0" w:color="auto"/>
        <w:bottom w:val="none" w:sz="0" w:space="0" w:color="auto"/>
        <w:right w:val="none" w:sz="0" w:space="0" w:color="auto"/>
      </w:divBdr>
    </w:div>
    <w:div w:id="421802034">
      <w:marLeft w:val="480"/>
      <w:marRight w:val="0"/>
      <w:marTop w:val="0"/>
      <w:marBottom w:val="0"/>
      <w:divBdr>
        <w:top w:val="none" w:sz="0" w:space="0" w:color="auto"/>
        <w:left w:val="none" w:sz="0" w:space="0" w:color="auto"/>
        <w:bottom w:val="none" w:sz="0" w:space="0" w:color="auto"/>
        <w:right w:val="none" w:sz="0" w:space="0" w:color="auto"/>
      </w:divBdr>
    </w:div>
    <w:div w:id="422072582">
      <w:marLeft w:val="480"/>
      <w:marRight w:val="0"/>
      <w:marTop w:val="0"/>
      <w:marBottom w:val="0"/>
      <w:divBdr>
        <w:top w:val="none" w:sz="0" w:space="0" w:color="auto"/>
        <w:left w:val="none" w:sz="0" w:space="0" w:color="auto"/>
        <w:bottom w:val="none" w:sz="0" w:space="0" w:color="auto"/>
        <w:right w:val="none" w:sz="0" w:space="0" w:color="auto"/>
      </w:divBdr>
    </w:div>
    <w:div w:id="425007024">
      <w:marLeft w:val="480"/>
      <w:marRight w:val="0"/>
      <w:marTop w:val="0"/>
      <w:marBottom w:val="0"/>
      <w:divBdr>
        <w:top w:val="none" w:sz="0" w:space="0" w:color="auto"/>
        <w:left w:val="none" w:sz="0" w:space="0" w:color="auto"/>
        <w:bottom w:val="none" w:sz="0" w:space="0" w:color="auto"/>
        <w:right w:val="none" w:sz="0" w:space="0" w:color="auto"/>
      </w:divBdr>
    </w:div>
    <w:div w:id="428501203">
      <w:marLeft w:val="480"/>
      <w:marRight w:val="0"/>
      <w:marTop w:val="0"/>
      <w:marBottom w:val="0"/>
      <w:divBdr>
        <w:top w:val="none" w:sz="0" w:space="0" w:color="auto"/>
        <w:left w:val="none" w:sz="0" w:space="0" w:color="auto"/>
        <w:bottom w:val="none" w:sz="0" w:space="0" w:color="auto"/>
        <w:right w:val="none" w:sz="0" w:space="0" w:color="auto"/>
      </w:divBdr>
    </w:div>
    <w:div w:id="430248742">
      <w:marLeft w:val="480"/>
      <w:marRight w:val="0"/>
      <w:marTop w:val="0"/>
      <w:marBottom w:val="0"/>
      <w:divBdr>
        <w:top w:val="none" w:sz="0" w:space="0" w:color="auto"/>
        <w:left w:val="none" w:sz="0" w:space="0" w:color="auto"/>
        <w:bottom w:val="none" w:sz="0" w:space="0" w:color="auto"/>
        <w:right w:val="none" w:sz="0" w:space="0" w:color="auto"/>
      </w:divBdr>
    </w:div>
    <w:div w:id="445320604">
      <w:marLeft w:val="480"/>
      <w:marRight w:val="0"/>
      <w:marTop w:val="0"/>
      <w:marBottom w:val="0"/>
      <w:divBdr>
        <w:top w:val="none" w:sz="0" w:space="0" w:color="auto"/>
        <w:left w:val="none" w:sz="0" w:space="0" w:color="auto"/>
        <w:bottom w:val="none" w:sz="0" w:space="0" w:color="auto"/>
        <w:right w:val="none" w:sz="0" w:space="0" w:color="auto"/>
      </w:divBdr>
    </w:div>
    <w:div w:id="461003220">
      <w:marLeft w:val="480"/>
      <w:marRight w:val="0"/>
      <w:marTop w:val="0"/>
      <w:marBottom w:val="0"/>
      <w:divBdr>
        <w:top w:val="none" w:sz="0" w:space="0" w:color="auto"/>
        <w:left w:val="none" w:sz="0" w:space="0" w:color="auto"/>
        <w:bottom w:val="none" w:sz="0" w:space="0" w:color="auto"/>
        <w:right w:val="none" w:sz="0" w:space="0" w:color="auto"/>
      </w:divBdr>
    </w:div>
    <w:div w:id="472480720">
      <w:marLeft w:val="480"/>
      <w:marRight w:val="0"/>
      <w:marTop w:val="0"/>
      <w:marBottom w:val="0"/>
      <w:divBdr>
        <w:top w:val="none" w:sz="0" w:space="0" w:color="auto"/>
        <w:left w:val="none" w:sz="0" w:space="0" w:color="auto"/>
        <w:bottom w:val="none" w:sz="0" w:space="0" w:color="auto"/>
        <w:right w:val="none" w:sz="0" w:space="0" w:color="auto"/>
      </w:divBdr>
    </w:div>
    <w:div w:id="475801603">
      <w:marLeft w:val="480"/>
      <w:marRight w:val="0"/>
      <w:marTop w:val="0"/>
      <w:marBottom w:val="0"/>
      <w:divBdr>
        <w:top w:val="none" w:sz="0" w:space="0" w:color="auto"/>
        <w:left w:val="none" w:sz="0" w:space="0" w:color="auto"/>
        <w:bottom w:val="none" w:sz="0" w:space="0" w:color="auto"/>
        <w:right w:val="none" w:sz="0" w:space="0" w:color="auto"/>
      </w:divBdr>
    </w:div>
    <w:div w:id="480581074">
      <w:marLeft w:val="480"/>
      <w:marRight w:val="0"/>
      <w:marTop w:val="0"/>
      <w:marBottom w:val="0"/>
      <w:divBdr>
        <w:top w:val="none" w:sz="0" w:space="0" w:color="auto"/>
        <w:left w:val="none" w:sz="0" w:space="0" w:color="auto"/>
        <w:bottom w:val="none" w:sz="0" w:space="0" w:color="auto"/>
        <w:right w:val="none" w:sz="0" w:space="0" w:color="auto"/>
      </w:divBdr>
    </w:div>
    <w:div w:id="490020756">
      <w:marLeft w:val="480"/>
      <w:marRight w:val="0"/>
      <w:marTop w:val="0"/>
      <w:marBottom w:val="0"/>
      <w:divBdr>
        <w:top w:val="none" w:sz="0" w:space="0" w:color="auto"/>
        <w:left w:val="none" w:sz="0" w:space="0" w:color="auto"/>
        <w:bottom w:val="none" w:sz="0" w:space="0" w:color="auto"/>
        <w:right w:val="none" w:sz="0" w:space="0" w:color="auto"/>
      </w:divBdr>
    </w:div>
    <w:div w:id="499737913">
      <w:marLeft w:val="480"/>
      <w:marRight w:val="0"/>
      <w:marTop w:val="0"/>
      <w:marBottom w:val="0"/>
      <w:divBdr>
        <w:top w:val="none" w:sz="0" w:space="0" w:color="auto"/>
        <w:left w:val="none" w:sz="0" w:space="0" w:color="auto"/>
        <w:bottom w:val="none" w:sz="0" w:space="0" w:color="auto"/>
        <w:right w:val="none" w:sz="0" w:space="0" w:color="auto"/>
      </w:divBdr>
    </w:div>
    <w:div w:id="507137127">
      <w:marLeft w:val="480"/>
      <w:marRight w:val="0"/>
      <w:marTop w:val="0"/>
      <w:marBottom w:val="0"/>
      <w:divBdr>
        <w:top w:val="none" w:sz="0" w:space="0" w:color="auto"/>
        <w:left w:val="none" w:sz="0" w:space="0" w:color="auto"/>
        <w:bottom w:val="none" w:sz="0" w:space="0" w:color="auto"/>
        <w:right w:val="none" w:sz="0" w:space="0" w:color="auto"/>
      </w:divBdr>
    </w:div>
    <w:div w:id="514929477">
      <w:marLeft w:val="480"/>
      <w:marRight w:val="0"/>
      <w:marTop w:val="0"/>
      <w:marBottom w:val="0"/>
      <w:divBdr>
        <w:top w:val="none" w:sz="0" w:space="0" w:color="auto"/>
        <w:left w:val="none" w:sz="0" w:space="0" w:color="auto"/>
        <w:bottom w:val="none" w:sz="0" w:space="0" w:color="auto"/>
        <w:right w:val="none" w:sz="0" w:space="0" w:color="auto"/>
      </w:divBdr>
    </w:div>
    <w:div w:id="516769877">
      <w:marLeft w:val="480"/>
      <w:marRight w:val="0"/>
      <w:marTop w:val="0"/>
      <w:marBottom w:val="0"/>
      <w:divBdr>
        <w:top w:val="none" w:sz="0" w:space="0" w:color="auto"/>
        <w:left w:val="none" w:sz="0" w:space="0" w:color="auto"/>
        <w:bottom w:val="none" w:sz="0" w:space="0" w:color="auto"/>
        <w:right w:val="none" w:sz="0" w:space="0" w:color="auto"/>
      </w:divBdr>
    </w:div>
    <w:div w:id="525488208">
      <w:marLeft w:val="480"/>
      <w:marRight w:val="0"/>
      <w:marTop w:val="0"/>
      <w:marBottom w:val="0"/>
      <w:divBdr>
        <w:top w:val="none" w:sz="0" w:space="0" w:color="auto"/>
        <w:left w:val="none" w:sz="0" w:space="0" w:color="auto"/>
        <w:bottom w:val="none" w:sz="0" w:space="0" w:color="auto"/>
        <w:right w:val="none" w:sz="0" w:space="0" w:color="auto"/>
      </w:divBdr>
    </w:div>
    <w:div w:id="528107091">
      <w:marLeft w:val="480"/>
      <w:marRight w:val="0"/>
      <w:marTop w:val="0"/>
      <w:marBottom w:val="0"/>
      <w:divBdr>
        <w:top w:val="none" w:sz="0" w:space="0" w:color="auto"/>
        <w:left w:val="none" w:sz="0" w:space="0" w:color="auto"/>
        <w:bottom w:val="none" w:sz="0" w:space="0" w:color="auto"/>
        <w:right w:val="none" w:sz="0" w:space="0" w:color="auto"/>
      </w:divBdr>
    </w:div>
    <w:div w:id="537669129">
      <w:marLeft w:val="480"/>
      <w:marRight w:val="0"/>
      <w:marTop w:val="0"/>
      <w:marBottom w:val="0"/>
      <w:divBdr>
        <w:top w:val="none" w:sz="0" w:space="0" w:color="auto"/>
        <w:left w:val="none" w:sz="0" w:space="0" w:color="auto"/>
        <w:bottom w:val="none" w:sz="0" w:space="0" w:color="auto"/>
        <w:right w:val="none" w:sz="0" w:space="0" w:color="auto"/>
      </w:divBdr>
    </w:div>
    <w:div w:id="556356206">
      <w:marLeft w:val="480"/>
      <w:marRight w:val="0"/>
      <w:marTop w:val="0"/>
      <w:marBottom w:val="0"/>
      <w:divBdr>
        <w:top w:val="none" w:sz="0" w:space="0" w:color="auto"/>
        <w:left w:val="none" w:sz="0" w:space="0" w:color="auto"/>
        <w:bottom w:val="none" w:sz="0" w:space="0" w:color="auto"/>
        <w:right w:val="none" w:sz="0" w:space="0" w:color="auto"/>
      </w:divBdr>
    </w:div>
    <w:div w:id="557282021">
      <w:marLeft w:val="480"/>
      <w:marRight w:val="0"/>
      <w:marTop w:val="0"/>
      <w:marBottom w:val="0"/>
      <w:divBdr>
        <w:top w:val="none" w:sz="0" w:space="0" w:color="auto"/>
        <w:left w:val="none" w:sz="0" w:space="0" w:color="auto"/>
        <w:bottom w:val="none" w:sz="0" w:space="0" w:color="auto"/>
        <w:right w:val="none" w:sz="0" w:space="0" w:color="auto"/>
      </w:divBdr>
    </w:div>
    <w:div w:id="566574117">
      <w:marLeft w:val="480"/>
      <w:marRight w:val="0"/>
      <w:marTop w:val="0"/>
      <w:marBottom w:val="0"/>
      <w:divBdr>
        <w:top w:val="none" w:sz="0" w:space="0" w:color="auto"/>
        <w:left w:val="none" w:sz="0" w:space="0" w:color="auto"/>
        <w:bottom w:val="none" w:sz="0" w:space="0" w:color="auto"/>
        <w:right w:val="none" w:sz="0" w:space="0" w:color="auto"/>
      </w:divBdr>
    </w:div>
    <w:div w:id="566696621">
      <w:marLeft w:val="480"/>
      <w:marRight w:val="0"/>
      <w:marTop w:val="0"/>
      <w:marBottom w:val="0"/>
      <w:divBdr>
        <w:top w:val="none" w:sz="0" w:space="0" w:color="auto"/>
        <w:left w:val="none" w:sz="0" w:space="0" w:color="auto"/>
        <w:bottom w:val="none" w:sz="0" w:space="0" w:color="auto"/>
        <w:right w:val="none" w:sz="0" w:space="0" w:color="auto"/>
      </w:divBdr>
    </w:div>
    <w:div w:id="576987077">
      <w:marLeft w:val="480"/>
      <w:marRight w:val="0"/>
      <w:marTop w:val="0"/>
      <w:marBottom w:val="0"/>
      <w:divBdr>
        <w:top w:val="none" w:sz="0" w:space="0" w:color="auto"/>
        <w:left w:val="none" w:sz="0" w:space="0" w:color="auto"/>
        <w:bottom w:val="none" w:sz="0" w:space="0" w:color="auto"/>
        <w:right w:val="none" w:sz="0" w:space="0" w:color="auto"/>
      </w:divBdr>
    </w:div>
    <w:div w:id="588661876">
      <w:marLeft w:val="480"/>
      <w:marRight w:val="0"/>
      <w:marTop w:val="0"/>
      <w:marBottom w:val="0"/>
      <w:divBdr>
        <w:top w:val="none" w:sz="0" w:space="0" w:color="auto"/>
        <w:left w:val="none" w:sz="0" w:space="0" w:color="auto"/>
        <w:bottom w:val="none" w:sz="0" w:space="0" w:color="auto"/>
        <w:right w:val="none" w:sz="0" w:space="0" w:color="auto"/>
      </w:divBdr>
    </w:div>
    <w:div w:id="589387922">
      <w:marLeft w:val="480"/>
      <w:marRight w:val="0"/>
      <w:marTop w:val="0"/>
      <w:marBottom w:val="0"/>
      <w:divBdr>
        <w:top w:val="none" w:sz="0" w:space="0" w:color="auto"/>
        <w:left w:val="none" w:sz="0" w:space="0" w:color="auto"/>
        <w:bottom w:val="none" w:sz="0" w:space="0" w:color="auto"/>
        <w:right w:val="none" w:sz="0" w:space="0" w:color="auto"/>
      </w:divBdr>
    </w:div>
    <w:div w:id="601961435">
      <w:marLeft w:val="480"/>
      <w:marRight w:val="0"/>
      <w:marTop w:val="0"/>
      <w:marBottom w:val="0"/>
      <w:divBdr>
        <w:top w:val="none" w:sz="0" w:space="0" w:color="auto"/>
        <w:left w:val="none" w:sz="0" w:space="0" w:color="auto"/>
        <w:bottom w:val="none" w:sz="0" w:space="0" w:color="auto"/>
        <w:right w:val="none" w:sz="0" w:space="0" w:color="auto"/>
      </w:divBdr>
    </w:div>
    <w:div w:id="604534561">
      <w:marLeft w:val="480"/>
      <w:marRight w:val="0"/>
      <w:marTop w:val="0"/>
      <w:marBottom w:val="0"/>
      <w:divBdr>
        <w:top w:val="none" w:sz="0" w:space="0" w:color="auto"/>
        <w:left w:val="none" w:sz="0" w:space="0" w:color="auto"/>
        <w:bottom w:val="none" w:sz="0" w:space="0" w:color="auto"/>
        <w:right w:val="none" w:sz="0" w:space="0" w:color="auto"/>
      </w:divBdr>
    </w:div>
    <w:div w:id="608126392">
      <w:marLeft w:val="480"/>
      <w:marRight w:val="0"/>
      <w:marTop w:val="0"/>
      <w:marBottom w:val="0"/>
      <w:divBdr>
        <w:top w:val="none" w:sz="0" w:space="0" w:color="auto"/>
        <w:left w:val="none" w:sz="0" w:space="0" w:color="auto"/>
        <w:bottom w:val="none" w:sz="0" w:space="0" w:color="auto"/>
        <w:right w:val="none" w:sz="0" w:space="0" w:color="auto"/>
      </w:divBdr>
    </w:div>
    <w:div w:id="609238958">
      <w:marLeft w:val="480"/>
      <w:marRight w:val="0"/>
      <w:marTop w:val="0"/>
      <w:marBottom w:val="0"/>
      <w:divBdr>
        <w:top w:val="none" w:sz="0" w:space="0" w:color="auto"/>
        <w:left w:val="none" w:sz="0" w:space="0" w:color="auto"/>
        <w:bottom w:val="none" w:sz="0" w:space="0" w:color="auto"/>
        <w:right w:val="none" w:sz="0" w:space="0" w:color="auto"/>
      </w:divBdr>
    </w:div>
    <w:div w:id="609241264">
      <w:marLeft w:val="480"/>
      <w:marRight w:val="0"/>
      <w:marTop w:val="0"/>
      <w:marBottom w:val="0"/>
      <w:divBdr>
        <w:top w:val="none" w:sz="0" w:space="0" w:color="auto"/>
        <w:left w:val="none" w:sz="0" w:space="0" w:color="auto"/>
        <w:bottom w:val="none" w:sz="0" w:space="0" w:color="auto"/>
        <w:right w:val="none" w:sz="0" w:space="0" w:color="auto"/>
      </w:divBdr>
    </w:div>
    <w:div w:id="625164618">
      <w:marLeft w:val="480"/>
      <w:marRight w:val="0"/>
      <w:marTop w:val="0"/>
      <w:marBottom w:val="0"/>
      <w:divBdr>
        <w:top w:val="none" w:sz="0" w:space="0" w:color="auto"/>
        <w:left w:val="none" w:sz="0" w:space="0" w:color="auto"/>
        <w:bottom w:val="none" w:sz="0" w:space="0" w:color="auto"/>
        <w:right w:val="none" w:sz="0" w:space="0" w:color="auto"/>
      </w:divBdr>
    </w:div>
    <w:div w:id="630600750">
      <w:marLeft w:val="480"/>
      <w:marRight w:val="0"/>
      <w:marTop w:val="0"/>
      <w:marBottom w:val="0"/>
      <w:divBdr>
        <w:top w:val="none" w:sz="0" w:space="0" w:color="auto"/>
        <w:left w:val="none" w:sz="0" w:space="0" w:color="auto"/>
        <w:bottom w:val="none" w:sz="0" w:space="0" w:color="auto"/>
        <w:right w:val="none" w:sz="0" w:space="0" w:color="auto"/>
      </w:divBdr>
    </w:div>
    <w:div w:id="637805138">
      <w:marLeft w:val="480"/>
      <w:marRight w:val="0"/>
      <w:marTop w:val="0"/>
      <w:marBottom w:val="0"/>
      <w:divBdr>
        <w:top w:val="none" w:sz="0" w:space="0" w:color="auto"/>
        <w:left w:val="none" w:sz="0" w:space="0" w:color="auto"/>
        <w:bottom w:val="none" w:sz="0" w:space="0" w:color="auto"/>
        <w:right w:val="none" w:sz="0" w:space="0" w:color="auto"/>
      </w:divBdr>
    </w:div>
    <w:div w:id="640580190">
      <w:marLeft w:val="480"/>
      <w:marRight w:val="0"/>
      <w:marTop w:val="0"/>
      <w:marBottom w:val="0"/>
      <w:divBdr>
        <w:top w:val="none" w:sz="0" w:space="0" w:color="auto"/>
        <w:left w:val="none" w:sz="0" w:space="0" w:color="auto"/>
        <w:bottom w:val="none" w:sz="0" w:space="0" w:color="auto"/>
        <w:right w:val="none" w:sz="0" w:space="0" w:color="auto"/>
      </w:divBdr>
    </w:div>
    <w:div w:id="648747468">
      <w:marLeft w:val="480"/>
      <w:marRight w:val="0"/>
      <w:marTop w:val="0"/>
      <w:marBottom w:val="0"/>
      <w:divBdr>
        <w:top w:val="none" w:sz="0" w:space="0" w:color="auto"/>
        <w:left w:val="none" w:sz="0" w:space="0" w:color="auto"/>
        <w:bottom w:val="none" w:sz="0" w:space="0" w:color="auto"/>
        <w:right w:val="none" w:sz="0" w:space="0" w:color="auto"/>
      </w:divBdr>
    </w:div>
    <w:div w:id="648945127">
      <w:marLeft w:val="480"/>
      <w:marRight w:val="0"/>
      <w:marTop w:val="0"/>
      <w:marBottom w:val="0"/>
      <w:divBdr>
        <w:top w:val="none" w:sz="0" w:space="0" w:color="auto"/>
        <w:left w:val="none" w:sz="0" w:space="0" w:color="auto"/>
        <w:bottom w:val="none" w:sz="0" w:space="0" w:color="auto"/>
        <w:right w:val="none" w:sz="0" w:space="0" w:color="auto"/>
      </w:divBdr>
    </w:div>
    <w:div w:id="650718700">
      <w:marLeft w:val="480"/>
      <w:marRight w:val="0"/>
      <w:marTop w:val="0"/>
      <w:marBottom w:val="0"/>
      <w:divBdr>
        <w:top w:val="none" w:sz="0" w:space="0" w:color="auto"/>
        <w:left w:val="none" w:sz="0" w:space="0" w:color="auto"/>
        <w:bottom w:val="none" w:sz="0" w:space="0" w:color="auto"/>
        <w:right w:val="none" w:sz="0" w:space="0" w:color="auto"/>
      </w:divBdr>
    </w:div>
    <w:div w:id="651102948">
      <w:marLeft w:val="480"/>
      <w:marRight w:val="0"/>
      <w:marTop w:val="0"/>
      <w:marBottom w:val="0"/>
      <w:divBdr>
        <w:top w:val="none" w:sz="0" w:space="0" w:color="auto"/>
        <w:left w:val="none" w:sz="0" w:space="0" w:color="auto"/>
        <w:bottom w:val="none" w:sz="0" w:space="0" w:color="auto"/>
        <w:right w:val="none" w:sz="0" w:space="0" w:color="auto"/>
      </w:divBdr>
    </w:div>
    <w:div w:id="657658058">
      <w:marLeft w:val="480"/>
      <w:marRight w:val="0"/>
      <w:marTop w:val="0"/>
      <w:marBottom w:val="0"/>
      <w:divBdr>
        <w:top w:val="none" w:sz="0" w:space="0" w:color="auto"/>
        <w:left w:val="none" w:sz="0" w:space="0" w:color="auto"/>
        <w:bottom w:val="none" w:sz="0" w:space="0" w:color="auto"/>
        <w:right w:val="none" w:sz="0" w:space="0" w:color="auto"/>
      </w:divBdr>
    </w:div>
    <w:div w:id="676930080">
      <w:marLeft w:val="480"/>
      <w:marRight w:val="0"/>
      <w:marTop w:val="0"/>
      <w:marBottom w:val="0"/>
      <w:divBdr>
        <w:top w:val="none" w:sz="0" w:space="0" w:color="auto"/>
        <w:left w:val="none" w:sz="0" w:space="0" w:color="auto"/>
        <w:bottom w:val="none" w:sz="0" w:space="0" w:color="auto"/>
        <w:right w:val="none" w:sz="0" w:space="0" w:color="auto"/>
      </w:divBdr>
    </w:div>
    <w:div w:id="692800447">
      <w:marLeft w:val="480"/>
      <w:marRight w:val="0"/>
      <w:marTop w:val="0"/>
      <w:marBottom w:val="0"/>
      <w:divBdr>
        <w:top w:val="none" w:sz="0" w:space="0" w:color="auto"/>
        <w:left w:val="none" w:sz="0" w:space="0" w:color="auto"/>
        <w:bottom w:val="none" w:sz="0" w:space="0" w:color="auto"/>
        <w:right w:val="none" w:sz="0" w:space="0" w:color="auto"/>
      </w:divBdr>
    </w:div>
    <w:div w:id="694116686">
      <w:marLeft w:val="480"/>
      <w:marRight w:val="0"/>
      <w:marTop w:val="0"/>
      <w:marBottom w:val="0"/>
      <w:divBdr>
        <w:top w:val="none" w:sz="0" w:space="0" w:color="auto"/>
        <w:left w:val="none" w:sz="0" w:space="0" w:color="auto"/>
        <w:bottom w:val="none" w:sz="0" w:space="0" w:color="auto"/>
        <w:right w:val="none" w:sz="0" w:space="0" w:color="auto"/>
      </w:divBdr>
    </w:div>
    <w:div w:id="700664779">
      <w:marLeft w:val="480"/>
      <w:marRight w:val="0"/>
      <w:marTop w:val="0"/>
      <w:marBottom w:val="0"/>
      <w:divBdr>
        <w:top w:val="none" w:sz="0" w:space="0" w:color="auto"/>
        <w:left w:val="none" w:sz="0" w:space="0" w:color="auto"/>
        <w:bottom w:val="none" w:sz="0" w:space="0" w:color="auto"/>
        <w:right w:val="none" w:sz="0" w:space="0" w:color="auto"/>
      </w:divBdr>
    </w:div>
    <w:div w:id="701127187">
      <w:marLeft w:val="480"/>
      <w:marRight w:val="0"/>
      <w:marTop w:val="0"/>
      <w:marBottom w:val="0"/>
      <w:divBdr>
        <w:top w:val="none" w:sz="0" w:space="0" w:color="auto"/>
        <w:left w:val="none" w:sz="0" w:space="0" w:color="auto"/>
        <w:bottom w:val="none" w:sz="0" w:space="0" w:color="auto"/>
        <w:right w:val="none" w:sz="0" w:space="0" w:color="auto"/>
      </w:divBdr>
    </w:div>
    <w:div w:id="728041406">
      <w:marLeft w:val="480"/>
      <w:marRight w:val="0"/>
      <w:marTop w:val="0"/>
      <w:marBottom w:val="0"/>
      <w:divBdr>
        <w:top w:val="none" w:sz="0" w:space="0" w:color="auto"/>
        <w:left w:val="none" w:sz="0" w:space="0" w:color="auto"/>
        <w:bottom w:val="none" w:sz="0" w:space="0" w:color="auto"/>
        <w:right w:val="none" w:sz="0" w:space="0" w:color="auto"/>
      </w:divBdr>
    </w:div>
    <w:div w:id="728722058">
      <w:marLeft w:val="480"/>
      <w:marRight w:val="0"/>
      <w:marTop w:val="0"/>
      <w:marBottom w:val="0"/>
      <w:divBdr>
        <w:top w:val="none" w:sz="0" w:space="0" w:color="auto"/>
        <w:left w:val="none" w:sz="0" w:space="0" w:color="auto"/>
        <w:bottom w:val="none" w:sz="0" w:space="0" w:color="auto"/>
        <w:right w:val="none" w:sz="0" w:space="0" w:color="auto"/>
      </w:divBdr>
    </w:div>
    <w:div w:id="731197218">
      <w:marLeft w:val="480"/>
      <w:marRight w:val="0"/>
      <w:marTop w:val="0"/>
      <w:marBottom w:val="0"/>
      <w:divBdr>
        <w:top w:val="none" w:sz="0" w:space="0" w:color="auto"/>
        <w:left w:val="none" w:sz="0" w:space="0" w:color="auto"/>
        <w:bottom w:val="none" w:sz="0" w:space="0" w:color="auto"/>
        <w:right w:val="none" w:sz="0" w:space="0" w:color="auto"/>
      </w:divBdr>
    </w:div>
    <w:div w:id="732118097">
      <w:marLeft w:val="480"/>
      <w:marRight w:val="0"/>
      <w:marTop w:val="0"/>
      <w:marBottom w:val="0"/>
      <w:divBdr>
        <w:top w:val="none" w:sz="0" w:space="0" w:color="auto"/>
        <w:left w:val="none" w:sz="0" w:space="0" w:color="auto"/>
        <w:bottom w:val="none" w:sz="0" w:space="0" w:color="auto"/>
        <w:right w:val="none" w:sz="0" w:space="0" w:color="auto"/>
      </w:divBdr>
    </w:div>
    <w:div w:id="737705584">
      <w:marLeft w:val="480"/>
      <w:marRight w:val="0"/>
      <w:marTop w:val="0"/>
      <w:marBottom w:val="0"/>
      <w:divBdr>
        <w:top w:val="none" w:sz="0" w:space="0" w:color="auto"/>
        <w:left w:val="none" w:sz="0" w:space="0" w:color="auto"/>
        <w:bottom w:val="none" w:sz="0" w:space="0" w:color="auto"/>
        <w:right w:val="none" w:sz="0" w:space="0" w:color="auto"/>
      </w:divBdr>
    </w:div>
    <w:div w:id="737897894">
      <w:marLeft w:val="480"/>
      <w:marRight w:val="0"/>
      <w:marTop w:val="0"/>
      <w:marBottom w:val="0"/>
      <w:divBdr>
        <w:top w:val="none" w:sz="0" w:space="0" w:color="auto"/>
        <w:left w:val="none" w:sz="0" w:space="0" w:color="auto"/>
        <w:bottom w:val="none" w:sz="0" w:space="0" w:color="auto"/>
        <w:right w:val="none" w:sz="0" w:space="0" w:color="auto"/>
      </w:divBdr>
    </w:div>
    <w:div w:id="742987741">
      <w:marLeft w:val="480"/>
      <w:marRight w:val="0"/>
      <w:marTop w:val="0"/>
      <w:marBottom w:val="0"/>
      <w:divBdr>
        <w:top w:val="none" w:sz="0" w:space="0" w:color="auto"/>
        <w:left w:val="none" w:sz="0" w:space="0" w:color="auto"/>
        <w:bottom w:val="none" w:sz="0" w:space="0" w:color="auto"/>
        <w:right w:val="none" w:sz="0" w:space="0" w:color="auto"/>
      </w:divBdr>
    </w:div>
    <w:div w:id="744493840">
      <w:marLeft w:val="480"/>
      <w:marRight w:val="0"/>
      <w:marTop w:val="0"/>
      <w:marBottom w:val="0"/>
      <w:divBdr>
        <w:top w:val="none" w:sz="0" w:space="0" w:color="auto"/>
        <w:left w:val="none" w:sz="0" w:space="0" w:color="auto"/>
        <w:bottom w:val="none" w:sz="0" w:space="0" w:color="auto"/>
        <w:right w:val="none" w:sz="0" w:space="0" w:color="auto"/>
      </w:divBdr>
    </w:div>
    <w:div w:id="747657287">
      <w:marLeft w:val="480"/>
      <w:marRight w:val="0"/>
      <w:marTop w:val="0"/>
      <w:marBottom w:val="0"/>
      <w:divBdr>
        <w:top w:val="none" w:sz="0" w:space="0" w:color="auto"/>
        <w:left w:val="none" w:sz="0" w:space="0" w:color="auto"/>
        <w:bottom w:val="none" w:sz="0" w:space="0" w:color="auto"/>
        <w:right w:val="none" w:sz="0" w:space="0" w:color="auto"/>
      </w:divBdr>
    </w:div>
    <w:div w:id="749933653">
      <w:marLeft w:val="480"/>
      <w:marRight w:val="0"/>
      <w:marTop w:val="0"/>
      <w:marBottom w:val="0"/>
      <w:divBdr>
        <w:top w:val="none" w:sz="0" w:space="0" w:color="auto"/>
        <w:left w:val="none" w:sz="0" w:space="0" w:color="auto"/>
        <w:bottom w:val="none" w:sz="0" w:space="0" w:color="auto"/>
        <w:right w:val="none" w:sz="0" w:space="0" w:color="auto"/>
      </w:divBdr>
    </w:div>
    <w:div w:id="754668260">
      <w:marLeft w:val="480"/>
      <w:marRight w:val="0"/>
      <w:marTop w:val="0"/>
      <w:marBottom w:val="0"/>
      <w:divBdr>
        <w:top w:val="none" w:sz="0" w:space="0" w:color="auto"/>
        <w:left w:val="none" w:sz="0" w:space="0" w:color="auto"/>
        <w:bottom w:val="none" w:sz="0" w:space="0" w:color="auto"/>
        <w:right w:val="none" w:sz="0" w:space="0" w:color="auto"/>
      </w:divBdr>
    </w:div>
    <w:div w:id="756555455">
      <w:marLeft w:val="480"/>
      <w:marRight w:val="0"/>
      <w:marTop w:val="0"/>
      <w:marBottom w:val="0"/>
      <w:divBdr>
        <w:top w:val="none" w:sz="0" w:space="0" w:color="auto"/>
        <w:left w:val="none" w:sz="0" w:space="0" w:color="auto"/>
        <w:bottom w:val="none" w:sz="0" w:space="0" w:color="auto"/>
        <w:right w:val="none" w:sz="0" w:space="0" w:color="auto"/>
      </w:divBdr>
    </w:div>
    <w:div w:id="761149643">
      <w:marLeft w:val="480"/>
      <w:marRight w:val="0"/>
      <w:marTop w:val="0"/>
      <w:marBottom w:val="0"/>
      <w:divBdr>
        <w:top w:val="none" w:sz="0" w:space="0" w:color="auto"/>
        <w:left w:val="none" w:sz="0" w:space="0" w:color="auto"/>
        <w:bottom w:val="none" w:sz="0" w:space="0" w:color="auto"/>
        <w:right w:val="none" w:sz="0" w:space="0" w:color="auto"/>
      </w:divBdr>
    </w:div>
    <w:div w:id="764957048">
      <w:marLeft w:val="480"/>
      <w:marRight w:val="0"/>
      <w:marTop w:val="0"/>
      <w:marBottom w:val="0"/>
      <w:divBdr>
        <w:top w:val="none" w:sz="0" w:space="0" w:color="auto"/>
        <w:left w:val="none" w:sz="0" w:space="0" w:color="auto"/>
        <w:bottom w:val="none" w:sz="0" w:space="0" w:color="auto"/>
        <w:right w:val="none" w:sz="0" w:space="0" w:color="auto"/>
      </w:divBdr>
    </w:div>
    <w:div w:id="765079215">
      <w:marLeft w:val="480"/>
      <w:marRight w:val="0"/>
      <w:marTop w:val="0"/>
      <w:marBottom w:val="0"/>
      <w:divBdr>
        <w:top w:val="none" w:sz="0" w:space="0" w:color="auto"/>
        <w:left w:val="none" w:sz="0" w:space="0" w:color="auto"/>
        <w:bottom w:val="none" w:sz="0" w:space="0" w:color="auto"/>
        <w:right w:val="none" w:sz="0" w:space="0" w:color="auto"/>
      </w:divBdr>
    </w:div>
    <w:div w:id="769012597">
      <w:marLeft w:val="480"/>
      <w:marRight w:val="0"/>
      <w:marTop w:val="0"/>
      <w:marBottom w:val="0"/>
      <w:divBdr>
        <w:top w:val="none" w:sz="0" w:space="0" w:color="auto"/>
        <w:left w:val="none" w:sz="0" w:space="0" w:color="auto"/>
        <w:bottom w:val="none" w:sz="0" w:space="0" w:color="auto"/>
        <w:right w:val="none" w:sz="0" w:space="0" w:color="auto"/>
      </w:divBdr>
    </w:div>
    <w:div w:id="769197837">
      <w:marLeft w:val="480"/>
      <w:marRight w:val="0"/>
      <w:marTop w:val="0"/>
      <w:marBottom w:val="0"/>
      <w:divBdr>
        <w:top w:val="none" w:sz="0" w:space="0" w:color="auto"/>
        <w:left w:val="none" w:sz="0" w:space="0" w:color="auto"/>
        <w:bottom w:val="none" w:sz="0" w:space="0" w:color="auto"/>
        <w:right w:val="none" w:sz="0" w:space="0" w:color="auto"/>
      </w:divBdr>
    </w:div>
    <w:div w:id="770588622">
      <w:marLeft w:val="480"/>
      <w:marRight w:val="0"/>
      <w:marTop w:val="0"/>
      <w:marBottom w:val="0"/>
      <w:divBdr>
        <w:top w:val="none" w:sz="0" w:space="0" w:color="auto"/>
        <w:left w:val="none" w:sz="0" w:space="0" w:color="auto"/>
        <w:bottom w:val="none" w:sz="0" w:space="0" w:color="auto"/>
        <w:right w:val="none" w:sz="0" w:space="0" w:color="auto"/>
      </w:divBdr>
    </w:div>
    <w:div w:id="792362459">
      <w:marLeft w:val="480"/>
      <w:marRight w:val="0"/>
      <w:marTop w:val="0"/>
      <w:marBottom w:val="0"/>
      <w:divBdr>
        <w:top w:val="none" w:sz="0" w:space="0" w:color="auto"/>
        <w:left w:val="none" w:sz="0" w:space="0" w:color="auto"/>
        <w:bottom w:val="none" w:sz="0" w:space="0" w:color="auto"/>
        <w:right w:val="none" w:sz="0" w:space="0" w:color="auto"/>
      </w:divBdr>
    </w:div>
    <w:div w:id="794955372">
      <w:marLeft w:val="480"/>
      <w:marRight w:val="0"/>
      <w:marTop w:val="0"/>
      <w:marBottom w:val="0"/>
      <w:divBdr>
        <w:top w:val="none" w:sz="0" w:space="0" w:color="auto"/>
        <w:left w:val="none" w:sz="0" w:space="0" w:color="auto"/>
        <w:bottom w:val="none" w:sz="0" w:space="0" w:color="auto"/>
        <w:right w:val="none" w:sz="0" w:space="0" w:color="auto"/>
      </w:divBdr>
    </w:div>
    <w:div w:id="803813833">
      <w:marLeft w:val="480"/>
      <w:marRight w:val="0"/>
      <w:marTop w:val="0"/>
      <w:marBottom w:val="0"/>
      <w:divBdr>
        <w:top w:val="none" w:sz="0" w:space="0" w:color="auto"/>
        <w:left w:val="none" w:sz="0" w:space="0" w:color="auto"/>
        <w:bottom w:val="none" w:sz="0" w:space="0" w:color="auto"/>
        <w:right w:val="none" w:sz="0" w:space="0" w:color="auto"/>
      </w:divBdr>
    </w:div>
    <w:div w:id="814372637">
      <w:marLeft w:val="480"/>
      <w:marRight w:val="0"/>
      <w:marTop w:val="0"/>
      <w:marBottom w:val="0"/>
      <w:divBdr>
        <w:top w:val="none" w:sz="0" w:space="0" w:color="auto"/>
        <w:left w:val="none" w:sz="0" w:space="0" w:color="auto"/>
        <w:bottom w:val="none" w:sz="0" w:space="0" w:color="auto"/>
        <w:right w:val="none" w:sz="0" w:space="0" w:color="auto"/>
      </w:divBdr>
    </w:div>
    <w:div w:id="818304546">
      <w:marLeft w:val="480"/>
      <w:marRight w:val="0"/>
      <w:marTop w:val="0"/>
      <w:marBottom w:val="0"/>
      <w:divBdr>
        <w:top w:val="none" w:sz="0" w:space="0" w:color="auto"/>
        <w:left w:val="none" w:sz="0" w:space="0" w:color="auto"/>
        <w:bottom w:val="none" w:sz="0" w:space="0" w:color="auto"/>
        <w:right w:val="none" w:sz="0" w:space="0" w:color="auto"/>
      </w:divBdr>
    </w:div>
    <w:div w:id="820536860">
      <w:marLeft w:val="480"/>
      <w:marRight w:val="0"/>
      <w:marTop w:val="0"/>
      <w:marBottom w:val="0"/>
      <w:divBdr>
        <w:top w:val="none" w:sz="0" w:space="0" w:color="auto"/>
        <w:left w:val="none" w:sz="0" w:space="0" w:color="auto"/>
        <w:bottom w:val="none" w:sz="0" w:space="0" w:color="auto"/>
        <w:right w:val="none" w:sz="0" w:space="0" w:color="auto"/>
      </w:divBdr>
    </w:div>
    <w:div w:id="821972829">
      <w:marLeft w:val="480"/>
      <w:marRight w:val="0"/>
      <w:marTop w:val="0"/>
      <w:marBottom w:val="0"/>
      <w:divBdr>
        <w:top w:val="none" w:sz="0" w:space="0" w:color="auto"/>
        <w:left w:val="none" w:sz="0" w:space="0" w:color="auto"/>
        <w:bottom w:val="none" w:sz="0" w:space="0" w:color="auto"/>
        <w:right w:val="none" w:sz="0" w:space="0" w:color="auto"/>
      </w:divBdr>
    </w:div>
    <w:div w:id="826213116">
      <w:marLeft w:val="480"/>
      <w:marRight w:val="0"/>
      <w:marTop w:val="0"/>
      <w:marBottom w:val="0"/>
      <w:divBdr>
        <w:top w:val="none" w:sz="0" w:space="0" w:color="auto"/>
        <w:left w:val="none" w:sz="0" w:space="0" w:color="auto"/>
        <w:bottom w:val="none" w:sz="0" w:space="0" w:color="auto"/>
        <w:right w:val="none" w:sz="0" w:space="0" w:color="auto"/>
      </w:divBdr>
    </w:div>
    <w:div w:id="827786813">
      <w:marLeft w:val="480"/>
      <w:marRight w:val="0"/>
      <w:marTop w:val="0"/>
      <w:marBottom w:val="0"/>
      <w:divBdr>
        <w:top w:val="none" w:sz="0" w:space="0" w:color="auto"/>
        <w:left w:val="none" w:sz="0" w:space="0" w:color="auto"/>
        <w:bottom w:val="none" w:sz="0" w:space="0" w:color="auto"/>
        <w:right w:val="none" w:sz="0" w:space="0" w:color="auto"/>
      </w:divBdr>
    </w:div>
    <w:div w:id="829718339">
      <w:marLeft w:val="480"/>
      <w:marRight w:val="0"/>
      <w:marTop w:val="0"/>
      <w:marBottom w:val="0"/>
      <w:divBdr>
        <w:top w:val="none" w:sz="0" w:space="0" w:color="auto"/>
        <w:left w:val="none" w:sz="0" w:space="0" w:color="auto"/>
        <w:bottom w:val="none" w:sz="0" w:space="0" w:color="auto"/>
        <w:right w:val="none" w:sz="0" w:space="0" w:color="auto"/>
      </w:divBdr>
    </w:div>
    <w:div w:id="829978667">
      <w:marLeft w:val="480"/>
      <w:marRight w:val="0"/>
      <w:marTop w:val="0"/>
      <w:marBottom w:val="0"/>
      <w:divBdr>
        <w:top w:val="none" w:sz="0" w:space="0" w:color="auto"/>
        <w:left w:val="none" w:sz="0" w:space="0" w:color="auto"/>
        <w:bottom w:val="none" w:sz="0" w:space="0" w:color="auto"/>
        <w:right w:val="none" w:sz="0" w:space="0" w:color="auto"/>
      </w:divBdr>
    </w:div>
    <w:div w:id="841507915">
      <w:marLeft w:val="480"/>
      <w:marRight w:val="0"/>
      <w:marTop w:val="0"/>
      <w:marBottom w:val="0"/>
      <w:divBdr>
        <w:top w:val="none" w:sz="0" w:space="0" w:color="auto"/>
        <w:left w:val="none" w:sz="0" w:space="0" w:color="auto"/>
        <w:bottom w:val="none" w:sz="0" w:space="0" w:color="auto"/>
        <w:right w:val="none" w:sz="0" w:space="0" w:color="auto"/>
      </w:divBdr>
    </w:div>
    <w:div w:id="848446581">
      <w:marLeft w:val="480"/>
      <w:marRight w:val="0"/>
      <w:marTop w:val="0"/>
      <w:marBottom w:val="0"/>
      <w:divBdr>
        <w:top w:val="none" w:sz="0" w:space="0" w:color="auto"/>
        <w:left w:val="none" w:sz="0" w:space="0" w:color="auto"/>
        <w:bottom w:val="none" w:sz="0" w:space="0" w:color="auto"/>
        <w:right w:val="none" w:sz="0" w:space="0" w:color="auto"/>
      </w:divBdr>
    </w:div>
    <w:div w:id="860049691">
      <w:marLeft w:val="480"/>
      <w:marRight w:val="0"/>
      <w:marTop w:val="0"/>
      <w:marBottom w:val="0"/>
      <w:divBdr>
        <w:top w:val="none" w:sz="0" w:space="0" w:color="auto"/>
        <w:left w:val="none" w:sz="0" w:space="0" w:color="auto"/>
        <w:bottom w:val="none" w:sz="0" w:space="0" w:color="auto"/>
        <w:right w:val="none" w:sz="0" w:space="0" w:color="auto"/>
      </w:divBdr>
    </w:div>
    <w:div w:id="860704321">
      <w:marLeft w:val="480"/>
      <w:marRight w:val="0"/>
      <w:marTop w:val="0"/>
      <w:marBottom w:val="0"/>
      <w:divBdr>
        <w:top w:val="none" w:sz="0" w:space="0" w:color="auto"/>
        <w:left w:val="none" w:sz="0" w:space="0" w:color="auto"/>
        <w:bottom w:val="none" w:sz="0" w:space="0" w:color="auto"/>
        <w:right w:val="none" w:sz="0" w:space="0" w:color="auto"/>
      </w:divBdr>
    </w:div>
    <w:div w:id="864749876">
      <w:marLeft w:val="480"/>
      <w:marRight w:val="0"/>
      <w:marTop w:val="0"/>
      <w:marBottom w:val="0"/>
      <w:divBdr>
        <w:top w:val="none" w:sz="0" w:space="0" w:color="auto"/>
        <w:left w:val="none" w:sz="0" w:space="0" w:color="auto"/>
        <w:bottom w:val="none" w:sz="0" w:space="0" w:color="auto"/>
        <w:right w:val="none" w:sz="0" w:space="0" w:color="auto"/>
      </w:divBdr>
    </w:div>
    <w:div w:id="872809317">
      <w:marLeft w:val="480"/>
      <w:marRight w:val="0"/>
      <w:marTop w:val="0"/>
      <w:marBottom w:val="0"/>
      <w:divBdr>
        <w:top w:val="none" w:sz="0" w:space="0" w:color="auto"/>
        <w:left w:val="none" w:sz="0" w:space="0" w:color="auto"/>
        <w:bottom w:val="none" w:sz="0" w:space="0" w:color="auto"/>
        <w:right w:val="none" w:sz="0" w:space="0" w:color="auto"/>
      </w:divBdr>
    </w:div>
    <w:div w:id="874851160">
      <w:marLeft w:val="480"/>
      <w:marRight w:val="0"/>
      <w:marTop w:val="0"/>
      <w:marBottom w:val="0"/>
      <w:divBdr>
        <w:top w:val="none" w:sz="0" w:space="0" w:color="auto"/>
        <w:left w:val="none" w:sz="0" w:space="0" w:color="auto"/>
        <w:bottom w:val="none" w:sz="0" w:space="0" w:color="auto"/>
        <w:right w:val="none" w:sz="0" w:space="0" w:color="auto"/>
      </w:divBdr>
    </w:div>
    <w:div w:id="887961306">
      <w:marLeft w:val="480"/>
      <w:marRight w:val="0"/>
      <w:marTop w:val="0"/>
      <w:marBottom w:val="0"/>
      <w:divBdr>
        <w:top w:val="none" w:sz="0" w:space="0" w:color="auto"/>
        <w:left w:val="none" w:sz="0" w:space="0" w:color="auto"/>
        <w:bottom w:val="none" w:sz="0" w:space="0" w:color="auto"/>
        <w:right w:val="none" w:sz="0" w:space="0" w:color="auto"/>
      </w:divBdr>
    </w:div>
    <w:div w:id="888147559">
      <w:marLeft w:val="480"/>
      <w:marRight w:val="0"/>
      <w:marTop w:val="0"/>
      <w:marBottom w:val="0"/>
      <w:divBdr>
        <w:top w:val="none" w:sz="0" w:space="0" w:color="auto"/>
        <w:left w:val="none" w:sz="0" w:space="0" w:color="auto"/>
        <w:bottom w:val="none" w:sz="0" w:space="0" w:color="auto"/>
        <w:right w:val="none" w:sz="0" w:space="0" w:color="auto"/>
      </w:divBdr>
    </w:div>
    <w:div w:id="888229772">
      <w:marLeft w:val="480"/>
      <w:marRight w:val="0"/>
      <w:marTop w:val="0"/>
      <w:marBottom w:val="0"/>
      <w:divBdr>
        <w:top w:val="none" w:sz="0" w:space="0" w:color="auto"/>
        <w:left w:val="none" w:sz="0" w:space="0" w:color="auto"/>
        <w:bottom w:val="none" w:sz="0" w:space="0" w:color="auto"/>
        <w:right w:val="none" w:sz="0" w:space="0" w:color="auto"/>
      </w:divBdr>
    </w:div>
    <w:div w:id="889536555">
      <w:marLeft w:val="480"/>
      <w:marRight w:val="0"/>
      <w:marTop w:val="0"/>
      <w:marBottom w:val="0"/>
      <w:divBdr>
        <w:top w:val="none" w:sz="0" w:space="0" w:color="auto"/>
        <w:left w:val="none" w:sz="0" w:space="0" w:color="auto"/>
        <w:bottom w:val="none" w:sz="0" w:space="0" w:color="auto"/>
        <w:right w:val="none" w:sz="0" w:space="0" w:color="auto"/>
      </w:divBdr>
    </w:div>
    <w:div w:id="891959705">
      <w:marLeft w:val="480"/>
      <w:marRight w:val="0"/>
      <w:marTop w:val="0"/>
      <w:marBottom w:val="0"/>
      <w:divBdr>
        <w:top w:val="none" w:sz="0" w:space="0" w:color="auto"/>
        <w:left w:val="none" w:sz="0" w:space="0" w:color="auto"/>
        <w:bottom w:val="none" w:sz="0" w:space="0" w:color="auto"/>
        <w:right w:val="none" w:sz="0" w:space="0" w:color="auto"/>
      </w:divBdr>
    </w:div>
    <w:div w:id="897012582">
      <w:marLeft w:val="480"/>
      <w:marRight w:val="0"/>
      <w:marTop w:val="0"/>
      <w:marBottom w:val="0"/>
      <w:divBdr>
        <w:top w:val="none" w:sz="0" w:space="0" w:color="auto"/>
        <w:left w:val="none" w:sz="0" w:space="0" w:color="auto"/>
        <w:bottom w:val="none" w:sz="0" w:space="0" w:color="auto"/>
        <w:right w:val="none" w:sz="0" w:space="0" w:color="auto"/>
      </w:divBdr>
    </w:div>
    <w:div w:id="900410204">
      <w:marLeft w:val="480"/>
      <w:marRight w:val="0"/>
      <w:marTop w:val="0"/>
      <w:marBottom w:val="0"/>
      <w:divBdr>
        <w:top w:val="none" w:sz="0" w:space="0" w:color="auto"/>
        <w:left w:val="none" w:sz="0" w:space="0" w:color="auto"/>
        <w:bottom w:val="none" w:sz="0" w:space="0" w:color="auto"/>
        <w:right w:val="none" w:sz="0" w:space="0" w:color="auto"/>
      </w:divBdr>
    </w:div>
    <w:div w:id="907572325">
      <w:marLeft w:val="480"/>
      <w:marRight w:val="0"/>
      <w:marTop w:val="0"/>
      <w:marBottom w:val="0"/>
      <w:divBdr>
        <w:top w:val="none" w:sz="0" w:space="0" w:color="auto"/>
        <w:left w:val="none" w:sz="0" w:space="0" w:color="auto"/>
        <w:bottom w:val="none" w:sz="0" w:space="0" w:color="auto"/>
        <w:right w:val="none" w:sz="0" w:space="0" w:color="auto"/>
      </w:divBdr>
    </w:div>
    <w:div w:id="908006181">
      <w:marLeft w:val="480"/>
      <w:marRight w:val="0"/>
      <w:marTop w:val="0"/>
      <w:marBottom w:val="0"/>
      <w:divBdr>
        <w:top w:val="none" w:sz="0" w:space="0" w:color="auto"/>
        <w:left w:val="none" w:sz="0" w:space="0" w:color="auto"/>
        <w:bottom w:val="none" w:sz="0" w:space="0" w:color="auto"/>
        <w:right w:val="none" w:sz="0" w:space="0" w:color="auto"/>
      </w:divBdr>
    </w:div>
    <w:div w:id="909539676">
      <w:marLeft w:val="480"/>
      <w:marRight w:val="0"/>
      <w:marTop w:val="0"/>
      <w:marBottom w:val="0"/>
      <w:divBdr>
        <w:top w:val="none" w:sz="0" w:space="0" w:color="auto"/>
        <w:left w:val="none" w:sz="0" w:space="0" w:color="auto"/>
        <w:bottom w:val="none" w:sz="0" w:space="0" w:color="auto"/>
        <w:right w:val="none" w:sz="0" w:space="0" w:color="auto"/>
      </w:divBdr>
    </w:div>
    <w:div w:id="910237114">
      <w:marLeft w:val="480"/>
      <w:marRight w:val="0"/>
      <w:marTop w:val="0"/>
      <w:marBottom w:val="0"/>
      <w:divBdr>
        <w:top w:val="none" w:sz="0" w:space="0" w:color="auto"/>
        <w:left w:val="none" w:sz="0" w:space="0" w:color="auto"/>
        <w:bottom w:val="none" w:sz="0" w:space="0" w:color="auto"/>
        <w:right w:val="none" w:sz="0" w:space="0" w:color="auto"/>
      </w:divBdr>
    </w:div>
    <w:div w:id="910623036">
      <w:marLeft w:val="480"/>
      <w:marRight w:val="0"/>
      <w:marTop w:val="0"/>
      <w:marBottom w:val="0"/>
      <w:divBdr>
        <w:top w:val="none" w:sz="0" w:space="0" w:color="auto"/>
        <w:left w:val="none" w:sz="0" w:space="0" w:color="auto"/>
        <w:bottom w:val="none" w:sz="0" w:space="0" w:color="auto"/>
        <w:right w:val="none" w:sz="0" w:space="0" w:color="auto"/>
      </w:divBdr>
    </w:div>
    <w:div w:id="920138563">
      <w:marLeft w:val="480"/>
      <w:marRight w:val="0"/>
      <w:marTop w:val="0"/>
      <w:marBottom w:val="0"/>
      <w:divBdr>
        <w:top w:val="none" w:sz="0" w:space="0" w:color="auto"/>
        <w:left w:val="none" w:sz="0" w:space="0" w:color="auto"/>
        <w:bottom w:val="none" w:sz="0" w:space="0" w:color="auto"/>
        <w:right w:val="none" w:sz="0" w:space="0" w:color="auto"/>
      </w:divBdr>
    </w:div>
    <w:div w:id="935093894">
      <w:marLeft w:val="480"/>
      <w:marRight w:val="0"/>
      <w:marTop w:val="0"/>
      <w:marBottom w:val="0"/>
      <w:divBdr>
        <w:top w:val="none" w:sz="0" w:space="0" w:color="auto"/>
        <w:left w:val="none" w:sz="0" w:space="0" w:color="auto"/>
        <w:bottom w:val="none" w:sz="0" w:space="0" w:color="auto"/>
        <w:right w:val="none" w:sz="0" w:space="0" w:color="auto"/>
      </w:divBdr>
    </w:div>
    <w:div w:id="938221431">
      <w:marLeft w:val="480"/>
      <w:marRight w:val="0"/>
      <w:marTop w:val="0"/>
      <w:marBottom w:val="0"/>
      <w:divBdr>
        <w:top w:val="none" w:sz="0" w:space="0" w:color="auto"/>
        <w:left w:val="none" w:sz="0" w:space="0" w:color="auto"/>
        <w:bottom w:val="none" w:sz="0" w:space="0" w:color="auto"/>
        <w:right w:val="none" w:sz="0" w:space="0" w:color="auto"/>
      </w:divBdr>
    </w:div>
    <w:div w:id="939028985">
      <w:marLeft w:val="480"/>
      <w:marRight w:val="0"/>
      <w:marTop w:val="0"/>
      <w:marBottom w:val="0"/>
      <w:divBdr>
        <w:top w:val="none" w:sz="0" w:space="0" w:color="auto"/>
        <w:left w:val="none" w:sz="0" w:space="0" w:color="auto"/>
        <w:bottom w:val="none" w:sz="0" w:space="0" w:color="auto"/>
        <w:right w:val="none" w:sz="0" w:space="0" w:color="auto"/>
      </w:divBdr>
    </w:div>
    <w:div w:id="949093371">
      <w:marLeft w:val="480"/>
      <w:marRight w:val="0"/>
      <w:marTop w:val="0"/>
      <w:marBottom w:val="0"/>
      <w:divBdr>
        <w:top w:val="none" w:sz="0" w:space="0" w:color="auto"/>
        <w:left w:val="none" w:sz="0" w:space="0" w:color="auto"/>
        <w:bottom w:val="none" w:sz="0" w:space="0" w:color="auto"/>
        <w:right w:val="none" w:sz="0" w:space="0" w:color="auto"/>
      </w:divBdr>
    </w:div>
    <w:div w:id="959871340">
      <w:marLeft w:val="480"/>
      <w:marRight w:val="0"/>
      <w:marTop w:val="0"/>
      <w:marBottom w:val="0"/>
      <w:divBdr>
        <w:top w:val="none" w:sz="0" w:space="0" w:color="auto"/>
        <w:left w:val="none" w:sz="0" w:space="0" w:color="auto"/>
        <w:bottom w:val="none" w:sz="0" w:space="0" w:color="auto"/>
        <w:right w:val="none" w:sz="0" w:space="0" w:color="auto"/>
      </w:divBdr>
    </w:div>
    <w:div w:id="962274726">
      <w:marLeft w:val="480"/>
      <w:marRight w:val="0"/>
      <w:marTop w:val="0"/>
      <w:marBottom w:val="0"/>
      <w:divBdr>
        <w:top w:val="none" w:sz="0" w:space="0" w:color="auto"/>
        <w:left w:val="none" w:sz="0" w:space="0" w:color="auto"/>
        <w:bottom w:val="none" w:sz="0" w:space="0" w:color="auto"/>
        <w:right w:val="none" w:sz="0" w:space="0" w:color="auto"/>
      </w:divBdr>
    </w:div>
    <w:div w:id="963389501">
      <w:marLeft w:val="480"/>
      <w:marRight w:val="0"/>
      <w:marTop w:val="0"/>
      <w:marBottom w:val="0"/>
      <w:divBdr>
        <w:top w:val="none" w:sz="0" w:space="0" w:color="auto"/>
        <w:left w:val="none" w:sz="0" w:space="0" w:color="auto"/>
        <w:bottom w:val="none" w:sz="0" w:space="0" w:color="auto"/>
        <w:right w:val="none" w:sz="0" w:space="0" w:color="auto"/>
      </w:divBdr>
    </w:div>
    <w:div w:id="973950287">
      <w:marLeft w:val="480"/>
      <w:marRight w:val="0"/>
      <w:marTop w:val="0"/>
      <w:marBottom w:val="0"/>
      <w:divBdr>
        <w:top w:val="none" w:sz="0" w:space="0" w:color="auto"/>
        <w:left w:val="none" w:sz="0" w:space="0" w:color="auto"/>
        <w:bottom w:val="none" w:sz="0" w:space="0" w:color="auto"/>
        <w:right w:val="none" w:sz="0" w:space="0" w:color="auto"/>
      </w:divBdr>
    </w:div>
    <w:div w:id="975909669">
      <w:marLeft w:val="480"/>
      <w:marRight w:val="0"/>
      <w:marTop w:val="0"/>
      <w:marBottom w:val="0"/>
      <w:divBdr>
        <w:top w:val="none" w:sz="0" w:space="0" w:color="auto"/>
        <w:left w:val="none" w:sz="0" w:space="0" w:color="auto"/>
        <w:bottom w:val="none" w:sz="0" w:space="0" w:color="auto"/>
        <w:right w:val="none" w:sz="0" w:space="0" w:color="auto"/>
      </w:divBdr>
    </w:div>
    <w:div w:id="976493700">
      <w:marLeft w:val="480"/>
      <w:marRight w:val="0"/>
      <w:marTop w:val="0"/>
      <w:marBottom w:val="0"/>
      <w:divBdr>
        <w:top w:val="none" w:sz="0" w:space="0" w:color="auto"/>
        <w:left w:val="none" w:sz="0" w:space="0" w:color="auto"/>
        <w:bottom w:val="none" w:sz="0" w:space="0" w:color="auto"/>
        <w:right w:val="none" w:sz="0" w:space="0" w:color="auto"/>
      </w:divBdr>
    </w:div>
    <w:div w:id="976841857">
      <w:marLeft w:val="480"/>
      <w:marRight w:val="0"/>
      <w:marTop w:val="0"/>
      <w:marBottom w:val="0"/>
      <w:divBdr>
        <w:top w:val="none" w:sz="0" w:space="0" w:color="auto"/>
        <w:left w:val="none" w:sz="0" w:space="0" w:color="auto"/>
        <w:bottom w:val="none" w:sz="0" w:space="0" w:color="auto"/>
        <w:right w:val="none" w:sz="0" w:space="0" w:color="auto"/>
      </w:divBdr>
    </w:div>
    <w:div w:id="984161612">
      <w:marLeft w:val="480"/>
      <w:marRight w:val="0"/>
      <w:marTop w:val="0"/>
      <w:marBottom w:val="0"/>
      <w:divBdr>
        <w:top w:val="none" w:sz="0" w:space="0" w:color="auto"/>
        <w:left w:val="none" w:sz="0" w:space="0" w:color="auto"/>
        <w:bottom w:val="none" w:sz="0" w:space="0" w:color="auto"/>
        <w:right w:val="none" w:sz="0" w:space="0" w:color="auto"/>
      </w:divBdr>
    </w:div>
    <w:div w:id="988365753">
      <w:marLeft w:val="480"/>
      <w:marRight w:val="0"/>
      <w:marTop w:val="0"/>
      <w:marBottom w:val="0"/>
      <w:divBdr>
        <w:top w:val="none" w:sz="0" w:space="0" w:color="auto"/>
        <w:left w:val="none" w:sz="0" w:space="0" w:color="auto"/>
        <w:bottom w:val="none" w:sz="0" w:space="0" w:color="auto"/>
        <w:right w:val="none" w:sz="0" w:space="0" w:color="auto"/>
      </w:divBdr>
    </w:div>
    <w:div w:id="991756533">
      <w:marLeft w:val="480"/>
      <w:marRight w:val="0"/>
      <w:marTop w:val="0"/>
      <w:marBottom w:val="0"/>
      <w:divBdr>
        <w:top w:val="none" w:sz="0" w:space="0" w:color="auto"/>
        <w:left w:val="none" w:sz="0" w:space="0" w:color="auto"/>
        <w:bottom w:val="none" w:sz="0" w:space="0" w:color="auto"/>
        <w:right w:val="none" w:sz="0" w:space="0" w:color="auto"/>
      </w:divBdr>
    </w:div>
    <w:div w:id="1010523953">
      <w:marLeft w:val="480"/>
      <w:marRight w:val="0"/>
      <w:marTop w:val="0"/>
      <w:marBottom w:val="0"/>
      <w:divBdr>
        <w:top w:val="none" w:sz="0" w:space="0" w:color="auto"/>
        <w:left w:val="none" w:sz="0" w:space="0" w:color="auto"/>
        <w:bottom w:val="none" w:sz="0" w:space="0" w:color="auto"/>
        <w:right w:val="none" w:sz="0" w:space="0" w:color="auto"/>
      </w:divBdr>
    </w:div>
    <w:div w:id="1042284827">
      <w:marLeft w:val="480"/>
      <w:marRight w:val="0"/>
      <w:marTop w:val="0"/>
      <w:marBottom w:val="0"/>
      <w:divBdr>
        <w:top w:val="none" w:sz="0" w:space="0" w:color="auto"/>
        <w:left w:val="none" w:sz="0" w:space="0" w:color="auto"/>
        <w:bottom w:val="none" w:sz="0" w:space="0" w:color="auto"/>
        <w:right w:val="none" w:sz="0" w:space="0" w:color="auto"/>
      </w:divBdr>
    </w:div>
    <w:div w:id="1045445310">
      <w:marLeft w:val="480"/>
      <w:marRight w:val="0"/>
      <w:marTop w:val="0"/>
      <w:marBottom w:val="0"/>
      <w:divBdr>
        <w:top w:val="none" w:sz="0" w:space="0" w:color="auto"/>
        <w:left w:val="none" w:sz="0" w:space="0" w:color="auto"/>
        <w:bottom w:val="none" w:sz="0" w:space="0" w:color="auto"/>
        <w:right w:val="none" w:sz="0" w:space="0" w:color="auto"/>
      </w:divBdr>
    </w:div>
    <w:div w:id="1061367450">
      <w:marLeft w:val="480"/>
      <w:marRight w:val="0"/>
      <w:marTop w:val="0"/>
      <w:marBottom w:val="0"/>
      <w:divBdr>
        <w:top w:val="none" w:sz="0" w:space="0" w:color="auto"/>
        <w:left w:val="none" w:sz="0" w:space="0" w:color="auto"/>
        <w:bottom w:val="none" w:sz="0" w:space="0" w:color="auto"/>
        <w:right w:val="none" w:sz="0" w:space="0" w:color="auto"/>
      </w:divBdr>
    </w:div>
    <w:div w:id="1062144355">
      <w:marLeft w:val="480"/>
      <w:marRight w:val="0"/>
      <w:marTop w:val="0"/>
      <w:marBottom w:val="0"/>
      <w:divBdr>
        <w:top w:val="none" w:sz="0" w:space="0" w:color="auto"/>
        <w:left w:val="none" w:sz="0" w:space="0" w:color="auto"/>
        <w:bottom w:val="none" w:sz="0" w:space="0" w:color="auto"/>
        <w:right w:val="none" w:sz="0" w:space="0" w:color="auto"/>
      </w:divBdr>
    </w:div>
    <w:div w:id="1064794793">
      <w:marLeft w:val="480"/>
      <w:marRight w:val="0"/>
      <w:marTop w:val="0"/>
      <w:marBottom w:val="0"/>
      <w:divBdr>
        <w:top w:val="none" w:sz="0" w:space="0" w:color="auto"/>
        <w:left w:val="none" w:sz="0" w:space="0" w:color="auto"/>
        <w:bottom w:val="none" w:sz="0" w:space="0" w:color="auto"/>
        <w:right w:val="none" w:sz="0" w:space="0" w:color="auto"/>
      </w:divBdr>
    </w:div>
    <w:div w:id="1065223774">
      <w:marLeft w:val="480"/>
      <w:marRight w:val="0"/>
      <w:marTop w:val="0"/>
      <w:marBottom w:val="0"/>
      <w:divBdr>
        <w:top w:val="none" w:sz="0" w:space="0" w:color="auto"/>
        <w:left w:val="none" w:sz="0" w:space="0" w:color="auto"/>
        <w:bottom w:val="none" w:sz="0" w:space="0" w:color="auto"/>
        <w:right w:val="none" w:sz="0" w:space="0" w:color="auto"/>
      </w:divBdr>
    </w:div>
    <w:div w:id="1067803339">
      <w:marLeft w:val="480"/>
      <w:marRight w:val="0"/>
      <w:marTop w:val="0"/>
      <w:marBottom w:val="0"/>
      <w:divBdr>
        <w:top w:val="none" w:sz="0" w:space="0" w:color="auto"/>
        <w:left w:val="none" w:sz="0" w:space="0" w:color="auto"/>
        <w:bottom w:val="none" w:sz="0" w:space="0" w:color="auto"/>
        <w:right w:val="none" w:sz="0" w:space="0" w:color="auto"/>
      </w:divBdr>
    </w:div>
    <w:div w:id="1073352532">
      <w:marLeft w:val="480"/>
      <w:marRight w:val="0"/>
      <w:marTop w:val="0"/>
      <w:marBottom w:val="0"/>
      <w:divBdr>
        <w:top w:val="none" w:sz="0" w:space="0" w:color="auto"/>
        <w:left w:val="none" w:sz="0" w:space="0" w:color="auto"/>
        <w:bottom w:val="none" w:sz="0" w:space="0" w:color="auto"/>
        <w:right w:val="none" w:sz="0" w:space="0" w:color="auto"/>
      </w:divBdr>
    </w:div>
    <w:div w:id="1075469851">
      <w:marLeft w:val="480"/>
      <w:marRight w:val="0"/>
      <w:marTop w:val="0"/>
      <w:marBottom w:val="0"/>
      <w:divBdr>
        <w:top w:val="none" w:sz="0" w:space="0" w:color="auto"/>
        <w:left w:val="none" w:sz="0" w:space="0" w:color="auto"/>
        <w:bottom w:val="none" w:sz="0" w:space="0" w:color="auto"/>
        <w:right w:val="none" w:sz="0" w:space="0" w:color="auto"/>
      </w:divBdr>
    </w:div>
    <w:div w:id="1077168673">
      <w:marLeft w:val="480"/>
      <w:marRight w:val="0"/>
      <w:marTop w:val="0"/>
      <w:marBottom w:val="0"/>
      <w:divBdr>
        <w:top w:val="none" w:sz="0" w:space="0" w:color="auto"/>
        <w:left w:val="none" w:sz="0" w:space="0" w:color="auto"/>
        <w:bottom w:val="none" w:sz="0" w:space="0" w:color="auto"/>
        <w:right w:val="none" w:sz="0" w:space="0" w:color="auto"/>
      </w:divBdr>
    </w:div>
    <w:div w:id="1081021900">
      <w:marLeft w:val="480"/>
      <w:marRight w:val="0"/>
      <w:marTop w:val="0"/>
      <w:marBottom w:val="0"/>
      <w:divBdr>
        <w:top w:val="none" w:sz="0" w:space="0" w:color="auto"/>
        <w:left w:val="none" w:sz="0" w:space="0" w:color="auto"/>
        <w:bottom w:val="none" w:sz="0" w:space="0" w:color="auto"/>
        <w:right w:val="none" w:sz="0" w:space="0" w:color="auto"/>
      </w:divBdr>
    </w:div>
    <w:div w:id="1091391472">
      <w:marLeft w:val="480"/>
      <w:marRight w:val="0"/>
      <w:marTop w:val="0"/>
      <w:marBottom w:val="0"/>
      <w:divBdr>
        <w:top w:val="none" w:sz="0" w:space="0" w:color="auto"/>
        <w:left w:val="none" w:sz="0" w:space="0" w:color="auto"/>
        <w:bottom w:val="none" w:sz="0" w:space="0" w:color="auto"/>
        <w:right w:val="none" w:sz="0" w:space="0" w:color="auto"/>
      </w:divBdr>
    </w:div>
    <w:div w:id="1094476076">
      <w:marLeft w:val="480"/>
      <w:marRight w:val="0"/>
      <w:marTop w:val="0"/>
      <w:marBottom w:val="0"/>
      <w:divBdr>
        <w:top w:val="none" w:sz="0" w:space="0" w:color="auto"/>
        <w:left w:val="none" w:sz="0" w:space="0" w:color="auto"/>
        <w:bottom w:val="none" w:sz="0" w:space="0" w:color="auto"/>
        <w:right w:val="none" w:sz="0" w:space="0" w:color="auto"/>
      </w:divBdr>
    </w:div>
    <w:div w:id="1101802387">
      <w:marLeft w:val="480"/>
      <w:marRight w:val="0"/>
      <w:marTop w:val="0"/>
      <w:marBottom w:val="0"/>
      <w:divBdr>
        <w:top w:val="none" w:sz="0" w:space="0" w:color="auto"/>
        <w:left w:val="none" w:sz="0" w:space="0" w:color="auto"/>
        <w:bottom w:val="none" w:sz="0" w:space="0" w:color="auto"/>
        <w:right w:val="none" w:sz="0" w:space="0" w:color="auto"/>
      </w:divBdr>
    </w:div>
    <w:div w:id="1122265390">
      <w:marLeft w:val="480"/>
      <w:marRight w:val="0"/>
      <w:marTop w:val="0"/>
      <w:marBottom w:val="0"/>
      <w:divBdr>
        <w:top w:val="none" w:sz="0" w:space="0" w:color="auto"/>
        <w:left w:val="none" w:sz="0" w:space="0" w:color="auto"/>
        <w:bottom w:val="none" w:sz="0" w:space="0" w:color="auto"/>
        <w:right w:val="none" w:sz="0" w:space="0" w:color="auto"/>
      </w:divBdr>
    </w:div>
    <w:div w:id="1127356666">
      <w:marLeft w:val="480"/>
      <w:marRight w:val="0"/>
      <w:marTop w:val="0"/>
      <w:marBottom w:val="0"/>
      <w:divBdr>
        <w:top w:val="none" w:sz="0" w:space="0" w:color="auto"/>
        <w:left w:val="none" w:sz="0" w:space="0" w:color="auto"/>
        <w:bottom w:val="none" w:sz="0" w:space="0" w:color="auto"/>
        <w:right w:val="none" w:sz="0" w:space="0" w:color="auto"/>
      </w:divBdr>
    </w:div>
    <w:div w:id="1136799156">
      <w:marLeft w:val="480"/>
      <w:marRight w:val="0"/>
      <w:marTop w:val="0"/>
      <w:marBottom w:val="0"/>
      <w:divBdr>
        <w:top w:val="none" w:sz="0" w:space="0" w:color="auto"/>
        <w:left w:val="none" w:sz="0" w:space="0" w:color="auto"/>
        <w:bottom w:val="none" w:sz="0" w:space="0" w:color="auto"/>
        <w:right w:val="none" w:sz="0" w:space="0" w:color="auto"/>
      </w:divBdr>
    </w:div>
    <w:div w:id="1141001327">
      <w:marLeft w:val="480"/>
      <w:marRight w:val="0"/>
      <w:marTop w:val="0"/>
      <w:marBottom w:val="0"/>
      <w:divBdr>
        <w:top w:val="none" w:sz="0" w:space="0" w:color="auto"/>
        <w:left w:val="none" w:sz="0" w:space="0" w:color="auto"/>
        <w:bottom w:val="none" w:sz="0" w:space="0" w:color="auto"/>
        <w:right w:val="none" w:sz="0" w:space="0" w:color="auto"/>
      </w:divBdr>
    </w:div>
    <w:div w:id="1144349492">
      <w:marLeft w:val="480"/>
      <w:marRight w:val="0"/>
      <w:marTop w:val="0"/>
      <w:marBottom w:val="0"/>
      <w:divBdr>
        <w:top w:val="none" w:sz="0" w:space="0" w:color="auto"/>
        <w:left w:val="none" w:sz="0" w:space="0" w:color="auto"/>
        <w:bottom w:val="none" w:sz="0" w:space="0" w:color="auto"/>
        <w:right w:val="none" w:sz="0" w:space="0" w:color="auto"/>
      </w:divBdr>
    </w:div>
    <w:div w:id="1144732750">
      <w:marLeft w:val="480"/>
      <w:marRight w:val="0"/>
      <w:marTop w:val="0"/>
      <w:marBottom w:val="0"/>
      <w:divBdr>
        <w:top w:val="none" w:sz="0" w:space="0" w:color="auto"/>
        <w:left w:val="none" w:sz="0" w:space="0" w:color="auto"/>
        <w:bottom w:val="none" w:sz="0" w:space="0" w:color="auto"/>
        <w:right w:val="none" w:sz="0" w:space="0" w:color="auto"/>
      </w:divBdr>
    </w:div>
    <w:div w:id="1147429843">
      <w:marLeft w:val="480"/>
      <w:marRight w:val="0"/>
      <w:marTop w:val="0"/>
      <w:marBottom w:val="0"/>
      <w:divBdr>
        <w:top w:val="none" w:sz="0" w:space="0" w:color="auto"/>
        <w:left w:val="none" w:sz="0" w:space="0" w:color="auto"/>
        <w:bottom w:val="none" w:sz="0" w:space="0" w:color="auto"/>
        <w:right w:val="none" w:sz="0" w:space="0" w:color="auto"/>
      </w:divBdr>
    </w:div>
    <w:div w:id="1156918887">
      <w:marLeft w:val="480"/>
      <w:marRight w:val="0"/>
      <w:marTop w:val="0"/>
      <w:marBottom w:val="0"/>
      <w:divBdr>
        <w:top w:val="none" w:sz="0" w:space="0" w:color="auto"/>
        <w:left w:val="none" w:sz="0" w:space="0" w:color="auto"/>
        <w:bottom w:val="none" w:sz="0" w:space="0" w:color="auto"/>
        <w:right w:val="none" w:sz="0" w:space="0" w:color="auto"/>
      </w:divBdr>
    </w:div>
    <w:div w:id="1169566111">
      <w:marLeft w:val="480"/>
      <w:marRight w:val="0"/>
      <w:marTop w:val="0"/>
      <w:marBottom w:val="0"/>
      <w:divBdr>
        <w:top w:val="none" w:sz="0" w:space="0" w:color="auto"/>
        <w:left w:val="none" w:sz="0" w:space="0" w:color="auto"/>
        <w:bottom w:val="none" w:sz="0" w:space="0" w:color="auto"/>
        <w:right w:val="none" w:sz="0" w:space="0" w:color="auto"/>
      </w:divBdr>
    </w:div>
    <w:div w:id="1172257741">
      <w:marLeft w:val="480"/>
      <w:marRight w:val="0"/>
      <w:marTop w:val="0"/>
      <w:marBottom w:val="0"/>
      <w:divBdr>
        <w:top w:val="none" w:sz="0" w:space="0" w:color="auto"/>
        <w:left w:val="none" w:sz="0" w:space="0" w:color="auto"/>
        <w:bottom w:val="none" w:sz="0" w:space="0" w:color="auto"/>
        <w:right w:val="none" w:sz="0" w:space="0" w:color="auto"/>
      </w:divBdr>
    </w:div>
    <w:div w:id="1188564845">
      <w:marLeft w:val="480"/>
      <w:marRight w:val="0"/>
      <w:marTop w:val="0"/>
      <w:marBottom w:val="0"/>
      <w:divBdr>
        <w:top w:val="none" w:sz="0" w:space="0" w:color="auto"/>
        <w:left w:val="none" w:sz="0" w:space="0" w:color="auto"/>
        <w:bottom w:val="none" w:sz="0" w:space="0" w:color="auto"/>
        <w:right w:val="none" w:sz="0" w:space="0" w:color="auto"/>
      </w:divBdr>
    </w:div>
    <w:div w:id="1198392757">
      <w:marLeft w:val="480"/>
      <w:marRight w:val="0"/>
      <w:marTop w:val="0"/>
      <w:marBottom w:val="0"/>
      <w:divBdr>
        <w:top w:val="none" w:sz="0" w:space="0" w:color="auto"/>
        <w:left w:val="none" w:sz="0" w:space="0" w:color="auto"/>
        <w:bottom w:val="none" w:sz="0" w:space="0" w:color="auto"/>
        <w:right w:val="none" w:sz="0" w:space="0" w:color="auto"/>
      </w:divBdr>
    </w:div>
    <w:div w:id="1198785475">
      <w:marLeft w:val="480"/>
      <w:marRight w:val="0"/>
      <w:marTop w:val="0"/>
      <w:marBottom w:val="0"/>
      <w:divBdr>
        <w:top w:val="none" w:sz="0" w:space="0" w:color="auto"/>
        <w:left w:val="none" w:sz="0" w:space="0" w:color="auto"/>
        <w:bottom w:val="none" w:sz="0" w:space="0" w:color="auto"/>
        <w:right w:val="none" w:sz="0" w:space="0" w:color="auto"/>
      </w:divBdr>
    </w:div>
    <w:div w:id="1200126553">
      <w:marLeft w:val="480"/>
      <w:marRight w:val="0"/>
      <w:marTop w:val="0"/>
      <w:marBottom w:val="0"/>
      <w:divBdr>
        <w:top w:val="none" w:sz="0" w:space="0" w:color="auto"/>
        <w:left w:val="none" w:sz="0" w:space="0" w:color="auto"/>
        <w:bottom w:val="none" w:sz="0" w:space="0" w:color="auto"/>
        <w:right w:val="none" w:sz="0" w:space="0" w:color="auto"/>
      </w:divBdr>
    </w:div>
    <w:div w:id="1207184524">
      <w:marLeft w:val="480"/>
      <w:marRight w:val="0"/>
      <w:marTop w:val="0"/>
      <w:marBottom w:val="0"/>
      <w:divBdr>
        <w:top w:val="none" w:sz="0" w:space="0" w:color="auto"/>
        <w:left w:val="none" w:sz="0" w:space="0" w:color="auto"/>
        <w:bottom w:val="none" w:sz="0" w:space="0" w:color="auto"/>
        <w:right w:val="none" w:sz="0" w:space="0" w:color="auto"/>
      </w:divBdr>
    </w:div>
    <w:div w:id="1216697082">
      <w:marLeft w:val="480"/>
      <w:marRight w:val="0"/>
      <w:marTop w:val="0"/>
      <w:marBottom w:val="0"/>
      <w:divBdr>
        <w:top w:val="none" w:sz="0" w:space="0" w:color="auto"/>
        <w:left w:val="none" w:sz="0" w:space="0" w:color="auto"/>
        <w:bottom w:val="none" w:sz="0" w:space="0" w:color="auto"/>
        <w:right w:val="none" w:sz="0" w:space="0" w:color="auto"/>
      </w:divBdr>
    </w:div>
    <w:div w:id="1219512035">
      <w:marLeft w:val="480"/>
      <w:marRight w:val="0"/>
      <w:marTop w:val="0"/>
      <w:marBottom w:val="0"/>
      <w:divBdr>
        <w:top w:val="none" w:sz="0" w:space="0" w:color="auto"/>
        <w:left w:val="none" w:sz="0" w:space="0" w:color="auto"/>
        <w:bottom w:val="none" w:sz="0" w:space="0" w:color="auto"/>
        <w:right w:val="none" w:sz="0" w:space="0" w:color="auto"/>
      </w:divBdr>
    </w:div>
    <w:div w:id="1229270051">
      <w:marLeft w:val="480"/>
      <w:marRight w:val="0"/>
      <w:marTop w:val="0"/>
      <w:marBottom w:val="0"/>
      <w:divBdr>
        <w:top w:val="none" w:sz="0" w:space="0" w:color="auto"/>
        <w:left w:val="none" w:sz="0" w:space="0" w:color="auto"/>
        <w:bottom w:val="none" w:sz="0" w:space="0" w:color="auto"/>
        <w:right w:val="none" w:sz="0" w:space="0" w:color="auto"/>
      </w:divBdr>
    </w:div>
    <w:div w:id="1231499782">
      <w:marLeft w:val="480"/>
      <w:marRight w:val="0"/>
      <w:marTop w:val="0"/>
      <w:marBottom w:val="0"/>
      <w:divBdr>
        <w:top w:val="none" w:sz="0" w:space="0" w:color="auto"/>
        <w:left w:val="none" w:sz="0" w:space="0" w:color="auto"/>
        <w:bottom w:val="none" w:sz="0" w:space="0" w:color="auto"/>
        <w:right w:val="none" w:sz="0" w:space="0" w:color="auto"/>
      </w:divBdr>
    </w:div>
    <w:div w:id="1233388991">
      <w:marLeft w:val="480"/>
      <w:marRight w:val="0"/>
      <w:marTop w:val="0"/>
      <w:marBottom w:val="0"/>
      <w:divBdr>
        <w:top w:val="none" w:sz="0" w:space="0" w:color="auto"/>
        <w:left w:val="none" w:sz="0" w:space="0" w:color="auto"/>
        <w:bottom w:val="none" w:sz="0" w:space="0" w:color="auto"/>
        <w:right w:val="none" w:sz="0" w:space="0" w:color="auto"/>
      </w:divBdr>
    </w:div>
    <w:div w:id="1251037351">
      <w:marLeft w:val="480"/>
      <w:marRight w:val="0"/>
      <w:marTop w:val="0"/>
      <w:marBottom w:val="0"/>
      <w:divBdr>
        <w:top w:val="none" w:sz="0" w:space="0" w:color="auto"/>
        <w:left w:val="none" w:sz="0" w:space="0" w:color="auto"/>
        <w:bottom w:val="none" w:sz="0" w:space="0" w:color="auto"/>
        <w:right w:val="none" w:sz="0" w:space="0" w:color="auto"/>
      </w:divBdr>
    </w:div>
    <w:div w:id="1262183315">
      <w:marLeft w:val="480"/>
      <w:marRight w:val="0"/>
      <w:marTop w:val="0"/>
      <w:marBottom w:val="0"/>
      <w:divBdr>
        <w:top w:val="none" w:sz="0" w:space="0" w:color="auto"/>
        <w:left w:val="none" w:sz="0" w:space="0" w:color="auto"/>
        <w:bottom w:val="none" w:sz="0" w:space="0" w:color="auto"/>
        <w:right w:val="none" w:sz="0" w:space="0" w:color="auto"/>
      </w:divBdr>
    </w:div>
    <w:div w:id="1270508597">
      <w:marLeft w:val="480"/>
      <w:marRight w:val="0"/>
      <w:marTop w:val="0"/>
      <w:marBottom w:val="0"/>
      <w:divBdr>
        <w:top w:val="none" w:sz="0" w:space="0" w:color="auto"/>
        <w:left w:val="none" w:sz="0" w:space="0" w:color="auto"/>
        <w:bottom w:val="none" w:sz="0" w:space="0" w:color="auto"/>
        <w:right w:val="none" w:sz="0" w:space="0" w:color="auto"/>
      </w:divBdr>
    </w:div>
    <w:div w:id="1290696957">
      <w:marLeft w:val="480"/>
      <w:marRight w:val="0"/>
      <w:marTop w:val="0"/>
      <w:marBottom w:val="0"/>
      <w:divBdr>
        <w:top w:val="none" w:sz="0" w:space="0" w:color="auto"/>
        <w:left w:val="none" w:sz="0" w:space="0" w:color="auto"/>
        <w:bottom w:val="none" w:sz="0" w:space="0" w:color="auto"/>
        <w:right w:val="none" w:sz="0" w:space="0" w:color="auto"/>
      </w:divBdr>
    </w:div>
    <w:div w:id="1291091293">
      <w:marLeft w:val="480"/>
      <w:marRight w:val="0"/>
      <w:marTop w:val="0"/>
      <w:marBottom w:val="0"/>
      <w:divBdr>
        <w:top w:val="none" w:sz="0" w:space="0" w:color="auto"/>
        <w:left w:val="none" w:sz="0" w:space="0" w:color="auto"/>
        <w:bottom w:val="none" w:sz="0" w:space="0" w:color="auto"/>
        <w:right w:val="none" w:sz="0" w:space="0" w:color="auto"/>
      </w:divBdr>
    </w:div>
    <w:div w:id="1300040002">
      <w:marLeft w:val="480"/>
      <w:marRight w:val="0"/>
      <w:marTop w:val="0"/>
      <w:marBottom w:val="0"/>
      <w:divBdr>
        <w:top w:val="none" w:sz="0" w:space="0" w:color="auto"/>
        <w:left w:val="none" w:sz="0" w:space="0" w:color="auto"/>
        <w:bottom w:val="none" w:sz="0" w:space="0" w:color="auto"/>
        <w:right w:val="none" w:sz="0" w:space="0" w:color="auto"/>
      </w:divBdr>
    </w:div>
    <w:div w:id="1316644331">
      <w:marLeft w:val="480"/>
      <w:marRight w:val="0"/>
      <w:marTop w:val="0"/>
      <w:marBottom w:val="0"/>
      <w:divBdr>
        <w:top w:val="none" w:sz="0" w:space="0" w:color="auto"/>
        <w:left w:val="none" w:sz="0" w:space="0" w:color="auto"/>
        <w:bottom w:val="none" w:sz="0" w:space="0" w:color="auto"/>
        <w:right w:val="none" w:sz="0" w:space="0" w:color="auto"/>
      </w:divBdr>
    </w:div>
    <w:div w:id="1317803804">
      <w:marLeft w:val="480"/>
      <w:marRight w:val="0"/>
      <w:marTop w:val="0"/>
      <w:marBottom w:val="0"/>
      <w:divBdr>
        <w:top w:val="none" w:sz="0" w:space="0" w:color="auto"/>
        <w:left w:val="none" w:sz="0" w:space="0" w:color="auto"/>
        <w:bottom w:val="none" w:sz="0" w:space="0" w:color="auto"/>
        <w:right w:val="none" w:sz="0" w:space="0" w:color="auto"/>
      </w:divBdr>
    </w:div>
    <w:div w:id="1323967459">
      <w:marLeft w:val="480"/>
      <w:marRight w:val="0"/>
      <w:marTop w:val="0"/>
      <w:marBottom w:val="0"/>
      <w:divBdr>
        <w:top w:val="none" w:sz="0" w:space="0" w:color="auto"/>
        <w:left w:val="none" w:sz="0" w:space="0" w:color="auto"/>
        <w:bottom w:val="none" w:sz="0" w:space="0" w:color="auto"/>
        <w:right w:val="none" w:sz="0" w:space="0" w:color="auto"/>
      </w:divBdr>
    </w:div>
    <w:div w:id="1328171293">
      <w:marLeft w:val="480"/>
      <w:marRight w:val="0"/>
      <w:marTop w:val="0"/>
      <w:marBottom w:val="0"/>
      <w:divBdr>
        <w:top w:val="none" w:sz="0" w:space="0" w:color="auto"/>
        <w:left w:val="none" w:sz="0" w:space="0" w:color="auto"/>
        <w:bottom w:val="none" w:sz="0" w:space="0" w:color="auto"/>
        <w:right w:val="none" w:sz="0" w:space="0" w:color="auto"/>
      </w:divBdr>
    </w:div>
    <w:div w:id="1332830993">
      <w:marLeft w:val="480"/>
      <w:marRight w:val="0"/>
      <w:marTop w:val="0"/>
      <w:marBottom w:val="0"/>
      <w:divBdr>
        <w:top w:val="none" w:sz="0" w:space="0" w:color="auto"/>
        <w:left w:val="none" w:sz="0" w:space="0" w:color="auto"/>
        <w:bottom w:val="none" w:sz="0" w:space="0" w:color="auto"/>
        <w:right w:val="none" w:sz="0" w:space="0" w:color="auto"/>
      </w:divBdr>
    </w:div>
    <w:div w:id="1334646552">
      <w:marLeft w:val="480"/>
      <w:marRight w:val="0"/>
      <w:marTop w:val="0"/>
      <w:marBottom w:val="0"/>
      <w:divBdr>
        <w:top w:val="none" w:sz="0" w:space="0" w:color="auto"/>
        <w:left w:val="none" w:sz="0" w:space="0" w:color="auto"/>
        <w:bottom w:val="none" w:sz="0" w:space="0" w:color="auto"/>
        <w:right w:val="none" w:sz="0" w:space="0" w:color="auto"/>
      </w:divBdr>
    </w:div>
    <w:div w:id="1334986819">
      <w:marLeft w:val="480"/>
      <w:marRight w:val="0"/>
      <w:marTop w:val="0"/>
      <w:marBottom w:val="0"/>
      <w:divBdr>
        <w:top w:val="none" w:sz="0" w:space="0" w:color="auto"/>
        <w:left w:val="none" w:sz="0" w:space="0" w:color="auto"/>
        <w:bottom w:val="none" w:sz="0" w:space="0" w:color="auto"/>
        <w:right w:val="none" w:sz="0" w:space="0" w:color="auto"/>
      </w:divBdr>
    </w:div>
    <w:div w:id="1341739281">
      <w:marLeft w:val="480"/>
      <w:marRight w:val="0"/>
      <w:marTop w:val="0"/>
      <w:marBottom w:val="0"/>
      <w:divBdr>
        <w:top w:val="none" w:sz="0" w:space="0" w:color="auto"/>
        <w:left w:val="none" w:sz="0" w:space="0" w:color="auto"/>
        <w:bottom w:val="none" w:sz="0" w:space="0" w:color="auto"/>
        <w:right w:val="none" w:sz="0" w:space="0" w:color="auto"/>
      </w:divBdr>
    </w:div>
    <w:div w:id="1341925917">
      <w:marLeft w:val="480"/>
      <w:marRight w:val="0"/>
      <w:marTop w:val="0"/>
      <w:marBottom w:val="0"/>
      <w:divBdr>
        <w:top w:val="none" w:sz="0" w:space="0" w:color="auto"/>
        <w:left w:val="none" w:sz="0" w:space="0" w:color="auto"/>
        <w:bottom w:val="none" w:sz="0" w:space="0" w:color="auto"/>
        <w:right w:val="none" w:sz="0" w:space="0" w:color="auto"/>
      </w:divBdr>
    </w:div>
    <w:div w:id="1343819045">
      <w:marLeft w:val="480"/>
      <w:marRight w:val="0"/>
      <w:marTop w:val="0"/>
      <w:marBottom w:val="0"/>
      <w:divBdr>
        <w:top w:val="none" w:sz="0" w:space="0" w:color="auto"/>
        <w:left w:val="none" w:sz="0" w:space="0" w:color="auto"/>
        <w:bottom w:val="none" w:sz="0" w:space="0" w:color="auto"/>
        <w:right w:val="none" w:sz="0" w:space="0" w:color="auto"/>
      </w:divBdr>
    </w:div>
    <w:div w:id="1365666520">
      <w:marLeft w:val="480"/>
      <w:marRight w:val="0"/>
      <w:marTop w:val="0"/>
      <w:marBottom w:val="0"/>
      <w:divBdr>
        <w:top w:val="none" w:sz="0" w:space="0" w:color="auto"/>
        <w:left w:val="none" w:sz="0" w:space="0" w:color="auto"/>
        <w:bottom w:val="none" w:sz="0" w:space="0" w:color="auto"/>
        <w:right w:val="none" w:sz="0" w:space="0" w:color="auto"/>
      </w:divBdr>
    </w:div>
    <w:div w:id="1369719744">
      <w:marLeft w:val="480"/>
      <w:marRight w:val="0"/>
      <w:marTop w:val="0"/>
      <w:marBottom w:val="0"/>
      <w:divBdr>
        <w:top w:val="none" w:sz="0" w:space="0" w:color="auto"/>
        <w:left w:val="none" w:sz="0" w:space="0" w:color="auto"/>
        <w:bottom w:val="none" w:sz="0" w:space="0" w:color="auto"/>
        <w:right w:val="none" w:sz="0" w:space="0" w:color="auto"/>
      </w:divBdr>
    </w:div>
    <w:div w:id="1373117141">
      <w:marLeft w:val="480"/>
      <w:marRight w:val="0"/>
      <w:marTop w:val="0"/>
      <w:marBottom w:val="0"/>
      <w:divBdr>
        <w:top w:val="none" w:sz="0" w:space="0" w:color="auto"/>
        <w:left w:val="none" w:sz="0" w:space="0" w:color="auto"/>
        <w:bottom w:val="none" w:sz="0" w:space="0" w:color="auto"/>
        <w:right w:val="none" w:sz="0" w:space="0" w:color="auto"/>
      </w:divBdr>
    </w:div>
    <w:div w:id="1407337010">
      <w:marLeft w:val="480"/>
      <w:marRight w:val="0"/>
      <w:marTop w:val="0"/>
      <w:marBottom w:val="0"/>
      <w:divBdr>
        <w:top w:val="none" w:sz="0" w:space="0" w:color="auto"/>
        <w:left w:val="none" w:sz="0" w:space="0" w:color="auto"/>
        <w:bottom w:val="none" w:sz="0" w:space="0" w:color="auto"/>
        <w:right w:val="none" w:sz="0" w:space="0" w:color="auto"/>
      </w:divBdr>
    </w:div>
    <w:div w:id="1408191281">
      <w:marLeft w:val="480"/>
      <w:marRight w:val="0"/>
      <w:marTop w:val="0"/>
      <w:marBottom w:val="0"/>
      <w:divBdr>
        <w:top w:val="none" w:sz="0" w:space="0" w:color="auto"/>
        <w:left w:val="none" w:sz="0" w:space="0" w:color="auto"/>
        <w:bottom w:val="none" w:sz="0" w:space="0" w:color="auto"/>
        <w:right w:val="none" w:sz="0" w:space="0" w:color="auto"/>
      </w:divBdr>
    </w:div>
    <w:div w:id="1434086481">
      <w:marLeft w:val="480"/>
      <w:marRight w:val="0"/>
      <w:marTop w:val="0"/>
      <w:marBottom w:val="0"/>
      <w:divBdr>
        <w:top w:val="none" w:sz="0" w:space="0" w:color="auto"/>
        <w:left w:val="none" w:sz="0" w:space="0" w:color="auto"/>
        <w:bottom w:val="none" w:sz="0" w:space="0" w:color="auto"/>
        <w:right w:val="none" w:sz="0" w:space="0" w:color="auto"/>
      </w:divBdr>
    </w:div>
    <w:div w:id="1439714252">
      <w:marLeft w:val="480"/>
      <w:marRight w:val="0"/>
      <w:marTop w:val="0"/>
      <w:marBottom w:val="0"/>
      <w:divBdr>
        <w:top w:val="none" w:sz="0" w:space="0" w:color="auto"/>
        <w:left w:val="none" w:sz="0" w:space="0" w:color="auto"/>
        <w:bottom w:val="none" w:sz="0" w:space="0" w:color="auto"/>
        <w:right w:val="none" w:sz="0" w:space="0" w:color="auto"/>
      </w:divBdr>
    </w:div>
    <w:div w:id="1443498142">
      <w:marLeft w:val="480"/>
      <w:marRight w:val="0"/>
      <w:marTop w:val="0"/>
      <w:marBottom w:val="0"/>
      <w:divBdr>
        <w:top w:val="none" w:sz="0" w:space="0" w:color="auto"/>
        <w:left w:val="none" w:sz="0" w:space="0" w:color="auto"/>
        <w:bottom w:val="none" w:sz="0" w:space="0" w:color="auto"/>
        <w:right w:val="none" w:sz="0" w:space="0" w:color="auto"/>
      </w:divBdr>
    </w:div>
    <w:div w:id="1453748556">
      <w:marLeft w:val="480"/>
      <w:marRight w:val="0"/>
      <w:marTop w:val="0"/>
      <w:marBottom w:val="0"/>
      <w:divBdr>
        <w:top w:val="none" w:sz="0" w:space="0" w:color="auto"/>
        <w:left w:val="none" w:sz="0" w:space="0" w:color="auto"/>
        <w:bottom w:val="none" w:sz="0" w:space="0" w:color="auto"/>
        <w:right w:val="none" w:sz="0" w:space="0" w:color="auto"/>
      </w:divBdr>
    </w:div>
    <w:div w:id="1456289388">
      <w:marLeft w:val="480"/>
      <w:marRight w:val="0"/>
      <w:marTop w:val="0"/>
      <w:marBottom w:val="0"/>
      <w:divBdr>
        <w:top w:val="none" w:sz="0" w:space="0" w:color="auto"/>
        <w:left w:val="none" w:sz="0" w:space="0" w:color="auto"/>
        <w:bottom w:val="none" w:sz="0" w:space="0" w:color="auto"/>
        <w:right w:val="none" w:sz="0" w:space="0" w:color="auto"/>
      </w:divBdr>
    </w:div>
    <w:div w:id="1468278791">
      <w:marLeft w:val="480"/>
      <w:marRight w:val="0"/>
      <w:marTop w:val="0"/>
      <w:marBottom w:val="0"/>
      <w:divBdr>
        <w:top w:val="none" w:sz="0" w:space="0" w:color="auto"/>
        <w:left w:val="none" w:sz="0" w:space="0" w:color="auto"/>
        <w:bottom w:val="none" w:sz="0" w:space="0" w:color="auto"/>
        <w:right w:val="none" w:sz="0" w:space="0" w:color="auto"/>
      </w:divBdr>
    </w:div>
    <w:div w:id="1482884282">
      <w:marLeft w:val="480"/>
      <w:marRight w:val="0"/>
      <w:marTop w:val="0"/>
      <w:marBottom w:val="0"/>
      <w:divBdr>
        <w:top w:val="none" w:sz="0" w:space="0" w:color="auto"/>
        <w:left w:val="none" w:sz="0" w:space="0" w:color="auto"/>
        <w:bottom w:val="none" w:sz="0" w:space="0" w:color="auto"/>
        <w:right w:val="none" w:sz="0" w:space="0" w:color="auto"/>
      </w:divBdr>
    </w:div>
    <w:div w:id="1483615065">
      <w:marLeft w:val="480"/>
      <w:marRight w:val="0"/>
      <w:marTop w:val="0"/>
      <w:marBottom w:val="0"/>
      <w:divBdr>
        <w:top w:val="none" w:sz="0" w:space="0" w:color="auto"/>
        <w:left w:val="none" w:sz="0" w:space="0" w:color="auto"/>
        <w:bottom w:val="none" w:sz="0" w:space="0" w:color="auto"/>
        <w:right w:val="none" w:sz="0" w:space="0" w:color="auto"/>
      </w:divBdr>
    </w:div>
    <w:div w:id="1485899779">
      <w:marLeft w:val="480"/>
      <w:marRight w:val="0"/>
      <w:marTop w:val="0"/>
      <w:marBottom w:val="0"/>
      <w:divBdr>
        <w:top w:val="none" w:sz="0" w:space="0" w:color="auto"/>
        <w:left w:val="none" w:sz="0" w:space="0" w:color="auto"/>
        <w:bottom w:val="none" w:sz="0" w:space="0" w:color="auto"/>
        <w:right w:val="none" w:sz="0" w:space="0" w:color="auto"/>
      </w:divBdr>
    </w:div>
    <w:div w:id="1489978010">
      <w:marLeft w:val="480"/>
      <w:marRight w:val="0"/>
      <w:marTop w:val="0"/>
      <w:marBottom w:val="0"/>
      <w:divBdr>
        <w:top w:val="none" w:sz="0" w:space="0" w:color="auto"/>
        <w:left w:val="none" w:sz="0" w:space="0" w:color="auto"/>
        <w:bottom w:val="none" w:sz="0" w:space="0" w:color="auto"/>
        <w:right w:val="none" w:sz="0" w:space="0" w:color="auto"/>
      </w:divBdr>
    </w:div>
    <w:div w:id="1490486535">
      <w:marLeft w:val="480"/>
      <w:marRight w:val="0"/>
      <w:marTop w:val="0"/>
      <w:marBottom w:val="0"/>
      <w:divBdr>
        <w:top w:val="none" w:sz="0" w:space="0" w:color="auto"/>
        <w:left w:val="none" w:sz="0" w:space="0" w:color="auto"/>
        <w:bottom w:val="none" w:sz="0" w:space="0" w:color="auto"/>
        <w:right w:val="none" w:sz="0" w:space="0" w:color="auto"/>
      </w:divBdr>
    </w:div>
    <w:div w:id="1502742853">
      <w:marLeft w:val="480"/>
      <w:marRight w:val="0"/>
      <w:marTop w:val="0"/>
      <w:marBottom w:val="0"/>
      <w:divBdr>
        <w:top w:val="none" w:sz="0" w:space="0" w:color="auto"/>
        <w:left w:val="none" w:sz="0" w:space="0" w:color="auto"/>
        <w:bottom w:val="none" w:sz="0" w:space="0" w:color="auto"/>
        <w:right w:val="none" w:sz="0" w:space="0" w:color="auto"/>
      </w:divBdr>
    </w:div>
    <w:div w:id="1507524963">
      <w:marLeft w:val="480"/>
      <w:marRight w:val="0"/>
      <w:marTop w:val="0"/>
      <w:marBottom w:val="0"/>
      <w:divBdr>
        <w:top w:val="none" w:sz="0" w:space="0" w:color="auto"/>
        <w:left w:val="none" w:sz="0" w:space="0" w:color="auto"/>
        <w:bottom w:val="none" w:sz="0" w:space="0" w:color="auto"/>
        <w:right w:val="none" w:sz="0" w:space="0" w:color="auto"/>
      </w:divBdr>
    </w:div>
    <w:div w:id="1510410544">
      <w:marLeft w:val="480"/>
      <w:marRight w:val="0"/>
      <w:marTop w:val="0"/>
      <w:marBottom w:val="0"/>
      <w:divBdr>
        <w:top w:val="none" w:sz="0" w:space="0" w:color="auto"/>
        <w:left w:val="none" w:sz="0" w:space="0" w:color="auto"/>
        <w:bottom w:val="none" w:sz="0" w:space="0" w:color="auto"/>
        <w:right w:val="none" w:sz="0" w:space="0" w:color="auto"/>
      </w:divBdr>
    </w:div>
    <w:div w:id="1510758606">
      <w:marLeft w:val="480"/>
      <w:marRight w:val="0"/>
      <w:marTop w:val="0"/>
      <w:marBottom w:val="0"/>
      <w:divBdr>
        <w:top w:val="none" w:sz="0" w:space="0" w:color="auto"/>
        <w:left w:val="none" w:sz="0" w:space="0" w:color="auto"/>
        <w:bottom w:val="none" w:sz="0" w:space="0" w:color="auto"/>
        <w:right w:val="none" w:sz="0" w:space="0" w:color="auto"/>
      </w:divBdr>
    </w:div>
    <w:div w:id="1510873632">
      <w:marLeft w:val="480"/>
      <w:marRight w:val="0"/>
      <w:marTop w:val="0"/>
      <w:marBottom w:val="0"/>
      <w:divBdr>
        <w:top w:val="none" w:sz="0" w:space="0" w:color="auto"/>
        <w:left w:val="none" w:sz="0" w:space="0" w:color="auto"/>
        <w:bottom w:val="none" w:sz="0" w:space="0" w:color="auto"/>
        <w:right w:val="none" w:sz="0" w:space="0" w:color="auto"/>
      </w:divBdr>
    </w:div>
    <w:div w:id="1516920544">
      <w:marLeft w:val="480"/>
      <w:marRight w:val="0"/>
      <w:marTop w:val="0"/>
      <w:marBottom w:val="0"/>
      <w:divBdr>
        <w:top w:val="none" w:sz="0" w:space="0" w:color="auto"/>
        <w:left w:val="none" w:sz="0" w:space="0" w:color="auto"/>
        <w:bottom w:val="none" w:sz="0" w:space="0" w:color="auto"/>
        <w:right w:val="none" w:sz="0" w:space="0" w:color="auto"/>
      </w:divBdr>
    </w:div>
    <w:div w:id="1519583718">
      <w:marLeft w:val="480"/>
      <w:marRight w:val="0"/>
      <w:marTop w:val="0"/>
      <w:marBottom w:val="0"/>
      <w:divBdr>
        <w:top w:val="none" w:sz="0" w:space="0" w:color="auto"/>
        <w:left w:val="none" w:sz="0" w:space="0" w:color="auto"/>
        <w:bottom w:val="none" w:sz="0" w:space="0" w:color="auto"/>
        <w:right w:val="none" w:sz="0" w:space="0" w:color="auto"/>
      </w:divBdr>
    </w:div>
    <w:div w:id="1537548112">
      <w:marLeft w:val="480"/>
      <w:marRight w:val="0"/>
      <w:marTop w:val="0"/>
      <w:marBottom w:val="0"/>
      <w:divBdr>
        <w:top w:val="none" w:sz="0" w:space="0" w:color="auto"/>
        <w:left w:val="none" w:sz="0" w:space="0" w:color="auto"/>
        <w:bottom w:val="none" w:sz="0" w:space="0" w:color="auto"/>
        <w:right w:val="none" w:sz="0" w:space="0" w:color="auto"/>
      </w:divBdr>
    </w:div>
    <w:div w:id="1539004916">
      <w:marLeft w:val="480"/>
      <w:marRight w:val="0"/>
      <w:marTop w:val="0"/>
      <w:marBottom w:val="0"/>
      <w:divBdr>
        <w:top w:val="none" w:sz="0" w:space="0" w:color="auto"/>
        <w:left w:val="none" w:sz="0" w:space="0" w:color="auto"/>
        <w:bottom w:val="none" w:sz="0" w:space="0" w:color="auto"/>
        <w:right w:val="none" w:sz="0" w:space="0" w:color="auto"/>
      </w:divBdr>
    </w:div>
    <w:div w:id="1546797913">
      <w:marLeft w:val="480"/>
      <w:marRight w:val="0"/>
      <w:marTop w:val="0"/>
      <w:marBottom w:val="0"/>
      <w:divBdr>
        <w:top w:val="none" w:sz="0" w:space="0" w:color="auto"/>
        <w:left w:val="none" w:sz="0" w:space="0" w:color="auto"/>
        <w:bottom w:val="none" w:sz="0" w:space="0" w:color="auto"/>
        <w:right w:val="none" w:sz="0" w:space="0" w:color="auto"/>
      </w:divBdr>
    </w:div>
    <w:div w:id="1559977195">
      <w:marLeft w:val="480"/>
      <w:marRight w:val="0"/>
      <w:marTop w:val="0"/>
      <w:marBottom w:val="0"/>
      <w:divBdr>
        <w:top w:val="none" w:sz="0" w:space="0" w:color="auto"/>
        <w:left w:val="none" w:sz="0" w:space="0" w:color="auto"/>
        <w:bottom w:val="none" w:sz="0" w:space="0" w:color="auto"/>
        <w:right w:val="none" w:sz="0" w:space="0" w:color="auto"/>
      </w:divBdr>
    </w:div>
    <w:div w:id="1562905400">
      <w:marLeft w:val="480"/>
      <w:marRight w:val="0"/>
      <w:marTop w:val="0"/>
      <w:marBottom w:val="0"/>
      <w:divBdr>
        <w:top w:val="none" w:sz="0" w:space="0" w:color="auto"/>
        <w:left w:val="none" w:sz="0" w:space="0" w:color="auto"/>
        <w:bottom w:val="none" w:sz="0" w:space="0" w:color="auto"/>
        <w:right w:val="none" w:sz="0" w:space="0" w:color="auto"/>
      </w:divBdr>
    </w:div>
    <w:div w:id="1563515711">
      <w:marLeft w:val="480"/>
      <w:marRight w:val="0"/>
      <w:marTop w:val="0"/>
      <w:marBottom w:val="0"/>
      <w:divBdr>
        <w:top w:val="none" w:sz="0" w:space="0" w:color="auto"/>
        <w:left w:val="none" w:sz="0" w:space="0" w:color="auto"/>
        <w:bottom w:val="none" w:sz="0" w:space="0" w:color="auto"/>
        <w:right w:val="none" w:sz="0" w:space="0" w:color="auto"/>
      </w:divBdr>
    </w:div>
    <w:div w:id="1565992194">
      <w:marLeft w:val="480"/>
      <w:marRight w:val="0"/>
      <w:marTop w:val="0"/>
      <w:marBottom w:val="0"/>
      <w:divBdr>
        <w:top w:val="none" w:sz="0" w:space="0" w:color="auto"/>
        <w:left w:val="none" w:sz="0" w:space="0" w:color="auto"/>
        <w:bottom w:val="none" w:sz="0" w:space="0" w:color="auto"/>
        <w:right w:val="none" w:sz="0" w:space="0" w:color="auto"/>
      </w:divBdr>
    </w:div>
    <w:div w:id="1566716209">
      <w:marLeft w:val="480"/>
      <w:marRight w:val="0"/>
      <w:marTop w:val="0"/>
      <w:marBottom w:val="0"/>
      <w:divBdr>
        <w:top w:val="none" w:sz="0" w:space="0" w:color="auto"/>
        <w:left w:val="none" w:sz="0" w:space="0" w:color="auto"/>
        <w:bottom w:val="none" w:sz="0" w:space="0" w:color="auto"/>
        <w:right w:val="none" w:sz="0" w:space="0" w:color="auto"/>
      </w:divBdr>
    </w:div>
    <w:div w:id="1570193161">
      <w:marLeft w:val="480"/>
      <w:marRight w:val="0"/>
      <w:marTop w:val="0"/>
      <w:marBottom w:val="0"/>
      <w:divBdr>
        <w:top w:val="none" w:sz="0" w:space="0" w:color="auto"/>
        <w:left w:val="none" w:sz="0" w:space="0" w:color="auto"/>
        <w:bottom w:val="none" w:sz="0" w:space="0" w:color="auto"/>
        <w:right w:val="none" w:sz="0" w:space="0" w:color="auto"/>
      </w:divBdr>
    </w:div>
    <w:div w:id="1577283413">
      <w:marLeft w:val="480"/>
      <w:marRight w:val="0"/>
      <w:marTop w:val="0"/>
      <w:marBottom w:val="0"/>
      <w:divBdr>
        <w:top w:val="none" w:sz="0" w:space="0" w:color="auto"/>
        <w:left w:val="none" w:sz="0" w:space="0" w:color="auto"/>
        <w:bottom w:val="none" w:sz="0" w:space="0" w:color="auto"/>
        <w:right w:val="none" w:sz="0" w:space="0" w:color="auto"/>
      </w:divBdr>
    </w:div>
    <w:div w:id="1592086640">
      <w:marLeft w:val="480"/>
      <w:marRight w:val="0"/>
      <w:marTop w:val="0"/>
      <w:marBottom w:val="0"/>
      <w:divBdr>
        <w:top w:val="none" w:sz="0" w:space="0" w:color="auto"/>
        <w:left w:val="none" w:sz="0" w:space="0" w:color="auto"/>
        <w:bottom w:val="none" w:sz="0" w:space="0" w:color="auto"/>
        <w:right w:val="none" w:sz="0" w:space="0" w:color="auto"/>
      </w:divBdr>
    </w:div>
    <w:div w:id="1599218866">
      <w:marLeft w:val="480"/>
      <w:marRight w:val="0"/>
      <w:marTop w:val="0"/>
      <w:marBottom w:val="0"/>
      <w:divBdr>
        <w:top w:val="none" w:sz="0" w:space="0" w:color="auto"/>
        <w:left w:val="none" w:sz="0" w:space="0" w:color="auto"/>
        <w:bottom w:val="none" w:sz="0" w:space="0" w:color="auto"/>
        <w:right w:val="none" w:sz="0" w:space="0" w:color="auto"/>
      </w:divBdr>
    </w:div>
    <w:div w:id="1602907193">
      <w:marLeft w:val="480"/>
      <w:marRight w:val="0"/>
      <w:marTop w:val="0"/>
      <w:marBottom w:val="0"/>
      <w:divBdr>
        <w:top w:val="none" w:sz="0" w:space="0" w:color="auto"/>
        <w:left w:val="none" w:sz="0" w:space="0" w:color="auto"/>
        <w:bottom w:val="none" w:sz="0" w:space="0" w:color="auto"/>
        <w:right w:val="none" w:sz="0" w:space="0" w:color="auto"/>
      </w:divBdr>
    </w:div>
    <w:div w:id="1603295268">
      <w:marLeft w:val="480"/>
      <w:marRight w:val="0"/>
      <w:marTop w:val="0"/>
      <w:marBottom w:val="0"/>
      <w:divBdr>
        <w:top w:val="none" w:sz="0" w:space="0" w:color="auto"/>
        <w:left w:val="none" w:sz="0" w:space="0" w:color="auto"/>
        <w:bottom w:val="none" w:sz="0" w:space="0" w:color="auto"/>
        <w:right w:val="none" w:sz="0" w:space="0" w:color="auto"/>
      </w:divBdr>
    </w:div>
    <w:div w:id="1605379163">
      <w:marLeft w:val="480"/>
      <w:marRight w:val="0"/>
      <w:marTop w:val="0"/>
      <w:marBottom w:val="0"/>
      <w:divBdr>
        <w:top w:val="none" w:sz="0" w:space="0" w:color="auto"/>
        <w:left w:val="none" w:sz="0" w:space="0" w:color="auto"/>
        <w:bottom w:val="none" w:sz="0" w:space="0" w:color="auto"/>
        <w:right w:val="none" w:sz="0" w:space="0" w:color="auto"/>
      </w:divBdr>
    </w:div>
    <w:div w:id="1608848722">
      <w:marLeft w:val="480"/>
      <w:marRight w:val="0"/>
      <w:marTop w:val="0"/>
      <w:marBottom w:val="0"/>
      <w:divBdr>
        <w:top w:val="none" w:sz="0" w:space="0" w:color="auto"/>
        <w:left w:val="none" w:sz="0" w:space="0" w:color="auto"/>
        <w:bottom w:val="none" w:sz="0" w:space="0" w:color="auto"/>
        <w:right w:val="none" w:sz="0" w:space="0" w:color="auto"/>
      </w:divBdr>
    </w:div>
    <w:div w:id="1610968696">
      <w:marLeft w:val="480"/>
      <w:marRight w:val="0"/>
      <w:marTop w:val="0"/>
      <w:marBottom w:val="0"/>
      <w:divBdr>
        <w:top w:val="none" w:sz="0" w:space="0" w:color="auto"/>
        <w:left w:val="none" w:sz="0" w:space="0" w:color="auto"/>
        <w:bottom w:val="none" w:sz="0" w:space="0" w:color="auto"/>
        <w:right w:val="none" w:sz="0" w:space="0" w:color="auto"/>
      </w:divBdr>
    </w:div>
    <w:div w:id="1611665384">
      <w:marLeft w:val="480"/>
      <w:marRight w:val="0"/>
      <w:marTop w:val="0"/>
      <w:marBottom w:val="0"/>
      <w:divBdr>
        <w:top w:val="none" w:sz="0" w:space="0" w:color="auto"/>
        <w:left w:val="none" w:sz="0" w:space="0" w:color="auto"/>
        <w:bottom w:val="none" w:sz="0" w:space="0" w:color="auto"/>
        <w:right w:val="none" w:sz="0" w:space="0" w:color="auto"/>
      </w:divBdr>
    </w:div>
    <w:div w:id="1624774091">
      <w:marLeft w:val="480"/>
      <w:marRight w:val="0"/>
      <w:marTop w:val="0"/>
      <w:marBottom w:val="0"/>
      <w:divBdr>
        <w:top w:val="none" w:sz="0" w:space="0" w:color="auto"/>
        <w:left w:val="none" w:sz="0" w:space="0" w:color="auto"/>
        <w:bottom w:val="none" w:sz="0" w:space="0" w:color="auto"/>
        <w:right w:val="none" w:sz="0" w:space="0" w:color="auto"/>
      </w:divBdr>
    </w:div>
    <w:div w:id="1625500259">
      <w:marLeft w:val="480"/>
      <w:marRight w:val="0"/>
      <w:marTop w:val="0"/>
      <w:marBottom w:val="0"/>
      <w:divBdr>
        <w:top w:val="none" w:sz="0" w:space="0" w:color="auto"/>
        <w:left w:val="none" w:sz="0" w:space="0" w:color="auto"/>
        <w:bottom w:val="none" w:sz="0" w:space="0" w:color="auto"/>
        <w:right w:val="none" w:sz="0" w:space="0" w:color="auto"/>
      </w:divBdr>
    </w:div>
    <w:div w:id="1633705342">
      <w:marLeft w:val="480"/>
      <w:marRight w:val="0"/>
      <w:marTop w:val="0"/>
      <w:marBottom w:val="0"/>
      <w:divBdr>
        <w:top w:val="none" w:sz="0" w:space="0" w:color="auto"/>
        <w:left w:val="none" w:sz="0" w:space="0" w:color="auto"/>
        <w:bottom w:val="none" w:sz="0" w:space="0" w:color="auto"/>
        <w:right w:val="none" w:sz="0" w:space="0" w:color="auto"/>
      </w:divBdr>
    </w:div>
    <w:div w:id="1643150911">
      <w:marLeft w:val="480"/>
      <w:marRight w:val="0"/>
      <w:marTop w:val="0"/>
      <w:marBottom w:val="0"/>
      <w:divBdr>
        <w:top w:val="none" w:sz="0" w:space="0" w:color="auto"/>
        <w:left w:val="none" w:sz="0" w:space="0" w:color="auto"/>
        <w:bottom w:val="none" w:sz="0" w:space="0" w:color="auto"/>
        <w:right w:val="none" w:sz="0" w:space="0" w:color="auto"/>
      </w:divBdr>
    </w:div>
    <w:div w:id="1660424235">
      <w:marLeft w:val="480"/>
      <w:marRight w:val="0"/>
      <w:marTop w:val="0"/>
      <w:marBottom w:val="0"/>
      <w:divBdr>
        <w:top w:val="none" w:sz="0" w:space="0" w:color="auto"/>
        <w:left w:val="none" w:sz="0" w:space="0" w:color="auto"/>
        <w:bottom w:val="none" w:sz="0" w:space="0" w:color="auto"/>
        <w:right w:val="none" w:sz="0" w:space="0" w:color="auto"/>
      </w:divBdr>
    </w:div>
    <w:div w:id="1663318347">
      <w:marLeft w:val="480"/>
      <w:marRight w:val="0"/>
      <w:marTop w:val="0"/>
      <w:marBottom w:val="0"/>
      <w:divBdr>
        <w:top w:val="none" w:sz="0" w:space="0" w:color="auto"/>
        <w:left w:val="none" w:sz="0" w:space="0" w:color="auto"/>
        <w:bottom w:val="none" w:sz="0" w:space="0" w:color="auto"/>
        <w:right w:val="none" w:sz="0" w:space="0" w:color="auto"/>
      </w:divBdr>
    </w:div>
    <w:div w:id="1665012627">
      <w:marLeft w:val="480"/>
      <w:marRight w:val="0"/>
      <w:marTop w:val="0"/>
      <w:marBottom w:val="0"/>
      <w:divBdr>
        <w:top w:val="none" w:sz="0" w:space="0" w:color="auto"/>
        <w:left w:val="none" w:sz="0" w:space="0" w:color="auto"/>
        <w:bottom w:val="none" w:sz="0" w:space="0" w:color="auto"/>
        <w:right w:val="none" w:sz="0" w:space="0" w:color="auto"/>
      </w:divBdr>
    </w:div>
    <w:div w:id="1676617460">
      <w:marLeft w:val="480"/>
      <w:marRight w:val="0"/>
      <w:marTop w:val="0"/>
      <w:marBottom w:val="0"/>
      <w:divBdr>
        <w:top w:val="none" w:sz="0" w:space="0" w:color="auto"/>
        <w:left w:val="none" w:sz="0" w:space="0" w:color="auto"/>
        <w:bottom w:val="none" w:sz="0" w:space="0" w:color="auto"/>
        <w:right w:val="none" w:sz="0" w:space="0" w:color="auto"/>
      </w:divBdr>
    </w:div>
    <w:div w:id="1678455733">
      <w:marLeft w:val="480"/>
      <w:marRight w:val="0"/>
      <w:marTop w:val="0"/>
      <w:marBottom w:val="0"/>
      <w:divBdr>
        <w:top w:val="none" w:sz="0" w:space="0" w:color="auto"/>
        <w:left w:val="none" w:sz="0" w:space="0" w:color="auto"/>
        <w:bottom w:val="none" w:sz="0" w:space="0" w:color="auto"/>
        <w:right w:val="none" w:sz="0" w:space="0" w:color="auto"/>
      </w:divBdr>
    </w:div>
    <w:div w:id="1678464519">
      <w:marLeft w:val="480"/>
      <w:marRight w:val="0"/>
      <w:marTop w:val="0"/>
      <w:marBottom w:val="0"/>
      <w:divBdr>
        <w:top w:val="none" w:sz="0" w:space="0" w:color="auto"/>
        <w:left w:val="none" w:sz="0" w:space="0" w:color="auto"/>
        <w:bottom w:val="none" w:sz="0" w:space="0" w:color="auto"/>
        <w:right w:val="none" w:sz="0" w:space="0" w:color="auto"/>
      </w:divBdr>
    </w:div>
    <w:div w:id="1690522584">
      <w:marLeft w:val="480"/>
      <w:marRight w:val="0"/>
      <w:marTop w:val="0"/>
      <w:marBottom w:val="0"/>
      <w:divBdr>
        <w:top w:val="none" w:sz="0" w:space="0" w:color="auto"/>
        <w:left w:val="none" w:sz="0" w:space="0" w:color="auto"/>
        <w:bottom w:val="none" w:sz="0" w:space="0" w:color="auto"/>
        <w:right w:val="none" w:sz="0" w:space="0" w:color="auto"/>
      </w:divBdr>
    </w:div>
    <w:div w:id="1694499245">
      <w:marLeft w:val="480"/>
      <w:marRight w:val="0"/>
      <w:marTop w:val="0"/>
      <w:marBottom w:val="0"/>
      <w:divBdr>
        <w:top w:val="none" w:sz="0" w:space="0" w:color="auto"/>
        <w:left w:val="none" w:sz="0" w:space="0" w:color="auto"/>
        <w:bottom w:val="none" w:sz="0" w:space="0" w:color="auto"/>
        <w:right w:val="none" w:sz="0" w:space="0" w:color="auto"/>
      </w:divBdr>
    </w:div>
    <w:div w:id="1703165450">
      <w:marLeft w:val="480"/>
      <w:marRight w:val="0"/>
      <w:marTop w:val="0"/>
      <w:marBottom w:val="0"/>
      <w:divBdr>
        <w:top w:val="none" w:sz="0" w:space="0" w:color="auto"/>
        <w:left w:val="none" w:sz="0" w:space="0" w:color="auto"/>
        <w:bottom w:val="none" w:sz="0" w:space="0" w:color="auto"/>
        <w:right w:val="none" w:sz="0" w:space="0" w:color="auto"/>
      </w:divBdr>
    </w:div>
    <w:div w:id="1703633026">
      <w:marLeft w:val="480"/>
      <w:marRight w:val="0"/>
      <w:marTop w:val="0"/>
      <w:marBottom w:val="0"/>
      <w:divBdr>
        <w:top w:val="none" w:sz="0" w:space="0" w:color="auto"/>
        <w:left w:val="none" w:sz="0" w:space="0" w:color="auto"/>
        <w:bottom w:val="none" w:sz="0" w:space="0" w:color="auto"/>
        <w:right w:val="none" w:sz="0" w:space="0" w:color="auto"/>
      </w:divBdr>
    </w:div>
    <w:div w:id="1707290805">
      <w:marLeft w:val="480"/>
      <w:marRight w:val="0"/>
      <w:marTop w:val="0"/>
      <w:marBottom w:val="0"/>
      <w:divBdr>
        <w:top w:val="none" w:sz="0" w:space="0" w:color="auto"/>
        <w:left w:val="none" w:sz="0" w:space="0" w:color="auto"/>
        <w:bottom w:val="none" w:sz="0" w:space="0" w:color="auto"/>
        <w:right w:val="none" w:sz="0" w:space="0" w:color="auto"/>
      </w:divBdr>
    </w:div>
    <w:div w:id="1713309782">
      <w:marLeft w:val="480"/>
      <w:marRight w:val="0"/>
      <w:marTop w:val="0"/>
      <w:marBottom w:val="0"/>
      <w:divBdr>
        <w:top w:val="none" w:sz="0" w:space="0" w:color="auto"/>
        <w:left w:val="none" w:sz="0" w:space="0" w:color="auto"/>
        <w:bottom w:val="none" w:sz="0" w:space="0" w:color="auto"/>
        <w:right w:val="none" w:sz="0" w:space="0" w:color="auto"/>
      </w:divBdr>
    </w:div>
    <w:div w:id="1716267921">
      <w:marLeft w:val="480"/>
      <w:marRight w:val="0"/>
      <w:marTop w:val="0"/>
      <w:marBottom w:val="0"/>
      <w:divBdr>
        <w:top w:val="none" w:sz="0" w:space="0" w:color="auto"/>
        <w:left w:val="none" w:sz="0" w:space="0" w:color="auto"/>
        <w:bottom w:val="none" w:sz="0" w:space="0" w:color="auto"/>
        <w:right w:val="none" w:sz="0" w:space="0" w:color="auto"/>
      </w:divBdr>
    </w:div>
    <w:div w:id="1737509553">
      <w:marLeft w:val="480"/>
      <w:marRight w:val="0"/>
      <w:marTop w:val="0"/>
      <w:marBottom w:val="0"/>
      <w:divBdr>
        <w:top w:val="none" w:sz="0" w:space="0" w:color="auto"/>
        <w:left w:val="none" w:sz="0" w:space="0" w:color="auto"/>
        <w:bottom w:val="none" w:sz="0" w:space="0" w:color="auto"/>
        <w:right w:val="none" w:sz="0" w:space="0" w:color="auto"/>
      </w:divBdr>
    </w:div>
    <w:div w:id="1766683514">
      <w:marLeft w:val="480"/>
      <w:marRight w:val="0"/>
      <w:marTop w:val="0"/>
      <w:marBottom w:val="0"/>
      <w:divBdr>
        <w:top w:val="none" w:sz="0" w:space="0" w:color="auto"/>
        <w:left w:val="none" w:sz="0" w:space="0" w:color="auto"/>
        <w:bottom w:val="none" w:sz="0" w:space="0" w:color="auto"/>
        <w:right w:val="none" w:sz="0" w:space="0" w:color="auto"/>
      </w:divBdr>
    </w:div>
    <w:div w:id="1770201444">
      <w:marLeft w:val="480"/>
      <w:marRight w:val="0"/>
      <w:marTop w:val="0"/>
      <w:marBottom w:val="0"/>
      <w:divBdr>
        <w:top w:val="none" w:sz="0" w:space="0" w:color="auto"/>
        <w:left w:val="none" w:sz="0" w:space="0" w:color="auto"/>
        <w:bottom w:val="none" w:sz="0" w:space="0" w:color="auto"/>
        <w:right w:val="none" w:sz="0" w:space="0" w:color="auto"/>
      </w:divBdr>
    </w:div>
    <w:div w:id="1771657674">
      <w:marLeft w:val="480"/>
      <w:marRight w:val="0"/>
      <w:marTop w:val="0"/>
      <w:marBottom w:val="0"/>
      <w:divBdr>
        <w:top w:val="none" w:sz="0" w:space="0" w:color="auto"/>
        <w:left w:val="none" w:sz="0" w:space="0" w:color="auto"/>
        <w:bottom w:val="none" w:sz="0" w:space="0" w:color="auto"/>
        <w:right w:val="none" w:sz="0" w:space="0" w:color="auto"/>
      </w:divBdr>
    </w:div>
    <w:div w:id="1771658490">
      <w:marLeft w:val="480"/>
      <w:marRight w:val="0"/>
      <w:marTop w:val="0"/>
      <w:marBottom w:val="0"/>
      <w:divBdr>
        <w:top w:val="none" w:sz="0" w:space="0" w:color="auto"/>
        <w:left w:val="none" w:sz="0" w:space="0" w:color="auto"/>
        <w:bottom w:val="none" w:sz="0" w:space="0" w:color="auto"/>
        <w:right w:val="none" w:sz="0" w:space="0" w:color="auto"/>
      </w:divBdr>
    </w:div>
    <w:div w:id="1772120751">
      <w:marLeft w:val="480"/>
      <w:marRight w:val="0"/>
      <w:marTop w:val="0"/>
      <w:marBottom w:val="0"/>
      <w:divBdr>
        <w:top w:val="none" w:sz="0" w:space="0" w:color="auto"/>
        <w:left w:val="none" w:sz="0" w:space="0" w:color="auto"/>
        <w:bottom w:val="none" w:sz="0" w:space="0" w:color="auto"/>
        <w:right w:val="none" w:sz="0" w:space="0" w:color="auto"/>
      </w:divBdr>
    </w:div>
    <w:div w:id="1775900232">
      <w:marLeft w:val="480"/>
      <w:marRight w:val="0"/>
      <w:marTop w:val="0"/>
      <w:marBottom w:val="0"/>
      <w:divBdr>
        <w:top w:val="none" w:sz="0" w:space="0" w:color="auto"/>
        <w:left w:val="none" w:sz="0" w:space="0" w:color="auto"/>
        <w:bottom w:val="none" w:sz="0" w:space="0" w:color="auto"/>
        <w:right w:val="none" w:sz="0" w:space="0" w:color="auto"/>
      </w:divBdr>
    </w:div>
    <w:div w:id="1796408119">
      <w:marLeft w:val="480"/>
      <w:marRight w:val="0"/>
      <w:marTop w:val="0"/>
      <w:marBottom w:val="0"/>
      <w:divBdr>
        <w:top w:val="none" w:sz="0" w:space="0" w:color="auto"/>
        <w:left w:val="none" w:sz="0" w:space="0" w:color="auto"/>
        <w:bottom w:val="none" w:sz="0" w:space="0" w:color="auto"/>
        <w:right w:val="none" w:sz="0" w:space="0" w:color="auto"/>
      </w:divBdr>
    </w:div>
    <w:div w:id="1797674674">
      <w:marLeft w:val="480"/>
      <w:marRight w:val="0"/>
      <w:marTop w:val="0"/>
      <w:marBottom w:val="0"/>
      <w:divBdr>
        <w:top w:val="none" w:sz="0" w:space="0" w:color="auto"/>
        <w:left w:val="none" w:sz="0" w:space="0" w:color="auto"/>
        <w:bottom w:val="none" w:sz="0" w:space="0" w:color="auto"/>
        <w:right w:val="none" w:sz="0" w:space="0" w:color="auto"/>
      </w:divBdr>
    </w:div>
    <w:div w:id="1802532721">
      <w:marLeft w:val="480"/>
      <w:marRight w:val="0"/>
      <w:marTop w:val="0"/>
      <w:marBottom w:val="0"/>
      <w:divBdr>
        <w:top w:val="none" w:sz="0" w:space="0" w:color="auto"/>
        <w:left w:val="none" w:sz="0" w:space="0" w:color="auto"/>
        <w:bottom w:val="none" w:sz="0" w:space="0" w:color="auto"/>
        <w:right w:val="none" w:sz="0" w:space="0" w:color="auto"/>
      </w:divBdr>
    </w:div>
    <w:div w:id="1806701637">
      <w:marLeft w:val="480"/>
      <w:marRight w:val="0"/>
      <w:marTop w:val="0"/>
      <w:marBottom w:val="0"/>
      <w:divBdr>
        <w:top w:val="none" w:sz="0" w:space="0" w:color="auto"/>
        <w:left w:val="none" w:sz="0" w:space="0" w:color="auto"/>
        <w:bottom w:val="none" w:sz="0" w:space="0" w:color="auto"/>
        <w:right w:val="none" w:sz="0" w:space="0" w:color="auto"/>
      </w:divBdr>
    </w:div>
    <w:div w:id="1813332479">
      <w:marLeft w:val="480"/>
      <w:marRight w:val="0"/>
      <w:marTop w:val="0"/>
      <w:marBottom w:val="0"/>
      <w:divBdr>
        <w:top w:val="none" w:sz="0" w:space="0" w:color="auto"/>
        <w:left w:val="none" w:sz="0" w:space="0" w:color="auto"/>
        <w:bottom w:val="none" w:sz="0" w:space="0" w:color="auto"/>
        <w:right w:val="none" w:sz="0" w:space="0" w:color="auto"/>
      </w:divBdr>
    </w:div>
    <w:div w:id="1819417833">
      <w:marLeft w:val="480"/>
      <w:marRight w:val="0"/>
      <w:marTop w:val="0"/>
      <w:marBottom w:val="0"/>
      <w:divBdr>
        <w:top w:val="none" w:sz="0" w:space="0" w:color="auto"/>
        <w:left w:val="none" w:sz="0" w:space="0" w:color="auto"/>
        <w:bottom w:val="none" w:sz="0" w:space="0" w:color="auto"/>
        <w:right w:val="none" w:sz="0" w:space="0" w:color="auto"/>
      </w:divBdr>
    </w:div>
    <w:div w:id="1833911595">
      <w:marLeft w:val="480"/>
      <w:marRight w:val="0"/>
      <w:marTop w:val="0"/>
      <w:marBottom w:val="0"/>
      <w:divBdr>
        <w:top w:val="none" w:sz="0" w:space="0" w:color="auto"/>
        <w:left w:val="none" w:sz="0" w:space="0" w:color="auto"/>
        <w:bottom w:val="none" w:sz="0" w:space="0" w:color="auto"/>
        <w:right w:val="none" w:sz="0" w:space="0" w:color="auto"/>
      </w:divBdr>
    </w:div>
    <w:div w:id="1839807347">
      <w:marLeft w:val="480"/>
      <w:marRight w:val="0"/>
      <w:marTop w:val="0"/>
      <w:marBottom w:val="0"/>
      <w:divBdr>
        <w:top w:val="none" w:sz="0" w:space="0" w:color="auto"/>
        <w:left w:val="none" w:sz="0" w:space="0" w:color="auto"/>
        <w:bottom w:val="none" w:sz="0" w:space="0" w:color="auto"/>
        <w:right w:val="none" w:sz="0" w:space="0" w:color="auto"/>
      </w:divBdr>
    </w:div>
    <w:div w:id="1843935444">
      <w:marLeft w:val="480"/>
      <w:marRight w:val="0"/>
      <w:marTop w:val="0"/>
      <w:marBottom w:val="0"/>
      <w:divBdr>
        <w:top w:val="none" w:sz="0" w:space="0" w:color="auto"/>
        <w:left w:val="none" w:sz="0" w:space="0" w:color="auto"/>
        <w:bottom w:val="none" w:sz="0" w:space="0" w:color="auto"/>
        <w:right w:val="none" w:sz="0" w:space="0" w:color="auto"/>
      </w:divBdr>
    </w:div>
    <w:div w:id="1846091272">
      <w:marLeft w:val="480"/>
      <w:marRight w:val="0"/>
      <w:marTop w:val="0"/>
      <w:marBottom w:val="0"/>
      <w:divBdr>
        <w:top w:val="none" w:sz="0" w:space="0" w:color="auto"/>
        <w:left w:val="none" w:sz="0" w:space="0" w:color="auto"/>
        <w:bottom w:val="none" w:sz="0" w:space="0" w:color="auto"/>
        <w:right w:val="none" w:sz="0" w:space="0" w:color="auto"/>
      </w:divBdr>
    </w:div>
    <w:div w:id="1849825967">
      <w:marLeft w:val="480"/>
      <w:marRight w:val="0"/>
      <w:marTop w:val="0"/>
      <w:marBottom w:val="0"/>
      <w:divBdr>
        <w:top w:val="none" w:sz="0" w:space="0" w:color="auto"/>
        <w:left w:val="none" w:sz="0" w:space="0" w:color="auto"/>
        <w:bottom w:val="none" w:sz="0" w:space="0" w:color="auto"/>
        <w:right w:val="none" w:sz="0" w:space="0" w:color="auto"/>
      </w:divBdr>
    </w:div>
    <w:div w:id="1857496400">
      <w:marLeft w:val="480"/>
      <w:marRight w:val="0"/>
      <w:marTop w:val="0"/>
      <w:marBottom w:val="0"/>
      <w:divBdr>
        <w:top w:val="none" w:sz="0" w:space="0" w:color="auto"/>
        <w:left w:val="none" w:sz="0" w:space="0" w:color="auto"/>
        <w:bottom w:val="none" w:sz="0" w:space="0" w:color="auto"/>
        <w:right w:val="none" w:sz="0" w:space="0" w:color="auto"/>
      </w:divBdr>
    </w:div>
    <w:div w:id="1857504203">
      <w:marLeft w:val="480"/>
      <w:marRight w:val="0"/>
      <w:marTop w:val="0"/>
      <w:marBottom w:val="0"/>
      <w:divBdr>
        <w:top w:val="none" w:sz="0" w:space="0" w:color="auto"/>
        <w:left w:val="none" w:sz="0" w:space="0" w:color="auto"/>
        <w:bottom w:val="none" w:sz="0" w:space="0" w:color="auto"/>
        <w:right w:val="none" w:sz="0" w:space="0" w:color="auto"/>
      </w:divBdr>
    </w:div>
    <w:div w:id="1858041369">
      <w:marLeft w:val="480"/>
      <w:marRight w:val="0"/>
      <w:marTop w:val="0"/>
      <w:marBottom w:val="0"/>
      <w:divBdr>
        <w:top w:val="none" w:sz="0" w:space="0" w:color="auto"/>
        <w:left w:val="none" w:sz="0" w:space="0" w:color="auto"/>
        <w:bottom w:val="none" w:sz="0" w:space="0" w:color="auto"/>
        <w:right w:val="none" w:sz="0" w:space="0" w:color="auto"/>
      </w:divBdr>
    </w:div>
    <w:div w:id="1860850287">
      <w:marLeft w:val="480"/>
      <w:marRight w:val="0"/>
      <w:marTop w:val="0"/>
      <w:marBottom w:val="0"/>
      <w:divBdr>
        <w:top w:val="none" w:sz="0" w:space="0" w:color="auto"/>
        <w:left w:val="none" w:sz="0" w:space="0" w:color="auto"/>
        <w:bottom w:val="none" w:sz="0" w:space="0" w:color="auto"/>
        <w:right w:val="none" w:sz="0" w:space="0" w:color="auto"/>
      </w:divBdr>
    </w:div>
    <w:div w:id="1869290496">
      <w:marLeft w:val="480"/>
      <w:marRight w:val="0"/>
      <w:marTop w:val="0"/>
      <w:marBottom w:val="0"/>
      <w:divBdr>
        <w:top w:val="none" w:sz="0" w:space="0" w:color="auto"/>
        <w:left w:val="none" w:sz="0" w:space="0" w:color="auto"/>
        <w:bottom w:val="none" w:sz="0" w:space="0" w:color="auto"/>
        <w:right w:val="none" w:sz="0" w:space="0" w:color="auto"/>
      </w:divBdr>
    </w:div>
    <w:div w:id="1880359203">
      <w:marLeft w:val="480"/>
      <w:marRight w:val="0"/>
      <w:marTop w:val="0"/>
      <w:marBottom w:val="0"/>
      <w:divBdr>
        <w:top w:val="none" w:sz="0" w:space="0" w:color="auto"/>
        <w:left w:val="none" w:sz="0" w:space="0" w:color="auto"/>
        <w:bottom w:val="none" w:sz="0" w:space="0" w:color="auto"/>
        <w:right w:val="none" w:sz="0" w:space="0" w:color="auto"/>
      </w:divBdr>
    </w:div>
    <w:div w:id="1884637034">
      <w:marLeft w:val="480"/>
      <w:marRight w:val="0"/>
      <w:marTop w:val="0"/>
      <w:marBottom w:val="0"/>
      <w:divBdr>
        <w:top w:val="none" w:sz="0" w:space="0" w:color="auto"/>
        <w:left w:val="none" w:sz="0" w:space="0" w:color="auto"/>
        <w:bottom w:val="none" w:sz="0" w:space="0" w:color="auto"/>
        <w:right w:val="none" w:sz="0" w:space="0" w:color="auto"/>
      </w:divBdr>
    </w:div>
    <w:div w:id="1887833742">
      <w:marLeft w:val="480"/>
      <w:marRight w:val="0"/>
      <w:marTop w:val="0"/>
      <w:marBottom w:val="0"/>
      <w:divBdr>
        <w:top w:val="none" w:sz="0" w:space="0" w:color="auto"/>
        <w:left w:val="none" w:sz="0" w:space="0" w:color="auto"/>
        <w:bottom w:val="none" w:sz="0" w:space="0" w:color="auto"/>
        <w:right w:val="none" w:sz="0" w:space="0" w:color="auto"/>
      </w:divBdr>
    </w:div>
    <w:div w:id="1904753647">
      <w:marLeft w:val="480"/>
      <w:marRight w:val="0"/>
      <w:marTop w:val="0"/>
      <w:marBottom w:val="0"/>
      <w:divBdr>
        <w:top w:val="none" w:sz="0" w:space="0" w:color="auto"/>
        <w:left w:val="none" w:sz="0" w:space="0" w:color="auto"/>
        <w:bottom w:val="none" w:sz="0" w:space="0" w:color="auto"/>
        <w:right w:val="none" w:sz="0" w:space="0" w:color="auto"/>
      </w:divBdr>
    </w:div>
    <w:div w:id="1905219644">
      <w:marLeft w:val="480"/>
      <w:marRight w:val="0"/>
      <w:marTop w:val="0"/>
      <w:marBottom w:val="0"/>
      <w:divBdr>
        <w:top w:val="none" w:sz="0" w:space="0" w:color="auto"/>
        <w:left w:val="none" w:sz="0" w:space="0" w:color="auto"/>
        <w:bottom w:val="none" w:sz="0" w:space="0" w:color="auto"/>
        <w:right w:val="none" w:sz="0" w:space="0" w:color="auto"/>
      </w:divBdr>
    </w:div>
    <w:div w:id="1907718329">
      <w:marLeft w:val="480"/>
      <w:marRight w:val="0"/>
      <w:marTop w:val="0"/>
      <w:marBottom w:val="0"/>
      <w:divBdr>
        <w:top w:val="none" w:sz="0" w:space="0" w:color="auto"/>
        <w:left w:val="none" w:sz="0" w:space="0" w:color="auto"/>
        <w:bottom w:val="none" w:sz="0" w:space="0" w:color="auto"/>
        <w:right w:val="none" w:sz="0" w:space="0" w:color="auto"/>
      </w:divBdr>
    </w:div>
    <w:div w:id="1916166139">
      <w:marLeft w:val="480"/>
      <w:marRight w:val="0"/>
      <w:marTop w:val="0"/>
      <w:marBottom w:val="0"/>
      <w:divBdr>
        <w:top w:val="none" w:sz="0" w:space="0" w:color="auto"/>
        <w:left w:val="none" w:sz="0" w:space="0" w:color="auto"/>
        <w:bottom w:val="none" w:sz="0" w:space="0" w:color="auto"/>
        <w:right w:val="none" w:sz="0" w:space="0" w:color="auto"/>
      </w:divBdr>
    </w:div>
    <w:div w:id="1919437192">
      <w:marLeft w:val="480"/>
      <w:marRight w:val="0"/>
      <w:marTop w:val="0"/>
      <w:marBottom w:val="0"/>
      <w:divBdr>
        <w:top w:val="none" w:sz="0" w:space="0" w:color="auto"/>
        <w:left w:val="none" w:sz="0" w:space="0" w:color="auto"/>
        <w:bottom w:val="none" w:sz="0" w:space="0" w:color="auto"/>
        <w:right w:val="none" w:sz="0" w:space="0" w:color="auto"/>
      </w:divBdr>
    </w:div>
    <w:div w:id="1920795621">
      <w:marLeft w:val="480"/>
      <w:marRight w:val="0"/>
      <w:marTop w:val="0"/>
      <w:marBottom w:val="0"/>
      <w:divBdr>
        <w:top w:val="none" w:sz="0" w:space="0" w:color="auto"/>
        <w:left w:val="none" w:sz="0" w:space="0" w:color="auto"/>
        <w:bottom w:val="none" w:sz="0" w:space="0" w:color="auto"/>
        <w:right w:val="none" w:sz="0" w:space="0" w:color="auto"/>
      </w:divBdr>
    </w:div>
    <w:div w:id="1921712229">
      <w:marLeft w:val="480"/>
      <w:marRight w:val="0"/>
      <w:marTop w:val="0"/>
      <w:marBottom w:val="0"/>
      <w:divBdr>
        <w:top w:val="none" w:sz="0" w:space="0" w:color="auto"/>
        <w:left w:val="none" w:sz="0" w:space="0" w:color="auto"/>
        <w:bottom w:val="none" w:sz="0" w:space="0" w:color="auto"/>
        <w:right w:val="none" w:sz="0" w:space="0" w:color="auto"/>
      </w:divBdr>
    </w:div>
    <w:div w:id="1921786886">
      <w:marLeft w:val="480"/>
      <w:marRight w:val="0"/>
      <w:marTop w:val="0"/>
      <w:marBottom w:val="0"/>
      <w:divBdr>
        <w:top w:val="none" w:sz="0" w:space="0" w:color="auto"/>
        <w:left w:val="none" w:sz="0" w:space="0" w:color="auto"/>
        <w:bottom w:val="none" w:sz="0" w:space="0" w:color="auto"/>
        <w:right w:val="none" w:sz="0" w:space="0" w:color="auto"/>
      </w:divBdr>
    </w:div>
    <w:div w:id="1922450318">
      <w:marLeft w:val="480"/>
      <w:marRight w:val="0"/>
      <w:marTop w:val="0"/>
      <w:marBottom w:val="0"/>
      <w:divBdr>
        <w:top w:val="none" w:sz="0" w:space="0" w:color="auto"/>
        <w:left w:val="none" w:sz="0" w:space="0" w:color="auto"/>
        <w:bottom w:val="none" w:sz="0" w:space="0" w:color="auto"/>
        <w:right w:val="none" w:sz="0" w:space="0" w:color="auto"/>
      </w:divBdr>
    </w:div>
    <w:div w:id="1928465026">
      <w:marLeft w:val="480"/>
      <w:marRight w:val="0"/>
      <w:marTop w:val="0"/>
      <w:marBottom w:val="0"/>
      <w:divBdr>
        <w:top w:val="none" w:sz="0" w:space="0" w:color="auto"/>
        <w:left w:val="none" w:sz="0" w:space="0" w:color="auto"/>
        <w:bottom w:val="none" w:sz="0" w:space="0" w:color="auto"/>
        <w:right w:val="none" w:sz="0" w:space="0" w:color="auto"/>
      </w:divBdr>
    </w:div>
    <w:div w:id="1929928087">
      <w:marLeft w:val="480"/>
      <w:marRight w:val="0"/>
      <w:marTop w:val="0"/>
      <w:marBottom w:val="0"/>
      <w:divBdr>
        <w:top w:val="none" w:sz="0" w:space="0" w:color="auto"/>
        <w:left w:val="none" w:sz="0" w:space="0" w:color="auto"/>
        <w:bottom w:val="none" w:sz="0" w:space="0" w:color="auto"/>
        <w:right w:val="none" w:sz="0" w:space="0" w:color="auto"/>
      </w:divBdr>
    </w:div>
    <w:div w:id="1931161454">
      <w:marLeft w:val="480"/>
      <w:marRight w:val="0"/>
      <w:marTop w:val="0"/>
      <w:marBottom w:val="0"/>
      <w:divBdr>
        <w:top w:val="none" w:sz="0" w:space="0" w:color="auto"/>
        <w:left w:val="none" w:sz="0" w:space="0" w:color="auto"/>
        <w:bottom w:val="none" w:sz="0" w:space="0" w:color="auto"/>
        <w:right w:val="none" w:sz="0" w:space="0" w:color="auto"/>
      </w:divBdr>
    </w:div>
    <w:div w:id="1931769617">
      <w:marLeft w:val="480"/>
      <w:marRight w:val="0"/>
      <w:marTop w:val="0"/>
      <w:marBottom w:val="0"/>
      <w:divBdr>
        <w:top w:val="none" w:sz="0" w:space="0" w:color="auto"/>
        <w:left w:val="none" w:sz="0" w:space="0" w:color="auto"/>
        <w:bottom w:val="none" w:sz="0" w:space="0" w:color="auto"/>
        <w:right w:val="none" w:sz="0" w:space="0" w:color="auto"/>
      </w:divBdr>
    </w:div>
    <w:div w:id="1932544850">
      <w:marLeft w:val="480"/>
      <w:marRight w:val="0"/>
      <w:marTop w:val="0"/>
      <w:marBottom w:val="0"/>
      <w:divBdr>
        <w:top w:val="none" w:sz="0" w:space="0" w:color="auto"/>
        <w:left w:val="none" w:sz="0" w:space="0" w:color="auto"/>
        <w:bottom w:val="none" w:sz="0" w:space="0" w:color="auto"/>
        <w:right w:val="none" w:sz="0" w:space="0" w:color="auto"/>
      </w:divBdr>
    </w:div>
    <w:div w:id="1933539932">
      <w:marLeft w:val="480"/>
      <w:marRight w:val="0"/>
      <w:marTop w:val="0"/>
      <w:marBottom w:val="0"/>
      <w:divBdr>
        <w:top w:val="none" w:sz="0" w:space="0" w:color="auto"/>
        <w:left w:val="none" w:sz="0" w:space="0" w:color="auto"/>
        <w:bottom w:val="none" w:sz="0" w:space="0" w:color="auto"/>
        <w:right w:val="none" w:sz="0" w:space="0" w:color="auto"/>
      </w:divBdr>
    </w:div>
    <w:div w:id="1947688641">
      <w:marLeft w:val="480"/>
      <w:marRight w:val="0"/>
      <w:marTop w:val="0"/>
      <w:marBottom w:val="0"/>
      <w:divBdr>
        <w:top w:val="none" w:sz="0" w:space="0" w:color="auto"/>
        <w:left w:val="none" w:sz="0" w:space="0" w:color="auto"/>
        <w:bottom w:val="none" w:sz="0" w:space="0" w:color="auto"/>
        <w:right w:val="none" w:sz="0" w:space="0" w:color="auto"/>
      </w:divBdr>
    </w:div>
    <w:div w:id="1950431043">
      <w:marLeft w:val="480"/>
      <w:marRight w:val="0"/>
      <w:marTop w:val="0"/>
      <w:marBottom w:val="0"/>
      <w:divBdr>
        <w:top w:val="none" w:sz="0" w:space="0" w:color="auto"/>
        <w:left w:val="none" w:sz="0" w:space="0" w:color="auto"/>
        <w:bottom w:val="none" w:sz="0" w:space="0" w:color="auto"/>
        <w:right w:val="none" w:sz="0" w:space="0" w:color="auto"/>
      </w:divBdr>
    </w:div>
    <w:div w:id="1959987354">
      <w:marLeft w:val="480"/>
      <w:marRight w:val="0"/>
      <w:marTop w:val="0"/>
      <w:marBottom w:val="0"/>
      <w:divBdr>
        <w:top w:val="none" w:sz="0" w:space="0" w:color="auto"/>
        <w:left w:val="none" w:sz="0" w:space="0" w:color="auto"/>
        <w:bottom w:val="none" w:sz="0" w:space="0" w:color="auto"/>
        <w:right w:val="none" w:sz="0" w:space="0" w:color="auto"/>
      </w:divBdr>
    </w:div>
    <w:div w:id="1965572775">
      <w:marLeft w:val="480"/>
      <w:marRight w:val="0"/>
      <w:marTop w:val="0"/>
      <w:marBottom w:val="0"/>
      <w:divBdr>
        <w:top w:val="none" w:sz="0" w:space="0" w:color="auto"/>
        <w:left w:val="none" w:sz="0" w:space="0" w:color="auto"/>
        <w:bottom w:val="none" w:sz="0" w:space="0" w:color="auto"/>
        <w:right w:val="none" w:sz="0" w:space="0" w:color="auto"/>
      </w:divBdr>
    </w:div>
    <w:div w:id="1966960141">
      <w:marLeft w:val="480"/>
      <w:marRight w:val="0"/>
      <w:marTop w:val="0"/>
      <w:marBottom w:val="0"/>
      <w:divBdr>
        <w:top w:val="none" w:sz="0" w:space="0" w:color="auto"/>
        <w:left w:val="none" w:sz="0" w:space="0" w:color="auto"/>
        <w:bottom w:val="none" w:sz="0" w:space="0" w:color="auto"/>
        <w:right w:val="none" w:sz="0" w:space="0" w:color="auto"/>
      </w:divBdr>
    </w:div>
    <w:div w:id="1975481869">
      <w:marLeft w:val="480"/>
      <w:marRight w:val="0"/>
      <w:marTop w:val="0"/>
      <w:marBottom w:val="0"/>
      <w:divBdr>
        <w:top w:val="none" w:sz="0" w:space="0" w:color="auto"/>
        <w:left w:val="none" w:sz="0" w:space="0" w:color="auto"/>
        <w:bottom w:val="none" w:sz="0" w:space="0" w:color="auto"/>
        <w:right w:val="none" w:sz="0" w:space="0" w:color="auto"/>
      </w:divBdr>
    </w:div>
    <w:div w:id="1980105872">
      <w:marLeft w:val="480"/>
      <w:marRight w:val="0"/>
      <w:marTop w:val="0"/>
      <w:marBottom w:val="0"/>
      <w:divBdr>
        <w:top w:val="none" w:sz="0" w:space="0" w:color="auto"/>
        <w:left w:val="none" w:sz="0" w:space="0" w:color="auto"/>
        <w:bottom w:val="none" w:sz="0" w:space="0" w:color="auto"/>
        <w:right w:val="none" w:sz="0" w:space="0" w:color="auto"/>
      </w:divBdr>
    </w:div>
    <w:div w:id="1991405263">
      <w:marLeft w:val="480"/>
      <w:marRight w:val="0"/>
      <w:marTop w:val="0"/>
      <w:marBottom w:val="0"/>
      <w:divBdr>
        <w:top w:val="none" w:sz="0" w:space="0" w:color="auto"/>
        <w:left w:val="none" w:sz="0" w:space="0" w:color="auto"/>
        <w:bottom w:val="none" w:sz="0" w:space="0" w:color="auto"/>
        <w:right w:val="none" w:sz="0" w:space="0" w:color="auto"/>
      </w:divBdr>
    </w:div>
    <w:div w:id="1991445707">
      <w:marLeft w:val="480"/>
      <w:marRight w:val="0"/>
      <w:marTop w:val="0"/>
      <w:marBottom w:val="0"/>
      <w:divBdr>
        <w:top w:val="none" w:sz="0" w:space="0" w:color="auto"/>
        <w:left w:val="none" w:sz="0" w:space="0" w:color="auto"/>
        <w:bottom w:val="none" w:sz="0" w:space="0" w:color="auto"/>
        <w:right w:val="none" w:sz="0" w:space="0" w:color="auto"/>
      </w:divBdr>
    </w:div>
    <w:div w:id="1992518066">
      <w:marLeft w:val="480"/>
      <w:marRight w:val="0"/>
      <w:marTop w:val="0"/>
      <w:marBottom w:val="0"/>
      <w:divBdr>
        <w:top w:val="none" w:sz="0" w:space="0" w:color="auto"/>
        <w:left w:val="none" w:sz="0" w:space="0" w:color="auto"/>
        <w:bottom w:val="none" w:sz="0" w:space="0" w:color="auto"/>
        <w:right w:val="none" w:sz="0" w:space="0" w:color="auto"/>
      </w:divBdr>
    </w:div>
    <w:div w:id="1996840241">
      <w:marLeft w:val="480"/>
      <w:marRight w:val="0"/>
      <w:marTop w:val="0"/>
      <w:marBottom w:val="0"/>
      <w:divBdr>
        <w:top w:val="none" w:sz="0" w:space="0" w:color="auto"/>
        <w:left w:val="none" w:sz="0" w:space="0" w:color="auto"/>
        <w:bottom w:val="none" w:sz="0" w:space="0" w:color="auto"/>
        <w:right w:val="none" w:sz="0" w:space="0" w:color="auto"/>
      </w:divBdr>
    </w:div>
    <w:div w:id="1997763818">
      <w:marLeft w:val="480"/>
      <w:marRight w:val="0"/>
      <w:marTop w:val="0"/>
      <w:marBottom w:val="0"/>
      <w:divBdr>
        <w:top w:val="none" w:sz="0" w:space="0" w:color="auto"/>
        <w:left w:val="none" w:sz="0" w:space="0" w:color="auto"/>
        <w:bottom w:val="none" w:sz="0" w:space="0" w:color="auto"/>
        <w:right w:val="none" w:sz="0" w:space="0" w:color="auto"/>
      </w:divBdr>
    </w:div>
    <w:div w:id="2012029692">
      <w:marLeft w:val="480"/>
      <w:marRight w:val="0"/>
      <w:marTop w:val="0"/>
      <w:marBottom w:val="0"/>
      <w:divBdr>
        <w:top w:val="none" w:sz="0" w:space="0" w:color="auto"/>
        <w:left w:val="none" w:sz="0" w:space="0" w:color="auto"/>
        <w:bottom w:val="none" w:sz="0" w:space="0" w:color="auto"/>
        <w:right w:val="none" w:sz="0" w:space="0" w:color="auto"/>
      </w:divBdr>
    </w:div>
    <w:div w:id="2013945986">
      <w:marLeft w:val="480"/>
      <w:marRight w:val="0"/>
      <w:marTop w:val="0"/>
      <w:marBottom w:val="0"/>
      <w:divBdr>
        <w:top w:val="none" w:sz="0" w:space="0" w:color="auto"/>
        <w:left w:val="none" w:sz="0" w:space="0" w:color="auto"/>
        <w:bottom w:val="none" w:sz="0" w:space="0" w:color="auto"/>
        <w:right w:val="none" w:sz="0" w:space="0" w:color="auto"/>
      </w:divBdr>
    </w:div>
    <w:div w:id="2015839625">
      <w:marLeft w:val="480"/>
      <w:marRight w:val="0"/>
      <w:marTop w:val="0"/>
      <w:marBottom w:val="0"/>
      <w:divBdr>
        <w:top w:val="none" w:sz="0" w:space="0" w:color="auto"/>
        <w:left w:val="none" w:sz="0" w:space="0" w:color="auto"/>
        <w:bottom w:val="none" w:sz="0" w:space="0" w:color="auto"/>
        <w:right w:val="none" w:sz="0" w:space="0" w:color="auto"/>
      </w:divBdr>
    </w:div>
    <w:div w:id="2022587941">
      <w:marLeft w:val="480"/>
      <w:marRight w:val="0"/>
      <w:marTop w:val="0"/>
      <w:marBottom w:val="0"/>
      <w:divBdr>
        <w:top w:val="none" w:sz="0" w:space="0" w:color="auto"/>
        <w:left w:val="none" w:sz="0" w:space="0" w:color="auto"/>
        <w:bottom w:val="none" w:sz="0" w:space="0" w:color="auto"/>
        <w:right w:val="none" w:sz="0" w:space="0" w:color="auto"/>
      </w:divBdr>
    </w:div>
    <w:div w:id="2030451193">
      <w:marLeft w:val="480"/>
      <w:marRight w:val="0"/>
      <w:marTop w:val="0"/>
      <w:marBottom w:val="0"/>
      <w:divBdr>
        <w:top w:val="none" w:sz="0" w:space="0" w:color="auto"/>
        <w:left w:val="none" w:sz="0" w:space="0" w:color="auto"/>
        <w:bottom w:val="none" w:sz="0" w:space="0" w:color="auto"/>
        <w:right w:val="none" w:sz="0" w:space="0" w:color="auto"/>
      </w:divBdr>
    </w:div>
    <w:div w:id="2033651505">
      <w:marLeft w:val="480"/>
      <w:marRight w:val="0"/>
      <w:marTop w:val="0"/>
      <w:marBottom w:val="0"/>
      <w:divBdr>
        <w:top w:val="none" w:sz="0" w:space="0" w:color="auto"/>
        <w:left w:val="none" w:sz="0" w:space="0" w:color="auto"/>
        <w:bottom w:val="none" w:sz="0" w:space="0" w:color="auto"/>
        <w:right w:val="none" w:sz="0" w:space="0" w:color="auto"/>
      </w:divBdr>
    </w:div>
    <w:div w:id="2035225675">
      <w:marLeft w:val="480"/>
      <w:marRight w:val="0"/>
      <w:marTop w:val="0"/>
      <w:marBottom w:val="0"/>
      <w:divBdr>
        <w:top w:val="none" w:sz="0" w:space="0" w:color="auto"/>
        <w:left w:val="none" w:sz="0" w:space="0" w:color="auto"/>
        <w:bottom w:val="none" w:sz="0" w:space="0" w:color="auto"/>
        <w:right w:val="none" w:sz="0" w:space="0" w:color="auto"/>
      </w:divBdr>
    </w:div>
    <w:div w:id="2047489410">
      <w:marLeft w:val="480"/>
      <w:marRight w:val="0"/>
      <w:marTop w:val="0"/>
      <w:marBottom w:val="0"/>
      <w:divBdr>
        <w:top w:val="none" w:sz="0" w:space="0" w:color="auto"/>
        <w:left w:val="none" w:sz="0" w:space="0" w:color="auto"/>
        <w:bottom w:val="none" w:sz="0" w:space="0" w:color="auto"/>
        <w:right w:val="none" w:sz="0" w:space="0" w:color="auto"/>
      </w:divBdr>
    </w:div>
    <w:div w:id="2048720914">
      <w:marLeft w:val="480"/>
      <w:marRight w:val="0"/>
      <w:marTop w:val="0"/>
      <w:marBottom w:val="0"/>
      <w:divBdr>
        <w:top w:val="none" w:sz="0" w:space="0" w:color="auto"/>
        <w:left w:val="none" w:sz="0" w:space="0" w:color="auto"/>
        <w:bottom w:val="none" w:sz="0" w:space="0" w:color="auto"/>
        <w:right w:val="none" w:sz="0" w:space="0" w:color="auto"/>
      </w:divBdr>
    </w:div>
    <w:div w:id="2068144336">
      <w:marLeft w:val="480"/>
      <w:marRight w:val="0"/>
      <w:marTop w:val="0"/>
      <w:marBottom w:val="0"/>
      <w:divBdr>
        <w:top w:val="none" w:sz="0" w:space="0" w:color="auto"/>
        <w:left w:val="none" w:sz="0" w:space="0" w:color="auto"/>
        <w:bottom w:val="none" w:sz="0" w:space="0" w:color="auto"/>
        <w:right w:val="none" w:sz="0" w:space="0" w:color="auto"/>
      </w:divBdr>
    </w:div>
    <w:div w:id="2071229079">
      <w:marLeft w:val="480"/>
      <w:marRight w:val="0"/>
      <w:marTop w:val="0"/>
      <w:marBottom w:val="0"/>
      <w:divBdr>
        <w:top w:val="none" w:sz="0" w:space="0" w:color="auto"/>
        <w:left w:val="none" w:sz="0" w:space="0" w:color="auto"/>
        <w:bottom w:val="none" w:sz="0" w:space="0" w:color="auto"/>
        <w:right w:val="none" w:sz="0" w:space="0" w:color="auto"/>
      </w:divBdr>
    </w:div>
    <w:div w:id="2073966899">
      <w:marLeft w:val="480"/>
      <w:marRight w:val="0"/>
      <w:marTop w:val="0"/>
      <w:marBottom w:val="0"/>
      <w:divBdr>
        <w:top w:val="none" w:sz="0" w:space="0" w:color="auto"/>
        <w:left w:val="none" w:sz="0" w:space="0" w:color="auto"/>
        <w:bottom w:val="none" w:sz="0" w:space="0" w:color="auto"/>
        <w:right w:val="none" w:sz="0" w:space="0" w:color="auto"/>
      </w:divBdr>
    </w:div>
    <w:div w:id="2083946446">
      <w:marLeft w:val="480"/>
      <w:marRight w:val="0"/>
      <w:marTop w:val="0"/>
      <w:marBottom w:val="0"/>
      <w:divBdr>
        <w:top w:val="none" w:sz="0" w:space="0" w:color="auto"/>
        <w:left w:val="none" w:sz="0" w:space="0" w:color="auto"/>
        <w:bottom w:val="none" w:sz="0" w:space="0" w:color="auto"/>
        <w:right w:val="none" w:sz="0" w:space="0" w:color="auto"/>
      </w:divBdr>
    </w:div>
    <w:div w:id="2086367926">
      <w:marLeft w:val="480"/>
      <w:marRight w:val="0"/>
      <w:marTop w:val="0"/>
      <w:marBottom w:val="0"/>
      <w:divBdr>
        <w:top w:val="none" w:sz="0" w:space="0" w:color="auto"/>
        <w:left w:val="none" w:sz="0" w:space="0" w:color="auto"/>
        <w:bottom w:val="none" w:sz="0" w:space="0" w:color="auto"/>
        <w:right w:val="none" w:sz="0" w:space="0" w:color="auto"/>
      </w:divBdr>
    </w:div>
    <w:div w:id="2086414634">
      <w:marLeft w:val="480"/>
      <w:marRight w:val="0"/>
      <w:marTop w:val="0"/>
      <w:marBottom w:val="0"/>
      <w:divBdr>
        <w:top w:val="none" w:sz="0" w:space="0" w:color="auto"/>
        <w:left w:val="none" w:sz="0" w:space="0" w:color="auto"/>
        <w:bottom w:val="none" w:sz="0" w:space="0" w:color="auto"/>
        <w:right w:val="none" w:sz="0" w:space="0" w:color="auto"/>
      </w:divBdr>
    </w:div>
    <w:div w:id="2087609374">
      <w:marLeft w:val="480"/>
      <w:marRight w:val="0"/>
      <w:marTop w:val="0"/>
      <w:marBottom w:val="0"/>
      <w:divBdr>
        <w:top w:val="none" w:sz="0" w:space="0" w:color="auto"/>
        <w:left w:val="none" w:sz="0" w:space="0" w:color="auto"/>
        <w:bottom w:val="none" w:sz="0" w:space="0" w:color="auto"/>
        <w:right w:val="none" w:sz="0" w:space="0" w:color="auto"/>
      </w:divBdr>
    </w:div>
    <w:div w:id="2092654345">
      <w:marLeft w:val="480"/>
      <w:marRight w:val="0"/>
      <w:marTop w:val="0"/>
      <w:marBottom w:val="0"/>
      <w:divBdr>
        <w:top w:val="none" w:sz="0" w:space="0" w:color="auto"/>
        <w:left w:val="none" w:sz="0" w:space="0" w:color="auto"/>
        <w:bottom w:val="none" w:sz="0" w:space="0" w:color="auto"/>
        <w:right w:val="none" w:sz="0" w:space="0" w:color="auto"/>
      </w:divBdr>
    </w:div>
    <w:div w:id="2092920571">
      <w:marLeft w:val="480"/>
      <w:marRight w:val="0"/>
      <w:marTop w:val="0"/>
      <w:marBottom w:val="0"/>
      <w:divBdr>
        <w:top w:val="none" w:sz="0" w:space="0" w:color="auto"/>
        <w:left w:val="none" w:sz="0" w:space="0" w:color="auto"/>
        <w:bottom w:val="none" w:sz="0" w:space="0" w:color="auto"/>
        <w:right w:val="none" w:sz="0" w:space="0" w:color="auto"/>
      </w:divBdr>
    </w:div>
    <w:div w:id="2105148031">
      <w:marLeft w:val="480"/>
      <w:marRight w:val="0"/>
      <w:marTop w:val="0"/>
      <w:marBottom w:val="0"/>
      <w:divBdr>
        <w:top w:val="none" w:sz="0" w:space="0" w:color="auto"/>
        <w:left w:val="none" w:sz="0" w:space="0" w:color="auto"/>
        <w:bottom w:val="none" w:sz="0" w:space="0" w:color="auto"/>
        <w:right w:val="none" w:sz="0" w:space="0" w:color="auto"/>
      </w:divBdr>
    </w:div>
    <w:div w:id="2107535113">
      <w:marLeft w:val="480"/>
      <w:marRight w:val="0"/>
      <w:marTop w:val="0"/>
      <w:marBottom w:val="0"/>
      <w:divBdr>
        <w:top w:val="none" w:sz="0" w:space="0" w:color="auto"/>
        <w:left w:val="none" w:sz="0" w:space="0" w:color="auto"/>
        <w:bottom w:val="none" w:sz="0" w:space="0" w:color="auto"/>
        <w:right w:val="none" w:sz="0" w:space="0" w:color="auto"/>
      </w:divBdr>
    </w:div>
    <w:div w:id="2120180742">
      <w:marLeft w:val="480"/>
      <w:marRight w:val="0"/>
      <w:marTop w:val="0"/>
      <w:marBottom w:val="0"/>
      <w:divBdr>
        <w:top w:val="none" w:sz="0" w:space="0" w:color="auto"/>
        <w:left w:val="none" w:sz="0" w:space="0" w:color="auto"/>
        <w:bottom w:val="none" w:sz="0" w:space="0" w:color="auto"/>
        <w:right w:val="none" w:sz="0" w:space="0" w:color="auto"/>
      </w:divBdr>
    </w:div>
    <w:div w:id="2123526094">
      <w:marLeft w:val="480"/>
      <w:marRight w:val="0"/>
      <w:marTop w:val="0"/>
      <w:marBottom w:val="0"/>
      <w:divBdr>
        <w:top w:val="none" w:sz="0" w:space="0" w:color="auto"/>
        <w:left w:val="none" w:sz="0" w:space="0" w:color="auto"/>
        <w:bottom w:val="none" w:sz="0" w:space="0" w:color="auto"/>
        <w:right w:val="none" w:sz="0" w:space="0" w:color="auto"/>
      </w:divBdr>
    </w:div>
    <w:div w:id="2129739278">
      <w:marLeft w:val="480"/>
      <w:marRight w:val="0"/>
      <w:marTop w:val="0"/>
      <w:marBottom w:val="0"/>
      <w:divBdr>
        <w:top w:val="none" w:sz="0" w:space="0" w:color="auto"/>
        <w:left w:val="none" w:sz="0" w:space="0" w:color="auto"/>
        <w:bottom w:val="none" w:sz="0" w:space="0" w:color="auto"/>
        <w:right w:val="none" w:sz="0" w:space="0" w:color="auto"/>
      </w:divBdr>
    </w:div>
    <w:div w:id="2130926386">
      <w:marLeft w:val="480"/>
      <w:marRight w:val="0"/>
      <w:marTop w:val="0"/>
      <w:marBottom w:val="0"/>
      <w:divBdr>
        <w:top w:val="none" w:sz="0" w:space="0" w:color="auto"/>
        <w:left w:val="none" w:sz="0" w:space="0" w:color="auto"/>
        <w:bottom w:val="none" w:sz="0" w:space="0" w:color="auto"/>
        <w:right w:val="none" w:sz="0" w:space="0" w:color="auto"/>
      </w:divBdr>
    </w:div>
    <w:div w:id="2137483071">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van@mgsust.com" TargetMode="External"/><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aquel.simon@endef.com" TargetMode="Externa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herrando@ita.es" TargetMode="External"/><Relationship Id="rId24" Type="http://schemas.openxmlformats.org/officeDocument/2006/relationships/image" Target="media/image10.png"/><Relationship Id="rId32" Type="http://schemas.openxmlformats.org/officeDocument/2006/relationships/image" Target="media/image13.png"/><Relationship Id="rId5" Type="http://schemas.openxmlformats.org/officeDocument/2006/relationships/numbering" Target="numbering.xml"/><Relationship Id="rId15" Type="http://schemas.openxmlformats.org/officeDocument/2006/relationships/image" Target="media/image1.jpeg"/><Relationship Id="rId23" Type="http://schemas.openxmlformats.org/officeDocument/2006/relationships/image" Target="media/image9.png"/><Relationship Id="rId28" Type="http://schemas.openxmlformats.org/officeDocument/2006/relationships/chart" Target="charts/chart2.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chart" Target="charts/chart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orbinian.kramer@ise.fraunhofer.de" TargetMode="External"/><Relationship Id="rId22" Type="http://schemas.openxmlformats.org/officeDocument/2006/relationships/image" Target="media/image8.png"/><Relationship Id="rId27" Type="http://schemas.openxmlformats.org/officeDocument/2006/relationships/chart" Target="charts/chart1.xml"/><Relationship Id="rId30" Type="http://schemas.openxmlformats.org/officeDocument/2006/relationships/chart" Target="charts/chart4.xml"/><Relationship Id="rId35" Type="http://schemas.openxmlformats.org/officeDocument/2006/relationships/theme" Target="theme/theme1.xml"/><Relationship Id="rId8"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oleObject" Target="https://fraunhofer.sharepoint.com/sites/IEASHCTaskonPVTSystem-SubtaskD-PVTModelingandMonitoring/Freigegebene%20Dokumente/Subtask%20D%20-%20PVT%20Modeling%20and%20Monitoring/05.%20Paper%20EuroSun%202026/Figures/Figures%20Section%20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ndef_servidor\03_id\1%20-%20I+D\2-Proyectos%20en%20marcha\1-Abiertos\43-Task73\Subtask%20D\Resultados%20Mentimeter\Resultados_v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ndef_servidor\03_id\1%20-%20I+D\2-Proyectos%20en%20marcha\1-Abiertos\43-Task73\Subtask%20D\Resultados%20Mentimeter\Resultados_v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ivoaco\Downloads\Figures%20Section%203.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ivoaco\Downloads\Figures%20Section%20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689495246654302"/>
          <c:y val="4.1144857879416998E-2"/>
          <c:w val="0.7902371527201808"/>
          <c:h val="0.87091735950739269"/>
        </c:manualLayout>
      </c:layout>
      <c:barChart>
        <c:barDir val="bar"/>
        <c:grouping val="clustered"/>
        <c:varyColors val="0"/>
        <c:ser>
          <c:idx val="0"/>
          <c:order val="0"/>
          <c:tx>
            <c:strRef>
              <c:f>'Software by career'!$C$4</c:f>
              <c:strCache>
                <c:ptCount val="1"/>
                <c:pt idx="0">
                  <c:v>Early-career %</c:v>
                </c:pt>
              </c:strCache>
            </c:strRef>
          </c:tx>
          <c:spPr>
            <a:solidFill>
              <a:schemeClr val="accent6"/>
            </a:solidFill>
            <a:ln w="9360">
              <a:solidFill>
                <a:srgbClr val="F9F9F9"/>
              </a:solidFill>
              <a:round/>
            </a:ln>
          </c:spPr>
          <c:invertIfNegative val="0"/>
          <c:dLbls>
            <c:dLbl>
              <c:idx val="7"/>
              <c:layout>
                <c:manualLayout>
                  <c:x val="-1.0203490495365961E-16"/>
                  <c:y val="1.62733930024410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B9A-4EEF-8B3D-0D3321F8FF90}"/>
                </c:ext>
              </c:extLst>
            </c:dLbl>
            <c:spPr>
              <a:noFill/>
              <a:ln>
                <a:noFill/>
              </a:ln>
              <a:effectLst/>
            </c:spPr>
            <c:txPr>
              <a:bodyPr/>
              <a:lstStyle/>
              <a:p>
                <a:pPr>
                  <a:defRPr sz="1000" b="1">
                    <a:solidFill>
                      <a:schemeClr val="accent6">
                        <a:lumMod val="50000"/>
                      </a:schemeClr>
                    </a:solidFill>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'Software by career'!$A$5:$A$12</c:f>
              <c:strCache>
                <c:ptCount val="8"/>
                <c:pt idx="0">
                  <c:v>Own code</c:v>
                </c:pt>
                <c:pt idx="1">
                  <c:v>Other</c:v>
                </c:pt>
                <c:pt idx="2">
                  <c:v>Polysun</c:v>
                </c:pt>
                <c:pt idx="3">
                  <c:v>COMSOL</c:v>
                </c:pt>
                <c:pt idx="4">
                  <c:v>Modelica</c:v>
                </c:pt>
                <c:pt idx="5">
                  <c:v>Python</c:v>
                </c:pt>
                <c:pt idx="6">
                  <c:v>MATLAB</c:v>
                </c:pt>
                <c:pt idx="7">
                  <c:v>TRNSYS</c:v>
                </c:pt>
              </c:strCache>
            </c:strRef>
          </c:cat>
          <c:val>
            <c:numRef>
              <c:f>'Software by career'!$C$5:$C$12</c:f>
              <c:numCache>
                <c:formatCode>0%</c:formatCode>
                <c:ptCount val="8"/>
                <c:pt idx="0">
                  <c:v>0</c:v>
                </c:pt>
                <c:pt idx="1">
                  <c:v>2.564102564102564E-2</c:v>
                </c:pt>
                <c:pt idx="2">
                  <c:v>5.128205128205128E-2</c:v>
                </c:pt>
                <c:pt idx="3">
                  <c:v>5.128205128205128E-2</c:v>
                </c:pt>
                <c:pt idx="4">
                  <c:v>7.6923076923076927E-2</c:v>
                </c:pt>
                <c:pt idx="5">
                  <c:v>0.23076923076923078</c:v>
                </c:pt>
                <c:pt idx="6">
                  <c:v>0.25641025641025639</c:v>
                </c:pt>
                <c:pt idx="7">
                  <c:v>0.30769230769230771</c:v>
                </c:pt>
              </c:numCache>
            </c:numRef>
          </c:val>
          <c:extLst>
            <c:ext xmlns:c16="http://schemas.microsoft.com/office/drawing/2014/chart" uri="{C3380CC4-5D6E-409C-BE32-E72D297353CC}">
              <c16:uniqueId val="{00000000-FD5D-D94F-AA86-123791E04074}"/>
            </c:ext>
          </c:extLst>
        </c:ser>
        <c:ser>
          <c:idx val="1"/>
          <c:order val="1"/>
          <c:tx>
            <c:strRef>
              <c:f>'Software by career'!$E$4</c:f>
              <c:strCache>
                <c:ptCount val="1"/>
                <c:pt idx="0">
                  <c:v>Expert/industry %</c:v>
                </c:pt>
              </c:strCache>
            </c:strRef>
          </c:tx>
          <c:spPr>
            <a:solidFill>
              <a:schemeClr val="accent1">
                <a:lumMod val="75000"/>
              </a:schemeClr>
            </a:solidFill>
            <a:ln w="9360">
              <a:solidFill>
                <a:srgbClr val="F9F9F9"/>
              </a:solidFill>
              <a:round/>
            </a:ln>
          </c:spPr>
          <c:invertIfNegative val="0"/>
          <c:dLbls>
            <c:spPr>
              <a:noFill/>
              <a:ln>
                <a:noFill/>
              </a:ln>
              <a:effectLst/>
            </c:spPr>
            <c:txPr>
              <a:bodyPr/>
              <a:lstStyle/>
              <a:p>
                <a:pPr>
                  <a:defRPr sz="1000" b="1">
                    <a:solidFill>
                      <a:schemeClr val="tx2">
                        <a:lumMod val="75000"/>
                      </a:schemeClr>
                    </a:solidFill>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'Software by career'!$A$5:$A$12</c:f>
              <c:strCache>
                <c:ptCount val="8"/>
                <c:pt idx="0">
                  <c:v>Own code</c:v>
                </c:pt>
                <c:pt idx="1">
                  <c:v>Other</c:v>
                </c:pt>
                <c:pt idx="2">
                  <c:v>Polysun</c:v>
                </c:pt>
                <c:pt idx="3">
                  <c:v>COMSOL</c:v>
                </c:pt>
                <c:pt idx="4">
                  <c:v>Modelica</c:v>
                </c:pt>
                <c:pt idx="5">
                  <c:v>Python</c:v>
                </c:pt>
                <c:pt idx="6">
                  <c:v>MATLAB</c:v>
                </c:pt>
                <c:pt idx="7">
                  <c:v>TRNSYS</c:v>
                </c:pt>
              </c:strCache>
            </c:strRef>
          </c:cat>
          <c:val>
            <c:numRef>
              <c:f>'Software by career'!$E$5:$E$12</c:f>
              <c:numCache>
                <c:formatCode>0%</c:formatCode>
                <c:ptCount val="8"/>
                <c:pt idx="0">
                  <c:v>7.1428571428571425E-2</c:v>
                </c:pt>
                <c:pt idx="1">
                  <c:v>7.1428571428571425E-2</c:v>
                </c:pt>
                <c:pt idx="2">
                  <c:v>0.23809523809523808</c:v>
                </c:pt>
                <c:pt idx="3">
                  <c:v>0</c:v>
                </c:pt>
                <c:pt idx="4">
                  <c:v>4.7619047619047616E-2</c:v>
                </c:pt>
                <c:pt idx="5">
                  <c:v>0.16666666666666666</c:v>
                </c:pt>
                <c:pt idx="6">
                  <c:v>7.1428571428571425E-2</c:v>
                </c:pt>
                <c:pt idx="7">
                  <c:v>0.33333333333333331</c:v>
                </c:pt>
              </c:numCache>
            </c:numRef>
          </c:val>
          <c:extLst>
            <c:ext xmlns:c16="http://schemas.microsoft.com/office/drawing/2014/chart" uri="{C3380CC4-5D6E-409C-BE32-E72D297353CC}">
              <c16:uniqueId val="{00000001-FD5D-D94F-AA86-123791E04074}"/>
            </c:ext>
          </c:extLst>
        </c:ser>
        <c:dLbls>
          <c:dLblPos val="inEnd"/>
          <c:showLegendKey val="0"/>
          <c:showVal val="1"/>
          <c:showCatName val="0"/>
          <c:showSerName val="0"/>
          <c:showPercent val="0"/>
          <c:showBubbleSize val="0"/>
        </c:dLbls>
        <c:gapWidth val="100"/>
        <c:axId val="59773687"/>
        <c:axId val="21579469"/>
      </c:barChart>
      <c:catAx>
        <c:axId val="59773687"/>
        <c:scaling>
          <c:orientation val="minMax"/>
        </c:scaling>
        <c:delete val="0"/>
        <c:axPos val="l"/>
        <c:numFmt formatCode="General" sourceLinked="1"/>
        <c:majorTickMark val="none"/>
        <c:minorTickMark val="none"/>
        <c:tickLblPos val="nextTo"/>
        <c:spPr>
          <a:ln w="9360">
            <a:solidFill>
              <a:srgbClr val="878787"/>
            </a:solidFill>
            <a:round/>
          </a:ln>
        </c:spPr>
        <c:txPr>
          <a:bodyPr/>
          <a:lstStyle/>
          <a:p>
            <a:pPr>
              <a:defRPr>
                <a:latin typeface="Times New Roman" panose="02020603050405020304" pitchFamily="18" charset="0"/>
                <a:cs typeface="Times New Roman" panose="02020603050405020304" pitchFamily="18" charset="0"/>
              </a:defRPr>
            </a:pPr>
            <a:endParaRPr lang="es-ES"/>
          </a:p>
        </c:txPr>
        <c:crossAx val="21579469"/>
        <c:crosses val="autoZero"/>
        <c:auto val="1"/>
        <c:lblAlgn val="ctr"/>
        <c:lblOffset val="100"/>
        <c:noMultiLvlLbl val="0"/>
      </c:catAx>
      <c:valAx>
        <c:axId val="21579469"/>
        <c:scaling>
          <c:orientation val="minMax"/>
        </c:scaling>
        <c:delete val="0"/>
        <c:axPos val="b"/>
        <c:majorGridlines>
          <c:spPr>
            <a:ln w="9360">
              <a:solidFill>
                <a:schemeClr val="bg1">
                  <a:lumMod val="75000"/>
                </a:schemeClr>
              </a:solidFill>
              <a:round/>
            </a:ln>
          </c:spPr>
        </c:majorGridlines>
        <c:numFmt formatCode="0%" sourceLinked="1"/>
        <c:majorTickMark val="none"/>
        <c:minorTickMark val="none"/>
        <c:tickLblPos val="nextTo"/>
        <c:spPr>
          <a:ln w="9360">
            <a:solidFill>
              <a:srgbClr val="878787"/>
            </a:solidFill>
            <a:round/>
          </a:ln>
        </c:spPr>
        <c:txPr>
          <a:bodyPr/>
          <a:lstStyle/>
          <a:p>
            <a:pPr>
              <a:defRPr>
                <a:latin typeface="+mn-lt"/>
              </a:defRPr>
            </a:pPr>
            <a:endParaRPr lang="es-ES"/>
          </a:p>
        </c:txPr>
        <c:crossAx val="59773687"/>
        <c:crosses val="autoZero"/>
        <c:crossBetween val="between"/>
      </c:valAx>
      <c:spPr>
        <a:noFill/>
        <a:ln w="0">
          <a:noFill/>
        </a:ln>
      </c:spPr>
    </c:plotArea>
    <c:legend>
      <c:legendPos val="r"/>
      <c:layout>
        <c:manualLayout>
          <c:xMode val="edge"/>
          <c:yMode val="edge"/>
          <c:x val="0.74488758683931733"/>
          <c:y val="0.64270292088183856"/>
          <c:w val="0.23881045062771913"/>
          <c:h val="0.19150228304047273"/>
        </c:manualLayout>
      </c:layout>
      <c:overlay val="0"/>
      <c:spPr>
        <a:solidFill>
          <a:schemeClr val="bg1"/>
        </a:solidFill>
        <a:ln w="0">
          <a:noFill/>
        </a:ln>
      </c:spPr>
      <c:txPr>
        <a:bodyPr/>
        <a:lstStyle/>
        <a:p>
          <a:pPr>
            <a:defRPr sz="1000"/>
          </a:pPr>
          <a:endParaRPr lang="es-ES"/>
        </a:p>
      </c:txPr>
    </c:legend>
    <c:plotVisOnly val="1"/>
    <c:dispBlanksAs val="gap"/>
    <c:showDLblsOverMax val="1"/>
  </c:chart>
  <c:spPr>
    <a:solidFill>
      <a:srgbClr val="FFFFFF"/>
    </a:solidFill>
    <a:ln w="9360">
      <a:noFill/>
      <a:round/>
    </a:ln>
  </c:spPr>
  <c:txPr>
    <a:bodyPr/>
    <a:lstStyle/>
    <a:p>
      <a:pPr>
        <a:defRPr sz="900">
          <a:latin typeface="Times New Roman" panose="02020603050405020304" pitchFamily="18" charset="0"/>
          <a:cs typeface="Times New Roman" panose="02020603050405020304" pitchFamily="18" charset="0"/>
        </a:defRPr>
      </a:pPr>
      <a:endParaRPr lang="en-SE"/>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365918714885883"/>
          <c:y val="3.089960886571055E-2"/>
          <c:w val="0.51575098056563162"/>
          <c:h val="0.82624911455820305"/>
        </c:manualLayout>
      </c:layout>
      <c:barChart>
        <c:barDir val="bar"/>
        <c:grouping val="clustered"/>
        <c:varyColors val="1"/>
        <c:ser>
          <c:idx val="1"/>
          <c:order val="0"/>
          <c:tx>
            <c:strRef>
              <c:f>Sheet1!$C$72</c:f>
              <c:strCache>
                <c:ptCount val="1"/>
                <c:pt idx="0">
                  <c:v>Market </c:v>
                </c:pt>
              </c:strCache>
            </c:strRef>
          </c:tx>
          <c:spPr>
            <a:solidFill>
              <a:schemeClr val="accent1"/>
            </a:solidFill>
            <a:ln>
              <a:noFill/>
            </a:ln>
            <a:effectLst>
              <a:outerShdw blurRad="50800" dist="38100" dir="2700000" algn="tl" rotWithShape="0">
                <a:prstClr val="black">
                  <a:alpha val="40000"/>
                </a:prstClr>
              </a:outerShdw>
            </a:effectLst>
          </c:spPr>
          <c:invertIfNegative val="0"/>
          <c:dLbls>
            <c:dLbl>
              <c:idx val="0"/>
              <c:layout>
                <c:manualLayout>
                  <c:x val="4.8023548765189779E-2"/>
                  <c:y val="-4.723345824785440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B72-47A1-92B8-08672641D17F}"/>
                </c:ext>
              </c:extLst>
            </c:dLbl>
            <c:dLbl>
              <c:idx val="1"/>
              <c:layout>
                <c:manualLayout>
                  <c:x val="4.8097585498402637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B72-47A1-92B8-08672641D17F}"/>
                </c:ext>
              </c:extLst>
            </c:dLbl>
            <c:dLbl>
              <c:idx val="6"/>
              <c:layout>
                <c:manualLayout>
                  <c:x val="4.0972017276417062E-2"/>
                  <c:y val="-4.723345824785440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B72-47A1-92B8-08672641D17F}"/>
                </c:ext>
              </c:extLst>
            </c:dLbl>
            <c:dLbl>
              <c:idx val="7"/>
              <c:layout>
                <c:manualLayout>
                  <c:x val="6.0567329886877394E-2"/>
                  <c:y val="-9.446691649570794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B72-47A1-92B8-08672641D17F}"/>
                </c:ext>
              </c:extLst>
            </c:dLbl>
            <c:dLbl>
              <c:idx val="8"/>
              <c:layout>
                <c:manualLayout>
                  <c:x val="7.1255682219855763E-3"/>
                  <c:y val="-4.723345824785440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B72-47A1-92B8-08672641D17F}"/>
                </c:ext>
              </c:extLst>
            </c:dLbl>
            <c:dLbl>
              <c:idx val="9"/>
              <c:layout>
                <c:manualLayout>
                  <c:x val="6.1756799638990043E-2"/>
                  <c:y val="-4.723345824785440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B72-47A1-92B8-08672641D17F}"/>
                </c:ext>
              </c:extLst>
            </c:dLbl>
            <c:numFmt formatCode="0.0%" sourceLinked="0"/>
            <c:spPr>
              <a:noFill/>
              <a:ln>
                <a:noFill/>
              </a:ln>
              <a:effectLst/>
            </c:spPr>
            <c:txPr>
              <a:bodyPr rot="0" spcFirstLastPara="1" vertOverflow="ellipsis" vert="horz" wrap="square" anchor="ctr" anchorCtr="1"/>
              <a:lstStyle/>
              <a:p>
                <a:pPr>
                  <a:defRPr sz="800" b="1" i="0" u="none" strike="noStrike" kern="1200" baseline="0">
                    <a:solidFill>
                      <a:schemeClr val="accent1">
                        <a:lumMod val="7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Sheet1!$A$74:$A$83</c:f>
              <c:strCache>
                <c:ptCount val="10"/>
                <c:pt idx="0">
                  <c:v>Seasonal Performance Factor (SPF)</c:v>
                </c:pt>
                <c:pt idx="1">
                  <c:v>Gross Thermal/ Electrical Yield (GTY, GEY)</c:v>
                </c:pt>
                <c:pt idx="2">
                  <c:v>Solar thermal / electrical fraction</c:v>
                </c:pt>
                <c:pt idx="3">
                  <c:v>Electricity self-sufficiency /consumption fraction</c:v>
                </c:pt>
                <c:pt idx="4">
                  <c:v>Non-renewable primary energy consumption  </c:v>
                </c:pt>
                <c:pt idx="5">
                  <c:v>Global warming potential / emissions avoided</c:v>
                </c:pt>
                <c:pt idx="6">
                  <c:v>Thermal and electrical / solar utilisation ratios </c:v>
                </c:pt>
                <c:pt idx="7">
                  <c:v>Instantaneous thermal and electrical efficiencies</c:v>
                </c:pt>
                <c:pt idx="8">
                  <c:v>Ground source regeneration fraction  (if GS)</c:v>
                </c:pt>
                <c:pt idx="9">
                  <c:v>Characteristic collector field temperature</c:v>
                </c:pt>
              </c:strCache>
            </c:strRef>
          </c:cat>
          <c:val>
            <c:numRef>
              <c:f>Sheet1!$D$74:$D$83</c:f>
              <c:numCache>
                <c:formatCode>0.0%</c:formatCode>
                <c:ptCount val="10"/>
                <c:pt idx="0">
                  <c:v>0.70833333333333337</c:v>
                </c:pt>
                <c:pt idx="1">
                  <c:v>0.70833333333333337</c:v>
                </c:pt>
                <c:pt idx="2">
                  <c:v>0.66666666666666663</c:v>
                </c:pt>
                <c:pt idx="3">
                  <c:v>0.66666666666666663</c:v>
                </c:pt>
                <c:pt idx="4">
                  <c:v>0.54166666666666663</c:v>
                </c:pt>
                <c:pt idx="5">
                  <c:v>0.54166666666666663</c:v>
                </c:pt>
                <c:pt idx="6">
                  <c:v>0.45833333333333331</c:v>
                </c:pt>
                <c:pt idx="7">
                  <c:v>0.41666666666666669</c:v>
                </c:pt>
                <c:pt idx="8">
                  <c:v>0.41666666666666669</c:v>
                </c:pt>
                <c:pt idx="9">
                  <c:v>0.33333333333333331</c:v>
                </c:pt>
              </c:numCache>
            </c:numRef>
          </c:val>
          <c:extLst>
            <c:ext xmlns:c16="http://schemas.microsoft.com/office/drawing/2014/chart" uri="{C3380CC4-5D6E-409C-BE32-E72D297353CC}">
              <c16:uniqueId val="{00000006-2B72-47A1-92B8-08672641D17F}"/>
            </c:ext>
          </c:extLst>
        </c:ser>
        <c:ser>
          <c:idx val="0"/>
          <c:order val="1"/>
          <c:tx>
            <c:strRef>
              <c:f>Sheet1!$E$72</c:f>
              <c:strCache>
                <c:ptCount val="1"/>
                <c:pt idx="0">
                  <c:v>R&amp;D</c:v>
                </c:pt>
              </c:strCache>
            </c:strRef>
          </c:tx>
          <c:spPr>
            <a:solidFill>
              <a:schemeClr val="accent6">
                <a:lumMod val="60000"/>
                <a:lumOff val="40000"/>
              </a:schemeClr>
            </a:solidFill>
            <a:ln>
              <a:noFill/>
            </a:ln>
            <a:effectLst/>
          </c:spPr>
          <c:invertIfNegative val="0"/>
          <c:dLbls>
            <c:dLbl>
              <c:idx val="0"/>
              <c:layout>
                <c:manualLayout>
                  <c:x val="5.3260342394317602E-2"/>
                  <c:y val="2.361784487490943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B72-47A1-92B8-08672641D17F}"/>
                </c:ext>
              </c:extLst>
            </c:dLbl>
            <c:dLbl>
              <c:idx val="1"/>
              <c:layout>
                <c:manualLayout>
                  <c:x val="7.6295473939262309E-2"/>
                  <c:y val="2.1258815920500145E-2"/>
                </c:manualLayout>
              </c:layout>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chemeClr val="accent6">
                          <a:lumMod val="75000"/>
                        </a:schemeClr>
                      </a:solidFill>
                      <a:latin typeface="+mn-lt"/>
                      <a:ea typeface="+mn-ea"/>
                      <a:cs typeface="+mn-cs"/>
                    </a:defRPr>
                  </a:pPr>
                  <a:endParaRPr lang="es-ES"/>
                </a:p>
              </c:txPr>
              <c:dLblPos val="outEnd"/>
              <c:showLegendKey val="0"/>
              <c:showVal val="1"/>
              <c:showCatName val="0"/>
              <c:showSerName val="0"/>
              <c:showPercent val="0"/>
              <c:showBubbleSize val="0"/>
              <c:extLst>
                <c:ext xmlns:c15="http://schemas.microsoft.com/office/drawing/2012/chart" uri="{CE6537A1-D6FC-4f65-9D91-7224C49458BB}">
                  <c15:layout>
                    <c:manualLayout>
                      <c:w val="6.9484455073779067E-2"/>
                      <c:h val="5.9843546284224253E-2"/>
                    </c:manualLayout>
                  </c15:layout>
                </c:ext>
                <c:ext xmlns:c16="http://schemas.microsoft.com/office/drawing/2014/chart" uri="{C3380CC4-5D6E-409C-BE32-E72D297353CC}">
                  <c16:uniqueId val="{00000008-2B72-47A1-92B8-08672641D17F}"/>
                </c:ext>
              </c:extLst>
            </c:dLbl>
            <c:dLbl>
              <c:idx val="2"/>
              <c:layout>
                <c:manualLayout>
                  <c:x val="7.3888214983442876E-2"/>
                  <c:y val="1.889598671810030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B72-47A1-92B8-08672641D17F}"/>
                </c:ext>
              </c:extLst>
            </c:dLbl>
            <c:dLbl>
              <c:idx val="3"/>
              <c:layout>
                <c:manualLayout>
                  <c:x val="0.11637609871212368"/>
                  <c:y val="2.361858870889763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2B72-47A1-92B8-08672641D17F}"/>
                </c:ext>
              </c:extLst>
            </c:dLbl>
            <c:dLbl>
              <c:idx val="4"/>
              <c:layout>
                <c:manualLayout>
                  <c:x val="0.18870771275317197"/>
                  <c:y val="2.3620448293868068E-2"/>
                </c:manualLayout>
              </c:layout>
              <c:dLblPos val="outEnd"/>
              <c:showLegendKey val="0"/>
              <c:showVal val="1"/>
              <c:showCatName val="0"/>
              <c:showSerName val="0"/>
              <c:showPercent val="0"/>
              <c:showBubbleSize val="0"/>
              <c:extLst>
                <c:ext xmlns:c15="http://schemas.microsoft.com/office/drawing/2012/chart" uri="{CE6537A1-D6FC-4f65-9D91-7224C49458BB}">
                  <c15:layout>
                    <c:manualLayout>
                      <c:w val="6.6941857676670088E-2"/>
                      <c:h val="7.76045719012248E-2"/>
                    </c:manualLayout>
                  </c15:layout>
                </c:ext>
                <c:ext xmlns:c16="http://schemas.microsoft.com/office/drawing/2014/chart" uri="{C3380CC4-5D6E-409C-BE32-E72D297353CC}">
                  <c16:uniqueId val="{0000000B-2B72-47A1-92B8-08672641D17F}"/>
                </c:ext>
              </c:extLst>
            </c:dLbl>
            <c:dLbl>
              <c:idx val="5"/>
              <c:layout>
                <c:manualLayout>
                  <c:x val="5.5104768295597746E-2"/>
                  <c:y val="2.361784487490952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2B72-47A1-92B8-08672641D17F}"/>
                </c:ext>
              </c:extLst>
            </c:dLbl>
            <c:dLbl>
              <c:idx val="6"/>
              <c:layout>
                <c:manualLayout>
                  <c:x val="5.6886160351094138E-2"/>
                  <c:y val="1.889487096711816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2B72-47A1-92B8-08672641D17F}"/>
                </c:ext>
              </c:extLst>
            </c:dLbl>
            <c:dLbl>
              <c:idx val="7"/>
              <c:layout>
                <c:manualLayout>
                  <c:x val="5.6886160351094138E-2"/>
                  <c:y val="1.889449905012399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2B72-47A1-92B8-08672641D17F}"/>
                </c:ext>
              </c:extLst>
            </c:dLbl>
            <c:dLbl>
              <c:idx val="8"/>
              <c:layout>
                <c:manualLayout>
                  <c:x val="9.1854465599215271E-2"/>
                  <c:y val="1.889561480110631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2B72-47A1-92B8-08672641D17F}"/>
                </c:ext>
              </c:extLst>
            </c:dLbl>
            <c:dLbl>
              <c:idx val="9"/>
              <c:layout>
                <c:manualLayout>
                  <c:x val="6.7191953748950345E-2"/>
                  <c:y val="1.889524288411215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2B72-47A1-92B8-08672641D17F}"/>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accent6">
                        <a:lumMod val="7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Sheet1!$A$74:$A$83</c:f>
              <c:strCache>
                <c:ptCount val="10"/>
                <c:pt idx="0">
                  <c:v>Seasonal Performance Factor (SPF)</c:v>
                </c:pt>
                <c:pt idx="1">
                  <c:v>Gross Thermal/ Electrical Yield (GTY, GEY)</c:v>
                </c:pt>
                <c:pt idx="2">
                  <c:v>Solar thermal / electrical fraction</c:v>
                </c:pt>
                <c:pt idx="3">
                  <c:v>Electricity self-sufficiency /consumption fraction</c:v>
                </c:pt>
                <c:pt idx="4">
                  <c:v>Non-renewable primary energy consumption  </c:v>
                </c:pt>
                <c:pt idx="5">
                  <c:v>Global warming potential / emissions avoided</c:v>
                </c:pt>
                <c:pt idx="6">
                  <c:v>Thermal and electrical / solar utilisation ratios </c:v>
                </c:pt>
                <c:pt idx="7">
                  <c:v>Instantaneous thermal and electrical efficiencies</c:v>
                </c:pt>
                <c:pt idx="8">
                  <c:v>Ground source regeneration fraction  (if GS)</c:v>
                </c:pt>
                <c:pt idx="9">
                  <c:v>Characteristic collector field temperature</c:v>
                </c:pt>
              </c:strCache>
            </c:strRef>
          </c:cat>
          <c:val>
            <c:numRef>
              <c:f>Sheet1!$E$74:$E$83</c:f>
              <c:numCache>
                <c:formatCode>0.0%</c:formatCode>
                <c:ptCount val="10"/>
                <c:pt idx="0">
                  <c:v>0.81818181818181823</c:v>
                </c:pt>
                <c:pt idx="1">
                  <c:v>0.77272727272727271</c:v>
                </c:pt>
                <c:pt idx="2">
                  <c:v>0.63636363636363635</c:v>
                </c:pt>
                <c:pt idx="3">
                  <c:v>0.54545454545454541</c:v>
                </c:pt>
                <c:pt idx="4">
                  <c:v>0.27272727272727271</c:v>
                </c:pt>
                <c:pt idx="5">
                  <c:v>0.54545454545454541</c:v>
                </c:pt>
                <c:pt idx="6">
                  <c:v>0.54545454545454541</c:v>
                </c:pt>
                <c:pt idx="7">
                  <c:v>0.54545454545454541</c:v>
                </c:pt>
                <c:pt idx="8">
                  <c:v>0.36363636363636365</c:v>
                </c:pt>
                <c:pt idx="9">
                  <c:v>0.45454545454545453</c:v>
                </c:pt>
              </c:numCache>
            </c:numRef>
          </c:val>
          <c:extLst>
            <c:ext xmlns:c16="http://schemas.microsoft.com/office/drawing/2014/chart" uri="{C3380CC4-5D6E-409C-BE32-E72D297353CC}">
              <c16:uniqueId val="{00000011-2B72-47A1-92B8-08672641D17F}"/>
            </c:ext>
          </c:extLst>
        </c:ser>
        <c:dLbls>
          <c:showLegendKey val="0"/>
          <c:showVal val="0"/>
          <c:showCatName val="0"/>
          <c:showSerName val="0"/>
          <c:showPercent val="0"/>
          <c:showBubbleSize val="0"/>
        </c:dLbls>
        <c:gapWidth val="100"/>
        <c:axId val="1624108831"/>
        <c:axId val="1624109311"/>
      </c:barChart>
      <c:catAx>
        <c:axId val="1624108831"/>
        <c:scaling>
          <c:orientation val="maxMin"/>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2">
                    <a:lumMod val="75000"/>
                  </a:schemeClr>
                </a:solidFill>
                <a:latin typeface="+mn-lt"/>
                <a:ea typeface="+mn-ea"/>
                <a:cs typeface="+mn-cs"/>
              </a:defRPr>
            </a:pPr>
            <a:endParaRPr lang="es-ES"/>
          </a:p>
        </c:txPr>
        <c:crossAx val="1624109311"/>
        <c:crosses val="autoZero"/>
        <c:auto val="1"/>
        <c:lblAlgn val="ctr"/>
        <c:lblOffset val="100"/>
        <c:noMultiLvlLbl val="0"/>
      </c:catAx>
      <c:valAx>
        <c:axId val="1624109311"/>
        <c:scaling>
          <c:orientation val="minMax"/>
        </c:scaling>
        <c:delete val="0"/>
        <c:axPos val="b"/>
        <c:majorGridlines>
          <c:spPr>
            <a:ln w="9525" cap="flat" cmpd="sng" algn="ctr">
              <a:solidFill>
                <a:schemeClr val="tx2">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2"/>
                </a:solidFill>
                <a:latin typeface="+mn-lt"/>
                <a:ea typeface="+mn-ea"/>
                <a:cs typeface="+mn-cs"/>
              </a:defRPr>
            </a:pPr>
            <a:endParaRPr lang="es-ES"/>
          </a:p>
        </c:txPr>
        <c:crossAx val="1624108831"/>
        <c:crosses val="max"/>
        <c:crossBetween val="between"/>
        <c:majorUnit val="0.2"/>
      </c:valAx>
      <c:spPr>
        <a:noFill/>
        <a:ln>
          <a:noFill/>
        </a:ln>
        <a:effectLst/>
      </c:spPr>
    </c:plotArea>
    <c:legend>
      <c:legendPos val="tr"/>
      <c:layout>
        <c:manualLayout>
          <c:xMode val="edge"/>
          <c:yMode val="edge"/>
          <c:x val="0.86661223781551955"/>
          <c:y val="0.68070516949745075"/>
          <c:w val="0.12455883154455955"/>
          <c:h val="0.16062723057217201"/>
        </c:manualLayout>
      </c:layout>
      <c:overlay val="1"/>
      <c:spPr>
        <a:solidFill>
          <a:schemeClr val="bg1"/>
        </a:solidFill>
        <a:ln>
          <a:solidFill>
            <a:schemeClr val="tx2">
              <a:lumMod val="75000"/>
            </a:schemeClr>
          </a:solidFill>
        </a:ln>
      </c:spPr>
      <c:txPr>
        <a:bodyPr/>
        <a:lstStyle/>
        <a:p>
          <a:pPr>
            <a:defRPr sz="900" b="0"/>
          </a:pPr>
          <a:endParaRPr lang="es-E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pPr>
      <a:endParaRPr lang="es-E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8310373399773018"/>
          <c:y val="5.0142385597584854E-2"/>
          <c:w val="0.43963790559893384"/>
          <c:h val="0.78088021904923965"/>
        </c:manualLayout>
      </c:layout>
      <c:barChart>
        <c:barDir val="bar"/>
        <c:grouping val="clustered"/>
        <c:varyColors val="1"/>
        <c:ser>
          <c:idx val="1"/>
          <c:order val="0"/>
          <c:tx>
            <c:strRef>
              <c:f>Sheet1!$C$72</c:f>
              <c:strCache>
                <c:ptCount val="1"/>
                <c:pt idx="0">
                  <c:v>Market </c:v>
                </c:pt>
              </c:strCache>
            </c:strRef>
          </c:tx>
          <c:spPr>
            <a:solidFill>
              <a:schemeClr val="accent1"/>
            </a:solidFill>
          </c:spPr>
          <c:invertIfNegative val="0"/>
          <c:dLbls>
            <c:dLbl>
              <c:idx val="3"/>
              <c:layout>
                <c:manualLayout>
                  <c:x val="0.11892004000431572"/>
                  <c:y val="-4.722973907791277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A1B-42F7-BBC3-26FBB8FC257E}"/>
                </c:ext>
              </c:extLst>
            </c:dLbl>
            <c:dLbl>
              <c:idx val="4"/>
              <c:layout>
                <c:manualLayout>
                  <c:x val="5.3247779106410029E-2"/>
                  <c:y val="-4.722973907791363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A1B-42F7-BBC3-26FBB8FC257E}"/>
                </c:ext>
              </c:extLst>
            </c:dLbl>
            <c:dLbl>
              <c:idx val="5"/>
              <c:layout>
                <c:manualLayout>
                  <c:x val="9.2296150451110712E-2"/>
                  <c:y val="-9.446691649570881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A1B-42F7-BBC3-26FBB8FC257E}"/>
                </c:ext>
              </c:extLst>
            </c:dLbl>
            <c:dLbl>
              <c:idx val="6"/>
              <c:layout>
                <c:manualLayout>
                  <c:x val="9.0521224480897042E-2"/>
                  <c:y val="-9.445947815582727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A1B-42F7-BBC3-26FBB8FC257E}"/>
                </c:ext>
              </c:extLst>
            </c:dLbl>
            <c:dLbl>
              <c:idx val="7"/>
              <c:layout>
                <c:manualLayout>
                  <c:x val="9.5846002391538052E-2"/>
                  <c:y val="-9.445575898588562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A1B-42F7-BBC3-26FBB8FC257E}"/>
                </c:ext>
              </c:extLst>
            </c:dLbl>
            <c:spPr>
              <a:noFill/>
              <a:ln>
                <a:noFill/>
              </a:ln>
              <a:effectLst/>
            </c:spPr>
            <c:txPr>
              <a:bodyPr wrap="square" lIns="38100" tIns="19050" rIns="38100" bIns="19050" anchor="ctr">
                <a:spAutoFit/>
              </a:bodyPr>
              <a:lstStyle/>
              <a:p>
                <a:pPr>
                  <a:defRPr sz="800" b="1">
                    <a:solidFill>
                      <a:schemeClr val="accent1">
                        <a:lumMod val="75000"/>
                      </a:schemeClr>
                    </a:solidFill>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Sheet1!$A$86:$A$93</c:f>
              <c:strCache>
                <c:ptCount val="8"/>
                <c:pt idx="0">
                  <c:v>Final economical savings (per year)</c:v>
                </c:pt>
                <c:pt idx="1">
                  <c:v>Initial investment cost (per m2)</c:v>
                </c:pt>
                <c:pt idx="2">
                  <c:v>Discounted payback period (DPP)</c:v>
                </c:pt>
                <c:pt idx="3">
                  <c:v>Levelised cost of heat (LCoH…)</c:v>
                </c:pt>
                <c:pt idx="4">
                  <c:v>Maintenance cost (per m2)</c:v>
                </c:pt>
                <c:pt idx="5">
                  <c:v>Levelised cost of electricity (LCoE)</c:v>
                </c:pt>
                <c:pt idx="6">
                  <c:v>Total life cycle cost (TLCC)</c:v>
                </c:pt>
                <c:pt idx="7">
                  <c:v>Levelised cost of energy  (LCE)</c:v>
                </c:pt>
              </c:strCache>
            </c:strRef>
          </c:cat>
          <c:val>
            <c:numRef>
              <c:f>Sheet1!$D$86:$D$93</c:f>
              <c:numCache>
                <c:formatCode>0.0%</c:formatCode>
                <c:ptCount val="8"/>
                <c:pt idx="0">
                  <c:v>0.91666666666666663</c:v>
                </c:pt>
                <c:pt idx="1">
                  <c:v>0.875</c:v>
                </c:pt>
                <c:pt idx="2">
                  <c:v>0.66666666666666663</c:v>
                </c:pt>
                <c:pt idx="3">
                  <c:v>0.66666666666666663</c:v>
                </c:pt>
                <c:pt idx="4">
                  <c:v>0.625</c:v>
                </c:pt>
                <c:pt idx="5">
                  <c:v>0.54166666666666663</c:v>
                </c:pt>
                <c:pt idx="6">
                  <c:v>0.54166666666666663</c:v>
                </c:pt>
                <c:pt idx="7">
                  <c:v>0.5</c:v>
                </c:pt>
              </c:numCache>
            </c:numRef>
          </c:val>
          <c:extLst>
            <c:ext xmlns:c16="http://schemas.microsoft.com/office/drawing/2014/chart" uri="{C3380CC4-5D6E-409C-BE32-E72D297353CC}">
              <c16:uniqueId val="{00000005-BA1B-42F7-BBC3-26FBB8FC257E}"/>
            </c:ext>
          </c:extLst>
        </c:ser>
        <c:ser>
          <c:idx val="0"/>
          <c:order val="1"/>
          <c:tx>
            <c:strRef>
              <c:f>Sheet1!$E$72</c:f>
              <c:strCache>
                <c:ptCount val="1"/>
                <c:pt idx="0">
                  <c:v>R&amp;D</c:v>
                </c:pt>
              </c:strCache>
            </c:strRef>
          </c:tx>
          <c:spPr>
            <a:solidFill>
              <a:schemeClr val="accent6">
                <a:lumMod val="60000"/>
                <a:lumOff val="40000"/>
              </a:schemeClr>
            </a:solidFill>
          </c:spPr>
          <c:invertIfNegative val="0"/>
          <c:dLbls>
            <c:dLbl>
              <c:idx val="0"/>
              <c:layout>
                <c:manualLayout>
                  <c:x val="0.17129531022631272"/>
                  <c:y val="2.837057214222700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A1B-42F7-BBC3-26FBB8FC257E}"/>
                </c:ext>
              </c:extLst>
            </c:dLbl>
            <c:dLbl>
              <c:idx val="1"/>
              <c:layout>
                <c:manualLayout>
                  <c:x val="0.26887554944567987"/>
                  <c:y val="2.274162257495590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A1B-42F7-BBC3-26FBB8FC257E}"/>
                </c:ext>
              </c:extLst>
            </c:dLbl>
            <c:dLbl>
              <c:idx val="2"/>
              <c:layout>
                <c:manualLayout>
                  <c:x val="0.11714511403410206"/>
                  <c:y val="2.834044686570672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A1B-42F7-BBC3-26FBB8FC257E}"/>
                </c:ext>
              </c:extLst>
            </c:dLbl>
            <c:dLbl>
              <c:idx val="3"/>
              <c:layout>
                <c:manualLayout>
                  <c:x val="7.3953129272396917E-2"/>
                  <c:y val="2.361992945326273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A1B-42F7-BBC3-26FBB8FC257E}"/>
                </c:ext>
              </c:extLst>
            </c:dLbl>
            <c:dLbl>
              <c:idx val="4"/>
              <c:layout>
                <c:manualLayout>
                  <c:x val="0.2516180080158702"/>
                  <c:y val="1.889417989417989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BA1B-42F7-BBC3-26FBB8FC257E}"/>
                </c:ext>
              </c:extLst>
            </c:dLbl>
            <c:dLbl>
              <c:idx val="5"/>
              <c:layout>
                <c:manualLayout>
                  <c:x val="7.3333908676730522E-2"/>
                  <c:y val="1.889550264550274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BA1B-42F7-BBC3-26FBB8FC257E}"/>
                </c:ext>
              </c:extLst>
            </c:dLbl>
            <c:dLbl>
              <c:idx val="6"/>
              <c:layout>
                <c:manualLayout>
                  <c:x val="0.14909384867829384"/>
                  <c:y val="1.977072310405643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BA1B-42F7-BBC3-26FBB8FC257E}"/>
                </c:ext>
              </c:extLst>
            </c:dLbl>
            <c:dLbl>
              <c:idx val="7"/>
              <c:layout>
                <c:manualLayout>
                  <c:x val="7.851824666714903E-2"/>
                  <c:y val="1.329585537918871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BA1B-42F7-BBC3-26FBB8FC257E}"/>
                </c:ext>
              </c:extLst>
            </c:dLbl>
            <c:spPr>
              <a:noFill/>
              <a:ln>
                <a:noFill/>
              </a:ln>
              <a:effectLst/>
            </c:spPr>
            <c:txPr>
              <a:bodyPr wrap="square" lIns="38100" tIns="19050" rIns="38100" bIns="19050" anchor="ctr">
                <a:spAutoFit/>
              </a:bodyPr>
              <a:lstStyle/>
              <a:p>
                <a:pPr>
                  <a:defRPr sz="800" b="1">
                    <a:solidFill>
                      <a:schemeClr val="accent6">
                        <a:lumMod val="75000"/>
                      </a:schemeClr>
                    </a:solidFill>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Sheet1!$A$86:$A$93</c:f>
              <c:strCache>
                <c:ptCount val="8"/>
                <c:pt idx="0">
                  <c:v>Final economical savings (per year)</c:v>
                </c:pt>
                <c:pt idx="1">
                  <c:v>Initial investment cost (per m2)</c:v>
                </c:pt>
                <c:pt idx="2">
                  <c:v>Discounted payback period (DPP)</c:v>
                </c:pt>
                <c:pt idx="3">
                  <c:v>Levelised cost of heat (LCoH…)</c:v>
                </c:pt>
                <c:pt idx="4">
                  <c:v>Maintenance cost (per m2)</c:v>
                </c:pt>
                <c:pt idx="5">
                  <c:v>Levelised cost of electricity (LCoE)</c:v>
                </c:pt>
                <c:pt idx="6">
                  <c:v>Total life cycle cost (TLCC)</c:v>
                </c:pt>
                <c:pt idx="7">
                  <c:v>Levelised cost of energy  (LCE)</c:v>
                </c:pt>
              </c:strCache>
            </c:strRef>
          </c:cat>
          <c:val>
            <c:numRef>
              <c:f>Sheet1!$E$86:$E$93</c:f>
              <c:numCache>
                <c:formatCode>0.0%</c:formatCode>
                <c:ptCount val="8"/>
                <c:pt idx="0">
                  <c:v>0.68181818181818177</c:v>
                </c:pt>
                <c:pt idx="1">
                  <c:v>0.40909090909090912</c:v>
                </c:pt>
                <c:pt idx="2">
                  <c:v>0.54545454545454541</c:v>
                </c:pt>
                <c:pt idx="3">
                  <c:v>0.90909090909090906</c:v>
                </c:pt>
                <c:pt idx="4">
                  <c:v>0.31818181818181818</c:v>
                </c:pt>
                <c:pt idx="5">
                  <c:v>0.72727272727272729</c:v>
                </c:pt>
                <c:pt idx="6">
                  <c:v>0.54545454545454541</c:v>
                </c:pt>
                <c:pt idx="7">
                  <c:v>0.68181818181818177</c:v>
                </c:pt>
              </c:numCache>
            </c:numRef>
          </c:val>
          <c:extLst>
            <c:ext xmlns:c16="http://schemas.microsoft.com/office/drawing/2014/chart" uri="{C3380CC4-5D6E-409C-BE32-E72D297353CC}">
              <c16:uniqueId val="{0000000E-BA1B-42F7-BBC3-26FBB8FC257E}"/>
            </c:ext>
          </c:extLst>
        </c:ser>
        <c:dLbls>
          <c:showLegendKey val="0"/>
          <c:showVal val="0"/>
          <c:showCatName val="0"/>
          <c:showSerName val="0"/>
          <c:showPercent val="0"/>
          <c:showBubbleSize val="0"/>
        </c:dLbls>
        <c:gapWidth val="100"/>
        <c:axId val="1624108831"/>
        <c:axId val="1624109311"/>
      </c:barChart>
      <c:catAx>
        <c:axId val="1624108831"/>
        <c:scaling>
          <c:orientation val="maxMin"/>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2">
                    <a:lumMod val="75000"/>
                  </a:schemeClr>
                </a:solidFill>
                <a:latin typeface="+mn-lt"/>
                <a:ea typeface="+mn-ea"/>
                <a:cs typeface="+mn-cs"/>
              </a:defRPr>
            </a:pPr>
            <a:endParaRPr lang="es-ES"/>
          </a:p>
        </c:txPr>
        <c:crossAx val="1624109311"/>
        <c:crosses val="autoZero"/>
        <c:auto val="1"/>
        <c:lblAlgn val="ctr"/>
        <c:lblOffset val="100"/>
        <c:noMultiLvlLbl val="0"/>
      </c:catAx>
      <c:valAx>
        <c:axId val="1624109311"/>
        <c:scaling>
          <c:orientation val="minMax"/>
        </c:scaling>
        <c:delete val="0"/>
        <c:axPos val="b"/>
        <c:majorGridlines>
          <c:spPr>
            <a:ln w="9525" cap="flat" cmpd="sng" algn="ctr">
              <a:solidFill>
                <a:schemeClr val="tx2">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2"/>
                </a:solidFill>
                <a:latin typeface="+mn-lt"/>
                <a:ea typeface="+mn-ea"/>
                <a:cs typeface="+mn-cs"/>
              </a:defRPr>
            </a:pPr>
            <a:endParaRPr lang="es-ES"/>
          </a:p>
        </c:txPr>
        <c:crossAx val="1624108831"/>
        <c:crosses val="max"/>
        <c:crossBetween val="between"/>
        <c:majorUnit val="0.2"/>
      </c:valAx>
      <c:spPr>
        <a:noFill/>
        <a:ln>
          <a:noFill/>
        </a:ln>
        <a:effectLst/>
      </c:spPr>
    </c:plotArea>
    <c:legend>
      <c:legendPos val="t"/>
      <c:layout>
        <c:manualLayout>
          <c:xMode val="edge"/>
          <c:yMode val="edge"/>
          <c:x val="0.87195920009817551"/>
          <c:y val="0.61559952353696468"/>
          <c:w val="0.10152675226661509"/>
          <c:h val="0.19767283950617281"/>
        </c:manualLayout>
      </c:layout>
      <c:overlay val="1"/>
      <c:spPr>
        <a:ln>
          <a:solidFill>
            <a:schemeClr val="tx2">
              <a:lumMod val="75000"/>
            </a:schemeClr>
          </a:solidFill>
        </a:ln>
      </c:spPr>
      <c:txPr>
        <a:bodyPr/>
        <a:lstStyle/>
        <a:p>
          <a:pPr>
            <a:defRPr sz="900"/>
          </a:pPr>
          <a:endParaRPr lang="es-E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pPr>
      <a:endParaRPr lang="es-E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0076529093657106"/>
          <c:y val="3.953437910832578E-2"/>
          <c:w val="0.63178365590899066"/>
          <c:h val="0.87022434383788372"/>
        </c:manualLayout>
      </c:layout>
      <c:barChart>
        <c:barDir val="bar"/>
        <c:grouping val="clustered"/>
        <c:varyColors val="0"/>
        <c:ser>
          <c:idx val="0"/>
          <c:order val="0"/>
          <c:tx>
            <c:strRef>
              <c:f>'EC7 Barriers'!$B$3</c:f>
              <c:strCache>
                <c:ptCount val="1"/>
                <c:pt idx="0">
                  <c:v>Count</c:v>
                </c:pt>
              </c:strCache>
            </c:strRef>
          </c:tx>
          <c:spPr>
            <a:solidFill>
              <a:srgbClr val="B23A48"/>
            </a:solidFill>
            <a:ln w="9360">
              <a:solidFill>
                <a:srgbClr val="F9F9F9"/>
              </a:solidFill>
              <a:round/>
            </a:ln>
          </c:spPr>
          <c:invertIfNegative val="0"/>
          <c:dLbls>
            <c:dLbl>
              <c:idx val="0"/>
              <c:tx>
                <c:rich>
                  <a:bodyPr/>
                  <a:lstStyle/>
                  <a:p>
                    <a:fld id="{726818D8-016B-4CD3-A6D6-935C3E093FB3}" type="CELLRANGE">
                      <a:rPr lang="en-US" baseline="0"/>
                      <a:pPr/>
                      <a:t>[CELLRANGE]</a:t>
                    </a:fld>
                    <a:r>
                      <a:rPr lang="en-US" baseline="0"/>
                      <a:t>, </a:t>
                    </a:r>
                    <a:fld id="{D584056A-7F38-4C26-A41E-6DB4C90FD7F8}" type="VALUE">
                      <a:rPr lang="en-US" baseline="0"/>
                      <a:pPr/>
                      <a:t>[VALOR]</a:t>
                    </a:fld>
                    <a:endParaRPr lang="en-US" baseline="0"/>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780C-4994-83C6-4D856BDF4B94}"/>
                </c:ext>
              </c:extLst>
            </c:dLbl>
            <c:dLbl>
              <c:idx val="1"/>
              <c:tx>
                <c:rich>
                  <a:bodyPr/>
                  <a:lstStyle/>
                  <a:p>
                    <a:fld id="{43DB8DE1-BBB4-460D-B964-A916C926C149}" type="CELLRANGE">
                      <a:rPr lang="en-US"/>
                      <a:pPr/>
                      <a:t>[CELLRANGE]</a:t>
                    </a:fld>
                    <a:r>
                      <a:rPr lang="en-US" baseline="0"/>
                      <a:t>, </a:t>
                    </a:r>
                    <a:fld id="{B3DFE504-CA78-4041-8A1F-1DFF1563BB28}" type="VALUE">
                      <a:rPr lang="en-US" baseline="0"/>
                      <a:pPr/>
                      <a:t>[VALOR]</a:t>
                    </a:fld>
                    <a:endParaRPr lang="en-US" baseline="0"/>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780C-4994-83C6-4D856BDF4B94}"/>
                </c:ext>
              </c:extLst>
            </c:dLbl>
            <c:dLbl>
              <c:idx val="2"/>
              <c:tx>
                <c:rich>
                  <a:bodyPr/>
                  <a:lstStyle/>
                  <a:p>
                    <a:fld id="{13E287B4-3170-4095-9B91-45C4E775AD72}" type="CELLRANGE">
                      <a:rPr lang="en-US"/>
                      <a:pPr/>
                      <a:t>[CELLRANGE]</a:t>
                    </a:fld>
                    <a:r>
                      <a:rPr lang="en-US" baseline="0"/>
                      <a:t>, </a:t>
                    </a:r>
                    <a:fld id="{8D4FE857-0BB4-486B-989D-49C704E25AE2}" type="VALUE">
                      <a:rPr lang="en-US" baseline="0"/>
                      <a:pPr/>
                      <a:t>[VALOR]</a:t>
                    </a:fld>
                    <a:endParaRPr lang="en-US" baseline="0"/>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2-780C-4994-83C6-4D856BDF4B94}"/>
                </c:ext>
              </c:extLst>
            </c:dLbl>
            <c:dLbl>
              <c:idx val="3"/>
              <c:tx>
                <c:rich>
                  <a:bodyPr/>
                  <a:lstStyle/>
                  <a:p>
                    <a:fld id="{893000C3-BC79-41F4-B57D-2843AB1DB58C}" type="CELLRANGE">
                      <a:rPr lang="en-US"/>
                      <a:pPr/>
                      <a:t>[CELLRANGE]</a:t>
                    </a:fld>
                    <a:r>
                      <a:rPr lang="en-US" baseline="0"/>
                      <a:t>, </a:t>
                    </a:r>
                    <a:fld id="{F76842F1-9BBA-400D-947B-6BABDFDF3D41}" type="VALUE">
                      <a:rPr lang="en-US" baseline="0"/>
                      <a:pPr/>
                      <a:t>[VALOR]</a:t>
                    </a:fld>
                    <a:endParaRPr lang="en-US" baseline="0"/>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780C-4994-83C6-4D856BDF4B94}"/>
                </c:ext>
              </c:extLst>
            </c:dLbl>
            <c:dLbl>
              <c:idx val="4"/>
              <c:tx>
                <c:rich>
                  <a:bodyPr/>
                  <a:lstStyle/>
                  <a:p>
                    <a:fld id="{F76A1066-3F12-4C31-A095-9D71727A7AF5}" type="CELLRANGE">
                      <a:rPr lang="en-US"/>
                      <a:pPr/>
                      <a:t>[CELLRANGE]</a:t>
                    </a:fld>
                    <a:r>
                      <a:rPr lang="en-US" baseline="0"/>
                      <a:t>, </a:t>
                    </a:r>
                    <a:fld id="{97F74143-283F-4FFE-B93A-C5C9F8E3227D}" type="VALUE">
                      <a:rPr lang="en-US" baseline="0"/>
                      <a:pPr/>
                      <a:t>[VALOR]</a:t>
                    </a:fld>
                    <a:endParaRPr lang="en-US" baseline="0"/>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4-780C-4994-83C6-4D856BDF4B94}"/>
                </c:ext>
              </c:extLst>
            </c:dLbl>
            <c:dLbl>
              <c:idx val="5"/>
              <c:tx>
                <c:rich>
                  <a:bodyPr/>
                  <a:lstStyle/>
                  <a:p>
                    <a:fld id="{178320B8-C4B8-4492-9784-77B95798D201}" type="CELLRANGE">
                      <a:rPr lang="en-US"/>
                      <a:pPr/>
                      <a:t>[CELLRANGE]</a:t>
                    </a:fld>
                    <a:r>
                      <a:rPr lang="en-US" baseline="0"/>
                      <a:t>, </a:t>
                    </a:r>
                    <a:fld id="{DEF39868-4C33-4332-8C2D-1D5EF30A6E75}" type="VALUE">
                      <a:rPr lang="en-US" baseline="0"/>
                      <a:pPr/>
                      <a:t>[VALOR]</a:t>
                    </a:fld>
                    <a:endParaRPr lang="en-US" baseline="0"/>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5-780C-4994-83C6-4D856BDF4B94}"/>
                </c:ext>
              </c:extLst>
            </c:dLbl>
            <c:dLbl>
              <c:idx val="6"/>
              <c:tx>
                <c:rich>
                  <a:bodyPr/>
                  <a:lstStyle/>
                  <a:p>
                    <a:fld id="{E003E671-C311-4FE2-A377-3116BB2E5F92}" type="CELLRANGE">
                      <a:rPr lang="en-US"/>
                      <a:pPr/>
                      <a:t>[CELLRANGE]</a:t>
                    </a:fld>
                    <a:r>
                      <a:rPr lang="en-US" baseline="0"/>
                      <a:t>, </a:t>
                    </a:r>
                    <a:fld id="{3BB71E9F-B679-43A0-BED0-B49965A50802}" type="VALUE">
                      <a:rPr lang="en-US" baseline="0"/>
                      <a:pPr/>
                      <a:t>[VALOR]</a:t>
                    </a:fld>
                    <a:endParaRPr lang="en-US" baseline="0"/>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780C-4994-83C6-4D856BDF4B94}"/>
                </c:ext>
              </c:extLst>
            </c:dLbl>
            <c:dLbl>
              <c:idx val="7"/>
              <c:layout>
                <c:manualLayout>
                  <c:x val="-1.6270797912179976E-16"/>
                  <c:y val="-8.82223202470225E-3"/>
                </c:manualLayout>
              </c:layout>
              <c:tx>
                <c:rich>
                  <a:bodyPr/>
                  <a:lstStyle/>
                  <a:p>
                    <a:fld id="{AC3F4B63-209D-4FC8-893F-3010AA9680B6}" type="CELLRANGE">
                      <a:rPr lang="en-US" baseline="0"/>
                      <a:pPr/>
                      <a:t>[CELLRANGE]</a:t>
                    </a:fld>
                    <a:r>
                      <a:rPr lang="en-US" baseline="0"/>
                      <a:t>, </a:t>
                    </a:r>
                    <a:fld id="{93EFE653-29B4-4562-BF60-533A100BAB0F}" type="VALUE">
                      <a:rPr lang="en-US" baseline="0"/>
                      <a:pPr/>
                      <a:t>[VALOR]</a:t>
                    </a:fld>
                    <a:endParaRPr lang="en-US" baseline="0"/>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780C-4994-83C6-4D856BDF4B94}"/>
                </c:ext>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DataLabelsRange val="1"/>
                <c15:showLeaderLines val="1"/>
              </c:ext>
            </c:extLst>
          </c:dLbls>
          <c:cat>
            <c:strRef>
              <c:f>'EC7 Barriers'!$A$4:$A$11</c:f>
              <c:strCache>
                <c:ptCount val="8"/>
                <c:pt idx="0">
                  <c:v>Other</c:v>
                </c:pt>
                <c:pt idx="1">
                  <c:v>Weather data access</c:v>
                </c:pt>
                <c:pt idx="2">
                  <c:v>KPI definition issues</c:v>
                </c:pt>
                <c:pt idx="3">
                  <c:v>Lack of standards</c:v>
                </c:pt>
                <c:pt idx="4">
                  <c:v>Validation data scarcity</c:v>
                </c:pt>
                <c:pt idx="5">
                  <c:v>Lack of open tools</c:v>
                </c:pt>
                <c:pt idx="6">
                  <c:v>Lack of manufacturer data</c:v>
                </c:pt>
                <c:pt idx="7">
                  <c:v>Lack of integration knowledge</c:v>
                </c:pt>
              </c:strCache>
            </c:strRef>
          </c:cat>
          <c:val>
            <c:numRef>
              <c:f>'EC7 Barriers'!$B$4:$B$11</c:f>
              <c:numCache>
                <c:formatCode>General</c:formatCode>
                <c:ptCount val="8"/>
                <c:pt idx="0">
                  <c:v>2</c:v>
                </c:pt>
                <c:pt idx="1">
                  <c:v>3</c:v>
                </c:pt>
                <c:pt idx="2">
                  <c:v>4</c:v>
                </c:pt>
                <c:pt idx="3">
                  <c:v>5</c:v>
                </c:pt>
                <c:pt idx="4">
                  <c:v>10</c:v>
                </c:pt>
                <c:pt idx="5">
                  <c:v>10</c:v>
                </c:pt>
                <c:pt idx="6">
                  <c:v>13</c:v>
                </c:pt>
                <c:pt idx="7">
                  <c:v>16</c:v>
                </c:pt>
              </c:numCache>
            </c:numRef>
          </c:val>
          <c:extLst>
            <c:ext xmlns:c15="http://schemas.microsoft.com/office/drawing/2012/chart" uri="{02D57815-91ED-43cb-92C2-25804820EDAC}">
              <c15:datalabelsRange>
                <c15:f>'EC7 Barriers'!$C$4:$C$11</c15:f>
                <c15:dlblRangeCache>
                  <c:ptCount val="8"/>
                  <c:pt idx="0">
                    <c:v>8%</c:v>
                  </c:pt>
                  <c:pt idx="1">
                    <c:v>13%</c:v>
                  </c:pt>
                  <c:pt idx="2">
                    <c:v>17%</c:v>
                  </c:pt>
                  <c:pt idx="3">
                    <c:v>21%</c:v>
                  </c:pt>
                  <c:pt idx="4">
                    <c:v>42%</c:v>
                  </c:pt>
                  <c:pt idx="5">
                    <c:v>42%</c:v>
                  </c:pt>
                  <c:pt idx="6">
                    <c:v>54%</c:v>
                  </c:pt>
                  <c:pt idx="7">
                    <c:v>67%</c:v>
                  </c:pt>
                </c15:dlblRangeCache>
              </c15:datalabelsRange>
            </c:ext>
            <c:ext xmlns:c16="http://schemas.microsoft.com/office/drawing/2014/chart" uri="{C3380CC4-5D6E-409C-BE32-E72D297353CC}">
              <c16:uniqueId val="{00000008-780C-4994-83C6-4D856BDF4B94}"/>
            </c:ext>
          </c:extLst>
        </c:ser>
        <c:dLbls>
          <c:showLegendKey val="0"/>
          <c:showVal val="0"/>
          <c:showCatName val="0"/>
          <c:showSerName val="0"/>
          <c:showPercent val="0"/>
          <c:showBubbleSize val="0"/>
        </c:dLbls>
        <c:gapWidth val="150"/>
        <c:axId val="8940603"/>
        <c:axId val="72946341"/>
      </c:barChart>
      <c:catAx>
        <c:axId val="8940603"/>
        <c:scaling>
          <c:orientation val="minMax"/>
        </c:scaling>
        <c:delete val="0"/>
        <c:axPos val="l"/>
        <c:numFmt formatCode="General" sourceLinked="1"/>
        <c:majorTickMark val="none"/>
        <c:minorTickMark val="none"/>
        <c:tickLblPos val="nextTo"/>
        <c:spPr>
          <a:ln w="9360">
            <a:solidFill>
              <a:srgbClr val="878787"/>
            </a:solidFill>
            <a:round/>
          </a:ln>
        </c:spPr>
        <c:txPr>
          <a:bodyPr/>
          <a:lstStyle/>
          <a:p>
            <a:pPr>
              <a:defRPr sz="700"/>
            </a:pPr>
            <a:endParaRPr lang="es-ES"/>
          </a:p>
        </c:txPr>
        <c:crossAx val="72946341"/>
        <c:crosses val="autoZero"/>
        <c:auto val="1"/>
        <c:lblAlgn val="r"/>
        <c:lblOffset val="100"/>
        <c:noMultiLvlLbl val="0"/>
      </c:catAx>
      <c:valAx>
        <c:axId val="72946341"/>
        <c:scaling>
          <c:orientation val="minMax"/>
          <c:max val="17.5"/>
          <c:min val="0"/>
        </c:scaling>
        <c:delete val="0"/>
        <c:axPos val="b"/>
        <c:majorGridlines>
          <c:spPr>
            <a:ln w="9360">
              <a:solidFill>
                <a:schemeClr val="bg1">
                  <a:lumMod val="75000"/>
                </a:schemeClr>
              </a:solidFill>
              <a:round/>
            </a:ln>
          </c:spPr>
        </c:majorGridlines>
        <c:numFmt formatCode="#,##0.0" sourceLinked="0"/>
        <c:majorTickMark val="none"/>
        <c:minorTickMark val="none"/>
        <c:tickLblPos val="nextTo"/>
        <c:spPr>
          <a:ln w="9360">
            <a:solidFill>
              <a:srgbClr val="878787"/>
            </a:solidFill>
            <a:round/>
          </a:ln>
        </c:spPr>
        <c:crossAx val="8940603"/>
        <c:crosses val="autoZero"/>
        <c:crossBetween val="between"/>
        <c:majorUnit val="2.5"/>
      </c:valAx>
      <c:spPr>
        <a:noFill/>
        <a:ln w="0">
          <a:noFill/>
        </a:ln>
      </c:spPr>
    </c:plotArea>
    <c:plotVisOnly val="1"/>
    <c:dispBlanksAs val="gap"/>
    <c:showDLblsOverMax val="1"/>
  </c:chart>
  <c:spPr>
    <a:solidFill>
      <a:srgbClr val="FFFFFF"/>
    </a:solidFill>
    <a:ln w="9360">
      <a:noFill/>
      <a:round/>
    </a:ln>
  </c:spPr>
  <c:txPr>
    <a:bodyPr/>
    <a:lstStyle/>
    <a:p>
      <a:pPr>
        <a:defRPr sz="7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2293517610188475"/>
          <c:y val="5.4307578375709702E-2"/>
          <c:w val="0.49714156733715892"/>
          <c:h val="0.8463923557321319"/>
        </c:manualLayout>
      </c:layout>
      <c:barChart>
        <c:barDir val="bar"/>
        <c:grouping val="clustered"/>
        <c:varyColors val="0"/>
        <c:ser>
          <c:idx val="0"/>
          <c:order val="0"/>
          <c:tx>
            <c:strRef>
              <c:f>'EC8 Hardest data'!$B$3</c:f>
              <c:strCache>
                <c:ptCount val="1"/>
                <c:pt idx="0">
                  <c:v>Count</c:v>
                </c:pt>
              </c:strCache>
            </c:strRef>
          </c:tx>
          <c:spPr>
            <a:solidFill>
              <a:srgbClr val="123C5A"/>
            </a:solidFill>
            <a:ln w="9360">
              <a:solidFill>
                <a:srgbClr val="F9F9F9"/>
              </a:solidFill>
              <a:round/>
            </a:ln>
          </c:spPr>
          <c:invertIfNegative val="0"/>
          <c:dLbls>
            <c:dLbl>
              <c:idx val="0"/>
              <c:tx>
                <c:rich>
                  <a:bodyPr/>
                  <a:lstStyle/>
                  <a:p>
                    <a:fld id="{C8480086-19A3-408B-9A60-618F811905B3}" type="CELLRANGE">
                      <a:rPr lang="en-US" baseline="0"/>
                      <a:pPr/>
                      <a:t>[CELLRANGE]</a:t>
                    </a:fld>
                    <a:r>
                      <a:rPr lang="en-US" baseline="0"/>
                      <a:t>, </a:t>
                    </a:r>
                    <a:fld id="{26189FFB-5C29-40E7-856D-480AB4E99E10}" type="VALUE">
                      <a:rPr lang="en-US" baseline="0"/>
                      <a:pPr/>
                      <a:t>[VALOR]</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701B-47FE-8792-C33876E1BA58}"/>
                </c:ext>
              </c:extLst>
            </c:dLbl>
            <c:dLbl>
              <c:idx val="1"/>
              <c:tx>
                <c:rich>
                  <a:bodyPr/>
                  <a:lstStyle/>
                  <a:p>
                    <a:fld id="{1BC9B583-7B3E-4917-BC0E-334BD829FD1E}" type="CELLRANGE">
                      <a:rPr lang="en-US"/>
                      <a:pPr/>
                      <a:t>[CELLRANGE]</a:t>
                    </a:fld>
                    <a:r>
                      <a:rPr lang="en-US" baseline="0"/>
                      <a:t>, </a:t>
                    </a:r>
                    <a:fld id="{A597FF71-29CD-420E-B716-7992BEC87757}" type="VALUE">
                      <a:rPr lang="en-US" baseline="0"/>
                      <a:pPr/>
                      <a:t>[VALOR]</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701B-47FE-8792-C33876E1BA58}"/>
                </c:ext>
              </c:extLst>
            </c:dLbl>
            <c:dLbl>
              <c:idx val="2"/>
              <c:tx>
                <c:rich>
                  <a:bodyPr/>
                  <a:lstStyle/>
                  <a:p>
                    <a:fld id="{A0B8A756-736A-4ECA-AE7E-288A9920A4FE}" type="CELLRANGE">
                      <a:rPr lang="en-US"/>
                      <a:pPr/>
                      <a:t>[CELLRANGE]</a:t>
                    </a:fld>
                    <a:r>
                      <a:rPr lang="en-US" baseline="0"/>
                      <a:t>, </a:t>
                    </a:r>
                    <a:fld id="{CB2E415F-49C9-470D-A789-69896ADF7386}" type="VALUE">
                      <a:rPr lang="en-US" baseline="0"/>
                      <a:pPr/>
                      <a:t>[VALOR]</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2-701B-47FE-8792-C33876E1BA58}"/>
                </c:ext>
              </c:extLst>
            </c:dLbl>
            <c:dLbl>
              <c:idx val="3"/>
              <c:tx>
                <c:rich>
                  <a:bodyPr/>
                  <a:lstStyle/>
                  <a:p>
                    <a:fld id="{F59F16A0-7052-4844-9093-CAD4C2AB0C1A}" type="CELLRANGE">
                      <a:rPr lang="en-US"/>
                      <a:pPr/>
                      <a:t>[CELLRANGE]</a:t>
                    </a:fld>
                    <a:r>
                      <a:rPr lang="en-US" baseline="0"/>
                      <a:t>, </a:t>
                    </a:r>
                    <a:fld id="{2821F558-7E98-487F-9CCF-A9BEF6CC299E}" type="VALUE">
                      <a:rPr lang="en-US" baseline="0"/>
                      <a:pPr/>
                      <a:t>[VALOR]</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701B-47FE-8792-C33876E1BA58}"/>
                </c:ext>
              </c:extLst>
            </c:dLbl>
            <c:dLbl>
              <c:idx val="4"/>
              <c:tx>
                <c:rich>
                  <a:bodyPr/>
                  <a:lstStyle/>
                  <a:p>
                    <a:fld id="{56C01E07-17DE-40E3-92D4-CC7208940FFA}" type="CELLRANGE">
                      <a:rPr lang="en-US"/>
                      <a:pPr/>
                      <a:t>[CELLRANGE]</a:t>
                    </a:fld>
                    <a:r>
                      <a:rPr lang="en-US" baseline="0"/>
                      <a:t>, </a:t>
                    </a:r>
                    <a:fld id="{5BB9928A-F25D-4B24-A044-F5F864CE7364}" type="VALUE">
                      <a:rPr lang="en-US" baseline="0"/>
                      <a:pPr/>
                      <a:t>[VALOR]</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4-701B-47FE-8792-C33876E1BA58}"/>
                </c:ext>
              </c:extLst>
            </c:dLbl>
            <c:dLbl>
              <c:idx val="5"/>
              <c:tx>
                <c:rich>
                  <a:bodyPr/>
                  <a:lstStyle/>
                  <a:p>
                    <a:fld id="{FF515D6B-2C9B-4E3E-9978-856E45AA0637}" type="CELLRANGE">
                      <a:rPr lang="en-US"/>
                      <a:pPr/>
                      <a:t>[CELLRANGE]</a:t>
                    </a:fld>
                    <a:r>
                      <a:rPr lang="en-US" baseline="0"/>
                      <a:t>, </a:t>
                    </a:r>
                    <a:fld id="{EFBD513E-E6DD-42D5-9659-5A88012C0223}" type="VALUE">
                      <a:rPr lang="en-US" baseline="0"/>
                      <a:pPr/>
                      <a:t>[VALOR]</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5-701B-47FE-8792-C33876E1BA58}"/>
                </c:ext>
              </c:extLst>
            </c:dLbl>
            <c:spPr>
              <a:noFill/>
              <a:ln>
                <a:noFill/>
              </a:ln>
              <a:effectLst/>
            </c:spPr>
            <c:txPr>
              <a:bodyPr wrap="square" lIns="38100" tIns="19050" rIns="38100" bIns="19050" anchor="ctr">
                <a:spAutoFit/>
              </a:bodyPr>
              <a:lstStyle/>
              <a:p>
                <a:pPr>
                  <a:defRPr sz="700" b="0"/>
                </a:pPr>
                <a:endParaRPr lang="es-ES"/>
              </a:p>
            </c:txPr>
            <c:showLegendKey val="0"/>
            <c:showVal val="1"/>
            <c:showCatName val="0"/>
            <c:showSerName val="0"/>
            <c:showPercent val="0"/>
            <c:showBubbleSize val="0"/>
            <c:showLeaderLines val="0"/>
            <c:extLst>
              <c:ext xmlns:c15="http://schemas.microsoft.com/office/drawing/2012/chart" uri="{CE6537A1-D6FC-4f65-9D91-7224C49458BB}">
                <c15:showDataLabelsRange val="1"/>
                <c15:showLeaderLines val="1"/>
              </c:ext>
            </c:extLst>
          </c:dLbls>
          <c:cat>
            <c:strRef>
              <c:f>'EC8 Hardest data'!$A$4:$A$9</c:f>
              <c:strCache>
                <c:ptCount val="6"/>
                <c:pt idx="0">
                  <c:v>Weather data</c:v>
                </c:pt>
                <c:pt idx="1">
                  <c:v>Optical characteristics (IAM)</c:v>
                </c:pt>
                <c:pt idx="2">
                  <c:v>Electrical performance</c:v>
                </c:pt>
                <c:pt idx="3">
                  <c:v>Thermal efficiency parameters</c:v>
                </c:pt>
                <c:pt idx="4">
                  <c:v>CAPEX/OPEX</c:v>
                </c:pt>
                <c:pt idx="5">
                  <c:v>Control strategy</c:v>
                </c:pt>
              </c:strCache>
            </c:strRef>
          </c:cat>
          <c:val>
            <c:numRef>
              <c:f>'EC8 Hardest data'!$B$4:$B$9</c:f>
              <c:numCache>
                <c:formatCode>General</c:formatCode>
                <c:ptCount val="6"/>
                <c:pt idx="0">
                  <c:v>3</c:v>
                </c:pt>
                <c:pt idx="1">
                  <c:v>4</c:v>
                </c:pt>
                <c:pt idx="2">
                  <c:v>5</c:v>
                </c:pt>
                <c:pt idx="3">
                  <c:v>7</c:v>
                </c:pt>
                <c:pt idx="4">
                  <c:v>13</c:v>
                </c:pt>
                <c:pt idx="5">
                  <c:v>13</c:v>
                </c:pt>
              </c:numCache>
            </c:numRef>
          </c:val>
          <c:extLst>
            <c:ext xmlns:c15="http://schemas.microsoft.com/office/drawing/2012/chart" uri="{02D57815-91ED-43cb-92C2-25804820EDAC}">
              <c15:datalabelsRange>
                <c15:f>'EC8 Hardest data'!$C$4:$C$9</c15:f>
                <c15:dlblRangeCache>
                  <c:ptCount val="6"/>
                  <c:pt idx="0">
                    <c:v>13%</c:v>
                  </c:pt>
                  <c:pt idx="1">
                    <c:v>17%</c:v>
                  </c:pt>
                  <c:pt idx="2">
                    <c:v>21%</c:v>
                  </c:pt>
                  <c:pt idx="3">
                    <c:v>29%</c:v>
                  </c:pt>
                  <c:pt idx="4">
                    <c:v>54%</c:v>
                  </c:pt>
                  <c:pt idx="5">
                    <c:v>54%</c:v>
                  </c:pt>
                </c15:dlblRangeCache>
              </c15:datalabelsRange>
            </c:ext>
            <c:ext xmlns:c16="http://schemas.microsoft.com/office/drawing/2014/chart" uri="{C3380CC4-5D6E-409C-BE32-E72D297353CC}">
              <c16:uniqueId val="{00000006-701B-47FE-8792-C33876E1BA58}"/>
            </c:ext>
          </c:extLst>
        </c:ser>
        <c:dLbls>
          <c:showLegendKey val="0"/>
          <c:showVal val="0"/>
          <c:showCatName val="0"/>
          <c:showSerName val="0"/>
          <c:showPercent val="0"/>
          <c:showBubbleSize val="0"/>
        </c:dLbls>
        <c:gapWidth val="150"/>
        <c:axId val="25518214"/>
        <c:axId val="71523814"/>
      </c:barChart>
      <c:catAx>
        <c:axId val="25518214"/>
        <c:scaling>
          <c:orientation val="minMax"/>
        </c:scaling>
        <c:delete val="0"/>
        <c:axPos val="l"/>
        <c:numFmt formatCode="General" sourceLinked="1"/>
        <c:majorTickMark val="none"/>
        <c:minorTickMark val="none"/>
        <c:tickLblPos val="nextTo"/>
        <c:spPr>
          <a:ln w="9360">
            <a:solidFill>
              <a:srgbClr val="878787"/>
            </a:solidFill>
            <a:round/>
          </a:ln>
        </c:spPr>
        <c:crossAx val="71523814"/>
        <c:crosses val="autoZero"/>
        <c:auto val="1"/>
        <c:lblAlgn val="ctr"/>
        <c:lblOffset val="100"/>
        <c:noMultiLvlLbl val="0"/>
      </c:catAx>
      <c:valAx>
        <c:axId val="71523814"/>
        <c:scaling>
          <c:orientation val="minMax"/>
        </c:scaling>
        <c:delete val="0"/>
        <c:axPos val="b"/>
        <c:majorGridlines>
          <c:spPr>
            <a:ln w="9360">
              <a:solidFill>
                <a:schemeClr val="bg1">
                  <a:lumMod val="85000"/>
                </a:schemeClr>
              </a:solidFill>
              <a:round/>
            </a:ln>
          </c:spPr>
        </c:majorGridlines>
        <c:numFmt formatCode="#,##0.0" sourceLinked="0"/>
        <c:majorTickMark val="none"/>
        <c:minorTickMark val="none"/>
        <c:tickLblPos val="nextTo"/>
        <c:spPr>
          <a:ln w="9360">
            <a:solidFill>
              <a:srgbClr val="878787"/>
            </a:solidFill>
            <a:round/>
          </a:ln>
        </c:spPr>
        <c:crossAx val="25518214"/>
        <c:crosses val="autoZero"/>
        <c:crossBetween val="between"/>
        <c:majorUnit val="2.5"/>
      </c:valAx>
      <c:spPr>
        <a:noFill/>
        <a:ln w="0">
          <a:noFill/>
        </a:ln>
      </c:spPr>
    </c:plotArea>
    <c:plotVisOnly val="1"/>
    <c:dispBlanksAs val="gap"/>
    <c:showDLblsOverMax val="1"/>
  </c:chart>
  <c:spPr>
    <a:solidFill>
      <a:srgbClr val="FFFFFF"/>
    </a:solidFill>
    <a:ln w="9360">
      <a:noFill/>
      <a:round/>
    </a:ln>
  </c:spPr>
  <c:txPr>
    <a:bodyPr/>
    <a:lstStyle/>
    <a:p>
      <a:pPr>
        <a:defRPr sz="7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B5F2783-EB75-4483-8A06-C099F8E85205}"/>
      </w:docPartPr>
      <w:docPartBody>
        <w:p w:rsidR="00F35E9F" w:rsidRDefault="00804C9B">
          <w:r w:rsidRPr="00300711">
            <w:rPr>
              <w:rStyle w:val="Textodelmarcadordeposicin"/>
            </w:rPr>
            <w:t>Haga clic o pulse aquí para escribir texto.</w:t>
          </w:r>
        </w:p>
      </w:docPartBody>
    </w:docPart>
    <w:docPart>
      <w:docPartPr>
        <w:name w:val="292F367728A440338CB17D38133A4C90"/>
        <w:category>
          <w:name w:val="General"/>
          <w:gallery w:val="placeholder"/>
        </w:category>
        <w:types>
          <w:type w:val="bbPlcHdr"/>
        </w:types>
        <w:behaviors>
          <w:behavior w:val="content"/>
        </w:behaviors>
        <w:guid w:val="{41A073E4-B6D3-49DB-BECD-C75FD6E47C6C}"/>
      </w:docPartPr>
      <w:docPartBody>
        <w:p w:rsidR="00AB7689" w:rsidRDefault="00F562DD" w:rsidP="00F562DD">
          <w:pPr>
            <w:pStyle w:val="292F367728A440338CB17D38133A4C90"/>
          </w:pPr>
          <w:r w:rsidRPr="00300711">
            <w:rPr>
              <w:rStyle w:val="Textodelmarcadordeposicin"/>
            </w:rPr>
            <w:t>Haga clic o pulse aquí para escribir texto.</w:t>
          </w:r>
        </w:p>
      </w:docPartBody>
    </w:docPart>
    <w:docPart>
      <w:docPartPr>
        <w:name w:val="53A43CFA158849DBA9536033913A6F68"/>
        <w:category>
          <w:name w:val="General"/>
          <w:gallery w:val="placeholder"/>
        </w:category>
        <w:types>
          <w:type w:val="bbPlcHdr"/>
        </w:types>
        <w:behaviors>
          <w:behavior w:val="content"/>
        </w:behaviors>
        <w:guid w:val="{92CE6A12-8375-40EC-9ABA-DFAB484C4278}"/>
      </w:docPartPr>
      <w:docPartBody>
        <w:p w:rsidR="00AB7689" w:rsidRDefault="00F562DD" w:rsidP="00F562DD">
          <w:pPr>
            <w:pStyle w:val="53A43CFA158849DBA9536033913A6F68"/>
          </w:pPr>
          <w:r w:rsidRPr="00300711">
            <w:rPr>
              <w:rStyle w:val="Textodelmarcadordeposicin"/>
            </w:rPr>
            <w:t>Haga clic o pulse aquí para escribir texto.</w:t>
          </w:r>
        </w:p>
      </w:docPartBody>
    </w:docPart>
    <w:docPart>
      <w:docPartPr>
        <w:name w:val="9C880C296DB44FB78ADF99D89E5C7A1C"/>
        <w:category>
          <w:name w:val="General"/>
          <w:gallery w:val="placeholder"/>
        </w:category>
        <w:types>
          <w:type w:val="bbPlcHdr"/>
        </w:types>
        <w:behaviors>
          <w:behavior w:val="content"/>
        </w:behaviors>
        <w:guid w:val="{06B59161-A988-442B-979B-4FA8EB9D2B4E}"/>
      </w:docPartPr>
      <w:docPartBody>
        <w:p w:rsidR="00AB7689" w:rsidRDefault="00F562DD" w:rsidP="00F562DD">
          <w:pPr>
            <w:pStyle w:val="9C880C296DB44FB78ADF99D89E5C7A1C"/>
          </w:pPr>
          <w:r w:rsidRPr="00300711">
            <w:rPr>
              <w:rStyle w:val="Textodelmarcadordeposicin"/>
            </w:rPr>
            <w:t>Haga clic o pulse aquí para escribir texto.</w:t>
          </w:r>
        </w:p>
      </w:docPartBody>
    </w:docPart>
    <w:docPart>
      <w:docPartPr>
        <w:name w:val="45BCC60D03B84AA8956467CC64DCF698"/>
        <w:category>
          <w:name w:val="General"/>
          <w:gallery w:val="placeholder"/>
        </w:category>
        <w:types>
          <w:type w:val="bbPlcHdr"/>
        </w:types>
        <w:behaviors>
          <w:behavior w:val="content"/>
        </w:behaviors>
        <w:guid w:val="{124189F3-FFD9-46AA-BB0A-41E20DA71C88}"/>
      </w:docPartPr>
      <w:docPartBody>
        <w:p w:rsidR="00FC63C3" w:rsidRDefault="007F749F" w:rsidP="007F749F">
          <w:pPr>
            <w:pStyle w:val="45BCC60D03B84AA8956467CC64DCF698"/>
          </w:pPr>
          <w:r w:rsidRPr="00300711">
            <w:rPr>
              <w:rStyle w:val="Textodelmarcadordeposicin"/>
            </w:rPr>
            <w:t>Haga clic o pulse aquí para escribir texto.</w:t>
          </w:r>
        </w:p>
      </w:docPartBody>
    </w:docPart>
    <w:docPart>
      <w:docPartPr>
        <w:name w:val="71B34F516DB68A41B65685D05D67061A"/>
        <w:category>
          <w:name w:val="General"/>
          <w:gallery w:val="placeholder"/>
        </w:category>
        <w:types>
          <w:type w:val="bbPlcHdr"/>
        </w:types>
        <w:behaviors>
          <w:behavior w:val="content"/>
        </w:behaviors>
        <w:guid w:val="{3A77A122-C7A9-374E-8EF8-D3F2ED988BA9}"/>
      </w:docPartPr>
      <w:docPartBody>
        <w:p w:rsidR="009C52EA" w:rsidRDefault="0049263B" w:rsidP="0049263B">
          <w:pPr>
            <w:pStyle w:val="71B34F516DB68A41B65685D05D67061A"/>
          </w:pPr>
          <w:r w:rsidRPr="00300711">
            <w:rPr>
              <w:rStyle w:val="Textodelmarcadordeposicin"/>
            </w:rPr>
            <w:t>Haga clic o pulse aquí para escribir texto.</w:t>
          </w:r>
        </w:p>
      </w:docPartBody>
    </w:docPart>
    <w:docPart>
      <w:docPartPr>
        <w:name w:val="E33B041451C74335B6FD2E8BEA145523"/>
        <w:category>
          <w:name w:val="General"/>
          <w:gallery w:val="placeholder"/>
        </w:category>
        <w:types>
          <w:type w:val="bbPlcHdr"/>
        </w:types>
        <w:behaviors>
          <w:behavior w:val="content"/>
        </w:behaviors>
        <w:guid w:val="{05C54A6D-58B9-446F-AA73-8040338F59C0}"/>
      </w:docPartPr>
      <w:docPartBody>
        <w:p w:rsidR="004D75C3" w:rsidRDefault="008C67DE" w:rsidP="008C67DE">
          <w:pPr>
            <w:pStyle w:val="E33B041451C74335B6FD2E8BEA145523"/>
          </w:pPr>
          <w:r w:rsidRPr="00300711">
            <w:rPr>
              <w:rStyle w:val="Textodelmarcadordeposicin"/>
            </w:rPr>
            <w:t>Haga clic o pulse aquí para escribir texto.</w:t>
          </w:r>
        </w:p>
      </w:docPartBody>
    </w:docPart>
    <w:docPart>
      <w:docPartPr>
        <w:name w:val="FB07B732F47742B497528CB812104B63"/>
        <w:category>
          <w:name w:val="General"/>
          <w:gallery w:val="placeholder"/>
        </w:category>
        <w:types>
          <w:type w:val="bbPlcHdr"/>
        </w:types>
        <w:behaviors>
          <w:behavior w:val="content"/>
        </w:behaviors>
        <w:guid w:val="{00336F34-73F1-44A5-BB5E-245F4AD9483F}"/>
      </w:docPartPr>
      <w:docPartBody>
        <w:p w:rsidR="0034636D" w:rsidRDefault="00B57622">
          <w:pPr>
            <w:pStyle w:val="FB07B732F47742B497528CB812104B63"/>
          </w:pPr>
          <w:r w:rsidRPr="00300711">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C9B"/>
    <w:rsid w:val="00023AFC"/>
    <w:rsid w:val="00032C1F"/>
    <w:rsid w:val="00033662"/>
    <w:rsid w:val="0004485E"/>
    <w:rsid w:val="00086EFD"/>
    <w:rsid w:val="00113E60"/>
    <w:rsid w:val="001A4BC6"/>
    <w:rsid w:val="00203D86"/>
    <w:rsid w:val="00221AF2"/>
    <w:rsid w:val="002455E7"/>
    <w:rsid w:val="00284774"/>
    <w:rsid w:val="002D71C2"/>
    <w:rsid w:val="0034636D"/>
    <w:rsid w:val="00366F7C"/>
    <w:rsid w:val="003932BB"/>
    <w:rsid w:val="003A20E9"/>
    <w:rsid w:val="0044718F"/>
    <w:rsid w:val="00455E13"/>
    <w:rsid w:val="0049263B"/>
    <w:rsid w:val="00495A9B"/>
    <w:rsid w:val="004A3DCB"/>
    <w:rsid w:val="004C65E5"/>
    <w:rsid w:val="004D057C"/>
    <w:rsid w:val="004D75C3"/>
    <w:rsid w:val="004E6DE3"/>
    <w:rsid w:val="00517C7C"/>
    <w:rsid w:val="005239D5"/>
    <w:rsid w:val="0058047C"/>
    <w:rsid w:val="005C7AC7"/>
    <w:rsid w:val="0061430F"/>
    <w:rsid w:val="006275D5"/>
    <w:rsid w:val="00696968"/>
    <w:rsid w:val="007715B1"/>
    <w:rsid w:val="00777379"/>
    <w:rsid w:val="007A0D4E"/>
    <w:rsid w:val="007C36CE"/>
    <w:rsid w:val="007F749F"/>
    <w:rsid w:val="00804C9B"/>
    <w:rsid w:val="00866EDB"/>
    <w:rsid w:val="00870B0F"/>
    <w:rsid w:val="008C67DE"/>
    <w:rsid w:val="008E2E27"/>
    <w:rsid w:val="00913A71"/>
    <w:rsid w:val="00944FBA"/>
    <w:rsid w:val="00951981"/>
    <w:rsid w:val="009802B4"/>
    <w:rsid w:val="009821DD"/>
    <w:rsid w:val="00993B5A"/>
    <w:rsid w:val="009C52EA"/>
    <w:rsid w:val="00A03FBC"/>
    <w:rsid w:val="00A06413"/>
    <w:rsid w:val="00A407CB"/>
    <w:rsid w:val="00AB7689"/>
    <w:rsid w:val="00AC5E28"/>
    <w:rsid w:val="00AC652A"/>
    <w:rsid w:val="00B21FE2"/>
    <w:rsid w:val="00B24E86"/>
    <w:rsid w:val="00B57622"/>
    <w:rsid w:val="00BC554D"/>
    <w:rsid w:val="00BD37C8"/>
    <w:rsid w:val="00BE6A3A"/>
    <w:rsid w:val="00CC237A"/>
    <w:rsid w:val="00D478D1"/>
    <w:rsid w:val="00D91E2E"/>
    <w:rsid w:val="00D962B0"/>
    <w:rsid w:val="00E06A46"/>
    <w:rsid w:val="00E25DA1"/>
    <w:rsid w:val="00E71371"/>
    <w:rsid w:val="00EA6AC3"/>
    <w:rsid w:val="00EC55DD"/>
    <w:rsid w:val="00F35E9F"/>
    <w:rsid w:val="00F562DD"/>
    <w:rsid w:val="00FC63C3"/>
    <w:rsid w:val="00FD43D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04485E"/>
    <w:rPr>
      <w:color w:val="808080"/>
    </w:rPr>
  </w:style>
  <w:style w:type="paragraph" w:customStyle="1" w:styleId="292F367728A440338CB17D38133A4C90">
    <w:name w:val="292F367728A440338CB17D38133A4C90"/>
    <w:rsid w:val="00F562DD"/>
  </w:style>
  <w:style w:type="paragraph" w:customStyle="1" w:styleId="53A43CFA158849DBA9536033913A6F68">
    <w:name w:val="53A43CFA158849DBA9536033913A6F68"/>
    <w:rsid w:val="00F562DD"/>
  </w:style>
  <w:style w:type="paragraph" w:customStyle="1" w:styleId="9C880C296DB44FB78ADF99D89E5C7A1C">
    <w:name w:val="9C880C296DB44FB78ADF99D89E5C7A1C"/>
    <w:rsid w:val="00F562DD"/>
  </w:style>
  <w:style w:type="paragraph" w:customStyle="1" w:styleId="45BCC60D03B84AA8956467CC64DCF698">
    <w:name w:val="45BCC60D03B84AA8956467CC64DCF698"/>
    <w:rsid w:val="007F749F"/>
  </w:style>
  <w:style w:type="paragraph" w:customStyle="1" w:styleId="71B34F516DB68A41B65685D05D67061A">
    <w:name w:val="71B34F516DB68A41B65685D05D67061A"/>
    <w:rsid w:val="0049263B"/>
    <w:rPr>
      <w:lang w:eastAsia="en-GB"/>
    </w:rPr>
  </w:style>
  <w:style w:type="paragraph" w:customStyle="1" w:styleId="E33B041451C74335B6FD2E8BEA145523">
    <w:name w:val="E33B041451C74335B6FD2E8BEA145523"/>
    <w:rsid w:val="008C67DE"/>
  </w:style>
  <w:style w:type="paragraph" w:customStyle="1" w:styleId="FB07B732F47742B497528CB812104B63">
    <w:name w:val="FB07B732F47742B497528CB812104B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Azul">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B9F89AF-2CBB-41DF-A21B-A89AF53DDB7C}">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88334699792"/>
    <we:property name="MENDELEY_CITATIONS" value="[{&quot;citationID&quot;:&quot;MENDELEY_CITATION_bf6977b7-f08c-4cda-9053-c052df626955&quot;,&quot;properties&quot;:{&quot;noteIndex&quot;:0},&quot;isEdited&quot;:false,&quot;manualOverride&quot;:{&quot;isManuallyOverridden&quot;:false,&quot;citeprocText&quot;:&quot;(REN21, 2025)&quot;,&quot;manualOverrideText&quot;:&quot;&quot;},&quot;citationTag&quot;:&quot;MENDELEY_CITATION_v3_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&quot;,&quot;citationItems&quot;:[{&quot;id&quot;:&quot;55eed796-3056-3c59-95f3-16dbe172e752&quot;,&quot;itemData&quot;:{&quot;type&quot;:&quot;report&quot;,&quot;id&quot;:&quot;55eed796-3056-3c59-95f3-16dbe172e752&quot;,&quot;title&quot;:&quot;Renewables 2025 Global Status Report: Global Overview&quot;,&quot;author&quot;:[{&quot;family&quot;:&quot;REN21&quot;,&quot;given&quot;:&quot;&quot;,&quot;parse-names&quot;:false,&quot;dropping-particle&quot;:&quot;&quot;,&quot;non-dropping-particle&quot;:&quot;&quot;}],&quot;URL&quot;:&quot;https://www.ren21.net/Renewables-2025-Global-Status-Report-Global-Overview/&quot;,&quot;issued&quot;:{&quot;date-parts&quot;:[[2025]]},&quot;abstract&quot;:&quot;The Global Overview offers a detailed picture of a global energy system at a turning point — with record renewable deployment, but systemic barriers slowing progress.&quot;,&quot;container-title-short&quot;:&quot;&quot;},&quot;isTemporary&quot;:false}]},{&quot;citationID&quot;:&quot;MENDELEY_CITATION_048e11cb-92c5-4700-80bd-2405bdd19dac&quot;,&quot;properties&quot;:{&quot;noteIndex&quot;:0},&quot;isEdited&quot;:false,&quot;manualOverride&quot;:{&quot;isManuallyOverridden&quot;:false,&quot;citeprocText&quot;:&quot;(AEE INTEC, 2025)&quot;,&quot;manualOverrideText&quot;:&quot;&quot;},&quot;citationTag&quot;:&quot;MENDELEY_CITATION_v3_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&quot;,&quot;citationItems&quot;:[{&quot;id&quot;:&quot;abcf63de-403a-32bf-bac9-c421a2345447&quot;,&quot;itemData&quot;:{&quot;type&quot;:&quot;report&quot;,&quot;id&quot;:&quot;abcf63de-403a-32bf-bac9-c421a2345447&quot;,&quot;title&quot;:&quot;Solar Heat Worldwide - Global Market Development and Trends 2024&quot;,&quot;author&quot;:[{&quot;family&quot;:&quot;AEE&quot;,&quot;given&quot;:&quot;&quot;,&quot;parse-names&quot;:false,&quot;dropping-particle&quot;:&quot;&quot;,&quot;non-dropping-particle&quot;:&quot;&quot;}],&quot;URL&quot;:&quot;https://www.iea-shc.org/Data/Sites/1/publications/Solar-Heat-Worldwide-2021.pdf&quot;,&quot;issued&quot;:{&quot;date-parts&quot;:[[2025]]},&quot;container-title-short&quot;:&quot;&quot;},&quot;isTemporary&quot;:false}]},{&quot;citationID&quot;:&quot;MENDELEY_CITATION_f79923a9-b65b-4de0-a714-74ed91e5a0ac&quot;,&quot;properties&quot;:{&quot;noteIndex&quot;:0},&quot;isEdited&quot;:false,&quot;manualOverride&quot;:{&quot;isManuallyOverridden&quot;:false,&quot;citeprocText&quot;:&quot;(IEA SHC, 2025)&quot;,&quot;manualOverrideText&quot;:&quot;&quot;},&quot;citationTag&quot;:&quot;MENDELEY_CITATION_v3_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&quot;,&quot;citationItems&quot;:[{&quot;id&quot;:&quot;035b0e00-b034-3432-8d31-02b091a5bd2c&quot;,&quot;itemData&quot;:{&quot;type&quot;:&quot;webpage&quot;,&quot;id&quot;:&quot;035b0e00-b034-3432-8d31-02b091a5bd2c&quot;,&quot;title&quot;:&quot;Task 73 - PVT Heating Systems&quot;,&quot;author&quot;:[{&quot;family&quot;:&quot;IEA SHC&quot;,&quot;given&quot;:&quot;&quot;,&quot;parse-names&quot;:false,&quot;dropping-particle&quot;:&quot;&quot;,&quot;non-dropping-particle&quot;:&quot;&quot;}],&quot;accessed&quot;:{&quot;date-parts&quot;:[[2026,3,23]]},&quot;URL&quot;:&quot;https://task73.iea-shc.org/&quot;,&quot;issued&quot;:{&quot;date-parts&quot;:[[2025]]},&quot;container-title-short&quot;:&quot;&quot;},&quot;isTemporary&quot;:false,&quot;suppress-author&quot;:false,&quot;composite&quot;:false,&quot;author-only&quot;:false}]},{&quot;citationID&quot;:&quot;MENDELEY_CITATION_fe001b0f-1627-435d-9cda-852cbe56cfb7&quot;,&quot;properties&quot;:{&quot;noteIndex&quot;:0},&quot;isEdited&quot;:false,&quot;manualOverride&quot;:{&quot;isManuallyOverridden&quot;:false,&quot;citeprocText&quot;:&quot;(IEA SHC, 2020)&quot;,&quot;manualOverrideText&quot;:&quot;&quot;},&quot;citationTag&quot;:&quot;MENDELEY_CITATION_v3_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&quot;,&quot;citationItems&quot;:[{&quot;id&quot;:&quot;2866a402-8992-3861-b5f7-0a22aa08351f&quot;,&quot;itemData&quot;:{&quot;type&quot;:&quot;webpage&quot;,&quot;id&quot;:&quot;2866a402-8992-3861-b5f7-0a22aa08351f&quot;,&quot;title&quot;:&quot;Task 60 - Application of PVT Collectors&quot;,&quot;author&quot;:[{&quot;family&quot;:&quot;IEA SHC&quot;,&quot;given&quot;:&quot;&quot;,&quot;parse-names&quot;:false,&quot;dropping-particle&quot;:&quot;&quot;,&quot;non-dropping-particle&quot;:&quot;&quot;}],&quot;accessed&quot;:{&quot;date-parts&quot;:[[2026,3,23]]},&quot;URL&quot;:&quot;https://task60.iea-shc.org/&quot;,&quot;issued&quot;:{&quot;date-parts&quot;:[[2020]]},&quot;container-title-short&quot;:&quot;&quot;},&quot;isTemporary&quot;:false,&quot;suppress-author&quot;:false,&quot;composite&quot;:false,&quot;author-only&quot;:false}]},{&quot;citationID&quot;:&quot;MENDELEY_CITATION_ef37fc43-fb15-4dde-999c-96130de1566b&quot;,&quot;properties&quot;:{&quot;noteIndex&quot;:0},&quot;isEdited&quot;:false,&quot;manualOverride&quot;:{&quot;isManuallyOverridden&quot;:false,&quot;citeprocText&quot;:&quot;(IEA SHC, 2025)&quot;,&quot;manualOverrideText&quot;:&quot;&quot;},&quot;citationTag&quot;:&quot;MENDELEY_CITATION_v3_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&quot;,&quot;citationItems&quot;:[{&quot;id&quot;:&quot;035b0e00-b034-3432-8d31-02b091a5bd2c&quot;,&quot;itemData&quot;:{&quot;type&quot;:&quot;webpage&quot;,&quot;id&quot;:&quot;035b0e00-b034-3432-8d31-02b091a5bd2c&quot;,&quot;title&quot;:&quot;Task 73 - PVT Heating Systems&quot;,&quot;author&quot;:[{&quot;family&quot;:&quot;IEA SHC&quot;,&quot;given&quot;:&quot;&quot;,&quot;parse-names&quot;:false,&quot;dropping-particle&quot;:&quot;&quot;,&quot;non-dropping-particle&quot;:&quot;&quot;}],&quot;accessed&quot;:{&quot;date-parts&quot;:[[2026,3,23]]},&quot;URL&quot;:&quot;https://task73.iea-shc.org/&quot;,&quot;issued&quot;:{&quot;date-parts&quot;:[[2025]]},&quot;container-title-short&quot;:&quot;&quot;},&quot;isTemporary&quot;:false,&quot;suppress-author&quot;:false,&quot;composite&quot;:false,&quot;author-only&quot;:false}]},{&quot;citationID&quot;:&quot;MENDELEY_CITATION_589206e0-c27c-4826-aa70-a656e7dd7a68&quot;,&quot;properties&quot;:{&quot;noteIndex&quot;:0},&quot;isEdited&quot;:false,&quot;manualOverride&quot;:{&quot;isManuallyOverridden&quot;:false,&quot;citeprocText&quot;:&quot;(Ascencio-Vásquez et al., 2019)&quot;,&quot;manualOverrideText&quot;:&quot;&quot;},&quot;citationTag&quot;:&quot;MENDELEY_CITATION_v3_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&quot;,&quot;citationItems&quot;:[{&quot;id&quot;:&quot;ac9e82cc-9a10-3615-b440-5f56ed20be6c&quot;,&quot;itemData&quot;:{&quot;type&quot;:&quot;article-journal&quot;,&quot;id&quot;:&quot;ac9e82cc-9a10-3615-b440-5f56ed20be6c&quot;,&quot;title&quot;:&quot;Methodology of Köppen-Geiger-Photovoltaic climate classification and implications to worldwide mapping of PV system performance&quot;,&quot;author&quot;:[{&quot;family&quot;:&quot;Ascencio-Vásquez&quot;,&quot;given&quot;:&quot;Julián&quot;,&quot;parse-names&quot;:false,&quot;dropping-particle&quot;:&quot;&quot;,&quot;non-dropping-particle&quot;:&quot;&quot;},{&quot;family&quot;:&quot;Brecl&quot;,&quot;given&quot;:&quot;Kristijan&quot;,&quot;parse-names&quot;:false,&quot;dropping-particle&quot;:&quot;&quot;,&quot;non-dropping-particle&quot;:&quot;&quot;},{&quot;family&quot;:&quot;Topič&quot;,&quot;given&quot;:&quot;Marko&quot;,&quot;parse-names&quot;:false,&quot;dropping-particle&quot;:&quot;&quot;,&quot;non-dropping-particle&quot;:&quot;&quot;}],&quot;container-title&quot;:&quot;Solar Energy&quot;,&quot;DOI&quot;:&quot;10.1016/j.solener.2019.08.072&quot;,&quot;ISSN&quot;:&quot;0038092X&quot;,&quot;URL&quot;:&quot;https://doi.org/10.1016/j.solener.2019.08.072&quot;,&quot;issued&quot;:{&quot;date-parts&quot;:[[2019]]},&quot;page&quot;:&quot;672-685&quot;,&quot;abstract&quot;:&quot;Photovoltaic (PV) already proves but even more promises to be massively deployed worldwide. To evaluate the performance of PV systems globally and assess risk due to different climate conditions, we propose a methodology for the global Köppen-Geiger-Photovoltaic (KGPV) climate classification that divides the globe into 12 zones with regard to the temperature, precipitation and irradiation, and standardizes the evaluations of the performance in regions with similar climatic conditions. Additionally, we present implications of KGPV to simulated PV performance using monthly data, for current and future operation of PV systems worldwide including climate change scenarios. A set of electrical and thermal performance indicators of crystalline silicon PV modules in different KGPV zones is analyzed and their evolution over time due to climate changes caused by high greenhouse gas emissions discussed. Results show that the KGPV scheme proves to be a convenient methodology to relate the KGPV climate zones with PV performance.&quot;,&quot;publisher&quot;:&quot;Elsevier&quot;,&quot;issue&quot;:&quot;August&quot;,&quot;volume&quot;:&quot;191&quot;,&quot;container-title-short&quot;:&quot;&quot;},&quot;isTemporary&quot;:false}]},{&quot;citationID&quot;:&quot;MENDELEY_CITATION_0c4483ac-998a-47d8-860f-c99d6467fa1a&quot;,&quot;properties&quot;:{&quot;noteIndex&quot;:0},&quot;isEdited&quot;:false,&quot;manualOverride&quot;:{&quot;isManuallyOverridden&quot;:false,&quot;citeprocText&quot;:&quot;(Ascencio-Vásquez et al., 2019)&quot;,&quot;manualOverrideText&quot;:&quot;&quot;},&quot;citationTag&quot;:&quot;MENDELEY_CITATION_v3_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&quot;,&quot;citationItems&quot;:[{&quot;id&quot;:&quot;ac9e82cc-9a10-3615-b440-5f56ed20be6c&quot;,&quot;itemData&quot;:{&quot;type&quot;:&quot;article-journal&quot;,&quot;id&quot;:&quot;ac9e82cc-9a10-3615-b440-5f56ed20be6c&quot;,&quot;title&quot;:&quot;Methodology of Köppen-Geiger-Photovoltaic climate classification and implications to worldwide mapping of PV system performance&quot;,&quot;author&quot;:[{&quot;family&quot;:&quot;Ascencio-Vásquez&quot;,&quot;given&quot;:&quot;Julián&quot;,&quot;parse-names&quot;:false,&quot;dropping-particle&quot;:&quot;&quot;,&quot;non-dropping-particle&quot;:&quot;&quot;},{&quot;family&quot;:&quot;Brecl&quot;,&quot;given&quot;:&quot;Kristijan&quot;,&quot;parse-names&quot;:false,&quot;dropping-particle&quot;:&quot;&quot;,&quot;non-dropping-particle&quot;:&quot;&quot;},{&quot;family&quot;:&quot;Topič&quot;,&quot;given&quot;:&quot;Marko&quot;,&quot;parse-names&quot;:false,&quot;dropping-particle&quot;:&quot;&quot;,&quot;non-dropping-particle&quot;:&quot;&quot;}],&quot;container-title&quot;:&quot;Solar Energy&quot;,&quot;DOI&quot;:&quot;10.1016/j.solener.2019.08.072&quot;,&quot;ISSN&quot;:&quot;0038092X&quot;,&quot;URL&quot;:&quot;https://doi.org/10.1016/j.solener.2019.08.072&quot;,&quot;issued&quot;:{&quot;date-parts&quot;:[[2019]]},&quot;page&quot;:&quot;672-685&quot;,&quot;abstract&quot;:&quot;Photovoltaic (PV) already proves but even more promises to be massively deployed worldwide. To evaluate the performance of PV systems globally and assess risk due to different climate conditions, we propose a methodology for the global Köppen-Geiger-Photovoltaic (KGPV) climate classification that divides the globe into 12 zones with regard to the temperature, precipitation and irradiation, and standardizes the evaluations of the performance in regions with similar climatic conditions. Additionally, we present implications of KGPV to simulated PV performance using monthly data, for current and future operation of PV systems worldwide including climate change scenarios. A set of electrical and thermal performance indicators of crystalline silicon PV modules in different KGPV zones is analyzed and their evolution over time due to climate changes caused by high greenhouse gas emissions discussed. Results show that the KGPV scheme proves to be a convenient methodology to relate the KGPV climate zones with PV performance.&quot;,&quot;publisher&quot;:&quot;Elsevier&quot;,&quot;issue&quot;:&quot;August&quot;,&quot;volume&quot;:&quot;191&quot;,&quot;container-title-short&quot;:&quot;&quot;},&quot;isTemporary&quot;:false}]},{&quot;citationID&quot;:&quot;MENDELEY_CITATION_28ac1a81-63d8-4046-abc7-54607bc75350&quot;,&quot;properties&quot;:{&quot;noteIndex&quot;:0},&quot;isEdited&quot;:false,&quot;manualOverride&quot;:{&quot;isManuallyOverridden&quot;:true,&quot;citeprocText&quot;:&quot;(María Herrando et al., 2023)&quot;,&quot;manualOverrideText&quot;:&quot;(Herrando et al., 2023)&quot;},&quot;citationTag&quot;:&quot;MENDELEY_CITATION_v3_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&quot;,&quot;citationItems&quot;:[{&quot;id&quot;:&quot;46a711b0-bf4a-3ec9-8a27-01c086e69786&quot;,&quot;itemData&quot;:{&quot;type&quot;:&quot;article&quot;,&quot;id&quot;:&quot;46a711b0-bf4a-3ec9-8a27-01c086e69786&quot;,&quot;title&quot;:&quot;A review of solar hybrid photovoltaic-thermal (PV-T) collectors and systems&quot;,&quot;author&quot;:[{&quot;family&quot;:&quot;Herrando&quot;,&quot;given&quot;:&quot;Maria&quot;,&quot;parse-names&quot;:false,&quot;dropping-particle&quot;:&quot;&quot;,&quot;non-dropping-particle&quot;:&quot;&quot;},{&quot;family&quot;:&quot;Wang&quot;,&quot;given&quot;:&quot;Kai&quot;,&quot;parse-names&quot;:false,&quot;dropping-particle&quot;:&quot;&quot;,&quot;non-dropping-particle&quot;:&quot;&quot;},{&quot;family&quot;:&quot;Huang&quot;,&quot;given&quot;:&quot;Gan&quot;,&quot;parse-names&quot;:false,&quot;dropping-particle&quot;:&quot;&quot;,&quot;non-dropping-particle&quot;:&quot;&quot;},{&quot;family&quot;:&quot;Otanicar&quot;,&quot;given&quot;:&quot;Todd&quot;,&quot;parse-names&quot;:false,&quot;dropping-particle&quot;:&quot;&quot;,&quot;non-dropping-particle&quot;:&quot;&quot;},{&quot;family&quot;:&quot;Mousa&quot;,&quot;given&quot;:&quot;Osama Bany&quot;,&quot;parse-names&quot;:false,&quot;dropping-particle&quot;:&quot;&quot;,&quot;non-dropping-particle&quot;:&quot;&quot;},{&quot;family&quot;:&quot;Agathokleous&quot;,&quot;given&quot;:&quot;Rafaela A.&quot;,&quot;parse-names&quot;:false,&quot;dropping-particle&quot;:&quot;&quot;,&quot;non-dropping-particle&quot;:&quot;&quot;},{&quot;family&quot;:&quot;Ding&quot;,&quot;given&quot;:&quot;Yulong&quot;,&quot;parse-names&quot;:false,&quot;dropping-particle&quot;:&quot;&quot;,&quot;non-dropping-particle&quot;:&quot;&quot;},{&quot;family&quot;:&quot;Kalogirou&quot;,&quot;given&quot;:&quot;Soteris&quot;,&quot;parse-names&quot;:false,&quot;dropping-particle&quot;:&quot;&quot;,&quot;non-dropping-particle&quot;:&quot;&quot;},{&quot;family&quot;:&quot;Ekins-Daukes&quot;,&quot;given&quot;:&quot;Ned&quot;,&quot;parse-names&quot;:false,&quot;dropping-particle&quot;:&quot;&quot;,&quot;non-dropping-particle&quot;:&quot;&quot;},{&quot;family&quot;:&quot;Taylor&quot;,&quot;given&quot;:&quot;Robert A.&quot;,&quot;parse-names&quot;:false,&quot;dropping-particle&quot;:&quot;&quot;,&quot;non-dropping-particle&quot;:&quot;&quot;},{&quot;family&quot;:&quot;Markides&quot;,&quot;given&quot;:&quot;Christos N.&quot;,&quot;parse-names&quot;:false,&quot;dropping-particle&quot;:&quot;&quot;,&quot;non-dropping-particle&quot;:&quot;&quot;}],&quot;container-title&quot;:&quot;Progress in Energy and Combustion Science&quot;,&quot;container-title-short&quot;:&quot;Prog. Energy Combust. Sci.&quot;,&quot;DOI&quot;:&quot;10.1016/j.pecs.2023.101072&quot;,&quot;ISSN&quot;:&quot;03601285&quot;,&quot;issued&quot;:{&quot;date-parts&quot;:[[2023,7,1]]},&quot;abstract&quot;:&quot;In this paper, we provide a comprehensive overview of the state-of-the-art in hybrid PV-T collectors and the wider systems within which they can be implemented, and assess the worldwide energy and carbon mitigation potential of these systems. We cover both experimental and computational studies, identify opportunities for performance enhancement, pathways for collector innovation, and implications of their wider deployment at the solar-generation system level. First, we classify and review the main types of PV-T collectors, including air-based, liquid-based, dual air–water, heat-pipe, building integrated and concentrated PV-T collectors. This is followed by a presentation of performance enhancement opportunities and pathways for collector innovation. Here, we address state-of-the-art design modifications, next-generation PV cell technologies, selective coatings, spectral splitting and nanofluids. Beyond this, we address wider PV-T systems and their applications, comprising a thorough review of solar combined heat and power (S–CHP), solar cooling, solar combined cooling, heat and power (S–CCHP), solar desalination, solar drying and solar for hydrogen production systems. This includes a specific review of potential performance and cost improvements and opportunities at the solar-generation system level in thermal energy storage, control and demand-side management. Subsequently, a set of the most promising PV-T systems is assessed to analyse their carbon mitigation potential and how this technology might fit within pathways for global decarbonization. It is estimated that the REmap baseline emission curve can be reduced by more than 16% in 2030 if the uptake of solar PV-T technologies can be promoted. Finally, the review turns to a critical examination of key challenges for the adoption of PV-T technology and recommendations.&quot;,&quot;publisher&quot;:&quot;Elsevier Ltd&quot;,&quot;volume&quot;:&quot;97&quot;},&quot;isTemporary&quot;:false,&quot;suppress-author&quot;:false,&quot;composite&quot;:false,&quot;author-only&quot;:false}]},{&quot;citationID&quot;:&quot;MENDELEY_CITATION_b599d7de-37f5-41a5-a74f-8b9f55a9ee06&quot;,&quot;properties&quot;:{&quot;noteIndex&quot;:0},&quot;isEdited&quot;:false,&quot;manualOverride&quot;:{&quot;isManuallyOverridden&quot;:false,&quot;citeprocText&quot;:&quot;(Axaopoulos and Fylladitakis, 2013)&quot;,&quot;manualOverrideText&quot;:&quot;&quot;},&quot;citationTag&quot;:&quot;MENDELEY_CITATION_v3_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&quot;,&quot;citationItems&quot;:[{&quot;id&quot;:&quot;82079f68-3325-3aac-acaf-c093bbe80a5e&quot;,&quot;itemData&quot;:{&quot;type&quot;:&quot;article-journal&quot;,&quot;id&quot;:&quot;82079f68-3325-3aac-acaf-c093bbe80a5e&quot;,&quot;title&quot;:&quot;Performance and economic evaluation of a hybrid photovoltaic/thermal solar system for residential applications&quot;,&quot;author&quot;:[{&quot;family&quot;:&quot;Axaopoulos&quot;,&quot;given&quot;:&quot;Petros J.&quot;,&quot;parse-names&quot;:false,&quot;dropping-particle&quot;:&quot;&quot;,&quot;non-dropping-particle&quot;:&quot;&quot;},{&quot;family&quot;:&quot;Fylladitakis&quot;,&quot;given&quot;:&quot;Emmanouil D.&quot;,&quot;parse-names&quot;:false,&quot;dropping-particle&quot;:&quot;&quot;,&quot;non-dropping-particle&quot;:&quot;&quot;}],&quot;container-title&quot;:&quot;Energy and Buildings&quot;,&quot;container-title-short&quot;:&quot;Energy Build.&quot;,&quot;DOI&quot;:&quot;10.1016/j.enbuild.2013.06.027&quot;,&quot;ISSN&quot;:&quot;03787788&quot;,&quot;URL&quot;:&quot;http://dx.doi.org/10.1016/j.enbuild.2013.06.027&quot;,&quot;issued&quot;:{&quot;date-parts&quot;:[[2013]]},&quot;page&quot;:&quot;488-496&quot;,&quot;abstract&quot;:&quot;Photovoltaic/thermal (PV/T) systems are capable of converting solar irradiation to thermal energy and electricity simultaneously. As PV/T solar systems become more popular and commercial solutions find their way into the market, it is necessary to evaluate both the energetic and economic benefits of such systems at different climatic conditions. The vast majority of the commercial solutions for residential applications are mainly intended to be used as solar water heaters with the bonus of electricity generation over the same collector area, replacing traditional solar heater solutions. In this paper, the energetic and economic performance of commercially available PV/T systems for electricity and domestic hot water production is being evaluated for use in three European countries, each under entirely different climatic and economic conditions. Economic spider diagrams are being presented to indicate how legislation and fuel prices would affect the value of such systems and useful observations are being made regarding the evaluation of their energetic performance. © 2013 Elsevier B.V. All rights reserved.&quot;,&quot;publisher&quot;:&quot;Elsevier B.V.&quot;,&quot;volume&quot;:&quot;65&quot;},&quot;isTemporary&quot;:false,&quot;suppress-author&quot;:false,&quot;composite&quot;:false,&quot;author-only&quot;:false}]},{&quot;citationID&quot;:&quot;MENDELEY_CITATION_6eca164a-c558-40bc-9bed-73208854733b&quot;,&quot;properties&quot;:{&quot;noteIndex&quot;:0},&quot;isEdited&quot;:false,&quot;manualOverride&quot;:{&quot;isManuallyOverridden&quot;:false,&quot;citeprocText&quot;:&quot;(Chow et al., 2006)&quot;,&quot;manualOverrideText&quot;:&quot;&quot;},&quot;citationTag&quot;:&quot;MENDELEY_CITATION_v3_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&quot;,&quot;citationItems&quot;:[{&quot;id&quot;:&quot;6c477138-e1df-35cb-8673-2436f7c3139e&quot;,&quot;itemData&quot;:{&quot;type&quot;:&quot;article-journal&quot;,&quot;id&quot;:&quot;6c477138-e1df-35cb-8673-2436f7c3139e&quot;,&quot;title&quot;:&quot;Hybrid photovoltaic-thermosyphon water heating system for residential application&quot;,&quot;author&quot;:[{&quot;family&quot;:&quot;Chow&quot;,&quot;given&quot;:&quot;T. T.&quot;,&quot;parse-names&quot;:false,&quot;dropping-particle&quot;:&quot;&quot;,&quot;non-dropping-particle&quot;:&quot;&quot;},{&quot;family&quot;:&quot;He&quot;,&quot;given&quot;:&quot;W.&quot;,&quot;parse-names&quot;:false,&quot;dropping-particle&quot;:&quot;&quot;,&quot;non-dropping-particle&quot;:&quot;&quot;},{&quot;family&quot;:&quot;Ji&quot;,&quot;given&quot;:&quot;J.&quot;,&quot;parse-names&quot;:false,&quot;dropping-particle&quot;:&quot;&quot;,&quot;non-dropping-particle&quot;:&quot;&quot;}],&quot;container-title&quot;:&quot;Solar Energy&quot;,&quot;DOI&quot;:&quot;10.1016/j.solener.2005.02.003&quot;,&quot;ISSN&quot;:&quot;0038092X&quot;,&quot;issued&quot;:{&quot;date-parts&quot;:[[2006]]},&quot;page&quot;:&quot;298-306&quot;,&quot;abstract&quot;:&quot;In order to improve the energy performance of the photovoltaic system, much effort has been spent on the research and development of hybrid PVT (photovoltaic-thermal) technology using water as the coolant. The fin performance of the thermal absorber is known to be one crucial factor in achieving a high overall energy yield of the collector. Accordingly, an aluminum-alloy flat-box type PVT collector was constructed, with its fin efficiency approaching unity. Its design is primarily for natural circulation and for domestic water heating purpose. Our test results showed that a high final hot water temperature in the collector system can be achieved after a one-day exposure. A numerical model of this photovoltaic-thermosyphon collector system was also developed and the model accuracy was verified by comparison with measured data. The energy performance of the collector system was then examined first, through reduced-temperature analysis, and second, as applying in the \&quot;hot summer and cold winter\&quot; climate zone of China. The numerical results are found very encouraging, and the equipment is capable of extending the PV application potential in the domestic sector. © 2005 Elsevier Ltd. All rights reserved.&quot;,&quot;issue&quot;:&quot;3&quot;,&quot;volume&quot;:&quot;80&quot;,&quot;container-title-short&quot;:&quot;&quot;},&quot;isTemporary&quot;:false,&quot;suppress-author&quot;:false,&quot;composite&quot;:false,&quot;author-only&quot;:false}]},{&quot;citationID&quot;:&quot;MENDELEY_CITATION_b8a1a4e6-2501-4418-94e3-3ba38c600dca&quot;,&quot;properties&quot;:{&quot;noteIndex&quot;:0},&quot;isEdited&quot;:false,&quot;manualOverride&quot;:{&quot;isManuallyOverridden&quot;:false,&quot;citeprocText&quot;:&quot;(Kalogirou and Tripanagnostopoulos, 2006)&quot;,&quot;manualOverrideText&quot;:&quot;&quot;},&quot;citationTag&quot;:&quot;MENDELEY_CITATION_v3_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&quot;,&quot;citationItems&quot;:[{&quot;id&quot;:&quot;a2b3847a-a688-3b9a-b270-10fafec5e97b&quot;,&quot;itemData&quot;:{&quot;type&quot;:&quot;article-journal&quot;,&quot;id&quot;:&quot;a2b3847a-a688-3b9a-b270-10fafec5e97b&quot;,&quot;title&quot;:&quot;Hybrid PV/T solar systems for domestic hot water and electricity production&quot;,&quot;author&quot;:[{&quot;family&quot;:&quot;Kalogirou&quot;,&quot;given&quot;:&quot;Soteris A.&quot;,&quot;parse-names&quot;:false,&quot;dropping-particle&quot;:&quot;&quot;,&quot;non-dropping-particle&quot;:&quot;&quot;},{&quot;family&quot;:&quot;Tripanagnostopoulos&quot;,&quot;given&quot;:&quot;Y.&quot;,&quot;parse-names&quot;:false,&quot;dropping-particle&quot;:&quot;&quot;,&quot;non-dropping-particle&quot;:&quot;&quot;}],&quot;container-title&quot;:&quot;Energy Conversion and Management&quot;,&quot;container-title-short&quot;:&quot;Energy Convers. Manag.&quot;,&quot;DOI&quot;:&quot;10.1016/j.enconman.2006.01.012&quot;,&quot;ISBN&quot;:&quot;0196-8904&quot;,&quot;ISSN&quot;:&quot;01968904&quot;,&quot;issued&quot;:{&quot;date-parts&quot;:[[2006]]},&quot;page&quot;:&quot;3368-3382&quot;,&quot;abstract&quot;:&quot;Hybrid photovoltaic/thermal (PV/T) solar systems can simultaneously provide electricity and heat, achieving a higher conversion rate of the absorbed solar radiation than standard PV modules. When properly designed, PV/T systems can extract heat from PV modules, heating water or air to reduce the operating temperature of the PV modules and keep the electrical efficiency at a sufficient level. In this paper, we present TRNSYS simulation results for hybrid PV/T solar systems for domestic hot water applications both passive (thermosyphonic) and active. Prototype models made from polycrystalline silicon (pc-Si) and amorphous silicon (a-Si) PV module types combined with water heat extraction units were tested with respect to their electrical and thermal efficiencies, and their performance characteristics were evaluated. The TRNSYS simulation results are based on these PV/T systems and were performed for three locations at different latitudes, Nicosia (35??), Athens (38??) and Madison (43??). In this study, we considered a domestic thermosyphonic system and a larger active system suitable for a block of flats or for small office buildings. The results show that a considerable amount of thermal and electrical energy is produced by the PV/T systems, and the economic viability of the systems is improved. Thus, the PVs have better chances of success especially when both electricity and hot water is required as in domestic applications. ?? 2006 Elsevier Ltd. All rights reserved.&quot;,&quot;issue&quot;:&quot;18-19&quot;,&quot;volume&quot;:&quot;47&quot;},&quot;isTemporary&quot;:false,&quot;suppress-author&quot;:false,&quot;composite&quot;:false,&quot;author-only&quot;:false}]},{&quot;citationID&quot;:&quot;MENDELEY_CITATION_beb9ac76-e77c-49d3-8665-1e4f05648a64&quot;,&quot;properties&quot;:{&quot;noteIndex&quot;:0},&quot;isEdited&quot;:false,&quot;manualOverride&quot;:{&quot;isManuallyOverridden&quot;:false,&quot;citeprocText&quot;:&quot;(Ji et al., 2009; Vaishak and Bhale, 2020)&quot;,&quot;manualOverrideText&quot;:&quot;&quot;},&quot;citationTag&quot;:&quot;MENDELEY_CITATION_v3_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&quot;,&quot;citationItems&quot;:[{&quot;id&quot;:&quot;3eaf8e01-41df-371e-83fb-eedc4765ee6b&quot;,&quot;itemData&quot;:{&quot;type&quot;:&quot;article-journal&quot;,&quot;id&quot;:&quot;3eaf8e01-41df-371e-83fb-eedc4765ee6b&quot;,&quot;title&quot;:&quot;Distributed dynamic modeling and experimental study of PV evaporator in a PV/T solar-assisted heat pump&quot;,&quot;author&quot;:[{&quot;family&quot;:&quot;Ji&quot;,&quot;given&quot;:&quot;Jie&quot;,&quot;parse-names&quot;:false,&quot;dropping-particle&quot;:&quot;&quot;,&quot;non-dropping-particle&quot;:&quot;&quot;},{&quot;family&quot;:&quot;Hanfeng&quot;,&quot;given&quot;:&quot;He&quot;,&quot;parse-names&quot;:false,&quot;dropping-particle&quot;:&quot;&quot;,&quot;non-dropping-particle&quot;:&quot;&quot;},{&quot;family&quot;:&quot;Chow&quot;,&quot;given&quot;:&quot;Tintai&quot;,&quot;parse-names&quot;:false,&quot;dropping-particle&quot;:&quot;&quot;,&quot;non-dropping-particle&quot;:&quot;&quot;},{&quot;family&quot;:&quot;Pei&quot;,&quot;given&quot;:&quot;Gang&quot;,&quot;parse-names&quot;:false,&quot;dropping-particle&quot;:&quot;&quot;,&quot;non-dropping-particle&quot;:&quot;&quot;},{&quot;family&quot;:&quot;He&quot;,&quot;given&quot;:&quot;Wei&quot;,&quot;parse-names&quot;:false,&quot;dropping-particle&quot;:&quot;&quot;,&quot;non-dropping-particle&quot;:&quot;&quot;},{&quot;family&quot;:&quot;Liu&quot;,&quot;given&quot;:&quot;Keliang&quot;,&quot;parse-names&quot;:false,&quot;dropping-particle&quot;:&quot;&quot;,&quot;non-dropping-particle&quot;:&quot;&quot;}],&quot;container-title&quot;:&quot;International Journal of Heat and Mass Transfer&quot;,&quot;container-title-short&quot;:&quot;Int. J. Heat Mass Transf.&quot;,&quot;DOI&quot;:&quot;10.1016/j.ijheatmasstransfer.2008.08.017&quot;,&quot;ISBN&quot;:&quot;0017-9310&quot;,&quot;ISSN&quot;:&quot;00179310&quot;,&quot;URL&quot;:&quot;http://dx.doi.org/10.1016/j.ijheatmasstransfer.2008.08.017&quot;,&quot;issued&quot;:{&quot;date-parts&quot;:[[2009]]},&quot;page&quot;:&quot;1365-1373&quot;,&quot;abstract&quot;:&quot;A novel photovoltaic/thermal solar-assisted heat pump (PV/T-SAHP) system is described in this paper. A specially designed direct-expansion evaporator (PV evaporator), which is laminated with PV cells on the front surface of the thermal absorber, has been adopted in our system to acquire simultaneously thermal energy and electricity from solar radiation. A dynamic model of the PV evaporator based on the distributed parameter approach is also presented. Given the instantaneous solar irradiance and ambient temperature, the numerical model is able to output the spatial distributions of refrigerant conditions, including pressure, temperature, vapor quality and enthalpy. A two-dimensional temperature distribution of the evaporator body is also computed. Comparisons between the simulation results and the experimental measurements show that the model is able to give satisfactory predictions. The results show that high electrical and thermal performance can be achieved. The PV efficiency and thermal efficiency are above 12% and 50% during the testing period. © 2008 Elsevier Ltd. All rights reserved.&quot;,&quot;publisher&quot;:&quot;Elsevier Ltd&quot;,&quot;issue&quot;:&quot;5-6&quot;,&quot;volume&quot;:&quot;52&quot;},&quot;isTemporary&quot;:false,&quot;suppress-author&quot;:false,&quot;composite&quot;:false,&quot;author-only&quot;:false},{&quot;id&quot;:&quot;0d07ae93-d9ae-39b1-8aa3-d9947d003ca1&quot;,&quot;itemData&quot;:{&quot;type&quot;:&quot;article-journal&quot;,&quot;id&quot;:&quot;0d07ae93-d9ae-39b1-8aa3-d9947d003ca1&quot;,&quot;title&quot;:&quot;Performance analysis of a heat pump-based photovoltaic/thermal (PV/T) system&quot;,&quot;author&quot;:[{&quot;family&quot;:&quot;Vaishak&quot;,&quot;given&quot;:&quot;S.&quot;,&quot;parse-names&quot;:false,&quot;dropping-particle&quot;:&quot;&quot;,&quot;non-dropping-particle&quot;:&quot;&quot;},{&quot;family&quot;:&quot;Bhale&quot;,&quot;given&quot;:&quot;Purnanand&quot;,&quot;parse-names&quot;:false,&quot;dropping-particle&quot;:&quot;V.&quot;,&quot;non-dropping-particle&quot;:&quot;&quot;}],&quot;container-title&quot;:&quot;Clean Technologies and Environmental Policy&quot;,&quot;container-title-short&quot;:&quot;Clean Technol. Environ. Policy&quot;,&quot;DOI&quot;:&quot;10.1007/s10098-020-01839-6&quot;,&quot;ISBN&quot;:&quot;0123456789&quot;,&quot;ISSN&quot;:&quot;16189558&quot;,&quot;URL&quot;:&quot;https://doi.org/10.1007/s10098-020-01839-6&quot;,&quot;issued&quot;:{&quot;date-parts&quot;:[[2020]]},&quot;abstract&quot;:&quot;Abstract: Photovoltaic/thermal (PV/T) system produces both heat and electricity simultaneously with the advantages of better space utilization and higher conversion efficiency over individual solar thermal and solar photovoltaic (PV) system when operated separately. The PV/T system can control the operating temperature of PV by passing a heat transfer fluid through a heat exchanger attached to the rear of the modules. The present study analyses the performance of one such in-house built system, where the heat transfer fluid is refrigerant. Refrigerant-based PV/T system involves the integration of evaporator coils of the heat pump and PV module to form a cogeneration type system known as photovoltaic/thermal–solar assisted heat pump (PV/T–SAHP). The prototype of the PV/T–SAHP was fabricated with a double glass PV module instead of a conventional module with polyvinyl fluoride backsheet. Initially, the performance characteristics of the system are analyzed in detail using the experimental observations under a typical clear sky condition during the transition season. Following, the year-round performance of the system is predicted using an already validated numerical model. It was found that the present system can improve the average electrical efficiency by 15.20% and can achieve a coefficient of performance of 2.96. Graphic abstract: [Figure not available: see fulltext.].&quot;,&quot;publisher&quot;:&quot;Springer Berlin Heidelberg&quot;,&quot;issue&quot;:&quot;0123456789&quot;},&quot;isTemporary&quot;:false}]},{&quot;citationID&quot;:&quot;MENDELEY_CITATION_51bd5864-2fae-4490-8d6a-dfd6d669c8e4&quot;,&quot;properties&quot;:{&quot;noteIndex&quot;:0},&quot;isEdited&quot;:false,&quot;manualOverride&quot;:{&quot;isManuallyOverridden&quot;:false,&quot;citeprocText&quot;:&quot;(Zhang et al., 2013)&quot;,&quot;manualOverrideText&quot;:&quot;&quot;},&quot;citationTag&quot;:&quot;MENDELEY_CITATION_v3_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&quot;,&quot;citationItems&quot;:[{&quot;id&quot;:&quot;6ddd5cbf-132c-38e7-bfbe-4f27719d513b&quot;,&quot;itemData&quot;:{&quot;type&quot;:&quot;article-journal&quot;,&quot;id&quot;:&quot;6ddd5cbf-132c-38e7-bfbe-4f27719d513b&quot;,&quot;title&quot;:&quot;Characterization of a solar photovoltaic/loop-heat-pipe heat pump water heating system&quot;,&quot;author&quot;:[{&quot;family&quot;:&quot;Zhang&quot;,&quot;given&quot;:&quot;Xingxing&quot;,&quot;parse-names&quot;:false,&quot;dropping-particle&quot;:&quot;&quot;,&quot;non-dropping-particle&quot;:&quot;&quot;},{&quot;family&quot;:&quot;Zhao&quot;,&quot;given&quot;:&quot;Xudong&quot;,&quot;parse-names&quot;:false,&quot;dropping-particle&quot;:&quot;&quot;,&quot;non-dropping-particle&quot;:&quot;&quot;},{&quot;family&quot;:&quot;Xu&quot;,&quot;given&quot;:&quot;Jihuan&quot;,&quot;parse-names&quot;:false,&quot;dropping-particle&quot;:&quot;&quot;,&quot;non-dropping-particle&quot;:&quot;&quot;},{&quot;family&quot;:&quot;Yu&quot;,&quot;given&quot;:&quot;Xiaotong&quot;,&quot;parse-names&quot;:false,&quot;dropping-particle&quot;:&quot;&quot;,&quot;non-dropping-particle&quot;:&quot;&quot;}],&quot;container-title&quot;:&quot;Applied Energy&quot;,&quot;container-title-short&quot;:&quot;Appl. Energy&quot;,&quot;DOI&quot;:&quot;10.1016/j.apenergy.2012.06.039&quot;,&quot;ISBN&quot;:&quot;0306-2619&quot;,&quot;ISSN&quot;:&quot;03062619&quot;,&quot;URL&quot;:&quot;http://dx.doi.org/10.1016/j.apenergy.2012.06.039&quot;,&quot;issued&quot;:{&quot;date-parts&quot;:[[2013]]},&quot;page&quot;:&quot;1229-1245&quot;,&quot;abstract&quot;:&quot;This paper introduced the concept, potential application and benefits relating to a novel solar photovoltaic/loop-heat-pipe (PV/LHP) heat pump system for hot water generation. On this basis, the paper reported the process and results of characterizing the performance of such a system, which was undertaken through dedicated thermo-fluid and energy balance analyses, computer model development and operation, and experimental verification and modification. The fundamental heat transfer, fluid flow and photovoltaic governing equations were applied to characterize the energy conversion and transfer processes occurring in each part and whole system layout; while the energy balance approach was utilized to enable inter-connection and resolution of the grouped equations. As a result, a dedicated computer model was developed and used to calculate the operational parameters, optimise the geometrical configurations and sizes, and recommend the appropriate operational condition relating to the system. Further, an experimental rig was constructed and utilized to acquire the relevant measurement data that thus enabled the parallel comparison between the simulation and experiment. It is concluded that the testing and modelling results are in good agreement, indicating that the model has the reasonable accuracy in predicting the system's performance. Under the given experimental conditions, the electrical, thermal and overall efficiency of the PV/LHP module were around 10%, 40% and 50% respectively; whilst the system's overall performance coefficient (COPPV/T) was 8.7. Impact of the operational parameters (i.e. solar radiation, air temperature, air velocity, heat-pump's evaporation temperature, glazing covers, and number of the absorbing heat pipes) to the performance of the system (in terms of efficiencies of the PV/LHP module and the system's overall performance coefficient COPPV/T) was investigated individually. The results indicated that lower solar radiation, lower air temperature, higher air velocity and smaller cover number led to enhanced electrical efficiency but reduced thermal efficiency of the module; whereas lower heat-pump's evaporation temperature and larger number of heat absorbing pipes gave rise to both thermal and electrical efficiencies of the module. The research results would assist in developing a high efficient solar (space or hot water) heating system and thus contribute to realisation of the energy saving and associated carbon emission targets set for buildings globally. ?? 2012 Elsevier Ltd.&quot;,&quot;publisher&quot;:&quot;Elsevier Ltd&quot;,&quot;volume&quot;:&quot;102&quot;},&quot;isTemporary&quot;:false,&quot;suppress-author&quot;:false,&quot;composite&quot;:false,&quot;author-only&quot;:false}]},{&quot;citationID&quot;:&quot;MENDELEY_CITATION_51187101-7897-4476-a6b3-cc6139b0dfda&quot;,&quot;properties&quot;:{&quot;noteIndex&quot;:0},&quot;isEdited&quot;:false,&quot;manualOverride&quot;:{&quot;isManuallyOverridden&quot;:false,&quot;citeprocText&quot;:&quot;(Dannemand et al., 2020; Obalanlege et al., 2020)&quot;,&quot;manualOverrideText&quot;:&quot;&quot;},&quot;citationTag&quot;:&quot;MENDELEY_CITATION_v3_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&quot;,&quot;citationItems&quot;:[{&quot;id&quot;:&quot;372f788a-983f-3647-905a-900f7752d258&quot;,&quot;itemData&quot;:{&quot;type&quot;:&quot;article-journal&quot;,&quot;id&quot;:&quot;372f788a-983f-3647-905a-900f7752d258&quot;,&quot;title&quot;:&quot;Simulation and optimization of a hybrid unglazed solar photovoltaic-thermal collector and heat pump system with two storage tanks&quot;,&quot;author&quot;:[{&quot;family&quot;:&quot;Dannemand&quot;,&quot;given&quot;:&quot;Mark&quot;,&quot;parse-names&quot;:false,&quot;dropping-particle&quot;:&quot;&quot;,&quot;non-dropping-particle&quot;:&quot;&quot;},{&quot;family&quot;:&quot;Sifnaios&quot;,&quot;given&quot;:&quot;Ioannis&quot;,&quot;parse-names&quot;:false,&quot;dropping-particle&quot;:&quot;&quot;,&quot;non-dropping-particle&quot;:&quot;&quot;},{&quot;family&quot;:&quot;Tian&quot;,&quot;given&quot;:&quot;Zhiyong&quot;,&quot;parse-names&quot;:false,&quot;dropping-particle&quot;:&quot;&quot;,&quot;non-dropping-particle&quot;:&quot;&quot;},{&quot;family&quot;:&quot;Furbo&quot;,&quot;given&quot;:&quot;Simon&quot;,&quot;parse-names&quot;:false,&quot;dropping-particle&quot;:&quot;&quot;,&quot;non-dropping-particle&quot;:&quot;&quot;}],&quot;container-title&quot;:&quot;Energy Conversion and Management&quot;,&quot;container-title-short&quot;:&quot;Energy Convers. Manag.&quot;,&quot;DOI&quot;:&quot;10.1016/j.enconman.2019.112429&quot;,&quot;ISSN&quot;:&quot;01968904&quot;,&quot;URL&quot;:&quot;https://doi.org/10.1016/j.enconman.2019.112429&quot;,&quot;issued&quot;:{&quot;date-parts&quot;:[[2020]]},&quot;page&quot;:&quot;112429&quot;,&quot;abstract&quot;:&quot;Solar thermal energy systems combined with heat pumps are becoming popular solutions for covering space heating and domestic hot water demand in European Union households. There is a great potential for developing high performing systems by combining components in systems in new ways. This study focuses on the performance of a system consisting of heat pump, photovoltaic-thermal solar collector and two storage tanks. This system is proposed to potentially have better performance compared to air-to-liquid heat pump system while being less costly compared to a liquid-to-liquid heat pump system with ground sourced heat exchanger. The system was set up at the Technical University of Denmark in 2017, for providing domestic hot water. A simulation model of the system was created in the transient simulation software TRNSYS and the data from the experiment were used for its validation. The modulating heat pump was modelled via a function applied to the scale factor and the thermal mass of the heat pump was taken into account by including additional pipes around the heat pump. The performance of the system was assessed using selected key performance indicators. A parametric analysis was performed identifying component sizes that improved the system's performance. The improved system produced 55% more electricity, had 23% lower electric consumption and wasted 11% less heat by minimizing heat losses compared to the demonstration system. The improved system had a solar thermal fraction of 0.58, a solar electrical fraction of 1.51 and a renewable energy fraction of 0.75. The system was however oversized compared to the load applied to the system as it was built to cover only domestic hot water demand. For the system to be economically attractive it must cover a larger load.&quot;,&quot;publisher&quot;:&quot;Elsevier&quot;,&quot;issue&quot;:&quot;October 2019&quot;,&quot;volume&quot;:&quot;206&quot;},&quot;isTemporary&quot;:false,&quot;suppress-author&quot;:false,&quot;composite&quot;:false,&quot;author-only&quot;:false},{&quot;id&quot;:&quot;78d46714-ff9d-3f70-b885-ef6b8cb6b45d&quot;,&quot;itemData&quot;:{&quot;type&quot;:&quot;article-journal&quot;,&quot;id&quot;:&quot;78d46714-ff9d-3f70-b885-ef6b8cb6b45d&quot;,&quot;title&quot;:&quot;Performance assessment of a hybrid photovoltaic-thermal and heat pump system for solar heating and electricity&quot;,&quot;author&quot;:[{&quot;family&quot;:&quot;Obalanlege&quot;,&quot;given&quot;:&quot;Mustapha A.&quot;,&quot;parse-names&quot;:false,&quot;dropping-particle&quot;:&quot;&quot;,&quot;non-dropping-particle&quot;:&quot;&quot;},{&quot;family&quot;:&quot;Mahmoudi&quot;,&quot;given&quot;:&quot;Yasser&quot;,&quot;parse-names&quot;:false,&quot;dropping-particle&quot;:&quot;&quot;,&quot;non-dropping-particle&quot;:&quot;&quot;},{&quot;family&quot;:&quot;Douglas&quot;,&quot;given&quot;:&quot;Roy&quot;,&quot;parse-names&quot;:false,&quot;dropping-particle&quot;:&quot;&quot;,&quot;non-dropping-particle&quot;:&quot;&quot;},{&quot;family&quot;:&quot;Ebrahimnia-Bajestan&quot;,&quot;given&quot;:&quot;Ehsan&quot;,&quot;parse-names&quot;:false,&quot;dropping-particle&quot;:&quot;&quot;,&quot;non-dropping-particle&quot;:&quot;&quot;},{&quot;family&quot;:&quot;Davidson&quot;,&quot;given&quot;:&quot;John&quot;,&quot;parse-names&quot;:false,&quot;dropping-particle&quot;:&quot;&quot;,&quot;non-dropping-particle&quot;:&quot;&quot;},{&quot;family&quot;:&quot;Bailie&quot;,&quot;given&quot;:&quot;David&quot;,&quot;parse-names&quot;:false,&quot;dropping-particle&quot;:&quot;&quot;,&quot;non-dropping-particle&quot;:&quot;&quot;}],&quot;container-title&quot;:&quot;Renewable Energy&quot;,&quot;container-title-short&quot;:&quot;Renew. Energy&quot;,&quot;DOI&quot;:&quot;10.1016/j.renene.2019.10.061&quot;,&quot;ISSN&quot;:&quot;18790682&quot;,&quot;URL&quot;:&quot;https://doi.org/10.1016/j.renene.2019.10.061&quot;,&quot;issued&quot;:{&quot;date-parts&quot;:[[2020]]},&quot;page&quot;:&quot;558-572&quot;,&quot;abstract&quot;:&quot;This work investigates a solar combined heat and power systems based on hybrid photovoltaic-thermal heat pump systems for the simultaneous provision of space heating and electricity to residential homes. The analysed system connects a photovoltaic-thermal (PVT) panel, through a PVT water tank, to a heat pump. The study is based on quasi-steady state heat transfer and thermodynamic analysis that takes incremental time steps to solve for the fluids temperature changes from the heat pump and the solar PVT panels. The effects of solar irradiance, size of the water tank and the water flow rate in the PVT pipes (laminar and turbulent) on the performance of the system are analysed. Particular focus is made towards the efficiency (electrical and thermal) of the PVT and the COP of the heat pump. Results show that the minimum COP of the heat pump is 4.2, showing the high performance of the proposed hybrid system. Increasing the water flowrate through the PVT panel from 3 L/min (laminar) to 17 L/min (turbulent) increases the PVT's total efficiency (electrical + thermal) from 61% to 64.5%. Increasing the size of the PVT water tank from 1 L to 100 L, increases the total efficiency of the PVT panel by 6.5%.&quot;,&quot;publisher&quot;:&quot;Elsevier Ltd&quot;,&quot;volume&quot;:&quot;148&quot;},&quot;isTemporary&quot;:false}]},{&quot;citationID&quot;:&quot;MENDELEY_CITATION_b5a417c2-e05a-4bc4-8056-24a51a8d11c5&quot;,&quot;properties&quot;:{&quot;noteIndex&quot;:0},&quot;isEdited&quot;:false,&quot;manualOverride&quot;:{&quot;isManuallyOverridden&quot;:true,&quot;citeprocText&quot;:&quot;(Coca-Ortegón et al., 2023; M. Herrando et al., 2023)&quot;,&quot;manualOverrideText&quot;:&quot;(Coca-Ortegón et al., 2023; Herrando et al., 2023)&quot;},&quot;citationTag&quot;:&quot;MENDELEY_CITATION_v3_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&quot;,&quot;citationItems&quot;:[{&quot;id&quot;:&quot;6b0a0c92-635a-3a9c-a7c7-a1ca33d376d2&quot;,&quot;itemData&quot;:{&quot;type&quot;:&quot;article-journal&quot;,&quot;id&quot;:&quot;6b0a0c92-635a-3a9c-a7c7-a1ca33d376d2&quot;,&quot;title&quot;:&quot;Experimental validation of a solar system based on hybrid photovoltaic-thermal collectors and a reversible heat pump for the energy provision in non-residential buildings&quot;,&quot;author&quot;:[{&quot;family&quot;:&quot;Herrando&quot;,&quot;given&quot;:&quot;M.&quot;,&quot;parse-names&quot;:false,&quot;dropping-particle&quot;:&quot;&quot;,&quot;non-dropping-particle&quot;:&quot;&quot;},{&quot;family&quot;:&quot;Coca-Ortegón&quot;,&quot;given&quot;:&quot;A.&quot;,&quot;parse-names&quot;:false,&quot;dropping-particle&quot;:&quot;&quot;,&quot;non-dropping-particle&quot;:&quot;&quot;},{&quot;family&quot;:&quot;Guedea&quot;,&quot;given&quot;:&quot;I.&quot;,&quot;parse-names&quot;:false,&quot;dropping-particle&quot;:&quot;&quot;,&quot;non-dropping-particle&quot;:&quot;&quot;},{&quot;family&quot;:&quot;Fueyo&quot;,&quot;given&quot;:&quot;N.&quot;,&quot;parse-names&quot;:false,&quot;dropping-particle&quot;:&quot;&quot;,&quot;non-dropping-particle&quot;:&quot;&quot;}],&quot;container-title&quot;:&quot;Renewable and Sustainable Energy Reviews&quot;,&quot;DOI&quot;:&quot;10.1016/j.rser.2023.113233&quot;,&quot;ISSN&quot;:&quot;18790690&quot;,&quot;issued&quot;:{&quot;date-parts&quot;:[[2023,5,1]]},&quot;abstract&quot;:&quot;This work aims to validate a transient model of a solar hybrid pilot plant based on photovoltaic-thermal (PV-T) collectors integrated via thermal storage tanks with an air-to-water reversible heat pump (rev-HP). The pilot plant is in operation and provides space heating, cooling, domestic hot water (DHW) and electricity to an industrial building located in Zaragoza (Spain). The plant consists of eight uncovered PV-T collectors (2.6 kWe, 13.6 m2), two water tanks and a rev-HP with a nominal thermal power of 16 kW for heating and 10.5 kW for cooling. The validation results show that the transient model fits the experimental performance of the PV-T collectors, with an average error of -16% and 3%, for the thermal and electrical generation respectively. The accuracy of the estimated rev-HP performance depends on the operation mode. The estimated COP in cooling mode has an average error of 14%, while in heating mode has an average error of -10%. The results show that the integration of the thermal and electrical generation of the PV-T collectors with a high-performance rev-HP allows the solar PV-T system to be self-sufficient to satisfy the building energy demand.&quot;,&quot;publisher&quot;:&quot;Elsevier Ltd&quot;,&quot;volume&quot;:&quot;178&quot;,&quot;container-title-short&quot;:&quot;&quot;},&quot;isTemporary&quot;:false,&quot;suppress-author&quot;:false,&quot;composite&quot;:false,&quot;author-only&quot;:false},{&quot;id&quot;:&quot;18328d18-b8e6-3a9a-9335-17cf04d5cbb2&quot;,&quot;itemData&quot;:{&quot;type&quot;:&quot;article-journal&quot;,&quot;id&quot;:&quot;18328d18-b8e6-3a9a-9335-17cf04d5cbb2&quot;,&quot;title&quot;:&quot;Operational performance of trigeneration PVT-assisted HP system&quot;,&quot;author&quot;:[{&quot;family&quot;:&quot;Coca-Ortegón&quot;,&quot;given&quot;:&quot;Adriana&quot;,&quot;parse-names&quot;:false,&quot;dropping-particle&quot;:&quot;&quot;,&quot;non-dropping-particle&quot;:&quot;&quot;},{&quot;family&quot;:&quot;Simón-Allué&quot;,&quot;given&quot;:&quot;Raquel&quot;,&quot;parse-names&quot;:false,&quot;dropping-particle&quot;:&quot;&quot;,&quot;non-dropping-particle&quot;:&quot;&quot;},{&quot;family&quot;:&quot;Guedea&quot;,&quot;given&quot;:&quot;Isabel&quot;,&quot;parse-names&quot;:false,&quot;dropping-particle&quot;:&quot;&quot;,&quot;non-dropping-particle&quot;:&quot;&quot;},{&quot;family&quot;:&quot;Brun&quot;,&quot;given&quot;:&quot;Gonzalo&quot;,&quot;parse-names&quot;:false,&quot;dropping-particle&quot;:&quot;&quot;,&quot;non-dropping-particle&quot;:&quot;&quot;},{&quot;family&quot;:&quot;Villén&quot;,&quot;given&quot;:&quot;Raúl&quot;,&quot;parse-names&quot;:false,&quot;dropping-particle&quot;:&quot;&quot;,&quot;non-dropping-particle&quot;:&quot;&quot;}],&quot;container-title&quot;:&quot;Energy and Buildings&quot;,&quot;container-title-short&quot;:&quot;Energy Build.&quot;,&quot;DOI&quot;:&quot;10.1016/j.enbuild.2023.113383&quot;,&quot;ISSN&quot;:&quot;03787788&quot;,&quot;issued&quot;:{&quot;date-parts&quot;:[[2023,10,1]]},&quot;abstract&quot;:&quot;Trigeneration systems based on renewable energies are useful solutions to provide heat, cooling and electricity in buildings and industries. According to the International Energy Agency, more than 30% of the world population has a profile demand requiring heating and cooling and this percentage is above 70% in many developed countries. This paper experimentally evaluates the energy performance of a trigeneration system based on a solar PVT-assisted heat pump installed in an industrial building. The heat pump is a vapor compression air-to-water type, with a nominal capacity of 16 and 10.5 kW in heating and cooling respectively. The PVT solar field consists of unglazed PVT collectors with a total area of 13.6 m2. Results indicate that this type of system is effective to provide heat, cooling and electricity, using mainly solar energy. The PVT solar thermal fraction is significant to provide domestic hot water, but it is less representative in heating production. On the other hand, solar electrical production gets high representative contributions to feed the heat pump compressor. Different performance indicators were calculated to evaluate the system performance. Besides, a comparison with a reference system, that uses a PV instead of a PVT technology, was also evaluated.&quot;,&quot;publisher&quot;:&quot;Elsevier Ltd&quot;,&quot;volume&quot;:&quot;296&quot;},&quot;isTemporary&quot;:false}]},{&quot;citationID&quot;:&quot;MENDELEY_CITATION_36f5ca0c-6a0e-48b8-97d6-933da52caf87&quot;,&quot;properties&quot;:{&quot;noteIndex&quot;:0},&quot;isEdited&quot;:false,&quot;manualOverride&quot;:{&quot;isManuallyOverridden&quot;:false,&quot;citeprocText&quot;:&quot;(Chhugani et al., 2023; Liravi et al., 2025)&quot;,&quot;manualOverrideText&quot;:&quot;&quot;},&quot;citationTag&quot;:&quot;MENDELEY_CITATION_v3_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&quot;,&quot;citationItems&quot;:[{&quot;id&quot;:&quot;c9260526-f2e8-3abb-952a-f3e768308551&quot;,&quot;itemData&quot;:{&quot;type&quot;:&quot;article-journal&quot;,&quot;id&quot;:&quot;c9260526-f2e8-3abb-952a-f3e768308551&quot;,&quot;title&quot;:&quot;On the proper integration of pre-heating tanks in ground source heat pump systems combined with photovoltaic-thermal panels&quot;,&quot;author&quot;:[{&quot;family&quot;:&quot;Liravi&quot;,&quot;given&quot;:&quot;Mohammad&quot;,&quot;parse-names&quot;:false,&quot;dropping-particle&quot;:&quot;&quot;,&quot;non-dropping-particle&quot;:&quot;&quot;},{&quot;family&quot;:&quot;Karkon&quot;,&quot;given&quot;:&quot;Ehsan&quot;,&quot;parse-names&quot;:false,&quot;dropping-particle&quot;:&quot;&quot;,&quot;non-dropping-particle&quot;:&quot;&quot;},{&quot;family&quot;:&quot;Dai&quot;,&quot;given&quot;:&quot;Yanjun&quot;,&quot;parse-names&quot;:false,&quot;dropping-particle&quot;:&quot;&quot;,&quot;non-dropping-particle&quot;:&quot;&quot;},{&quot;family&quot;:&quot;Georges&quot;,&quot;given&quot;:&quot;Laurent&quot;,&quot;parse-names&quot;:false,&quot;dropping-particle&quot;:&quot;&quot;,&quot;non-dropping-particle&quot;:&quot;&quot;}],&quot;container-title&quot;:&quot;Thermal Science and Engineering Progress&quot;,&quot;accessed&quot;:{&quot;date-parts&quot;:[[2026,7,30]]},&quot;DOI&quot;:&quot;10.1016/J.TSEP.2025.103379&quot;,&quot;ISSN&quot;:&quot;2451-9049&quot;,&quot;URL&quot;:&quot;https://www.sciencedirect.com/science/article/pii/S2451904925001696&quot;,&quot;issued&quot;:{&quot;date-parts&quot;:[[2025,4,1]]},&quot;page&quot;:&quot;103379&quot;,&quot;abstract&quot;:&quot;Ground Source Heat Pump (GSHP) systems are an energy-efficient solution for meeting heating demands in buildings. However, in cold climates with heating-dominated loads, the net extraction of heat from the ground causes a thermal imbalance, reducing ground temperature and the seasonal performance factor (SPF) of the heat pump over time. Photovoltaic-thermal (PVT) panels can help regenerate ground temperature, improving energy efficiency and potentially reducing the required borehole field size. While the scientific literature has recently clarified the design and potential of GSHP + PVT, limited research has been done on the use of pre-heating tanks to improve the system performance. This study evaluates three GSHP + PVT system layouts using TRNSYS simulations for a multi-family house in Oslo over a 50-year period. The results show that integrating a pre-heating tank on the condenser side increases the 50-year-averaged system SPF4 from 3.85 (baseline) to 4.11 (+6.8 %), demonstrating enhanced energy efficiency. However, the SPF4 reduction over time is larger with the pre-heating tank (−7.47 %) due to reduced ground regeneration. In contrast, placing the pre-heating tank on the evaporator side yields a moderate SPF4 increase to 3.95 (+2.6 %). Additionally, the optimal configurations lead to a 3.6 % reduction in electricity import from the grid, while the impact on PVT electricity generation remains minimal. These findings highlight that pre-heating tanks can effectively enhance GSHP + PVT efficiency, but their placement must be carefully considered to balance short-term efficiency gains with long-term performance.&quot;,&quot;publisher&quot;:&quot;Elsevier&quot;,&quot;volume&quot;:&quot;60&quot;,&quot;container-title-short&quot;:&quot;&quot;},&quot;isTemporary&quot;:false,&quot;suppress-author&quot;:false,&quot;composite&quot;:false,&quot;author-only&quot;:false},{&quot;id&quot;:&quot;e14aab08-32b5-3669-a84e-3ddc4170f1e6&quot;,&quot;itemData&quot;:{&quot;type&quot;:&quot;article-journal&quot;,&quot;id&quot;:&quot;e14aab08-32b5-3669-a84e-3ddc4170f1e6&quot;,&quot;title&quot;:&quot;Comparison of PVT - heat pump systems with reference systems for the energy supply of a single-family house&quot;,&quot;author&quot;:[{&quot;family&quot;:&quot;Chhugani&quot;,&quot;given&quot;:&quot;Bharat&quot;,&quot;parse-names&quot;:false,&quot;dropping-particle&quot;:&quot;&quot;,&quot;non-dropping-particle&quot;:&quot;&quot;},{&quot;family&quot;:&quot;Pärisch&quot;,&quot;given&quot;:&quot;Peter&quot;,&quot;parse-names&quot;:false,&quot;dropping-particle&quot;:&quot;&quot;,&quot;non-dropping-particle&quot;:&quot;&quot;},{&quot;family&quot;:&quot;Helmling&quot;,&quot;given&quot;:&quot;Sebastian&quot;,&quot;parse-names&quot;:false,&quot;dropping-particle&quot;:&quot;&quot;,&quot;non-dropping-particle&quot;:&quot;&quot;},{&quot;family&quot;:&quot;Giovannetti&quot;,&quot;given&quot;:&quot;Federico&quot;,&quot;parse-names&quot;:false,&quot;dropping-particle&quot;:&quot;&quot;,&quot;non-dropping-particle&quot;:&quot;&quot;}],&quot;container-title&quot;:&quot;Solar Energy Advances&quot;,&quot;DOI&quot;:&quot;10.1016/j.seja.2022.100031&quot;,&quot;ISSN&quot;:&quot;26671131&quot;,&quot;issued&quot;:{&quot;date-parts&quot;:[[2023,1,1]]},&quot;abstract&quot;:&quot;Photovoltaic - Thermal (PVT) collectors convert solar radiation into useful heat and electricity simultaneously, and with the same PV area, higher solar energy is harvested; hence PVT can be a key technology for the future supply of buildings. The paper compares different heat supply systems for a single-family house, focusing on PVT and heat pump systems. The results show that the PVT - heat pump achieves a higher seasonal performance factor (SPF) than an air-source heat pump. With 30 m² efficient PVT and the heat pump achieves ≈14% higher SPFbStthan air source heat pump (3.82 for PVT - brine water heat pump to 3.29 air-source heat pump). With the same PVT area, SPFbSt(Grid) including self-consumed PVT electricity by the heat pump system, reaches 4.3 with a demand-based control strategy and 4.97 with a PV-based control strategy. Furthermore, results confirm that by combining PVT collectors and ground-source heat pumps with borehole heat exchangers (BHE), BHEs can be dimensioned 30 to 35% smaller without impacting the system efficiency. The paper also presents the monitoring results of one of the demonstration plants under investigation. The experimental results confirm the good performance of the PVT as a single heat source for heat pumps, with achieved SPFbSt of 3.1 (with 16 m² of the same efficient PVT).&quot;,&quot;publisher&quot;:&quot;Elsevier Ltd&quot;,&quot;volume&quot;:&quot;3&quot;,&quot;container-title-short&quot;:&quot;&quot;},&quot;isTemporary&quot;:false}]},{&quot;citationID&quot;:&quot;MENDELEY_CITATION_afe3ec47-a3e1-4ac1-82c1-5a550f16e60f&quot;,&quot;properties&quot;:{&quot;noteIndex&quot;:0},&quot;isEdited&quot;:false,&quot;manualOverride&quot;:{&quot;isManuallyOverridden&quot;:false,&quot;citeprocText&quot;:&quot;(Ul-Abdin et al., 2025)&quot;,&quot;manualOverrideText&quot;:&quot;&quot;},&quot;citationItems&quot;:[{&quot;id&quot;:&quot;2d97e87c-64ea-3c35-a0f2-53c8157f0d83&quot;,&quot;itemData&quot;:{&quot;type&quot;:&quot;article-journal&quot;,&quot;id&quot;:&quot;2d97e87c-64ea-3c35-a0f2-53c8157f0d83&quot;,&quot;title&quot;:&quot;Performance evaluation of solar heat systems integrated with seasonal heat storage across varied operating modes for building applications: The case of Netherlands&quot;,&quot;author&quot;:[{&quot;family&quot;:&quot;Ul-Abdin&quot;,&quot;given&quot;:&quot;Zain&quot;,&quot;parse-names&quot;:false,&quot;dropping-particle&quot;:&quot;&quot;,&quot;non-dropping-particle&quot;:&quot;&quot;},{&quot;family&quot;:&quot;Isabella&quot;,&quot;given&quot;:&quot;Olindo&quot;,&quot;parse-names&quot;:false,&quot;dropping-particle&quot;:&quot;&quot;,&quot;non-dropping-particle&quot;:&quot;&quot;},{&quot;family&quot;:&quot;Santbergen&quot;,&quot;given&quot;:&quot;Rudi&quot;,&quot;parse-names&quot;:false,&quot;dropping-particle&quot;:&quot;&quot;,&quot;non-dropping-particle&quot;:&quot;&quot;}],&quot;container-title&quot;:&quot;Solar Energy&quot;,&quot;DOI&quot;:&quot;10.1016/j.solener.2025.113772&quot;,&quot;ISSN&quot;:&quot;0038092X&quot;,&quot;URL&quot;:&quot;https://doi.org/10.1016/j.solener.2025.113772&quot;,&quot;issued&quot;:{&quot;date-parts&quot;:[[2025]]},&quot;page&quot;:&quot;113772&quot;,&quot;abstract&quot;:&quot;In this study, a modeling methodology is presented for evaluating the performance of a hybrid system integrating different types of solar collectors, namely photovoltaic (PV), glazed flat plate solar thermal (ST) and unglazed photovoltaic-thermal (PVT) collectors to harvest solar energy. Further, the system is integrated with a seasonal storage that is an aquifer thermal energy storage (ATES) system, a heat exchanger and a heat pump (HP) to provide heating, including space heating (SH), domestic hot water (DHW), as well as cooling. The investigation considers various operational modes depending on the climate conditions and building characteristics. The study focuses on comparison of solar collectors in realistic scenarios, examining heating type and insulation levels. Real energy consumption data considering five residential buildings in Amsterdam is employed for the analysis. Annual simulations for the considered buildings are conducted for SH and DHW coverage, along with cooling. The results indicate that ATES combined with glazed ST collectors demonstrates superior heat storage while HP with PV/ST combination and floor heating achieves an average coefficient of performance (COP) of 6.09 for both SH and DHW. In contrast, HP combined with PVTs shows the lowest performance, with a COP of around 5 when used with radiator heating. Additionally, majority of the demand is covered using HP storage mode with seasonal storage and HP while building insulation plays a crucial role.&quot;,&quot;publisher&quot;:&quot;Elsevier Ltd&quot;,&quot;issue&quot;:&quot;June&quot;,&quot;volume&quot;:&quot;299&quot;,&quot;container-title-short&quot;:&quot;&quot;},&quot;isTemporary&quot;:false}],&quot;citationTag&quot;:&quot;MENDELEY_CITATION_v3_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&quot;},{&quot;citationID&quot;:&quot;MENDELEY_CITATION_d61bda5c-12fd-4bcb-bca4-7925d9b8a96a&quot;,&quot;properties&quot;:{&quot;noteIndex&quot;:0},&quot;isEdited&quot;:false,&quot;manualOverride&quot;:{&quot;isManuallyOverridden&quot;:false,&quot;citeprocText&quot;:&quot;(Buonomano et al., 2017; Chen et al., 2019; Herrando et al., 2020)&quot;,&quot;manualOverrideText&quot;:&quot;&quot;},&quot;citationTag&quot;:&quot;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&quot;,&quot;citationItems&quot;:[{&quot;id&quot;:&quot;62576187-b682-3aa9-86b1-b77f4700bf51&quot;,&quot;itemData&quot;:{&quot;type&quot;:&quot;article-journal&quot;,&quot;id&quot;:&quot;62576187-b682-3aa9-86b1-b77f4700bf51&quot;,&quot;title&quot;:&quot;The challenges of solar hybrid PVT systems in the food processing industry&quot;,&quot;author&quot;:[{&quot;family&quot;:&quot;Herrando&quot;,&quot;given&quot;:&quot;María&quot;,&quot;parse-names&quot;:false,&quot;dropping-particle&quot;:&quot;&quot;,&quot;non-dropping-particle&quot;:&quot;&quot;},{&quot;family&quot;:&quot;Simón&quot;,&quot;given&quot;:&quot;Raquel&quot;,&quot;parse-names&quot;:false,&quot;dropping-particle&quot;:&quot;&quot;,&quot;non-dropping-particle&quot;:&quot;&quot;},{&quot;family&quot;:&quot;Guedea&quot;,&quot;given&quot;:&quot;Isabel&quot;,&quot;parse-names&quot;:false,&quot;dropping-particle&quot;:&quot;&quot;,&quot;non-dropping-particle&quot;:&quot;&quot;},{&quot;family&quot;:&quot;Fueyo&quot;,&quot;given&quot;:&quot;Norberto&quot;,&quot;parse-names&quot;:false,&quot;dropping-particle&quot;:&quot;&quot;,&quot;non-dropping-particle&quot;:&quot;&quot;}],&quot;container-title&quot;:&quot;Applied Thermal Engineering&quot;,&quot;container-title-short&quot;:&quot;Appl. Therm. Eng.&quot;,&quot;DOI&quot;:&quot;10.1016/j.applthermaleng.2020.116235&quot;,&quot;ISSN&quot;:&quot;1359-4311&quot;,&quot;URL&quot;:&quot;https://doi.org/10.1016/j.applthermaleng.2020.116235&quot;,&quot;issued&quot;:{&quot;date-parts&quot;:[[2020]]},&quot;page&quot;:&quot;116235&quot;,&quot;publisher&quot;:&quot;Elsevier Ltd&quot;},&quot;isTemporary&quot;:false,&quot;suppress-author&quot;:false,&quot;composite&quot;:false,&quot;author-only&quot;:false},{&quot;id&quot;:&quot;1ac6f6fd-bd2b-391a-aa8c-aae847ff417b&quot;,&quot;itemData&quot;:{&quot;type&quot;:&quot;article-journal&quot;,&quot;id&quot;:&quot;1ac6f6fd-bd2b-391a-aa8c-aae847ff417b&quot;,&quot;title&quot;:&quot;Evaluation and comparison of solar trigeneration systems based on photovoltaic thermal collectors for subtropical climates&quot;,&quot;author&quot;:[{&quot;family&quot;:&quot;Chen&quot;,&quot;given&quot;:&quot;Hongkai&quot;,&quot;parse-names&quot;:false,&quot;dropping-particle&quot;:&quot;&quot;,&quot;non-dropping-particle&quot;:&quot;&quot;},{&quot;family&quot;:&quot;Li&quot;,&quot;given&quot;:&quot;Zeyu&quot;,&quot;parse-names&quot;:false,&quot;dropping-particle&quot;:&quot;&quot;,&quot;non-dropping-particle&quot;:&quot;&quot;},{&quot;family&quot;:&quot;Xu&quot;,&quot;given&quot;:&quot;Yongrui&quot;,&quot;parse-names&quot;:false,&quot;dropping-particle&quot;:&quot;&quot;,&quot;non-dropping-particle&quot;:&quot;&quot;}],&quot;container-title&quot;:&quot;Energy Conversion and Management&quot;,&quot;container-title-short&quot;:&quot;Energy Convers. Manag.&quot;,&quot;DOI&quot;:&quot;10.1016/j.enconman.2019.111959&quot;,&quot;ISSN&quot;:&quot;01968904&quot;,&quot;URL&quot;:&quot;https://doi.org/10.1016/j.enconman.2019.111959&quot;,&quot;issued&quot;:{&quot;date-parts&quot;:[[2019]]},&quot;page&quot;:&quot;111959&quot;,&quot;abstract&quot;:&quot;Solar trigeneration systems based on photovoltaic thermal (PVT) collectors are promising for enhancement of solar energy utilization. Single-effect LiBr-H2O absorption chillers are usually employed in these systems. Since the temperature of solar heat from PVT collectors is low, half-effect absorption chillers are potential alternatives for performance improvement. However, the coefficient of performance (COP) of half-effect absorption chillers is lower than that of single-effect machines. Therefore, the comparison of solar trigeneration systems with both types of chillers is necessary. Four different system layouts, obtained by coupling glazed and unglazed flat-plate PVT collectors with single- and half-effect absorption chillers, are modeled. Annual (8760-hour) simulations are performed to evaluate and compare the thermodynamic and economic performances of different layouts. The results show that the system layout based on glazed PVT collectors coupled with half-effect absorption chillers achieves the highest Solar COP of 0.072 and the highest solar utilization factor of 0.241. Its specific electricity saving is 158.5 kWh/(m2·year), the highest among all the layouts. Additionally, the payback period of the layout based on unglazed PVT collectors coupled with half-effect absorption chillers is 12.7 years, the lowest among all the layouts. This paper is helpful for the development and design of solar trigeneration systems based on PVT collectors in subtropical climates.&quot;,&quot;publisher&quot;:&quot;Elsevier&quot;,&quot;issue&quot;:&quot;May&quot;,&quot;volume&quot;:&quot;199&quot;},&quot;isTemporary&quot;:false},{&quot;id&quot;:&quot;4dc3bb0c-0c8e-322c-addf-42baea83152b&quot;,&quot;itemData&quot;:{&quot;type&quot;:&quot;article-journal&quot;,&quot;id&quot;:&quot;4dc3bb0c-0c8e-322c-addf-42baea83152b&quot;,&quot;title&quot;:&quot;Adsorption chiller operation by recovering low-temperature heat from building integrated photovoltaic thermal collectors: Modelling and simulation&quot;,&quot;author&quot;:[{&quot;family&quot;:&quot;Buonomano&quot;,&quot;given&quot;:&quot;Annamaria&quot;,&quot;parse-names&quot;:false,&quot;dropping-particle&quot;:&quot;&quot;,&quot;non-dropping-particle&quot;:&quot;&quot;},{&quot;family&quot;:&quot;Calise&quot;,&quot;given&quot;:&quot;Francesco&quot;,&quot;parse-names&quot;:false,&quot;dropping-particle&quot;:&quot;&quot;,&quot;non-dropping-particle&quot;:&quot;&quot;},{&quot;family&quot;:&quot;Palombo&quot;,&quot;given&quot;:&quot;Adolfo&quot;,&quot;parse-names&quot;:false,&quot;dropping-particle&quot;:&quot;&quot;,&quot;non-dropping-particle&quot;:&quot;&quot;},{&quot;family&quot;:&quot;Vicidomini&quot;,&quot;given&quot;:&quot;Maria&quot;,&quot;parse-names&quot;:false,&quot;dropping-particle&quot;:&quot;&quot;,&quot;non-dropping-particle&quot;:&quot;&quot;}],&quot;container-title&quot;:&quot;Energy Conversion and Management&quot;,&quot;container-title-short&quot;:&quot;Energy Convers. Manag.&quot;,&quot;DOI&quot;:&quot;10.1016/j.enconman.2017.05.005&quot;,&quot;ISSN&quot;:&quot;01968904&quot;,&quot;issued&quot;:{&quot;date-parts&quot;:[[2017]]},&quot;page&quot;:&quot;1019-1036&quot;,&quot;abstract&quot;:&quot;This work focuses on a dynamic simulation model for the energy, economic and environmental analysis of an innovative polygenerative system layout based on a building integrated photovoltaic thermal system coupled to an adsorption chiller and to an electricity storage system. The thermal energy of building integrated photovoltaic thermal collectors is exploited in order to produce solar space heating and cooling and domestic hot water. Auxiliary electric air-to-water heat pumps/chillers and a gas-fired condensation boiler are included in the system model in order to integrate the demands of heating, cooling and domestic hot water production. The electricity produced by building integrated photovoltaic thermal collectors is used to satisfy the building needs. The eventual extra-production is delivered to the grid or stored in lead-acid batteries. By means of the developed dynamic simulation model (implemented in TRNSYS environment) the energy system performance on the whole building can be analysed in terms of heating/cooling energy, electricity and domestic hot water demands. In particular, both the passive and active energy effects of the investigated collectors can be assessed. The model includes a suitable tool for the comparison of the innovative system layout vs. traditional reference building-plant systems. For energy, economic and environmental impact optimization purposes, sensitivity analyses can be performed by varying the main system design parameters with respect to the value of reference case ones. In order to show the potentiality of the developed simulation model, several new case studies are developed. They refer to a 3-floor office building located in four different Italian weather zones. Simulation results show that the obtained SPBs, the primary energy saving for electricity and domestic hot water production, and the equivalent carbon dioxide avoided emissions range between 10.6–11.3 years, 58.5–68.8% and 76.3–90.2%, respectively.&quot;,&quot;volume&quot;:&quot;149&quot;},&quot;isTemporary&quot;:false}]},{&quot;citationID&quot;:&quot;MENDELEY_CITATION_b27fa576-ddca-49ab-86aa-7dad01b95aa9&quot;,&quot;properties&quot;:{&quot;noteIndex&quot;:0},&quot;isEdited&quot;:false,&quot;manualOverride&quot;:{&quot;isManuallyOverridden&quot;:false,&quot;citeprocText&quot;:&quot;(Chaibi et al., 2021; Simón-Allué et al., 2023)&quot;,&quot;manualOverrideText&quot;:&quot;&quot;},&quot;citationTag&quot;:&quot;MENDELEY_CITATION_v3_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&quot;,&quot;citationItems&quot;:[{&quot;id&quot;:&quot;59e34514-b874-3c83-852e-e94dcfe5899d&quot;,&quot;itemData&quot;:{&quot;type&quot;:&quot;article-journal&quot;,&quot;id&quot;:&quot;59e34514-b874-3c83-852e-e94dcfe5899d&quot;,&quot;title&quot;:&quot;Design, Development, and Performance Evaluation of a New Photovoltaic-Thermal (PVT) Air Collector: From Lab Testing to Field Measurements&quot;,&quot;author&quot;:[{&quot;family&quot;:&quot;Simón-Allué&quot;,&quot;given&quot;:&quot;Raquel&quot;,&quot;parse-names&quot;:false,&quot;dropping-particle&quot;:&quot;&quot;,&quot;non-dropping-particle&quot;:&quot;&quot;},{&quot;family&quot;:&quot;Villén&quot;,&quot;given&quot;:&quot;Raúl&quot;,&quot;parse-names&quot;:false,&quot;dropping-particle&quot;:&quot;&quot;,&quot;non-dropping-particle&quot;:&quot;&quot;},{&quot;family&quot;:&quot;Brun&quot;,&quot;given&quot;:&quot;Gonzalo&quot;,&quot;parse-names&quot;:false,&quot;dropping-particle&quot;:&quot;&quot;,&quot;non-dropping-particle&quot;:&quot;&quot;},{&quot;family&quot;:&quot;Lara&quot;,&quot;given&quot;:&quot;Yolanda&quot;,&quot;parse-names&quot;:false,&quot;dropping-particle&quot;:&quot;&quot;,&quot;non-dropping-particle&quot;:&quot;&quot;},{&quot;family&quot;:&quot;Guedea&quot;,&quot;given&quot;:&quot;Isabel&quot;,&quot;parse-names&quot;:false,&quot;dropping-particle&quot;:&quot;&quot;,&quot;non-dropping-particle&quot;:&quot;&quot;}],&quot;container-title&quot;:&quot;Processes&quot;,&quot;DOI&quot;:&quot;10.3390/pr11020588&quot;,&quot;ISSN&quot;:&quot;22279717&quot;,&quot;issued&quot;:{&quot;date-parts&quot;:[[2023,2,1]]},&quot;abstract&quot;:&quot;Over the last decade, the market has experienced a growing interest in hybrid photovoltaic-thermal (PVT) technologies, although more long-term studies are needed before air-based PVT panels are fully implemented. In this paper, we present the experimental framework developed around an air-based PVT collector, consisting of a high-quality photovoltaic laminate and a newly designed thermal absorber. The experimental performance of the collector was measured both in lab testing and in a pilot plant during one of the field operations. Results show an almost constant electrical performance of 15–19%, and a thermal performance that changes a lot, ranged between 15–52% for the individual panel and 11–35% for the system of 2.5 panels in series (to maximize output temperature). Field operation presents average thermal and electrical efficiencies ranged between 16–20% with an electrical–thermal generation ratio close to 1:1.&quot;,&quot;publisher&quot;:&quot;Multidisciplinary Digital Publishing Institute (MDPI)&quot;,&quot;issue&quot;:&quot;2&quot;,&quot;volume&quot;:&quot;11&quot;,&quot;container-title-short&quot;:&quot;&quot;},&quot;isTemporary&quot;:false,&quot;suppress-author&quot;:false,&quot;composite&quot;:false,&quot;author-only&quot;:false},{&quot;id&quot;:&quot;4c3db278-5a8d-3ef7-a1d8-96bbeb9a233b&quot;,&quot;itemData&quot;:{&quot;type&quot;:&quot;article-journal&quot;,&quot;id&quot;:&quot;4c3db278-5a8d-3ef7-a1d8-96bbeb9a233b&quot;,&quot;title&quot;:&quot;Air-based hybrid photovoltaic/thermal systems: A review&quot;,&quot;author&quot;:[{&quot;family&quot;:&quot;Chaibi&quot;,&quot;given&quot;:&quot;Y.&quot;,&quot;parse-names&quot;:false,&quot;dropping-particle&quot;:&quot;&quot;,&quot;non-dropping-particle&quot;:&quot;&quot;},{&quot;family&quot;:&quot;Rhafiki&quot;,&quot;given&quot;:&quot;T.&quot;,&quot;parse-names&quot;:false,&quot;dropping-particle&quot;:&quot;&quot;,&quot;non-dropping-particle&quot;:&quot;El&quot;},{&quot;family&quot;:&quot;Simón-Allué&quot;,&quot;given&quot;:&quot;R.&quot;,&quot;parse-names&quot;:false,&quot;dropping-particle&quot;:&quot;&quot;,&quot;non-dropping-particle&quot;:&quot;&quot;},{&quot;family&quot;:&quot;Guedea&quot;,&quot;given&quot;:&quot;I.&quot;,&quot;parse-names&quot;:false,&quot;dropping-particle&quot;:&quot;&quot;,&quot;non-dropping-particle&quot;:&quot;&quot;},{&quot;family&quot;:&quot;Luaces&quot;,&quot;given&quot;:&quot;S.C.&quot;,&quot;parse-names&quot;:false,&quot;dropping-particle&quot;:&quot;&quot;,&quot;non-dropping-particle&quot;:&quot;&quot;},{&quot;family&quot;:&quot;Gajate&quot;,&quot;given&quot;:&quot;O.C.&quot;,&quot;parse-names&quot;:false,&quot;dropping-particle&quot;:&quot;&quot;,&quot;non-dropping-particle&quot;:&quot;&quot;},{&quot;family&quot;:&quot;Kousksou&quot;,&quot;given&quot;:&quot;T.&quot;,&quot;parse-names&quot;:false,&quot;dropping-particle&quot;:&quot;&quot;,&quot;non-dropping-particle&quot;:&quot;&quot;},{&quot;family&quot;:&quot;Zeraouli&quot;,&quot;given&quot;:&quot;Y.&quot;,&quot;parse-names&quot;:false,&quot;dropping-particle&quot;:&quot;&quot;,&quot;non-dropping-particle&quot;:&quot;&quot;}],&quot;container-title&quot;:&quot;Journal of Cleaner Production&quot;,&quot;container-title-short&quot;:&quot;J. Clean. Prod.&quot;,&quot;DOI&quot;:&quot;10.1016/j.jclepro.2021.126211&quot;,&quot;ISSN&quot;:&quot;09596526&quot;,&quot;issued&quot;:{&quot;date-parts&quot;:[[2021]]},&quot;abstract&quot;:&quot;In recent years, a number of Photovoltaic/Thermal (PV/T) air designs were tested and investigated. However, it is challenging to assess whether a sophisticated design will be significantly more efficient than a basic one. This paper intends to outline different investigations conducted over the last years on photovoltaic-thermal technology. Findings from theoretical and experimental works, aiming to improve the efficiency of this technology regarding electrical and thermal power, are presented and discussed. Possible applications and future development of these technologies are also addressed.&quot;,&quot;volume&quot;:&quot;295&quot;},&quot;isTemporary&quot;:false}]},{&quot;citationID&quot;:&quot;MENDELEY_CITATION_073289d3-1394-4d2c-bbb7-d729a5d09022&quot;,&quot;properties&quot;:{&quot;noteIndex&quot;:0},&quot;isEdited&quot;:false,&quot;manualOverride&quot;:{&quot;isManuallyOverridden&quot;:false,&quot;citeprocText&quot;:&quot;(Abdelrazik et al., 2022)&quot;,&quot;manualOverrideText&quot;:&quot;&quot;},&quot;citationTag&quot;:&quot;MENDELEY_CITATION_v3_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&quot;,&quot;citationItems&quot;:[{&quot;id&quot;:&quot;29e1d01e-2905-38a2-8888-d300d7c77ae1&quot;,&quot;itemData&quot;:{&quot;type&quot;:&quot;article-journal&quot;,&quot;id&quot;:&quot;29e1d01e-2905-38a2-8888-d300d7c77ae1&quot;,&quot;title&quot;:&quot;The recent advancements in the building integrated photovoltaic/thermal (BIPV/T) systems: An updated review&quot;,&quot;author&quot;:[{&quot;family&quot;:&quot;Abdelrazik&quot;,&quot;given&quot;:&quot;A. S.&quot;,&quot;parse-names&quot;:false,&quot;dropping-particle&quot;:&quot;&quot;,&quot;non-dropping-particle&quot;:&quot;&quot;},{&quot;family&quot;:&quot;Shboul&quot;,&quot;given&quot;:&quot;Bashar&quot;,&quot;parse-names&quot;:false,&quot;dropping-particle&quot;:&quot;&quot;,&quot;non-dropping-particle&quot;:&quot;&quot;},{&quot;family&quot;:&quot;Elwardany&quot;,&quot;given&quot;:&quot;Mohamed&quot;,&quot;parse-names&quot;:false,&quot;dropping-particle&quot;:&quot;&quot;,&quot;non-dropping-particle&quot;:&quot;&quot;},{&quot;family&quot;:&quot;Zohny&quot;,&quot;given&quot;:&quot;R. N.&quot;,&quot;parse-names&quot;:false,&quot;dropping-particle&quot;:&quot;&quot;,&quot;non-dropping-particle&quot;:&quot;&quot;},{&quot;family&quot;:&quot;Osama&quot;,&quot;given&quot;:&quot;Ahmed&quot;,&quot;parse-names&quot;:false,&quot;dropping-particle&quot;:&quot;&quot;,&quot;non-dropping-particle&quot;:&quot;&quot;}],&quot;container-title&quot;:&quot;Renewable and Sustainable Energy Reviews&quot;,&quot;accessed&quot;:{&quot;date-parts&quot;:[[2026,7,30]]},&quot;DOI&quot;:&quot;10.1016/J.RSER.2022.112988&quot;,&quot;ISSN&quot;:&quot;1364-0321&quot;,&quot;URL&quot;:&quot;https://www.sciencedirect.com/science/article/pii/S1364032122008693?via%3Dihub&quot;,&quot;issued&quot;:{&quot;date-parts&quot;:[[2022,12,1]]},&quot;page&quot;:&quot;112988&quot;,&quot;abstract&quot;:&quot;For decades, photovoltaic-thermal hybrid solar systems (PVT) have been presented in a single unit to combine PV cells and solar thermal absorbers to increase solar utilization and reduce the relative cost per unit installation area. The building-integrated photovoltaic-thermal configuration (BIPV/T) has exploited the envelope or roof of buildings with PVT assemblies to produce both heat and electricity. Consequently, the BIPV/T system provides a viable way for reducing energy consumption and achieving low-energy building requirements. This study provides an up-to-date review of the current developments in the individual and combined BIPV/T systems. It focuses on the multiple numerical and experimental investigations undertaken to evaluate the design and performance of the various wall- and roof-mounted BIPV/T configurations, such as the BIPV/T air-cooled systems, BIPV/T water-cooled systems, BIPV/T systems with concentrators, and PCM-based BIPV/T systems. The effects of several explored parameters on the building performance, energy, exergy, energy savings, etc. have been analyzed. The systems designs, their benefits and drawbacks, performance indicators, developments, and limitations have been analyzed. The literature research revealed that BIPV/T air systems could achieve optimal performance if the ideally designed characteristics, such as tilt angles, configuration arrangements, and fluid flow rate, were chosen correctly. On contrary, the BIPV/T water-cooled systems have demonstrated better thermal performance, but with additional manufacturing costs. Additionally, with the integration of the BIPV/T systems with other systems, such as HVAC and heat recovery systems, the benefits to utilization and techno-economic performance were maximized. Under the same testing settings, hybrid BIPV/T-PCM and BIPV/T with concentrators have produced superior results compared to air- and water-cooled BIPV/T systems. The review provides several conclusions and highlights challenges with recommendations for future research topics that should be followed to sustain the use of BIPV/T systems.&quot;,&quot;publisher&quot;:&quot;Pergamon&quot;,&quot;volume&quot;:&quot;170&quot;,&quot;container-title-short&quot;:&quot;&quot;},&quot;isTemporary&quot;:false,&quot;suppress-author&quot;:false,&quot;composite&quot;:false,&quot;author-only&quot;:false}]},{&quot;citationID&quot;:&quot;MENDELEY_CITATION_70b2be45-8605-43bb-b748-688db9fc574f&quot;,&quot;properties&quot;:{&quot;noteIndex&quot;:0},&quot;isEdited&quot;:false,&quot;manualOverride&quot;:{&quot;isManuallyOverridden&quot;:false,&quot;citeprocText&quot;:&quot;(Aspetakis and Wang, 2025)&quot;,&quot;manualOverrideText&quot;:&quot;&quot;},&quot;citationTag&quot;:&quot;MENDELEY_CITATION_v3_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&quot;,&quot;citationItems&quot;:[{&quot;id&quot;:&quot;73e5764d-ef2a-3907-a4c5-4b110239ed34&quot;,&quot;itemData&quot;:{&quot;type&quot;:&quot;article-journal&quot;,&quot;id&quot;:&quot;73e5764d-ef2a-3907-a4c5-4b110239ed34&quot;,&quot;title&quot;:&quot;Critical review of Air-Based PVT technology and its integration to building energy systems&quot;,&quot;author&quot;:[{&quot;family&quot;:&quot;Aspetakis&quot;,&quot;given&quot;:&quot;Giorgos&quot;,&quot;parse-names&quot;:false,&quot;dropping-particle&quot;:&quot;&quot;,&quot;non-dropping-particle&quot;:&quot;&quot;},{&quot;family&quot;:&quot;Wang&quot;,&quot;given&quot;:&quot;Qian&quot;,&quot;parse-names&quot;:false,&quot;dropping-particle&quot;:&quot;&quot;,&quot;non-dropping-particle&quot;:&quot;&quot;}],&quot;container-title&quot;:&quot;Energy and Built Environment&quot;,&quot;DOI&quot;:&quot;10.1016/j.enbenv.2023.10.001&quot;,&quot;ISSN&quot;:&quot;26661233&quot;,&quot;URL&quot;:&quot;https://doi.org/10.1016/j.enbenv.2023.10.001&quot;,&quot;issued&quot;:{&quot;date-parts&quot;:[[2025]]},&quot;page&quot;:&quot;121-135&quot;,&quot;abstract&quot;:&quot;Climate crisis mitigation roadmaps, policies and directives have increasingly declared that a key element for the facilitation of sustainable urban development is on-site decentralized renewable energy generation. A technology with enhanced capabilities, able of promoting the integration of renewable energy into buildings, for energy independent and resilient communities, is Photovoltaic Thermal (PVT) systems. Ongoing research has potential yet displays a lack in unified methodology. This limits its influence on future decision-making in building and city planning levels. In this investigation, the often overlooked air-based PVT technology is put on the spotlight and their suitability for integration with energy systems of buildings is assessed. The aim of this study is to highlight vital performance and integration roadblocks in PVT research and offer suggestions for overcoming them. The methodology of reviewed literature is examined in detail with the goal of contributing to a unified approach for more impactful research.&quot;,&quot;publisher&quot;:&quot;Elsevier B.V.&quot;,&quot;issue&quot;:&quot;1&quot;,&quot;volume&quot;:&quot;6&quot;,&quot;container-title-short&quot;:&quot;&quot;},&quot;isTemporary&quot;:false}]},{&quot;citationID&quot;:&quot;MENDELEY_CITATION_a4d2269a-8780-43ff-8a9a-17c8144101f3&quot;,&quot;properties&quot;:{&quot;noteIndex&quot;:0},&quot;isEdited&quot;:false,&quot;manualOverride&quot;:{&quot;isManuallyOverridden&quot;:false,&quot;citeprocText&quot;:&quot;(Ahn et al., 2015; Lamrani et al., 2021)&quot;,&quot;manualOverrideText&quot;:&quot;&quot;},&quot;citationTag&quot;:&quot;MENDELEY_CITATION_v3_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&quot;,&quot;citationItems&quot;:[{&quot;id&quot;:&quot;15c5312b-a8d5-31dd-a621-43fcbff04d6c&quot;,&quot;itemData&quot;:{&quot;type&quot;:&quot;article-journal&quot;,&quot;id&quot;:&quot;15c5312b-a8d5-31dd-a621-43fcbff04d6c&quot;,&quot;title&quot;:&quot;Thermal performance and environmental assessment of a hybrid solar-electrical wood dryer integrated with Photovoltaic/Thermal air collector and heat recovery system&quot;,&quot;author&quot;:[{&quot;family&quot;:&quot;Lamrani&quot;,&quot;given&quot;:&quot;Bilal&quot;,&quot;parse-names&quot;:false,&quot;dropping-particle&quot;:&quot;&quot;,&quot;non-dropping-particle&quot;:&quot;&quot;},{&quot;family&quot;:&quot;Draoui&quot;,&quot;given&quot;:&quot;Abdeslam&quot;,&quot;parse-names&quot;:false,&quot;dropping-particle&quot;:&quot;&quot;,&quot;non-dropping-particle&quot;:&quot;&quot;},{&quot;family&quot;:&quot;Kuznik&quot;,&quot;given&quot;:&quot;Frédéric&quot;,&quot;parse-names&quot;:false,&quot;dropping-particle&quot;:&quot;&quot;,&quot;non-dropping-particle&quot;:&quot;&quot;}],&quot;container-title&quot;:&quot;Solar Energy&quot;,&quot;accessed&quot;:{&quot;date-parts&quot;:[[2026,7,30]]},&quot;DOI&quot;:&quot;10.1016/J.SOLENER.2021.04.035&quot;,&quot;ISSN&quot;:&quot;0038-092X&quot;,&quot;URL&quot;:&quot;https://www.sciencedirect.com/science/article/pii/S0038092X21003224&quot;,&quot;issued&quot;:{&quot;date-parts&quot;:[[2021,6,1]]},&quot;page&quot;:&quot;60-74&quot;,&quot;abstract&quot;:&quot;Improving the energy efficiency of the drying industry is considered as one of the most efficient and promising ways for reducing carbon emissions from the industrial sector. In this context, the present work is aimed at investigating numerically the thermal performance and the environmental impact of a novel forced-air convection hybrid dryer for wood drying industry under realistic environmental conditions. The proposed dryer system consists mainly of a Photovoltaic/Thermal (PVT) solar air collector for thermal and electrical energy production, an insulated drying chamber, an air-to-air heat recovery system and fans. To simulate the functioning of the dryer system, a transient model based on energy and mass equations is developed and validated with experimental data. Annual dynamic simulations were carried out under weather conditions of the Ajaccio city and the effect of recovering waste heat from the dryer unit during both solar drying and hybrid drying processes was presented and analyzed. Results show that using the heat recovery system with an effectiveness of 0.8 leads to reduce the solar drying time by about 40% in summer and up to 32% in winter. For hybrid drying functioning, integrating of both heat recovery system and PVT air collector reduces the energy consumption of conventional dryer up to 86.5% during summer and up to 73.5% during winter. Finally, it was shown that the proposed hybrid wood dryer with PVT air collector and heat recovery system is suitable for wood drying industry and leads to improve the energy efficiency of conventional dryers and to reduce annually the amount of CO2 emissions up to 78.5%.&quot;,&quot;publisher&quot;:&quot;Pergamon&quot;,&quot;volume&quot;:&quot;221&quot;,&quot;container-title-short&quot;:&quot;&quot;},&quot;isTemporary&quot;:false,&quot;suppress-author&quot;:false,&quot;composite&quot;:false,&quot;author-only&quot;:false},{&quot;id&quot;:&quot;71179e4b-c9b6-39cc-945a-b09904f48fd2&quot;,&quot;itemData&quot;:{&quot;type&quot;:&quot;article-journal&quot;,&quot;id&quot;:&quot;71179e4b-c9b6-39cc-945a-b09904f48fd2&quot;,&quot;title&quot;:&quot;A study on experimental performance of air-type PV/T collector with HRV&quot;,&quot;author&quot;:[{&quot;family&quot;:&quot;Ahn&quot;,&quot;given&quot;:&quot;Jong Gwon&quot;,&quot;parse-names&quot;:false,&quot;dropping-particle&quot;:&quot;&quot;,&quot;non-dropping-particle&quot;:&quot;&quot;},{&quot;family&quot;:&quot;Kim&quot;,&quot;given&quot;:&quot;Jin Hee&quot;,&quot;parse-names&quot;:false,&quot;dropping-particle&quot;:&quot;&quot;,&quot;non-dropping-particle&quot;:&quot;&quot;},{&quot;family&quot;:&quot;Kim&quot;,&quot;given&quot;:&quot;Jun Tae&quot;,&quot;parse-names&quot;:false,&quot;dropping-particle&quot;:&quot;&quot;,&quot;non-dropping-particle&quot;:&quot;&quot;}],&quot;container-title&quot;:&quot;Energy Procedia&quot;,&quot;container-title-short&quot;:&quot;Energy Procedia&quot;,&quot;DOI&quot;:&quot;10.1016/j.egypro.2015.11.705&quot;,&quot;ISSN&quot;:&quot;18766102&quot;,&quot;URL&quot;:&quot;http://dx.doi.org/10.1016/j.egypro.2015.11.705&quot;,&quot;issued&quot;:{&quot;date-parts&quot;:[[2015]]},&quot;page&quot;:&quot;3007-3012&quot;,&quot;abstract&quot;:&quot;To improve indoor air quality, appropriate ventilation is essential. Ventilation, somewhat contributes to heat loss. Heat recovery ventilation (HRV) system presents solutions to exchange discarded heat of exhaust air with incoming outdoor air. Photovoltaic/thermal (PV/T) system is the technology for producing electricity in PV module and using heat at the back side of the panel for hot water heating system simultaneously. Heated air from an air-type PV/T can be coupled with HRV system for preheating instead of outside air intake. Thus the ventilation efficiency can be improved. With heated air of an air-type PV/T collector, freezing and dew condensation problems in traditional HRV system caused by low temperature air during winter, can be resolved. The performance of air type PV/T collector coupled with HRV has been studied experimentally.&quot;,&quot;publisher&quot;:&quot;Elsevier B.V.&quot;,&quot;volume&quot;:&quot;78&quot;},&quot;isTemporary&quot;:false}]},{&quot;citationID&quot;:&quot;MENDELEY_CITATION_d1974aa5-83b0-4c8d-b47a-93780b1458d7&quot;,&quot;properties&quot;:{&quot;noteIndex&quot;:0},&quot;isEdited&quot;:false,&quot;manualOverride&quot;:{&quot;isManuallyOverridden&quot;:false,&quot;citeprocText&quot;:&quot;(Choi et al., 2020; Dumoulin et al., 2021)&quot;,&quot;manualOverrideText&quot;:&quot;&quot;},&quot;citationTag&quot;:&quot;MENDELEY_CITATION_v3_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&quot;,&quot;citationItems&quot;:[{&quot;id&quot;:&quot;5d8fb7f0-6af7-3029-bce7-3dd669f0500d&quot;,&quot;itemData&quot;:{&quot;type&quot;:&quot;article-journal&quot;,&quot;id&quot;:&quot;5d8fb7f0-6af7-3029-bce7-3dd669f0500d&quot;,&quot;title&quot;:&quot;Operation and grid interaction modeling of a house with a building integrated photovoltaic thermal (BIPV/T) system coupled to an air-source heat pump&quot;,&quot;author&quot;:[{&quot;family&quot;:&quot;Dumoulin&quot;,&quot;given&quot;:&quot;Remi&quot;,&quot;parse-names&quot;:false,&quot;dropping-particle&quot;:&quot;&quot;,&quot;non-dropping-particle&quot;:&quot;&quot;},{&quot;family&quot;:&quot;Rounis&quot;,&quot;given&quot;:&quot;Efstratios Dimitrios&quot;,&quot;parse-names&quot;:false,&quot;dropping-particle&quot;:&quot;&quot;,&quot;non-dropping-particle&quot;:&quot;&quot;},{&quot;family&quot;:&quot;Athienitis&quot;,&quot;given&quot;:&quot;Andreas&quot;,&quot;parse-names&quot;:false,&quot;dropping-particle&quot;:&quot;&quot;,&quot;non-dropping-particle&quot;:&quot;&quot;}],&quot;container-title&quot;:&quot;Science and Technology for the Built Environment&quot;,&quot;container-title-short&quot;:&quot;Sci. Technol. Built Environ.&quot;,&quot;DOI&quot;:&quot;10.1080/23744731.2021.1941247&quot;,&quot;ISSN&quot;:&quot;2374-4731&quot;,&quot;URL&quot;:&quot;https://doi.org/10.1080/23744731.2021.1941247&quot;,&quot;issued&quot;:{&quot;date-parts&quot;:[[2021,9,13]]},&quot;page&quot;:&quot;1311-1329&quot;,&quot;publisher&quot;:&quot;Taylor &amp; Francis&quot;,&quot;issue&quot;:&quot;9&quot;,&quot;volume&quot;:&quot;27&quot;},&quot;isTemporary&quot;:false,&quot;suppress-author&quot;:false,&quot;composite&quot;:false,&quot;author-only&quot;:false},{&quot;id&quot;:&quot;d1221cd1-a2e2-38ea-8254-8e472e5b29a2&quot;,&quot;itemData&quot;:{&quot;type&quot;:&quot;article-journal&quot;,&quot;id&quot;:&quot;d1221cd1-a2e2-38ea-8254-8e472e5b29a2&quot;,&quot;title&quot;:&quot;Experimental study on the performance of heat pump water heating system coupled with air type PV/T collector&quot;,&quot;author&quot;:[{&quot;family&quot;:&quot;Choi&quot;,&quot;given&quot;:&quot;Hwi-Ung&quot;,&quot;parse-names&quot;:false,&quot;dropping-particle&quot;:&quot;&quot;,&quot;non-dropping-particle&quot;:&quot;&quot;},{&quot;family&quot;:&quot;Kim&quot;,&quot;given&quot;:&quot;Young-Bok&quot;,&quot;parse-names&quot;:false,&quot;dropping-particle&quot;:&quot;&quot;,&quot;non-dropping-particle&quot;:&quot;&quot;},{&quot;family&quot;:&quot;Son&quot;,&quot;given&quot;:&quot;Chang-Hyo&quot;,&quot;parse-names&quot;:false,&quot;dropping-particle&quot;:&quot;&quot;,&quot;non-dropping-particle&quot;:&quot;&quot;},{&quot;family&quot;:&quot;Yoon&quot;,&quot;given&quot;:&quot;Jung-In&quot;,&quot;parse-names&quot;:false,&quot;dropping-particle&quot;:&quot;&quot;,&quot;non-dropping-particle&quot;:&quot;&quot;},{&quot;family&quot;:&quot;Choi&quot;,&quot;given&quot;:&quot;Kwang-Hwan&quot;,&quot;parse-names&quot;:false,&quot;dropping-particle&quot;:&quot;&quot;,&quot;non-dropping-particle&quot;:&quot;&quot;}],&quot;container-title&quot;:&quot;Applied Thermal Engineering&quot;,&quot;container-title-short&quot;:&quot;Appl. Therm. Eng.&quot;,&quot;DOI&quot;:&quot;https://doi.org/10.1016/j.applthermaleng.2020.115427&quot;,&quot;ISSN&quot;:&quot;1359-4311&quot;,&quot;URL&quot;:&quot;http://www.sciencedirect.com/science/article/pii/S1359431119380585&quot;,&quot;issued&quot;:{&quot;date-parts&quot;:[[2020]]},&quot;page&quot;:&quot;115427&quot;,&quot;abstract&quot;:&quot;In this study, a heat pump water heating system coupled with an air type photovoltaic/thermal (PV/T) solar collector with a transverse triangular obstacle was investigated experimentally in natural weather conditions. The performance of the heat pump combined with an air type PV/T solar collector was compared with an air source heat pump (ASHP). Also, the performance of the PV/T collector was also evaluated and compared with a PV module, which has no air flow in its air channel. As a result, the PV/T collector achieved higher power output than that of the PV module with additional thermal energy of about 30.28%. The overall efficiency of the PV/T collector was found to be 46.89%, which is 2.99 times higher than that of PV module. The average and maximum enhancement in COP value of a PV/T-assisted heat pump were found to be 3.12% and 8.57%, respectively, compared with an ASHP. Therefore, it was concluded that the PV/T-assisted heat pump not only provides a significant enhancement in heat pump performance, but also an increase in the electrical efficiency of the PV module. Furthermore, the feasibility of the air-type PV/T-assisted heat pump can be confirmed, and this system is worth promoting and applying.&quot;,&quot;volume&quot;:&quot;178&quot;},&quot;isTemporary&quot;:false}]},{&quot;citationID&quot;:&quot;MENDELEY_CITATION_58cb0966-f1ec-413b-a521-7a04f7d90923&quot;,&quot;properties&quot;:{&quot;noteIndex&quot;:0},&quot;isEdited&quot;:false,&quot;manualOverride&quot;:{&quot;isManuallyOverridden&quot;:false,&quot;citeprocText&quot;:&quot;(Aspetakis et al., 2026)&quot;,&quot;manualOverrideText&quot;:&quot;&quot;},&quot;citationTag&quot;:&quot;MENDELEY_CITATION_v3_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&quot;,&quot;citationItems&quot;:[{&quot;id&quot;:&quot;3b5cef04-3cb8-33df-a683-a2fc89652c6f&quot;,&quot;itemData&quot;:{&quot;type&quot;:&quot;article-journal&quot;,&quot;id&quot;:&quot;3b5cef04-3cb8-33df-a683-a2fc89652c6f&quot;,&quot;title&quot;:&quot;Exploring Air-PVT for buildings in cold climates: Experimentally validated energy system modeling&quot;,&quot;author&quot;:[{&quot;family&quot;:&quot;Aspetakis&quot;,&quot;given&quot;:&quot;Giorgos&quot;,&quot;parse-names&quot;:false,&quot;dropping-particle&quot;:&quot;&quot;,&quot;non-dropping-particle&quot;:&quot;&quot;},{&quot;family&quot;:&quot;Ploskić&quot;,&quot;given&quot;:&quot;Adnan&quot;,&quot;parse-names&quot;:false,&quot;dropping-particle&quot;:&quot;&quot;,&quot;non-dropping-particle&quot;:&quot;&quot;},{&quot;family&quot;:&quot;Wang&quot;,&quot;given&quot;:&quot;Qian&quot;,&quot;parse-names&quot;:false,&quot;dropping-particle&quot;:&quot;&quot;,&quot;non-dropping-particle&quot;:&quot;&quot;}],&quot;container-title&quot;:&quot;Applied Thermal Engineering&quot;,&quot;container-title-short&quot;:&quot;Appl. Therm. Eng.&quot;,&quot;accessed&quot;:{&quot;date-parts&quot;:[[2026,7,30]]},&quot;DOI&quot;:&quot;10.1016/J.APPLTHERMALENG.2026.130388&quot;,&quot;ISSN&quot;:&quot;1359-4311&quot;,&quot;URL&quot;:&quot;https://www.sciencedirect.com/science/article/pii/S1359431126006964&quot;,&quot;issued&quot;:{&quot;date-parts&quot;:[[2026,4,1]]},&quot;page&quot;:&quot;130388&quot;,&quot;abstract&quot;:&quot;Air-based Photovoltaic Thermal (Air-PVT) technology can be considered as a low-cost, renewable energy alternative for building applications, due to its dual supply of both heat and electricity. Its technical advantages, such as lack of leakage, freezing and safety risks, further emphasize its practical potential for building integration. In this study, the goal is to address a specific and persistent research gap relevant to Nordic climates: the limited number of validated, real-life use cases of air-PVT systems integrated into existing multifamily residential buildings operating under cold-climate conditions with relatively limited solar resources. To do this, alternative approaches of Air-PVT integration into buildings are explored and the operational benefits are evaluated and compared to a building with a regular solar panels, in Nordic climate conditions. Specifically, the synergies of Air-PVT with ventilation and domestic hot water systems are explored through energy simulations with the software package TRNSYS, validated by measurements from the experimental testing of an Air-PVT prototype, while heating and ventilation data were collected from a real building in Stockholm, Sweden. Results suggest that thermal energy savings of 16% and 6.6%, for a building with Air-PVT compared to a building with standard PV, are attainable for the ventilation and domestic hot water systems, respectively. Thermal power peak shaving for district heating demand averaged at 11% for the duration of a season, reaching up to 50% on specific days. Additionally, other critical factors for applications in cold climate conditions were evaluated, such as the effect of: frost formation in Heat Recovery Units, massflow rate through individual collectors, the collectors inclination as well as building location on the combined Air-PVT building operation. The findings demonstrate that the implementation of Air-PVT in buildings is a viable energy solution. Air-PVT installations can provide additional benefits for building operation, than regular photovoltaic installations and should be considered in energy renovations.&quot;,&quot;publisher&quot;:&quot;Pergamon&quot;,&quot;volume&quot;:&quot;292&quot;},&quot;isTemporary&quot;:false,&quot;suppress-author&quot;:false,&quot;composite&quot;:false,&quot;author-only&quot;:false}]},{&quot;citationID&quot;:&quot;MENDELEY_CITATION_950e8a5c-2c11-4d0c-8aa4-6b7300858884&quot;,&quot;properties&quot;:{&quot;noteIndex&quot;:0},&quot;isEdited&quot;:false,&quot;manualOverride&quot;:{&quot;isManuallyOverridden&quot;:false,&quot;citeprocText&quot;:&quot;(Sanz, 2020)&quot;,&quot;manualOverrideText&quot;:&quot;&quot;},&quot;citationTag&quot;:&quot;MENDELEY_CITATION_v3_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&quot;,&quot;citationItems&quot;:[{&quot;id&quot;:&quot;2017c70d-7755-391e-99e1-53e039d439f6&quot;,&quot;itemData&quot;:{&quot;type&quot;:&quot;report&quot;,&quot;id&quot;:&quot;2017c70d-7755-391e-99e1-53e039d439f6&quot;,&quot;title&quot;:&quot;Systems Numerical simulation tools for PVT collectors - SHC Task 60/Report C1&quot;,&quot;author&quot;:[{&quot;family&quot;:&quot;Sanz&quot;,&quot;given&quot;:&quot;Asier&quot;,&quot;parse-names&quot;:false,&quot;dropping-particle&quot;:&quot;&quot;,&quot;non-dropping-particle&quot;:&quot;&quot;}],&quot;DOI&quot;:&quot;10.18777/ieashc-task60-2020-0006&quot;,&quot;URL&quot;:&quot;DOI 10.18777/ieashc-task60-2020-0006&quot;,&quot;issued&quot;:{&quot;date-parts&quot;:[[2020]]},&quot;number-of-pages&quot;:&quot;65&quot;,&quot;container-title-short&quot;:&quot;&quot;},&quot;isTemporary&quot;:false}]},{&quot;citationID&quot;:&quot;MENDELEY_CITATION_ed61c3d7-89c6-4250-b6ab-ce1429b2c95b&quot;,&quot;properties&quot;:{&quot;noteIndex&quot;:0},&quot;isEdited&quot;:false,&quot;manualOverride&quot;:{&quot;isManuallyOverridden&quot;:false,&quot;citeprocText&quot;:&quot;(Furbo et al., 2026)&quot;,&quot;manualOverrideText&quot;:&quot;&quot;},&quot;citationTag&quot;:&quot;MENDELEY_CITATION_v3_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&quot;,&quot;citationItems&quot;:[{&quot;id&quot;:&quot;1916bea9-f4a9-3c80-aa9f-18049e9f2737&quot;,&quot;itemData&quot;:{&quot;type&quot;:&quot;report&quot;,&quot;id&quot;:&quot;1916bea9-f4a9-3c80-aa9f-18049e9f2737&quot;,&quot;title&quot;:&quot;D5.4: Analysis of the integration of model predictive control strategies (PVT4EU-WP5-D5.4, Version 2.0)&quot;,&quot;author&quot;:[{&quot;family&quot;:&quot;Furbo&quot;,&quot;given&quot;:&quot;Simon&quot;,&quot;parse-names&quot;:false,&quot;dropping-particle&quot;:&quot;&quot;,&quot;non-dropping-particle&quot;:&quot;&quot;},{&quot;family&quot;:&quot;Dannemand&quot;,&quot;given&quot;:&quot;Mark&quot;,&quot;parse-names&quot;:false,&quot;dropping-particle&quot;:&quot;&quot;,&quot;non-dropping-particle&quot;:&quot;&quot;},{&quot;family&quot;:&quot;Cardoso&quot;,&quot;given&quot;:&quot;J.P.&quot;,&quot;parse-names&quot;:false,&quot;dropping-particle&quot;:&quot;&quot;,&quot;non-dropping-particle&quot;:&quot;&quot;},{&quot;family&quot;:&quot;Paulo&quot;,&quot;given&quot;:&quot;B.&quot;,&quot;parse-names&quot;:false,&quot;dropping-particle&quot;:&quot;&quot;,&quot;non-dropping-particle&quot;:&quot;&quot;},{&quot;family&quot;:&quot;Jahangir&quot;,&quot;given&quot;:&quot;M.T.&quot;,&quot;parse-names&quot;:false,&quot;dropping-particle&quot;:&quot;&quot;,&quot;non-dropping-particle&quot;:&quot;&quot;},{&quot;family&quot;:&quot;Arto Delgado&quot;,&quot;given&quot;:&quot;Antonio&quot;,&quot;parse-names&quot;:false,&quot;dropping-particle&quot;:&quot;&quot;,&quot;non-dropping-particle&quot;:&quot;&quot;}],&quot;issued&quot;:{&quot;date-parts&quot;:[[2026]]},&quot;container-title-short&quot;:&quot;&quot;},&quot;isTemporary&quot;:false,&quot;suppress-author&quot;:false,&quot;composite&quot;:false,&quot;author-only&quot;:false}]},{&quot;citationID&quot;:&quot;MENDELEY_CITATION_c905310d-38fa-4181-8ef3-dd2598702810&quot;,&quot;properties&quot;:{&quot;noteIndex&quot;:0},&quot;isEdited&quot;:false,&quot;manualOverride&quot;:{&quot;isManuallyOverridden&quot;:true,&quot;citeprocText&quot;:&quot;(PVT4EU, n.d.)&quot;,&quot;manualOverrideText&quot;:&quot;(PVT4EU, 2026)&quot;},&quot;citationTag&quot;:&quot;MENDELEY_CITATION_v3_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&quot;,&quot;citationItems&quot;:[{&quot;id&quot;:&quot;6e6e6936-d415-324c-9db6-784e2b480aed&quot;,&quot;itemData&quot;:{&quot;type&quot;:&quot;webpage&quot;,&quot;id&quot;:&quot;6e6e6936-d415-324c-9db6-784e2b480aed&quot;,&quot;title&quot;:&quot;PVT4EU project - Photovoltaic Thermal for Europe&quot;,&quot;author&quot;:[{&quot;family&quot;:&quot;PVT4EU&quot;,&quot;given&quot;:&quot;&quot;,&quot;parse-names&quot;:false,&quot;dropping-particle&quot;:&quot;&quot;,&quot;non-dropping-particle&quot;:&quot;&quot;}],&quot;accessed&quot;:{&quot;date-parts&quot;:[[2026,7,30]]},&quot;URL&quot;:&quot;https://pvt4eu.eu/&quot;,&quot;container-title-short&quot;:&quot;&quot;},&quot;isTemporary&quot;:false,&quot;suppress-author&quot;:false,&quot;composite&quot;:false,&quot;author-only&quot;:false}]},{&quot;citationID&quot;:&quot;MENDELEY_CITATION_01a1afb4-336b-4bc7-97fb-2f0a88cb80e6&quot;,&quot;properties&quot;:{&quot;noteIndex&quot;:0},&quot;isEdited&quot;:false,&quot;manualOverride&quot;:{&quot;isManuallyOverridden&quot;:false,&quot;citeprocText&quot;:&quot;(Zenhäusern et al., 2020)&quot;,&quot;manualOverrideText&quot;:&quot;&quot;},&quot;citationTag&quot;:&quot;MENDELEY_CITATION_v3_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&quot;,&quot;citationItems&quot;:[{&quot;id&quot;:&quot;2d083a97-49e6-36af-be01-114d76a5718e&quot;,&quot;itemData&quot;:{&quot;type&quot;:&quot;report&quot;,&quot;id&quot;:&quot;2d083a97-49e6-36af-be01-114d76a5718e&quot;,&quot;title&quot;:&quot;IEA SHC TASK 60 | PVT SYSTEMS Key Performance Indicators for PVT Systems Key Performance Indicators for PVT Systems SHC Task 60/Report D1&quot;,&quot;author&quot;:[{&quot;family&quot;:&quot;Zenhäusern&quot;,&quot;given&quot;:&quot;Daniel&quot;,&quot;parse-names&quot;:false,&quot;dropping-particle&quot;:&quot;&quot;,&quot;non-dropping-particle&quot;:&quot;&quot;},{&quot;family&quot;:&quot;Gagliano&quot;,&quot;given&quot;:&quot;Antonio&quot;,&quot;parse-names&quot;:false,&quot;dropping-particle&quot;:&quot;&quot;,&quot;non-dropping-particle&quot;:&quot;&quot;},{&quot;family&quot;:&quot;Hadorn&quot;,&quot;given&quot;:&quot;Jean-Christophe&quot;,&quot;parse-names&quot;:false,&quot;dropping-particle&quot;:&quot;&quot;,&quot;non-dropping-particle&quot;:&quot;&quot;},{&quot;family&quot;:&quot;Lämmle&quot;,&quot;given&quot;:&quot;Manuel&quot;,&quot;parse-names&quot;:false,&quot;dropping-particle&quot;:&quot;&quot;,&quot;non-dropping-particle&quot;:&quot;&quot;},{&quot;family&quot;:&quot;Herrando&quot;,&quot;given&quot;:&quot;María&quot;,&quot;parse-names&quot;:false,&quot;dropping-particle&quot;:&quot;&quot;,&quot;non-dropping-particle&quot;:&quot;&quot;}],&quot;issued&quot;:{&quot;date-parts&quot;:[[2020,9]]},&quot;container-title-short&quot;:&quot;&quot;},&quot;isTemporary&quot;:false,&quot;suppress-author&quot;:false,&quot;composite&quot;:false,&quot;author-only&quot;:false}]}]"/>
    <we:property name="MENDELEY_CITATIONS_LOCALE_CODE" value="&quot;en-US&quot;"/>
    <we:property name="MENDELEY_CITATIONS_STYLE" value="{&quot;id&quot;:&quot;https://csl.mendeley.com/styles/659068551/elsevier-harvard-Eurosun&quot;,&quot;title&quot;:&quot;Elsevier (author-date/Harvard, with titles)&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B151828CAE80054F9ED0CE34EDCA902E" ma:contentTypeVersion="3" ma:contentTypeDescription="Crear nuevo documento." ma:contentTypeScope="" ma:versionID="75efe61cfa8ea63a32c312b818c46e0c">
  <xsd:schema xmlns:xsd="http://www.w3.org/2001/XMLSchema" xmlns:xs="http://www.w3.org/2001/XMLSchema" xmlns:p="http://schemas.microsoft.com/office/2006/metadata/properties" xmlns:ns2="3c431c0c-833c-4ee4-90ce-508f45931252" targetNamespace="http://schemas.microsoft.com/office/2006/metadata/properties" ma:root="true" ma:fieldsID="f48633bc3bcbef13b44af79c2fe55350" ns2:_="">
    <xsd:import namespace="3c431c0c-833c-4ee4-90ce-508f4593125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431c0c-833c-4ee4-90ce-508f459312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customXml/itemProps2.xml><?xml version="1.0" encoding="utf-8"?>
<ds:datastoreItem xmlns:ds="http://schemas.openxmlformats.org/officeDocument/2006/customXml" ds:itemID="{276C4EFB-C40E-41B3-AE5B-27505FAB86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431c0c-833c-4ee4-90ce-508f459312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E66733-403F-4BA0-9BD7-68AEDC487DE7}">
  <ds:schemaRefs>
    <ds:schemaRef ds:uri="http://schemas.microsoft.com/sharepoint/v3/contenttype/forms"/>
  </ds:schemaRefs>
</ds:datastoreItem>
</file>

<file path=customXml/itemProps4.xml><?xml version="1.0" encoding="utf-8"?>
<ds:datastoreItem xmlns:ds="http://schemas.openxmlformats.org/officeDocument/2006/customXml" ds:itemID="{6DCAC4A2-687E-428E-8D18-E2C11494BD5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6992</Words>
  <Characters>38456</Characters>
  <Application>Microsoft Office Word</Application>
  <DocSecurity>0</DocSecurity>
  <Lines>320</Lines>
  <Paragraphs>90</Paragraphs>
  <ScaleCrop>false</ScaleCrop>
  <HeadingPairs>
    <vt:vector size="2" baseType="variant">
      <vt:variant>
        <vt:lpstr>Título</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45358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María Herrando Zapater</cp:lastModifiedBy>
  <cp:revision>8</cp:revision>
  <cp:lastPrinted>2026-03-27T09:58:00Z</cp:lastPrinted>
  <dcterms:created xsi:type="dcterms:W3CDTF">2026-09-02T07:42:00Z</dcterms:created>
  <dcterms:modified xsi:type="dcterms:W3CDTF">2026-09-02T08:01:00Z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DocumentId">
    <vt:lpwstr>184a2c3e-803e-455a-acba-09e5bdd28e6d</vt:lpwstr>
  </property>
  <property fmtid="{D5CDD505-2E9C-101B-9397-08002B2CF9AE}" pid="4" name="ContentTypeId">
    <vt:lpwstr>0x010100B151828CAE80054F9ED0CE34EDCA902E</vt:lpwstr>
  </property>
</Properties>
</file>