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10B6D4" w14:textId="0B4C9EF1" w:rsidR="0035638A" w:rsidRPr="00B5795C" w:rsidRDefault="004053B5" w:rsidP="00D060CA">
      <w:pPr>
        <w:pStyle w:val="SWCTitle"/>
        <w:rPr>
          <w:sz w:val="28"/>
          <w:szCs w:val="28"/>
        </w:rPr>
      </w:pPr>
      <w:r w:rsidRPr="00B5795C">
        <w:rPr>
          <w:sz w:val="28"/>
          <w:szCs w:val="28"/>
        </w:rPr>
        <w:t>EuroSun</w:t>
      </w:r>
      <w:r w:rsidR="00FC1781" w:rsidRPr="00B5795C">
        <w:rPr>
          <w:sz w:val="28"/>
          <w:szCs w:val="28"/>
        </w:rPr>
        <w:t>202</w:t>
      </w:r>
      <w:r w:rsidR="00FA4DF8" w:rsidRPr="00B5795C">
        <w:rPr>
          <w:sz w:val="28"/>
          <w:szCs w:val="28"/>
        </w:rPr>
        <w:t>6</w:t>
      </w:r>
      <w:r w:rsidR="00B32703" w:rsidRPr="00B5795C">
        <w:rPr>
          <w:sz w:val="28"/>
          <w:szCs w:val="28"/>
        </w:rPr>
        <w:br/>
      </w:r>
    </w:p>
    <w:p w14:paraId="7142D0DC" w14:textId="09F97819" w:rsidR="00D32EF0" w:rsidRPr="00B5795C" w:rsidRDefault="00662220" w:rsidP="005F4E0E">
      <w:pPr>
        <w:pStyle w:val="Titre"/>
        <w:spacing w:line="360" w:lineRule="auto"/>
        <w:rPr>
          <w:rFonts w:ascii="Arial" w:hAnsi="Arial" w:cs="Arial"/>
        </w:rPr>
      </w:pPr>
      <w:r w:rsidRPr="00B5795C">
        <w:rPr>
          <w:rFonts w:ascii="Arial" w:hAnsi="Arial" w:cs="Arial"/>
          <w:sz w:val="28"/>
          <w:szCs w:val="28"/>
        </w:rPr>
        <w:t xml:space="preserve">STUDY OF ETTRINGITE-RICH CEMENTITIOUS MATRICES FOR THERMOCHEMICAL ENERGY STORAGE: FROM LABORATORY CHARACTERIZATION </w:t>
      </w:r>
      <w:r w:rsidR="00DA5797">
        <w:rPr>
          <w:rFonts w:ascii="Arial" w:hAnsi="Arial" w:cs="Arial"/>
          <w:sz w:val="28"/>
          <w:szCs w:val="28"/>
        </w:rPr>
        <w:t>TOWARDS SYSTEM INTEGRATION</w:t>
      </w:r>
    </w:p>
    <w:p w14:paraId="557E25A7" w14:textId="685AAC17" w:rsidR="00D27077" w:rsidRPr="00B5795C" w:rsidRDefault="00D27077" w:rsidP="00D27077">
      <w:pPr>
        <w:pStyle w:val="SWCTitle"/>
        <w:spacing w:before="0" w:after="0" w:line="276" w:lineRule="auto"/>
        <w:jc w:val="left"/>
        <w:rPr>
          <w:rFonts w:ascii="Times New Roman" w:hAnsi="Times New Roman"/>
          <w:b w:val="0"/>
          <w:sz w:val="20"/>
          <w:szCs w:val="22"/>
          <w:lang w:val="fr-FR"/>
        </w:rPr>
      </w:pPr>
      <w:r w:rsidRPr="00B5795C">
        <w:rPr>
          <w:rFonts w:ascii="Times New Roman" w:hAnsi="Times New Roman"/>
          <w:b w:val="0"/>
          <w:sz w:val="20"/>
          <w:szCs w:val="22"/>
          <w:lang w:val="fr-FR"/>
        </w:rPr>
        <w:t xml:space="preserve">S. Bonnin </w:t>
      </w:r>
      <w:proofErr w:type="spellStart"/>
      <w:proofErr w:type="gramStart"/>
      <w:r w:rsidRPr="00B5795C">
        <w:rPr>
          <w:rFonts w:ascii="Times New Roman" w:hAnsi="Times New Roman"/>
          <w:b w:val="0"/>
          <w:sz w:val="20"/>
          <w:szCs w:val="22"/>
          <w:vertAlign w:val="superscript"/>
          <w:lang w:val="fr-FR"/>
        </w:rPr>
        <w:t>a,b</w:t>
      </w:r>
      <w:proofErr w:type="spellEnd"/>
      <w:proofErr w:type="gramEnd"/>
      <w:r w:rsidRPr="00B5795C">
        <w:rPr>
          <w:rFonts w:ascii="Times New Roman" w:hAnsi="Times New Roman"/>
          <w:b w:val="0"/>
          <w:sz w:val="20"/>
          <w:szCs w:val="22"/>
          <w:lang w:val="fr-FR"/>
        </w:rPr>
        <w:t xml:space="preserve">, A. Malley-Ernewein </w:t>
      </w:r>
      <w:r w:rsidRPr="00B5795C">
        <w:rPr>
          <w:rFonts w:ascii="Times New Roman" w:hAnsi="Times New Roman"/>
          <w:b w:val="0"/>
          <w:sz w:val="20"/>
          <w:szCs w:val="22"/>
          <w:vertAlign w:val="superscript"/>
          <w:lang w:val="fr-FR"/>
        </w:rPr>
        <w:t>c</w:t>
      </w:r>
      <w:r w:rsidRPr="00B5795C">
        <w:rPr>
          <w:rFonts w:ascii="Times New Roman" w:hAnsi="Times New Roman"/>
          <w:b w:val="0"/>
          <w:sz w:val="20"/>
          <w:szCs w:val="22"/>
          <w:lang w:val="fr-FR"/>
        </w:rPr>
        <w:t xml:space="preserve">, F. Kuznik </w:t>
      </w:r>
      <w:r w:rsidRPr="00B5795C">
        <w:rPr>
          <w:rFonts w:ascii="Times New Roman" w:hAnsi="Times New Roman"/>
          <w:b w:val="0"/>
          <w:sz w:val="20"/>
          <w:szCs w:val="22"/>
          <w:vertAlign w:val="superscript"/>
          <w:lang w:val="fr-FR"/>
        </w:rPr>
        <w:t>b</w:t>
      </w:r>
      <w:r w:rsidRPr="00B5795C">
        <w:rPr>
          <w:rFonts w:ascii="Times New Roman" w:hAnsi="Times New Roman"/>
          <w:b w:val="0"/>
          <w:sz w:val="20"/>
          <w:szCs w:val="22"/>
          <w:lang w:val="fr-FR"/>
        </w:rPr>
        <w:t xml:space="preserve">, K. Johannes </w:t>
      </w:r>
      <w:r w:rsidRPr="00B5795C">
        <w:rPr>
          <w:rFonts w:ascii="Times New Roman" w:hAnsi="Times New Roman"/>
          <w:b w:val="0"/>
          <w:sz w:val="20"/>
          <w:szCs w:val="22"/>
          <w:vertAlign w:val="superscript"/>
          <w:lang w:val="fr-FR"/>
        </w:rPr>
        <w:t>b</w:t>
      </w:r>
      <w:r w:rsidR="007E0364" w:rsidRPr="00B5795C">
        <w:rPr>
          <w:rFonts w:ascii="Times New Roman" w:hAnsi="Times New Roman"/>
          <w:b w:val="0"/>
          <w:sz w:val="20"/>
          <w:szCs w:val="22"/>
          <w:lang w:val="fr-FR"/>
        </w:rPr>
        <w:t xml:space="preserve">, E. </w:t>
      </w:r>
      <w:proofErr w:type="spellStart"/>
      <w:r w:rsidR="007E0364" w:rsidRPr="00B5795C">
        <w:rPr>
          <w:rFonts w:ascii="Times New Roman" w:hAnsi="Times New Roman"/>
          <w:b w:val="0"/>
          <w:sz w:val="20"/>
          <w:szCs w:val="22"/>
          <w:lang w:val="fr-FR"/>
        </w:rPr>
        <w:t>Gengembre</w:t>
      </w:r>
      <w:proofErr w:type="spellEnd"/>
      <w:r w:rsidR="007E0364" w:rsidRPr="00B5795C">
        <w:rPr>
          <w:rFonts w:ascii="Times New Roman" w:hAnsi="Times New Roman"/>
          <w:b w:val="0"/>
          <w:sz w:val="20"/>
          <w:szCs w:val="22"/>
          <w:lang w:val="fr-FR"/>
        </w:rPr>
        <w:t xml:space="preserve"> </w:t>
      </w:r>
      <w:r w:rsidR="007E0364" w:rsidRPr="00B5795C">
        <w:rPr>
          <w:rFonts w:ascii="Times New Roman" w:hAnsi="Times New Roman"/>
          <w:b w:val="0"/>
          <w:sz w:val="20"/>
          <w:szCs w:val="22"/>
          <w:vertAlign w:val="superscript"/>
          <w:lang w:val="fr-FR"/>
        </w:rPr>
        <w:t>a</w:t>
      </w:r>
    </w:p>
    <w:p w14:paraId="6B915E83" w14:textId="77777777" w:rsidR="00D27077" w:rsidRPr="00B5795C" w:rsidRDefault="00D27077" w:rsidP="00D27077">
      <w:pPr>
        <w:pStyle w:val="SWCTitle"/>
        <w:spacing w:before="0" w:after="0" w:line="276" w:lineRule="auto"/>
        <w:jc w:val="left"/>
        <w:rPr>
          <w:rFonts w:ascii="Times New Roman" w:hAnsi="Times New Roman"/>
          <w:b w:val="0"/>
          <w:sz w:val="20"/>
          <w:szCs w:val="22"/>
          <w:lang w:val="fr-FR"/>
        </w:rPr>
      </w:pPr>
      <w:proofErr w:type="gramStart"/>
      <w:r w:rsidRPr="00B5795C">
        <w:rPr>
          <w:rFonts w:ascii="Times New Roman" w:hAnsi="Times New Roman"/>
          <w:b w:val="0"/>
          <w:sz w:val="20"/>
          <w:szCs w:val="22"/>
          <w:vertAlign w:val="superscript"/>
          <w:lang w:val="fr-FR"/>
        </w:rPr>
        <w:t>a</w:t>
      </w:r>
      <w:proofErr w:type="gramEnd"/>
      <w:r w:rsidRPr="00B5795C">
        <w:rPr>
          <w:rFonts w:ascii="Times New Roman" w:hAnsi="Times New Roman"/>
          <w:b w:val="0"/>
          <w:sz w:val="20"/>
          <w:szCs w:val="22"/>
          <w:lang w:val="fr-FR"/>
        </w:rPr>
        <w:t xml:space="preserve"> Holcim Innovation Center, 95 rue du </w:t>
      </w:r>
      <w:proofErr w:type="spellStart"/>
      <w:r w:rsidRPr="00B5795C">
        <w:rPr>
          <w:rFonts w:ascii="Times New Roman" w:hAnsi="Times New Roman"/>
          <w:b w:val="0"/>
          <w:sz w:val="20"/>
          <w:szCs w:val="22"/>
          <w:lang w:val="fr-FR"/>
        </w:rPr>
        <w:t>Montmurier</w:t>
      </w:r>
      <w:proofErr w:type="spellEnd"/>
      <w:r w:rsidRPr="00B5795C">
        <w:rPr>
          <w:rFonts w:ascii="Times New Roman" w:hAnsi="Times New Roman"/>
          <w:b w:val="0"/>
          <w:sz w:val="20"/>
          <w:szCs w:val="22"/>
          <w:lang w:val="fr-FR"/>
        </w:rPr>
        <w:t>, 38291 Saint Quentin Fallavier, France</w:t>
      </w:r>
    </w:p>
    <w:p w14:paraId="42E3C791" w14:textId="77777777" w:rsidR="00D27077" w:rsidRPr="00B5795C" w:rsidRDefault="00D27077" w:rsidP="00D27077">
      <w:pPr>
        <w:pStyle w:val="SWCTitle"/>
        <w:spacing w:before="0" w:after="0" w:line="276" w:lineRule="auto"/>
        <w:jc w:val="left"/>
        <w:rPr>
          <w:rFonts w:ascii="Times New Roman" w:hAnsi="Times New Roman"/>
          <w:b w:val="0"/>
          <w:sz w:val="20"/>
          <w:szCs w:val="22"/>
          <w:lang w:val="fr-FR"/>
        </w:rPr>
      </w:pPr>
      <w:proofErr w:type="gramStart"/>
      <w:r w:rsidRPr="00B5795C">
        <w:rPr>
          <w:rFonts w:ascii="Times New Roman" w:hAnsi="Times New Roman"/>
          <w:b w:val="0"/>
          <w:sz w:val="20"/>
          <w:szCs w:val="22"/>
          <w:vertAlign w:val="superscript"/>
          <w:lang w:val="fr-FR"/>
        </w:rPr>
        <w:t>b</w:t>
      </w:r>
      <w:proofErr w:type="gramEnd"/>
      <w:r w:rsidRPr="00B5795C">
        <w:rPr>
          <w:rFonts w:ascii="Times New Roman" w:hAnsi="Times New Roman"/>
          <w:b w:val="0"/>
          <w:sz w:val="20"/>
          <w:szCs w:val="22"/>
          <w:lang w:val="fr-FR"/>
        </w:rPr>
        <w:t xml:space="preserve"> INSA Lyon, CNRS, CETHIL, UMR5008, 69621 Villeurbanne, France</w:t>
      </w:r>
    </w:p>
    <w:p w14:paraId="2B536CB4" w14:textId="47108CC2" w:rsidR="001A775B" w:rsidRPr="00B5795C" w:rsidRDefault="00D27077" w:rsidP="00D27077">
      <w:pPr>
        <w:pStyle w:val="SWCTitle"/>
        <w:spacing w:before="0" w:after="0" w:line="276" w:lineRule="auto"/>
        <w:jc w:val="left"/>
        <w:rPr>
          <w:rFonts w:ascii="Times New Roman" w:hAnsi="Times New Roman"/>
          <w:b w:val="0"/>
          <w:sz w:val="20"/>
          <w:szCs w:val="22"/>
          <w:lang w:val="fr-FR"/>
        </w:rPr>
      </w:pPr>
      <w:proofErr w:type="gramStart"/>
      <w:r w:rsidRPr="00B5795C">
        <w:rPr>
          <w:rFonts w:ascii="Times New Roman" w:hAnsi="Times New Roman"/>
          <w:b w:val="0"/>
          <w:sz w:val="20"/>
          <w:szCs w:val="22"/>
          <w:vertAlign w:val="superscript"/>
          <w:lang w:val="fr-FR"/>
        </w:rPr>
        <w:t>c</w:t>
      </w:r>
      <w:proofErr w:type="gramEnd"/>
      <w:r w:rsidRPr="00B5795C">
        <w:rPr>
          <w:rFonts w:ascii="Times New Roman" w:hAnsi="Times New Roman"/>
          <w:b w:val="0"/>
          <w:sz w:val="20"/>
          <w:szCs w:val="22"/>
          <w:lang w:val="fr-FR"/>
        </w:rPr>
        <w:t xml:space="preserve"> </w:t>
      </w:r>
      <w:proofErr w:type="spellStart"/>
      <w:r w:rsidRPr="00B5795C">
        <w:rPr>
          <w:rFonts w:ascii="Times New Roman" w:hAnsi="Times New Roman"/>
          <w:b w:val="0"/>
          <w:sz w:val="20"/>
          <w:szCs w:val="22"/>
          <w:lang w:val="fr-FR"/>
        </w:rPr>
        <w:t>Universite</w:t>
      </w:r>
      <w:proofErr w:type="spellEnd"/>
      <w:r w:rsidRPr="00B5795C">
        <w:rPr>
          <w:rFonts w:ascii="Times New Roman" w:hAnsi="Times New Roman"/>
          <w:b w:val="0"/>
          <w:sz w:val="20"/>
          <w:szCs w:val="22"/>
          <w:lang w:val="fr-FR"/>
        </w:rPr>
        <w:t xml:space="preserve"> Claude Bernard Lyon 1, CETHIL, UMR5008, CNRS, INSA Lyon, Villeurbanne, F-69100, France</w:t>
      </w:r>
    </w:p>
    <w:p w14:paraId="3F22C9F5" w14:textId="20EE76B4" w:rsidR="00D27077" w:rsidRPr="00B5795C" w:rsidRDefault="00B5795C" w:rsidP="00D27077">
      <w:pPr>
        <w:pStyle w:val="SWCTitle"/>
        <w:spacing w:before="0" w:after="0" w:line="276" w:lineRule="auto"/>
        <w:jc w:val="left"/>
        <w:rPr>
          <w:rFonts w:ascii="Times New Roman" w:hAnsi="Times New Roman"/>
          <w:b w:val="0"/>
          <w:sz w:val="20"/>
          <w:szCs w:val="22"/>
          <w:lang w:val="fr-FR"/>
        </w:rPr>
      </w:pPr>
      <w:hyperlink r:id="rId8" w:history="1">
        <w:r w:rsidRPr="00B5795C">
          <w:rPr>
            <w:rStyle w:val="Lienhypertexte"/>
            <w:rFonts w:ascii="Times New Roman" w:hAnsi="Times New Roman"/>
            <w:b w:val="0"/>
            <w:sz w:val="20"/>
            <w:szCs w:val="22"/>
            <w:lang w:val="fr-FR"/>
          </w:rPr>
          <w:t xml:space="preserve">salome.bonnin@holcim.com  </w:t>
        </w:r>
      </w:hyperlink>
      <w:r w:rsidR="00D27077" w:rsidRPr="00B5795C">
        <w:rPr>
          <w:rFonts w:ascii="Times New Roman" w:hAnsi="Times New Roman"/>
          <w:b w:val="0"/>
          <w:sz w:val="20"/>
          <w:szCs w:val="22"/>
          <w:lang w:val="fr-FR"/>
        </w:rPr>
        <w:t>;</w:t>
      </w:r>
      <w:r w:rsidRPr="00B5795C">
        <w:rPr>
          <w:rFonts w:ascii="Times New Roman" w:hAnsi="Times New Roman"/>
          <w:b w:val="0"/>
          <w:sz w:val="20"/>
          <w:szCs w:val="22"/>
          <w:lang w:val="fr-FR"/>
        </w:rPr>
        <w:t xml:space="preserve"> </w:t>
      </w:r>
      <w:hyperlink r:id="rId9" w:history="1">
        <w:r w:rsidRPr="00B5795C">
          <w:rPr>
            <w:rStyle w:val="Lienhypertexte"/>
            <w:rFonts w:ascii="Times New Roman" w:hAnsi="Times New Roman"/>
            <w:b w:val="0"/>
            <w:sz w:val="20"/>
            <w:szCs w:val="22"/>
            <w:lang w:val="fr-FR"/>
          </w:rPr>
          <w:t>alexandre.malley@univ-lyon.fr</w:t>
        </w:r>
      </w:hyperlink>
      <w:r w:rsidRPr="00B5795C">
        <w:rPr>
          <w:rFonts w:ascii="Times New Roman" w:hAnsi="Times New Roman"/>
          <w:b w:val="0"/>
          <w:sz w:val="20"/>
          <w:szCs w:val="22"/>
          <w:lang w:val="fr-FR"/>
        </w:rPr>
        <w:t xml:space="preserve"> </w:t>
      </w:r>
      <w:r w:rsidR="00D27077" w:rsidRPr="00B5795C">
        <w:rPr>
          <w:rFonts w:ascii="Times New Roman" w:hAnsi="Times New Roman"/>
          <w:b w:val="0"/>
          <w:sz w:val="20"/>
          <w:szCs w:val="22"/>
          <w:lang w:val="fr-FR"/>
        </w:rPr>
        <w:t xml:space="preserve">; </w:t>
      </w:r>
      <w:hyperlink r:id="rId10" w:history="1">
        <w:r w:rsidRPr="00B5795C">
          <w:rPr>
            <w:rStyle w:val="Lienhypertexte"/>
            <w:rFonts w:ascii="Times New Roman" w:hAnsi="Times New Roman"/>
            <w:b w:val="0"/>
            <w:sz w:val="20"/>
            <w:szCs w:val="22"/>
            <w:lang w:val="fr-FR"/>
          </w:rPr>
          <w:t>edouard.gengembre@holcim.com</w:t>
        </w:r>
      </w:hyperlink>
      <w:r w:rsidRPr="00B5795C">
        <w:rPr>
          <w:rFonts w:ascii="Times New Roman" w:hAnsi="Times New Roman"/>
          <w:b w:val="0"/>
          <w:sz w:val="20"/>
          <w:szCs w:val="22"/>
          <w:lang w:val="fr-FR"/>
        </w:rPr>
        <w:t> ;</w:t>
      </w:r>
      <w:r w:rsidR="00D27077" w:rsidRPr="00B5795C">
        <w:rPr>
          <w:rFonts w:ascii="Times New Roman" w:hAnsi="Times New Roman"/>
          <w:b w:val="0"/>
          <w:sz w:val="20"/>
          <w:szCs w:val="22"/>
          <w:lang w:val="fr-FR"/>
        </w:rPr>
        <w:t xml:space="preserve"> </w:t>
      </w:r>
      <w:hyperlink r:id="rId11" w:history="1">
        <w:r w:rsidR="00D27077" w:rsidRPr="00B5795C">
          <w:rPr>
            <w:rStyle w:val="Lienhypertexte"/>
            <w:rFonts w:ascii="Times New Roman" w:hAnsi="Times New Roman"/>
            <w:b w:val="0"/>
            <w:sz w:val="20"/>
            <w:szCs w:val="22"/>
            <w:lang w:val="fr-FR"/>
          </w:rPr>
          <w:t>frederic.kuznik@insa-lyon.fr</w:t>
        </w:r>
      </w:hyperlink>
      <w:r w:rsidR="00D27077" w:rsidRPr="00B5795C">
        <w:rPr>
          <w:rFonts w:ascii="Times New Roman" w:hAnsi="Times New Roman"/>
          <w:b w:val="0"/>
          <w:sz w:val="20"/>
          <w:szCs w:val="22"/>
          <w:lang w:val="fr-FR"/>
        </w:rPr>
        <w:t xml:space="preserve"> ; </w:t>
      </w:r>
      <w:hyperlink r:id="rId12" w:history="1">
        <w:r w:rsidR="00D27077" w:rsidRPr="00B5795C">
          <w:rPr>
            <w:rStyle w:val="Lienhypertexte"/>
            <w:rFonts w:ascii="Times New Roman" w:hAnsi="Times New Roman"/>
            <w:b w:val="0"/>
            <w:sz w:val="20"/>
            <w:szCs w:val="22"/>
            <w:lang w:val="fr-FR"/>
          </w:rPr>
          <w:t>kevyn.johannes@insa-lyon.fr</w:t>
        </w:r>
      </w:hyperlink>
      <w:r w:rsidR="00D27077" w:rsidRPr="00B5795C">
        <w:rPr>
          <w:rFonts w:ascii="Times New Roman" w:hAnsi="Times New Roman"/>
          <w:b w:val="0"/>
          <w:sz w:val="20"/>
          <w:szCs w:val="22"/>
          <w:lang w:val="fr-FR"/>
        </w:rPr>
        <w:t xml:space="preserve"> </w:t>
      </w:r>
    </w:p>
    <w:p w14:paraId="3A7DF4B5" w14:textId="77777777" w:rsidR="001A775B" w:rsidRPr="00B5795C" w:rsidRDefault="001A775B" w:rsidP="001A775B">
      <w:pPr>
        <w:pStyle w:val="SWCSummary"/>
      </w:pPr>
      <w:r w:rsidRPr="00B5795C">
        <w:t>Summary</w:t>
      </w:r>
    </w:p>
    <w:p w14:paraId="06390F13" w14:textId="44607EE9" w:rsidR="002F3BE6" w:rsidRPr="00464FC9" w:rsidRDefault="00ED75FA" w:rsidP="004738F0">
      <w:pPr>
        <w:pStyle w:val="SWCText"/>
        <w:spacing w:after="0"/>
        <w:rPr>
          <w:color w:val="000000" w:themeColor="text1"/>
        </w:rPr>
      </w:pPr>
      <w:r w:rsidRPr="00B5795C">
        <w:t xml:space="preserve">In the </w:t>
      </w:r>
      <w:r w:rsidRPr="00464FC9">
        <w:rPr>
          <w:color w:val="000000" w:themeColor="text1"/>
        </w:rPr>
        <w:t xml:space="preserve">context of the global transition toward renewable energy, efficient heat storage systems are essential for overcoming the intermittency of sources such as solar power </w:t>
      </w:r>
      <w:r w:rsidR="00795D4A" w:rsidRPr="00464FC9">
        <w:rPr>
          <w:color w:val="000000" w:themeColor="text1"/>
        </w:rPr>
        <w:t xml:space="preserve">providing the required grid flexibility. </w:t>
      </w:r>
      <w:r w:rsidRPr="00464FC9">
        <w:rPr>
          <w:color w:val="000000" w:themeColor="text1"/>
        </w:rPr>
        <w:t xml:space="preserve">Thermochemical </w:t>
      </w:r>
      <w:r w:rsidR="009632C9" w:rsidRPr="00464FC9">
        <w:rPr>
          <w:color w:val="000000" w:themeColor="text1"/>
        </w:rPr>
        <w:t xml:space="preserve">energy </w:t>
      </w:r>
      <w:r w:rsidRPr="00464FC9">
        <w:rPr>
          <w:color w:val="000000" w:themeColor="text1"/>
        </w:rPr>
        <w:t>storage materials offer a promising solution to this challenge, with ettringite emerging as a leading candidate because of its low production cost, low operating temperature (&lt; 100 °C), and high theoretical energy density. However, the integration of ettringite-rich cementitious materials at the system level yielded an energy density of 104 kWh/m³</w:t>
      </w:r>
      <w:r w:rsidR="002F3BE6" w:rsidRPr="00464FC9">
        <w:rPr>
          <w:color w:val="000000" w:themeColor="text1"/>
        </w:rPr>
        <w:t xml:space="preserve"> in the literature</w:t>
      </w:r>
      <w:r w:rsidRPr="00464FC9">
        <w:rPr>
          <w:color w:val="000000" w:themeColor="text1"/>
        </w:rPr>
        <w:t xml:space="preserve">, which is lower than the storage capacity observed for the powder form of the material. </w:t>
      </w:r>
      <w:r w:rsidR="00D32DBA" w:rsidRPr="00464FC9">
        <w:rPr>
          <w:color w:val="000000" w:themeColor="text1"/>
        </w:rPr>
        <w:t>Scaling up research from laboratory to system scale requires appropriate material processing that is both cost-effective in terms of raw materials and manufacturing time.</w:t>
      </w:r>
      <w:r w:rsidR="005A26B4" w:rsidRPr="00464FC9">
        <w:rPr>
          <w:color w:val="000000" w:themeColor="text1"/>
        </w:rPr>
        <w:t xml:space="preserve"> </w:t>
      </w:r>
      <w:r w:rsidR="00795D4A" w:rsidRPr="00464FC9">
        <w:rPr>
          <w:color w:val="000000" w:themeColor="text1"/>
        </w:rPr>
        <w:t xml:space="preserve">To reduce this gap, this study proposes a novel manufacturing process </w:t>
      </w:r>
      <w:r w:rsidR="006D77FF" w:rsidRPr="00464FC9">
        <w:rPr>
          <w:color w:val="000000" w:themeColor="text1"/>
        </w:rPr>
        <w:t>using a one-step granulating plate technique</w:t>
      </w:r>
      <w:r w:rsidR="006D77FF" w:rsidRPr="00464FC9">
        <w:rPr>
          <w:color w:val="000000" w:themeColor="text1"/>
        </w:rPr>
        <w:t xml:space="preserve"> </w:t>
      </w:r>
      <w:r w:rsidR="006D77FF">
        <w:rPr>
          <w:color w:val="000000" w:themeColor="text1"/>
        </w:rPr>
        <w:t>with</w:t>
      </w:r>
      <w:r w:rsidR="00795D4A" w:rsidRPr="00464FC9">
        <w:rPr>
          <w:color w:val="000000" w:themeColor="text1"/>
        </w:rPr>
        <w:t xml:space="preserve"> a cementitious formulation named “C80P20”</w:t>
      </w:r>
      <w:r w:rsidRPr="00464FC9">
        <w:rPr>
          <w:color w:val="000000" w:themeColor="text1"/>
        </w:rPr>
        <w:t xml:space="preserve">. </w:t>
      </w:r>
      <w:r w:rsidR="00876B79" w:rsidRPr="00464FC9">
        <w:rPr>
          <w:color w:val="000000" w:themeColor="text1"/>
        </w:rPr>
        <w:t xml:space="preserve">Experimental characterization was conducted on 1.2 mm shaped grains to analyze the reaction kinetics and reactivity </w:t>
      </w:r>
      <w:r w:rsidR="00795D4A" w:rsidRPr="00464FC9">
        <w:rPr>
          <w:color w:val="000000" w:themeColor="text1"/>
        </w:rPr>
        <w:t xml:space="preserve">under representative operating conditions. </w:t>
      </w:r>
      <w:r w:rsidR="00876B79" w:rsidRPr="00464FC9">
        <w:rPr>
          <w:color w:val="000000" w:themeColor="text1"/>
        </w:rPr>
        <w:t xml:space="preserve">The results indicate that despite a surface-limited hydration mechanism, </w:t>
      </w:r>
      <w:r w:rsidR="00795D4A" w:rsidRPr="00464FC9">
        <w:rPr>
          <w:color w:val="000000" w:themeColor="text1"/>
        </w:rPr>
        <w:t xml:space="preserve">the most promising granules reach an estimated volumetric energy density of up to 146 kWh/m³ at the grain scale, supporting the potential </w:t>
      </w:r>
      <w:r w:rsidR="00876B79" w:rsidRPr="00464FC9">
        <w:rPr>
          <w:color w:val="000000" w:themeColor="text1"/>
        </w:rPr>
        <w:t xml:space="preserve">of this </w:t>
      </w:r>
      <w:r w:rsidR="002F3BE6" w:rsidRPr="00464FC9">
        <w:rPr>
          <w:color w:val="000000" w:themeColor="text1"/>
        </w:rPr>
        <w:t xml:space="preserve">new </w:t>
      </w:r>
      <w:r w:rsidR="00876B79" w:rsidRPr="00464FC9">
        <w:rPr>
          <w:color w:val="000000" w:themeColor="text1"/>
        </w:rPr>
        <w:t>shaping method for large-scale heat storage applications.</w:t>
      </w:r>
      <w:r w:rsidR="002F3BE6" w:rsidRPr="00464FC9">
        <w:rPr>
          <w:color w:val="000000" w:themeColor="text1"/>
        </w:rPr>
        <w:t xml:space="preserve"> </w:t>
      </w:r>
    </w:p>
    <w:p w14:paraId="70D772AA" w14:textId="4C221576" w:rsidR="00876B79" w:rsidRPr="00464FC9" w:rsidRDefault="002F3BE6" w:rsidP="004738F0">
      <w:pPr>
        <w:pStyle w:val="SWCText"/>
        <w:spacing w:after="0"/>
        <w:rPr>
          <w:color w:val="000000" w:themeColor="text1"/>
        </w:rPr>
      </w:pPr>
      <w:r w:rsidRPr="00464FC9">
        <w:rPr>
          <w:color w:val="000000" w:themeColor="text1"/>
        </w:rPr>
        <w:t xml:space="preserve">Beyond this new manufacturing method, </w:t>
      </w:r>
      <w:r w:rsidR="00795D4A" w:rsidRPr="00464FC9">
        <w:rPr>
          <w:color w:val="000000" w:themeColor="text1"/>
        </w:rPr>
        <w:t xml:space="preserve">the study also provides a better understanding </w:t>
      </w:r>
      <w:r w:rsidRPr="00464FC9">
        <w:rPr>
          <w:color w:val="000000" w:themeColor="text1"/>
        </w:rPr>
        <w:t>of the phenomena limiting</w:t>
      </w:r>
      <w:r w:rsidR="00970034" w:rsidRPr="00464FC9">
        <w:rPr>
          <w:color w:val="000000" w:themeColor="text1"/>
        </w:rPr>
        <w:t xml:space="preserve"> heat and mass</w:t>
      </w:r>
      <w:r w:rsidRPr="00464FC9">
        <w:rPr>
          <w:color w:val="000000" w:themeColor="text1"/>
        </w:rPr>
        <w:t xml:space="preserve"> transfer in these types of self-supporting materials with an integrated thermochemical salt. This approach aims to facilitate industrial scalability and maximize energy density at the grain-bed level.</w:t>
      </w:r>
    </w:p>
    <w:p w14:paraId="5AB3A3E7" w14:textId="4D5B5489" w:rsidR="00DB52E7" w:rsidRPr="00464FC9" w:rsidRDefault="00DB52E7" w:rsidP="005F4E0E">
      <w:pPr>
        <w:rPr>
          <w:i/>
          <w:iCs/>
          <w:color w:val="000000" w:themeColor="text1"/>
          <w:sz w:val="20"/>
          <w:szCs w:val="20"/>
          <w:lang w:val="en-US"/>
        </w:rPr>
      </w:pPr>
      <w:r w:rsidRPr="00464FC9">
        <w:rPr>
          <w:i/>
          <w:iCs/>
          <w:color w:val="000000" w:themeColor="text1"/>
          <w:sz w:val="20"/>
          <w:szCs w:val="20"/>
          <w:lang w:val="en-US"/>
        </w:rPr>
        <w:t xml:space="preserve">Keywords: </w:t>
      </w:r>
      <w:r w:rsidR="00D32DBA" w:rsidRPr="00464FC9">
        <w:rPr>
          <w:i/>
          <w:iCs/>
          <w:color w:val="000000" w:themeColor="text1"/>
          <w:sz w:val="20"/>
          <w:szCs w:val="20"/>
          <w:lang w:val="en-US"/>
        </w:rPr>
        <w:t>Ettringite, Cement paste granules, Wet granulation, Physicochemical structure, Thermochemical heat storage</w:t>
      </w:r>
      <w:r w:rsidR="00F451BE" w:rsidRPr="00464FC9">
        <w:rPr>
          <w:i/>
          <w:iCs/>
          <w:color w:val="000000" w:themeColor="text1"/>
          <w:sz w:val="20"/>
          <w:szCs w:val="20"/>
          <w:lang w:val="en-US"/>
        </w:rPr>
        <w:t>, Cyclability</w:t>
      </w:r>
    </w:p>
    <w:p w14:paraId="01458796" w14:textId="226C21B0" w:rsidR="00FA4DF8" w:rsidRPr="00464FC9" w:rsidRDefault="002C089D" w:rsidP="005F4E0E">
      <w:pPr>
        <w:pStyle w:val="SWCText"/>
        <w:pBdr>
          <w:bottom w:val="single" w:sz="6" w:space="1" w:color="auto"/>
        </w:pBdr>
        <w:spacing w:after="0" w:line="240" w:lineRule="auto"/>
        <w:rPr>
          <w:i/>
          <w:iCs/>
          <w:color w:val="000000" w:themeColor="text1"/>
          <w:szCs w:val="20"/>
        </w:rPr>
      </w:pPr>
      <w:r w:rsidRPr="00464FC9">
        <w:rPr>
          <w:i/>
          <w:iCs/>
          <w:color w:val="000000" w:themeColor="text1"/>
          <w:szCs w:val="20"/>
        </w:rPr>
        <w:t xml:space="preserve">Field of application for the </w:t>
      </w:r>
      <w:r w:rsidR="00F451BE" w:rsidRPr="00464FC9">
        <w:rPr>
          <w:i/>
          <w:iCs/>
          <w:color w:val="000000" w:themeColor="text1"/>
          <w:szCs w:val="20"/>
        </w:rPr>
        <w:t>findings: Thermal Energy Storage</w:t>
      </w:r>
    </w:p>
    <w:p w14:paraId="185A319D" w14:textId="390E071E" w:rsidR="002C089D" w:rsidRPr="00464FC9" w:rsidRDefault="00CC3B0C" w:rsidP="005F4E0E">
      <w:pPr>
        <w:pStyle w:val="SWCText"/>
        <w:pBdr>
          <w:bottom w:val="single" w:sz="6" w:space="1" w:color="auto"/>
        </w:pBdr>
        <w:spacing w:after="0" w:line="240" w:lineRule="auto"/>
        <w:rPr>
          <w:color w:val="000000" w:themeColor="text1"/>
        </w:rPr>
      </w:pPr>
      <w:r w:rsidRPr="00464FC9">
        <w:rPr>
          <w:i/>
          <w:iCs/>
          <w:color w:val="000000" w:themeColor="text1"/>
        </w:rPr>
        <w:t>Addressed audience</w:t>
      </w:r>
      <w:r w:rsidR="00F451BE" w:rsidRPr="00464FC9">
        <w:rPr>
          <w:i/>
          <w:iCs/>
          <w:color w:val="000000" w:themeColor="text1"/>
        </w:rPr>
        <w:t xml:space="preserve">: </w:t>
      </w:r>
      <w:r w:rsidR="005F4E0E" w:rsidRPr="00464FC9">
        <w:rPr>
          <w:i/>
          <w:iCs/>
          <w:color w:val="000000" w:themeColor="text1"/>
        </w:rPr>
        <w:t>Researchers</w:t>
      </w:r>
    </w:p>
    <w:p w14:paraId="6A492F1B" w14:textId="4219D60E" w:rsidR="00D060CA" w:rsidRPr="00464FC9" w:rsidRDefault="00D060CA" w:rsidP="00D060CA">
      <w:pPr>
        <w:pStyle w:val="SWCHeading1"/>
        <w:rPr>
          <w:color w:val="000000" w:themeColor="text1"/>
        </w:rPr>
      </w:pPr>
      <w:r w:rsidRPr="00464FC9">
        <w:rPr>
          <w:color w:val="000000" w:themeColor="text1"/>
        </w:rPr>
        <w:t>Introduction</w:t>
      </w:r>
    </w:p>
    <w:p w14:paraId="6F00CDB3" w14:textId="488919C3" w:rsidR="00C5769E" w:rsidRPr="00464FC9" w:rsidRDefault="00ED40D6" w:rsidP="004103D5">
      <w:pPr>
        <w:pStyle w:val="SWCText"/>
        <w:rPr>
          <w:color w:val="000000" w:themeColor="text1"/>
        </w:rPr>
      </w:pPr>
      <w:r w:rsidRPr="00464FC9">
        <w:rPr>
          <w:color w:val="000000" w:themeColor="text1"/>
        </w:rPr>
        <w:t>Environmentally friendly energy sources as s</w:t>
      </w:r>
      <w:r w:rsidR="00C5769E" w:rsidRPr="00464FC9">
        <w:rPr>
          <w:color w:val="000000" w:themeColor="text1"/>
        </w:rPr>
        <w:t>olar energy and wind are accessible, but the</w:t>
      </w:r>
      <w:r w:rsidRPr="00464FC9">
        <w:rPr>
          <w:color w:val="000000" w:themeColor="text1"/>
        </w:rPr>
        <w:t>y are</w:t>
      </w:r>
      <w:r w:rsidR="00C5769E" w:rsidRPr="00464FC9">
        <w:rPr>
          <w:color w:val="000000" w:themeColor="text1"/>
        </w:rPr>
        <w:t xml:space="preserve"> intermittent </w:t>
      </w:r>
      <w:r w:rsidRPr="00464FC9">
        <w:rPr>
          <w:color w:val="000000" w:themeColor="text1"/>
        </w:rPr>
        <w:t xml:space="preserve">by </w:t>
      </w:r>
      <w:r w:rsidR="00C5769E" w:rsidRPr="00464FC9">
        <w:rPr>
          <w:color w:val="000000" w:themeColor="text1"/>
        </w:rPr>
        <w:t>nature</w:t>
      </w:r>
      <w:r w:rsidRPr="00464FC9">
        <w:rPr>
          <w:color w:val="000000" w:themeColor="text1"/>
        </w:rPr>
        <w:t>:</w:t>
      </w:r>
      <w:r w:rsidR="00C5769E" w:rsidRPr="00464FC9">
        <w:rPr>
          <w:color w:val="000000" w:themeColor="text1"/>
        </w:rPr>
        <w:t xml:space="preserve"> </w:t>
      </w:r>
      <w:r w:rsidRPr="00464FC9">
        <w:rPr>
          <w:color w:val="000000" w:themeColor="text1"/>
        </w:rPr>
        <w:t xml:space="preserve">there is often a mismatch between production and consumption periods which is </w:t>
      </w:r>
      <w:r w:rsidR="00C5769E" w:rsidRPr="00464FC9">
        <w:rPr>
          <w:color w:val="000000" w:themeColor="text1"/>
        </w:rPr>
        <w:t xml:space="preserve">a significant impediment to </w:t>
      </w:r>
      <w:r w:rsidRPr="00464FC9">
        <w:rPr>
          <w:color w:val="000000" w:themeColor="text1"/>
        </w:rPr>
        <w:t>their</w:t>
      </w:r>
      <w:r w:rsidR="00C5769E" w:rsidRPr="00464FC9">
        <w:rPr>
          <w:color w:val="000000" w:themeColor="text1"/>
        </w:rPr>
        <w:t xml:space="preserve"> widespread deployment. </w:t>
      </w:r>
      <w:r w:rsidRPr="00464FC9">
        <w:rPr>
          <w:color w:val="000000" w:themeColor="text1"/>
        </w:rPr>
        <w:t>Thus</w:t>
      </w:r>
      <w:r w:rsidR="00A4675C" w:rsidRPr="00464FC9">
        <w:rPr>
          <w:color w:val="000000" w:themeColor="text1"/>
        </w:rPr>
        <w:t>,</w:t>
      </w:r>
      <w:r w:rsidRPr="00464FC9">
        <w:rPr>
          <w:color w:val="000000" w:themeColor="text1"/>
        </w:rPr>
        <w:t xml:space="preserve"> development of energy storage, </w:t>
      </w:r>
      <w:r w:rsidR="0032795D" w:rsidRPr="00464FC9">
        <w:rPr>
          <w:color w:val="000000" w:themeColor="text1"/>
        </w:rPr>
        <w:t>such as</w:t>
      </w:r>
      <w:r w:rsidRPr="00464FC9">
        <w:rPr>
          <w:color w:val="000000" w:themeColor="text1"/>
        </w:rPr>
        <w:t xml:space="preserve"> heat storage, is needed to </w:t>
      </w:r>
      <w:proofErr w:type="gramStart"/>
      <w:r w:rsidRPr="00464FC9">
        <w:rPr>
          <w:color w:val="000000" w:themeColor="text1"/>
        </w:rPr>
        <w:t>accompanied</w:t>
      </w:r>
      <w:proofErr w:type="gramEnd"/>
      <w:r w:rsidRPr="00464FC9">
        <w:rPr>
          <w:color w:val="000000" w:themeColor="text1"/>
        </w:rPr>
        <w:t xml:space="preserve"> the e</w:t>
      </w:r>
      <w:r w:rsidR="00C5769E" w:rsidRPr="00464FC9">
        <w:rPr>
          <w:color w:val="000000" w:themeColor="text1"/>
        </w:rPr>
        <w:t xml:space="preserve">nergy transition </w:t>
      </w:r>
      <w:r w:rsidR="0032795D" w:rsidRPr="00464FC9">
        <w:rPr>
          <w:color w:val="000000" w:themeColor="text1"/>
        </w:rPr>
        <w:t>to</w:t>
      </w:r>
      <w:r w:rsidR="00C5769E" w:rsidRPr="00464FC9">
        <w:rPr>
          <w:color w:val="000000" w:themeColor="text1"/>
        </w:rPr>
        <w:t xml:space="preserve"> overcome the intermittency of these clean energies. </w:t>
      </w:r>
      <w:r w:rsidR="004842C2" w:rsidRPr="00464FC9">
        <w:rPr>
          <w:color w:val="000000" w:themeColor="text1"/>
        </w:rPr>
        <w:t xml:space="preserve">Storage </w:t>
      </w:r>
      <w:r w:rsidR="00A4675C" w:rsidRPr="00464FC9">
        <w:rPr>
          <w:color w:val="000000" w:themeColor="text1"/>
        </w:rPr>
        <w:t xml:space="preserve">can substitute fossil fuels which are currently </w:t>
      </w:r>
      <w:r w:rsidR="00C5769E" w:rsidRPr="00464FC9">
        <w:rPr>
          <w:color w:val="000000" w:themeColor="text1"/>
        </w:rPr>
        <w:t>ensur</w:t>
      </w:r>
      <w:r w:rsidR="00A4675C" w:rsidRPr="00464FC9">
        <w:rPr>
          <w:color w:val="000000" w:themeColor="text1"/>
        </w:rPr>
        <w:t>ing,</w:t>
      </w:r>
      <w:r w:rsidR="00C5769E" w:rsidRPr="00464FC9">
        <w:rPr>
          <w:color w:val="000000" w:themeColor="text1"/>
        </w:rPr>
        <w:t xml:space="preserve"> </w:t>
      </w:r>
      <w:r w:rsidR="00A4675C" w:rsidRPr="00464FC9">
        <w:rPr>
          <w:color w:val="000000" w:themeColor="text1"/>
        </w:rPr>
        <w:t xml:space="preserve">regardless of seasonal constraints, </w:t>
      </w:r>
      <w:r w:rsidR="00C5769E" w:rsidRPr="00464FC9">
        <w:rPr>
          <w:color w:val="000000" w:themeColor="text1"/>
        </w:rPr>
        <w:t>thermal comfort and the reliability of the energy supply for residential heating and domestic hot water</w:t>
      </w:r>
      <w:r w:rsidR="002728D1" w:rsidRPr="00464FC9">
        <w:rPr>
          <w:color w:val="000000" w:themeColor="text1"/>
        </w:rPr>
        <w:t xml:space="preserve"> </w:t>
      </w:r>
      <w:r w:rsidR="00C5769E" w:rsidRPr="00464FC9">
        <w:rPr>
          <w:color w:val="000000" w:themeColor="text1"/>
        </w:rPr>
        <w:fldChar w:fldCharType="begin"/>
      </w:r>
      <w:r w:rsidR="00005887" w:rsidRPr="00464FC9">
        <w:rPr>
          <w:color w:val="000000" w:themeColor="text1"/>
        </w:rPr>
        <w:instrText xml:space="preserve"> ADDIN ZOTERO_ITEM CSL_CITATION {"citationID":"r3q1a4ec","properties":{"formattedCitation":"(Ayaz et al., 2021)","plainCitation":"(Ayaz et al., 2021)","noteIndex":0},"citationItems":[{"id":"EL48ucz5/xaxk9n6u","uris":["http://zotero.org/users/local/gJ9mc1Ss/items/V2BJQVFQ","http://zotero.org/users/19179360/items/V2BJQVFQ"],"itemData":{"id":245,"type":"article-journal","abstract":"Sorption thermochemical storage systems can store thermal energy for the long-term with minimum amount of losses. Their ﬂexibility in working with sustainable energy sources further increases their importance vis-à-vis high levels of pollution from carbon-based energy forms. These storage systems can be utilized for cooling and heating purposes or shifting the peak load. This review provides a basic understanding of the technologies and critical factors involved in the performance of thermal energy storage (TES) systems. It is divided into four sections, namely materials for different sorption storage systems, recent advances in the absorption cycle, system conﬁguration, and some prototypes and systems developed for sorption heat storage systems. Energy storage materials play a vital role in the system design, owing to their thermal and chemical properties. Materials for sorption storage systems are discussed in detail, with a new class of absorption materials, namely ionic liquids. It can be a potential candidate for thermal energy storage due to its substantial thermophysical properties which have not been utilized much. Recent developments in the absorption cycle and integration of the same within the storage systems are summarized. In addition, open and closed systems are discussed in the context of recent reactor designs and their critical issues. Finally, the last section summarizes some prototypes developed for sorption heat storage systems.","container-title":"Energies","DOI":"10.3390/en14196052","ISSN":"1996-1073","issue":"19","journalAbbreviation":"Energies","language":"en","license":"https://creativecommons.org/licenses/by/4.0/","page":"6052","source":"DOI.org (Crossref)","title":"Review of Technologies and Recent Advances in Low-Temperature Sorption Thermal Storage Systems","volume":"14","author":[{"family":"Ayaz","given":"Hamza"},{"family":"Chinnasamy","given":"Veerakumar"},{"family":"Yong","given":"Junhyeok"},{"family":"Cho","given":"Honghyun"}],"issued":{"date-parts":[["2021",9,23]]}}}],"schema":"https://github.com/citation-style-language/schema/raw/master/csl-citation.json"} </w:instrText>
      </w:r>
      <w:r w:rsidR="00C5769E" w:rsidRPr="00464FC9">
        <w:rPr>
          <w:color w:val="000000" w:themeColor="text1"/>
        </w:rPr>
        <w:fldChar w:fldCharType="separate"/>
      </w:r>
      <w:r w:rsidR="001814D5" w:rsidRPr="00464FC9">
        <w:rPr>
          <w:color w:val="000000" w:themeColor="text1"/>
        </w:rPr>
        <w:t>(Ayaz et al., 2021)</w:t>
      </w:r>
      <w:r w:rsidR="00C5769E" w:rsidRPr="00464FC9">
        <w:rPr>
          <w:color w:val="000000" w:themeColor="text1"/>
        </w:rPr>
        <w:fldChar w:fldCharType="end"/>
      </w:r>
      <w:r w:rsidR="00C5769E" w:rsidRPr="00464FC9">
        <w:rPr>
          <w:color w:val="000000" w:themeColor="text1"/>
        </w:rPr>
        <w:t>.</w:t>
      </w:r>
    </w:p>
    <w:p w14:paraId="7DD3683F" w14:textId="4C86C78D" w:rsidR="009632C9" w:rsidRPr="00464FC9" w:rsidRDefault="001814D5" w:rsidP="004103D5">
      <w:pPr>
        <w:pStyle w:val="SWCText"/>
        <w:rPr>
          <w:color w:val="000000" w:themeColor="text1"/>
        </w:rPr>
      </w:pPr>
      <w:r w:rsidRPr="00464FC9">
        <w:rPr>
          <w:color w:val="000000" w:themeColor="text1"/>
        </w:rPr>
        <w:t>Despite their theoretical promise and attractive advantages</w:t>
      </w:r>
      <w:r w:rsidR="002728D1" w:rsidRPr="00464FC9">
        <w:rPr>
          <w:color w:val="000000" w:themeColor="text1"/>
        </w:rPr>
        <w:t xml:space="preserve"> – high energy storage density, negligible heat losses over long periods, and potential for long-term storage </w:t>
      </w:r>
      <w:r w:rsidR="002728D1" w:rsidRPr="00464FC9">
        <w:rPr>
          <w:color w:val="000000" w:themeColor="text1"/>
        </w:rPr>
        <w:fldChar w:fldCharType="begin"/>
      </w:r>
      <w:r w:rsidR="002728D1" w:rsidRPr="00464FC9">
        <w:rPr>
          <w:color w:val="000000" w:themeColor="text1"/>
        </w:rPr>
        <w:instrText xml:space="preserve"> ADDIN ZOTERO_ITEM CSL_CITATION {"citationID":"XGW6vtkC","properties":{"formattedCitation":"(Sol\\uc0\\u233{} et al., 2015)","plainCitation":"(Solé et al., 2015)","noteIndex":0},"citationItems":[{"id":79,"uris":["http://zotero.org/users/local/gJ9mc1Ss/items/SAFESWJH","http://zotero.org/users/19179360/items/SAFESWJH"],"itemData":{"id":79,"type":"article-journal","abstract":"Thermal energy storage (TES) is moving towards thermochemical materials (TCM) which present attractive advantages compared to sensible and phase change materials. Nevertheless, TCM are more complex to characterize at lab scale and also the implied technology, which belongs to the chemical engineering field, needs to be contextualized in the TES field. System configurations for thermochemical energy storage are being divided into open/closed storage system and separate/integrated reactor system. Reactors, which are the core of the system, are the focus of this paper. Different gas-solid thermochemical and sorption reactors for building applications are reviewed from lab to pilot plant scale, from 0.015 to 7850 dm3. Fixed bed reactors are the most used ones. Mainly, mass transfer is limiting to achieve the expected energy density. The geometry of the reactor and contact flow pattern between phases are key parameters for a better performance.","container-title":"Renewable and Sustainable Energy Reviews","DOI":"10.1016/j.rser.2015.03.077","ISSN":"13640321","journalAbbreviation":"Renewable and Sustainable Energy Reviews","language":"en","page":"386-398","source":"DOI.org (Crossref)","title":"State of the art on gas–solid thermochemical energy storage systems and reactors for building applications","volume":"47","author":[{"family":"Solé","given":"Aran"},{"family":"Martorell","given":"Ingrid"},{"family":"Cabeza","given":"Luisa F."}],"issued":{"date-parts":[["2015",7]]}}}],"schema":"https://github.com/citation-style-language/schema/raw/master/csl-citation.json"} </w:instrText>
      </w:r>
      <w:r w:rsidR="002728D1" w:rsidRPr="00464FC9">
        <w:rPr>
          <w:color w:val="000000" w:themeColor="text1"/>
        </w:rPr>
        <w:fldChar w:fldCharType="separate"/>
      </w:r>
      <w:r w:rsidR="002728D1" w:rsidRPr="00464FC9">
        <w:rPr>
          <w:color w:val="000000" w:themeColor="text1"/>
        </w:rPr>
        <w:t>(Solé et al., 2015)</w:t>
      </w:r>
      <w:r w:rsidR="002728D1" w:rsidRPr="00464FC9">
        <w:rPr>
          <w:color w:val="000000" w:themeColor="text1"/>
        </w:rPr>
        <w:fldChar w:fldCharType="end"/>
      </w:r>
      <w:r w:rsidR="002728D1" w:rsidRPr="00464FC9">
        <w:rPr>
          <w:color w:val="000000" w:themeColor="text1"/>
        </w:rPr>
        <w:t xml:space="preserve"> - </w:t>
      </w:r>
      <w:r w:rsidRPr="00464FC9">
        <w:rPr>
          <w:color w:val="000000" w:themeColor="text1"/>
        </w:rPr>
        <w:t xml:space="preserve"> </w:t>
      </w:r>
      <w:r w:rsidR="00A31FC8" w:rsidRPr="00464FC9">
        <w:rPr>
          <w:color w:val="000000" w:themeColor="text1"/>
        </w:rPr>
        <w:t xml:space="preserve">Thermochemical energy storage </w:t>
      </w:r>
      <w:r w:rsidR="00A31FC8" w:rsidRPr="00464FC9">
        <w:rPr>
          <w:color w:val="000000" w:themeColor="text1"/>
        </w:rPr>
        <w:lastRenderedPageBreak/>
        <w:t>(</w:t>
      </w:r>
      <w:r w:rsidRPr="00464FC9">
        <w:rPr>
          <w:color w:val="000000" w:themeColor="text1"/>
        </w:rPr>
        <w:t>TCES</w:t>
      </w:r>
      <w:r w:rsidR="00A31FC8" w:rsidRPr="00464FC9">
        <w:rPr>
          <w:color w:val="000000" w:themeColor="text1"/>
        </w:rPr>
        <w:t>)</w:t>
      </w:r>
      <w:r w:rsidRPr="00464FC9">
        <w:rPr>
          <w:color w:val="000000" w:themeColor="text1"/>
        </w:rPr>
        <w:t xml:space="preserve"> technologies are still in the early stages of development</w:t>
      </w:r>
      <w:r w:rsidR="00EA66AC" w:rsidRPr="00464FC9">
        <w:rPr>
          <w:color w:val="000000" w:themeColor="text1"/>
        </w:rPr>
        <w:t>.</w:t>
      </w:r>
      <w:r w:rsidR="0085416D" w:rsidRPr="00464FC9">
        <w:rPr>
          <w:color w:val="000000" w:themeColor="text1"/>
        </w:rPr>
        <w:t xml:space="preserve"> Actually, they </w:t>
      </w:r>
      <w:r w:rsidRPr="00464FC9">
        <w:rPr>
          <w:color w:val="000000" w:themeColor="text1"/>
        </w:rPr>
        <w:t>face several critical shortcomings</w:t>
      </w:r>
      <w:r w:rsidR="00735724" w:rsidRPr="00464FC9">
        <w:rPr>
          <w:color w:val="000000" w:themeColor="text1"/>
        </w:rPr>
        <w:t>, such as the lack of reactor-scale experimentation,</w:t>
      </w:r>
      <w:r w:rsidRPr="00464FC9">
        <w:rPr>
          <w:color w:val="000000" w:themeColor="text1"/>
        </w:rPr>
        <w:t xml:space="preserve"> that hinder their widespread commercialization</w:t>
      </w:r>
      <w:r w:rsidR="005F4E0E" w:rsidRPr="00464FC9">
        <w:rPr>
          <w:color w:val="000000" w:themeColor="text1"/>
        </w:rPr>
        <w:t xml:space="preserve"> </w:t>
      </w:r>
      <w:r w:rsidRPr="00464FC9">
        <w:rPr>
          <w:color w:val="000000" w:themeColor="text1"/>
        </w:rPr>
        <w:fldChar w:fldCharType="begin"/>
      </w:r>
      <w:r w:rsidRPr="00464FC9">
        <w:rPr>
          <w:color w:val="000000" w:themeColor="text1"/>
        </w:rPr>
        <w:instrText xml:space="preserve"> ADDIN ZOTERO_ITEM CSL_CITATION {"citationID":"meOtBmPD","properties":{"formattedCitation":"(Galazutdinova et al., 2024)","plainCitation":"(Galazutdinova et al., 2024)","noteIndex":0},"citationItems":[{"id":136,"uris":["http://zotero.org/users/local/gJ9mc1Ss/items/3I67KTKT","http://zotero.org/users/19179360/items/3I67KTKT"],"itemData":{"id":136,"type":"article-journal","abstract":"This paper introduces an innovative design for an “inorganic salt-expanded graphite” composite thermochemical system. The storage unit is made of a perforated, compressed, expanded graphite block impregnated with molten CaCl2·6H2O; the humid air passes through the holes that allow the moisture to diffuse and react with the salt. The prepared block underwent 90 hydrationdehydration cycles. Although most of the performed cycles were carried out with salt overhydration and deliquescence, the treated samples have remained mechanically and thermally stable with no drop in energy density. The volumetric energy density of the composite ranged from 135.5 to 277.6 kWh/m3, depending on airflow rate and absolute humidity. To ensure composite material cycling stability, the energy density of the block was measured during hydration at similar conditions of absolute humidity, inlet temperature, and airflow rate (0.01 kgwater/kgair, 20 ◦C, 400 l/min). The average energy density at these conditions was sustained at 219 kWh/m3. The block integrity was monitored by visual inspection after removing it from the reactor chamber every few cycles. Both the composite material and its manufacturing process are simple and easy to scale up for future commercialization.","container-title":"Energies","DOI":"10.3390/en17205228","ISSN":"1996-1073","issue":"20","journalAbbreviation":"Energies","language":"en","license":"https://creativecommons.org/licenses/by/4.0/","page":"5228","source":"DOI.org (Crossref)","title":"New Thermochemical Salt Hydrate System for Energy Storage in Buildings","volume":"17","author":[{"family":"Galazutdinova","given":"Yana"},{"family":"Clark","given":"Ruby-Jean"},{"family":"Al-Hallaj","given":"Said"},{"family":"Kaur","given":"Sumanjeet"},{"family":"Farid","given":"Mohammed"}],"issued":{"date-parts":[["2024",10,21]]}}}],"schema":"https://github.com/citation-style-language/schema/raw/master/csl-citation.json"} </w:instrText>
      </w:r>
      <w:r w:rsidRPr="00464FC9">
        <w:rPr>
          <w:color w:val="000000" w:themeColor="text1"/>
        </w:rPr>
        <w:fldChar w:fldCharType="separate"/>
      </w:r>
      <w:r w:rsidRPr="00464FC9">
        <w:rPr>
          <w:color w:val="000000" w:themeColor="text1"/>
        </w:rPr>
        <w:t>(Galazutdinova et al., 2024)</w:t>
      </w:r>
      <w:r w:rsidRPr="00464FC9">
        <w:rPr>
          <w:color w:val="000000" w:themeColor="text1"/>
        </w:rPr>
        <w:fldChar w:fldCharType="end"/>
      </w:r>
      <w:r w:rsidRPr="00464FC9">
        <w:rPr>
          <w:color w:val="000000" w:themeColor="text1"/>
        </w:rPr>
        <w:t>.</w:t>
      </w:r>
    </w:p>
    <w:p w14:paraId="418E9759" w14:textId="335A4FB9" w:rsidR="00190852" w:rsidRPr="00464FC9" w:rsidRDefault="00190852" w:rsidP="004103D5">
      <w:pPr>
        <w:pStyle w:val="SWCText"/>
        <w:rPr>
          <w:color w:val="000000" w:themeColor="text1"/>
        </w:rPr>
      </w:pPr>
      <w:r w:rsidRPr="00464FC9">
        <w:rPr>
          <w:color w:val="000000" w:themeColor="text1"/>
        </w:rPr>
        <w:t xml:space="preserve">The cost of hydrated salts suitable for TCES and the difficulty of incorporating them into a durable matrix are the main obstacles hindering reactor-scale testing. For these reasons, ettringite has emerged as a promising thermochemical material. This salt can be produced in large quantities from cement, yielding a low-cost (&lt; €1,000/m³) and self-supporting material within a reactor. Furthermore, at the powder scale, it exhibits a high energy density of 547 kWh/m³ </w:t>
      </w:r>
      <w:r w:rsidR="0032795D" w:rsidRPr="00464FC9">
        <w:rPr>
          <w:color w:val="000000" w:themeColor="text1"/>
        </w:rPr>
        <w:t>for the pure</w:t>
      </w:r>
      <w:r w:rsidRPr="00464FC9">
        <w:rPr>
          <w:color w:val="000000" w:themeColor="text1"/>
        </w:rPr>
        <w:t xml:space="preserve"> </w:t>
      </w:r>
      <w:r w:rsidR="0032795D" w:rsidRPr="00464FC9">
        <w:rPr>
          <w:color w:val="000000" w:themeColor="text1"/>
        </w:rPr>
        <w:t>salt</w:t>
      </w:r>
      <w:r w:rsidRPr="00464FC9">
        <w:rPr>
          <w:color w:val="000000" w:themeColor="text1"/>
        </w:rPr>
        <w:t xml:space="preserve"> </w:t>
      </w:r>
      <w:r w:rsidRPr="00464FC9">
        <w:rPr>
          <w:color w:val="000000" w:themeColor="text1"/>
        </w:rPr>
        <w:fldChar w:fldCharType="begin"/>
      </w:r>
      <w:r w:rsidRPr="00464FC9">
        <w:rPr>
          <w:color w:val="000000" w:themeColor="text1"/>
        </w:rPr>
        <w:instrText xml:space="preserve"> ADDIN ZOTERO_ITEM CSL_CITATION {"citationID":"24S96mJu","properties":{"formattedCitation":"(Chen et al., 2021b)","plainCitation":"(Chen et al., 2021b)","noteIndex":0},"citationItems":[{"id":293,"uris":["http://zotero.org/users/local/gJ9mc1Ss/items/68CFUPZA","http://zotero.org/users/19179360/items/68CFUPZA"],"itemData":{"id":293,"type":"article-journal","abstract":"Ettringite-based thermochemical energy storage has been recommended to be used in buildings for thermal energy supply because of its low material cost (&lt;1000 €/m3), low working temperature and high energy storage capacity. However, several physicochemical properties of ettringite were still not clear, such as reversible re­ action enthalpies, thermodynamic equilibrium, and kinetics of the dehydration/hydration reactions. In this study, the dehydration of ettringite was experimentally confirmed as stepwise in TGA-DSC, Ett30.6 → Ett30 → Met 17.8 → Met11.7 → Met7.5, which is consistent with the inference according to the crystal structure. The thermodynamic equilibrium of the reversible reactions presented the impact of water activity on the stability of ettringite at controlled temperatures and water vapor partial pressures. The thermodynamic modeling based on experiment results is consistent with the extrapolated model from the literature. The rehydration enthalpy of ettringite has been confirmed about 1370 kJ/mol, which equals an energy density of 547 kWh/m3 under the operating conditions of 20 ◦C and 90% RH.","container-title":"Solar Energy Materials and Solar Cells","DOI":"10.1016/j.solmat.2020.110877","ISSN":"09270248","journalAbbreviation":"Solar Energy Materials and Solar Cells","language":"en","page":"110877","source":"DOI.org (Crossref)","title":"Investigation on ettringite as a low-cost high-density thermochemical heat storage material: Thermodynamics and kinetics","title-short":"Investigation on ettringite as a low-cost high-density thermochemical heat storage material","volume":"221","author":[{"family":"Chen","given":"B."},{"family":"Johannes","given":"K."},{"family":"Ratel","given":"L."},{"family":"Horgnies","given":"M."},{"family":"Morin","given":"V."},{"family":"Kuznik","given":"F."}],"issued":{"date-parts":[["2021",3]]}}}],"schema":"https://github.com/citation-style-language/schema/raw/master/csl-citation.json"} </w:instrText>
      </w:r>
      <w:r w:rsidRPr="00464FC9">
        <w:rPr>
          <w:color w:val="000000" w:themeColor="text1"/>
        </w:rPr>
        <w:fldChar w:fldCharType="separate"/>
      </w:r>
      <w:r w:rsidRPr="00464FC9">
        <w:rPr>
          <w:color w:val="000000" w:themeColor="text1"/>
        </w:rPr>
        <w:t>(Chen et al., 2021b)</w:t>
      </w:r>
      <w:r w:rsidRPr="00464FC9">
        <w:rPr>
          <w:color w:val="000000" w:themeColor="text1"/>
        </w:rPr>
        <w:fldChar w:fldCharType="end"/>
      </w:r>
      <w:r w:rsidRPr="00464FC9">
        <w:rPr>
          <w:color w:val="000000" w:themeColor="text1"/>
        </w:rPr>
        <w:t>.</w:t>
      </w:r>
    </w:p>
    <w:p w14:paraId="0D812DDA" w14:textId="5D236AD2" w:rsidR="00AE624A" w:rsidRPr="00464FC9" w:rsidRDefault="00AE624A" w:rsidP="00AE624A">
      <w:pPr>
        <w:pStyle w:val="SWCText"/>
        <w:rPr>
          <w:color w:val="000000" w:themeColor="text1"/>
        </w:rPr>
      </w:pPr>
      <w:r w:rsidRPr="00464FC9">
        <w:rPr>
          <w:color w:val="000000" w:themeColor="text1"/>
        </w:rPr>
        <w:t xml:space="preserve">Ettringite </w:t>
      </w:r>
      <w:r w:rsidR="006F39DE" w:rsidRPr="00464FC9">
        <w:rPr>
          <w:color w:val="000000" w:themeColor="text1"/>
        </w:rPr>
        <w:t xml:space="preserve">is a crystalline mineral material </w:t>
      </w:r>
      <w:r w:rsidRPr="00464FC9">
        <w:rPr>
          <w:color w:val="000000" w:themeColor="text1"/>
        </w:rPr>
        <w:t>(3CaO</w:t>
      </w:r>
      <w:r w:rsidRPr="00464FC9">
        <w:rPr>
          <w:rFonts w:ascii="Cambria Math" w:hAnsi="Cambria Math" w:cs="Cambria Math"/>
          <w:color w:val="000000" w:themeColor="text1"/>
        </w:rPr>
        <w:t>⋅</w:t>
      </w:r>
      <w:r w:rsidRPr="00464FC9">
        <w:rPr>
          <w:color w:val="000000" w:themeColor="text1"/>
        </w:rPr>
        <w:t>Al</w:t>
      </w:r>
      <w:r w:rsidRPr="00464FC9">
        <w:rPr>
          <w:color w:val="000000" w:themeColor="text1"/>
          <w:vertAlign w:val="subscript"/>
        </w:rPr>
        <w:t>2</w:t>
      </w:r>
      <w:r w:rsidRPr="00464FC9">
        <w:rPr>
          <w:color w:val="000000" w:themeColor="text1"/>
        </w:rPr>
        <w:t>O</w:t>
      </w:r>
      <w:r w:rsidRPr="00464FC9">
        <w:rPr>
          <w:color w:val="000000" w:themeColor="text1"/>
          <w:vertAlign w:val="subscript"/>
        </w:rPr>
        <w:t>3</w:t>
      </w:r>
      <w:r w:rsidRPr="00464FC9">
        <w:rPr>
          <w:rFonts w:ascii="Cambria Math" w:hAnsi="Cambria Math" w:cs="Cambria Math"/>
          <w:color w:val="000000" w:themeColor="text1"/>
        </w:rPr>
        <w:t>⋅</w:t>
      </w:r>
      <w:r w:rsidRPr="00464FC9">
        <w:rPr>
          <w:color w:val="000000" w:themeColor="text1"/>
        </w:rPr>
        <w:t>3CaSO</w:t>
      </w:r>
      <w:r w:rsidRPr="00464FC9">
        <w:rPr>
          <w:color w:val="000000" w:themeColor="text1"/>
          <w:vertAlign w:val="subscript"/>
        </w:rPr>
        <w:t>4</w:t>
      </w:r>
      <w:r w:rsidRPr="00464FC9">
        <w:rPr>
          <w:rFonts w:ascii="Cambria Math" w:hAnsi="Cambria Math" w:cs="Cambria Math"/>
          <w:color w:val="000000" w:themeColor="text1"/>
        </w:rPr>
        <w:t>⋅</w:t>
      </w:r>
      <w:r w:rsidRPr="00464FC9">
        <w:rPr>
          <w:color w:val="000000" w:themeColor="text1"/>
        </w:rPr>
        <w:t>32H</w:t>
      </w:r>
      <w:r w:rsidRPr="00464FC9">
        <w:rPr>
          <w:color w:val="000000" w:themeColor="text1"/>
          <w:vertAlign w:val="subscript"/>
        </w:rPr>
        <w:t>2</w:t>
      </w:r>
      <w:r w:rsidRPr="00464FC9">
        <w:rPr>
          <w:color w:val="000000" w:themeColor="text1"/>
        </w:rPr>
        <w:t>O or Ca</w:t>
      </w:r>
      <w:r w:rsidRPr="00464FC9">
        <w:rPr>
          <w:color w:val="000000" w:themeColor="text1"/>
          <w:vertAlign w:val="subscript"/>
        </w:rPr>
        <w:t>6</w:t>
      </w:r>
      <w:r w:rsidRPr="00464FC9">
        <w:rPr>
          <w:color w:val="000000" w:themeColor="text1"/>
        </w:rPr>
        <w:t>Al</w:t>
      </w:r>
      <w:r w:rsidRPr="00464FC9">
        <w:rPr>
          <w:color w:val="000000" w:themeColor="text1"/>
          <w:vertAlign w:val="subscript"/>
        </w:rPr>
        <w:t>2</w:t>
      </w:r>
      <w:r w:rsidRPr="00464FC9">
        <w:rPr>
          <w:color w:val="000000" w:themeColor="text1"/>
        </w:rPr>
        <w:t>(SO</w:t>
      </w:r>
      <w:r w:rsidRPr="00464FC9">
        <w:rPr>
          <w:color w:val="000000" w:themeColor="text1"/>
          <w:vertAlign w:val="subscript"/>
        </w:rPr>
        <w:t>4</w:t>
      </w:r>
      <w:r w:rsidRPr="00464FC9">
        <w:rPr>
          <w:color w:val="000000" w:themeColor="text1"/>
        </w:rPr>
        <w:t>)</w:t>
      </w:r>
      <w:r w:rsidRPr="00464FC9">
        <w:rPr>
          <w:color w:val="000000" w:themeColor="text1"/>
          <w:vertAlign w:val="subscript"/>
        </w:rPr>
        <w:t>3</w:t>
      </w:r>
      <w:r w:rsidRPr="00464FC9">
        <w:rPr>
          <w:color w:val="000000" w:themeColor="text1"/>
        </w:rPr>
        <w:t>(OH)</w:t>
      </w:r>
      <w:r w:rsidRPr="00464FC9">
        <w:rPr>
          <w:color w:val="000000" w:themeColor="text1"/>
          <w:vertAlign w:val="subscript"/>
        </w:rPr>
        <w:t>12</w:t>
      </w:r>
      <w:r w:rsidRPr="00464FC9">
        <w:rPr>
          <w:color w:val="000000" w:themeColor="text1"/>
        </w:rPr>
        <w:t>·26H</w:t>
      </w:r>
      <w:r w:rsidRPr="00464FC9">
        <w:rPr>
          <w:color w:val="000000" w:themeColor="text1"/>
          <w:vertAlign w:val="subscript"/>
        </w:rPr>
        <w:t>2</w:t>
      </w:r>
      <w:r w:rsidRPr="00464FC9">
        <w:rPr>
          <w:color w:val="000000" w:themeColor="text1"/>
        </w:rPr>
        <w:t xml:space="preserve">O) </w:t>
      </w:r>
      <w:r w:rsidR="006F39DE" w:rsidRPr="00464FC9">
        <w:rPr>
          <w:color w:val="000000" w:themeColor="text1"/>
        </w:rPr>
        <w:t xml:space="preserve">which is </w:t>
      </w:r>
      <w:r w:rsidRPr="00464FC9">
        <w:rPr>
          <w:color w:val="000000" w:themeColor="text1"/>
        </w:rPr>
        <w:t>theoretically composed of 32 water molecules chemically bonded to its structure</w:t>
      </w:r>
      <w:r w:rsidR="00190852" w:rsidRPr="00464FC9">
        <w:rPr>
          <w:color w:val="000000" w:themeColor="text1"/>
        </w:rPr>
        <w:t xml:space="preserve"> and appear to be</w:t>
      </w:r>
      <w:r w:rsidRPr="00464FC9">
        <w:rPr>
          <w:color w:val="000000" w:themeColor="text1"/>
        </w:rPr>
        <w:t xml:space="preserve"> thermosensitive</w:t>
      </w:r>
      <w:r w:rsidR="00AC308E" w:rsidRPr="00464FC9">
        <w:rPr>
          <w:color w:val="000000" w:themeColor="text1"/>
        </w:rPr>
        <w:t xml:space="preserve">: </w:t>
      </w:r>
      <w:r w:rsidRPr="00464FC9">
        <w:rPr>
          <w:color w:val="000000" w:themeColor="text1"/>
        </w:rPr>
        <w:t xml:space="preserve"> </w:t>
      </w:r>
      <w:r w:rsidR="00190852" w:rsidRPr="00464FC9">
        <w:rPr>
          <w:color w:val="000000" w:themeColor="text1"/>
        </w:rPr>
        <w:t xml:space="preserve">Under the effect of the temperature, </w:t>
      </w:r>
      <w:r w:rsidR="00AC308E" w:rsidRPr="00464FC9">
        <w:rPr>
          <w:color w:val="000000" w:themeColor="text1"/>
        </w:rPr>
        <w:t xml:space="preserve">the crystalline ettringite structure is modified into an amorphous structure, known as meta-ettringite, when </w:t>
      </w:r>
      <w:r w:rsidR="00190852" w:rsidRPr="00464FC9">
        <w:rPr>
          <w:color w:val="000000" w:themeColor="text1"/>
        </w:rPr>
        <w:t xml:space="preserve">hydrogen and oxygen molecules </w:t>
      </w:r>
      <w:r w:rsidRPr="00464FC9">
        <w:rPr>
          <w:color w:val="000000" w:themeColor="text1"/>
        </w:rPr>
        <w:t>detach in the form of water molecules (H</w:t>
      </w:r>
      <w:r w:rsidRPr="00464FC9">
        <w:rPr>
          <w:color w:val="000000" w:themeColor="text1"/>
          <w:vertAlign w:val="subscript"/>
        </w:rPr>
        <w:t>2</w:t>
      </w:r>
      <w:r w:rsidRPr="00464FC9">
        <w:rPr>
          <w:color w:val="000000" w:themeColor="text1"/>
        </w:rPr>
        <w:t>O).</w:t>
      </w:r>
      <w:r w:rsidR="00B86AEA" w:rsidRPr="00464FC9">
        <w:rPr>
          <w:color w:val="000000" w:themeColor="text1"/>
        </w:rPr>
        <w:t xml:space="preserve"> </w:t>
      </w:r>
      <w:r w:rsidR="00A64A80" w:rsidRPr="00464FC9">
        <w:rPr>
          <w:color w:val="000000" w:themeColor="text1"/>
        </w:rPr>
        <w:t>The fundamental mechanism for thermochemical heat storage and release is t</w:t>
      </w:r>
      <w:r w:rsidRPr="00464FC9">
        <w:rPr>
          <w:color w:val="000000" w:themeColor="text1"/>
        </w:rPr>
        <w:t>he reversible dehydration and hydration of the ettringite/meta-ettringite couple, as depicted in the following equation (Eq. 1):</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38"/>
        <w:gridCol w:w="829"/>
      </w:tblGrid>
      <w:tr w:rsidR="00AE624A" w:rsidRPr="00464FC9" w14:paraId="5EEE41C3" w14:textId="77777777" w:rsidTr="007F4EB6">
        <w:trPr>
          <w:trHeight w:val="407"/>
        </w:trPr>
        <w:tc>
          <w:tcPr>
            <w:tcW w:w="7938" w:type="dxa"/>
          </w:tcPr>
          <w:p w14:paraId="7ACB803C" w14:textId="13ECA8A2" w:rsidR="00AE624A" w:rsidRPr="00464FC9" w:rsidRDefault="00AE624A" w:rsidP="00C1714D">
            <w:pPr>
              <w:spacing w:line="480" w:lineRule="auto"/>
              <w:rPr>
                <w:bCs/>
                <w:color w:val="000000" w:themeColor="text1"/>
                <w:lang w:val="en-US"/>
              </w:rPr>
            </w:pPr>
            <m:oMathPara>
              <m:oMath>
                <m:r>
                  <m:rPr>
                    <m:sty m:val="p"/>
                  </m:rPr>
                  <w:rPr>
                    <w:rFonts w:ascii="Cambria Math" w:eastAsia="Aptos" w:hAnsi="Cambria Math" w:cs="Aptos"/>
                    <w:color w:val="000000" w:themeColor="text1"/>
                    <w:sz w:val="20"/>
                    <w:szCs w:val="20"/>
                    <w:lang w:val="en-US"/>
                  </w:rPr>
                  <m:t>C</m:t>
                </m:r>
                <m:sSub>
                  <m:sSubPr>
                    <m:ctrlPr>
                      <w:rPr>
                        <w:rFonts w:ascii="Cambria Math" w:eastAsia="Aptos" w:hAnsi="Cambria Math" w:cs="Aptos"/>
                        <w:bCs/>
                        <w:color w:val="000000" w:themeColor="text1"/>
                        <w:sz w:val="20"/>
                        <w:szCs w:val="20"/>
                        <w:lang w:val="en-US"/>
                      </w:rPr>
                    </m:ctrlPr>
                  </m:sSubPr>
                  <m:e>
                    <m:r>
                      <m:rPr>
                        <m:sty m:val="p"/>
                      </m:rPr>
                      <w:rPr>
                        <w:rFonts w:ascii="Cambria Math" w:eastAsia="Aptos" w:hAnsi="Cambria Math" w:cs="Aptos"/>
                        <w:color w:val="000000" w:themeColor="text1"/>
                        <w:sz w:val="20"/>
                        <w:szCs w:val="20"/>
                        <w:lang w:val="en-US"/>
                      </w:rPr>
                      <m:t>a</m:t>
                    </m:r>
                  </m:e>
                  <m:sub>
                    <m:r>
                      <w:rPr>
                        <w:rFonts w:ascii="Cambria Math" w:eastAsia="Aptos" w:hAnsi="Cambria Math" w:cs="Aptos"/>
                        <w:color w:val="000000" w:themeColor="text1"/>
                        <w:sz w:val="20"/>
                        <w:szCs w:val="20"/>
                        <w:lang w:val="en-US"/>
                      </w:rPr>
                      <m:t>6</m:t>
                    </m:r>
                  </m:sub>
                </m:sSub>
                <m:sSub>
                  <m:sSubPr>
                    <m:ctrlPr>
                      <w:rPr>
                        <w:rFonts w:ascii="Cambria Math" w:eastAsia="Aptos" w:hAnsi="Cambria Math" w:cs="Aptos"/>
                        <w:bCs/>
                        <w:color w:val="000000" w:themeColor="text1"/>
                        <w:sz w:val="20"/>
                        <w:szCs w:val="20"/>
                        <w:lang w:val="en-US"/>
                      </w:rPr>
                    </m:ctrlPr>
                  </m:sSubPr>
                  <m:e>
                    <m:r>
                      <m:rPr>
                        <m:sty m:val="p"/>
                      </m:rPr>
                      <w:rPr>
                        <w:rFonts w:ascii="Cambria Math" w:eastAsia="Aptos" w:hAnsi="Cambria Math" w:cs="Aptos"/>
                        <w:color w:val="000000" w:themeColor="text1"/>
                        <w:sz w:val="20"/>
                        <w:szCs w:val="20"/>
                        <w:lang w:val="en-US"/>
                      </w:rPr>
                      <m:t>Al</m:t>
                    </m:r>
                  </m:e>
                  <m:sub>
                    <m:r>
                      <w:rPr>
                        <w:rFonts w:ascii="Cambria Math" w:eastAsia="Aptos" w:hAnsi="Cambria Math" w:cs="Aptos"/>
                        <w:color w:val="000000" w:themeColor="text1"/>
                        <w:sz w:val="20"/>
                        <w:szCs w:val="20"/>
                        <w:lang w:val="en-US"/>
                      </w:rPr>
                      <m:t>2</m:t>
                    </m:r>
                  </m:sub>
                </m:sSub>
                <m:sSub>
                  <m:sSubPr>
                    <m:ctrlPr>
                      <w:rPr>
                        <w:rFonts w:ascii="Cambria Math" w:eastAsia="Aptos" w:hAnsi="Cambria Math" w:cs="Aptos"/>
                        <w:bCs/>
                        <w:color w:val="000000" w:themeColor="text1"/>
                        <w:sz w:val="20"/>
                        <w:szCs w:val="20"/>
                        <w:lang w:val="en-US"/>
                      </w:rPr>
                    </m:ctrlPr>
                  </m:sSubPr>
                  <m:e>
                    <m:d>
                      <m:dPr>
                        <m:ctrlPr>
                          <w:rPr>
                            <w:rFonts w:ascii="Cambria Math" w:eastAsia="Aptos" w:hAnsi="Cambria Math" w:cs="Aptos"/>
                            <w:bCs/>
                            <w:color w:val="000000" w:themeColor="text1"/>
                            <w:sz w:val="20"/>
                            <w:szCs w:val="20"/>
                            <w:lang w:val="en-US"/>
                          </w:rPr>
                        </m:ctrlPr>
                      </m:dPr>
                      <m:e>
                        <m:sSub>
                          <m:sSubPr>
                            <m:ctrlPr>
                              <w:rPr>
                                <w:rFonts w:ascii="Cambria Math" w:eastAsia="Aptos" w:hAnsi="Cambria Math" w:cs="Aptos"/>
                                <w:bCs/>
                                <w:color w:val="000000" w:themeColor="text1"/>
                                <w:sz w:val="20"/>
                                <w:szCs w:val="20"/>
                                <w:lang w:val="en-US"/>
                              </w:rPr>
                            </m:ctrlPr>
                          </m:sSubPr>
                          <m:e>
                            <m:r>
                              <m:rPr>
                                <m:sty m:val="p"/>
                              </m:rPr>
                              <w:rPr>
                                <w:rFonts w:ascii="Cambria Math" w:eastAsia="Aptos" w:hAnsi="Cambria Math" w:cs="Aptos"/>
                                <w:color w:val="000000" w:themeColor="text1"/>
                                <w:sz w:val="20"/>
                                <w:szCs w:val="20"/>
                                <w:lang w:val="en-US"/>
                              </w:rPr>
                              <m:t>SO</m:t>
                            </m:r>
                          </m:e>
                          <m:sub>
                            <m:r>
                              <w:rPr>
                                <w:rFonts w:ascii="Cambria Math" w:eastAsia="Aptos" w:hAnsi="Cambria Math" w:cs="Aptos"/>
                                <w:color w:val="000000" w:themeColor="text1"/>
                                <w:sz w:val="20"/>
                                <w:szCs w:val="20"/>
                                <w:lang w:val="en-US"/>
                              </w:rPr>
                              <m:t>4</m:t>
                            </m:r>
                          </m:sub>
                        </m:sSub>
                      </m:e>
                    </m:d>
                  </m:e>
                  <m:sub>
                    <m:r>
                      <w:rPr>
                        <w:rFonts w:ascii="Cambria Math" w:eastAsia="Aptos" w:hAnsi="Cambria Math" w:cs="Aptos"/>
                        <w:color w:val="000000" w:themeColor="text1"/>
                        <w:sz w:val="20"/>
                        <w:szCs w:val="20"/>
                        <w:lang w:val="en-US"/>
                      </w:rPr>
                      <m:t>3</m:t>
                    </m:r>
                  </m:sub>
                </m:sSub>
                <m:sSub>
                  <m:sSubPr>
                    <m:ctrlPr>
                      <w:rPr>
                        <w:rFonts w:ascii="Cambria Math" w:eastAsia="Aptos" w:hAnsi="Cambria Math" w:cs="Aptos"/>
                        <w:bCs/>
                        <w:color w:val="000000" w:themeColor="text1"/>
                        <w:sz w:val="20"/>
                        <w:szCs w:val="20"/>
                        <w:lang w:val="en-US"/>
                      </w:rPr>
                    </m:ctrlPr>
                  </m:sSubPr>
                  <m:e>
                    <m:d>
                      <m:dPr>
                        <m:ctrlPr>
                          <w:rPr>
                            <w:rFonts w:ascii="Cambria Math" w:eastAsia="Aptos" w:hAnsi="Cambria Math" w:cs="Aptos"/>
                            <w:bCs/>
                            <w:color w:val="000000" w:themeColor="text1"/>
                            <w:sz w:val="20"/>
                            <w:szCs w:val="20"/>
                            <w:lang w:val="en-US"/>
                          </w:rPr>
                        </m:ctrlPr>
                      </m:dPr>
                      <m:e>
                        <m:r>
                          <m:rPr>
                            <m:sty m:val="p"/>
                          </m:rPr>
                          <w:rPr>
                            <w:rFonts w:ascii="Cambria Math" w:eastAsia="Aptos" w:hAnsi="Cambria Math" w:cs="Aptos"/>
                            <w:color w:val="000000" w:themeColor="text1"/>
                            <w:sz w:val="20"/>
                            <w:szCs w:val="20"/>
                            <w:lang w:val="en-US"/>
                          </w:rPr>
                          <m:t>OH</m:t>
                        </m:r>
                      </m:e>
                    </m:d>
                  </m:e>
                  <m:sub>
                    <m:r>
                      <w:rPr>
                        <w:rFonts w:ascii="Cambria Math" w:eastAsia="Aptos" w:hAnsi="Cambria Math" w:cs="Aptos"/>
                        <w:color w:val="000000" w:themeColor="text1"/>
                        <w:sz w:val="20"/>
                        <w:szCs w:val="20"/>
                        <w:lang w:val="en-US"/>
                      </w:rPr>
                      <m:t>12</m:t>
                    </m:r>
                  </m:sub>
                </m:sSub>
                <m:r>
                  <m:rPr>
                    <m:sty m:val="p"/>
                  </m:rPr>
                  <w:rPr>
                    <w:rFonts w:ascii="Cambria Math" w:eastAsia="Aptos" w:hAnsi="Cambria Math" w:cs="Aptos"/>
                    <w:color w:val="000000" w:themeColor="text1"/>
                    <w:sz w:val="20"/>
                    <w:szCs w:val="20"/>
                    <w:lang w:val="en-US"/>
                  </w:rPr>
                  <m:t>·26(</m:t>
                </m:r>
                <m:sSub>
                  <m:sSubPr>
                    <m:ctrlPr>
                      <w:rPr>
                        <w:rFonts w:ascii="Cambria Math" w:eastAsia="Aptos" w:hAnsi="Cambria Math" w:cs="Aptos"/>
                        <w:bCs/>
                        <w:color w:val="000000" w:themeColor="text1"/>
                        <w:sz w:val="20"/>
                        <w:szCs w:val="20"/>
                        <w:lang w:val="en-US"/>
                      </w:rPr>
                    </m:ctrlPr>
                  </m:sSubPr>
                  <m:e>
                    <m:r>
                      <w:rPr>
                        <w:rFonts w:ascii="Cambria Math" w:eastAsia="Aptos" w:hAnsi="Cambria Math" w:cs="Aptos"/>
                        <w:color w:val="000000" w:themeColor="text1"/>
                        <w:sz w:val="20"/>
                        <w:szCs w:val="20"/>
                        <w:lang w:val="en-US"/>
                      </w:rPr>
                      <m:t>H</m:t>
                    </m:r>
                  </m:e>
                  <m:sub>
                    <m:r>
                      <w:rPr>
                        <w:rFonts w:ascii="Cambria Math" w:eastAsia="Aptos" w:hAnsi="Cambria Math" w:cs="Aptos"/>
                        <w:color w:val="000000" w:themeColor="text1"/>
                        <w:sz w:val="20"/>
                        <w:szCs w:val="20"/>
                        <w:lang w:val="en-US"/>
                      </w:rPr>
                      <m:t>2</m:t>
                    </m:r>
                  </m:sub>
                </m:sSub>
                <m:r>
                  <m:rPr>
                    <m:sty m:val="p"/>
                  </m:rPr>
                  <w:rPr>
                    <w:rFonts w:ascii="Cambria Math" w:eastAsia="Aptos" w:hAnsi="Cambria Math" w:cs="Aptos"/>
                    <w:color w:val="000000" w:themeColor="text1"/>
                    <w:sz w:val="20"/>
                    <w:szCs w:val="20"/>
                    <w:lang w:val="en-US"/>
                  </w:rPr>
                  <m:t>O)+Heat ↔  C</m:t>
                </m:r>
                <m:sSub>
                  <m:sSubPr>
                    <m:ctrlPr>
                      <w:rPr>
                        <w:rFonts w:ascii="Cambria Math" w:eastAsia="Aptos" w:hAnsi="Cambria Math" w:cs="Aptos"/>
                        <w:bCs/>
                        <w:color w:val="000000" w:themeColor="text1"/>
                        <w:sz w:val="20"/>
                        <w:szCs w:val="20"/>
                        <w:lang w:val="en-US"/>
                      </w:rPr>
                    </m:ctrlPr>
                  </m:sSubPr>
                  <m:e>
                    <m:r>
                      <m:rPr>
                        <m:sty m:val="p"/>
                      </m:rPr>
                      <w:rPr>
                        <w:rFonts w:ascii="Cambria Math" w:eastAsia="Aptos" w:hAnsi="Cambria Math" w:cs="Aptos"/>
                        <w:color w:val="000000" w:themeColor="text1"/>
                        <w:sz w:val="20"/>
                        <w:szCs w:val="20"/>
                        <w:lang w:val="en-US"/>
                      </w:rPr>
                      <m:t>a</m:t>
                    </m:r>
                  </m:e>
                  <m:sub>
                    <m:r>
                      <w:rPr>
                        <w:rFonts w:ascii="Cambria Math" w:eastAsia="Aptos" w:hAnsi="Cambria Math" w:cs="Aptos"/>
                        <w:color w:val="000000" w:themeColor="text1"/>
                        <w:sz w:val="20"/>
                        <w:szCs w:val="20"/>
                        <w:lang w:val="en-US"/>
                      </w:rPr>
                      <m:t>6</m:t>
                    </m:r>
                  </m:sub>
                </m:sSub>
                <m:sSub>
                  <m:sSubPr>
                    <m:ctrlPr>
                      <w:rPr>
                        <w:rFonts w:ascii="Cambria Math" w:eastAsia="Aptos" w:hAnsi="Cambria Math" w:cs="Aptos"/>
                        <w:bCs/>
                        <w:color w:val="000000" w:themeColor="text1"/>
                        <w:sz w:val="20"/>
                        <w:szCs w:val="20"/>
                        <w:lang w:val="en-US"/>
                      </w:rPr>
                    </m:ctrlPr>
                  </m:sSubPr>
                  <m:e>
                    <m:r>
                      <m:rPr>
                        <m:sty m:val="p"/>
                      </m:rPr>
                      <w:rPr>
                        <w:rFonts w:ascii="Cambria Math" w:eastAsia="Aptos" w:hAnsi="Cambria Math" w:cs="Aptos"/>
                        <w:color w:val="000000" w:themeColor="text1"/>
                        <w:sz w:val="20"/>
                        <w:szCs w:val="20"/>
                        <w:lang w:val="en-US"/>
                      </w:rPr>
                      <m:t>Al</m:t>
                    </m:r>
                  </m:e>
                  <m:sub>
                    <m:r>
                      <w:rPr>
                        <w:rFonts w:ascii="Cambria Math" w:eastAsia="Aptos" w:hAnsi="Cambria Math" w:cs="Aptos"/>
                        <w:color w:val="000000" w:themeColor="text1"/>
                        <w:sz w:val="20"/>
                        <w:szCs w:val="20"/>
                        <w:lang w:val="en-US"/>
                      </w:rPr>
                      <m:t>2</m:t>
                    </m:r>
                  </m:sub>
                </m:sSub>
                <m:sSub>
                  <m:sSubPr>
                    <m:ctrlPr>
                      <w:rPr>
                        <w:rFonts w:ascii="Cambria Math" w:eastAsia="Aptos" w:hAnsi="Cambria Math" w:cs="Aptos"/>
                        <w:bCs/>
                        <w:color w:val="000000" w:themeColor="text1"/>
                        <w:sz w:val="20"/>
                        <w:szCs w:val="20"/>
                        <w:lang w:val="en-US"/>
                      </w:rPr>
                    </m:ctrlPr>
                  </m:sSubPr>
                  <m:e>
                    <m:d>
                      <m:dPr>
                        <m:ctrlPr>
                          <w:rPr>
                            <w:rFonts w:ascii="Cambria Math" w:eastAsia="Aptos" w:hAnsi="Cambria Math" w:cs="Aptos"/>
                            <w:bCs/>
                            <w:color w:val="000000" w:themeColor="text1"/>
                            <w:sz w:val="20"/>
                            <w:szCs w:val="20"/>
                            <w:lang w:val="en-US"/>
                          </w:rPr>
                        </m:ctrlPr>
                      </m:dPr>
                      <m:e>
                        <m:sSub>
                          <m:sSubPr>
                            <m:ctrlPr>
                              <w:rPr>
                                <w:rFonts w:ascii="Cambria Math" w:eastAsia="Aptos" w:hAnsi="Cambria Math" w:cs="Aptos"/>
                                <w:bCs/>
                                <w:color w:val="000000" w:themeColor="text1"/>
                                <w:sz w:val="20"/>
                                <w:szCs w:val="20"/>
                                <w:lang w:val="en-US"/>
                              </w:rPr>
                            </m:ctrlPr>
                          </m:sSubPr>
                          <m:e>
                            <m:r>
                              <m:rPr>
                                <m:sty m:val="p"/>
                              </m:rPr>
                              <w:rPr>
                                <w:rFonts w:ascii="Cambria Math" w:eastAsia="Aptos" w:hAnsi="Cambria Math" w:cs="Aptos"/>
                                <w:color w:val="000000" w:themeColor="text1"/>
                                <w:sz w:val="20"/>
                                <w:szCs w:val="20"/>
                                <w:lang w:val="en-US"/>
                              </w:rPr>
                              <m:t>SO</m:t>
                            </m:r>
                          </m:e>
                          <m:sub>
                            <m:r>
                              <w:rPr>
                                <w:rFonts w:ascii="Cambria Math" w:eastAsia="Aptos" w:hAnsi="Cambria Math" w:cs="Aptos"/>
                                <w:color w:val="000000" w:themeColor="text1"/>
                                <w:sz w:val="20"/>
                                <w:szCs w:val="20"/>
                                <w:lang w:val="en-US"/>
                              </w:rPr>
                              <m:t>4</m:t>
                            </m:r>
                          </m:sub>
                        </m:sSub>
                      </m:e>
                    </m:d>
                  </m:e>
                  <m:sub>
                    <m:r>
                      <w:rPr>
                        <w:rFonts w:ascii="Cambria Math" w:eastAsia="Aptos" w:hAnsi="Cambria Math" w:cs="Aptos"/>
                        <w:color w:val="000000" w:themeColor="text1"/>
                        <w:sz w:val="20"/>
                        <w:szCs w:val="20"/>
                        <w:lang w:val="en-US"/>
                      </w:rPr>
                      <m:t>3</m:t>
                    </m:r>
                  </m:sub>
                </m:sSub>
                <m:sSub>
                  <m:sSubPr>
                    <m:ctrlPr>
                      <w:rPr>
                        <w:rFonts w:ascii="Cambria Math" w:eastAsia="Aptos" w:hAnsi="Cambria Math" w:cs="Aptos"/>
                        <w:bCs/>
                        <w:color w:val="000000" w:themeColor="text1"/>
                        <w:sz w:val="20"/>
                        <w:szCs w:val="20"/>
                        <w:lang w:val="en-US"/>
                      </w:rPr>
                    </m:ctrlPr>
                  </m:sSubPr>
                  <m:e>
                    <m:d>
                      <m:dPr>
                        <m:ctrlPr>
                          <w:rPr>
                            <w:rFonts w:ascii="Cambria Math" w:eastAsia="Aptos" w:hAnsi="Cambria Math" w:cs="Aptos"/>
                            <w:bCs/>
                            <w:color w:val="000000" w:themeColor="text1"/>
                            <w:sz w:val="20"/>
                            <w:szCs w:val="20"/>
                            <w:lang w:val="en-US"/>
                          </w:rPr>
                        </m:ctrlPr>
                      </m:dPr>
                      <m:e>
                        <m:r>
                          <m:rPr>
                            <m:sty m:val="p"/>
                          </m:rPr>
                          <w:rPr>
                            <w:rFonts w:ascii="Cambria Math" w:eastAsia="Aptos" w:hAnsi="Cambria Math" w:cs="Aptos"/>
                            <w:color w:val="000000" w:themeColor="text1"/>
                            <w:sz w:val="20"/>
                            <w:szCs w:val="20"/>
                            <w:lang w:val="en-US"/>
                          </w:rPr>
                          <m:t>OH</m:t>
                        </m:r>
                      </m:e>
                    </m:d>
                  </m:e>
                  <m:sub>
                    <m:r>
                      <w:rPr>
                        <w:rFonts w:ascii="Cambria Math" w:eastAsia="Aptos" w:hAnsi="Cambria Math" w:cs="Aptos"/>
                        <w:color w:val="000000" w:themeColor="text1"/>
                        <w:sz w:val="20"/>
                        <w:szCs w:val="20"/>
                        <w:lang w:val="en-US"/>
                      </w:rPr>
                      <m:t>12</m:t>
                    </m:r>
                  </m:sub>
                </m:sSub>
                <m:r>
                  <m:rPr>
                    <m:sty m:val="p"/>
                  </m:rPr>
                  <w:rPr>
                    <w:rFonts w:ascii="Cambria Math" w:eastAsia="Aptos" w:hAnsi="Cambria Math" w:cs="Aptos"/>
                    <w:color w:val="000000" w:themeColor="text1"/>
                    <w:sz w:val="20"/>
                    <w:szCs w:val="20"/>
                    <w:lang w:val="en-US"/>
                  </w:rPr>
                  <m:t>·x</m:t>
                </m:r>
                <m:sSub>
                  <m:sSubPr>
                    <m:ctrlPr>
                      <w:rPr>
                        <w:rFonts w:ascii="Cambria Math" w:eastAsia="Aptos" w:hAnsi="Cambria Math" w:cs="Aptos"/>
                        <w:bCs/>
                        <w:color w:val="000000" w:themeColor="text1"/>
                        <w:sz w:val="20"/>
                        <w:szCs w:val="20"/>
                        <w:lang w:val="en-US"/>
                      </w:rPr>
                    </m:ctrlPr>
                  </m:sSubPr>
                  <m:e>
                    <m:r>
                      <w:rPr>
                        <w:rFonts w:ascii="Cambria Math" w:eastAsia="Aptos" w:hAnsi="Cambria Math" w:cs="Aptos"/>
                        <w:color w:val="000000" w:themeColor="text1"/>
                        <w:sz w:val="20"/>
                        <w:szCs w:val="20"/>
                        <w:lang w:val="en-US"/>
                      </w:rPr>
                      <m:t>(H</m:t>
                    </m:r>
                  </m:e>
                  <m:sub>
                    <m:r>
                      <w:rPr>
                        <w:rFonts w:ascii="Cambria Math" w:eastAsia="Aptos" w:hAnsi="Cambria Math" w:cs="Aptos"/>
                        <w:color w:val="000000" w:themeColor="text1"/>
                        <w:sz w:val="20"/>
                        <w:szCs w:val="20"/>
                        <w:lang w:val="en-US"/>
                      </w:rPr>
                      <m:t>2</m:t>
                    </m:r>
                  </m:sub>
                </m:sSub>
                <m:r>
                  <m:rPr>
                    <m:sty m:val="p"/>
                  </m:rPr>
                  <w:rPr>
                    <w:rFonts w:ascii="Cambria Math" w:eastAsia="Aptos" w:hAnsi="Cambria Math" w:cs="Aptos"/>
                    <w:color w:val="000000" w:themeColor="text1"/>
                    <w:sz w:val="20"/>
                    <w:szCs w:val="20"/>
                    <w:lang w:val="en-US"/>
                  </w:rPr>
                  <m:t>O)+</m:t>
                </m:r>
                <m:d>
                  <m:dPr>
                    <m:ctrlPr>
                      <w:rPr>
                        <w:rFonts w:ascii="Cambria Math" w:eastAsia="Aptos" w:hAnsi="Cambria Math" w:cs="Aptos"/>
                        <w:bCs/>
                        <w:color w:val="000000" w:themeColor="text1"/>
                        <w:sz w:val="20"/>
                        <w:szCs w:val="20"/>
                        <w:lang w:val="en-US"/>
                      </w:rPr>
                    </m:ctrlPr>
                  </m:dPr>
                  <m:e>
                    <m:r>
                      <m:rPr>
                        <m:sty m:val="p"/>
                      </m:rPr>
                      <w:rPr>
                        <w:rFonts w:ascii="Cambria Math" w:eastAsia="Aptos" w:hAnsi="Cambria Math" w:cs="Aptos"/>
                        <w:color w:val="000000" w:themeColor="text1"/>
                        <w:sz w:val="20"/>
                        <w:szCs w:val="20"/>
                        <w:lang w:val="en-US"/>
                      </w:rPr>
                      <m:t>26-x</m:t>
                    </m:r>
                  </m:e>
                </m:d>
                <m:sSub>
                  <m:sSubPr>
                    <m:ctrlPr>
                      <w:rPr>
                        <w:rFonts w:ascii="Cambria Math" w:eastAsia="Aptos" w:hAnsi="Cambria Math" w:cs="Aptos"/>
                        <w:bCs/>
                        <w:color w:val="000000" w:themeColor="text1"/>
                        <w:sz w:val="20"/>
                        <w:szCs w:val="20"/>
                        <w:lang w:val="en-US"/>
                      </w:rPr>
                    </m:ctrlPr>
                  </m:sSubPr>
                  <m:e>
                    <m:r>
                      <w:rPr>
                        <w:rFonts w:ascii="Cambria Math" w:eastAsia="Aptos" w:hAnsi="Cambria Math" w:cs="Aptos"/>
                        <w:color w:val="000000" w:themeColor="text1"/>
                        <w:sz w:val="20"/>
                        <w:szCs w:val="20"/>
                        <w:lang w:val="en-US"/>
                      </w:rPr>
                      <m:t>H</m:t>
                    </m:r>
                  </m:e>
                  <m:sub>
                    <m:r>
                      <w:rPr>
                        <w:rFonts w:ascii="Cambria Math" w:eastAsia="Aptos" w:hAnsi="Cambria Math" w:cs="Aptos"/>
                        <w:color w:val="000000" w:themeColor="text1"/>
                        <w:sz w:val="20"/>
                        <w:szCs w:val="20"/>
                        <w:lang w:val="en-US"/>
                      </w:rPr>
                      <m:t>2</m:t>
                    </m:r>
                  </m:sub>
                </m:sSub>
                <m:r>
                  <m:rPr>
                    <m:sty m:val="p"/>
                  </m:rPr>
                  <w:rPr>
                    <w:rFonts w:ascii="Cambria Math" w:eastAsia="Aptos" w:hAnsi="Cambria Math" w:cs="Aptos"/>
                    <w:color w:val="000000" w:themeColor="text1"/>
                    <w:sz w:val="20"/>
                    <w:szCs w:val="20"/>
                    <w:lang w:val="en-US"/>
                  </w:rPr>
                  <m:t>O</m:t>
                </m:r>
              </m:oMath>
            </m:oMathPara>
          </w:p>
        </w:tc>
        <w:tc>
          <w:tcPr>
            <w:tcW w:w="829" w:type="dxa"/>
          </w:tcPr>
          <w:p w14:paraId="6C038ABC" w14:textId="2A9BCB30" w:rsidR="00AE624A" w:rsidRPr="00464FC9" w:rsidRDefault="007F4EB6" w:rsidP="00C1714D">
            <w:pPr>
              <w:pStyle w:val="Lgende"/>
              <w:spacing w:line="480" w:lineRule="auto"/>
              <w:rPr>
                <w:i w:val="0"/>
                <w:iCs w:val="0"/>
                <w:color w:val="000000" w:themeColor="text1"/>
              </w:rPr>
            </w:pPr>
            <w:r w:rsidRPr="00464FC9">
              <w:rPr>
                <w:i w:val="0"/>
                <w:iCs w:val="0"/>
                <w:color w:val="000000" w:themeColor="text1"/>
                <w:sz w:val="20"/>
                <w:szCs w:val="20"/>
              </w:rPr>
              <w:t>(e</w:t>
            </w:r>
            <w:r w:rsidR="00AE624A" w:rsidRPr="00464FC9">
              <w:rPr>
                <w:i w:val="0"/>
                <w:iCs w:val="0"/>
                <w:color w:val="000000" w:themeColor="text1"/>
                <w:sz w:val="20"/>
                <w:szCs w:val="20"/>
              </w:rPr>
              <w:t>q</w:t>
            </w:r>
            <w:r w:rsidRPr="00464FC9">
              <w:rPr>
                <w:i w:val="0"/>
                <w:iCs w:val="0"/>
                <w:color w:val="000000" w:themeColor="text1"/>
                <w:sz w:val="20"/>
                <w:szCs w:val="20"/>
              </w:rPr>
              <w:t>.</w:t>
            </w:r>
            <w:r w:rsidR="00AE624A" w:rsidRPr="00464FC9">
              <w:rPr>
                <w:i w:val="0"/>
                <w:iCs w:val="0"/>
                <w:color w:val="000000" w:themeColor="text1"/>
                <w:sz w:val="20"/>
                <w:szCs w:val="20"/>
              </w:rPr>
              <w:t xml:space="preserve"> </w:t>
            </w:r>
            <w:r w:rsidRPr="00464FC9">
              <w:rPr>
                <w:i w:val="0"/>
                <w:iCs w:val="0"/>
                <w:color w:val="000000" w:themeColor="text1"/>
                <w:sz w:val="20"/>
                <w:szCs w:val="20"/>
              </w:rPr>
              <w:t>1)</w:t>
            </w:r>
          </w:p>
        </w:tc>
      </w:tr>
    </w:tbl>
    <w:p w14:paraId="3D1E07AE" w14:textId="746996BC" w:rsidR="00B86AEA" w:rsidRPr="00464FC9" w:rsidRDefault="00A64A80" w:rsidP="004103D5">
      <w:pPr>
        <w:pStyle w:val="SWCText"/>
        <w:rPr>
          <w:color w:val="000000" w:themeColor="text1"/>
        </w:rPr>
      </w:pPr>
      <w:r w:rsidRPr="00464FC9">
        <w:rPr>
          <w:color w:val="000000" w:themeColor="text1"/>
        </w:rPr>
        <w:t>T</w:t>
      </w:r>
      <w:r w:rsidR="00AE624A" w:rsidRPr="00464FC9">
        <w:rPr>
          <w:color w:val="000000" w:themeColor="text1"/>
        </w:rPr>
        <w:t>he endothermic dehydration of ettringite</w:t>
      </w:r>
      <w:r w:rsidRPr="00464FC9">
        <w:rPr>
          <w:color w:val="000000" w:themeColor="text1"/>
        </w:rPr>
        <w:t xml:space="preserve"> is </w:t>
      </w:r>
      <w:r w:rsidR="00A82047" w:rsidRPr="00464FC9">
        <w:rPr>
          <w:color w:val="000000" w:themeColor="text1"/>
        </w:rPr>
        <w:t>employed as h</w:t>
      </w:r>
      <w:r w:rsidRPr="00464FC9">
        <w:rPr>
          <w:color w:val="000000" w:themeColor="text1"/>
        </w:rPr>
        <w:t>eat storage</w:t>
      </w:r>
      <w:r w:rsidR="00A82047" w:rsidRPr="00464FC9">
        <w:rPr>
          <w:color w:val="000000" w:themeColor="text1"/>
        </w:rPr>
        <w:t>: during the reaction,</w:t>
      </w:r>
      <w:r w:rsidR="00AE624A" w:rsidRPr="00464FC9">
        <w:rPr>
          <w:color w:val="000000" w:themeColor="text1"/>
        </w:rPr>
        <w:t xml:space="preserve"> </w:t>
      </w:r>
      <w:r w:rsidR="00A82047" w:rsidRPr="00464FC9">
        <w:rPr>
          <w:color w:val="000000" w:themeColor="text1"/>
        </w:rPr>
        <w:t>26 water molecules can be released from the crystalline structure u</w:t>
      </w:r>
      <w:r w:rsidR="00AE624A" w:rsidRPr="00464FC9">
        <w:rPr>
          <w:color w:val="000000" w:themeColor="text1"/>
        </w:rPr>
        <w:t>nder the influence of temperature. Conversely</w:t>
      </w:r>
      <w:r w:rsidR="00A82047" w:rsidRPr="00464FC9">
        <w:rPr>
          <w:color w:val="000000" w:themeColor="text1"/>
        </w:rPr>
        <w:t>, when chemical bonds between these water molecules and the meta-ettringite are created</w:t>
      </w:r>
      <w:r w:rsidR="00AE624A" w:rsidRPr="00464FC9">
        <w:rPr>
          <w:color w:val="000000" w:themeColor="text1"/>
        </w:rPr>
        <w:t>,</w:t>
      </w:r>
      <w:r w:rsidR="00A82047" w:rsidRPr="00464FC9">
        <w:rPr>
          <w:color w:val="000000" w:themeColor="text1"/>
        </w:rPr>
        <w:t xml:space="preserve"> reforming the ettringite structure, the</w:t>
      </w:r>
      <w:r w:rsidR="00AE624A" w:rsidRPr="00464FC9">
        <w:rPr>
          <w:color w:val="000000" w:themeColor="text1"/>
        </w:rPr>
        <w:t xml:space="preserve"> heat release </w:t>
      </w:r>
      <w:r w:rsidR="00A82047" w:rsidRPr="00464FC9">
        <w:rPr>
          <w:color w:val="000000" w:themeColor="text1"/>
        </w:rPr>
        <w:t>occurs as</w:t>
      </w:r>
      <w:r w:rsidR="00AE624A" w:rsidRPr="00464FC9">
        <w:rPr>
          <w:color w:val="000000" w:themeColor="text1"/>
        </w:rPr>
        <w:t xml:space="preserve"> an exothermic process.</w:t>
      </w:r>
      <w:r w:rsidR="001814D5" w:rsidRPr="00464FC9">
        <w:rPr>
          <w:color w:val="000000" w:themeColor="text1"/>
        </w:rPr>
        <w:t xml:space="preserve"> </w:t>
      </w:r>
    </w:p>
    <w:p w14:paraId="20129612" w14:textId="766D5C20" w:rsidR="00D060CA" w:rsidRPr="00464FC9" w:rsidRDefault="00B86AEA" w:rsidP="00A61580">
      <w:pPr>
        <w:pStyle w:val="SWCText"/>
        <w:rPr>
          <w:color w:val="000000" w:themeColor="text1"/>
        </w:rPr>
      </w:pPr>
      <w:r w:rsidRPr="00464FC9">
        <w:rPr>
          <w:color w:val="000000" w:themeColor="text1"/>
        </w:rPr>
        <w:t xml:space="preserve">Ettringite can be synthesized from cement, making it an economical material compared to its competitors. </w:t>
      </w:r>
      <w:r w:rsidR="001814D5" w:rsidRPr="00464FC9">
        <w:rPr>
          <w:color w:val="000000" w:themeColor="text1"/>
        </w:rPr>
        <w:t xml:space="preserve">It is a chemically stable alternative to phase-change materials for low-temperature applications (below 100 °C). </w:t>
      </w:r>
      <w:r w:rsidR="00A61580" w:rsidRPr="00464FC9">
        <w:rPr>
          <w:color w:val="000000" w:themeColor="text1"/>
        </w:rPr>
        <w:t>However, transitioning from a pure salt to a structured, ettringite-rich matrix</w:t>
      </w:r>
      <w:r w:rsidR="0032795D" w:rsidRPr="00464FC9">
        <w:rPr>
          <w:color w:val="000000" w:themeColor="text1"/>
        </w:rPr>
        <w:t xml:space="preserve"> at the reactor scale</w:t>
      </w:r>
      <w:r w:rsidR="00A61580" w:rsidRPr="00464FC9">
        <w:rPr>
          <w:color w:val="000000" w:themeColor="text1"/>
        </w:rPr>
        <w:t xml:space="preserve"> </w:t>
      </w:r>
      <w:r w:rsidR="001814D5" w:rsidRPr="00464FC9">
        <w:rPr>
          <w:color w:val="000000" w:themeColor="text1"/>
        </w:rPr>
        <w:t xml:space="preserve">faces heat and mass transfer problems related to the geometry of the material. This resulted in a decrease in energy density, from 262 kWh/m³ </w:t>
      </w:r>
      <w:r w:rsidR="0032795D" w:rsidRPr="00464FC9">
        <w:rPr>
          <w:color w:val="000000" w:themeColor="text1"/>
        </w:rPr>
        <w:t xml:space="preserve">(powder) </w:t>
      </w:r>
      <w:r w:rsidR="001814D5" w:rsidRPr="00464FC9">
        <w:rPr>
          <w:color w:val="000000" w:themeColor="text1"/>
        </w:rPr>
        <w:t xml:space="preserve">to 104 kWh/m³ </w:t>
      </w:r>
      <w:r w:rsidR="0032795D" w:rsidRPr="00464FC9">
        <w:rPr>
          <w:color w:val="000000" w:themeColor="text1"/>
        </w:rPr>
        <w:t xml:space="preserve">(material) </w:t>
      </w:r>
      <w:r w:rsidR="001814D5" w:rsidRPr="00464FC9">
        <w:rPr>
          <w:color w:val="000000" w:themeColor="text1"/>
        </w:rPr>
        <w:fldChar w:fldCharType="begin"/>
      </w:r>
      <w:r w:rsidR="002F3BE6" w:rsidRPr="00464FC9">
        <w:rPr>
          <w:color w:val="000000" w:themeColor="text1"/>
        </w:rPr>
        <w:instrText xml:space="preserve"> ADDIN ZOTERO_ITEM CSL_CITATION {"citationID":"Nd8uKTXf","properties":{"formattedCitation":"(Chen et al., 2021a)","plainCitation":"(Chen et al., 2021a)","noteIndex":0},"citationItems":[{"id":294,"uris":["http://zotero.org/users/local/gJ9mc1Ss/items/GFS6XQ3X","http://zotero.org/users/19179360/items/GFS6XQ3X"],"itemData":{"id":294,"type":"article-journal","abstract":"The mismatch between renewable energy supply and demand requires energy storage technologies to work out the dilemma. In the thermal energy field, ettringite-based energy storage seems to be a good solution thanks to its high energy density and low material cost. It can store excess solar energy to meet the heating and domestic hot water demand in buildings. Therefore, the current work experimentally examines the energetic performance of an ettringite-based material made of commercial cements. The TG-DSC analysis shows the energy storage ca­ pacity of the investigated material is as high as 282 kWh/m3 original hydrated materials. Besides, the laboratory reactor tests prove the charging temperature is as low as 55–65◦C for ettringite. Under operating conditions, the average energy-releasing power during the full period is about 33.3 W/kg while the maximum power is about 915 W/kg original hydrated materials, which are significantly higher than most materials from the literature. The best volumetric energy-releasing density and the corresponding prototype storage density of the fixed-bed obtained are 176 kWh/m3 original hydrated materials and 104 kWh/m3, respectively.","container-title":"Journal of Energy Storage","DOI":"10.1016/j.est.2020.102159","ISSN":"2352152X","journalAbbreviation":"Journal of Energy Storage","language":"en","page":"102159","source":"DOI.org (Crossref)","title":"Characterization of an ettringite-based thermochemical energy storage material in an open-mode reactor","volume":"33","author":[{"family":"Chen","given":"B."},{"family":"Johannes","given":"K."},{"family":"Horgnies","given":"M."},{"family":"Morin","given":"V."},{"family":"Kuznik","given":"F."}],"issued":{"date-parts":[["2021",1]]}}}],"schema":"https://github.com/citation-style-language/schema/raw/master/csl-citation.json"} </w:instrText>
      </w:r>
      <w:r w:rsidR="001814D5" w:rsidRPr="00464FC9">
        <w:rPr>
          <w:color w:val="000000" w:themeColor="text1"/>
        </w:rPr>
        <w:fldChar w:fldCharType="separate"/>
      </w:r>
      <w:r w:rsidR="002F3BE6" w:rsidRPr="00464FC9">
        <w:rPr>
          <w:color w:val="000000" w:themeColor="text1"/>
        </w:rPr>
        <w:t>(Chen et al., 2021a)</w:t>
      </w:r>
      <w:r w:rsidR="001814D5" w:rsidRPr="00464FC9">
        <w:rPr>
          <w:color w:val="000000" w:themeColor="text1"/>
        </w:rPr>
        <w:fldChar w:fldCharType="end"/>
      </w:r>
      <w:r w:rsidR="001814D5" w:rsidRPr="00464FC9">
        <w:rPr>
          <w:color w:val="000000" w:themeColor="text1"/>
        </w:rPr>
        <w:t>.</w:t>
      </w:r>
    </w:p>
    <w:p w14:paraId="1DDBC8CF" w14:textId="70D540AB" w:rsidR="00D060CA" w:rsidRPr="00464FC9" w:rsidRDefault="00D060CA" w:rsidP="00D060CA">
      <w:pPr>
        <w:pStyle w:val="SWCHeading1"/>
        <w:rPr>
          <w:color w:val="000000" w:themeColor="text1"/>
        </w:rPr>
      </w:pPr>
      <w:r w:rsidRPr="00464FC9">
        <w:rPr>
          <w:color w:val="000000" w:themeColor="text1"/>
        </w:rPr>
        <w:t>Objectives</w:t>
      </w:r>
    </w:p>
    <w:p w14:paraId="247D9024" w14:textId="1F7F1ED2" w:rsidR="00847B05" w:rsidRPr="00464FC9" w:rsidRDefault="00FB4B00" w:rsidP="004103D5">
      <w:pPr>
        <w:pStyle w:val="SWCText"/>
        <w:rPr>
          <w:color w:val="000000" w:themeColor="text1"/>
        </w:rPr>
      </w:pPr>
      <w:r w:rsidRPr="00464FC9">
        <w:rPr>
          <w:color w:val="000000" w:themeColor="text1"/>
        </w:rPr>
        <w:t>An ettringite-rich cementitious material capable of addressing durability, kinetic</w:t>
      </w:r>
      <w:r w:rsidR="00AA2678" w:rsidRPr="00464FC9">
        <w:rPr>
          <w:color w:val="000000" w:themeColor="text1"/>
        </w:rPr>
        <w:t>s</w:t>
      </w:r>
      <w:r w:rsidRPr="00464FC9">
        <w:rPr>
          <w:color w:val="000000" w:themeColor="text1"/>
        </w:rPr>
        <w:t>, and structural integrity issues is critically needed to address t</w:t>
      </w:r>
      <w:r w:rsidR="004103D5" w:rsidRPr="00464FC9">
        <w:rPr>
          <w:color w:val="000000" w:themeColor="text1"/>
        </w:rPr>
        <w:t>hese limitations highlight, particularly in a thermochemical reactor.</w:t>
      </w:r>
      <w:r w:rsidR="00153736" w:rsidRPr="00464FC9">
        <w:rPr>
          <w:color w:val="000000" w:themeColor="text1"/>
        </w:rPr>
        <w:t xml:space="preserve"> This type of material have to achieve high permeability for efficient heat and mass transfer with adequate mechanical resistance and thus, requires controlling its porous network </w:t>
      </w:r>
      <w:r w:rsidR="00153736" w:rsidRPr="00464FC9">
        <w:rPr>
          <w:color w:val="000000" w:themeColor="text1"/>
        </w:rPr>
        <w:fldChar w:fldCharType="begin"/>
      </w:r>
      <w:r w:rsidR="00153736" w:rsidRPr="00464FC9">
        <w:rPr>
          <w:color w:val="000000" w:themeColor="text1"/>
        </w:rPr>
        <w:instrText xml:space="preserve"> ADDIN ZOTERO_ITEM CSL_CITATION {"citationID":"sGUtCo49","properties":{"formattedCitation":"(Ndiaye et al., 2020)","plainCitation":"(Ndiaye et al., 2020)","noteIndex":0},"citationItems":[{"id":290,"uris":["http://zotero.org/users/local/gJ9mc1Ss/items/9B9LITSF","http://zotero.org/users/19179360/items/9B9LITSF"],"itemData":{"id":290,"type":"article-journal","abstract":"Energy storage systems are increasingly being used to improve energy performance in industry, transport and building. The storage of energy in the form of heat is widely used in the building sector in order to increase the use of solar energy, which is necessary to streamline energy management. The storage of excess summer solar energy appears to be a solution to compensate for the thermal energy deﬁcit in winter and to reduce the environmental and socio-economic impacts of buildings. Currently, there are several adsorbent materials capable of storing thermal energy but they use high temperature storage (around 200 °C). Ettringite is a common hydrate found in cement-based materials and has the advantage of storing energy at high density but at low temperature, around 60 °C. Portland cements used in most construction materials produce small percentages of ettringite but calcium sulfoaluminate cements (CSA) can produce much larger amounts of this compound, with fairly rapid kinetics. In this paper, the hydration of CSA-based ettringitic systems is investigated with a view to synthesizing a new heat storage material. The hydration of CSA paste samples, with and without the addition of gypsum and portlandite, constituents allowing the exclusive production of ettringite, was followed by XRD and TGA. The ettringitic system (ES1) containing CSA, gypsum and portlandite produced only 48% of ettringite with an unstable structure (swelling), so ES1 was not selected. However, the ettringitic system (ES2) containing only hydrated CSA could reach between 65% and 70% of ettringite with a very stable solid structure. In order to use the ES2 as heat storage material, it was necessary to improve its permeability, thus enhancing its storage capacity. Improving the material by foaming provided an aerated ettringitic system (AES2) with high permeability, appropriate for heat storage. This allowed the development of an ettringite-based material with high heat storage density in low temperature conditions. The heat storage prototype allowed reaching a storage density of 117 kWh/m3 with a heat storage yield of 71%.","container-title":"Construction and Building Materials","DOI":"10.1016/j.conbuildmat.2020.118130","ISSN":"09500618","journalAbbreviation":"Construction and Building Materials","language":"en","page":"118130","source":"DOI.org (Crossref)","title":"Development of a cementitious material for thermal energy storage at low temperature","volume":"242","author":[{"family":"Ndiaye","given":"Khadim"},{"family":"Cyr","given":"Martin"},{"family":"Ginestet","given":"Stéphane"}],"issued":{"date-parts":[["2020",5]]}}}],"schema":"https://github.com/citation-style-language/schema/raw/master/csl-citation.json"} </w:instrText>
      </w:r>
      <w:r w:rsidR="00153736" w:rsidRPr="00464FC9">
        <w:rPr>
          <w:color w:val="000000" w:themeColor="text1"/>
        </w:rPr>
        <w:fldChar w:fldCharType="separate"/>
      </w:r>
      <w:r w:rsidR="00153736" w:rsidRPr="00464FC9">
        <w:rPr>
          <w:color w:val="000000" w:themeColor="text1"/>
        </w:rPr>
        <w:t>(Ndiaye et al., 2020)</w:t>
      </w:r>
      <w:r w:rsidR="00153736" w:rsidRPr="00464FC9">
        <w:rPr>
          <w:color w:val="000000" w:themeColor="text1"/>
        </w:rPr>
        <w:fldChar w:fldCharType="end"/>
      </w:r>
      <w:r w:rsidR="00153736" w:rsidRPr="00464FC9">
        <w:rPr>
          <w:color w:val="000000" w:themeColor="text1"/>
        </w:rPr>
        <w:t>.</w:t>
      </w:r>
    </w:p>
    <w:p w14:paraId="022C2645" w14:textId="7579F3D0" w:rsidR="004103D5" w:rsidRPr="00464FC9" w:rsidRDefault="004103D5" w:rsidP="004103D5">
      <w:pPr>
        <w:pStyle w:val="SWCText"/>
        <w:rPr>
          <w:color w:val="000000" w:themeColor="text1"/>
        </w:rPr>
      </w:pPr>
      <w:r w:rsidRPr="00464FC9">
        <w:rPr>
          <w:color w:val="000000" w:themeColor="text1"/>
        </w:rPr>
        <w:t xml:space="preserve">Consequently, </w:t>
      </w:r>
      <w:r w:rsidR="00CD1333" w:rsidRPr="00464FC9">
        <w:rPr>
          <w:color w:val="000000" w:themeColor="text1"/>
        </w:rPr>
        <w:t>for successful system-level integration, the evaluation criteria must extend beyond material-specific properties such as the hydration energy density</w:t>
      </w:r>
      <w:r w:rsidRPr="00464FC9">
        <w:rPr>
          <w:color w:val="000000" w:themeColor="text1"/>
        </w:rPr>
        <w:t>.</w:t>
      </w:r>
      <w:r w:rsidR="00A52486" w:rsidRPr="00464FC9">
        <w:rPr>
          <w:color w:val="000000" w:themeColor="text1"/>
        </w:rPr>
        <w:t xml:space="preserve"> The analysis presented in t</w:t>
      </w:r>
      <w:r w:rsidRPr="00464FC9">
        <w:rPr>
          <w:color w:val="000000" w:themeColor="text1"/>
        </w:rPr>
        <w:t xml:space="preserve">his study broadens to include macroscale parameters such as the material bed architecture (bulk density, porosity, and specific surface area) and dynamic performance (reaction kinetics and mass transfer limitations). </w:t>
      </w:r>
      <w:r w:rsidR="00A52486" w:rsidRPr="00464FC9">
        <w:rPr>
          <w:color w:val="000000" w:themeColor="text1"/>
        </w:rPr>
        <w:t>The technoeconomic characteristics (manufacturing process and material geometry) are addressed. This work</w:t>
      </w:r>
      <w:r w:rsidRPr="00464FC9">
        <w:rPr>
          <w:color w:val="000000" w:themeColor="text1"/>
        </w:rPr>
        <w:t xml:space="preserve"> objective is </w:t>
      </w:r>
      <w:r w:rsidR="00A52486" w:rsidRPr="00464FC9">
        <w:rPr>
          <w:color w:val="000000" w:themeColor="text1"/>
        </w:rPr>
        <w:t xml:space="preserve">composed in two points: </w:t>
      </w:r>
      <w:proofErr w:type="spellStart"/>
      <w:r w:rsidR="00A52486" w:rsidRPr="00464FC9">
        <w:rPr>
          <w:color w:val="000000" w:themeColor="text1"/>
        </w:rPr>
        <w:t>i</w:t>
      </w:r>
      <w:proofErr w:type="spellEnd"/>
      <w:r w:rsidR="00A52486" w:rsidRPr="00464FC9">
        <w:rPr>
          <w:color w:val="000000" w:themeColor="text1"/>
        </w:rPr>
        <w:t>)</w:t>
      </w:r>
      <w:r w:rsidRPr="00464FC9">
        <w:rPr>
          <w:color w:val="000000" w:themeColor="text1"/>
        </w:rPr>
        <w:t xml:space="preserve"> to maximize the ettringite density of a composite bed derived from an </w:t>
      </w:r>
      <w:r w:rsidR="00CC56AB" w:rsidRPr="00464FC9">
        <w:rPr>
          <w:color w:val="000000" w:themeColor="text1"/>
        </w:rPr>
        <w:t>ettringite-rich</w:t>
      </w:r>
      <w:r w:rsidRPr="00464FC9">
        <w:rPr>
          <w:color w:val="000000" w:themeColor="text1"/>
        </w:rPr>
        <w:t xml:space="preserve"> cementitious mixture</w:t>
      </w:r>
      <w:r w:rsidR="00A52486" w:rsidRPr="00464FC9">
        <w:rPr>
          <w:color w:val="000000" w:themeColor="text1"/>
        </w:rPr>
        <w:t xml:space="preserve"> called</w:t>
      </w:r>
      <w:r w:rsidRPr="00464FC9">
        <w:rPr>
          <w:color w:val="000000" w:themeColor="text1"/>
        </w:rPr>
        <w:t xml:space="preserve"> “C80P20”; </w:t>
      </w:r>
      <w:r w:rsidR="00A52486" w:rsidRPr="00464FC9">
        <w:rPr>
          <w:color w:val="000000" w:themeColor="text1"/>
        </w:rPr>
        <w:t>ii)</w:t>
      </w:r>
      <w:r w:rsidRPr="00464FC9">
        <w:rPr>
          <w:color w:val="000000" w:themeColor="text1"/>
        </w:rPr>
        <w:t xml:space="preserve"> to study its thermochemical potential with a view to integration into a thermal storage system.</w:t>
      </w:r>
    </w:p>
    <w:p w14:paraId="208BF548" w14:textId="0846AE5E" w:rsidR="00D060CA" w:rsidRPr="00464FC9" w:rsidRDefault="004103D5" w:rsidP="004103D5">
      <w:pPr>
        <w:pStyle w:val="SWCText"/>
        <w:rPr>
          <w:color w:val="000000" w:themeColor="text1"/>
        </w:rPr>
      </w:pPr>
      <w:r w:rsidRPr="00464FC9">
        <w:rPr>
          <w:color w:val="000000" w:themeColor="text1"/>
        </w:rPr>
        <w:t>To this end, a new manufacturing process has been proposed to produce material granules from the C80P20 cementitious mix. Compared with crushed hardened cement paste, wet granulation produces dense, spherical particles with a higher ettringite density</w:t>
      </w:r>
      <w:r w:rsidR="00CD787D" w:rsidRPr="00464FC9">
        <w:rPr>
          <w:color w:val="000000" w:themeColor="text1"/>
        </w:rPr>
        <w:t xml:space="preserve"> potential</w:t>
      </w:r>
      <w:r w:rsidRPr="00464FC9">
        <w:rPr>
          <w:color w:val="000000" w:themeColor="text1"/>
        </w:rPr>
        <w:t>.</w:t>
      </w:r>
      <w:r w:rsidR="005F4E0E" w:rsidRPr="00464FC9">
        <w:rPr>
          <w:color w:val="000000" w:themeColor="text1"/>
        </w:rPr>
        <w:t xml:space="preserve"> </w:t>
      </w:r>
      <w:r w:rsidRPr="00464FC9">
        <w:rPr>
          <w:color w:val="000000" w:themeColor="text1"/>
        </w:rPr>
        <w:t>This study also suggests a new method to calculate the ettringite content of ettringite-rich cement pastes using thermogravimetry</w:t>
      </w:r>
      <w:r w:rsidR="005F4E0E" w:rsidRPr="00464FC9">
        <w:rPr>
          <w:color w:val="000000" w:themeColor="text1"/>
        </w:rPr>
        <w:t xml:space="preserve"> analysis</w:t>
      </w:r>
      <w:r w:rsidRPr="00464FC9">
        <w:rPr>
          <w:color w:val="000000" w:themeColor="text1"/>
        </w:rPr>
        <w:t>.</w:t>
      </w:r>
    </w:p>
    <w:p w14:paraId="7B2A1282" w14:textId="712CB41D" w:rsidR="00DA5797" w:rsidRPr="00464FC9" w:rsidRDefault="00DA5797" w:rsidP="004103D5">
      <w:pPr>
        <w:pStyle w:val="SWCText"/>
        <w:rPr>
          <w:color w:val="000000" w:themeColor="text1"/>
        </w:rPr>
      </w:pPr>
      <w:r w:rsidRPr="00464FC9">
        <w:rPr>
          <w:color w:val="000000" w:themeColor="text1"/>
        </w:rPr>
        <w:t>The analysis of thermochemical cycles directly on the shaped 1.2 mm granules makes it possible to account for</w:t>
      </w:r>
      <w:r w:rsidR="00970034" w:rsidRPr="00464FC9">
        <w:rPr>
          <w:color w:val="000000" w:themeColor="text1"/>
        </w:rPr>
        <w:t xml:space="preserve"> heat and mass</w:t>
      </w:r>
      <w:r w:rsidRPr="00464FC9">
        <w:rPr>
          <w:color w:val="000000" w:themeColor="text1"/>
        </w:rPr>
        <w:t xml:space="preserve"> transfer phenomena within the final self-supporting material. The study thus provides a more profound understanding of the dominant phenomena occurring during the dehydration and hydration of the </w:t>
      </w:r>
      <w:r w:rsidRPr="00464FC9">
        <w:rPr>
          <w:color w:val="000000" w:themeColor="text1"/>
        </w:rPr>
        <w:lastRenderedPageBreak/>
        <w:t>manufactured materials, facilitating the assessment of their integration into an industrial system.</w:t>
      </w:r>
    </w:p>
    <w:p w14:paraId="7705CCC0" w14:textId="56A166FF" w:rsidR="00D060CA" w:rsidRPr="00464FC9" w:rsidRDefault="00D060CA" w:rsidP="00D060CA">
      <w:pPr>
        <w:pStyle w:val="SWCHeading1"/>
        <w:rPr>
          <w:color w:val="000000" w:themeColor="text1"/>
        </w:rPr>
      </w:pPr>
      <w:r w:rsidRPr="00464FC9">
        <w:rPr>
          <w:color w:val="000000" w:themeColor="text1"/>
        </w:rPr>
        <w:t>Methodology</w:t>
      </w:r>
    </w:p>
    <w:p w14:paraId="2F42770F" w14:textId="628BE9A4" w:rsidR="00876B79" w:rsidRPr="00464FC9" w:rsidRDefault="00876B79" w:rsidP="00020CF5">
      <w:pPr>
        <w:pStyle w:val="SWCText"/>
        <w:rPr>
          <w:color w:val="000000" w:themeColor="text1"/>
        </w:rPr>
      </w:pPr>
      <w:r w:rsidRPr="00464FC9">
        <w:rPr>
          <w:color w:val="000000" w:themeColor="text1"/>
        </w:rPr>
        <w:t xml:space="preserve">A systematic and comparative review on the design of cementitious materials for TCES has led to the development of technical recommendations for standardizing characterization and testing protocols for these cementitious materials </w:t>
      </w:r>
      <w:r w:rsidRPr="00464FC9">
        <w:rPr>
          <w:color w:val="000000" w:themeColor="text1"/>
        </w:rPr>
        <w:fldChar w:fldCharType="begin"/>
      </w:r>
      <w:r w:rsidRPr="00464FC9">
        <w:rPr>
          <w:color w:val="000000" w:themeColor="text1"/>
        </w:rPr>
        <w:instrText xml:space="preserve"> ADDIN ZOTERO_ITEM CSL_CITATION {"citationID":"wF3aSTnB","properties":{"formattedCitation":"(Skevi et al., 2025)","plainCitation":"(Skevi et al., 2025)","noteIndex":0},"citationItems":[{"id":2452,"uris":["http://zotero.org/users/19179360/items/PIRMASX6"],"itemData":{"id":2452,"type":"article-journal","abstract":"Abstract\n            Thermochemical energy storage (TCES) is a method of storing energy by using reversible chemical reactions to absorb and release heat. TCES materials generally possess the highest volumetric energy density and negligible heat losses during cyclic charging/discharging when compared with sensible and latent heat storage materials. The controllable charging/discharging processes in the TCES materials make them suitable for long-term or seasonal thermal energy storage, which can help improve the resilience of the existing energy system and built environment. In recent years, there has been a growing number of studies on the use of cementitious materials as low-cost and low-carbon thermochemical energy storage materials, including ettringite, calcium aluminate cements, and geopolymers. In this study, the state-of-the-art development using cementitious materials for thermo-chemical energy/heat storage applications is reviewed and systematically compared in terms of their compositions, energy storage operating conditions, and energy storage performance. Technical recommendations are proposed for standardised characterisation and testing protocols of these cementitious (composite) materials used for thermochemical heat storage. The current research challenges and future research needs in this field are also discussed.","container-title":"Materials and Structures","DOI":"10.1617/s11527-025-02803-w","ISSN":"1359-5997, 1871-6873","issue":"9","journalAbbreviation":"Mater Struct","language":"en","page":"292","source":"DOI.org (Crossref)","title":"Reviewing experimental studies on chemical thermal energy storage in Cementitious composites: report of the RILEM TC 299-TES","title-short":"Reviewing experimental studies on chemical thermal energy storage in Cementitious composites","volume":"58","author":[{"family":"Skevi","given":"Lorena"},{"family":"Ke","given":"Xinyuan"},{"family":"Ginestet","given":"Stéphane"},{"family":"Ouellet-Plamondon","given":"Claudiane"},{"family":"Gomes","given":"Fernando"},{"family":"Cyr","given":"Martin"}],"issued":{"date-parts":[["2025",11]]}}}],"schema":"https://github.com/citation-style-language/schema/raw/master/csl-citation.json"} </w:instrText>
      </w:r>
      <w:r w:rsidRPr="00464FC9">
        <w:rPr>
          <w:color w:val="000000" w:themeColor="text1"/>
        </w:rPr>
        <w:fldChar w:fldCharType="separate"/>
      </w:r>
      <w:r w:rsidRPr="00464FC9">
        <w:rPr>
          <w:color w:val="000000" w:themeColor="text1"/>
        </w:rPr>
        <w:t>(Skevi et al., 2025)</w:t>
      </w:r>
      <w:r w:rsidRPr="00464FC9">
        <w:rPr>
          <w:color w:val="000000" w:themeColor="text1"/>
        </w:rPr>
        <w:fldChar w:fldCharType="end"/>
      </w:r>
      <w:r w:rsidRPr="00464FC9">
        <w:rPr>
          <w:color w:val="000000" w:themeColor="text1"/>
        </w:rPr>
        <w:t xml:space="preserve">. </w:t>
      </w:r>
      <w:r w:rsidR="00A52486" w:rsidRPr="00464FC9">
        <w:rPr>
          <w:color w:val="000000" w:themeColor="text1"/>
        </w:rPr>
        <w:t>M</w:t>
      </w:r>
      <w:r w:rsidRPr="00464FC9">
        <w:rPr>
          <w:color w:val="000000" w:themeColor="text1"/>
        </w:rPr>
        <w:t xml:space="preserve">ethods for sample preparation, material characterization, and energy performance evaluation were </w:t>
      </w:r>
      <w:r w:rsidR="00165B80" w:rsidRPr="00464FC9">
        <w:rPr>
          <w:color w:val="000000" w:themeColor="text1"/>
        </w:rPr>
        <w:t>selected for the present work</w:t>
      </w:r>
      <w:r w:rsidR="00A52486" w:rsidRPr="00464FC9">
        <w:rPr>
          <w:color w:val="000000" w:themeColor="text1"/>
        </w:rPr>
        <w:t xml:space="preserve"> based on th</w:t>
      </w:r>
      <w:r w:rsidR="00165B80" w:rsidRPr="00464FC9">
        <w:rPr>
          <w:color w:val="000000" w:themeColor="text1"/>
        </w:rPr>
        <w:t>e</w:t>
      </w:r>
      <w:r w:rsidR="00A52486" w:rsidRPr="00464FC9">
        <w:rPr>
          <w:color w:val="000000" w:themeColor="text1"/>
        </w:rPr>
        <w:t xml:space="preserve"> RILEM TC 299-TES report</w:t>
      </w:r>
      <w:r w:rsidRPr="00464FC9">
        <w:rPr>
          <w:color w:val="000000" w:themeColor="text1"/>
        </w:rPr>
        <w:t>.</w:t>
      </w:r>
    </w:p>
    <w:p w14:paraId="79C13230" w14:textId="37FDD438" w:rsidR="00876B79" w:rsidRPr="00464FC9" w:rsidRDefault="00876B79" w:rsidP="00876B79">
      <w:pPr>
        <w:pStyle w:val="SWCText"/>
        <w:numPr>
          <w:ilvl w:val="1"/>
          <w:numId w:val="11"/>
        </w:numPr>
        <w:rPr>
          <w:rFonts w:ascii="Arial" w:hAnsi="Arial" w:cs="Arial"/>
          <w:i/>
          <w:iCs/>
          <w:color w:val="000000" w:themeColor="text1"/>
        </w:rPr>
      </w:pPr>
      <w:r w:rsidRPr="00464FC9">
        <w:rPr>
          <w:rFonts w:ascii="Arial" w:hAnsi="Arial" w:cs="Arial"/>
          <w:i/>
          <w:iCs/>
          <w:color w:val="000000" w:themeColor="text1"/>
        </w:rPr>
        <w:t>Materials</w:t>
      </w:r>
    </w:p>
    <w:p w14:paraId="47BF77CC" w14:textId="56ACD4EC" w:rsidR="00876B79" w:rsidRPr="00464FC9" w:rsidRDefault="00A52486" w:rsidP="00684F88">
      <w:pPr>
        <w:pStyle w:val="SWCText"/>
        <w:rPr>
          <w:color w:val="000000" w:themeColor="text1"/>
          <w:szCs w:val="20"/>
        </w:rPr>
      </w:pPr>
      <w:r w:rsidRPr="00464FC9">
        <w:rPr>
          <w:color w:val="000000" w:themeColor="text1"/>
        </w:rPr>
        <w:t xml:space="preserve">To be capable of producing ettringite, </w:t>
      </w:r>
      <w:proofErr w:type="spellStart"/>
      <w:r w:rsidR="00310FB1" w:rsidRPr="00464FC9">
        <w:rPr>
          <w:color w:val="000000" w:themeColor="text1"/>
        </w:rPr>
        <w:t>s</w:t>
      </w:r>
      <w:r w:rsidR="00876B79" w:rsidRPr="00464FC9">
        <w:rPr>
          <w:color w:val="000000" w:themeColor="text1"/>
        </w:rPr>
        <w:t>upersulfated</w:t>
      </w:r>
      <w:proofErr w:type="spellEnd"/>
      <w:r w:rsidR="00876B79" w:rsidRPr="00464FC9">
        <w:rPr>
          <w:color w:val="000000" w:themeColor="text1"/>
        </w:rPr>
        <w:t xml:space="preserve"> cements (SSC)</w:t>
      </w:r>
      <w:r w:rsidRPr="00464FC9">
        <w:rPr>
          <w:color w:val="000000" w:themeColor="text1"/>
        </w:rPr>
        <w:t xml:space="preserve"> </w:t>
      </w:r>
      <w:r w:rsidR="00386807" w:rsidRPr="00464FC9">
        <w:rPr>
          <w:color w:val="000000" w:themeColor="text1"/>
        </w:rPr>
        <w:t>or</w:t>
      </w:r>
      <w:r w:rsidR="00876B79" w:rsidRPr="00464FC9">
        <w:rPr>
          <w:color w:val="000000" w:themeColor="text1"/>
        </w:rPr>
        <w:t xml:space="preserve"> calcium aluminate cements (</w:t>
      </w:r>
      <w:r w:rsidR="007C5ED3" w:rsidRPr="00464FC9">
        <w:rPr>
          <w:color w:val="000000" w:themeColor="text1"/>
        </w:rPr>
        <w:t>CAC) combined</w:t>
      </w:r>
      <w:r w:rsidR="00876B79" w:rsidRPr="00464FC9">
        <w:rPr>
          <w:color w:val="000000" w:themeColor="text1"/>
        </w:rPr>
        <w:t xml:space="preserve"> with calcium sulfates</w:t>
      </w:r>
      <w:r w:rsidRPr="00464FC9">
        <w:rPr>
          <w:color w:val="000000" w:themeColor="text1"/>
        </w:rPr>
        <w:t xml:space="preserve"> </w:t>
      </w:r>
      <w:proofErr w:type="gramStart"/>
      <w:r w:rsidR="00310FB1" w:rsidRPr="00464FC9">
        <w:rPr>
          <w:color w:val="000000" w:themeColor="text1"/>
          <w:szCs w:val="20"/>
        </w:rPr>
        <w:t>–</w:t>
      </w:r>
      <w:r w:rsidRPr="00464FC9">
        <w:rPr>
          <w:color w:val="000000" w:themeColor="text1"/>
        </w:rPr>
        <w:t xml:space="preserve"> </w:t>
      </w:r>
      <w:r w:rsidR="00386807" w:rsidRPr="00464FC9">
        <w:rPr>
          <w:color w:val="000000" w:themeColor="text1"/>
        </w:rPr>
        <w:t xml:space="preserve"> or</w:t>
      </w:r>
      <w:proofErr w:type="gramEnd"/>
      <w:r w:rsidR="00B5795C" w:rsidRPr="00464FC9">
        <w:rPr>
          <w:color w:val="000000" w:themeColor="text1"/>
        </w:rPr>
        <w:t xml:space="preserve"> </w:t>
      </w:r>
      <w:r w:rsidR="00876B79" w:rsidRPr="00464FC9">
        <w:rPr>
          <w:color w:val="000000" w:themeColor="text1"/>
        </w:rPr>
        <w:t xml:space="preserve">calcium </w:t>
      </w:r>
      <w:proofErr w:type="spellStart"/>
      <w:r w:rsidR="00876B79" w:rsidRPr="00464FC9">
        <w:rPr>
          <w:color w:val="000000" w:themeColor="text1"/>
        </w:rPr>
        <w:t>sulfoaluminate</w:t>
      </w:r>
      <w:proofErr w:type="spellEnd"/>
      <w:r w:rsidR="00876B79" w:rsidRPr="00464FC9">
        <w:rPr>
          <w:color w:val="000000" w:themeColor="text1"/>
        </w:rPr>
        <w:t xml:space="preserve"> cements (CSA) </w:t>
      </w:r>
      <w:r w:rsidR="00386807" w:rsidRPr="00464FC9">
        <w:rPr>
          <w:color w:val="000000" w:themeColor="text1"/>
        </w:rPr>
        <w:t>can be used</w:t>
      </w:r>
      <w:r w:rsidR="00876B79" w:rsidRPr="00464FC9">
        <w:rPr>
          <w:color w:val="000000" w:themeColor="text1"/>
        </w:rPr>
        <w:t xml:space="preserve">. </w:t>
      </w:r>
      <w:r w:rsidR="00CB1036" w:rsidRPr="00464FC9">
        <w:rPr>
          <w:color w:val="000000" w:themeColor="text1"/>
        </w:rPr>
        <w:t xml:space="preserve">As described by Ndiaye et al., </w:t>
      </w:r>
      <w:r w:rsidR="00876B79" w:rsidRPr="00464FC9">
        <w:rPr>
          <w:color w:val="000000" w:themeColor="text1"/>
        </w:rPr>
        <w:t>CSA cements are particularly interesting,</w:t>
      </w:r>
      <w:r w:rsidR="00CB1036" w:rsidRPr="00464FC9">
        <w:rPr>
          <w:color w:val="000000" w:themeColor="text1"/>
          <w:szCs w:val="20"/>
        </w:rPr>
        <w:t xml:space="preserve"> depending on their chemical composition </w:t>
      </w:r>
      <w:r w:rsidR="00CB1036" w:rsidRPr="00464FC9">
        <w:rPr>
          <w:color w:val="000000" w:themeColor="text1"/>
          <w:szCs w:val="20"/>
        </w:rPr>
        <w:fldChar w:fldCharType="begin"/>
      </w:r>
      <w:r w:rsidR="00CB1036" w:rsidRPr="00464FC9">
        <w:rPr>
          <w:color w:val="000000" w:themeColor="text1"/>
          <w:szCs w:val="20"/>
        </w:rPr>
        <w:instrText xml:space="preserve"> ADDIN ZOTERO_ITEM CSL_CITATION {"citationID":"P7NI3Ktl","properties":{"formattedCitation":"(Ndiaye et al., 2020)","plainCitation":"(Ndiaye et al., 2020)","noteIndex":0},"citationItems":[{"id":290,"uris":["http://zotero.org/users/local/gJ9mc1Ss/items/9B9LITSF","http://zotero.org/users/19179360/items/9B9LITSF"],"itemData":{"id":290,"type":"article-journal","abstract":"Energy storage systems are increasingly being used to improve energy performance in industry, transport and building. The storage of energy in the form of heat is widely used in the building sector in order to increase the use of solar energy, which is necessary to streamline energy management. The storage of excess summer solar energy appears to be a solution to compensate for the thermal energy deﬁcit in winter and to reduce the environmental and socio-economic impacts of buildings. Currently, there are several adsorbent materials capable of storing thermal energy but they use high temperature storage (around 200 °C). Ettringite is a common hydrate found in cement-based materials and has the advantage of storing energy at high density but at low temperature, around 60 °C. Portland cements used in most construction materials produce small percentages of ettringite but calcium sulfoaluminate cements (CSA) can produce much larger amounts of this compound, with fairly rapid kinetics. In this paper, the hydration of CSA-based ettringitic systems is investigated with a view to synthesizing a new heat storage material. The hydration of CSA paste samples, with and without the addition of gypsum and portlandite, constituents allowing the exclusive production of ettringite, was followed by XRD and TGA. The ettringitic system (ES1) containing CSA, gypsum and portlandite produced only 48% of ettringite with an unstable structure (swelling), so ES1 was not selected. However, the ettringitic system (ES2) containing only hydrated CSA could reach between 65% and 70% of ettringite with a very stable solid structure. In order to use the ES2 as heat storage material, it was necessary to improve its permeability, thus enhancing its storage capacity. Improving the material by foaming provided an aerated ettringitic system (AES2) with high permeability, appropriate for heat storage. This allowed the development of an ettringite-based material with high heat storage density in low temperature conditions. The heat storage prototype allowed reaching a storage density of 117 kWh/m3 with a heat storage yield of 71%.","container-title":"Construction and Building Materials","DOI":"10.1016/j.conbuildmat.2020.118130","ISSN":"09500618","journalAbbreviation":"Construction and Building Materials","language":"en","page":"118130","source":"DOI.org (Crossref)","title":"Development of a cementitious material for thermal energy storage at low temperature","volume":"242","author":[{"family":"Ndiaye","given":"Khadim"},{"family":"Cyr","given":"Martin"},{"family":"Ginestet","given":"Stéphane"}],"issued":{"date-parts":[["2020",5]]}}}],"schema":"https://github.com/citation-style-language/schema/raw/master/csl-citation.json"} </w:instrText>
      </w:r>
      <w:r w:rsidR="00CB1036" w:rsidRPr="00464FC9">
        <w:rPr>
          <w:color w:val="000000" w:themeColor="text1"/>
          <w:szCs w:val="20"/>
        </w:rPr>
        <w:fldChar w:fldCharType="separate"/>
      </w:r>
      <w:r w:rsidR="00CB1036" w:rsidRPr="00464FC9">
        <w:rPr>
          <w:color w:val="000000" w:themeColor="text1"/>
          <w:szCs w:val="20"/>
        </w:rPr>
        <w:t>(Ndiaye et al., 2020)</w:t>
      </w:r>
      <w:r w:rsidR="00CB1036" w:rsidRPr="00464FC9">
        <w:rPr>
          <w:color w:val="000000" w:themeColor="text1"/>
          <w:szCs w:val="20"/>
        </w:rPr>
        <w:fldChar w:fldCharType="end"/>
      </w:r>
      <w:r w:rsidR="00D94795" w:rsidRPr="00464FC9">
        <w:rPr>
          <w:color w:val="000000" w:themeColor="text1"/>
          <w:szCs w:val="20"/>
        </w:rPr>
        <w:t xml:space="preserve"> </w:t>
      </w:r>
      <w:r w:rsidR="00876B79" w:rsidRPr="00464FC9">
        <w:rPr>
          <w:color w:val="000000" w:themeColor="text1"/>
        </w:rPr>
        <w:t xml:space="preserve">as they can produce larger quantities of </w:t>
      </w:r>
      <w:r w:rsidR="00876B79" w:rsidRPr="00464FC9">
        <w:rPr>
          <w:color w:val="000000" w:themeColor="text1"/>
          <w:szCs w:val="20"/>
        </w:rPr>
        <w:t>ettringite with relatively rapid kinetics, up to 80% ettringite by weight after 28 days.</w:t>
      </w:r>
      <w:r w:rsidR="00D94795" w:rsidRPr="00464FC9">
        <w:rPr>
          <w:color w:val="000000" w:themeColor="text1"/>
          <w:szCs w:val="20"/>
        </w:rPr>
        <w:t xml:space="preserve"> The reaction of C3A into ettringite is allowed thanks to the</w:t>
      </w:r>
      <w:r w:rsidR="00876B79" w:rsidRPr="00464FC9">
        <w:rPr>
          <w:color w:val="000000" w:themeColor="text1"/>
          <w:szCs w:val="20"/>
        </w:rPr>
        <w:t xml:space="preserve"> addition of a portion of ordinary Portland cement (OPC)</w:t>
      </w:r>
      <w:r w:rsidR="00D94795" w:rsidRPr="00464FC9">
        <w:rPr>
          <w:color w:val="000000" w:themeColor="text1"/>
          <w:szCs w:val="20"/>
        </w:rPr>
        <w:t xml:space="preserve"> and</w:t>
      </w:r>
      <w:r w:rsidR="00876B79" w:rsidRPr="00464FC9">
        <w:rPr>
          <w:color w:val="000000" w:themeColor="text1"/>
          <w:szCs w:val="20"/>
        </w:rPr>
        <w:t xml:space="preserve"> </w:t>
      </w:r>
      <w:r w:rsidR="00D94795" w:rsidRPr="00464FC9">
        <w:rPr>
          <w:color w:val="000000" w:themeColor="text1"/>
          <w:szCs w:val="20"/>
        </w:rPr>
        <w:t>the major strength-giving phase is provided</w:t>
      </w:r>
      <w:r w:rsidR="00876B79" w:rsidRPr="00464FC9">
        <w:rPr>
          <w:color w:val="000000" w:themeColor="text1"/>
          <w:szCs w:val="20"/>
        </w:rPr>
        <w:t xml:space="preserve"> especially </w:t>
      </w:r>
      <w:r w:rsidR="00D94795" w:rsidRPr="00464FC9">
        <w:rPr>
          <w:color w:val="000000" w:themeColor="text1"/>
          <w:szCs w:val="20"/>
        </w:rPr>
        <w:t xml:space="preserve">by </w:t>
      </w:r>
      <w:r w:rsidR="00876B79" w:rsidRPr="00464FC9">
        <w:rPr>
          <w:color w:val="000000" w:themeColor="text1"/>
          <w:szCs w:val="20"/>
        </w:rPr>
        <w:t xml:space="preserve">CSH gel from C2S and C3S </w:t>
      </w:r>
      <w:r w:rsidR="00876B79" w:rsidRPr="00464FC9">
        <w:rPr>
          <w:color w:val="000000" w:themeColor="text1"/>
          <w:szCs w:val="20"/>
        </w:rPr>
        <w:fldChar w:fldCharType="begin"/>
      </w:r>
      <w:r w:rsidR="00876B79" w:rsidRPr="00464FC9">
        <w:rPr>
          <w:color w:val="000000" w:themeColor="text1"/>
          <w:szCs w:val="20"/>
        </w:rPr>
        <w:instrText xml:space="preserve"> ADDIN ZOTERO_ITEM CSL_CITATION {"citationID":"DVg5gdi7","properties":{"formattedCitation":"(Park et al., 2021; Richardson, 1999)","plainCitation":"(Park et al., 2021; Richardson, 1999)","noteIndex":0},"citationItems":[{"id":164,"uris":["http://zotero.org/users/local/gJ9mc1Ss/items/R3BSRQDI","http://zotero.org/users/19179360/items/R3BSRQDI"],"itemData":{"id":164,"type":"article-journal","abstract":"The hydration characteristics of calcium sulfoaluminate cement (CSA) and ordinary Portland cement (OPC) blended pastes incorporating calcium sulfate (CS) are investigated. The experimental characterization techniques were employed and complemented with thermodynamic calculations to provide in-depth understanding of the hydration of CSA/OPC blended system. The results showed that the hydration of C3S in the CSA/OPC blended pastes was significantly delayed in comparison with the sole OPC paste. The delayed hydration of C3S negatively affected the strength development of the CSA/OPC pastes. As the amount of CS increases, the induction period occurring between the initial peak and the intermediate peak was extended, thus increasing the initial setting time. The addition of CS to the CSA/OPC blends led to the two phenomena in the hydration of C4A3S, (1) retardation of C4A3S hydration, and (2) formation of more ettringite after a few hours of hydration. The thermodynamic calculations indicated that the setting of the CSA/OPC blended system is mainly facilitated by hydration of C4A3S and by the formation of ettringite, while the major strength-giving phase is C–S–H that originates from the hydration of C3S.","container-title":"Journal of Building Engineering","DOI":"10.1016/j.jobe.2020.101880","ISSN":"23527102","journalAbbreviation":"Journal of Building Engineering","language":"en","page":"101880","source":"DOI.org (Crossref)","title":"Hydration characteristics of calcium sulfoaluminate (CSA) cement/portland cement blended pastes","volume":"34","author":[{"family":"Park","given":"Solmoi"},{"family":"Jeong","given":"Yeonung"},{"family":"Moon","given":"Juhyuk"},{"family":"Lee","given":"Namkon"}],"issued":{"date-parts":[["2021",2]]}}},{"id":162,"uris":["http://zotero.org/users/local/gJ9mc1Ss/items/MVTZ6Y77","http://zotero.org/users/19179360/items/MVTZ6Y77"],"itemData":{"id":162,"type":"article-journal","abstract":"Calcium silicate hydrates (C-S-H) are the main binding phases in all Portland cement-based systems. This paper considers the morphology, composition, and nanostructure of C-S-H in a range of hardened cements. Inner product (Ip) C-S-H present in larger Portland cement grains typically has a fine-scale and homogeneous morphology with pores somewhat under 10 nm in diameter. Ip from larger slag grains also displays this morphology, but is chemically distinct in having high content of Mg and Al. The hydrated remains of small particles—whether of Portland cement, slag or fly ash—contain a less dense product with substantial porosity surrounded by a zone of relatively dense C-S-H; this has implications for the analysis of porosity and pore-size distributions on backscattered electron images. In cement-slag blends, the fibrillar morphology of outer product (Op) C-S-H is gradually replaced by a foil-like morphology as the slag loading is increased. It seems likely that this change in morphology is largely responsible for the improved durability performance possible with slag-containing systems. The Ca/Si ratio of C-S-H in neat Portland cement pastes varies from z1.2 to z2.3 with a mean of z1.75. The Ca/ (Si 1 Al) ratio of C-S-H in water activated cement-slag pastes (0–100% slag) varies from z0.7 to z2.4; these limits are consistent with dreierkette-based models for the structure of C-S-H. Al substitutes for Si in C-S-H only in the “bridging” tetrahedra of dreierkette chains; this is true for a range of systems, including blends of Portland cement with slag, fly ash, and metakaolin. These data support Richardson and Groves’ general model for substituted C-S-H phases. The bonding of C-S-H to other products of hydration is generally good. © 1999 Elsevier Science Ltd. All rights reserved.","container-title":"Cement and Concrete Research","DOI":"10.1016/S0008-8846(99)00168-4","ISSN":"00088846","issue":"8","journalAbbreviation":"Cement and Concrete Research","language":"en","page":"1131-1147","source":"DOI.org (Crossref)","title":"The nature of C-S-H in hardened cements","volume":"29","author":[{"family":"Richardson","given":"I.G"}],"issued":{"date-parts":[["1999",8]]}}}],"schema":"https://github.com/citation-style-language/schema/raw/master/csl-citation.json"} </w:instrText>
      </w:r>
      <w:r w:rsidR="00876B79" w:rsidRPr="00464FC9">
        <w:rPr>
          <w:color w:val="000000" w:themeColor="text1"/>
          <w:szCs w:val="20"/>
        </w:rPr>
        <w:fldChar w:fldCharType="separate"/>
      </w:r>
      <w:r w:rsidR="00876B79" w:rsidRPr="00464FC9">
        <w:rPr>
          <w:color w:val="000000" w:themeColor="text1"/>
          <w:szCs w:val="20"/>
        </w:rPr>
        <w:t>(Park et al., 2021; Richardson, 1999)</w:t>
      </w:r>
      <w:r w:rsidR="00876B79" w:rsidRPr="00464FC9">
        <w:rPr>
          <w:color w:val="000000" w:themeColor="text1"/>
          <w:szCs w:val="20"/>
        </w:rPr>
        <w:fldChar w:fldCharType="end"/>
      </w:r>
      <w:r w:rsidR="00876B79" w:rsidRPr="00464FC9">
        <w:rPr>
          <w:color w:val="000000" w:themeColor="text1"/>
          <w:szCs w:val="20"/>
        </w:rPr>
        <w:t>.</w:t>
      </w:r>
      <w:r w:rsidR="00310FB1" w:rsidRPr="00464FC9">
        <w:rPr>
          <w:color w:val="000000" w:themeColor="text1"/>
          <w:szCs w:val="20"/>
        </w:rPr>
        <w:t xml:space="preserve"> The hydration of a cementitious mixture known in the literature as “C80P20” – a mix of 20 </w:t>
      </w:r>
      <w:proofErr w:type="spellStart"/>
      <w:r w:rsidR="00310FB1" w:rsidRPr="00464FC9">
        <w:rPr>
          <w:color w:val="000000" w:themeColor="text1"/>
          <w:szCs w:val="20"/>
        </w:rPr>
        <w:t>wt</w:t>
      </w:r>
      <w:proofErr w:type="spellEnd"/>
      <w:r w:rsidR="00310FB1" w:rsidRPr="00464FC9">
        <w:rPr>
          <w:color w:val="000000" w:themeColor="text1"/>
          <w:szCs w:val="20"/>
        </w:rPr>
        <w:t xml:space="preserve">% of OPC 80 </w:t>
      </w:r>
      <w:proofErr w:type="spellStart"/>
      <w:r w:rsidR="00310FB1" w:rsidRPr="00464FC9">
        <w:rPr>
          <w:color w:val="000000" w:themeColor="text1"/>
          <w:szCs w:val="20"/>
        </w:rPr>
        <w:t>wt</w:t>
      </w:r>
      <w:proofErr w:type="spellEnd"/>
      <w:r w:rsidR="00310FB1" w:rsidRPr="00464FC9">
        <w:rPr>
          <w:color w:val="000000" w:themeColor="text1"/>
          <w:szCs w:val="20"/>
        </w:rPr>
        <w:t xml:space="preserve">% of preblended CSA – designed the </w:t>
      </w:r>
      <w:r w:rsidR="00876B79" w:rsidRPr="00464FC9">
        <w:rPr>
          <w:color w:val="000000" w:themeColor="text1"/>
          <w:szCs w:val="20"/>
        </w:rPr>
        <w:t>choice of storage material</w:t>
      </w:r>
      <w:r w:rsidR="00310FB1" w:rsidRPr="00464FC9">
        <w:rPr>
          <w:color w:val="000000" w:themeColor="text1"/>
          <w:szCs w:val="20"/>
        </w:rPr>
        <w:t xml:space="preserve"> </w:t>
      </w:r>
      <w:r w:rsidR="00876B79" w:rsidRPr="00464FC9">
        <w:rPr>
          <w:color w:val="000000" w:themeColor="text1"/>
          <w:szCs w:val="20"/>
        </w:rPr>
        <w:fldChar w:fldCharType="begin"/>
      </w:r>
      <w:r w:rsidR="00876B79" w:rsidRPr="00464FC9">
        <w:rPr>
          <w:color w:val="000000" w:themeColor="text1"/>
          <w:szCs w:val="20"/>
        </w:rPr>
        <w:instrText xml:space="preserve"> ADDIN ZOTERO_ITEM CSL_CITATION {"citationID":"zmyD5bRE","properties":{"formattedCitation":"(Chen et al., 2021a)","plainCitation":"(Chen et al., 2021a)","noteIndex":0},"citationItems":[{"id":294,"uris":["http://zotero.org/users/local/gJ9mc1Ss/items/GFS6XQ3X","http://zotero.org/users/19179360/items/GFS6XQ3X"],"itemData":{"id":294,"type":"article-journal","abstract":"The mismatch between renewable energy supply and demand requires energy storage technologies to work out the dilemma. In the thermal energy field, ettringite-based energy storage seems to be a good solution thanks to its high energy density and low material cost. It can store excess solar energy to meet the heating and domestic hot water demand in buildings. Therefore, the current work experimentally examines the energetic performance of an ettringite-based material made of commercial cements. The TG-DSC analysis shows the energy storage ca­ pacity of the investigated material is as high as 282 kWh/m3 original hydrated materials. Besides, the laboratory reactor tests prove the charging temperature is as low as 55–65◦C for ettringite. Under operating conditions, the average energy-releasing power during the full period is about 33.3 W/kg while the maximum power is about 915 W/kg original hydrated materials, which are significantly higher than most materials from the literature. The best volumetric energy-releasing density and the corresponding prototype storage density of the fixed-bed obtained are 176 kWh/m3 original hydrated materials and 104 kWh/m3, respectively.","container-title":"Journal of Energy Storage","DOI":"10.1016/j.est.2020.102159","ISSN":"2352152X","journalAbbreviation":"Journal of Energy Storage","language":"en","page":"102159","source":"DOI.org (Crossref)","title":"Characterization of an ettringite-based thermochemical energy storage material in an open-mode reactor","volume":"33","author":[{"family":"Chen","given":"B."},{"family":"Johannes","given":"K."},{"family":"Horgnies","given":"M."},{"family":"Morin","given":"V."},{"family":"Kuznik","given":"F."}],"issued":{"date-parts":[["2021",1]]}}}],"schema":"https://github.com/citation-style-language/schema/raw/master/csl-citation.json"} </w:instrText>
      </w:r>
      <w:r w:rsidR="00876B79" w:rsidRPr="00464FC9">
        <w:rPr>
          <w:color w:val="000000" w:themeColor="text1"/>
          <w:szCs w:val="20"/>
        </w:rPr>
        <w:fldChar w:fldCharType="separate"/>
      </w:r>
      <w:r w:rsidR="00876B79" w:rsidRPr="00464FC9">
        <w:rPr>
          <w:color w:val="000000" w:themeColor="text1"/>
          <w:szCs w:val="20"/>
        </w:rPr>
        <w:t>(Chen et al., 2021a)</w:t>
      </w:r>
      <w:r w:rsidR="00876B79" w:rsidRPr="00464FC9">
        <w:rPr>
          <w:color w:val="000000" w:themeColor="text1"/>
          <w:szCs w:val="20"/>
        </w:rPr>
        <w:fldChar w:fldCharType="end"/>
      </w:r>
      <w:r w:rsidR="00876B79" w:rsidRPr="00464FC9">
        <w:rPr>
          <w:color w:val="000000" w:themeColor="text1"/>
          <w:szCs w:val="20"/>
        </w:rPr>
        <w:t>.</w:t>
      </w:r>
    </w:p>
    <w:p w14:paraId="78B61FF2" w14:textId="4A958743" w:rsidR="00330AB1" w:rsidRPr="00464FC9" w:rsidRDefault="00330AB1" w:rsidP="00A36665">
      <w:pPr>
        <w:pStyle w:val="SWCText"/>
        <w:numPr>
          <w:ilvl w:val="1"/>
          <w:numId w:val="11"/>
        </w:numPr>
        <w:spacing w:line="240" w:lineRule="auto"/>
        <w:rPr>
          <w:rFonts w:ascii="Arial" w:hAnsi="Arial" w:cs="Arial"/>
          <w:i/>
          <w:iCs/>
          <w:color w:val="000000" w:themeColor="text1"/>
          <w:szCs w:val="20"/>
        </w:rPr>
      </w:pPr>
      <w:r w:rsidRPr="00464FC9">
        <w:rPr>
          <w:rFonts w:ascii="Arial" w:hAnsi="Arial" w:cs="Arial"/>
          <w:i/>
          <w:iCs/>
          <w:color w:val="000000" w:themeColor="text1"/>
          <w:szCs w:val="20"/>
        </w:rPr>
        <w:t>Sample preparation</w:t>
      </w:r>
    </w:p>
    <w:p w14:paraId="24084912" w14:textId="458F7A71" w:rsidR="00A83A87" w:rsidRPr="00464FC9" w:rsidRDefault="007B298D" w:rsidP="00B5795C">
      <w:pPr>
        <w:spacing w:line="276" w:lineRule="auto"/>
        <w:jc w:val="both"/>
        <w:rPr>
          <w:color w:val="000000" w:themeColor="text1"/>
          <w:sz w:val="20"/>
          <w:szCs w:val="20"/>
          <w:lang w:val="en-US"/>
        </w:rPr>
      </w:pPr>
      <w:r w:rsidRPr="00464FC9">
        <w:rPr>
          <w:color w:val="000000" w:themeColor="text1"/>
          <w:sz w:val="20"/>
          <w:szCs w:val="20"/>
          <w:lang w:val="en-US"/>
        </w:rPr>
        <w:t xml:space="preserve">In this study, </w:t>
      </w:r>
      <w:r w:rsidR="00083562" w:rsidRPr="00464FC9">
        <w:rPr>
          <w:color w:val="000000" w:themeColor="text1"/>
          <w:sz w:val="20"/>
          <w:szCs w:val="20"/>
          <w:lang w:val="en-US"/>
        </w:rPr>
        <w:t>ten</w:t>
      </w:r>
      <w:r w:rsidRPr="00464FC9">
        <w:rPr>
          <w:color w:val="000000" w:themeColor="text1"/>
          <w:sz w:val="20"/>
          <w:szCs w:val="20"/>
          <w:lang w:val="en-US"/>
        </w:rPr>
        <w:t xml:space="preserve"> materials were manufactured: two materials by crushing a hardened cement paste (CHCP) </w:t>
      </w:r>
      <w:r w:rsidRPr="00464FC9">
        <w:rPr>
          <w:color w:val="000000" w:themeColor="text1"/>
          <w:sz w:val="20"/>
          <w:szCs w:val="20"/>
          <w:lang w:val="en-US"/>
        </w:rPr>
        <w:fldChar w:fldCharType="begin"/>
      </w:r>
      <w:r w:rsidR="002F3BE6" w:rsidRPr="00464FC9">
        <w:rPr>
          <w:color w:val="000000" w:themeColor="text1"/>
          <w:sz w:val="20"/>
          <w:szCs w:val="20"/>
          <w:lang w:val="en-US"/>
        </w:rPr>
        <w:instrText xml:space="preserve"> ADDIN ZOTERO_ITEM CSL_CITATION {"citationID":"jnychNc0","properties":{"formattedCitation":"(Chen et al., 2021a)","plainCitation":"(Chen et al., 2021a)","noteIndex":0},"citationItems":[{"id":294,"uris":["http://zotero.org/users/local/gJ9mc1Ss/items/GFS6XQ3X","http://zotero.org/users/19179360/items/GFS6XQ3X"],"itemData":{"id":294,"type":"article-journal","abstract":"The mismatch between renewable energy supply and demand requires energy storage technologies to work out the dilemma. In the thermal energy field, ettringite-based energy storage seems to be a good solution thanks to its high energy density and low material cost. It can store excess solar energy to meet the heating and domestic hot water demand in buildings. Therefore, the current work experimentally examines the energetic performance of an ettringite-based material made of commercial cements. The TG-DSC analysis shows the energy storage ca­ pacity of the investigated material is as high as 282 kWh/m3 original hydrated materials. Besides, the laboratory reactor tests prove the charging temperature is as low as 55–65◦C for ettringite. Under operating conditions, the average energy-releasing power during the full period is about 33.3 W/kg while the maximum power is about 915 W/kg original hydrated materials, which are significantly higher than most materials from the literature. The best volumetric energy-releasing density and the corresponding prototype storage density of the fixed-bed obtained are 176 kWh/m3 original hydrated materials and 104 kWh/m3, respectively.","container-title":"Journal of Energy Storage","DOI":"10.1016/j.est.2020.102159","ISSN":"2352152X","journalAbbreviation":"Journal of Energy Storage","language":"en","page":"102159","source":"DOI.org (Crossref)","title":"Characterization of an ettringite-based thermochemical energy storage material in an open-mode reactor","volume":"33","author":[{"family":"Chen","given":"B."},{"family":"Johannes","given":"K."},{"family":"Horgnies","given":"M."},{"family":"Morin","given":"V."},{"family":"Kuznik","given":"F."}],"issued":{"date-parts":[["2021",1]]}}}],"schema":"https://github.com/citation-style-language/schema/raw/master/csl-citation.json"} </w:instrText>
      </w:r>
      <w:r w:rsidRPr="00464FC9">
        <w:rPr>
          <w:color w:val="000000" w:themeColor="text1"/>
          <w:sz w:val="20"/>
          <w:szCs w:val="20"/>
          <w:lang w:val="en-US"/>
        </w:rPr>
        <w:fldChar w:fldCharType="separate"/>
      </w:r>
      <w:r w:rsidR="002F3BE6" w:rsidRPr="00464FC9">
        <w:rPr>
          <w:color w:val="000000" w:themeColor="text1"/>
          <w:sz w:val="20"/>
          <w:szCs w:val="20"/>
          <w:lang w:val="en-US"/>
        </w:rPr>
        <w:t>(Chen et al., 2021a)</w:t>
      </w:r>
      <w:r w:rsidRPr="00464FC9">
        <w:rPr>
          <w:color w:val="000000" w:themeColor="text1"/>
          <w:sz w:val="20"/>
          <w:szCs w:val="20"/>
          <w:lang w:val="en-US"/>
        </w:rPr>
        <w:fldChar w:fldCharType="end"/>
      </w:r>
      <w:r w:rsidR="00C0440B" w:rsidRPr="00464FC9">
        <w:rPr>
          <w:color w:val="000000" w:themeColor="text1"/>
          <w:sz w:val="20"/>
          <w:szCs w:val="20"/>
          <w:lang w:val="en-US"/>
        </w:rPr>
        <w:t xml:space="preserve"> </w:t>
      </w:r>
      <w:r w:rsidRPr="00464FC9">
        <w:rPr>
          <w:color w:val="000000" w:themeColor="text1"/>
          <w:sz w:val="20"/>
          <w:szCs w:val="20"/>
          <w:lang w:val="en-US"/>
        </w:rPr>
        <w:t xml:space="preserve">and </w:t>
      </w:r>
      <w:r w:rsidR="00165B80" w:rsidRPr="00464FC9">
        <w:rPr>
          <w:color w:val="000000" w:themeColor="text1"/>
          <w:sz w:val="20"/>
          <w:szCs w:val="20"/>
          <w:lang w:val="en-US"/>
        </w:rPr>
        <w:t>eight</w:t>
      </w:r>
      <w:r w:rsidRPr="00464FC9">
        <w:rPr>
          <w:color w:val="000000" w:themeColor="text1"/>
          <w:sz w:val="20"/>
          <w:szCs w:val="20"/>
          <w:lang w:val="en-US"/>
        </w:rPr>
        <w:t xml:space="preserve"> according to </w:t>
      </w:r>
      <w:r w:rsidR="00C0440B" w:rsidRPr="00464FC9">
        <w:rPr>
          <w:color w:val="000000" w:themeColor="text1"/>
          <w:sz w:val="20"/>
          <w:szCs w:val="20"/>
          <w:lang w:val="en-US"/>
        </w:rPr>
        <w:t>a</w:t>
      </w:r>
      <w:r w:rsidRPr="00464FC9">
        <w:rPr>
          <w:color w:val="000000" w:themeColor="text1"/>
          <w:sz w:val="20"/>
          <w:szCs w:val="20"/>
          <w:lang w:val="en-US"/>
        </w:rPr>
        <w:t xml:space="preserve"> wet granulation process (WG), with different water/cement (W/C) ratios controlled by the addition of a </w:t>
      </w:r>
      <w:r w:rsidR="00165B80" w:rsidRPr="00464FC9">
        <w:rPr>
          <w:color w:val="000000" w:themeColor="text1"/>
          <w:sz w:val="20"/>
          <w:szCs w:val="20"/>
          <w:lang w:val="en-US"/>
        </w:rPr>
        <w:t>superabsorbent polymers</w:t>
      </w:r>
      <w:r w:rsidRPr="00464FC9">
        <w:rPr>
          <w:color w:val="000000" w:themeColor="text1"/>
          <w:sz w:val="20"/>
          <w:szCs w:val="20"/>
          <w:lang w:val="en-US"/>
        </w:rPr>
        <w:t>.</w:t>
      </w:r>
      <w:r w:rsidR="00A83A87" w:rsidRPr="00464FC9">
        <w:rPr>
          <w:color w:val="000000" w:themeColor="text1"/>
          <w:sz w:val="20"/>
          <w:szCs w:val="20"/>
          <w:lang w:val="en-US"/>
        </w:rPr>
        <w:t xml:space="preserve"> </w:t>
      </w:r>
      <w:r w:rsidR="00CA46DA" w:rsidRPr="00464FC9">
        <w:rPr>
          <w:color w:val="000000" w:themeColor="text1"/>
          <w:sz w:val="20"/>
          <w:szCs w:val="20"/>
          <w:lang w:val="en-US"/>
        </w:rPr>
        <w:t>Crushing process is commonly used in the recycling of aggregates and concrete, when w</w:t>
      </w:r>
      <w:r w:rsidR="00CD787D" w:rsidRPr="00464FC9">
        <w:rPr>
          <w:color w:val="000000" w:themeColor="text1"/>
          <w:sz w:val="20"/>
          <w:szCs w:val="20"/>
          <w:lang w:val="en-US"/>
        </w:rPr>
        <w:t>et granulation is a process used in the pharmaceutical industry</w:t>
      </w:r>
      <w:r w:rsidR="00CA46DA" w:rsidRPr="00464FC9">
        <w:rPr>
          <w:color w:val="000000" w:themeColor="text1"/>
          <w:sz w:val="20"/>
          <w:szCs w:val="20"/>
          <w:lang w:val="en-US"/>
        </w:rPr>
        <w:t xml:space="preserve"> </w:t>
      </w:r>
      <w:r w:rsidR="00CD787D" w:rsidRPr="00464FC9">
        <w:rPr>
          <w:color w:val="000000" w:themeColor="text1"/>
          <w:sz w:val="20"/>
          <w:szCs w:val="20"/>
          <w:lang w:val="en-US"/>
        </w:rPr>
        <w:fldChar w:fldCharType="begin"/>
      </w:r>
      <w:r w:rsidR="00CD787D" w:rsidRPr="00464FC9">
        <w:rPr>
          <w:color w:val="000000" w:themeColor="text1"/>
          <w:sz w:val="20"/>
          <w:szCs w:val="20"/>
          <w:lang w:val="en-US"/>
        </w:rPr>
        <w:instrText xml:space="preserve"> ADDIN ZOTERO_ITEM CSL_CITATION {"citationID":"I2ynBDYG","properties":{"formattedCitation":"(Agba D. Salman et al., 2006; Coudray et al., 2017)","plainCitation":"(Agba D. Salman et al., 2006; Coudray et al., 2017)","noteIndex":0},"citationItems":[{"id":140,"uris":["http://zotero.org/users/local/gJ9mc1Ss/items/M3NAPEK3","http://zotero.org/users/19179360/items/M3NAPEK3"],"itemData":{"id":140,"type":"book","edition":"Elsevier","title":"Granulation","author":[{"literal":"Agba D. Salman"},{"literal":"Michael Hounslow"},{"literal":"Jonathan P.K. Seville"}],"issued":{"date-parts":[["2006"]]}}},{"id":141,"uris":["http://zotero.org/users/local/gJ9mc1Ss/items/9SE8KU3W","http://zotero.org/users/19179360/items/9SE8KU3W"],"itemData":{"id":141,"type":"article-journal","container-title":"Waste and Biomass Valorization","DOI":"10.1007/s12649-017-9868-2","ISSN":"1877-2641, 1877-265X","issue":"8","journalAbbreviation":"Waste Biomass Valor","language":"en","page":"2867-2880","source":"DOI.org (Crossref)","title":"Influence of Crushing Conditions on Recycled Concrete Aggregates (RCA) Leaching Behaviour","volume":"8","author":[{"family":"Coudray","given":"C."},{"family":"Amant","given":"V."},{"family":"Cantegrit","given":"L."},{"family":"Le Bocq","given":"A."},{"family":"Thery","given":"F."},{"family":"Denot","given":"A."},{"family":"Eisenlohr","given":"L."}],"issued":{"date-parts":[["2017",12]]}}}],"schema":"https://github.com/citation-style-language/schema/raw/master/csl-citation.json"} </w:instrText>
      </w:r>
      <w:r w:rsidR="00CD787D" w:rsidRPr="00464FC9">
        <w:rPr>
          <w:color w:val="000000" w:themeColor="text1"/>
          <w:sz w:val="20"/>
          <w:szCs w:val="20"/>
          <w:lang w:val="en-US"/>
        </w:rPr>
        <w:fldChar w:fldCharType="separate"/>
      </w:r>
      <w:r w:rsidR="00CD787D" w:rsidRPr="00464FC9">
        <w:rPr>
          <w:color w:val="000000" w:themeColor="text1"/>
          <w:sz w:val="20"/>
          <w:szCs w:val="20"/>
          <w:lang w:val="en-US"/>
        </w:rPr>
        <w:t>(Agba D. Salman et al., 2006; Coudray et al., 2017)</w:t>
      </w:r>
      <w:r w:rsidR="00CD787D" w:rsidRPr="00464FC9">
        <w:rPr>
          <w:color w:val="000000" w:themeColor="text1"/>
          <w:sz w:val="20"/>
          <w:szCs w:val="20"/>
          <w:lang w:val="en-US"/>
        </w:rPr>
        <w:fldChar w:fldCharType="end"/>
      </w:r>
      <w:r w:rsidR="00CD787D" w:rsidRPr="00464FC9">
        <w:rPr>
          <w:color w:val="000000" w:themeColor="text1"/>
          <w:sz w:val="20"/>
          <w:szCs w:val="20"/>
          <w:lang w:val="en-US"/>
        </w:rPr>
        <w:t>.</w:t>
      </w:r>
    </w:p>
    <w:p w14:paraId="4BE9B6BE" w14:textId="77777777" w:rsidR="00CD787D" w:rsidRPr="00464FC9" w:rsidRDefault="00CD787D" w:rsidP="00CD787D">
      <w:pPr>
        <w:spacing w:line="276" w:lineRule="auto"/>
        <w:jc w:val="both"/>
        <w:rPr>
          <w:color w:val="000000" w:themeColor="text1"/>
          <w:sz w:val="20"/>
          <w:szCs w:val="20"/>
          <w:lang w:val="en-US"/>
        </w:rPr>
      </w:pPr>
    </w:p>
    <w:p w14:paraId="3DE25765" w14:textId="42BF705C" w:rsidR="00DF6A85" w:rsidRPr="00464FC9" w:rsidRDefault="00DF6A85" w:rsidP="00CD787D">
      <w:pPr>
        <w:spacing w:line="276" w:lineRule="auto"/>
        <w:jc w:val="both"/>
        <w:rPr>
          <w:color w:val="000000" w:themeColor="text1"/>
          <w:sz w:val="20"/>
          <w:szCs w:val="20"/>
          <w:lang w:val="en-US"/>
        </w:rPr>
      </w:pPr>
      <w:r w:rsidRPr="00464FC9">
        <w:rPr>
          <w:color w:val="000000" w:themeColor="text1"/>
          <w:sz w:val="20"/>
          <w:szCs w:val="20"/>
          <w:lang w:val="en-US"/>
        </w:rPr>
        <w:t>The hydration of CSA cement pastes into ettringite begins with the formation of an initial structural skeleton within less than an hour. This phenomenon is therefore accompanied by very high hydration kinetics.</w:t>
      </w:r>
    </w:p>
    <w:p w14:paraId="7AB61D68" w14:textId="4013B0DA" w:rsidR="00CD787D" w:rsidRPr="00464FC9" w:rsidRDefault="00CD787D" w:rsidP="00684F88">
      <w:pPr>
        <w:spacing w:line="276" w:lineRule="auto"/>
        <w:jc w:val="both"/>
        <w:rPr>
          <w:color w:val="000000" w:themeColor="text1"/>
          <w:sz w:val="20"/>
          <w:szCs w:val="20"/>
          <w:lang w:val="en-US"/>
        </w:rPr>
      </w:pPr>
      <w:r w:rsidRPr="00464FC9">
        <w:rPr>
          <w:color w:val="000000" w:themeColor="text1"/>
          <w:sz w:val="20"/>
          <w:szCs w:val="20"/>
          <w:lang w:val="en-US"/>
        </w:rPr>
        <w:fldChar w:fldCharType="begin"/>
      </w:r>
      <w:r w:rsidRPr="00464FC9">
        <w:rPr>
          <w:color w:val="000000" w:themeColor="text1"/>
          <w:sz w:val="20"/>
          <w:szCs w:val="20"/>
          <w:lang w:val="en-US"/>
        </w:rPr>
        <w:instrText xml:space="preserve"> ADDIN ZOTERO_ITEM CSL_CITATION {"citationID":"T3o8thXz","properties":{"formattedCitation":"(Zhang and Glasser, 2002)","plainCitation":"(Zhang and Glasser, 2002)","noteIndex":0},"citationItems":[{"id":166,"uris":["http://zotero.org/users/local/gJ9mc1Ss/items/RAMWEDGB","http://zotero.org/users/19179360/items/RAMWEDGB"],"itemData":{"id":166,"type":"article-journal","container-title":"Advances in Cement Research","issue":"4","language":"en","source":"Zotero","title":"Hydration of calcium sulfoaluminate cement at less than 24 h","author":[{"family":"Zhang","given":"L"},{"family":"Glasser","given":"F P"}],"issued":{"date-parts":[["2002"]]}}}],"schema":"https://github.com/citation-style-language/schema/raw/master/csl-citation.json"} </w:instrText>
      </w:r>
      <w:r w:rsidRPr="00464FC9">
        <w:rPr>
          <w:color w:val="000000" w:themeColor="text1"/>
          <w:sz w:val="20"/>
          <w:szCs w:val="20"/>
          <w:lang w:val="en-US"/>
        </w:rPr>
        <w:fldChar w:fldCharType="separate"/>
      </w:r>
      <w:r w:rsidRPr="00464FC9">
        <w:rPr>
          <w:color w:val="000000" w:themeColor="text1"/>
          <w:sz w:val="20"/>
          <w:szCs w:val="20"/>
          <w:lang w:val="en-US"/>
        </w:rPr>
        <w:t>(Zhang and Glasser, 2002)</w:t>
      </w:r>
      <w:r w:rsidRPr="00464FC9">
        <w:rPr>
          <w:color w:val="000000" w:themeColor="text1"/>
          <w:sz w:val="20"/>
          <w:szCs w:val="20"/>
          <w:lang w:val="en-US"/>
        </w:rPr>
        <w:fldChar w:fldCharType="end"/>
      </w:r>
      <w:r w:rsidRPr="00464FC9">
        <w:rPr>
          <w:color w:val="000000" w:themeColor="text1"/>
          <w:sz w:val="20"/>
          <w:szCs w:val="20"/>
          <w:lang w:val="en-US"/>
        </w:rPr>
        <w:t xml:space="preserve">. </w:t>
      </w:r>
      <w:r w:rsidR="00F051C9" w:rsidRPr="00464FC9">
        <w:rPr>
          <w:color w:val="000000" w:themeColor="text1"/>
          <w:sz w:val="20"/>
          <w:szCs w:val="20"/>
          <w:lang w:val="en-US"/>
        </w:rPr>
        <w:t>These pastes can be shaped during the production step thanks to t</w:t>
      </w:r>
      <w:r w:rsidRPr="00464FC9">
        <w:rPr>
          <w:color w:val="000000" w:themeColor="text1"/>
          <w:sz w:val="20"/>
          <w:szCs w:val="20"/>
          <w:lang w:val="en-US"/>
        </w:rPr>
        <w:t xml:space="preserve">his characteristic </w:t>
      </w:r>
      <w:r w:rsidR="00F051C9" w:rsidRPr="00464FC9">
        <w:rPr>
          <w:color w:val="000000" w:themeColor="text1"/>
          <w:sz w:val="20"/>
          <w:szCs w:val="20"/>
          <w:lang w:val="en-US"/>
        </w:rPr>
        <w:t xml:space="preserve">which </w:t>
      </w:r>
      <w:r w:rsidRPr="00464FC9">
        <w:rPr>
          <w:color w:val="000000" w:themeColor="text1"/>
          <w:sz w:val="20"/>
          <w:szCs w:val="20"/>
          <w:lang w:val="en-US"/>
        </w:rPr>
        <w:t xml:space="preserve">offers the possibility of developing innovative manufacturing processes. </w:t>
      </w:r>
      <w:r w:rsidR="008C0231" w:rsidRPr="00464FC9">
        <w:rPr>
          <w:color w:val="000000" w:themeColor="text1"/>
          <w:sz w:val="20"/>
          <w:szCs w:val="20"/>
          <w:lang w:val="en-US"/>
        </w:rPr>
        <w:t xml:space="preserve">A disc granulator, with a pan inclined at 55° and set </w:t>
      </w:r>
      <w:proofErr w:type="gramStart"/>
      <w:r w:rsidR="008C0231" w:rsidRPr="00464FC9">
        <w:rPr>
          <w:color w:val="000000" w:themeColor="text1"/>
          <w:sz w:val="20"/>
          <w:szCs w:val="20"/>
          <w:lang w:val="en-US"/>
        </w:rPr>
        <w:t>to</w:t>
      </w:r>
      <w:proofErr w:type="gramEnd"/>
      <w:r w:rsidR="008C0231" w:rsidRPr="00464FC9">
        <w:rPr>
          <w:color w:val="000000" w:themeColor="text1"/>
          <w:sz w:val="20"/>
          <w:szCs w:val="20"/>
          <w:lang w:val="en-US"/>
        </w:rPr>
        <w:t xml:space="preserve"> a speed of 30 revolutions per minute, is used to perform the w</w:t>
      </w:r>
      <w:r w:rsidRPr="00464FC9">
        <w:rPr>
          <w:color w:val="000000" w:themeColor="text1"/>
          <w:sz w:val="20"/>
          <w:szCs w:val="20"/>
          <w:lang w:val="en-US"/>
        </w:rPr>
        <w:t xml:space="preserve">et granulation </w:t>
      </w:r>
      <w:r w:rsidR="008C0231" w:rsidRPr="00464FC9">
        <w:rPr>
          <w:color w:val="000000" w:themeColor="text1"/>
          <w:sz w:val="20"/>
          <w:szCs w:val="20"/>
          <w:lang w:val="en-US"/>
        </w:rPr>
        <w:t>process</w:t>
      </w:r>
      <w:r w:rsidRPr="00464FC9">
        <w:rPr>
          <w:color w:val="000000" w:themeColor="text1"/>
          <w:sz w:val="20"/>
          <w:szCs w:val="20"/>
          <w:lang w:val="en-US"/>
        </w:rPr>
        <w:t xml:space="preserve"> in a laboratory at 20°C. The cementitious mixture is placed inside the pan before rotation begins. Water is sprayed onto the mixture to enable wet granulation. The rapid setting of the cement mixture upon contact with water allows granules to form as the pan rotates. Granule size can be controlled by adjusting the fineness of the sprayed water droplets</w:t>
      </w:r>
      <w:r w:rsidR="00EB33C9" w:rsidRPr="00EB33C9">
        <w:rPr>
          <w:color w:val="000000" w:themeColor="text1"/>
          <w:sz w:val="20"/>
          <w:szCs w:val="20"/>
          <w:lang w:val="en-US"/>
        </w:rPr>
        <w:t xml:space="preserve">, as well as the speed and orientation of the </w:t>
      </w:r>
      <w:r w:rsidR="00EB33C9">
        <w:rPr>
          <w:color w:val="000000" w:themeColor="text1"/>
          <w:sz w:val="20"/>
          <w:szCs w:val="20"/>
          <w:lang w:val="en-US"/>
        </w:rPr>
        <w:t>disc granulator</w:t>
      </w:r>
      <w:r w:rsidR="00EB33C9" w:rsidRPr="00EB33C9">
        <w:rPr>
          <w:color w:val="000000" w:themeColor="text1"/>
          <w:sz w:val="20"/>
          <w:szCs w:val="20"/>
          <w:lang w:val="en-US"/>
        </w:rPr>
        <w:t>.</w:t>
      </w:r>
    </w:p>
    <w:p w14:paraId="3C6C94C9" w14:textId="389E27FD" w:rsidR="00684F88" w:rsidRPr="00464FC9" w:rsidRDefault="000A3ACD" w:rsidP="00A36665">
      <w:pPr>
        <w:spacing w:before="240" w:line="276" w:lineRule="auto"/>
        <w:jc w:val="both"/>
        <w:rPr>
          <w:color w:val="000000" w:themeColor="text1"/>
          <w:sz w:val="20"/>
          <w:szCs w:val="20"/>
          <w:lang w:val="en-US"/>
        </w:rPr>
      </w:pPr>
      <w:r w:rsidRPr="00464FC9">
        <w:rPr>
          <w:color w:val="000000" w:themeColor="text1"/>
          <w:sz w:val="20"/>
          <w:szCs w:val="20"/>
          <w:lang w:val="en-US"/>
        </w:rPr>
        <w:t xml:space="preserve">Therefore, the material is formed at the same time as water is added, in a </w:t>
      </w:r>
      <w:r w:rsidR="00CD787D" w:rsidRPr="00464FC9">
        <w:rPr>
          <w:color w:val="000000" w:themeColor="text1"/>
          <w:sz w:val="20"/>
          <w:szCs w:val="20"/>
          <w:lang w:val="en-US"/>
        </w:rPr>
        <w:t>one-step process</w:t>
      </w:r>
      <w:r w:rsidRPr="00464FC9">
        <w:rPr>
          <w:color w:val="000000" w:themeColor="text1"/>
          <w:sz w:val="20"/>
          <w:szCs w:val="20"/>
          <w:lang w:val="en-US"/>
        </w:rPr>
        <w:t xml:space="preserve">, </w:t>
      </w:r>
      <w:r w:rsidR="00CD787D" w:rsidRPr="00464FC9">
        <w:rPr>
          <w:color w:val="000000" w:themeColor="text1"/>
          <w:sz w:val="20"/>
          <w:szCs w:val="20"/>
          <w:lang w:val="en-US"/>
        </w:rPr>
        <w:t>limiting</w:t>
      </w:r>
      <w:r w:rsidRPr="00464FC9">
        <w:rPr>
          <w:color w:val="000000" w:themeColor="text1"/>
          <w:sz w:val="20"/>
          <w:szCs w:val="20"/>
          <w:lang w:val="en-US"/>
        </w:rPr>
        <w:t xml:space="preserve"> the</w:t>
      </w:r>
      <w:r w:rsidR="00CD787D" w:rsidRPr="00464FC9">
        <w:rPr>
          <w:color w:val="000000" w:themeColor="text1"/>
          <w:sz w:val="20"/>
          <w:szCs w:val="20"/>
          <w:lang w:val="en-US"/>
        </w:rPr>
        <w:t xml:space="preserve"> dust losses and reducing the manufacturing time. This production method appears to be faster and more cost-effective </w:t>
      </w:r>
      <w:r w:rsidR="008A1E50" w:rsidRPr="00464FC9">
        <w:rPr>
          <w:color w:val="000000" w:themeColor="text1"/>
          <w:sz w:val="20"/>
          <w:szCs w:val="20"/>
          <w:lang w:val="en-GB"/>
        </w:rPr>
        <w:t>than the CHCP process, which follows a two-step approach that lengthens the overall preparation time.</w:t>
      </w:r>
      <w:r w:rsidR="00CD787D" w:rsidRPr="00464FC9">
        <w:rPr>
          <w:color w:val="000000" w:themeColor="text1"/>
          <w:sz w:val="20"/>
          <w:szCs w:val="20"/>
          <w:lang w:val="en-US"/>
        </w:rPr>
        <w:t xml:space="preserve"> </w:t>
      </w:r>
      <w:r w:rsidR="006E6647" w:rsidRPr="00464FC9">
        <w:rPr>
          <w:color w:val="000000" w:themeColor="text1"/>
          <w:sz w:val="20"/>
          <w:szCs w:val="20"/>
          <w:lang w:val="en-US"/>
        </w:rPr>
        <w:t xml:space="preserve">Following the formulation of a fluid cement paste, a mandatory setting time is required before the material can be shaped. The desired final shape and size were achieved by subjecting the hardened paste to mechanical compression. </w:t>
      </w:r>
      <w:r w:rsidR="008A1E50" w:rsidRPr="00464FC9">
        <w:rPr>
          <w:color w:val="000000" w:themeColor="text1"/>
          <w:sz w:val="20"/>
          <w:szCs w:val="20"/>
          <w:lang w:val="en-GB"/>
        </w:rPr>
        <w:t>This process increases the amount of equipment required and extends the overall preparation time,</w:t>
      </w:r>
      <w:r w:rsidR="006E6647" w:rsidRPr="00464FC9">
        <w:rPr>
          <w:color w:val="000000" w:themeColor="text1"/>
          <w:sz w:val="20"/>
          <w:szCs w:val="20"/>
          <w:lang w:val="en-US"/>
        </w:rPr>
        <w:t xml:space="preserve"> </w:t>
      </w:r>
      <w:r w:rsidR="00CD787D" w:rsidRPr="00464FC9">
        <w:rPr>
          <w:color w:val="000000" w:themeColor="text1"/>
          <w:sz w:val="20"/>
          <w:szCs w:val="20"/>
          <w:lang w:val="en-US"/>
        </w:rPr>
        <w:t xml:space="preserve">while also producing irregularly shaped grains. </w:t>
      </w:r>
      <w:r w:rsidR="009717BF" w:rsidRPr="00464FC9">
        <w:rPr>
          <w:color w:val="000000" w:themeColor="text1"/>
          <w:sz w:val="20"/>
          <w:szCs w:val="20"/>
          <w:lang w:val="en-US"/>
        </w:rPr>
        <w:t>The crushing process generates a significant amount of fine dust, requiring specialized handling and resulting in material loss, which is identified as a</w:t>
      </w:r>
      <w:r w:rsidR="00CD787D" w:rsidRPr="00464FC9">
        <w:rPr>
          <w:color w:val="000000" w:themeColor="text1"/>
          <w:sz w:val="20"/>
          <w:szCs w:val="20"/>
          <w:lang w:val="en-US"/>
        </w:rPr>
        <w:t xml:space="preserve"> major drawback of this process.</w:t>
      </w:r>
    </w:p>
    <w:p w14:paraId="7B1592EF" w14:textId="0FE67338" w:rsidR="00752C4F" w:rsidRPr="00464FC9" w:rsidRDefault="00684F88" w:rsidP="00A36665">
      <w:pPr>
        <w:pStyle w:val="Paragraphedeliste"/>
        <w:numPr>
          <w:ilvl w:val="1"/>
          <w:numId w:val="11"/>
        </w:numPr>
        <w:spacing w:before="240" w:line="276" w:lineRule="auto"/>
        <w:jc w:val="both"/>
        <w:rPr>
          <w:rFonts w:ascii="Arial" w:hAnsi="Arial" w:cs="Arial"/>
          <w:i/>
          <w:iCs/>
          <w:color w:val="000000" w:themeColor="text1"/>
          <w:sz w:val="20"/>
          <w:szCs w:val="20"/>
          <w:lang w:val="en-US"/>
        </w:rPr>
      </w:pPr>
      <w:r w:rsidRPr="00464FC9">
        <w:rPr>
          <w:rFonts w:ascii="Arial" w:hAnsi="Arial" w:cs="Arial"/>
          <w:i/>
          <w:iCs/>
          <w:color w:val="000000" w:themeColor="text1"/>
          <w:sz w:val="20"/>
          <w:szCs w:val="20"/>
          <w:lang w:val="en-US"/>
        </w:rPr>
        <w:t>Material analysis and selection</w:t>
      </w:r>
    </w:p>
    <w:p w14:paraId="083FAD53" w14:textId="41D74442" w:rsidR="00C059D5" w:rsidRPr="00464FC9" w:rsidRDefault="00C54595" w:rsidP="00DF5AB4">
      <w:pPr>
        <w:pStyle w:val="SWCText"/>
        <w:spacing w:before="240" w:after="0"/>
        <w:rPr>
          <w:color w:val="000000" w:themeColor="text1"/>
          <w:szCs w:val="20"/>
        </w:rPr>
      </w:pPr>
      <w:r w:rsidRPr="00464FC9">
        <w:rPr>
          <w:color w:val="000000" w:themeColor="text1"/>
        </w:rPr>
        <w:t xml:space="preserve">After a seven </w:t>
      </w:r>
      <w:proofErr w:type="spellStart"/>
      <w:r w:rsidRPr="00464FC9">
        <w:rPr>
          <w:color w:val="000000" w:themeColor="text1"/>
        </w:rPr>
        <w:t>days</w:t>
      </w:r>
      <w:proofErr w:type="spellEnd"/>
      <w:r w:rsidRPr="00464FC9">
        <w:rPr>
          <w:color w:val="000000" w:themeColor="text1"/>
        </w:rPr>
        <w:t xml:space="preserve"> rest period in a temperature-controlled laboratory at 20 °C, t</w:t>
      </w:r>
      <w:r w:rsidR="00684F88" w:rsidRPr="00464FC9">
        <w:rPr>
          <w:color w:val="000000" w:themeColor="text1"/>
        </w:rPr>
        <w:t xml:space="preserve">he samples were </w:t>
      </w:r>
      <w:r w:rsidRPr="00464FC9">
        <w:rPr>
          <w:color w:val="000000" w:themeColor="text1"/>
        </w:rPr>
        <w:t>characterized</w:t>
      </w:r>
      <w:r w:rsidR="00684F88" w:rsidRPr="00464FC9">
        <w:rPr>
          <w:color w:val="000000" w:themeColor="text1"/>
        </w:rPr>
        <w:t xml:space="preserve">. </w:t>
      </w:r>
      <w:r w:rsidRPr="00464FC9">
        <w:rPr>
          <w:color w:val="000000" w:themeColor="text1"/>
        </w:rPr>
        <w:t>On grains with a diameter of 1 to 3.15 mm, structure analyses were performed: b</w:t>
      </w:r>
      <w:r w:rsidR="00684F88" w:rsidRPr="00464FC9">
        <w:rPr>
          <w:color w:val="000000" w:themeColor="text1"/>
        </w:rPr>
        <w:t xml:space="preserve">ulk density, mercury intrusion </w:t>
      </w:r>
      <w:proofErr w:type="spellStart"/>
      <w:r w:rsidR="00684F88" w:rsidRPr="00464FC9">
        <w:rPr>
          <w:color w:val="000000" w:themeColor="text1"/>
        </w:rPr>
        <w:t>porosimetry</w:t>
      </w:r>
      <w:proofErr w:type="spellEnd"/>
      <w:r w:rsidR="00684F88" w:rsidRPr="00464FC9">
        <w:rPr>
          <w:color w:val="000000" w:themeColor="text1"/>
        </w:rPr>
        <w:t xml:space="preserve"> (MIP), </w:t>
      </w:r>
      <w:r w:rsidR="008A1E50" w:rsidRPr="00464FC9">
        <w:rPr>
          <w:color w:val="000000" w:themeColor="text1"/>
        </w:rPr>
        <w:t xml:space="preserve">BET specific surface area (N2 adsorption) and </w:t>
      </w:r>
      <w:r w:rsidR="00684F88" w:rsidRPr="00464FC9">
        <w:rPr>
          <w:color w:val="000000" w:themeColor="text1"/>
        </w:rPr>
        <w:t>scanning electron microscopy (SEM)</w:t>
      </w:r>
      <w:r w:rsidRPr="00464FC9">
        <w:rPr>
          <w:color w:val="000000" w:themeColor="text1"/>
        </w:rPr>
        <w:t>.</w:t>
      </w:r>
      <w:r w:rsidRPr="00464FC9">
        <w:rPr>
          <w:color w:val="000000" w:themeColor="text1"/>
          <w:szCs w:val="20"/>
        </w:rPr>
        <w:t xml:space="preserve"> </w:t>
      </w:r>
      <w:r w:rsidRPr="00464FC9">
        <w:rPr>
          <w:color w:val="000000" w:themeColor="text1"/>
          <w:szCs w:val="20"/>
        </w:rPr>
        <w:lastRenderedPageBreak/>
        <w:t xml:space="preserve">Thermogravimetric analysis (TGA) and X-ray diffraction (XRD) need the </w:t>
      </w:r>
      <w:r w:rsidR="00684F88" w:rsidRPr="00464FC9">
        <w:rPr>
          <w:color w:val="000000" w:themeColor="text1"/>
          <w:szCs w:val="20"/>
        </w:rPr>
        <w:t>grains ground</w:t>
      </w:r>
      <w:r w:rsidRPr="00464FC9">
        <w:rPr>
          <w:color w:val="000000" w:themeColor="text1"/>
          <w:szCs w:val="20"/>
        </w:rPr>
        <w:t>ed</w:t>
      </w:r>
      <w:r w:rsidR="00684F88" w:rsidRPr="00464FC9">
        <w:rPr>
          <w:color w:val="000000" w:themeColor="text1"/>
          <w:szCs w:val="20"/>
        </w:rPr>
        <w:t xml:space="preserve"> to a fineness of less than 125 µm to samples</w:t>
      </w:r>
      <w:r w:rsidR="00C059D5" w:rsidRPr="00464FC9">
        <w:rPr>
          <w:color w:val="000000" w:themeColor="text1"/>
          <w:szCs w:val="20"/>
        </w:rPr>
        <w:t xml:space="preserve"> analysis</w:t>
      </w:r>
      <w:r w:rsidR="00684F88" w:rsidRPr="00464FC9">
        <w:rPr>
          <w:color w:val="000000" w:themeColor="text1"/>
          <w:szCs w:val="20"/>
        </w:rPr>
        <w:t>.</w:t>
      </w:r>
      <w:r w:rsidRPr="00464FC9">
        <w:rPr>
          <w:color w:val="000000" w:themeColor="text1"/>
          <w:szCs w:val="20"/>
        </w:rPr>
        <w:t xml:space="preserve"> </w:t>
      </w:r>
    </w:p>
    <w:p w14:paraId="031D55DF" w14:textId="759E5A21" w:rsidR="00903414" w:rsidRPr="00464FC9" w:rsidRDefault="00C54595">
      <w:pPr>
        <w:pStyle w:val="SWCText"/>
        <w:spacing w:before="240" w:after="0"/>
        <w:rPr>
          <w:color w:val="000000" w:themeColor="text1"/>
          <w:szCs w:val="20"/>
        </w:rPr>
      </w:pPr>
      <w:r w:rsidRPr="00464FC9">
        <w:rPr>
          <w:color w:val="000000" w:themeColor="text1"/>
          <w:szCs w:val="20"/>
        </w:rPr>
        <w:t xml:space="preserve">A Mettler-Toledo TGA-DSC 3+ was utilized to </w:t>
      </w:r>
      <w:r w:rsidR="00EB33C9" w:rsidRPr="00464FC9">
        <w:rPr>
          <w:color w:val="000000" w:themeColor="text1"/>
          <w:szCs w:val="20"/>
        </w:rPr>
        <w:t>carry</w:t>
      </w:r>
      <w:r w:rsidRPr="00464FC9">
        <w:rPr>
          <w:color w:val="000000" w:themeColor="text1"/>
          <w:szCs w:val="20"/>
        </w:rPr>
        <w:t xml:space="preserve"> out TGA measurements under a nitrogen fl</w:t>
      </w:r>
      <w:r w:rsidR="008A1E50" w:rsidRPr="00464FC9">
        <w:rPr>
          <w:color w:val="000000" w:themeColor="text1"/>
          <w:szCs w:val="20"/>
        </w:rPr>
        <w:t xml:space="preserve">ow </w:t>
      </w:r>
      <w:r w:rsidR="00903414" w:rsidRPr="00464FC9">
        <w:rPr>
          <w:color w:val="000000" w:themeColor="text1"/>
          <w:szCs w:val="20"/>
        </w:rPr>
        <w:t xml:space="preserve">from </w:t>
      </w:r>
      <w:r w:rsidR="00790FAD" w:rsidRPr="00464FC9">
        <w:rPr>
          <w:color w:val="000000" w:themeColor="text1"/>
          <w:szCs w:val="20"/>
        </w:rPr>
        <w:t xml:space="preserve">30 to 600 °C </w:t>
      </w:r>
      <w:r w:rsidRPr="00464FC9">
        <w:rPr>
          <w:color w:val="000000" w:themeColor="text1"/>
          <w:szCs w:val="20"/>
        </w:rPr>
        <w:t xml:space="preserve">temperatures range </w:t>
      </w:r>
      <w:r w:rsidR="00790FAD" w:rsidRPr="00464FC9">
        <w:rPr>
          <w:color w:val="000000" w:themeColor="text1"/>
          <w:szCs w:val="20"/>
        </w:rPr>
        <w:t xml:space="preserve">at a heating rate of 2.5 K/min. </w:t>
      </w:r>
      <w:r w:rsidR="00B4751B" w:rsidRPr="00464FC9">
        <w:rPr>
          <w:color w:val="000000" w:themeColor="text1"/>
          <w:szCs w:val="20"/>
        </w:rPr>
        <w:t xml:space="preserve">The phase assemblage was analyzed with </w:t>
      </w:r>
      <w:r w:rsidR="00790FAD" w:rsidRPr="00464FC9">
        <w:rPr>
          <w:color w:val="000000" w:themeColor="text1"/>
          <w:szCs w:val="20"/>
        </w:rPr>
        <w:t>X-ray diffraction qualitative analysis (XRD)</w:t>
      </w:r>
      <w:r w:rsidR="00B4751B" w:rsidRPr="00464FC9">
        <w:rPr>
          <w:color w:val="000000" w:themeColor="text1"/>
          <w:szCs w:val="20"/>
        </w:rPr>
        <w:t>:</w:t>
      </w:r>
      <w:r w:rsidR="00DC049D" w:rsidRPr="00464FC9">
        <w:rPr>
          <w:color w:val="000000" w:themeColor="text1"/>
          <w:szCs w:val="20"/>
        </w:rPr>
        <w:t xml:space="preserve"> </w:t>
      </w:r>
      <w:r w:rsidR="00790FAD" w:rsidRPr="00464FC9">
        <w:rPr>
          <w:color w:val="000000" w:themeColor="text1"/>
          <w:szCs w:val="20"/>
        </w:rPr>
        <w:t>DX Bruker D8 Advance with a copper tube (</w:t>
      </w:r>
      <w:proofErr w:type="spellStart"/>
      <w:r w:rsidR="00790FAD" w:rsidRPr="00464FC9">
        <w:rPr>
          <w:color w:val="000000" w:themeColor="text1"/>
          <w:szCs w:val="20"/>
        </w:rPr>
        <w:t>CuK</w:t>
      </w:r>
      <w:proofErr w:type="spellEnd"/>
      <w:r w:rsidR="00790FAD" w:rsidRPr="00464FC9">
        <w:rPr>
          <w:color w:val="000000" w:themeColor="text1"/>
          <w:szCs w:val="20"/>
        </w:rPr>
        <w:t>α radiation beam, 25 kV, 40 mA)</w:t>
      </w:r>
      <w:r w:rsidR="00DC049D" w:rsidRPr="00464FC9">
        <w:rPr>
          <w:color w:val="000000" w:themeColor="text1"/>
          <w:szCs w:val="20"/>
        </w:rPr>
        <w:t xml:space="preserve"> was equipped</w:t>
      </w:r>
      <w:r w:rsidR="00B3564A" w:rsidRPr="00464FC9">
        <w:rPr>
          <w:color w:val="000000" w:themeColor="text1"/>
          <w:szCs w:val="20"/>
        </w:rPr>
        <w:t xml:space="preserve"> and a 3–65 ° (2</w:t>
      </w:r>
      <w:r w:rsidR="00EB33C9" w:rsidRPr="00464FC9">
        <w:rPr>
          <w:color w:val="000000" w:themeColor="text1"/>
          <w:szCs w:val="20"/>
        </w:rPr>
        <w:t>θ) scanned</w:t>
      </w:r>
      <w:r w:rsidR="00790FAD" w:rsidRPr="00464FC9">
        <w:rPr>
          <w:color w:val="000000" w:themeColor="text1"/>
          <w:szCs w:val="20"/>
        </w:rPr>
        <w:t xml:space="preserve"> range with a step of 0,135 s for 10 min in the ambient environment. </w:t>
      </w:r>
      <w:proofErr w:type="gramStart"/>
      <w:r w:rsidR="003E4A8B" w:rsidRPr="00464FC9">
        <w:rPr>
          <w:color w:val="000000" w:themeColor="text1"/>
          <w:szCs w:val="20"/>
        </w:rPr>
        <w:t>In order to</w:t>
      </w:r>
      <w:proofErr w:type="gramEnd"/>
      <w:r w:rsidR="003E4A8B" w:rsidRPr="00464FC9">
        <w:rPr>
          <w:color w:val="000000" w:themeColor="text1"/>
          <w:szCs w:val="20"/>
        </w:rPr>
        <w:t xml:space="preserve"> extract the ettringite content f</w:t>
      </w:r>
      <w:r w:rsidR="00790FAD" w:rsidRPr="00464FC9">
        <w:rPr>
          <w:color w:val="000000" w:themeColor="text1"/>
          <w:szCs w:val="20"/>
        </w:rPr>
        <w:t>rom the diffractograms, a quantitative analysis method was developed using and redefining the Rietveld files. The X-ray diffraction qualitative analysis (XRD) method used in this study was employed to track the phase assembly. A quantitative analysis method was developed from the diffractograms of the XRD analysis to extract the ettringite content by redefining the Rietveld files.</w:t>
      </w:r>
      <w:r w:rsidR="002B7FD9" w:rsidRPr="00464FC9">
        <w:rPr>
          <w:color w:val="000000" w:themeColor="text1"/>
          <w:szCs w:val="20"/>
        </w:rPr>
        <w:t xml:space="preserve"> </w:t>
      </w:r>
    </w:p>
    <w:p w14:paraId="0278538C" w14:textId="406FFA33" w:rsidR="002B7FD9" w:rsidRPr="00464FC9" w:rsidRDefault="003E4A8B" w:rsidP="00B5795C">
      <w:pPr>
        <w:pStyle w:val="SWCText"/>
        <w:spacing w:before="240" w:after="0"/>
        <w:rPr>
          <w:color w:val="000000" w:themeColor="text1"/>
          <w:szCs w:val="20"/>
        </w:rPr>
      </w:pPr>
      <w:r w:rsidRPr="00464FC9">
        <w:rPr>
          <w:color w:val="000000" w:themeColor="text1"/>
          <w:szCs w:val="20"/>
        </w:rPr>
        <w:t>Then, a</w:t>
      </w:r>
      <w:r w:rsidR="002B7FD9" w:rsidRPr="00464FC9">
        <w:rPr>
          <w:color w:val="000000" w:themeColor="text1"/>
          <w:szCs w:val="20"/>
        </w:rPr>
        <w:t xml:space="preserve"> new method using TGA analysis was developed and compared to the </w:t>
      </w:r>
      <w:r w:rsidRPr="00464FC9">
        <w:rPr>
          <w:color w:val="000000" w:themeColor="text1"/>
          <w:szCs w:val="20"/>
        </w:rPr>
        <w:t xml:space="preserve">method using XRD used for </w:t>
      </w:r>
      <w:r w:rsidR="002B7FD9" w:rsidRPr="00464FC9">
        <w:rPr>
          <w:color w:val="000000" w:themeColor="text1"/>
          <w:szCs w:val="20"/>
        </w:rPr>
        <w:t>ettringite quantification</w:t>
      </w:r>
      <w:r w:rsidR="0019621B" w:rsidRPr="00464FC9">
        <w:rPr>
          <w:color w:val="000000" w:themeColor="text1"/>
          <w:szCs w:val="20"/>
        </w:rPr>
        <w:t>:</w:t>
      </w:r>
      <w:r w:rsidRPr="00464FC9">
        <w:rPr>
          <w:color w:val="000000" w:themeColor="text1"/>
          <w:szCs w:val="20"/>
        </w:rPr>
        <w:t xml:space="preserve"> the XRD method is based on crystallographic </w:t>
      </w:r>
      <w:r w:rsidR="00EB33C9" w:rsidRPr="00464FC9">
        <w:rPr>
          <w:color w:val="000000" w:themeColor="text1"/>
          <w:szCs w:val="20"/>
        </w:rPr>
        <w:t>peaks,</w:t>
      </w:r>
      <w:r w:rsidR="0019621B" w:rsidRPr="00464FC9">
        <w:rPr>
          <w:color w:val="000000" w:themeColor="text1"/>
          <w:szCs w:val="20"/>
        </w:rPr>
        <w:t xml:space="preserve"> and</w:t>
      </w:r>
      <w:r w:rsidRPr="00464FC9">
        <w:rPr>
          <w:color w:val="000000" w:themeColor="text1"/>
          <w:szCs w:val="20"/>
        </w:rPr>
        <w:t xml:space="preserve"> the </w:t>
      </w:r>
      <w:r w:rsidR="002B7FD9" w:rsidRPr="00464FC9">
        <w:rPr>
          <w:color w:val="000000" w:themeColor="text1"/>
          <w:szCs w:val="20"/>
        </w:rPr>
        <w:t>TGA</w:t>
      </w:r>
      <w:r w:rsidRPr="00464FC9">
        <w:rPr>
          <w:color w:val="000000" w:themeColor="text1"/>
          <w:szCs w:val="20"/>
        </w:rPr>
        <w:t xml:space="preserve"> methodology</w:t>
      </w:r>
      <w:r w:rsidR="002B7FD9" w:rsidRPr="00464FC9">
        <w:rPr>
          <w:color w:val="000000" w:themeColor="text1"/>
          <w:szCs w:val="20"/>
        </w:rPr>
        <w:t xml:space="preserve"> is based on water loss from the sample. </w:t>
      </w:r>
      <w:r w:rsidR="003576BD" w:rsidRPr="00464FC9">
        <w:rPr>
          <w:color w:val="000000" w:themeColor="text1"/>
          <w:szCs w:val="20"/>
        </w:rPr>
        <w:t xml:space="preserve">This new and dual method of </w:t>
      </w:r>
      <w:r w:rsidR="002B7FD9" w:rsidRPr="00464FC9">
        <w:rPr>
          <w:color w:val="000000" w:themeColor="text1"/>
          <w:szCs w:val="20"/>
        </w:rPr>
        <w:t>characterization</w:t>
      </w:r>
      <w:r w:rsidR="003576BD" w:rsidRPr="00464FC9">
        <w:rPr>
          <w:color w:val="000000" w:themeColor="text1"/>
          <w:szCs w:val="20"/>
        </w:rPr>
        <w:t xml:space="preserve"> is more accessible and</w:t>
      </w:r>
      <w:r w:rsidR="002B7FD9" w:rsidRPr="00464FC9">
        <w:rPr>
          <w:color w:val="000000" w:themeColor="text1"/>
          <w:szCs w:val="20"/>
        </w:rPr>
        <w:t xml:space="preserve"> allows for validation of the ettringite content within the materials</w:t>
      </w:r>
      <w:r w:rsidR="003576BD" w:rsidRPr="00464FC9">
        <w:rPr>
          <w:color w:val="000000" w:themeColor="text1"/>
          <w:szCs w:val="20"/>
        </w:rPr>
        <w:t>.</w:t>
      </w:r>
    </w:p>
    <w:p w14:paraId="5D29C2C0" w14:textId="1AED81A5" w:rsidR="002B7FD9" w:rsidRPr="00464FC9" w:rsidRDefault="002B7FD9" w:rsidP="002B7FD9">
      <w:pPr>
        <w:spacing w:line="276" w:lineRule="auto"/>
        <w:jc w:val="both"/>
        <w:rPr>
          <w:color w:val="000000" w:themeColor="text1"/>
          <w:sz w:val="20"/>
          <w:szCs w:val="20"/>
          <w:lang w:val="en-US"/>
        </w:rPr>
      </w:pPr>
      <w:r w:rsidRPr="00464FC9">
        <w:rPr>
          <w:color w:val="000000" w:themeColor="text1"/>
          <w:sz w:val="20"/>
          <w:szCs w:val="20"/>
          <w:lang w:val="en-US"/>
        </w:rPr>
        <w:t>The</w:t>
      </w:r>
      <w:r w:rsidR="009F4EE8" w:rsidRPr="00464FC9">
        <w:rPr>
          <w:color w:val="000000" w:themeColor="text1"/>
          <w:sz w:val="20"/>
          <w:szCs w:val="20"/>
          <w:lang w:val="en-US"/>
        </w:rPr>
        <w:t xml:space="preserve"> hypothesis used to determine the </w:t>
      </w:r>
      <w:r w:rsidRPr="00464FC9">
        <w:rPr>
          <w:color w:val="000000" w:themeColor="text1"/>
          <w:sz w:val="20"/>
          <w:szCs w:val="20"/>
          <w:lang w:val="en-US"/>
        </w:rPr>
        <w:t xml:space="preserve">ettringite content of each sample is that </w:t>
      </w:r>
      <w:r w:rsidR="00052DBE" w:rsidRPr="00464FC9">
        <w:rPr>
          <w:color w:val="000000" w:themeColor="text1"/>
          <w:sz w:val="20"/>
          <w:szCs w:val="20"/>
          <w:lang w:val="en-US"/>
        </w:rPr>
        <w:t xml:space="preserve">the </w:t>
      </w:r>
      <w:proofErr w:type="spellStart"/>
      <w:r w:rsidR="00052DBE" w:rsidRPr="00464FC9">
        <w:rPr>
          <w:color w:val="000000" w:themeColor="text1"/>
          <w:sz w:val="20"/>
          <w:szCs w:val="20"/>
          <w:lang w:val="en-US"/>
        </w:rPr>
        <w:t>AFt</w:t>
      </w:r>
      <w:proofErr w:type="spellEnd"/>
      <w:r w:rsidR="00052DBE" w:rsidRPr="00464FC9">
        <w:rPr>
          <w:color w:val="000000" w:themeColor="text1"/>
          <w:sz w:val="20"/>
          <w:szCs w:val="20"/>
          <w:lang w:val="en-US"/>
        </w:rPr>
        <w:t xml:space="preserve"> decompose between 40 °C and 180 °C releasing </w:t>
      </w:r>
      <w:r w:rsidRPr="00464FC9">
        <w:rPr>
          <w:color w:val="000000" w:themeColor="text1"/>
          <w:sz w:val="20"/>
          <w:szCs w:val="20"/>
          <w:lang w:val="en-US"/>
        </w:rPr>
        <w:t xml:space="preserve">24 water molecules </w:t>
      </w:r>
      <w:r w:rsidRPr="00464FC9">
        <w:rPr>
          <w:color w:val="000000" w:themeColor="text1"/>
          <w:sz w:val="20"/>
          <w:szCs w:val="20"/>
          <w:lang w:val="en-US"/>
        </w:rPr>
        <w:fldChar w:fldCharType="begin"/>
      </w:r>
      <w:r w:rsidRPr="00464FC9">
        <w:rPr>
          <w:color w:val="000000" w:themeColor="text1"/>
          <w:sz w:val="20"/>
          <w:szCs w:val="20"/>
          <w:lang w:val="en-US"/>
        </w:rPr>
        <w:instrText xml:space="preserve"> ADDIN ZOTERO_ITEM CSL_CITATION {"citationID":"XRVatwU4","properties":{"formattedCitation":"(Chen et al., 2021b; Jim\\uc0\\u233{}nez and Prieto, 2015; Ndiaye et al., 2017)","plainCitation":"(Chen et al., 2021b; Jiménez and Prieto, 2015; Ndiaye et al., 2017)","noteIndex":0},"citationItems":[{"id":293,"uris":["http://zotero.org/users/local/gJ9mc1Ss/items/68CFUPZA","http://zotero.org/users/19179360/items/68CFUPZA"],"itemData":{"id":293,"type":"article-journal","abstract":"Ettringite-based thermochemical energy storage has been recommended to be used in buildings for thermal energy supply because of its low material cost (&lt;1000 €/m3), low working temperature and high energy storage capacity. However, several physicochemical properties of ettringite were still not clear, such as reversible re­ action enthalpies, thermodynamic equilibrium, and kinetics of the dehydration/hydration reactions. In this study, the dehydration of ettringite was experimentally confirmed as stepwise in TGA-DSC, Ett30.6 → Ett30 → Met 17.8 → Met11.7 → Met7.5, which is consistent with the inference according to the crystal structure. The thermodynamic equilibrium of the reversible reactions presented the impact of water activity on the stability of ettringite at controlled temperatures and water vapor partial pressures. The thermodynamic modeling based on experiment results is consistent with the extrapolated model from the literature. The rehydration enthalpy of ettringite has been confirmed about 1370 kJ/mol, which equals an energy density of 547 kWh/m3 under the operating conditions of 20 ◦C and 90% RH.","container-title":"Solar Energy Materials and Solar Cells","DOI":"10.1016/j.solmat.2020.110877","ISSN":"09270248","journalAbbreviation":"Solar Energy Materials and Solar Cells","language":"en","page":"110877","source":"DOI.org (Crossref)","title":"Investigation on ettringite as a low-cost high-density thermochemical heat storage material: Thermodynamics and kinetics","title-short":"Investigation on ettringite as a low-cost high-density thermochemical heat storage material","volume":"221","author":[{"family":"Chen","given":"B."},{"family":"Johannes","given":"K."},{"family":"Ratel","given":"L."},{"family":"Horgnies","given":"M."},{"family":"Morin","given":"V."},{"family":"Kuznik","given":"F."}],"issued":{"date-parts":[["2021",3]]}}},{"id":161,"uris":["http://zotero.org/users/19179360/items/AXPXL52S"],"itemData":{"id":161,"type":"article-journal","container-title":"Environmental Science &amp; Technology","DOI":"10.1021/acs.est.5b00536","ISSN":"0013-936X, 1520-5851","issue":"13","journalAbbreviation":"Environ. Sci. Technol.","language":"en","page":"7957-7964","source":"DOI.org (Crossref)","title":"Thermal Stability of Ettringite Exposed to Atmosphere: Implications for the Uptake of Harmful Ions by Cement","title-short":"Thermal Stability of Ettringite Exposed to Atmosphere","volume":"49","author":[{"family":"Jiménez","given":"Amalia"},{"family":"Prieto","given":"Manuel"}],"issued":{"date-parts":[["2015",7,7]]}}},{"id":114,"uris":["http://zotero.org/users/local/gJ9mc1Ss/items/CSQ887JG","http://zotero.org/users/19179360/items/CSQ887JG"],"itemData":{"id":114,"type":"article-journal","abstract":"Energy storage is necessary to increase the use of solar heat in buildings. Ettringite, a common hydrated phase</w:instrText>
      </w:r>
      <w:r w:rsidRPr="006D77FF">
        <w:rPr>
          <w:color w:val="000000" w:themeColor="text1"/>
          <w:sz w:val="20"/>
          <w:szCs w:val="20"/>
          <w:lang w:val="fr-FR"/>
        </w:rPr>
        <w:instrText xml:space="preserve"> found in cement-based materials, has the advantage of high energy storage density at low temperature (around 60 °C). The ettringite-based material was synthesized by hydration of calcium sulfoaluminate cement for heat storage. As durability is a key criterion for selecting a heat storage material, the aim of this paper is to assess the stability and durability of an ettringite matrix intended to be used for this purpose. Thermal stability, reversibility and carbonation tests were performed on the material produced. Its physicochemical stability over time was followed by XRD, TGA, SEM and IR. The dehydration and rehydration process in the ettringite-based material, leading to the heat charging and discharging process, was reversible during several cycles. An accelerated carbonation test with the material showed that its use as heat storage material requires protection against CO2.","container-title":"Cement and Concrete Research","DOI":"10.1016/j.cemconres.2017.05.001","ISSN":"00088846","journalAbbreviation":"Cement and Concrete Research","language":"en","page":"106-115","source":"DOI.org (Crossref)","title":"Durability and stability of an ettringite-based material for thermal energy storage at low temperature","volume":"99","author":[{"family":"Ndiaye","given":"Khadim"},{"family":"Cyr","given":"Martin"},{"family":"Ginestet","given":"Stéphane"}],"issued":{"date-parts":[["2017",9]]}}}],"schema":"https://github.com/citation-style-language/schema/raw/master/csl-citation.json"} </w:instrText>
      </w:r>
      <w:r w:rsidRPr="00464FC9">
        <w:rPr>
          <w:color w:val="000000" w:themeColor="text1"/>
          <w:sz w:val="20"/>
          <w:szCs w:val="20"/>
          <w:lang w:val="en-US"/>
        </w:rPr>
        <w:fldChar w:fldCharType="separate"/>
      </w:r>
      <w:r w:rsidRPr="006D77FF">
        <w:rPr>
          <w:color w:val="000000" w:themeColor="text1"/>
          <w:sz w:val="20"/>
          <w:szCs w:val="20"/>
          <w:lang w:val="fr-FR"/>
        </w:rPr>
        <w:t>(Chen et al., 2021b; Jiménez and Prieto, 2015; Ndiaye et al., 2017)</w:t>
      </w:r>
      <w:r w:rsidRPr="00464FC9">
        <w:rPr>
          <w:color w:val="000000" w:themeColor="text1"/>
          <w:sz w:val="20"/>
          <w:szCs w:val="20"/>
          <w:lang w:val="en-US"/>
        </w:rPr>
        <w:fldChar w:fldCharType="end"/>
      </w:r>
      <w:r w:rsidRPr="006D77FF">
        <w:rPr>
          <w:color w:val="000000" w:themeColor="text1"/>
          <w:sz w:val="20"/>
          <w:szCs w:val="20"/>
          <w:lang w:val="fr-FR"/>
        </w:rPr>
        <w:t>.</w:t>
      </w:r>
      <w:r w:rsidR="009F4EE8" w:rsidRPr="006D77FF">
        <w:rPr>
          <w:color w:val="000000" w:themeColor="text1"/>
          <w:sz w:val="20"/>
          <w:szCs w:val="20"/>
          <w:lang w:val="fr-FR"/>
        </w:rPr>
        <w:t xml:space="preserve"> </w:t>
      </w:r>
      <w:r w:rsidR="008A1E50" w:rsidRPr="00464FC9">
        <w:rPr>
          <w:color w:val="000000" w:themeColor="text1"/>
          <w:sz w:val="20"/>
          <w:szCs w:val="20"/>
          <w:lang w:val="en-US"/>
        </w:rPr>
        <w:t>The calculation is described in the following equation (Eq. 2).</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38"/>
        <w:gridCol w:w="829"/>
      </w:tblGrid>
      <w:tr w:rsidR="002B7FD9" w:rsidRPr="00464FC9" w14:paraId="06105C4B" w14:textId="77777777" w:rsidTr="007F4EB6">
        <w:trPr>
          <w:trHeight w:val="825"/>
        </w:trPr>
        <w:tc>
          <w:tcPr>
            <w:tcW w:w="7938" w:type="dxa"/>
          </w:tcPr>
          <w:p w14:paraId="262135FE" w14:textId="77777777" w:rsidR="002B7FD9" w:rsidRPr="00464FC9" w:rsidRDefault="002B7FD9" w:rsidP="0056635F">
            <w:pPr>
              <w:tabs>
                <w:tab w:val="left" w:pos="1010"/>
              </w:tabs>
              <w:spacing w:line="480" w:lineRule="auto"/>
              <w:rPr>
                <w:color w:val="000000" w:themeColor="text1"/>
                <w:lang w:val="en-US"/>
              </w:rPr>
            </w:pPr>
            <m:oMathPara>
              <m:oMathParaPr>
                <m:jc m:val="left"/>
              </m:oMathParaPr>
              <m:oMath>
                <m:r>
                  <w:rPr>
                    <w:rFonts w:ascii="Cambria Math" w:hAnsi="Cambria Math"/>
                    <w:color w:val="000000" w:themeColor="text1"/>
                    <w:sz w:val="20"/>
                    <w:szCs w:val="20"/>
                    <w:lang w:val="en-US"/>
                  </w:rPr>
                  <m:t xml:space="preserve">Ettringite rate </m:t>
                </m:r>
                <m:d>
                  <m:dPr>
                    <m:ctrlPr>
                      <w:rPr>
                        <w:rFonts w:ascii="Cambria Math" w:hAnsi="Cambria Math"/>
                        <w:i/>
                        <w:color w:val="000000" w:themeColor="text1"/>
                        <w:sz w:val="20"/>
                        <w:szCs w:val="20"/>
                        <w:lang w:val="en-US"/>
                      </w:rPr>
                    </m:ctrlPr>
                  </m:dPr>
                  <m:e>
                    <m:r>
                      <w:rPr>
                        <w:rFonts w:ascii="Cambria Math" w:hAnsi="Cambria Math"/>
                        <w:color w:val="000000" w:themeColor="text1"/>
                        <w:sz w:val="20"/>
                        <w:szCs w:val="20"/>
                        <w:lang w:val="en-US"/>
                      </w:rPr>
                      <m:t>wt%</m:t>
                    </m:r>
                  </m:e>
                </m:d>
                <m:r>
                  <w:rPr>
                    <w:rFonts w:ascii="Cambria Math" w:hAnsi="Cambria Math"/>
                    <w:color w:val="000000" w:themeColor="text1"/>
                    <w:sz w:val="20"/>
                    <w:szCs w:val="20"/>
                    <w:lang w:val="en-US"/>
                  </w:rPr>
                  <m:t>=100 ×wt% loss</m:t>
                </m:r>
                <m:d>
                  <m:dPr>
                    <m:begChr m:val="["/>
                    <m:endChr m:val="]"/>
                    <m:ctrlPr>
                      <w:rPr>
                        <w:rFonts w:ascii="Cambria Math" w:hAnsi="Cambria Math"/>
                        <w:i/>
                        <w:color w:val="000000" w:themeColor="text1"/>
                        <w:sz w:val="20"/>
                        <w:szCs w:val="20"/>
                        <w:lang w:val="en-US"/>
                      </w:rPr>
                    </m:ctrlPr>
                  </m:dPr>
                  <m:e>
                    <m:r>
                      <w:rPr>
                        <w:rFonts w:ascii="Cambria Math" w:hAnsi="Cambria Math"/>
                        <w:color w:val="000000" w:themeColor="text1"/>
                        <w:sz w:val="20"/>
                        <w:szCs w:val="20"/>
                        <w:lang w:val="en-US"/>
                      </w:rPr>
                      <m:t>40°C-180°C</m:t>
                    </m:r>
                  </m:e>
                </m:d>
                <m:r>
                  <w:rPr>
                    <w:rFonts w:ascii="Cambria Math" w:hAnsi="Cambria Math"/>
                    <w:color w:val="000000" w:themeColor="text1"/>
                    <w:sz w:val="20"/>
                    <w:szCs w:val="20"/>
                    <w:lang w:val="en-US"/>
                  </w:rPr>
                  <m:t xml:space="preserve">× </m:t>
                </m:r>
                <m:f>
                  <m:fPr>
                    <m:ctrlPr>
                      <w:rPr>
                        <w:rFonts w:ascii="Cambria Math" w:hAnsi="Cambria Math"/>
                        <w:i/>
                        <w:color w:val="000000" w:themeColor="text1"/>
                        <w:sz w:val="20"/>
                        <w:szCs w:val="20"/>
                        <w:lang w:val="en-US"/>
                      </w:rPr>
                    </m:ctrlPr>
                  </m:fPr>
                  <m:num>
                    <m:r>
                      <w:rPr>
                        <w:rFonts w:ascii="Cambria Math" w:hAnsi="Cambria Math"/>
                        <w:color w:val="000000" w:themeColor="text1"/>
                        <w:sz w:val="20"/>
                        <w:szCs w:val="20"/>
                        <w:lang w:val="en-US"/>
                      </w:rPr>
                      <m:t>1</m:t>
                    </m:r>
                  </m:num>
                  <m:den>
                    <m:d>
                      <m:dPr>
                        <m:ctrlPr>
                          <w:rPr>
                            <w:rFonts w:ascii="Cambria Math" w:hAnsi="Cambria Math"/>
                            <w:i/>
                            <w:color w:val="000000" w:themeColor="text1"/>
                            <w:sz w:val="20"/>
                            <w:szCs w:val="20"/>
                            <w:lang w:val="en-US"/>
                          </w:rPr>
                        </m:ctrlPr>
                      </m:dPr>
                      <m:e>
                        <m:f>
                          <m:fPr>
                            <m:ctrlPr>
                              <w:rPr>
                                <w:rFonts w:ascii="Cambria Math" w:hAnsi="Cambria Math"/>
                                <w:i/>
                                <w:color w:val="000000" w:themeColor="text1"/>
                                <w:sz w:val="20"/>
                                <w:szCs w:val="20"/>
                                <w:lang w:val="en-US"/>
                              </w:rPr>
                            </m:ctrlPr>
                          </m:fPr>
                          <m:num>
                            <m:r>
                              <w:rPr>
                                <w:rFonts w:ascii="Cambria Math" w:hAnsi="Cambria Math"/>
                                <w:color w:val="000000" w:themeColor="text1"/>
                                <w:sz w:val="20"/>
                                <w:szCs w:val="20"/>
                                <w:lang w:val="en-US"/>
                              </w:rPr>
                              <m:t>30×</m:t>
                            </m:r>
                            <m:sSub>
                              <m:sSubPr>
                                <m:ctrlPr>
                                  <w:rPr>
                                    <w:rFonts w:ascii="Cambria Math" w:hAnsi="Cambria Math"/>
                                    <w:i/>
                                    <w:color w:val="000000" w:themeColor="text1"/>
                                    <w:sz w:val="20"/>
                                    <w:szCs w:val="20"/>
                                    <w:lang w:val="en-US"/>
                                  </w:rPr>
                                </m:ctrlPr>
                              </m:sSubPr>
                              <m:e>
                                <m:r>
                                  <w:rPr>
                                    <w:rFonts w:ascii="Cambria Math" w:hAnsi="Cambria Math"/>
                                    <w:color w:val="000000" w:themeColor="text1"/>
                                    <w:sz w:val="20"/>
                                    <w:szCs w:val="20"/>
                                    <w:lang w:val="en-US"/>
                                  </w:rPr>
                                  <m:t>M</m:t>
                                </m:r>
                              </m:e>
                              <m:sub>
                                <m:r>
                                  <w:rPr>
                                    <w:rFonts w:ascii="Cambria Math" w:hAnsi="Cambria Math"/>
                                    <w:color w:val="000000" w:themeColor="text1"/>
                                    <w:sz w:val="20"/>
                                    <w:szCs w:val="20"/>
                                    <w:lang w:val="en-US"/>
                                  </w:rPr>
                                  <m:t>H2O</m:t>
                                </m:r>
                              </m:sub>
                            </m:sSub>
                          </m:num>
                          <m:den>
                            <m:sSub>
                              <m:sSubPr>
                                <m:ctrlPr>
                                  <w:rPr>
                                    <w:rFonts w:ascii="Cambria Math" w:hAnsi="Cambria Math"/>
                                    <w:i/>
                                    <w:color w:val="000000" w:themeColor="text1"/>
                                    <w:sz w:val="20"/>
                                    <w:szCs w:val="20"/>
                                    <w:lang w:val="en-US"/>
                                  </w:rPr>
                                </m:ctrlPr>
                              </m:sSubPr>
                              <m:e>
                                <m:r>
                                  <w:rPr>
                                    <w:rFonts w:ascii="Cambria Math" w:hAnsi="Cambria Math"/>
                                    <w:color w:val="000000" w:themeColor="text1"/>
                                    <w:sz w:val="20"/>
                                    <w:szCs w:val="20"/>
                                    <w:lang w:val="en-US"/>
                                  </w:rPr>
                                  <m:t>M</m:t>
                                </m:r>
                              </m:e>
                              <m:sub>
                                <m:r>
                                  <w:rPr>
                                    <w:rFonts w:ascii="Cambria Math" w:hAnsi="Cambria Math"/>
                                    <w:color w:val="000000" w:themeColor="text1"/>
                                    <w:sz w:val="20"/>
                                    <w:szCs w:val="20"/>
                                    <w:lang w:val="en-US"/>
                                  </w:rPr>
                                  <m:t>AFt30</m:t>
                                </m:r>
                              </m:sub>
                            </m:sSub>
                          </m:den>
                        </m:f>
                        <m:r>
                          <w:rPr>
                            <w:rFonts w:ascii="Cambria Math" w:hAnsi="Cambria Math"/>
                            <w:color w:val="000000" w:themeColor="text1"/>
                            <w:sz w:val="20"/>
                            <w:szCs w:val="20"/>
                            <w:lang w:val="en-US"/>
                          </w:rPr>
                          <m:t>-</m:t>
                        </m:r>
                        <m:f>
                          <m:fPr>
                            <m:ctrlPr>
                              <w:rPr>
                                <w:rFonts w:ascii="Cambria Math" w:hAnsi="Cambria Math"/>
                                <w:i/>
                                <w:color w:val="000000" w:themeColor="text1"/>
                                <w:sz w:val="20"/>
                                <w:szCs w:val="20"/>
                                <w:lang w:val="en-US"/>
                              </w:rPr>
                            </m:ctrlPr>
                          </m:fPr>
                          <m:num>
                            <m:r>
                              <w:rPr>
                                <w:rFonts w:ascii="Cambria Math" w:hAnsi="Cambria Math"/>
                                <w:color w:val="000000" w:themeColor="text1"/>
                                <w:sz w:val="20"/>
                                <w:szCs w:val="20"/>
                                <w:lang w:val="en-US"/>
                              </w:rPr>
                              <m:t>6×</m:t>
                            </m:r>
                            <m:sSub>
                              <m:sSubPr>
                                <m:ctrlPr>
                                  <w:rPr>
                                    <w:rFonts w:ascii="Cambria Math" w:hAnsi="Cambria Math"/>
                                    <w:i/>
                                    <w:color w:val="000000" w:themeColor="text1"/>
                                    <w:sz w:val="20"/>
                                    <w:szCs w:val="20"/>
                                    <w:lang w:val="en-US"/>
                                  </w:rPr>
                                </m:ctrlPr>
                              </m:sSubPr>
                              <m:e>
                                <m:r>
                                  <w:rPr>
                                    <w:rFonts w:ascii="Cambria Math" w:hAnsi="Cambria Math"/>
                                    <w:color w:val="000000" w:themeColor="text1"/>
                                    <w:sz w:val="20"/>
                                    <w:szCs w:val="20"/>
                                    <w:lang w:val="en-US"/>
                                  </w:rPr>
                                  <m:t>M</m:t>
                                </m:r>
                              </m:e>
                              <m:sub>
                                <m:r>
                                  <w:rPr>
                                    <w:rFonts w:ascii="Cambria Math" w:hAnsi="Cambria Math"/>
                                    <w:color w:val="000000" w:themeColor="text1"/>
                                    <w:sz w:val="20"/>
                                    <w:szCs w:val="20"/>
                                    <w:lang w:val="en-US"/>
                                  </w:rPr>
                                  <m:t>H2O</m:t>
                                </m:r>
                              </m:sub>
                            </m:sSub>
                          </m:num>
                          <m:den>
                            <m:sSub>
                              <m:sSubPr>
                                <m:ctrlPr>
                                  <w:rPr>
                                    <w:rFonts w:ascii="Cambria Math" w:hAnsi="Cambria Math"/>
                                    <w:i/>
                                    <w:color w:val="000000" w:themeColor="text1"/>
                                    <w:sz w:val="20"/>
                                    <w:szCs w:val="20"/>
                                    <w:lang w:val="en-US"/>
                                  </w:rPr>
                                </m:ctrlPr>
                              </m:sSubPr>
                              <m:e>
                                <m:r>
                                  <w:rPr>
                                    <w:rFonts w:ascii="Cambria Math" w:hAnsi="Cambria Math"/>
                                    <w:color w:val="000000" w:themeColor="text1"/>
                                    <w:sz w:val="20"/>
                                    <w:szCs w:val="20"/>
                                    <w:lang w:val="en-US"/>
                                  </w:rPr>
                                  <m:t>M</m:t>
                                </m:r>
                              </m:e>
                              <m:sub>
                                <m:r>
                                  <w:rPr>
                                    <w:rFonts w:ascii="Cambria Math" w:hAnsi="Cambria Math"/>
                                    <w:color w:val="000000" w:themeColor="text1"/>
                                    <w:sz w:val="20"/>
                                    <w:szCs w:val="20"/>
                                    <w:lang w:val="en-US"/>
                                  </w:rPr>
                                  <m:t>AFt6</m:t>
                                </m:r>
                              </m:sub>
                            </m:sSub>
                          </m:den>
                        </m:f>
                      </m:e>
                    </m:d>
                  </m:den>
                </m:f>
              </m:oMath>
            </m:oMathPara>
          </w:p>
        </w:tc>
        <w:tc>
          <w:tcPr>
            <w:tcW w:w="829" w:type="dxa"/>
          </w:tcPr>
          <w:p w14:paraId="63210D84" w14:textId="2DE39114" w:rsidR="002B7FD9" w:rsidRPr="00464FC9" w:rsidRDefault="00C32DC2" w:rsidP="0056635F">
            <w:pPr>
              <w:spacing w:line="480" w:lineRule="auto"/>
              <w:rPr>
                <w:color w:val="000000" w:themeColor="text1"/>
                <w:lang w:val="en-US"/>
              </w:rPr>
            </w:pPr>
            <w:r w:rsidRPr="00464FC9">
              <w:rPr>
                <w:color w:val="000000" w:themeColor="text1"/>
                <w:sz w:val="20"/>
                <w:szCs w:val="20"/>
                <w:lang w:val="en-US"/>
              </w:rPr>
              <w:t>(eq.</w:t>
            </w:r>
            <w:r w:rsidR="002B7FD9" w:rsidRPr="00464FC9">
              <w:rPr>
                <w:color w:val="000000" w:themeColor="text1"/>
                <w:sz w:val="20"/>
                <w:szCs w:val="20"/>
                <w:lang w:val="en-US"/>
              </w:rPr>
              <w:t xml:space="preserve"> </w:t>
            </w:r>
            <w:r w:rsidR="007F4EB6" w:rsidRPr="00464FC9">
              <w:rPr>
                <w:color w:val="000000" w:themeColor="text1"/>
                <w:sz w:val="20"/>
                <w:szCs w:val="20"/>
                <w:lang w:val="en-US"/>
              </w:rPr>
              <w:t>2</w:t>
            </w:r>
            <w:r w:rsidRPr="00464FC9">
              <w:rPr>
                <w:color w:val="000000" w:themeColor="text1"/>
                <w:sz w:val="20"/>
                <w:szCs w:val="20"/>
                <w:lang w:val="en-US"/>
              </w:rPr>
              <w:t>)</w:t>
            </w:r>
          </w:p>
        </w:tc>
      </w:tr>
    </w:tbl>
    <w:p w14:paraId="0761AD37" w14:textId="22BFF3B8" w:rsidR="00B12377" w:rsidRPr="00464FC9" w:rsidRDefault="00F3361C" w:rsidP="007704D3">
      <w:pPr>
        <w:spacing w:line="276" w:lineRule="auto"/>
        <w:jc w:val="both"/>
        <w:rPr>
          <w:color w:val="000000" w:themeColor="text1"/>
          <w:sz w:val="20"/>
          <w:szCs w:val="20"/>
          <w:lang w:val="en-US"/>
        </w:rPr>
      </w:pPr>
      <w:r w:rsidRPr="00464FC9">
        <w:rPr>
          <w:color w:val="000000" w:themeColor="text1"/>
          <w:sz w:val="20"/>
          <w:szCs w:val="20"/>
          <w:lang w:val="en-US"/>
        </w:rPr>
        <w:t>T</w:t>
      </w:r>
      <w:r w:rsidR="00B12377" w:rsidRPr="00464FC9">
        <w:rPr>
          <w:color w:val="000000" w:themeColor="text1"/>
          <w:sz w:val="20"/>
          <w:szCs w:val="20"/>
          <w:lang w:val="en-US"/>
        </w:rPr>
        <w:t>he ettringite formation content as a function of the water-to-cement weight ratio (W/C)</w:t>
      </w:r>
      <w:r w:rsidRPr="00464FC9">
        <w:rPr>
          <w:color w:val="000000" w:themeColor="text1"/>
          <w:sz w:val="20"/>
          <w:szCs w:val="20"/>
          <w:lang w:val="en-US"/>
        </w:rPr>
        <w:t xml:space="preserve"> is illustrated in Figure 1</w:t>
      </w:r>
      <w:r w:rsidR="00B12377" w:rsidRPr="00464FC9">
        <w:rPr>
          <w:color w:val="000000" w:themeColor="text1"/>
          <w:sz w:val="20"/>
          <w:szCs w:val="20"/>
          <w:lang w:val="en-US"/>
        </w:rPr>
        <w:t xml:space="preserve">. </w:t>
      </w:r>
      <w:r w:rsidRPr="00464FC9">
        <w:rPr>
          <w:color w:val="000000" w:themeColor="text1"/>
          <w:sz w:val="20"/>
          <w:szCs w:val="20"/>
          <w:lang w:val="en-US"/>
        </w:rPr>
        <w:t xml:space="preserve">The water-to-cement ratios </w:t>
      </w:r>
      <w:proofErr w:type="gramStart"/>
      <w:r w:rsidRPr="00464FC9">
        <w:rPr>
          <w:color w:val="000000" w:themeColor="text1"/>
          <w:sz w:val="20"/>
          <w:szCs w:val="20"/>
          <w:lang w:val="en-US"/>
        </w:rPr>
        <w:t>is</w:t>
      </w:r>
      <w:proofErr w:type="gramEnd"/>
      <w:r w:rsidRPr="00464FC9">
        <w:rPr>
          <w:color w:val="000000" w:themeColor="text1"/>
          <w:sz w:val="20"/>
          <w:szCs w:val="20"/>
          <w:lang w:val="en-US"/>
        </w:rPr>
        <w:t xml:space="preserve"> increased from 0.4 to 0.66 </w:t>
      </w:r>
      <w:r w:rsidR="007B7371" w:rsidRPr="00464FC9">
        <w:rPr>
          <w:color w:val="000000" w:themeColor="text1"/>
          <w:sz w:val="20"/>
          <w:szCs w:val="20"/>
          <w:lang w:val="en-US"/>
        </w:rPr>
        <w:t>thanks to</w:t>
      </w:r>
      <w:r w:rsidRPr="00464FC9">
        <w:rPr>
          <w:color w:val="000000" w:themeColor="text1"/>
          <w:sz w:val="20"/>
          <w:szCs w:val="20"/>
          <w:lang w:val="en-US"/>
        </w:rPr>
        <w:t xml:space="preserve"> t</w:t>
      </w:r>
      <w:r w:rsidR="00B12377" w:rsidRPr="00464FC9">
        <w:rPr>
          <w:color w:val="000000" w:themeColor="text1"/>
          <w:sz w:val="20"/>
          <w:szCs w:val="20"/>
          <w:lang w:val="en-US"/>
        </w:rPr>
        <w:t>he incorporation of superabsorbent</w:t>
      </w:r>
      <w:r w:rsidR="008A1E50" w:rsidRPr="00464FC9">
        <w:rPr>
          <w:color w:val="000000" w:themeColor="text1"/>
          <w:sz w:val="20"/>
          <w:szCs w:val="20"/>
          <w:lang w:val="en-US"/>
        </w:rPr>
        <w:t xml:space="preserve"> </w:t>
      </w:r>
      <w:r w:rsidRPr="00464FC9">
        <w:rPr>
          <w:color w:val="000000" w:themeColor="text1"/>
          <w:sz w:val="20"/>
          <w:szCs w:val="20"/>
          <w:lang w:val="en-US"/>
        </w:rPr>
        <w:t xml:space="preserve">in the </w:t>
      </w:r>
      <w:r w:rsidR="00B12377" w:rsidRPr="00464FC9">
        <w:rPr>
          <w:color w:val="000000" w:themeColor="text1"/>
          <w:sz w:val="20"/>
          <w:szCs w:val="20"/>
          <w:lang w:val="en-US"/>
        </w:rPr>
        <w:t>material</w:t>
      </w:r>
      <w:r w:rsidRPr="00464FC9">
        <w:rPr>
          <w:color w:val="000000" w:themeColor="text1"/>
          <w:sz w:val="20"/>
          <w:szCs w:val="20"/>
          <w:lang w:val="en-US"/>
        </w:rPr>
        <w:t>s</w:t>
      </w:r>
      <w:r w:rsidR="00B12377" w:rsidRPr="00464FC9">
        <w:rPr>
          <w:color w:val="000000" w:themeColor="text1"/>
          <w:sz w:val="20"/>
          <w:szCs w:val="20"/>
          <w:lang w:val="en-US"/>
        </w:rPr>
        <w:t>.</w:t>
      </w:r>
      <w:r w:rsidR="004E1456" w:rsidRPr="00464FC9">
        <w:rPr>
          <w:color w:val="000000" w:themeColor="text1"/>
          <w:sz w:val="20"/>
          <w:szCs w:val="20"/>
          <w:lang w:val="en-US"/>
        </w:rPr>
        <w:t xml:space="preserve"> The granulation process itself limits the </w:t>
      </w:r>
      <w:proofErr w:type="gramStart"/>
      <w:r w:rsidR="004E1456" w:rsidRPr="00464FC9">
        <w:rPr>
          <w:color w:val="000000" w:themeColor="text1"/>
          <w:sz w:val="20"/>
          <w:szCs w:val="20"/>
          <w:lang w:val="en-US"/>
        </w:rPr>
        <w:t>amount</w:t>
      </w:r>
      <w:proofErr w:type="gramEnd"/>
      <w:r w:rsidR="004E1456" w:rsidRPr="00464FC9">
        <w:rPr>
          <w:color w:val="000000" w:themeColor="text1"/>
          <w:sz w:val="20"/>
          <w:szCs w:val="20"/>
          <w:lang w:val="en-US"/>
        </w:rPr>
        <w:t xml:space="preserve"> of superabsorbent </w:t>
      </w:r>
      <w:r w:rsidR="008A1E50" w:rsidRPr="00464FC9">
        <w:rPr>
          <w:color w:val="000000" w:themeColor="text1"/>
          <w:sz w:val="20"/>
          <w:szCs w:val="20"/>
          <w:lang w:val="en-US"/>
        </w:rPr>
        <w:t xml:space="preserve">polymers </w:t>
      </w:r>
      <w:r w:rsidR="004E1456" w:rsidRPr="00464FC9">
        <w:rPr>
          <w:color w:val="000000" w:themeColor="text1"/>
          <w:sz w:val="20"/>
          <w:szCs w:val="20"/>
          <w:lang w:val="en-US"/>
        </w:rPr>
        <w:t xml:space="preserve">in the cement mix </w:t>
      </w:r>
      <w:r w:rsidR="00D12AAC" w:rsidRPr="00464FC9">
        <w:rPr>
          <w:color w:val="000000" w:themeColor="text1"/>
          <w:sz w:val="20"/>
          <w:szCs w:val="20"/>
          <w:lang w:val="en-US"/>
        </w:rPr>
        <w:t>leading to a maximum W/C ratio of 0.66 during the e</w:t>
      </w:r>
      <w:r w:rsidR="00B12377" w:rsidRPr="00464FC9">
        <w:rPr>
          <w:color w:val="000000" w:themeColor="text1"/>
          <w:sz w:val="20"/>
          <w:szCs w:val="20"/>
          <w:lang w:val="en-US"/>
        </w:rPr>
        <w:t xml:space="preserve">xperimental tests </w:t>
      </w:r>
      <w:r w:rsidR="00D12AAC" w:rsidRPr="00464FC9">
        <w:rPr>
          <w:color w:val="000000" w:themeColor="text1"/>
          <w:sz w:val="20"/>
          <w:szCs w:val="20"/>
          <w:lang w:val="en-US"/>
        </w:rPr>
        <w:t>–</w:t>
      </w:r>
      <w:r w:rsidR="00B12377" w:rsidRPr="00464FC9">
        <w:rPr>
          <w:color w:val="000000" w:themeColor="text1"/>
          <w:sz w:val="20"/>
          <w:szCs w:val="20"/>
          <w:lang w:val="en-US"/>
        </w:rPr>
        <w:t>The results</w:t>
      </w:r>
      <w:r w:rsidR="001600B6" w:rsidRPr="00464FC9">
        <w:rPr>
          <w:color w:val="000000" w:themeColor="text1"/>
          <w:sz w:val="20"/>
          <w:szCs w:val="20"/>
          <w:lang w:val="en-US"/>
        </w:rPr>
        <w:t xml:space="preserve"> show</w:t>
      </w:r>
      <w:r w:rsidR="0079434D" w:rsidRPr="00464FC9">
        <w:rPr>
          <w:color w:val="000000" w:themeColor="text1"/>
          <w:sz w:val="20"/>
          <w:szCs w:val="20"/>
          <w:lang w:val="en-US"/>
        </w:rPr>
        <w:t xml:space="preserve"> an increase in the ettringite content</w:t>
      </w:r>
      <w:r w:rsidR="00B12377" w:rsidRPr="00464FC9">
        <w:rPr>
          <w:color w:val="000000" w:themeColor="text1"/>
          <w:sz w:val="20"/>
          <w:szCs w:val="20"/>
          <w:lang w:val="en-US"/>
        </w:rPr>
        <w:t xml:space="preserve"> </w:t>
      </w:r>
      <w:r w:rsidR="001600B6" w:rsidRPr="00464FC9">
        <w:rPr>
          <w:color w:val="000000" w:themeColor="text1"/>
          <w:sz w:val="20"/>
          <w:szCs w:val="20"/>
          <w:lang w:val="en-US"/>
        </w:rPr>
        <w:t>from approximately 60 % to 80 % by weight (cf.</w:t>
      </w:r>
      <w:r w:rsidR="00B12377" w:rsidRPr="00464FC9">
        <w:rPr>
          <w:color w:val="000000" w:themeColor="text1"/>
          <w:sz w:val="20"/>
          <w:szCs w:val="20"/>
          <w:lang w:val="en-US"/>
        </w:rPr>
        <w:t xml:space="preserve"> </w:t>
      </w:r>
      <w:r w:rsidR="007704D3" w:rsidRPr="00464FC9">
        <w:rPr>
          <w:color w:val="000000" w:themeColor="text1"/>
          <w:sz w:val="20"/>
          <w:szCs w:val="20"/>
          <w:lang w:val="en-US"/>
        </w:rPr>
        <w:t>Figure 1</w:t>
      </w:r>
      <w:r w:rsidR="001600B6" w:rsidRPr="00464FC9">
        <w:rPr>
          <w:color w:val="000000" w:themeColor="text1"/>
          <w:sz w:val="20"/>
          <w:szCs w:val="20"/>
          <w:lang w:val="en-US"/>
        </w:rPr>
        <w:t>) correlated with</w:t>
      </w:r>
      <w:r w:rsidR="00B12377" w:rsidRPr="00464FC9">
        <w:rPr>
          <w:color w:val="000000" w:themeColor="text1"/>
          <w:sz w:val="20"/>
          <w:szCs w:val="20"/>
          <w:lang w:val="en-US"/>
        </w:rPr>
        <w:t xml:space="preserve"> </w:t>
      </w:r>
      <w:r w:rsidR="001600B6" w:rsidRPr="00464FC9">
        <w:rPr>
          <w:color w:val="000000" w:themeColor="text1"/>
          <w:sz w:val="20"/>
          <w:szCs w:val="20"/>
          <w:lang w:val="en-US"/>
        </w:rPr>
        <w:t xml:space="preserve">the </w:t>
      </w:r>
      <w:r w:rsidR="00B12377" w:rsidRPr="00464FC9">
        <w:rPr>
          <w:color w:val="000000" w:themeColor="text1"/>
          <w:sz w:val="20"/>
          <w:szCs w:val="20"/>
          <w:lang w:val="en-US"/>
        </w:rPr>
        <w:t>W/C ratio values.</w:t>
      </w:r>
    </w:p>
    <w:p w14:paraId="35769431" w14:textId="28C74681" w:rsidR="00B12377" w:rsidRPr="00464FC9" w:rsidRDefault="000B0DBD" w:rsidP="00B12377">
      <w:pPr>
        <w:keepNext/>
        <w:spacing w:line="276" w:lineRule="auto"/>
        <w:jc w:val="center"/>
        <w:rPr>
          <w:color w:val="000000" w:themeColor="text1"/>
          <w:lang w:val="en-US"/>
        </w:rPr>
      </w:pPr>
      <w:r w:rsidRPr="00464FC9">
        <w:rPr>
          <w:noProof/>
          <w:color w:val="000000" w:themeColor="text1"/>
          <w:lang w:val="en-US"/>
        </w:rPr>
        <w:drawing>
          <wp:inline distT="0" distB="0" distL="0" distR="0" wp14:anchorId="334898B3" wp14:editId="3D578FC4">
            <wp:extent cx="4705405" cy="2665562"/>
            <wp:effectExtent l="0" t="0" r="0" b="1905"/>
            <wp:docPr id="1105880955"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738372" cy="2684237"/>
                    </a:xfrm>
                    <a:prstGeom prst="rect">
                      <a:avLst/>
                    </a:prstGeom>
                    <a:noFill/>
                    <a:ln>
                      <a:noFill/>
                    </a:ln>
                  </pic:spPr>
                </pic:pic>
              </a:graphicData>
            </a:graphic>
          </wp:inline>
        </w:drawing>
      </w:r>
    </w:p>
    <w:p w14:paraId="7D5A0B81" w14:textId="0304D2CF" w:rsidR="002B7FD9" w:rsidRPr="00464FC9" w:rsidRDefault="00B12377" w:rsidP="00C32DC2">
      <w:pPr>
        <w:pStyle w:val="Lgende"/>
        <w:spacing w:line="276" w:lineRule="auto"/>
        <w:rPr>
          <w:b/>
          <w:bCs/>
          <w:i w:val="0"/>
          <w:iCs w:val="0"/>
          <w:color w:val="000000" w:themeColor="text1"/>
          <w:sz w:val="16"/>
          <w:szCs w:val="16"/>
        </w:rPr>
      </w:pPr>
      <w:r w:rsidRPr="00464FC9">
        <w:rPr>
          <w:b/>
          <w:bCs/>
          <w:i w:val="0"/>
          <w:iCs w:val="0"/>
          <w:color w:val="000000" w:themeColor="text1"/>
          <w:sz w:val="16"/>
          <w:szCs w:val="16"/>
        </w:rPr>
        <w:t>Fig</w:t>
      </w:r>
      <w:r w:rsidR="00C32DC2" w:rsidRPr="00464FC9">
        <w:rPr>
          <w:b/>
          <w:bCs/>
          <w:i w:val="0"/>
          <w:iCs w:val="0"/>
          <w:color w:val="000000" w:themeColor="text1"/>
          <w:sz w:val="16"/>
          <w:szCs w:val="16"/>
        </w:rPr>
        <w:t>.</w:t>
      </w:r>
      <w:r w:rsidRPr="00464FC9">
        <w:rPr>
          <w:b/>
          <w:bCs/>
          <w:i w:val="0"/>
          <w:iCs w:val="0"/>
          <w:color w:val="000000" w:themeColor="text1"/>
          <w:sz w:val="16"/>
          <w:szCs w:val="16"/>
        </w:rPr>
        <w:t xml:space="preserve"> </w:t>
      </w:r>
      <w:r w:rsidRPr="00464FC9">
        <w:rPr>
          <w:b/>
          <w:bCs/>
          <w:i w:val="0"/>
          <w:iCs w:val="0"/>
          <w:color w:val="000000" w:themeColor="text1"/>
          <w:sz w:val="16"/>
          <w:szCs w:val="16"/>
        </w:rPr>
        <w:fldChar w:fldCharType="begin"/>
      </w:r>
      <w:r w:rsidRPr="00464FC9">
        <w:rPr>
          <w:b/>
          <w:bCs/>
          <w:i w:val="0"/>
          <w:iCs w:val="0"/>
          <w:color w:val="000000" w:themeColor="text1"/>
          <w:sz w:val="16"/>
          <w:szCs w:val="16"/>
        </w:rPr>
        <w:instrText xml:space="preserve"> SEQ Figure \* ARABIC </w:instrText>
      </w:r>
      <w:r w:rsidRPr="00464FC9">
        <w:rPr>
          <w:b/>
          <w:bCs/>
          <w:i w:val="0"/>
          <w:iCs w:val="0"/>
          <w:color w:val="000000" w:themeColor="text1"/>
          <w:sz w:val="16"/>
          <w:szCs w:val="16"/>
        </w:rPr>
        <w:fldChar w:fldCharType="separate"/>
      </w:r>
      <w:r w:rsidR="005A0F84" w:rsidRPr="00464FC9">
        <w:rPr>
          <w:b/>
          <w:bCs/>
          <w:i w:val="0"/>
          <w:iCs w:val="0"/>
          <w:noProof/>
          <w:color w:val="000000" w:themeColor="text1"/>
          <w:sz w:val="16"/>
          <w:szCs w:val="16"/>
        </w:rPr>
        <w:t>1</w:t>
      </w:r>
      <w:r w:rsidRPr="00464FC9">
        <w:rPr>
          <w:b/>
          <w:bCs/>
          <w:i w:val="0"/>
          <w:iCs w:val="0"/>
          <w:color w:val="000000" w:themeColor="text1"/>
          <w:sz w:val="16"/>
          <w:szCs w:val="16"/>
        </w:rPr>
        <w:fldChar w:fldCharType="end"/>
      </w:r>
      <w:r w:rsidRPr="00464FC9">
        <w:rPr>
          <w:b/>
          <w:bCs/>
          <w:i w:val="0"/>
          <w:iCs w:val="0"/>
          <w:color w:val="000000" w:themeColor="text1"/>
          <w:sz w:val="16"/>
          <w:szCs w:val="16"/>
        </w:rPr>
        <w:t xml:space="preserve">: Ettringite content in the cement </w:t>
      </w:r>
      <w:proofErr w:type="gramStart"/>
      <w:r w:rsidRPr="00464FC9">
        <w:rPr>
          <w:b/>
          <w:bCs/>
          <w:i w:val="0"/>
          <w:iCs w:val="0"/>
          <w:color w:val="000000" w:themeColor="text1"/>
          <w:sz w:val="16"/>
          <w:szCs w:val="16"/>
        </w:rPr>
        <w:t>paste</w:t>
      </w:r>
      <w:proofErr w:type="gramEnd"/>
      <w:r w:rsidRPr="00464FC9">
        <w:rPr>
          <w:b/>
          <w:bCs/>
          <w:i w:val="0"/>
          <w:iCs w:val="0"/>
          <w:color w:val="000000" w:themeColor="text1"/>
          <w:sz w:val="16"/>
          <w:szCs w:val="16"/>
        </w:rPr>
        <w:t xml:space="preserve"> samples from the results of the TGA and XRD analyses. </w:t>
      </w:r>
      <w:r w:rsidR="007704D3" w:rsidRPr="00464FC9">
        <w:rPr>
          <w:b/>
          <w:bCs/>
          <w:i w:val="0"/>
          <w:iCs w:val="0"/>
          <w:color w:val="000000" w:themeColor="text1"/>
          <w:sz w:val="16"/>
          <w:szCs w:val="16"/>
        </w:rPr>
        <w:t xml:space="preserve">C80P20p-A is manufactured by WG without superabsorbent. Materials C80P20p-B to C80P20p-G1, as well as C80P20p-G2, are manufactured by WG using various </w:t>
      </w:r>
      <w:proofErr w:type="spellStart"/>
      <w:r w:rsidR="007704D3" w:rsidRPr="00464FC9">
        <w:rPr>
          <w:b/>
          <w:bCs/>
          <w:i w:val="0"/>
          <w:iCs w:val="0"/>
          <w:color w:val="000000" w:themeColor="text1"/>
          <w:sz w:val="16"/>
          <w:szCs w:val="16"/>
        </w:rPr>
        <w:t>superabsorbents</w:t>
      </w:r>
      <w:proofErr w:type="spellEnd"/>
      <w:r w:rsidR="007704D3" w:rsidRPr="00464FC9">
        <w:rPr>
          <w:b/>
          <w:bCs/>
          <w:i w:val="0"/>
          <w:iCs w:val="0"/>
          <w:color w:val="000000" w:themeColor="text1"/>
          <w:sz w:val="16"/>
          <w:szCs w:val="16"/>
        </w:rPr>
        <w:t xml:space="preserve"> at mass contents of 0.5% and 1%. C80P20g-A and C80P20g-B are manufactured by CHCP.</w:t>
      </w:r>
    </w:p>
    <w:p w14:paraId="3B384D96" w14:textId="7847FEE3" w:rsidR="006E6647" w:rsidRPr="00464FC9" w:rsidRDefault="00684F88" w:rsidP="006E6647">
      <w:pPr>
        <w:spacing w:line="276" w:lineRule="auto"/>
        <w:jc w:val="both"/>
        <w:rPr>
          <w:color w:val="000000" w:themeColor="text1"/>
          <w:sz w:val="20"/>
          <w:szCs w:val="20"/>
          <w:lang w:val="en-US"/>
        </w:rPr>
      </w:pPr>
      <w:r w:rsidRPr="00464FC9">
        <w:rPr>
          <w:color w:val="000000" w:themeColor="text1"/>
          <w:sz w:val="20"/>
          <w:szCs w:val="20"/>
          <w:lang w:val="en-US"/>
        </w:rPr>
        <w:t xml:space="preserve">The initial chemical analyses of the </w:t>
      </w:r>
      <w:r w:rsidR="00083562" w:rsidRPr="00464FC9">
        <w:rPr>
          <w:color w:val="000000" w:themeColor="text1"/>
          <w:sz w:val="20"/>
          <w:szCs w:val="20"/>
          <w:lang w:val="en-US"/>
        </w:rPr>
        <w:t>ten</w:t>
      </w:r>
      <w:r w:rsidRPr="00464FC9">
        <w:rPr>
          <w:color w:val="000000" w:themeColor="text1"/>
          <w:sz w:val="20"/>
          <w:szCs w:val="20"/>
          <w:lang w:val="en-US"/>
        </w:rPr>
        <w:t xml:space="preserve"> materials allow for a preliminary understanding and selection of promising materials for thermochemical analysis. Figure </w:t>
      </w:r>
      <w:r w:rsidR="00F15E93" w:rsidRPr="00464FC9">
        <w:rPr>
          <w:color w:val="000000" w:themeColor="text1"/>
          <w:sz w:val="20"/>
          <w:szCs w:val="20"/>
          <w:lang w:val="en-US"/>
        </w:rPr>
        <w:t>2</w:t>
      </w:r>
      <w:r w:rsidRPr="00464FC9">
        <w:rPr>
          <w:color w:val="000000" w:themeColor="text1"/>
          <w:sz w:val="20"/>
          <w:szCs w:val="20"/>
          <w:lang w:val="en-US"/>
        </w:rPr>
        <w:t xml:space="preserve"> shows the four materials selected according to</w:t>
      </w:r>
      <w:r w:rsidR="001B5C93" w:rsidRPr="00464FC9">
        <w:rPr>
          <w:color w:val="000000" w:themeColor="text1"/>
          <w:sz w:val="20"/>
          <w:szCs w:val="20"/>
          <w:lang w:val="en-US"/>
        </w:rPr>
        <w:t xml:space="preserve"> this</w:t>
      </w:r>
      <w:r w:rsidRPr="00464FC9">
        <w:rPr>
          <w:color w:val="000000" w:themeColor="text1"/>
          <w:sz w:val="20"/>
          <w:szCs w:val="20"/>
          <w:lang w:val="en-US"/>
        </w:rPr>
        <w:t xml:space="preserve"> initial analysis. </w:t>
      </w:r>
      <w:r w:rsidR="00E671DC" w:rsidRPr="00464FC9">
        <w:rPr>
          <w:color w:val="000000" w:themeColor="text1"/>
          <w:sz w:val="20"/>
          <w:szCs w:val="20"/>
          <w:lang w:val="en-US"/>
        </w:rPr>
        <w:t xml:space="preserve">References materials for both manufacturing processes (CHCP and WG) are </w:t>
      </w:r>
      <w:r w:rsidRPr="00464FC9">
        <w:rPr>
          <w:color w:val="000000" w:themeColor="text1"/>
          <w:sz w:val="20"/>
          <w:szCs w:val="20"/>
          <w:lang w:val="en-US"/>
        </w:rPr>
        <w:t xml:space="preserve">C80P20p-A and </w:t>
      </w:r>
      <w:r w:rsidRPr="00464FC9">
        <w:rPr>
          <w:color w:val="000000" w:themeColor="text1"/>
          <w:sz w:val="20"/>
          <w:szCs w:val="20"/>
          <w:lang w:val="en-US"/>
        </w:rPr>
        <w:lastRenderedPageBreak/>
        <w:t>C80P20g-A</w:t>
      </w:r>
      <w:r w:rsidR="00E671DC" w:rsidRPr="00464FC9">
        <w:rPr>
          <w:color w:val="000000" w:themeColor="text1"/>
          <w:sz w:val="20"/>
          <w:szCs w:val="20"/>
          <w:lang w:val="en-US"/>
        </w:rPr>
        <w:t>, respectively</w:t>
      </w:r>
      <w:r w:rsidRPr="00464FC9">
        <w:rPr>
          <w:color w:val="000000" w:themeColor="text1"/>
          <w:sz w:val="20"/>
          <w:szCs w:val="20"/>
          <w:lang w:val="en-US"/>
        </w:rPr>
        <w:t xml:space="preserve">. </w:t>
      </w:r>
      <w:r w:rsidR="00ED6FE7" w:rsidRPr="00464FC9">
        <w:rPr>
          <w:color w:val="000000" w:themeColor="text1"/>
          <w:sz w:val="20"/>
          <w:szCs w:val="20"/>
          <w:lang w:val="en-US"/>
        </w:rPr>
        <w:t>Promising materials candidates, C80P20p-D and C80P20p-G2, for thermochemical energy storage are</w:t>
      </w:r>
      <w:r w:rsidRPr="00464FC9">
        <w:rPr>
          <w:color w:val="000000" w:themeColor="text1"/>
          <w:sz w:val="20"/>
          <w:szCs w:val="20"/>
          <w:lang w:val="en-US"/>
        </w:rPr>
        <w:t xml:space="preserve"> characterized by a W/C ratio greater than 0.6 with a single-step manufacturing process.</w:t>
      </w:r>
    </w:p>
    <w:p w14:paraId="49B2C207" w14:textId="77777777" w:rsidR="00085133" w:rsidRPr="00464FC9" w:rsidRDefault="00085133" w:rsidP="00004804">
      <w:pPr>
        <w:keepNext/>
        <w:spacing w:line="276" w:lineRule="auto"/>
        <w:jc w:val="center"/>
        <w:rPr>
          <w:color w:val="000000" w:themeColor="text1"/>
          <w:lang w:val="en-US"/>
        </w:rPr>
      </w:pPr>
      <w:r w:rsidRPr="00464FC9">
        <w:rPr>
          <w:noProof/>
          <w:color w:val="000000" w:themeColor="text1"/>
          <w:lang w:val="en-US"/>
        </w:rPr>
        <w:drawing>
          <wp:inline distT="0" distB="0" distL="0" distR="0" wp14:anchorId="148CD984" wp14:editId="5B24C82C">
            <wp:extent cx="3740150" cy="1284811"/>
            <wp:effectExtent l="0" t="0" r="0" b="0"/>
            <wp:docPr id="1113809118"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3809118"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tretch>
                      <a:fillRect/>
                    </a:stretch>
                  </pic:blipFill>
                  <pic:spPr bwMode="auto">
                    <a:xfrm>
                      <a:off x="0" y="0"/>
                      <a:ext cx="3828034" cy="1315001"/>
                    </a:xfrm>
                    <a:prstGeom prst="rect">
                      <a:avLst/>
                    </a:prstGeom>
                    <a:noFill/>
                    <a:ln>
                      <a:noFill/>
                    </a:ln>
                  </pic:spPr>
                </pic:pic>
              </a:graphicData>
            </a:graphic>
          </wp:inline>
        </w:drawing>
      </w:r>
    </w:p>
    <w:p w14:paraId="3718B3B4" w14:textId="0BC10E5E" w:rsidR="00085133" w:rsidRPr="00464FC9" w:rsidRDefault="00085133" w:rsidP="00004804">
      <w:pPr>
        <w:pStyle w:val="SWCTableFigureCaption"/>
        <w:rPr>
          <w:color w:val="000000" w:themeColor="text1"/>
        </w:rPr>
      </w:pPr>
      <w:bookmarkStart w:id="0" w:name="_Ref219823184"/>
      <w:r w:rsidRPr="00464FC9">
        <w:rPr>
          <w:color w:val="000000" w:themeColor="text1"/>
        </w:rPr>
        <w:t>Fig</w:t>
      </w:r>
      <w:r w:rsidR="00C32DC2" w:rsidRPr="00464FC9">
        <w:rPr>
          <w:color w:val="000000" w:themeColor="text1"/>
        </w:rPr>
        <w:t>.</w:t>
      </w:r>
      <w:r w:rsidRPr="00464FC9">
        <w:rPr>
          <w:color w:val="000000" w:themeColor="text1"/>
        </w:rPr>
        <w:t xml:space="preserve"> </w:t>
      </w:r>
      <w:r w:rsidRPr="00464FC9">
        <w:rPr>
          <w:color w:val="000000" w:themeColor="text1"/>
        </w:rPr>
        <w:fldChar w:fldCharType="begin"/>
      </w:r>
      <w:r w:rsidRPr="00464FC9">
        <w:rPr>
          <w:color w:val="000000" w:themeColor="text1"/>
        </w:rPr>
        <w:instrText xml:space="preserve"> SEQ Figure \* ARABIC </w:instrText>
      </w:r>
      <w:r w:rsidRPr="00464FC9">
        <w:rPr>
          <w:color w:val="000000" w:themeColor="text1"/>
        </w:rPr>
        <w:fldChar w:fldCharType="separate"/>
      </w:r>
      <w:r w:rsidR="005A0F84" w:rsidRPr="00464FC9">
        <w:rPr>
          <w:noProof/>
          <w:color w:val="000000" w:themeColor="text1"/>
        </w:rPr>
        <w:t>2</w:t>
      </w:r>
      <w:r w:rsidRPr="00464FC9">
        <w:rPr>
          <w:noProof/>
          <w:color w:val="000000" w:themeColor="text1"/>
        </w:rPr>
        <w:fldChar w:fldCharType="end"/>
      </w:r>
      <w:bookmarkEnd w:id="0"/>
      <w:r w:rsidRPr="00464FC9">
        <w:rPr>
          <w:color w:val="000000" w:themeColor="text1"/>
        </w:rPr>
        <w:t>: Picture of the 4 formulations selected for the next stage of the study</w:t>
      </w:r>
      <w:r w:rsidR="00A6770F" w:rsidRPr="00464FC9">
        <w:rPr>
          <w:color w:val="000000" w:themeColor="text1"/>
        </w:rPr>
        <w:t xml:space="preserve"> (1-3.15 mm diameter granulometry)</w:t>
      </w:r>
    </w:p>
    <w:p w14:paraId="52CB7D98" w14:textId="65F89899" w:rsidR="006E6647" w:rsidRPr="00464FC9" w:rsidRDefault="009E2DEF" w:rsidP="0005536E">
      <w:pPr>
        <w:spacing w:line="276" w:lineRule="auto"/>
        <w:jc w:val="both"/>
        <w:rPr>
          <w:color w:val="000000" w:themeColor="text1"/>
          <w:sz w:val="20"/>
          <w:szCs w:val="20"/>
          <w:lang w:val="en-US"/>
        </w:rPr>
      </w:pPr>
      <w:r w:rsidRPr="00464FC9">
        <w:rPr>
          <w:color w:val="000000" w:themeColor="text1"/>
          <w:sz w:val="20"/>
          <w:szCs w:val="20"/>
          <w:lang w:val="en-US"/>
        </w:rPr>
        <w:t>Electron microscopy (SEM) using a Quanta FEG 400 instrument was used to observe t</w:t>
      </w:r>
      <w:r w:rsidR="006E6647" w:rsidRPr="00464FC9">
        <w:rPr>
          <w:color w:val="000000" w:themeColor="text1"/>
          <w:sz w:val="20"/>
          <w:szCs w:val="20"/>
          <w:lang w:val="en-US"/>
        </w:rPr>
        <w:t>he surface and internal microstructure of 1</w:t>
      </w:r>
      <w:r w:rsidRPr="00464FC9">
        <w:rPr>
          <w:color w:val="000000" w:themeColor="text1"/>
          <w:sz w:val="20"/>
          <w:szCs w:val="20"/>
          <w:lang w:val="en-US"/>
        </w:rPr>
        <w:t xml:space="preserve"> to </w:t>
      </w:r>
      <w:r w:rsidR="006E6647" w:rsidRPr="00464FC9">
        <w:rPr>
          <w:color w:val="000000" w:themeColor="text1"/>
          <w:sz w:val="20"/>
          <w:szCs w:val="20"/>
          <w:lang w:val="en-US"/>
        </w:rPr>
        <w:t>3.15 mm grains of C80P20g-A and C80P20p-A</w:t>
      </w:r>
      <w:r w:rsidRPr="00464FC9">
        <w:rPr>
          <w:color w:val="000000" w:themeColor="text1"/>
          <w:sz w:val="20"/>
          <w:szCs w:val="20"/>
          <w:lang w:val="en-US"/>
        </w:rPr>
        <w:t xml:space="preserve"> materials</w:t>
      </w:r>
      <w:r w:rsidR="006E6647" w:rsidRPr="00464FC9">
        <w:rPr>
          <w:color w:val="000000" w:themeColor="text1"/>
          <w:sz w:val="20"/>
          <w:szCs w:val="20"/>
          <w:lang w:val="en-US"/>
        </w:rPr>
        <w:t>.</w:t>
      </w:r>
      <w:r w:rsidR="0005536E" w:rsidRPr="00464FC9">
        <w:rPr>
          <w:color w:val="000000" w:themeColor="text1"/>
          <w:sz w:val="20"/>
          <w:szCs w:val="20"/>
          <w:lang w:val="en-US"/>
        </w:rPr>
        <w:t xml:space="preserve"> T</w:t>
      </w:r>
      <w:r w:rsidR="006E6647" w:rsidRPr="00464FC9">
        <w:rPr>
          <w:color w:val="000000" w:themeColor="text1"/>
          <w:sz w:val="20"/>
          <w:szCs w:val="20"/>
          <w:lang w:val="en-US"/>
        </w:rPr>
        <w:t xml:space="preserve">he observation </w:t>
      </w:r>
      <w:r w:rsidR="008D0944" w:rsidRPr="00464FC9">
        <w:rPr>
          <w:color w:val="000000" w:themeColor="text1"/>
          <w:sz w:val="20"/>
          <w:szCs w:val="20"/>
          <w:lang w:val="en-US"/>
        </w:rPr>
        <w:t xml:space="preserve">of the surface and internal microstructure of two products manufactured </w:t>
      </w:r>
      <w:r w:rsidR="006E6647" w:rsidRPr="00464FC9">
        <w:rPr>
          <w:color w:val="000000" w:themeColor="text1"/>
          <w:sz w:val="20"/>
          <w:szCs w:val="20"/>
          <w:lang w:val="en-US"/>
        </w:rPr>
        <w:t>and</w:t>
      </w:r>
      <w:r w:rsidR="008D0944" w:rsidRPr="00464FC9">
        <w:rPr>
          <w:color w:val="000000" w:themeColor="text1"/>
          <w:sz w:val="20"/>
          <w:szCs w:val="20"/>
          <w:lang w:val="en-US"/>
        </w:rPr>
        <w:t xml:space="preserve"> their</w:t>
      </w:r>
      <w:r w:rsidR="006E6647" w:rsidRPr="00464FC9">
        <w:rPr>
          <w:color w:val="000000" w:themeColor="text1"/>
          <w:sz w:val="20"/>
          <w:szCs w:val="20"/>
          <w:lang w:val="en-US"/>
        </w:rPr>
        <w:t xml:space="preserve"> comparison </w:t>
      </w:r>
      <w:r w:rsidR="008D0944" w:rsidRPr="00464FC9">
        <w:rPr>
          <w:color w:val="000000" w:themeColor="text1"/>
          <w:sz w:val="20"/>
          <w:szCs w:val="20"/>
          <w:lang w:val="en-US"/>
        </w:rPr>
        <w:t>using two different processes is allowed by this analysis</w:t>
      </w:r>
      <w:r w:rsidR="006E6647" w:rsidRPr="00464FC9">
        <w:rPr>
          <w:color w:val="000000" w:themeColor="text1"/>
          <w:sz w:val="20"/>
          <w:szCs w:val="20"/>
          <w:lang w:val="en-US"/>
        </w:rPr>
        <w:t>.</w:t>
      </w:r>
      <w:r w:rsidR="002C0BBA" w:rsidRPr="00464FC9">
        <w:rPr>
          <w:color w:val="000000" w:themeColor="text1"/>
          <w:sz w:val="20"/>
          <w:szCs w:val="20"/>
          <w:lang w:val="en-US"/>
        </w:rPr>
        <w:t xml:space="preserve"> </w:t>
      </w:r>
      <w:r w:rsidR="00D97394" w:rsidRPr="00464FC9">
        <w:rPr>
          <w:color w:val="000000" w:themeColor="text1"/>
          <w:sz w:val="20"/>
          <w:szCs w:val="20"/>
          <w:lang w:val="en-US"/>
        </w:rPr>
        <w:t>The surface to be observed was coated with a 10-15 nm gold-palladium layer. The samples were then observed under high vacuum with an accelerating voltage of 15 kV and a secondary electron detector.</w:t>
      </w:r>
      <w:r w:rsidR="003E5D91" w:rsidRPr="00464FC9">
        <w:rPr>
          <w:color w:val="000000" w:themeColor="text1"/>
          <w:sz w:val="20"/>
          <w:szCs w:val="20"/>
          <w:lang w:val="en-US"/>
        </w:rPr>
        <w:t xml:space="preserve"> Identification of the ettringite phase in the matrix was confirmed by energy-dispersive X-ray spectroscopy (EDS).</w:t>
      </w:r>
    </w:p>
    <w:p w14:paraId="1AD4022A" w14:textId="5439916D" w:rsidR="00B0707F" w:rsidRPr="00464FC9" w:rsidRDefault="00DB53FF" w:rsidP="00DB53FF">
      <w:pPr>
        <w:spacing w:line="276" w:lineRule="auto"/>
        <w:jc w:val="both"/>
        <w:rPr>
          <w:color w:val="000000" w:themeColor="text1"/>
          <w:sz w:val="20"/>
          <w:szCs w:val="20"/>
          <w:lang w:val="en-US"/>
        </w:rPr>
      </w:pPr>
      <w:r w:rsidRPr="00464FC9">
        <w:rPr>
          <w:color w:val="000000" w:themeColor="text1"/>
          <w:sz w:val="20"/>
          <w:szCs w:val="20"/>
          <w:lang w:val="en-US"/>
        </w:rPr>
        <w:t>The thermochemical loading/unloading cycle of the four C80P20 selected materials were characterized thanks to a t</w:t>
      </w:r>
      <w:r w:rsidR="00A06AB2" w:rsidRPr="00464FC9">
        <w:rPr>
          <w:color w:val="000000" w:themeColor="text1"/>
          <w:sz w:val="20"/>
          <w:szCs w:val="20"/>
          <w:lang w:val="en-US"/>
        </w:rPr>
        <w:t>hermogravimetric analysis and differential scanning calorimetry (TGA/DSC) coupled with a humidity control system</w:t>
      </w:r>
      <w:r w:rsidR="00097300" w:rsidRPr="00464FC9">
        <w:rPr>
          <w:color w:val="000000" w:themeColor="text1"/>
          <w:sz w:val="20"/>
          <w:szCs w:val="20"/>
          <w:lang w:val="en-US"/>
        </w:rPr>
        <w:t xml:space="preserve"> (</w:t>
      </w:r>
      <w:proofErr w:type="spellStart"/>
      <w:r w:rsidR="00097300" w:rsidRPr="00464FC9">
        <w:rPr>
          <w:color w:val="000000" w:themeColor="text1"/>
          <w:sz w:val="20"/>
          <w:szCs w:val="20"/>
          <w:lang w:val="en-US"/>
        </w:rPr>
        <w:t>Sensys</w:t>
      </w:r>
      <w:proofErr w:type="spellEnd"/>
      <w:r w:rsidR="00097300" w:rsidRPr="00464FC9">
        <w:rPr>
          <w:color w:val="000000" w:themeColor="text1"/>
          <w:sz w:val="20"/>
          <w:szCs w:val="20"/>
          <w:lang w:val="en-US"/>
        </w:rPr>
        <w:t xml:space="preserve"> Evo TG-DSC and </w:t>
      </w:r>
      <w:proofErr w:type="spellStart"/>
      <w:r w:rsidR="00097300" w:rsidRPr="00464FC9">
        <w:rPr>
          <w:color w:val="000000" w:themeColor="text1"/>
          <w:sz w:val="20"/>
          <w:szCs w:val="20"/>
          <w:lang w:val="en-US"/>
        </w:rPr>
        <w:t>Wetsys</w:t>
      </w:r>
      <w:proofErr w:type="spellEnd"/>
      <w:r w:rsidR="00097300" w:rsidRPr="00464FC9">
        <w:rPr>
          <w:color w:val="000000" w:themeColor="text1"/>
          <w:sz w:val="20"/>
          <w:szCs w:val="20"/>
          <w:lang w:val="en-US"/>
        </w:rPr>
        <w:t xml:space="preserve">, </w:t>
      </w:r>
      <w:proofErr w:type="spellStart"/>
      <w:r w:rsidR="00097300" w:rsidRPr="00464FC9">
        <w:rPr>
          <w:color w:val="000000" w:themeColor="text1"/>
          <w:sz w:val="20"/>
          <w:szCs w:val="20"/>
          <w:lang w:val="en-US"/>
        </w:rPr>
        <w:t>Setaram</w:t>
      </w:r>
      <w:proofErr w:type="spellEnd"/>
      <w:r w:rsidR="00097300" w:rsidRPr="00464FC9">
        <w:rPr>
          <w:color w:val="000000" w:themeColor="text1"/>
          <w:sz w:val="20"/>
          <w:szCs w:val="20"/>
          <w:lang w:val="en-US"/>
        </w:rPr>
        <w:t xml:space="preserve"> Instruments)</w:t>
      </w:r>
      <w:r w:rsidRPr="00464FC9">
        <w:rPr>
          <w:color w:val="000000" w:themeColor="text1"/>
          <w:sz w:val="20"/>
          <w:szCs w:val="20"/>
          <w:lang w:val="en-US"/>
        </w:rPr>
        <w:t xml:space="preserve"> </w:t>
      </w:r>
      <w:r w:rsidR="00A06AB2" w:rsidRPr="00464FC9">
        <w:rPr>
          <w:color w:val="000000" w:themeColor="text1"/>
          <w:sz w:val="20"/>
          <w:szCs w:val="20"/>
          <w:lang w:val="en-US"/>
        </w:rPr>
        <w:t xml:space="preserve">used </w:t>
      </w:r>
      <w:r w:rsidRPr="00464FC9">
        <w:rPr>
          <w:color w:val="000000" w:themeColor="text1"/>
          <w:sz w:val="20"/>
          <w:szCs w:val="20"/>
          <w:lang w:val="en-US"/>
        </w:rPr>
        <w:t xml:space="preserve">to </w:t>
      </w:r>
      <w:r w:rsidR="00B0707F" w:rsidRPr="00464FC9">
        <w:rPr>
          <w:color w:val="000000" w:themeColor="text1"/>
          <w:sz w:val="20"/>
          <w:szCs w:val="20"/>
          <w:lang w:val="en-US"/>
        </w:rPr>
        <w:t>provide</w:t>
      </w:r>
      <w:r w:rsidRPr="00464FC9">
        <w:rPr>
          <w:color w:val="000000" w:themeColor="text1"/>
          <w:sz w:val="20"/>
          <w:szCs w:val="20"/>
          <w:lang w:val="en-US"/>
        </w:rPr>
        <w:t xml:space="preserve"> humid nitrogen flow</w:t>
      </w:r>
      <w:r w:rsidR="0052797E" w:rsidRPr="00464FC9">
        <w:rPr>
          <w:color w:val="000000" w:themeColor="text1"/>
          <w:sz w:val="20"/>
          <w:szCs w:val="20"/>
          <w:lang w:val="en-US"/>
        </w:rPr>
        <w:t>.</w:t>
      </w:r>
      <w:r w:rsidR="00A06AB2" w:rsidRPr="00464FC9">
        <w:rPr>
          <w:color w:val="000000" w:themeColor="text1"/>
          <w:sz w:val="20"/>
          <w:szCs w:val="20"/>
          <w:lang w:val="en-US"/>
        </w:rPr>
        <w:t xml:space="preserve"> </w:t>
      </w:r>
    </w:p>
    <w:p w14:paraId="0ABBDE87" w14:textId="23FF9A5E" w:rsidR="0052797E" w:rsidRPr="00464FC9" w:rsidRDefault="00B0707F" w:rsidP="00B5795C">
      <w:pPr>
        <w:spacing w:line="276" w:lineRule="auto"/>
        <w:jc w:val="both"/>
        <w:rPr>
          <w:color w:val="000000" w:themeColor="text1"/>
          <w:sz w:val="20"/>
          <w:szCs w:val="20"/>
          <w:lang w:val="en-US"/>
        </w:rPr>
      </w:pPr>
      <w:r w:rsidRPr="00464FC9">
        <w:rPr>
          <w:color w:val="000000" w:themeColor="text1"/>
          <w:sz w:val="20"/>
          <w:szCs w:val="20"/>
          <w:lang w:val="en-US"/>
        </w:rPr>
        <w:t>In the instrument, two 1.2 mm diameter grains were placed side by side in the crucible and thereby ensuring similar moisture flow</w:t>
      </w:r>
      <w:r w:rsidR="00D97394" w:rsidRPr="00464FC9">
        <w:rPr>
          <w:color w:val="000000" w:themeColor="text1"/>
          <w:sz w:val="20"/>
          <w:szCs w:val="20"/>
          <w:lang w:val="en-US"/>
        </w:rPr>
        <w:t xml:space="preserve"> around both grains. C</w:t>
      </w:r>
      <w:r w:rsidR="0052797E" w:rsidRPr="00464FC9">
        <w:rPr>
          <w:color w:val="000000" w:themeColor="text1"/>
          <w:sz w:val="20"/>
          <w:szCs w:val="20"/>
          <w:lang w:val="en-US"/>
        </w:rPr>
        <w:t>onsequently, no mass independence test was performed. The objective is to investigate the diffusion characteristics specific to the introduced grains rather than phenomena related to flow within the crucible.</w:t>
      </w:r>
    </w:p>
    <w:p w14:paraId="5DFCFB2C" w14:textId="55E17B53" w:rsidR="00343B13" w:rsidRPr="00464FC9" w:rsidRDefault="00097300" w:rsidP="0052797E">
      <w:pPr>
        <w:spacing w:line="276" w:lineRule="auto"/>
        <w:jc w:val="both"/>
        <w:rPr>
          <w:color w:val="000000" w:themeColor="text1"/>
          <w:sz w:val="20"/>
          <w:szCs w:val="20"/>
          <w:lang w:val="en-US"/>
        </w:rPr>
      </w:pPr>
      <w:r w:rsidRPr="00464FC9">
        <w:rPr>
          <w:color w:val="000000" w:themeColor="text1"/>
          <w:sz w:val="20"/>
          <w:szCs w:val="20"/>
          <w:lang w:val="en-US"/>
        </w:rPr>
        <w:t>The materials were studied during dehydration</w:t>
      </w:r>
      <w:r w:rsidR="00B92449" w:rsidRPr="00464FC9">
        <w:rPr>
          <w:color w:val="000000" w:themeColor="text1"/>
          <w:sz w:val="20"/>
          <w:szCs w:val="20"/>
          <w:lang w:val="en-US"/>
        </w:rPr>
        <w:t xml:space="preserve"> under a nitrogen flow rate of 10 ml/min for the TGA-DSC instrument and during </w:t>
      </w:r>
      <w:r w:rsidRPr="00464FC9">
        <w:rPr>
          <w:color w:val="000000" w:themeColor="text1"/>
          <w:sz w:val="20"/>
          <w:szCs w:val="20"/>
          <w:lang w:val="en-US"/>
        </w:rPr>
        <w:t xml:space="preserve">hydration </w:t>
      </w:r>
      <w:r w:rsidR="00B92449" w:rsidRPr="00464FC9">
        <w:rPr>
          <w:color w:val="000000" w:themeColor="text1"/>
          <w:sz w:val="20"/>
          <w:szCs w:val="20"/>
          <w:lang w:val="en-US"/>
        </w:rPr>
        <w:t>under</w:t>
      </w:r>
      <w:r w:rsidRPr="00464FC9">
        <w:rPr>
          <w:color w:val="000000" w:themeColor="text1"/>
          <w:sz w:val="20"/>
          <w:szCs w:val="20"/>
          <w:lang w:val="en-US"/>
        </w:rPr>
        <w:t xml:space="preserve"> a 50 ml/min for the </w:t>
      </w:r>
      <w:proofErr w:type="spellStart"/>
      <w:r w:rsidRPr="00464FC9">
        <w:rPr>
          <w:color w:val="000000" w:themeColor="text1"/>
          <w:sz w:val="20"/>
          <w:szCs w:val="20"/>
          <w:lang w:val="en-US"/>
        </w:rPr>
        <w:t>Wetsys</w:t>
      </w:r>
      <w:proofErr w:type="spellEnd"/>
      <w:r w:rsidRPr="00464FC9">
        <w:rPr>
          <w:color w:val="000000" w:themeColor="text1"/>
          <w:sz w:val="20"/>
          <w:szCs w:val="20"/>
          <w:lang w:val="en-US"/>
        </w:rPr>
        <w:t xml:space="preserve"> humidifier </w:t>
      </w:r>
      <w:proofErr w:type="gramStart"/>
      <w:r w:rsidR="00B92449" w:rsidRPr="00464FC9">
        <w:rPr>
          <w:color w:val="000000" w:themeColor="text1"/>
          <w:sz w:val="20"/>
          <w:szCs w:val="20"/>
          <w:lang w:val="en-US"/>
        </w:rPr>
        <w:t>in order to</w:t>
      </w:r>
      <w:proofErr w:type="gramEnd"/>
      <w:r w:rsidR="00B92449" w:rsidRPr="00464FC9">
        <w:rPr>
          <w:color w:val="000000" w:themeColor="text1"/>
          <w:sz w:val="20"/>
          <w:szCs w:val="20"/>
          <w:lang w:val="en-US"/>
        </w:rPr>
        <w:t xml:space="preserve"> </w:t>
      </w:r>
      <w:r w:rsidR="00343B13" w:rsidRPr="00464FC9">
        <w:rPr>
          <w:color w:val="000000" w:themeColor="text1"/>
          <w:sz w:val="20"/>
          <w:szCs w:val="20"/>
          <w:lang w:val="en-US"/>
        </w:rPr>
        <w:t>study</w:t>
      </w:r>
      <w:r w:rsidR="00B92449" w:rsidRPr="00464FC9">
        <w:rPr>
          <w:color w:val="000000" w:themeColor="text1"/>
          <w:sz w:val="20"/>
          <w:szCs w:val="20"/>
          <w:lang w:val="en-US"/>
        </w:rPr>
        <w:t xml:space="preserve"> the </w:t>
      </w:r>
      <w:r w:rsidR="00343B13" w:rsidRPr="00464FC9">
        <w:rPr>
          <w:color w:val="000000" w:themeColor="text1"/>
          <w:sz w:val="20"/>
          <w:szCs w:val="20"/>
          <w:lang w:val="en-US"/>
        </w:rPr>
        <w:t>complete</w:t>
      </w:r>
      <w:r w:rsidR="00B92449" w:rsidRPr="00464FC9">
        <w:rPr>
          <w:color w:val="000000" w:themeColor="text1"/>
          <w:sz w:val="20"/>
          <w:szCs w:val="20"/>
          <w:lang w:val="en-US"/>
        </w:rPr>
        <w:t xml:space="preserve"> storage cycle.</w:t>
      </w:r>
    </w:p>
    <w:p w14:paraId="2D0BECA2" w14:textId="3D81C35E" w:rsidR="00343B13" w:rsidRPr="00464FC9" w:rsidRDefault="00343B13" w:rsidP="00DF5AB4">
      <w:pPr>
        <w:spacing w:line="276" w:lineRule="auto"/>
        <w:jc w:val="both"/>
        <w:rPr>
          <w:color w:val="000000" w:themeColor="text1"/>
          <w:sz w:val="20"/>
          <w:szCs w:val="20"/>
          <w:lang w:val="en-US"/>
        </w:rPr>
      </w:pPr>
    </w:p>
    <w:p w14:paraId="36777E36" w14:textId="25E7B5DC" w:rsidR="00097300" w:rsidRPr="00464FC9" w:rsidRDefault="00FC7E04" w:rsidP="00B5795C">
      <w:pPr>
        <w:spacing w:line="276" w:lineRule="auto"/>
        <w:jc w:val="both"/>
        <w:rPr>
          <w:color w:val="000000" w:themeColor="text1"/>
          <w:sz w:val="20"/>
          <w:szCs w:val="20"/>
          <w:lang w:val="en-US"/>
        </w:rPr>
      </w:pPr>
      <w:proofErr w:type="gramStart"/>
      <w:r w:rsidRPr="00464FC9">
        <w:rPr>
          <w:color w:val="000000" w:themeColor="text1"/>
          <w:sz w:val="20"/>
          <w:szCs w:val="20"/>
          <w:lang w:val="en-US"/>
        </w:rPr>
        <w:t>In order to</w:t>
      </w:r>
      <w:proofErr w:type="gramEnd"/>
      <w:r w:rsidRPr="00464FC9">
        <w:rPr>
          <w:color w:val="000000" w:themeColor="text1"/>
          <w:sz w:val="20"/>
          <w:szCs w:val="20"/>
          <w:lang w:val="en-US"/>
        </w:rPr>
        <w:t xml:space="preserve"> determine the charging/discharging conditions of </w:t>
      </w:r>
      <w:proofErr w:type="spellStart"/>
      <w:r w:rsidRPr="00464FC9">
        <w:rPr>
          <w:color w:val="000000" w:themeColor="text1"/>
          <w:sz w:val="20"/>
          <w:szCs w:val="20"/>
          <w:lang w:val="en-US"/>
        </w:rPr>
        <w:t>ettringitic</w:t>
      </w:r>
      <w:proofErr w:type="spellEnd"/>
      <w:r w:rsidRPr="00464FC9">
        <w:rPr>
          <w:color w:val="000000" w:themeColor="text1"/>
          <w:sz w:val="20"/>
          <w:szCs w:val="20"/>
          <w:lang w:val="en-US"/>
        </w:rPr>
        <w:t xml:space="preserve"> materials and in the final the application range of the material, the </w:t>
      </w:r>
      <w:r w:rsidR="00097300" w:rsidRPr="00464FC9">
        <w:rPr>
          <w:color w:val="000000" w:themeColor="text1"/>
          <w:sz w:val="20"/>
          <w:szCs w:val="20"/>
          <w:lang w:val="en-US"/>
        </w:rPr>
        <w:t xml:space="preserve">thermodynamic equilibrium of the reaction </w:t>
      </w:r>
      <w:proofErr w:type="gramStart"/>
      <w:r w:rsidRPr="00464FC9">
        <w:rPr>
          <w:color w:val="000000" w:themeColor="text1"/>
          <w:sz w:val="20"/>
          <w:szCs w:val="20"/>
          <w:lang w:val="en-US"/>
        </w:rPr>
        <w:t>has to</w:t>
      </w:r>
      <w:proofErr w:type="gramEnd"/>
      <w:r w:rsidRPr="00464FC9">
        <w:rPr>
          <w:color w:val="000000" w:themeColor="text1"/>
          <w:sz w:val="20"/>
          <w:szCs w:val="20"/>
          <w:lang w:val="en-US"/>
        </w:rPr>
        <w:t xml:space="preserve"> be known</w:t>
      </w:r>
      <w:r w:rsidR="00097300" w:rsidRPr="00464FC9">
        <w:rPr>
          <w:color w:val="000000" w:themeColor="text1"/>
          <w:sz w:val="20"/>
          <w:szCs w:val="20"/>
          <w:lang w:val="en-US"/>
        </w:rPr>
        <w:t>.</w:t>
      </w:r>
      <w:r w:rsidR="000220F2" w:rsidRPr="00464FC9">
        <w:rPr>
          <w:color w:val="000000" w:themeColor="text1"/>
          <w:sz w:val="20"/>
          <w:szCs w:val="20"/>
          <w:lang w:val="en-US"/>
        </w:rPr>
        <w:t xml:space="preserve"> The key thermodynamic parameters of the Ett32/Met9 working couple were experimentally evaluated through a</w:t>
      </w:r>
      <w:r w:rsidR="00097300" w:rsidRPr="00464FC9">
        <w:rPr>
          <w:color w:val="000000" w:themeColor="text1"/>
          <w:sz w:val="20"/>
          <w:szCs w:val="20"/>
          <w:lang w:val="en-US"/>
        </w:rPr>
        <w:t xml:space="preserve"> study on the synthesis and characterization of ettringite </w:t>
      </w:r>
      <w:r w:rsidR="0072626D" w:rsidRPr="00464FC9">
        <w:rPr>
          <w:color w:val="000000" w:themeColor="text1"/>
          <w:sz w:val="20"/>
          <w:szCs w:val="20"/>
          <w:lang w:val="en-US"/>
        </w:rPr>
        <w:t>and</w:t>
      </w:r>
      <w:r w:rsidR="00097300" w:rsidRPr="00464FC9">
        <w:rPr>
          <w:color w:val="000000" w:themeColor="text1"/>
          <w:sz w:val="20"/>
          <w:szCs w:val="20"/>
          <w:lang w:val="en-US"/>
        </w:rPr>
        <w:t xml:space="preserve"> the operating conditions of a potential thermal battery using ettringite as a storage material </w:t>
      </w:r>
      <w:r w:rsidR="000220F2" w:rsidRPr="00464FC9">
        <w:rPr>
          <w:color w:val="000000" w:themeColor="text1"/>
          <w:sz w:val="20"/>
          <w:szCs w:val="20"/>
          <w:lang w:val="en-US"/>
        </w:rPr>
        <w:t xml:space="preserve">were determined </w:t>
      </w:r>
      <w:r w:rsidR="00A70CC4" w:rsidRPr="00464FC9">
        <w:rPr>
          <w:color w:val="000000" w:themeColor="text1"/>
          <w:sz w:val="20"/>
          <w:szCs w:val="20"/>
          <w:lang w:val="en-US"/>
        </w:rPr>
        <w:t xml:space="preserve">too </w:t>
      </w:r>
      <w:r w:rsidR="00097300" w:rsidRPr="00464FC9">
        <w:rPr>
          <w:color w:val="000000" w:themeColor="text1"/>
          <w:sz w:val="20"/>
          <w:szCs w:val="20"/>
          <w:lang w:val="en-US"/>
        </w:rPr>
        <w:fldChar w:fldCharType="begin"/>
      </w:r>
      <w:r w:rsidR="00097300" w:rsidRPr="00464FC9">
        <w:rPr>
          <w:color w:val="000000" w:themeColor="text1"/>
          <w:sz w:val="20"/>
          <w:szCs w:val="20"/>
          <w:lang w:val="en-US"/>
        </w:rPr>
        <w:instrText xml:space="preserve"> ADDIN ZOTERO_ITEM CSL_CITATION {"citationID":"PK4HSb05","properties":{"formattedCitation":"(Baquerizo et al., 2016; Chen et al., 2021b)","plainCitation":"(Baquerizo et al., 2016; Chen et al., 2021b)","noteIndex":0},"citationItems":[{"id":297,"uris":["http://zotero.org/users/local/gJ9mc1Ss/items/K6ANSVQT","http://zotero.org/users/19179360/items/K6ANSVQT"],"itemData":{"id":297,"type":"article-journal","abstract":"The stability of ettringite as function of temperature and water vapour pressure was studied on synthetic samples using X-ray diffraction, thermogravimetric analysis, sorption balance measurements and different calorimetry techniques. Crystalline ettringite has a water content per mol of Al2O3, n, varying from 30 to 32 H2O, while the amorphous product formed on drying it, metaettringite, has only 9 to 13 H2O. Very large hysteresis was observed during the desorption and absorption cycles. The total enthalpy values associated with the decomposition and reformation of ettringite were consistent and similar. During rehydration, different absorption stages were identiﬁed and quantiﬁed with sorption calorimetry. Due to the hysteresis it was not possible to model the absorption/ desorption behaviour using the enthalpies determined by calorimetry, so the values calculated with the van't Hoff equation were used. The area of performance of ettringite-based systems recommended in this work has been extended compared to previously reported data.","container-title":"Cement and Concrete Research","DOI":"10.1016/j.cemconres.2015.07.008","ISSN":"00088846","journalAbbreviation":"Cement and Concrete Research","language":"en","page":"31-44","source":"DOI.org (Crossref)","title":"Impact of water activity on the stability of ettringite","volume":"79","author":[{"family":"Baquerizo","given":"Luis G."},{"family":"Matschei","given":"Thomas"},{"family":"Scrivener","given":"Karen L."}],"issued":{"date-parts":[["2016",1]]}}},{"id":293,"uris":["http://zotero.org/users/local/gJ9mc1Ss/items/68CFUPZA","http://zotero.org/users/19179360/items/68CFUPZA"],"itemData":{"id":293,"type":"article-journal","abstract":"Ettringite-based thermochemical energy storage has been recommended to be used in buildings for thermal energy supply because of its low material cost (&lt;1000 €/m3), low working temperature and high energy storage capacity. However, several physicochemical properties of ettringite were still not clear, such as reversible re­ action enthalpies, thermodynamic equilibrium, and kinetics of the dehydration/hydration reactions. In this study, the dehydration of ettringite was experimentally confirmed as stepwise in TGA-DSC, Ett30.6 → Ett30 → Met 17.8 → Met11.7 → Met7.5, which is consistent with the inference according to the crystal structure. The thermodynamic equilibrium of the reversible reactions presented the impact of water activity on the stability of ettringite at controlled temperatures and water vapor partial pressures. The thermodynamic modeling based on experiment results is consistent with the extrapolated model from the literature. The rehydration enthalpy of ettringite has been confirmed about 1370 kJ/mol, which equals an energy density of 547 kWh/m3 under the operating conditions of 20 ◦C and 90% RH.","container-title":"Solar Energy Materials and Solar Cells","DOI":"10.1016/j.solmat.2020.110877","ISSN":"09270248","journalAbbreviation":"Solar Energy Materials and Solar Cells","language":"en","page":"110877","source":"DOI.org (Crossref)","title":"Investigation on ettringite as a low-cost high-density thermochemical heat storage material: Thermodynamics and kinetics","title-short":"Investigation on ettringite as a low-cost high-density thermochemical heat storage material","volume":"221","author":[{"family":"Chen","given":"B."},{"family":"Johannes","given":"K."},{"family":"Ratel","given":"L."},{"family":"Horgnies","given":"M."},{"family":"Morin","given":"V."},{"family":"Kuznik","given":"F."}],"issued":{"date-parts":[["2021",3]]}}}],"schema":"https://github.com/citation-style-language/schema/raw/master/csl-citation.json"} </w:instrText>
      </w:r>
      <w:r w:rsidR="00097300" w:rsidRPr="00464FC9">
        <w:rPr>
          <w:color w:val="000000" w:themeColor="text1"/>
          <w:sz w:val="20"/>
          <w:szCs w:val="20"/>
          <w:lang w:val="en-US"/>
        </w:rPr>
        <w:fldChar w:fldCharType="separate"/>
      </w:r>
      <w:r w:rsidR="00097300" w:rsidRPr="00464FC9">
        <w:rPr>
          <w:color w:val="000000" w:themeColor="text1"/>
          <w:sz w:val="20"/>
          <w:szCs w:val="20"/>
          <w:lang w:val="en-US"/>
        </w:rPr>
        <w:t>(Baquerizo et al., 2016; Chen et al., 2021b)</w:t>
      </w:r>
      <w:r w:rsidR="00097300" w:rsidRPr="00464FC9">
        <w:rPr>
          <w:color w:val="000000" w:themeColor="text1"/>
          <w:sz w:val="20"/>
          <w:szCs w:val="20"/>
          <w:lang w:val="en-US"/>
        </w:rPr>
        <w:fldChar w:fldCharType="end"/>
      </w:r>
      <w:r w:rsidR="00097300" w:rsidRPr="00464FC9">
        <w:rPr>
          <w:color w:val="000000" w:themeColor="text1"/>
          <w:sz w:val="20"/>
          <w:szCs w:val="20"/>
          <w:lang w:val="en-US"/>
        </w:rPr>
        <w:t>.</w:t>
      </w:r>
      <w:r w:rsidR="000220F2" w:rsidRPr="00464FC9">
        <w:rPr>
          <w:color w:val="000000" w:themeColor="text1"/>
          <w:sz w:val="20"/>
          <w:szCs w:val="20"/>
          <w:lang w:val="en-US"/>
        </w:rPr>
        <w:t xml:space="preserve"> </w:t>
      </w:r>
      <w:r w:rsidR="00097300" w:rsidRPr="00464FC9">
        <w:rPr>
          <w:color w:val="000000" w:themeColor="text1"/>
          <w:sz w:val="20"/>
          <w:szCs w:val="20"/>
          <w:lang w:val="en-US"/>
        </w:rPr>
        <w:t xml:space="preserve">Notably, the </w:t>
      </w:r>
      <w:r w:rsidR="00BF3BFD" w:rsidRPr="00464FC9">
        <w:rPr>
          <w:color w:val="000000" w:themeColor="text1"/>
          <w:sz w:val="20"/>
          <w:szCs w:val="20"/>
          <w:lang w:val="en-US"/>
        </w:rPr>
        <w:t xml:space="preserve">temperature during the charging step (i.e. the </w:t>
      </w:r>
      <w:r w:rsidR="00097300" w:rsidRPr="00464FC9">
        <w:rPr>
          <w:color w:val="000000" w:themeColor="text1"/>
          <w:sz w:val="20"/>
          <w:szCs w:val="20"/>
          <w:lang w:val="en-US"/>
        </w:rPr>
        <w:t>dehydration</w:t>
      </w:r>
      <w:r w:rsidR="00BF3BFD" w:rsidRPr="00464FC9">
        <w:rPr>
          <w:color w:val="000000" w:themeColor="text1"/>
          <w:sz w:val="20"/>
          <w:szCs w:val="20"/>
          <w:lang w:val="en-US"/>
        </w:rPr>
        <w:t>)</w:t>
      </w:r>
      <w:r w:rsidR="00097300" w:rsidRPr="00464FC9">
        <w:rPr>
          <w:color w:val="000000" w:themeColor="text1"/>
          <w:sz w:val="20"/>
          <w:szCs w:val="20"/>
          <w:lang w:val="en-US"/>
        </w:rPr>
        <w:t xml:space="preserve"> must be carefully controlled</w:t>
      </w:r>
      <w:r w:rsidR="00BF3BFD" w:rsidRPr="00464FC9">
        <w:rPr>
          <w:color w:val="000000" w:themeColor="text1"/>
          <w:sz w:val="20"/>
          <w:szCs w:val="20"/>
          <w:lang w:val="en-US"/>
        </w:rPr>
        <w:t>: dehydrate</w:t>
      </w:r>
      <w:r w:rsidR="00097300" w:rsidRPr="00464FC9">
        <w:rPr>
          <w:color w:val="000000" w:themeColor="text1"/>
          <w:sz w:val="20"/>
          <w:szCs w:val="20"/>
          <w:lang w:val="en-US"/>
        </w:rPr>
        <w:t xml:space="preserve"> ettringite above 90°C </w:t>
      </w:r>
      <w:r w:rsidR="00BF3BFD" w:rsidRPr="00464FC9">
        <w:rPr>
          <w:color w:val="000000" w:themeColor="text1"/>
          <w:sz w:val="20"/>
          <w:szCs w:val="20"/>
          <w:lang w:val="en-US"/>
        </w:rPr>
        <w:t xml:space="preserve">in a </w:t>
      </w:r>
      <w:r w:rsidR="00097300" w:rsidRPr="00464FC9">
        <w:rPr>
          <w:color w:val="000000" w:themeColor="text1"/>
          <w:sz w:val="20"/>
          <w:szCs w:val="20"/>
          <w:lang w:val="en-US"/>
        </w:rPr>
        <w:t xml:space="preserve">dry environment </w:t>
      </w:r>
      <w:r w:rsidR="00196599" w:rsidRPr="00464FC9">
        <w:rPr>
          <w:color w:val="000000" w:themeColor="text1"/>
          <w:sz w:val="20"/>
          <w:szCs w:val="20"/>
          <w:lang w:val="en-US"/>
        </w:rPr>
        <w:t xml:space="preserve">can result to the elimination of the last six water molecules (chemically bound as </w:t>
      </w:r>
      <w:r w:rsidR="00097300" w:rsidRPr="00464FC9">
        <w:rPr>
          <w:color w:val="000000" w:themeColor="text1"/>
          <w:sz w:val="20"/>
          <w:szCs w:val="20"/>
          <w:lang w:val="en-US"/>
        </w:rPr>
        <w:t xml:space="preserve">hydroxyl </w:t>
      </w:r>
      <w:r w:rsidR="00196599" w:rsidRPr="00464FC9">
        <w:rPr>
          <w:color w:val="000000" w:themeColor="text1"/>
          <w:sz w:val="20"/>
          <w:szCs w:val="20"/>
          <w:lang w:val="en-US"/>
        </w:rPr>
        <w:t xml:space="preserve">groups: </w:t>
      </w:r>
      <w:r w:rsidR="00097300" w:rsidRPr="00464FC9">
        <w:rPr>
          <w:color w:val="000000" w:themeColor="text1"/>
          <w:sz w:val="20"/>
          <w:szCs w:val="20"/>
          <w:lang w:val="en-US"/>
        </w:rPr>
        <w:t>OH</w:t>
      </w:r>
      <w:r w:rsidR="00097300" w:rsidRPr="00464FC9">
        <w:rPr>
          <w:color w:val="000000" w:themeColor="text1"/>
          <w:sz w:val="20"/>
          <w:szCs w:val="20"/>
          <w:vertAlign w:val="superscript"/>
          <w:lang w:val="en-US"/>
        </w:rPr>
        <w:t>−</w:t>
      </w:r>
      <w:r w:rsidR="00196599" w:rsidRPr="00464FC9">
        <w:rPr>
          <w:color w:val="000000" w:themeColor="text1"/>
          <w:sz w:val="20"/>
          <w:szCs w:val="20"/>
          <w:lang w:val="en-US"/>
        </w:rPr>
        <w:t>)</w:t>
      </w:r>
      <w:r w:rsidR="00097300" w:rsidRPr="00464FC9">
        <w:rPr>
          <w:color w:val="000000" w:themeColor="text1"/>
          <w:sz w:val="20"/>
          <w:szCs w:val="20"/>
          <w:lang w:val="en-US"/>
        </w:rPr>
        <w:t>, which are essential for maintaining structural integrity</w:t>
      </w:r>
      <w:r w:rsidR="00A70CC4" w:rsidRPr="00464FC9">
        <w:rPr>
          <w:color w:val="000000" w:themeColor="text1"/>
          <w:sz w:val="20"/>
          <w:szCs w:val="20"/>
          <w:lang w:val="en-US"/>
        </w:rPr>
        <w:t>.</w:t>
      </w:r>
    </w:p>
    <w:p w14:paraId="3BF65613" w14:textId="3737288E" w:rsidR="00303768" w:rsidRPr="00464FC9" w:rsidRDefault="00BF3BFD" w:rsidP="000220F2">
      <w:pPr>
        <w:spacing w:line="276" w:lineRule="auto"/>
        <w:jc w:val="both"/>
        <w:rPr>
          <w:color w:val="000000" w:themeColor="text1"/>
          <w:sz w:val="20"/>
          <w:szCs w:val="20"/>
          <w:lang w:val="en-US"/>
        </w:rPr>
      </w:pPr>
      <w:r w:rsidRPr="00464FC9">
        <w:rPr>
          <w:color w:val="000000" w:themeColor="text1"/>
          <w:sz w:val="20"/>
          <w:szCs w:val="20"/>
          <w:lang w:val="en-US"/>
        </w:rPr>
        <w:t>Three-phase cycles – dehydration / cooling / hydration – are used to thermochemically test t</w:t>
      </w:r>
      <w:r w:rsidR="00097300" w:rsidRPr="00464FC9">
        <w:rPr>
          <w:color w:val="000000" w:themeColor="text1"/>
          <w:sz w:val="20"/>
          <w:szCs w:val="20"/>
          <w:lang w:val="en-US"/>
        </w:rPr>
        <w:t>he sample</w:t>
      </w:r>
      <w:r w:rsidR="00303768" w:rsidRPr="00464FC9">
        <w:rPr>
          <w:color w:val="000000" w:themeColor="text1"/>
          <w:sz w:val="20"/>
          <w:szCs w:val="20"/>
          <w:lang w:val="en-US"/>
        </w:rPr>
        <w:t>:</w:t>
      </w:r>
    </w:p>
    <w:p w14:paraId="7156BEB9" w14:textId="7D1D1991" w:rsidR="00303768" w:rsidRPr="00464FC9" w:rsidRDefault="00097300" w:rsidP="00303768">
      <w:pPr>
        <w:pStyle w:val="Paragraphedeliste"/>
        <w:numPr>
          <w:ilvl w:val="0"/>
          <w:numId w:val="27"/>
        </w:numPr>
        <w:spacing w:line="276" w:lineRule="auto"/>
        <w:jc w:val="both"/>
        <w:rPr>
          <w:color w:val="000000" w:themeColor="text1"/>
          <w:sz w:val="20"/>
          <w:szCs w:val="20"/>
          <w:lang w:val="en-US"/>
        </w:rPr>
      </w:pPr>
      <w:r w:rsidRPr="00464FC9">
        <w:rPr>
          <w:color w:val="000000" w:themeColor="text1"/>
          <w:sz w:val="20"/>
          <w:szCs w:val="20"/>
          <w:lang w:val="en-US"/>
        </w:rPr>
        <w:t>dehydration phase consist</w:t>
      </w:r>
      <w:r w:rsidR="001175D4" w:rsidRPr="00464FC9">
        <w:rPr>
          <w:color w:val="000000" w:themeColor="text1"/>
          <w:sz w:val="20"/>
          <w:szCs w:val="20"/>
          <w:lang w:val="en-US"/>
        </w:rPr>
        <w:t>s</w:t>
      </w:r>
      <w:r w:rsidRPr="00464FC9">
        <w:rPr>
          <w:color w:val="000000" w:themeColor="text1"/>
          <w:sz w:val="20"/>
          <w:szCs w:val="20"/>
          <w:lang w:val="en-US"/>
        </w:rPr>
        <w:t xml:space="preserve"> of a temperature increase from 20 °C to 80 °C at 10 K/min, followed by a hold at 80 °C for </w:t>
      </w:r>
      <w:r w:rsidR="007557DE" w:rsidRPr="00464FC9">
        <w:rPr>
          <w:color w:val="000000" w:themeColor="text1"/>
          <w:sz w:val="20"/>
          <w:szCs w:val="20"/>
          <w:lang w:val="en-US"/>
        </w:rPr>
        <w:t>15</w:t>
      </w:r>
      <w:r w:rsidRPr="00464FC9">
        <w:rPr>
          <w:color w:val="000000" w:themeColor="text1"/>
          <w:sz w:val="20"/>
          <w:szCs w:val="20"/>
          <w:lang w:val="en-US"/>
        </w:rPr>
        <w:t xml:space="preserve"> </w:t>
      </w:r>
      <w:r w:rsidR="00EB33C9" w:rsidRPr="00464FC9">
        <w:rPr>
          <w:color w:val="000000" w:themeColor="text1"/>
          <w:sz w:val="20"/>
          <w:szCs w:val="20"/>
          <w:lang w:val="en-US"/>
        </w:rPr>
        <w:t>hours;</w:t>
      </w:r>
    </w:p>
    <w:p w14:paraId="56D08C12" w14:textId="233E1696" w:rsidR="00303768" w:rsidRPr="00464FC9" w:rsidRDefault="00097300" w:rsidP="00303768">
      <w:pPr>
        <w:pStyle w:val="Paragraphedeliste"/>
        <w:numPr>
          <w:ilvl w:val="0"/>
          <w:numId w:val="27"/>
        </w:numPr>
        <w:spacing w:line="276" w:lineRule="auto"/>
        <w:jc w:val="both"/>
        <w:rPr>
          <w:color w:val="000000" w:themeColor="text1"/>
          <w:sz w:val="20"/>
          <w:szCs w:val="20"/>
          <w:lang w:val="en-US"/>
        </w:rPr>
      </w:pPr>
      <w:r w:rsidRPr="00464FC9">
        <w:rPr>
          <w:color w:val="000000" w:themeColor="text1"/>
          <w:sz w:val="20"/>
          <w:szCs w:val="20"/>
          <w:lang w:val="en-US"/>
        </w:rPr>
        <w:t xml:space="preserve">cooling phase </w:t>
      </w:r>
      <w:r w:rsidR="00303768" w:rsidRPr="00464FC9">
        <w:rPr>
          <w:color w:val="000000" w:themeColor="text1"/>
          <w:sz w:val="20"/>
          <w:szCs w:val="20"/>
          <w:lang w:val="en-US"/>
        </w:rPr>
        <w:t xml:space="preserve">consists of a ramp from 80 °C to 20 °C at 99 K/min followed by a hold at 20 °C for 3 hours to </w:t>
      </w:r>
      <w:r w:rsidRPr="00464FC9">
        <w:rPr>
          <w:color w:val="000000" w:themeColor="text1"/>
          <w:sz w:val="20"/>
          <w:szCs w:val="20"/>
          <w:lang w:val="en-US"/>
        </w:rPr>
        <w:t>remove</w:t>
      </w:r>
      <w:r w:rsidR="00303768" w:rsidRPr="00464FC9">
        <w:rPr>
          <w:color w:val="000000" w:themeColor="text1"/>
          <w:sz w:val="20"/>
          <w:szCs w:val="20"/>
          <w:lang w:val="en-US"/>
        </w:rPr>
        <w:t xml:space="preserve"> </w:t>
      </w:r>
      <w:r w:rsidRPr="00464FC9">
        <w:rPr>
          <w:color w:val="000000" w:themeColor="text1"/>
          <w:sz w:val="20"/>
          <w:szCs w:val="20"/>
          <w:lang w:val="en-US"/>
        </w:rPr>
        <w:t>sensible heat from the material</w:t>
      </w:r>
      <w:r w:rsidR="00303768" w:rsidRPr="00464FC9">
        <w:rPr>
          <w:color w:val="000000" w:themeColor="text1"/>
          <w:sz w:val="20"/>
          <w:szCs w:val="20"/>
          <w:lang w:val="en-US"/>
        </w:rPr>
        <w:t>;</w:t>
      </w:r>
    </w:p>
    <w:p w14:paraId="4B8D21ED" w14:textId="0D51C8E4" w:rsidR="00303768" w:rsidRPr="00464FC9" w:rsidRDefault="00097300" w:rsidP="00DF5AB4">
      <w:pPr>
        <w:pStyle w:val="Paragraphedeliste"/>
        <w:numPr>
          <w:ilvl w:val="0"/>
          <w:numId w:val="27"/>
        </w:numPr>
        <w:spacing w:line="276" w:lineRule="auto"/>
        <w:jc w:val="both"/>
        <w:rPr>
          <w:color w:val="000000" w:themeColor="text1"/>
          <w:sz w:val="20"/>
          <w:szCs w:val="20"/>
          <w:lang w:val="en-US"/>
        </w:rPr>
      </w:pPr>
      <w:r w:rsidRPr="00464FC9">
        <w:rPr>
          <w:color w:val="000000" w:themeColor="text1"/>
          <w:sz w:val="20"/>
          <w:szCs w:val="20"/>
          <w:lang w:val="en-US"/>
        </w:rPr>
        <w:t xml:space="preserve">hydration phase </w:t>
      </w:r>
      <w:r w:rsidR="001175D4" w:rsidRPr="00464FC9">
        <w:rPr>
          <w:color w:val="000000" w:themeColor="text1"/>
          <w:sz w:val="20"/>
          <w:szCs w:val="20"/>
          <w:lang w:val="en-US"/>
        </w:rPr>
        <w:t xml:space="preserve">consists </w:t>
      </w:r>
      <w:r w:rsidR="0072626D" w:rsidRPr="00464FC9">
        <w:rPr>
          <w:color w:val="000000" w:themeColor="text1"/>
          <w:sz w:val="20"/>
          <w:szCs w:val="20"/>
          <w:lang w:val="en-US"/>
        </w:rPr>
        <w:t>of creating</w:t>
      </w:r>
      <w:r w:rsidR="001175D4" w:rsidRPr="00464FC9">
        <w:rPr>
          <w:color w:val="000000" w:themeColor="text1"/>
          <w:sz w:val="20"/>
          <w:szCs w:val="20"/>
          <w:lang w:val="en-US"/>
        </w:rPr>
        <w:t xml:space="preserve"> an environment at 20 °C and 80 % </w:t>
      </w:r>
      <w:r w:rsidR="00BE3042" w:rsidRPr="00464FC9">
        <w:rPr>
          <w:color w:val="000000" w:themeColor="text1"/>
          <w:sz w:val="20"/>
          <w:szCs w:val="20"/>
          <w:lang w:val="en-US"/>
        </w:rPr>
        <w:t>relative humidity (RH)</w:t>
      </w:r>
      <w:r w:rsidR="001175D4" w:rsidRPr="00464FC9">
        <w:rPr>
          <w:color w:val="000000" w:themeColor="text1"/>
          <w:sz w:val="20"/>
          <w:szCs w:val="20"/>
          <w:lang w:val="en-US"/>
        </w:rPr>
        <w:t xml:space="preserve"> </w:t>
      </w:r>
      <w:r w:rsidR="00BE3042" w:rsidRPr="00464FC9">
        <w:rPr>
          <w:color w:val="000000" w:themeColor="text1"/>
          <w:sz w:val="20"/>
          <w:szCs w:val="20"/>
          <w:lang w:val="en-US"/>
        </w:rPr>
        <w:t xml:space="preserve">or </w:t>
      </w:r>
      <w:r w:rsidR="001175D4" w:rsidRPr="00464FC9">
        <w:rPr>
          <w:color w:val="000000" w:themeColor="text1"/>
          <w:sz w:val="20"/>
          <w:szCs w:val="20"/>
          <w:lang w:val="en-US"/>
        </w:rPr>
        <w:t xml:space="preserve">1900 Pa for 24 hours to </w:t>
      </w:r>
      <w:r w:rsidRPr="00464FC9">
        <w:rPr>
          <w:color w:val="000000" w:themeColor="text1"/>
          <w:sz w:val="20"/>
          <w:szCs w:val="20"/>
          <w:lang w:val="en-US"/>
        </w:rPr>
        <w:t>allow measurement of the exothermic heat of hydration initiated by blowing humid air</w:t>
      </w:r>
      <w:r w:rsidR="007557DE" w:rsidRPr="00464FC9">
        <w:rPr>
          <w:color w:val="000000" w:themeColor="text1"/>
          <w:sz w:val="20"/>
          <w:szCs w:val="20"/>
          <w:lang w:val="en-US"/>
        </w:rPr>
        <w:t>.</w:t>
      </w:r>
    </w:p>
    <w:p w14:paraId="3D9E991E" w14:textId="7D53D572" w:rsidR="006E6647" w:rsidRPr="00464FC9" w:rsidRDefault="00606A12" w:rsidP="00DF5AB4">
      <w:pPr>
        <w:spacing w:line="276" w:lineRule="auto"/>
        <w:jc w:val="both"/>
        <w:rPr>
          <w:color w:val="000000" w:themeColor="text1"/>
          <w:sz w:val="20"/>
          <w:szCs w:val="20"/>
          <w:lang w:val="en-US"/>
        </w:rPr>
      </w:pPr>
      <w:r w:rsidRPr="00464FC9">
        <w:rPr>
          <w:color w:val="000000" w:themeColor="text1"/>
          <w:sz w:val="20"/>
          <w:szCs w:val="20"/>
          <w:lang w:val="en-US"/>
        </w:rPr>
        <w:t>W</w:t>
      </w:r>
      <w:r w:rsidR="00097300" w:rsidRPr="00464FC9">
        <w:rPr>
          <w:color w:val="000000" w:themeColor="text1"/>
          <w:sz w:val="20"/>
          <w:szCs w:val="20"/>
          <w:lang w:val="en-US"/>
        </w:rPr>
        <w:t xml:space="preserve">ater vapor pressure </w:t>
      </w:r>
      <w:r w:rsidRPr="00464FC9">
        <w:rPr>
          <w:color w:val="000000" w:themeColor="text1"/>
          <w:sz w:val="20"/>
          <w:szCs w:val="20"/>
          <w:lang w:val="en-US"/>
        </w:rPr>
        <w:t xml:space="preserve">values used during the experiments </w:t>
      </w:r>
      <w:r w:rsidR="00EB33C9" w:rsidRPr="00464FC9">
        <w:rPr>
          <w:color w:val="000000" w:themeColor="text1"/>
          <w:sz w:val="20"/>
          <w:szCs w:val="20"/>
          <w:lang w:val="en-US"/>
        </w:rPr>
        <w:t>depend</w:t>
      </w:r>
      <w:r w:rsidR="00097300" w:rsidRPr="00464FC9">
        <w:rPr>
          <w:color w:val="000000" w:themeColor="text1"/>
          <w:sz w:val="20"/>
          <w:szCs w:val="20"/>
          <w:lang w:val="en-US"/>
        </w:rPr>
        <w:t xml:space="preserve"> on the temperature to both prevent condensation within the system and place the sample under the conditions necessary for hydration.</w:t>
      </w:r>
      <w:r w:rsidR="00201F54" w:rsidRPr="00464FC9">
        <w:rPr>
          <w:color w:val="000000" w:themeColor="text1"/>
          <w:sz w:val="20"/>
          <w:szCs w:val="20"/>
          <w:lang w:val="en-US"/>
        </w:rPr>
        <w:t xml:space="preserve"> </w:t>
      </w:r>
    </w:p>
    <w:p w14:paraId="7281C3A1" w14:textId="5BDD2970" w:rsidR="006E6647" w:rsidRPr="00464FC9" w:rsidRDefault="00A06AB2" w:rsidP="00A06AB2">
      <w:pPr>
        <w:pStyle w:val="SWCText"/>
        <w:rPr>
          <w:color w:val="000000" w:themeColor="text1"/>
        </w:rPr>
      </w:pPr>
      <w:r w:rsidRPr="00464FC9">
        <w:rPr>
          <w:color w:val="000000" w:themeColor="text1"/>
        </w:rPr>
        <w:t>To conclude on the advantages of using ettringite in a cementitious matrix, a cycling test was carried out in a climate chamber. The C80P20p-G2 granules underwent 50</w:t>
      </w:r>
      <w:r w:rsidR="009632C9" w:rsidRPr="00464FC9">
        <w:rPr>
          <w:color w:val="000000" w:themeColor="text1"/>
        </w:rPr>
        <w:t xml:space="preserve"> loading/unloading</w:t>
      </w:r>
      <w:r w:rsidRPr="00464FC9">
        <w:rPr>
          <w:color w:val="000000" w:themeColor="text1"/>
        </w:rPr>
        <w:t xml:space="preserve"> cycles, with thermochemical analys</w:t>
      </w:r>
      <w:r w:rsidR="001B5C6F" w:rsidRPr="00464FC9">
        <w:rPr>
          <w:color w:val="000000" w:themeColor="text1"/>
        </w:rPr>
        <w:t>i</w:t>
      </w:r>
      <w:r w:rsidRPr="00464FC9">
        <w:rPr>
          <w:color w:val="000000" w:themeColor="text1"/>
        </w:rPr>
        <w:t>s performed a</w:t>
      </w:r>
      <w:r w:rsidR="00BF021A" w:rsidRPr="00464FC9">
        <w:rPr>
          <w:color w:val="000000" w:themeColor="text1"/>
        </w:rPr>
        <w:t>fter the 50 cycles</w:t>
      </w:r>
      <w:r w:rsidRPr="00464FC9">
        <w:rPr>
          <w:color w:val="000000" w:themeColor="text1"/>
        </w:rPr>
        <w:t>.</w:t>
      </w:r>
      <w:r w:rsidR="00BE3042" w:rsidRPr="00464FC9">
        <w:rPr>
          <w:color w:val="000000" w:themeColor="text1"/>
        </w:rPr>
        <w:t xml:space="preserve"> The climate chamber allowed for the programming of a sequence of dehydration stages at 80°C and 0% RH, followed by hydration stages at 20°C and 95% RH.</w:t>
      </w:r>
    </w:p>
    <w:p w14:paraId="1B85AFE1" w14:textId="50A35616" w:rsidR="00A7202E" w:rsidRPr="00464FC9" w:rsidRDefault="00D060CA" w:rsidP="00A7202E">
      <w:pPr>
        <w:pStyle w:val="SWCHeading1"/>
        <w:rPr>
          <w:color w:val="000000" w:themeColor="text1"/>
        </w:rPr>
      </w:pPr>
      <w:r w:rsidRPr="00464FC9">
        <w:rPr>
          <w:color w:val="000000" w:themeColor="text1"/>
        </w:rPr>
        <w:lastRenderedPageBreak/>
        <w:t xml:space="preserve">Results and discussion </w:t>
      </w:r>
    </w:p>
    <w:p w14:paraId="2E030940" w14:textId="539ECC80" w:rsidR="005E7036" w:rsidRPr="00464FC9" w:rsidRDefault="00606A12" w:rsidP="00670B09">
      <w:pPr>
        <w:pStyle w:val="SWCText"/>
        <w:rPr>
          <w:color w:val="000000" w:themeColor="text1"/>
        </w:rPr>
      </w:pPr>
      <w:r w:rsidRPr="00464FC9">
        <w:rPr>
          <w:color w:val="000000" w:themeColor="text1"/>
        </w:rPr>
        <w:t xml:space="preserve">The relevant unit to assess the scaling up potential for heat storage technology is </w:t>
      </w:r>
      <w:r w:rsidR="00200A8A" w:rsidRPr="00464FC9">
        <w:rPr>
          <w:color w:val="000000" w:themeColor="text1"/>
        </w:rPr>
        <w:t>the ettringite density (</w:t>
      </w:r>
      <w:proofErr w:type="spellStart"/>
      <w:r w:rsidR="00200A8A" w:rsidRPr="00464FC9">
        <w:rPr>
          <w:color w:val="000000" w:themeColor="text1"/>
        </w:rPr>
        <w:t>kg</w:t>
      </w:r>
      <w:r w:rsidR="00200A8A" w:rsidRPr="00464FC9">
        <w:rPr>
          <w:color w:val="000000" w:themeColor="text1"/>
          <w:vertAlign w:val="subscript"/>
        </w:rPr>
        <w:t>ettringite</w:t>
      </w:r>
      <w:proofErr w:type="spellEnd"/>
      <w:r w:rsidR="00200A8A" w:rsidRPr="00464FC9">
        <w:rPr>
          <w:color w:val="000000" w:themeColor="text1"/>
        </w:rPr>
        <w:t>/m³</w:t>
      </w:r>
      <w:r w:rsidR="00200A8A" w:rsidRPr="00464FC9">
        <w:rPr>
          <w:color w:val="000000" w:themeColor="text1"/>
          <w:vertAlign w:val="subscript"/>
        </w:rPr>
        <w:t>bulk material</w:t>
      </w:r>
      <w:r w:rsidR="00200A8A" w:rsidRPr="00464FC9">
        <w:rPr>
          <w:color w:val="000000" w:themeColor="text1"/>
        </w:rPr>
        <w:t>)</w:t>
      </w:r>
      <w:r w:rsidR="00BE3042" w:rsidRPr="00464FC9">
        <w:rPr>
          <w:color w:val="000000" w:themeColor="text1"/>
        </w:rPr>
        <w:t xml:space="preserve"> </w:t>
      </w:r>
      <w:r w:rsidRPr="00464FC9">
        <w:rPr>
          <w:color w:val="000000" w:themeColor="text1"/>
        </w:rPr>
        <w:t xml:space="preserve">which </w:t>
      </w:r>
      <w:r w:rsidR="005E2FB1" w:rsidRPr="00464FC9">
        <w:rPr>
          <w:color w:val="000000" w:themeColor="text1"/>
        </w:rPr>
        <w:t>can be evaluated through</w:t>
      </w:r>
      <w:r w:rsidR="00200A8A" w:rsidRPr="00464FC9">
        <w:rPr>
          <w:color w:val="000000" w:themeColor="text1"/>
        </w:rPr>
        <w:t xml:space="preserve"> the bulk density of the packed bed material and the ettringite content in each material</w:t>
      </w:r>
      <w:r w:rsidR="00085133" w:rsidRPr="00464FC9">
        <w:rPr>
          <w:color w:val="000000" w:themeColor="text1"/>
        </w:rPr>
        <w:t xml:space="preserve">. </w:t>
      </w:r>
      <w:r w:rsidR="005E2FB1" w:rsidRPr="00464FC9">
        <w:rPr>
          <w:color w:val="000000" w:themeColor="text1"/>
        </w:rPr>
        <w:t xml:space="preserve">The two formulations manufactured on the granulation plate C80P20p-D and C80P20p-G2, appear to be the most promising candidates </w:t>
      </w:r>
      <w:proofErr w:type="gramStart"/>
      <w:r w:rsidR="005E2FB1" w:rsidRPr="00464FC9">
        <w:rPr>
          <w:color w:val="000000" w:themeColor="text1"/>
        </w:rPr>
        <w:t>o</w:t>
      </w:r>
      <w:r w:rsidR="00085133" w:rsidRPr="00464FC9">
        <w:rPr>
          <w:color w:val="000000" w:themeColor="text1"/>
        </w:rPr>
        <w:t>n the basis of</w:t>
      </w:r>
      <w:proofErr w:type="gramEnd"/>
      <w:r w:rsidR="00085133" w:rsidRPr="00464FC9">
        <w:rPr>
          <w:color w:val="000000" w:themeColor="text1"/>
        </w:rPr>
        <w:t xml:space="preserve"> the results of the ettringite density and BET specific surface area, for thermal </w:t>
      </w:r>
      <w:r w:rsidR="00200A8A" w:rsidRPr="00464FC9">
        <w:rPr>
          <w:color w:val="000000" w:themeColor="text1"/>
        </w:rPr>
        <w:t xml:space="preserve">energy </w:t>
      </w:r>
      <w:r w:rsidR="00085133" w:rsidRPr="00464FC9">
        <w:rPr>
          <w:color w:val="000000" w:themeColor="text1"/>
        </w:rPr>
        <w:t>storage applications</w:t>
      </w:r>
      <w:r w:rsidR="00004804" w:rsidRPr="00464FC9">
        <w:rPr>
          <w:color w:val="000000" w:themeColor="text1"/>
        </w:rPr>
        <w:t xml:space="preserve">. </w:t>
      </w:r>
      <w:r w:rsidR="00085133" w:rsidRPr="00464FC9">
        <w:rPr>
          <w:color w:val="000000" w:themeColor="text1"/>
        </w:rPr>
        <w:t>C80P20p-G</w:t>
      </w:r>
      <w:r w:rsidR="00004804" w:rsidRPr="00464FC9">
        <w:rPr>
          <w:color w:val="000000" w:themeColor="text1"/>
        </w:rPr>
        <w:t>2</w:t>
      </w:r>
      <w:r w:rsidR="00085133" w:rsidRPr="00464FC9">
        <w:rPr>
          <w:color w:val="000000" w:themeColor="text1"/>
        </w:rPr>
        <w:t xml:space="preserve"> has the highest ettringite volumetric content of 745 </w:t>
      </w:r>
      <w:proofErr w:type="spellStart"/>
      <w:r w:rsidR="00085133" w:rsidRPr="00464FC9">
        <w:rPr>
          <w:color w:val="000000" w:themeColor="text1"/>
        </w:rPr>
        <w:t>kg</w:t>
      </w:r>
      <w:r w:rsidR="00085133" w:rsidRPr="00464FC9">
        <w:rPr>
          <w:color w:val="000000" w:themeColor="text1"/>
          <w:vertAlign w:val="subscript"/>
        </w:rPr>
        <w:t>ettringite</w:t>
      </w:r>
      <w:proofErr w:type="spellEnd"/>
      <w:r w:rsidR="00085133" w:rsidRPr="00464FC9">
        <w:rPr>
          <w:color w:val="000000" w:themeColor="text1"/>
        </w:rPr>
        <w:t>/m</w:t>
      </w:r>
      <w:r w:rsidR="00085133" w:rsidRPr="00464FC9">
        <w:rPr>
          <w:color w:val="000000" w:themeColor="text1"/>
          <w:vertAlign w:val="superscript"/>
        </w:rPr>
        <w:t>3</w:t>
      </w:r>
      <w:r w:rsidR="00085133" w:rsidRPr="00464FC9">
        <w:rPr>
          <w:color w:val="000000" w:themeColor="text1"/>
          <w:vertAlign w:val="subscript"/>
        </w:rPr>
        <w:t>bulk mat</w:t>
      </w:r>
      <w:r w:rsidR="00085133" w:rsidRPr="00464FC9">
        <w:rPr>
          <w:color w:val="000000" w:themeColor="text1"/>
        </w:rPr>
        <w:t>.</w:t>
      </w:r>
      <w:r w:rsidR="00004804" w:rsidRPr="00464FC9">
        <w:rPr>
          <w:color w:val="000000" w:themeColor="text1"/>
        </w:rPr>
        <w:t xml:space="preserve"> </w:t>
      </w:r>
      <w:r w:rsidR="00085133" w:rsidRPr="00464FC9">
        <w:rPr>
          <w:color w:val="000000" w:themeColor="text1"/>
        </w:rPr>
        <w:t xml:space="preserve">C80P20p-D </w:t>
      </w:r>
      <w:r w:rsidR="00004804" w:rsidRPr="00464FC9">
        <w:rPr>
          <w:color w:val="000000" w:themeColor="text1"/>
        </w:rPr>
        <w:t xml:space="preserve">and C80P20p-G2 </w:t>
      </w:r>
      <w:r w:rsidR="00085133" w:rsidRPr="00464FC9">
        <w:rPr>
          <w:color w:val="000000" w:themeColor="text1"/>
        </w:rPr>
        <w:t>ha</w:t>
      </w:r>
      <w:r w:rsidR="00004804" w:rsidRPr="00464FC9">
        <w:rPr>
          <w:color w:val="000000" w:themeColor="text1"/>
        </w:rPr>
        <w:t>ve</w:t>
      </w:r>
      <w:r w:rsidR="00085133" w:rsidRPr="00464FC9">
        <w:rPr>
          <w:color w:val="000000" w:themeColor="text1"/>
        </w:rPr>
        <w:t xml:space="preserve"> the highest BET specific surface area of 14.4 </w:t>
      </w:r>
      <w:r w:rsidR="00004804" w:rsidRPr="00464FC9">
        <w:rPr>
          <w:color w:val="000000" w:themeColor="text1"/>
        </w:rPr>
        <w:t xml:space="preserve">and 14.1 </w:t>
      </w:r>
      <w:r w:rsidR="00085133" w:rsidRPr="00464FC9">
        <w:rPr>
          <w:color w:val="000000" w:themeColor="text1"/>
        </w:rPr>
        <w:t>m</w:t>
      </w:r>
      <w:r w:rsidR="00085133" w:rsidRPr="00464FC9">
        <w:rPr>
          <w:color w:val="000000" w:themeColor="text1"/>
          <w:vertAlign w:val="superscript"/>
        </w:rPr>
        <w:t>2</w:t>
      </w:r>
      <w:r w:rsidR="00085133" w:rsidRPr="00464FC9">
        <w:rPr>
          <w:color w:val="000000" w:themeColor="text1"/>
        </w:rPr>
        <w:t>/g</w:t>
      </w:r>
      <w:r w:rsidR="00004804" w:rsidRPr="00464FC9">
        <w:rPr>
          <w:color w:val="000000" w:themeColor="text1"/>
        </w:rPr>
        <w:t>, respectively</w:t>
      </w:r>
      <w:r w:rsidR="00085133" w:rsidRPr="00464FC9">
        <w:rPr>
          <w:color w:val="000000" w:themeColor="text1"/>
        </w:rPr>
        <w:t>.</w:t>
      </w:r>
      <w:r w:rsidR="00F1319C" w:rsidRPr="00464FC9">
        <w:rPr>
          <w:color w:val="000000" w:themeColor="text1"/>
        </w:rPr>
        <w:t xml:space="preserve"> </w:t>
      </w:r>
      <w:r w:rsidR="00B64F8D" w:rsidRPr="00464FC9">
        <w:rPr>
          <w:color w:val="000000" w:themeColor="text1"/>
        </w:rPr>
        <w:t>This analysis suggests that the high specific surface area of these materials is promising for promoting</w:t>
      </w:r>
      <w:r w:rsidR="00F1319C" w:rsidRPr="00464FC9">
        <w:rPr>
          <w:color w:val="000000" w:themeColor="text1"/>
        </w:rPr>
        <w:t xml:space="preserve"> </w:t>
      </w:r>
      <w:r w:rsidR="00085133" w:rsidRPr="00464FC9">
        <w:rPr>
          <w:color w:val="000000" w:themeColor="text1"/>
        </w:rPr>
        <w:t>heat and mass transfer during the hydration reaction and therefore</w:t>
      </w:r>
      <w:r w:rsidR="00B64F8D" w:rsidRPr="00464FC9">
        <w:rPr>
          <w:color w:val="000000" w:themeColor="text1"/>
        </w:rPr>
        <w:t xml:space="preserve"> potentially increasing the final heat released by the material.</w:t>
      </w:r>
    </w:p>
    <w:p w14:paraId="32109CE5" w14:textId="21FFC1E5" w:rsidR="00AE624A" w:rsidRPr="00464FC9" w:rsidRDefault="005A0F84" w:rsidP="00AE624A">
      <w:pPr>
        <w:pStyle w:val="SWCText"/>
        <w:rPr>
          <w:color w:val="000000" w:themeColor="text1"/>
        </w:rPr>
      </w:pPr>
      <w:r w:rsidRPr="00464FC9">
        <w:rPr>
          <w:color w:val="000000" w:themeColor="text1"/>
        </w:rPr>
        <w:t xml:space="preserve">To assess the impact of the physicochemical differences among the four materials on their potential for thermochemical heat storage and release, they were subjected to a dehydration-hydration cycle. </w:t>
      </w:r>
      <w:r w:rsidR="00AE624A" w:rsidRPr="00464FC9">
        <w:rPr>
          <w:color w:val="000000" w:themeColor="text1"/>
        </w:rPr>
        <w:t xml:space="preserve">The results of the monitoring mass and stored/released heat are listed in Table 1. </w:t>
      </w:r>
      <w:r w:rsidR="0060080D" w:rsidRPr="00464FC9">
        <w:rPr>
          <w:color w:val="000000" w:themeColor="text1"/>
        </w:rPr>
        <w:t>The three materials produced on the pellet plate C80P20p-A, C80P20p-G2, and C80P20p-D showed slightly different dehydration energies and mass losses: 687 J/g, 763 J/g, and 846 J/g, respectively</w:t>
      </w:r>
      <w:r w:rsidR="004871D1" w:rsidRPr="00464FC9">
        <w:rPr>
          <w:color w:val="000000" w:themeColor="text1"/>
        </w:rPr>
        <w:t xml:space="preserve">. </w:t>
      </w:r>
      <w:r w:rsidR="00AE624A" w:rsidRPr="00464FC9">
        <w:rPr>
          <w:color w:val="000000" w:themeColor="text1"/>
        </w:rPr>
        <w:t>These results highlight that the higher the ettringite content is, the greater the amount of stored heat</w:t>
      </w:r>
      <w:r w:rsidRPr="00464FC9">
        <w:rPr>
          <w:color w:val="000000" w:themeColor="text1"/>
        </w:rPr>
        <w:t xml:space="preserve"> and the quantity of water exchanged.</w:t>
      </w:r>
      <w:r w:rsidR="004871D1" w:rsidRPr="00464FC9">
        <w:rPr>
          <w:color w:val="000000" w:themeColor="text1"/>
        </w:rPr>
        <w:t xml:space="preserve"> The results suggest that the difference in porosity and BET specific surface area does not impact the storage capacity of the two materials C80P20p-D and C80P20g-A: t</w:t>
      </w:r>
      <w:r w:rsidR="00AE624A" w:rsidRPr="00464FC9">
        <w:rPr>
          <w:color w:val="000000" w:themeColor="text1"/>
        </w:rPr>
        <w:t xml:space="preserve">he amount of water desorbed and heat stored between the materials are similar, as is their mass ettringite content (77 </w:t>
      </w:r>
      <w:proofErr w:type="spellStart"/>
      <w:r w:rsidR="00AE624A" w:rsidRPr="00464FC9">
        <w:rPr>
          <w:color w:val="000000" w:themeColor="text1"/>
        </w:rPr>
        <w:t>wt</w:t>
      </w:r>
      <w:proofErr w:type="spellEnd"/>
      <w:r w:rsidR="00AE624A" w:rsidRPr="00464FC9">
        <w:rPr>
          <w:color w:val="000000" w:themeColor="text1"/>
        </w:rPr>
        <w:t>%).</w:t>
      </w:r>
    </w:p>
    <w:p w14:paraId="78B9D659" w14:textId="18C461F6" w:rsidR="00AE624A" w:rsidRPr="00464FC9" w:rsidRDefault="00AE624A" w:rsidP="00C32DC2">
      <w:pPr>
        <w:pStyle w:val="Lgende"/>
        <w:spacing w:line="276" w:lineRule="auto"/>
        <w:jc w:val="both"/>
        <w:rPr>
          <w:b/>
          <w:bCs/>
          <w:i w:val="0"/>
          <w:iCs w:val="0"/>
          <w:color w:val="000000" w:themeColor="text1"/>
          <w:sz w:val="16"/>
          <w:szCs w:val="16"/>
        </w:rPr>
      </w:pPr>
      <w:r w:rsidRPr="00464FC9">
        <w:rPr>
          <w:b/>
          <w:bCs/>
          <w:i w:val="0"/>
          <w:iCs w:val="0"/>
          <w:color w:val="000000" w:themeColor="text1"/>
          <w:sz w:val="16"/>
          <w:szCs w:val="16"/>
        </w:rPr>
        <w:t>Tab</w:t>
      </w:r>
      <w:r w:rsidR="00C32DC2" w:rsidRPr="00464FC9">
        <w:rPr>
          <w:b/>
          <w:bCs/>
          <w:i w:val="0"/>
          <w:iCs w:val="0"/>
          <w:color w:val="000000" w:themeColor="text1"/>
          <w:sz w:val="16"/>
          <w:szCs w:val="16"/>
        </w:rPr>
        <w:t>.</w:t>
      </w:r>
      <w:r w:rsidRPr="00464FC9">
        <w:rPr>
          <w:b/>
          <w:bCs/>
          <w:i w:val="0"/>
          <w:iCs w:val="0"/>
          <w:color w:val="000000" w:themeColor="text1"/>
          <w:sz w:val="16"/>
          <w:szCs w:val="16"/>
        </w:rPr>
        <w:t xml:space="preserve"> </w:t>
      </w:r>
      <w:r w:rsidRPr="00464FC9">
        <w:rPr>
          <w:b/>
          <w:bCs/>
          <w:i w:val="0"/>
          <w:iCs w:val="0"/>
          <w:color w:val="000000" w:themeColor="text1"/>
          <w:sz w:val="16"/>
          <w:szCs w:val="16"/>
        </w:rPr>
        <w:fldChar w:fldCharType="begin"/>
      </w:r>
      <w:r w:rsidRPr="00464FC9">
        <w:rPr>
          <w:b/>
          <w:bCs/>
          <w:i w:val="0"/>
          <w:iCs w:val="0"/>
          <w:color w:val="000000" w:themeColor="text1"/>
          <w:sz w:val="16"/>
          <w:szCs w:val="16"/>
        </w:rPr>
        <w:instrText xml:space="preserve"> SEQ Table \* ARABIC </w:instrText>
      </w:r>
      <w:r w:rsidRPr="00464FC9">
        <w:rPr>
          <w:b/>
          <w:bCs/>
          <w:i w:val="0"/>
          <w:iCs w:val="0"/>
          <w:color w:val="000000" w:themeColor="text1"/>
          <w:sz w:val="16"/>
          <w:szCs w:val="16"/>
        </w:rPr>
        <w:fldChar w:fldCharType="separate"/>
      </w:r>
      <w:r w:rsidRPr="00464FC9">
        <w:rPr>
          <w:b/>
          <w:bCs/>
          <w:i w:val="0"/>
          <w:iCs w:val="0"/>
          <w:noProof/>
          <w:color w:val="000000" w:themeColor="text1"/>
          <w:sz w:val="16"/>
          <w:szCs w:val="16"/>
        </w:rPr>
        <w:t>1</w:t>
      </w:r>
      <w:r w:rsidRPr="00464FC9">
        <w:rPr>
          <w:b/>
          <w:bCs/>
          <w:i w:val="0"/>
          <w:iCs w:val="0"/>
          <w:color w:val="000000" w:themeColor="text1"/>
          <w:sz w:val="16"/>
          <w:szCs w:val="16"/>
        </w:rPr>
        <w:fldChar w:fldCharType="end"/>
      </w:r>
      <w:r w:rsidRPr="00464FC9">
        <w:rPr>
          <w:b/>
          <w:bCs/>
          <w:i w:val="0"/>
          <w:iCs w:val="0"/>
          <w:color w:val="000000" w:themeColor="text1"/>
          <w:sz w:val="16"/>
          <w:szCs w:val="16"/>
        </w:rPr>
        <w:t xml:space="preserve"> : TGA/DSC analysis results for two grains tested with a diameter of 1.2 mm for the promising C80P20 materials</w:t>
      </w:r>
    </w:p>
    <w:tbl>
      <w:tblPr>
        <w:tblStyle w:val="Grilledutableau"/>
        <w:tblW w:w="8785" w:type="dxa"/>
        <w:tblLayout w:type="fixed"/>
        <w:tblLook w:val="04A0" w:firstRow="1" w:lastRow="0" w:firstColumn="1" w:lastColumn="0" w:noHBand="0" w:noVBand="1"/>
      </w:tblPr>
      <w:tblGrid>
        <w:gridCol w:w="1413"/>
        <w:gridCol w:w="709"/>
        <w:gridCol w:w="850"/>
        <w:gridCol w:w="1134"/>
        <w:gridCol w:w="851"/>
        <w:gridCol w:w="850"/>
        <w:gridCol w:w="992"/>
        <w:gridCol w:w="851"/>
        <w:gridCol w:w="1135"/>
      </w:tblGrid>
      <w:tr w:rsidR="00CC6732" w:rsidRPr="00464FC9" w14:paraId="24705CF2" w14:textId="77777777" w:rsidTr="00C32DC2">
        <w:trPr>
          <w:trHeight w:val="219"/>
        </w:trPr>
        <w:tc>
          <w:tcPr>
            <w:tcW w:w="1413" w:type="dxa"/>
          </w:tcPr>
          <w:p w14:paraId="2750ACF5" w14:textId="77777777" w:rsidR="00CC6732" w:rsidRPr="00464FC9" w:rsidRDefault="00CC6732" w:rsidP="0056635F">
            <w:pPr>
              <w:pStyle w:val="Table"/>
              <w:spacing w:line="480" w:lineRule="auto"/>
              <w:rPr>
                <w:rFonts w:cs="Times New Roman"/>
                <w:b/>
                <w:bCs w:val="0"/>
                <w:color w:val="000000" w:themeColor="text1"/>
                <w:sz w:val="20"/>
                <w:szCs w:val="20"/>
              </w:rPr>
            </w:pPr>
            <w:r w:rsidRPr="00464FC9">
              <w:rPr>
                <w:rFonts w:cs="Times New Roman"/>
                <w:b/>
                <w:bCs w:val="0"/>
                <w:color w:val="000000" w:themeColor="text1"/>
                <w:sz w:val="20"/>
                <w:szCs w:val="20"/>
              </w:rPr>
              <w:t>Sample name</w:t>
            </w:r>
          </w:p>
        </w:tc>
        <w:tc>
          <w:tcPr>
            <w:tcW w:w="709" w:type="dxa"/>
          </w:tcPr>
          <w:p w14:paraId="5D07EFB2" w14:textId="77777777" w:rsidR="00CC6732" w:rsidRPr="00464FC9" w:rsidRDefault="00CC6732" w:rsidP="0056635F">
            <w:pPr>
              <w:pStyle w:val="Table"/>
              <w:spacing w:line="480" w:lineRule="auto"/>
              <w:rPr>
                <w:rFonts w:cs="Times New Roman"/>
                <w:b/>
                <w:bCs w:val="0"/>
                <w:color w:val="000000" w:themeColor="text1"/>
                <w:sz w:val="20"/>
                <w:szCs w:val="20"/>
              </w:rPr>
            </w:pPr>
            <w:r w:rsidRPr="00464FC9">
              <w:rPr>
                <w:rFonts w:cs="Times New Roman"/>
                <w:b/>
                <w:bCs w:val="0"/>
                <w:color w:val="000000" w:themeColor="text1"/>
                <w:sz w:val="20"/>
                <w:szCs w:val="20"/>
              </w:rPr>
              <w:t>Mass (mg)</w:t>
            </w:r>
          </w:p>
        </w:tc>
        <w:tc>
          <w:tcPr>
            <w:tcW w:w="2835" w:type="dxa"/>
            <w:gridSpan w:val="3"/>
          </w:tcPr>
          <w:p w14:paraId="14835E74" w14:textId="77777777" w:rsidR="00CC6732" w:rsidRPr="00464FC9" w:rsidRDefault="00CC6732" w:rsidP="0056635F">
            <w:pPr>
              <w:pStyle w:val="Table"/>
              <w:spacing w:line="480" w:lineRule="auto"/>
              <w:rPr>
                <w:rFonts w:cs="Times New Roman"/>
                <w:b/>
                <w:bCs w:val="0"/>
                <w:color w:val="000000" w:themeColor="text1"/>
                <w:sz w:val="20"/>
                <w:szCs w:val="20"/>
              </w:rPr>
            </w:pPr>
            <w:r w:rsidRPr="00464FC9">
              <w:rPr>
                <w:rFonts w:cs="Times New Roman"/>
                <w:b/>
                <w:bCs w:val="0"/>
                <w:color w:val="000000" w:themeColor="text1"/>
                <w:sz w:val="20"/>
                <w:szCs w:val="20"/>
              </w:rPr>
              <w:t>Dehydration</w:t>
            </w:r>
          </w:p>
        </w:tc>
        <w:tc>
          <w:tcPr>
            <w:tcW w:w="3828" w:type="dxa"/>
            <w:gridSpan w:val="4"/>
          </w:tcPr>
          <w:p w14:paraId="0ECB3301" w14:textId="77777777" w:rsidR="00CC6732" w:rsidRPr="00464FC9" w:rsidRDefault="00CC6732" w:rsidP="0056635F">
            <w:pPr>
              <w:pStyle w:val="Table"/>
              <w:spacing w:line="480" w:lineRule="auto"/>
              <w:rPr>
                <w:rFonts w:cs="Times New Roman"/>
                <w:b/>
                <w:bCs w:val="0"/>
                <w:color w:val="000000" w:themeColor="text1"/>
                <w:sz w:val="20"/>
                <w:szCs w:val="20"/>
              </w:rPr>
            </w:pPr>
            <w:r w:rsidRPr="00464FC9">
              <w:rPr>
                <w:rFonts w:cs="Times New Roman"/>
                <w:b/>
                <w:bCs w:val="0"/>
                <w:color w:val="000000" w:themeColor="text1"/>
                <w:sz w:val="20"/>
                <w:szCs w:val="20"/>
              </w:rPr>
              <w:t>Hydration</w:t>
            </w:r>
          </w:p>
        </w:tc>
      </w:tr>
      <w:tr w:rsidR="00CC6732" w:rsidRPr="00464FC9" w14:paraId="4222B270" w14:textId="77777777" w:rsidTr="00C32DC2">
        <w:trPr>
          <w:trHeight w:val="653"/>
        </w:trPr>
        <w:tc>
          <w:tcPr>
            <w:tcW w:w="1413" w:type="dxa"/>
          </w:tcPr>
          <w:p w14:paraId="05AA7082" w14:textId="77777777" w:rsidR="00CC6732" w:rsidRPr="00464FC9" w:rsidRDefault="00CC6732" w:rsidP="0056635F">
            <w:pPr>
              <w:pStyle w:val="Table"/>
              <w:spacing w:line="480" w:lineRule="auto"/>
              <w:rPr>
                <w:rFonts w:cs="Times New Roman"/>
                <w:color w:val="000000" w:themeColor="text1"/>
                <w:sz w:val="20"/>
                <w:szCs w:val="20"/>
              </w:rPr>
            </w:pPr>
          </w:p>
        </w:tc>
        <w:tc>
          <w:tcPr>
            <w:tcW w:w="709" w:type="dxa"/>
          </w:tcPr>
          <w:p w14:paraId="76AACE5D" w14:textId="77777777" w:rsidR="00CC6732" w:rsidRPr="00464FC9" w:rsidRDefault="00CC6732" w:rsidP="0056635F">
            <w:pPr>
              <w:pStyle w:val="Table"/>
              <w:spacing w:line="480" w:lineRule="auto"/>
              <w:rPr>
                <w:rFonts w:cs="Times New Roman"/>
                <w:color w:val="000000" w:themeColor="text1"/>
                <w:sz w:val="20"/>
                <w:szCs w:val="20"/>
              </w:rPr>
            </w:pPr>
          </w:p>
        </w:tc>
        <w:tc>
          <w:tcPr>
            <w:tcW w:w="850" w:type="dxa"/>
          </w:tcPr>
          <w:p w14:paraId="11BBCD42" w14:textId="77777777" w:rsidR="00CC6732" w:rsidRPr="00464FC9" w:rsidRDefault="00CC6732" w:rsidP="0056635F">
            <w:pPr>
              <w:pStyle w:val="Table"/>
              <w:spacing w:line="480" w:lineRule="auto"/>
              <w:rPr>
                <w:rFonts w:cs="Times New Roman"/>
                <w:color w:val="000000" w:themeColor="text1"/>
                <w:sz w:val="20"/>
                <w:szCs w:val="20"/>
              </w:rPr>
            </w:pPr>
            <w:r w:rsidRPr="00464FC9">
              <w:rPr>
                <w:rFonts w:cs="Times New Roman"/>
                <w:color w:val="000000" w:themeColor="text1"/>
                <w:sz w:val="20"/>
                <w:szCs w:val="20"/>
              </w:rPr>
              <w:t>Mass loss [</w:t>
            </w:r>
            <w:proofErr w:type="spellStart"/>
            <w:r w:rsidRPr="00464FC9">
              <w:rPr>
                <w:rFonts w:cs="Times New Roman"/>
                <w:color w:val="000000" w:themeColor="text1"/>
                <w:sz w:val="20"/>
                <w:szCs w:val="20"/>
              </w:rPr>
              <w:t>wt</w:t>
            </w:r>
            <w:proofErr w:type="spellEnd"/>
            <w:r w:rsidRPr="00464FC9">
              <w:rPr>
                <w:rFonts w:cs="Times New Roman"/>
                <w:color w:val="000000" w:themeColor="text1"/>
                <w:sz w:val="20"/>
                <w:szCs w:val="20"/>
              </w:rPr>
              <w:t>%]</w:t>
            </w:r>
          </w:p>
        </w:tc>
        <w:tc>
          <w:tcPr>
            <w:tcW w:w="1134" w:type="dxa"/>
          </w:tcPr>
          <w:p w14:paraId="6CBE2009" w14:textId="77777777" w:rsidR="00CC6732" w:rsidRPr="00464FC9" w:rsidRDefault="00CC6732" w:rsidP="0056635F">
            <w:pPr>
              <w:pStyle w:val="Table"/>
              <w:spacing w:line="480" w:lineRule="auto"/>
              <w:rPr>
                <w:rFonts w:cs="Times New Roman"/>
                <w:color w:val="000000" w:themeColor="text1"/>
                <w:sz w:val="20"/>
                <w:szCs w:val="20"/>
              </w:rPr>
            </w:pPr>
            <w:r w:rsidRPr="00464FC9">
              <w:rPr>
                <w:rFonts w:cs="Times New Roman"/>
                <w:color w:val="000000" w:themeColor="text1"/>
                <w:sz w:val="20"/>
                <w:szCs w:val="20"/>
              </w:rPr>
              <w:t>Energy [J/</w:t>
            </w:r>
            <w:proofErr w:type="spellStart"/>
            <w:r w:rsidRPr="00464FC9">
              <w:rPr>
                <w:rFonts w:cs="Times New Roman"/>
                <w:color w:val="000000" w:themeColor="text1"/>
                <w:sz w:val="20"/>
                <w:szCs w:val="20"/>
              </w:rPr>
              <w:t>g</w:t>
            </w:r>
            <w:r w:rsidRPr="00464FC9">
              <w:rPr>
                <w:rFonts w:cs="Times New Roman"/>
                <w:color w:val="000000" w:themeColor="text1"/>
                <w:sz w:val="20"/>
                <w:szCs w:val="20"/>
                <w:vertAlign w:val="subscript"/>
              </w:rPr>
              <w:t>initial</w:t>
            </w:r>
            <w:proofErr w:type="spellEnd"/>
            <w:r w:rsidRPr="00464FC9">
              <w:rPr>
                <w:rFonts w:cs="Times New Roman"/>
                <w:color w:val="000000" w:themeColor="text1"/>
                <w:sz w:val="20"/>
                <w:szCs w:val="20"/>
                <w:vertAlign w:val="subscript"/>
              </w:rPr>
              <w:t xml:space="preserve"> hydrated material</w:t>
            </w:r>
            <w:r w:rsidRPr="00464FC9">
              <w:rPr>
                <w:rFonts w:cs="Times New Roman"/>
                <w:color w:val="000000" w:themeColor="text1"/>
                <w:sz w:val="20"/>
                <w:szCs w:val="20"/>
              </w:rPr>
              <w:t>]</w:t>
            </w:r>
          </w:p>
        </w:tc>
        <w:tc>
          <w:tcPr>
            <w:tcW w:w="851" w:type="dxa"/>
          </w:tcPr>
          <w:p w14:paraId="54DFE8E9" w14:textId="77777777" w:rsidR="00CC6732" w:rsidRPr="00464FC9" w:rsidRDefault="00CC6732" w:rsidP="0056635F">
            <w:pPr>
              <w:pStyle w:val="Table"/>
              <w:spacing w:line="480" w:lineRule="auto"/>
              <w:rPr>
                <w:rFonts w:cs="Times New Roman"/>
                <w:color w:val="000000" w:themeColor="text1"/>
                <w:sz w:val="20"/>
                <w:szCs w:val="20"/>
              </w:rPr>
            </w:pPr>
            <w:r w:rsidRPr="00464FC9">
              <w:rPr>
                <w:rFonts w:cs="Times New Roman"/>
                <w:color w:val="000000" w:themeColor="text1"/>
                <w:sz w:val="20"/>
                <w:szCs w:val="20"/>
              </w:rPr>
              <w:t>Energy [kJ/mol</w:t>
            </w:r>
            <w:r w:rsidRPr="00464FC9">
              <w:rPr>
                <w:rFonts w:cs="Times New Roman"/>
                <w:color w:val="000000" w:themeColor="text1"/>
                <w:sz w:val="20"/>
                <w:szCs w:val="20"/>
                <w:vertAlign w:val="subscript"/>
              </w:rPr>
              <w:t>H2O</w:t>
            </w:r>
            <w:r w:rsidRPr="00464FC9">
              <w:rPr>
                <w:rFonts w:cs="Times New Roman"/>
                <w:color w:val="000000" w:themeColor="text1"/>
                <w:sz w:val="20"/>
                <w:szCs w:val="20"/>
              </w:rPr>
              <w:t>]</w:t>
            </w:r>
          </w:p>
        </w:tc>
        <w:tc>
          <w:tcPr>
            <w:tcW w:w="850" w:type="dxa"/>
          </w:tcPr>
          <w:p w14:paraId="2CF7255C" w14:textId="77777777" w:rsidR="00CC6732" w:rsidRPr="00464FC9" w:rsidRDefault="00CC6732" w:rsidP="0056635F">
            <w:pPr>
              <w:pStyle w:val="Table"/>
              <w:spacing w:line="480" w:lineRule="auto"/>
              <w:rPr>
                <w:rFonts w:cs="Times New Roman"/>
                <w:color w:val="000000" w:themeColor="text1"/>
                <w:sz w:val="20"/>
                <w:szCs w:val="20"/>
              </w:rPr>
            </w:pPr>
            <w:r w:rsidRPr="00464FC9">
              <w:rPr>
                <w:rFonts w:cs="Times New Roman"/>
                <w:color w:val="000000" w:themeColor="text1"/>
                <w:sz w:val="20"/>
                <w:szCs w:val="20"/>
              </w:rPr>
              <w:t>Mass gain [</w:t>
            </w:r>
            <w:proofErr w:type="spellStart"/>
            <w:r w:rsidRPr="00464FC9">
              <w:rPr>
                <w:rFonts w:cs="Times New Roman"/>
                <w:color w:val="000000" w:themeColor="text1"/>
                <w:sz w:val="20"/>
                <w:szCs w:val="20"/>
              </w:rPr>
              <w:t>wt</w:t>
            </w:r>
            <w:proofErr w:type="spellEnd"/>
            <w:r w:rsidRPr="00464FC9">
              <w:rPr>
                <w:rFonts w:cs="Times New Roman"/>
                <w:color w:val="000000" w:themeColor="text1"/>
                <w:sz w:val="20"/>
                <w:szCs w:val="20"/>
              </w:rPr>
              <w:t>%]</w:t>
            </w:r>
          </w:p>
        </w:tc>
        <w:tc>
          <w:tcPr>
            <w:tcW w:w="992" w:type="dxa"/>
          </w:tcPr>
          <w:p w14:paraId="206117C9" w14:textId="77777777" w:rsidR="00CC6732" w:rsidRPr="00464FC9" w:rsidRDefault="00CC6732" w:rsidP="0056635F">
            <w:pPr>
              <w:pStyle w:val="Table"/>
              <w:spacing w:line="480" w:lineRule="auto"/>
              <w:rPr>
                <w:rFonts w:cs="Times New Roman"/>
                <w:color w:val="000000" w:themeColor="text1"/>
                <w:sz w:val="20"/>
                <w:szCs w:val="20"/>
              </w:rPr>
            </w:pPr>
            <w:r w:rsidRPr="00464FC9">
              <w:rPr>
                <w:rFonts w:cs="Times New Roman"/>
                <w:color w:val="000000" w:themeColor="text1"/>
                <w:sz w:val="20"/>
                <w:szCs w:val="20"/>
              </w:rPr>
              <w:t>Energy [J/</w:t>
            </w:r>
            <w:proofErr w:type="spellStart"/>
            <w:r w:rsidRPr="00464FC9">
              <w:rPr>
                <w:rFonts w:cs="Times New Roman"/>
                <w:color w:val="000000" w:themeColor="text1"/>
                <w:sz w:val="20"/>
                <w:szCs w:val="20"/>
              </w:rPr>
              <w:t>g</w:t>
            </w:r>
            <w:r w:rsidRPr="00464FC9">
              <w:rPr>
                <w:rFonts w:cs="Times New Roman"/>
                <w:color w:val="000000" w:themeColor="text1"/>
                <w:sz w:val="20"/>
                <w:szCs w:val="20"/>
                <w:vertAlign w:val="subscript"/>
              </w:rPr>
              <w:t>initial</w:t>
            </w:r>
            <w:proofErr w:type="spellEnd"/>
            <w:r w:rsidRPr="00464FC9">
              <w:rPr>
                <w:rFonts w:cs="Times New Roman"/>
                <w:color w:val="000000" w:themeColor="text1"/>
                <w:sz w:val="20"/>
                <w:szCs w:val="20"/>
                <w:vertAlign w:val="subscript"/>
              </w:rPr>
              <w:t xml:space="preserve"> hydrated material</w:t>
            </w:r>
            <w:r w:rsidRPr="00464FC9">
              <w:rPr>
                <w:rFonts w:cs="Times New Roman"/>
                <w:color w:val="000000" w:themeColor="text1"/>
                <w:sz w:val="20"/>
                <w:szCs w:val="20"/>
              </w:rPr>
              <w:t>]</w:t>
            </w:r>
          </w:p>
        </w:tc>
        <w:tc>
          <w:tcPr>
            <w:tcW w:w="851" w:type="dxa"/>
          </w:tcPr>
          <w:p w14:paraId="47DA39EF" w14:textId="77777777" w:rsidR="00CC6732" w:rsidRPr="00464FC9" w:rsidRDefault="00CC6732" w:rsidP="0056635F">
            <w:pPr>
              <w:pStyle w:val="Table"/>
              <w:spacing w:line="480" w:lineRule="auto"/>
              <w:rPr>
                <w:rFonts w:cs="Times New Roman"/>
                <w:color w:val="000000" w:themeColor="text1"/>
                <w:sz w:val="20"/>
                <w:szCs w:val="20"/>
              </w:rPr>
            </w:pPr>
            <w:r w:rsidRPr="00464FC9">
              <w:rPr>
                <w:rFonts w:cs="Times New Roman"/>
                <w:color w:val="000000" w:themeColor="text1"/>
                <w:sz w:val="20"/>
                <w:szCs w:val="20"/>
              </w:rPr>
              <w:t>Energy [kJ/mol</w:t>
            </w:r>
            <w:r w:rsidRPr="00464FC9">
              <w:rPr>
                <w:rFonts w:cs="Times New Roman"/>
                <w:color w:val="000000" w:themeColor="text1"/>
                <w:sz w:val="20"/>
                <w:szCs w:val="20"/>
                <w:vertAlign w:val="subscript"/>
              </w:rPr>
              <w:t>H2O</w:t>
            </w:r>
            <w:r w:rsidRPr="00464FC9">
              <w:rPr>
                <w:rFonts w:cs="Times New Roman"/>
                <w:color w:val="000000" w:themeColor="text1"/>
                <w:sz w:val="20"/>
                <w:szCs w:val="20"/>
              </w:rPr>
              <w:t>]</w:t>
            </w:r>
          </w:p>
        </w:tc>
        <w:tc>
          <w:tcPr>
            <w:tcW w:w="1135" w:type="dxa"/>
          </w:tcPr>
          <w:p w14:paraId="19ED5D58" w14:textId="77777777" w:rsidR="00CC6732" w:rsidRPr="00464FC9" w:rsidRDefault="00CC6732" w:rsidP="0056635F">
            <w:pPr>
              <w:pStyle w:val="Table"/>
              <w:spacing w:line="480" w:lineRule="auto"/>
              <w:rPr>
                <w:rFonts w:cs="Times New Roman"/>
                <w:color w:val="000000" w:themeColor="text1"/>
                <w:sz w:val="20"/>
                <w:szCs w:val="20"/>
              </w:rPr>
            </w:pPr>
            <w:r w:rsidRPr="00464FC9">
              <w:rPr>
                <w:rFonts w:cs="Times New Roman"/>
                <w:color w:val="000000" w:themeColor="text1"/>
                <w:sz w:val="20"/>
                <w:szCs w:val="20"/>
              </w:rPr>
              <w:t>Energy density [kWh/m</w:t>
            </w:r>
            <w:r w:rsidRPr="00464FC9">
              <w:rPr>
                <w:rFonts w:cs="Times New Roman"/>
                <w:color w:val="000000" w:themeColor="text1"/>
                <w:sz w:val="20"/>
                <w:szCs w:val="20"/>
                <w:vertAlign w:val="superscript"/>
              </w:rPr>
              <w:t>3</w:t>
            </w:r>
            <w:r w:rsidRPr="00464FC9">
              <w:rPr>
                <w:rFonts w:cs="Times New Roman"/>
                <w:color w:val="000000" w:themeColor="text1"/>
                <w:sz w:val="20"/>
                <w:szCs w:val="20"/>
              </w:rPr>
              <w:t>]</w:t>
            </w:r>
          </w:p>
        </w:tc>
      </w:tr>
      <w:tr w:rsidR="00CC6732" w:rsidRPr="00464FC9" w14:paraId="08480C17" w14:textId="77777777" w:rsidTr="00C32DC2">
        <w:trPr>
          <w:trHeight w:val="219"/>
        </w:trPr>
        <w:tc>
          <w:tcPr>
            <w:tcW w:w="1413" w:type="dxa"/>
          </w:tcPr>
          <w:p w14:paraId="482458BD" w14:textId="77777777" w:rsidR="00CC6732" w:rsidRPr="00464FC9" w:rsidRDefault="00CC6732" w:rsidP="0056635F">
            <w:pPr>
              <w:pStyle w:val="Table"/>
              <w:spacing w:line="480" w:lineRule="auto"/>
              <w:rPr>
                <w:rFonts w:cs="Times New Roman"/>
                <w:color w:val="000000" w:themeColor="text1"/>
                <w:sz w:val="20"/>
                <w:szCs w:val="20"/>
              </w:rPr>
            </w:pPr>
            <w:r w:rsidRPr="00464FC9">
              <w:rPr>
                <w:rFonts w:cs="Times New Roman"/>
                <w:color w:val="000000" w:themeColor="text1"/>
                <w:sz w:val="20"/>
                <w:szCs w:val="20"/>
              </w:rPr>
              <w:t>C80P20g-A (W/C=0.8)</w:t>
            </w:r>
          </w:p>
        </w:tc>
        <w:tc>
          <w:tcPr>
            <w:tcW w:w="709" w:type="dxa"/>
          </w:tcPr>
          <w:p w14:paraId="356D33A3" w14:textId="77777777" w:rsidR="00CC6732" w:rsidRPr="00464FC9" w:rsidRDefault="00CC6732" w:rsidP="0056635F">
            <w:pPr>
              <w:pStyle w:val="Table"/>
              <w:spacing w:line="480" w:lineRule="auto"/>
              <w:rPr>
                <w:rFonts w:cs="Times New Roman"/>
                <w:color w:val="000000" w:themeColor="text1"/>
                <w:sz w:val="20"/>
                <w:szCs w:val="20"/>
              </w:rPr>
            </w:pPr>
            <w:r w:rsidRPr="00464FC9">
              <w:rPr>
                <w:rFonts w:cs="Times New Roman"/>
                <w:color w:val="000000" w:themeColor="text1"/>
                <w:sz w:val="20"/>
                <w:szCs w:val="20"/>
              </w:rPr>
              <w:t>4.012</w:t>
            </w:r>
          </w:p>
        </w:tc>
        <w:tc>
          <w:tcPr>
            <w:tcW w:w="850" w:type="dxa"/>
          </w:tcPr>
          <w:p w14:paraId="3962BA0C" w14:textId="77777777" w:rsidR="00CC6732" w:rsidRPr="00464FC9" w:rsidRDefault="00CC6732" w:rsidP="0056635F">
            <w:pPr>
              <w:pStyle w:val="Table"/>
              <w:spacing w:line="480" w:lineRule="auto"/>
              <w:rPr>
                <w:rFonts w:cs="Times New Roman"/>
                <w:color w:val="000000" w:themeColor="text1"/>
                <w:sz w:val="20"/>
                <w:szCs w:val="20"/>
              </w:rPr>
            </w:pPr>
            <w:r w:rsidRPr="00464FC9">
              <w:rPr>
                <w:rFonts w:cs="Times New Roman"/>
                <w:color w:val="000000" w:themeColor="text1"/>
                <w:sz w:val="20"/>
                <w:szCs w:val="20"/>
              </w:rPr>
              <w:t>-24.3</w:t>
            </w:r>
          </w:p>
        </w:tc>
        <w:tc>
          <w:tcPr>
            <w:tcW w:w="1134" w:type="dxa"/>
          </w:tcPr>
          <w:p w14:paraId="1B88434A" w14:textId="77777777" w:rsidR="00CC6732" w:rsidRPr="00464FC9" w:rsidRDefault="00CC6732" w:rsidP="0056635F">
            <w:pPr>
              <w:pStyle w:val="Table"/>
              <w:spacing w:line="480" w:lineRule="auto"/>
              <w:rPr>
                <w:rFonts w:cs="Times New Roman"/>
                <w:color w:val="000000" w:themeColor="text1"/>
                <w:sz w:val="20"/>
                <w:szCs w:val="20"/>
              </w:rPr>
            </w:pPr>
            <w:r w:rsidRPr="00464FC9">
              <w:rPr>
                <w:rFonts w:cs="Times New Roman"/>
                <w:color w:val="000000" w:themeColor="text1"/>
                <w:sz w:val="20"/>
                <w:szCs w:val="20"/>
              </w:rPr>
              <w:t>834.3</w:t>
            </w:r>
          </w:p>
        </w:tc>
        <w:tc>
          <w:tcPr>
            <w:tcW w:w="851" w:type="dxa"/>
          </w:tcPr>
          <w:p w14:paraId="558A3B0F" w14:textId="77777777" w:rsidR="00CC6732" w:rsidRPr="00464FC9" w:rsidRDefault="00CC6732" w:rsidP="0056635F">
            <w:pPr>
              <w:pStyle w:val="Table"/>
              <w:spacing w:line="480" w:lineRule="auto"/>
              <w:rPr>
                <w:rFonts w:cs="Times New Roman"/>
                <w:color w:val="000000" w:themeColor="text1"/>
                <w:sz w:val="20"/>
                <w:szCs w:val="20"/>
              </w:rPr>
            </w:pPr>
            <w:r w:rsidRPr="00464FC9">
              <w:rPr>
                <w:rFonts w:cs="Times New Roman"/>
                <w:color w:val="000000" w:themeColor="text1"/>
                <w:sz w:val="20"/>
                <w:szCs w:val="20"/>
              </w:rPr>
              <w:t>61.9</w:t>
            </w:r>
          </w:p>
        </w:tc>
        <w:tc>
          <w:tcPr>
            <w:tcW w:w="850" w:type="dxa"/>
          </w:tcPr>
          <w:p w14:paraId="33088BBC" w14:textId="77777777" w:rsidR="00CC6732" w:rsidRPr="00464FC9" w:rsidRDefault="00CC6732" w:rsidP="0056635F">
            <w:pPr>
              <w:pStyle w:val="Table"/>
              <w:spacing w:line="480" w:lineRule="auto"/>
              <w:rPr>
                <w:rFonts w:cs="Times New Roman"/>
                <w:color w:val="000000" w:themeColor="text1"/>
                <w:sz w:val="20"/>
                <w:szCs w:val="20"/>
              </w:rPr>
            </w:pPr>
            <w:r w:rsidRPr="00464FC9">
              <w:rPr>
                <w:rFonts w:cs="Times New Roman"/>
                <w:color w:val="000000" w:themeColor="text1"/>
                <w:sz w:val="20"/>
                <w:szCs w:val="20"/>
              </w:rPr>
              <w:t>20.2</w:t>
            </w:r>
          </w:p>
        </w:tc>
        <w:tc>
          <w:tcPr>
            <w:tcW w:w="992" w:type="dxa"/>
          </w:tcPr>
          <w:p w14:paraId="69E58A9A" w14:textId="77777777" w:rsidR="00CC6732" w:rsidRPr="00464FC9" w:rsidRDefault="00CC6732" w:rsidP="0056635F">
            <w:pPr>
              <w:pStyle w:val="Table"/>
              <w:spacing w:line="480" w:lineRule="auto"/>
              <w:rPr>
                <w:rFonts w:cs="Times New Roman"/>
                <w:color w:val="000000" w:themeColor="text1"/>
                <w:sz w:val="20"/>
                <w:szCs w:val="20"/>
              </w:rPr>
            </w:pPr>
            <w:r w:rsidRPr="00464FC9">
              <w:rPr>
                <w:rFonts w:cs="Times New Roman"/>
                <w:color w:val="000000" w:themeColor="text1"/>
                <w:sz w:val="20"/>
                <w:szCs w:val="20"/>
              </w:rPr>
              <w:t>-601.3</w:t>
            </w:r>
          </w:p>
        </w:tc>
        <w:tc>
          <w:tcPr>
            <w:tcW w:w="851" w:type="dxa"/>
          </w:tcPr>
          <w:p w14:paraId="260337F3" w14:textId="77777777" w:rsidR="00CC6732" w:rsidRPr="00464FC9" w:rsidRDefault="00CC6732" w:rsidP="0056635F">
            <w:pPr>
              <w:pStyle w:val="Table"/>
              <w:spacing w:line="480" w:lineRule="auto"/>
              <w:rPr>
                <w:rFonts w:cs="Times New Roman"/>
                <w:color w:val="000000" w:themeColor="text1"/>
                <w:sz w:val="20"/>
                <w:szCs w:val="20"/>
              </w:rPr>
            </w:pPr>
            <w:r w:rsidRPr="00464FC9">
              <w:rPr>
                <w:rFonts w:cs="Times New Roman"/>
                <w:color w:val="000000" w:themeColor="text1"/>
                <w:sz w:val="20"/>
                <w:szCs w:val="20"/>
              </w:rPr>
              <w:t>-51.4</w:t>
            </w:r>
          </w:p>
        </w:tc>
        <w:tc>
          <w:tcPr>
            <w:tcW w:w="1135" w:type="dxa"/>
          </w:tcPr>
          <w:p w14:paraId="64861E5F" w14:textId="77777777" w:rsidR="00CC6732" w:rsidRPr="00464FC9" w:rsidRDefault="00CC6732" w:rsidP="0056635F">
            <w:pPr>
              <w:pStyle w:val="Table"/>
              <w:spacing w:line="480" w:lineRule="auto"/>
              <w:rPr>
                <w:rFonts w:cs="Times New Roman"/>
                <w:color w:val="000000" w:themeColor="text1"/>
                <w:sz w:val="20"/>
                <w:szCs w:val="20"/>
              </w:rPr>
            </w:pPr>
            <w:r w:rsidRPr="00464FC9">
              <w:rPr>
                <w:rFonts w:cs="Times New Roman"/>
                <w:color w:val="000000" w:themeColor="text1"/>
                <w:sz w:val="20"/>
                <w:szCs w:val="20"/>
              </w:rPr>
              <w:t>132</w:t>
            </w:r>
          </w:p>
        </w:tc>
      </w:tr>
      <w:tr w:rsidR="00CC6732" w:rsidRPr="00464FC9" w14:paraId="6DB04BF5" w14:textId="77777777" w:rsidTr="00C32DC2">
        <w:trPr>
          <w:trHeight w:val="246"/>
        </w:trPr>
        <w:tc>
          <w:tcPr>
            <w:tcW w:w="1413" w:type="dxa"/>
          </w:tcPr>
          <w:p w14:paraId="4F047F35" w14:textId="77777777" w:rsidR="00CC6732" w:rsidRPr="00464FC9" w:rsidRDefault="00CC6732" w:rsidP="0056635F">
            <w:pPr>
              <w:pStyle w:val="Table"/>
              <w:spacing w:line="480" w:lineRule="auto"/>
              <w:rPr>
                <w:rFonts w:cs="Times New Roman"/>
                <w:color w:val="000000" w:themeColor="text1"/>
                <w:sz w:val="20"/>
                <w:szCs w:val="20"/>
              </w:rPr>
            </w:pPr>
            <w:r w:rsidRPr="00464FC9">
              <w:rPr>
                <w:rFonts w:cs="Times New Roman"/>
                <w:color w:val="000000" w:themeColor="text1"/>
                <w:sz w:val="20"/>
                <w:szCs w:val="20"/>
              </w:rPr>
              <w:t>C80P20p-D (W/C=0.66)</w:t>
            </w:r>
          </w:p>
        </w:tc>
        <w:tc>
          <w:tcPr>
            <w:tcW w:w="709" w:type="dxa"/>
          </w:tcPr>
          <w:p w14:paraId="7A90FE93" w14:textId="77777777" w:rsidR="00CC6732" w:rsidRPr="00464FC9" w:rsidRDefault="00CC6732" w:rsidP="0056635F">
            <w:pPr>
              <w:pStyle w:val="Table"/>
              <w:spacing w:line="480" w:lineRule="auto"/>
              <w:rPr>
                <w:rFonts w:cs="Times New Roman"/>
                <w:color w:val="000000" w:themeColor="text1"/>
                <w:sz w:val="20"/>
                <w:szCs w:val="20"/>
              </w:rPr>
            </w:pPr>
            <w:r w:rsidRPr="00464FC9">
              <w:rPr>
                <w:rFonts w:cs="Times New Roman"/>
                <w:color w:val="000000" w:themeColor="text1"/>
                <w:sz w:val="20"/>
                <w:szCs w:val="20"/>
              </w:rPr>
              <w:t>5.22</w:t>
            </w:r>
          </w:p>
        </w:tc>
        <w:tc>
          <w:tcPr>
            <w:tcW w:w="850" w:type="dxa"/>
          </w:tcPr>
          <w:p w14:paraId="278343F1" w14:textId="77777777" w:rsidR="00CC6732" w:rsidRPr="00464FC9" w:rsidRDefault="00CC6732" w:rsidP="0056635F">
            <w:pPr>
              <w:pStyle w:val="Table"/>
              <w:spacing w:line="480" w:lineRule="auto"/>
              <w:rPr>
                <w:rFonts w:cs="Times New Roman"/>
                <w:color w:val="000000" w:themeColor="text1"/>
                <w:sz w:val="20"/>
                <w:szCs w:val="20"/>
              </w:rPr>
            </w:pPr>
            <w:r w:rsidRPr="00464FC9">
              <w:rPr>
                <w:rFonts w:cs="Times New Roman"/>
                <w:color w:val="000000" w:themeColor="text1"/>
                <w:sz w:val="20"/>
                <w:szCs w:val="20"/>
              </w:rPr>
              <w:t>-24.9</w:t>
            </w:r>
          </w:p>
        </w:tc>
        <w:tc>
          <w:tcPr>
            <w:tcW w:w="1134" w:type="dxa"/>
          </w:tcPr>
          <w:p w14:paraId="71D235D0" w14:textId="77777777" w:rsidR="00CC6732" w:rsidRPr="00464FC9" w:rsidRDefault="00CC6732" w:rsidP="0056635F">
            <w:pPr>
              <w:pStyle w:val="Table"/>
              <w:spacing w:line="480" w:lineRule="auto"/>
              <w:rPr>
                <w:rFonts w:cs="Times New Roman"/>
                <w:color w:val="000000" w:themeColor="text1"/>
                <w:sz w:val="20"/>
                <w:szCs w:val="20"/>
              </w:rPr>
            </w:pPr>
            <w:r w:rsidRPr="00464FC9">
              <w:rPr>
                <w:rFonts w:cs="Times New Roman"/>
                <w:color w:val="000000" w:themeColor="text1"/>
                <w:sz w:val="20"/>
                <w:szCs w:val="20"/>
              </w:rPr>
              <w:t>846.3</w:t>
            </w:r>
          </w:p>
        </w:tc>
        <w:tc>
          <w:tcPr>
            <w:tcW w:w="851" w:type="dxa"/>
          </w:tcPr>
          <w:p w14:paraId="28674E6C" w14:textId="77777777" w:rsidR="00CC6732" w:rsidRPr="00464FC9" w:rsidRDefault="00CC6732" w:rsidP="0056635F">
            <w:pPr>
              <w:pStyle w:val="Table"/>
              <w:spacing w:line="480" w:lineRule="auto"/>
              <w:rPr>
                <w:rFonts w:cs="Times New Roman"/>
                <w:color w:val="000000" w:themeColor="text1"/>
                <w:sz w:val="20"/>
                <w:szCs w:val="20"/>
              </w:rPr>
            </w:pPr>
            <w:r w:rsidRPr="00464FC9">
              <w:rPr>
                <w:rFonts w:cs="Times New Roman"/>
                <w:color w:val="000000" w:themeColor="text1"/>
                <w:sz w:val="20"/>
                <w:szCs w:val="20"/>
              </w:rPr>
              <w:t>61.2</w:t>
            </w:r>
          </w:p>
        </w:tc>
        <w:tc>
          <w:tcPr>
            <w:tcW w:w="850" w:type="dxa"/>
          </w:tcPr>
          <w:p w14:paraId="1E384167" w14:textId="77777777" w:rsidR="00CC6732" w:rsidRPr="00464FC9" w:rsidRDefault="00CC6732" w:rsidP="0056635F">
            <w:pPr>
              <w:pStyle w:val="Table"/>
              <w:spacing w:line="480" w:lineRule="auto"/>
              <w:rPr>
                <w:rFonts w:cs="Times New Roman"/>
                <w:color w:val="000000" w:themeColor="text1"/>
                <w:sz w:val="20"/>
                <w:szCs w:val="20"/>
              </w:rPr>
            </w:pPr>
            <w:r w:rsidRPr="00464FC9">
              <w:rPr>
                <w:rFonts w:cs="Times New Roman"/>
                <w:color w:val="000000" w:themeColor="text1"/>
                <w:sz w:val="20"/>
                <w:szCs w:val="20"/>
              </w:rPr>
              <w:t>18.2</w:t>
            </w:r>
          </w:p>
        </w:tc>
        <w:tc>
          <w:tcPr>
            <w:tcW w:w="992" w:type="dxa"/>
          </w:tcPr>
          <w:p w14:paraId="6F31E0C9" w14:textId="77777777" w:rsidR="00CC6732" w:rsidRPr="00464FC9" w:rsidRDefault="00CC6732" w:rsidP="0056635F">
            <w:pPr>
              <w:pStyle w:val="Table"/>
              <w:spacing w:line="480" w:lineRule="auto"/>
              <w:rPr>
                <w:rFonts w:cs="Times New Roman"/>
                <w:color w:val="000000" w:themeColor="text1"/>
                <w:sz w:val="20"/>
                <w:szCs w:val="20"/>
              </w:rPr>
            </w:pPr>
            <w:r w:rsidRPr="00464FC9">
              <w:rPr>
                <w:rFonts w:cs="Times New Roman"/>
                <w:color w:val="000000" w:themeColor="text1"/>
                <w:sz w:val="20"/>
                <w:szCs w:val="20"/>
              </w:rPr>
              <w:t>-540.0</w:t>
            </w:r>
          </w:p>
        </w:tc>
        <w:tc>
          <w:tcPr>
            <w:tcW w:w="851" w:type="dxa"/>
          </w:tcPr>
          <w:p w14:paraId="67896D16" w14:textId="77777777" w:rsidR="00CC6732" w:rsidRPr="00464FC9" w:rsidRDefault="00CC6732" w:rsidP="0056635F">
            <w:pPr>
              <w:pStyle w:val="Table"/>
              <w:spacing w:line="480" w:lineRule="auto"/>
              <w:rPr>
                <w:rFonts w:cs="Times New Roman"/>
                <w:color w:val="000000" w:themeColor="text1"/>
                <w:sz w:val="20"/>
                <w:szCs w:val="20"/>
              </w:rPr>
            </w:pPr>
            <w:r w:rsidRPr="00464FC9">
              <w:rPr>
                <w:rFonts w:cs="Times New Roman"/>
                <w:color w:val="000000" w:themeColor="text1"/>
                <w:sz w:val="20"/>
                <w:szCs w:val="20"/>
              </w:rPr>
              <w:t>-47.7</w:t>
            </w:r>
          </w:p>
        </w:tc>
        <w:tc>
          <w:tcPr>
            <w:tcW w:w="1135" w:type="dxa"/>
          </w:tcPr>
          <w:p w14:paraId="1E2ADEC1" w14:textId="77777777" w:rsidR="00CC6732" w:rsidRPr="00464FC9" w:rsidRDefault="00CC6732" w:rsidP="0056635F">
            <w:pPr>
              <w:pStyle w:val="Table"/>
              <w:spacing w:line="480" w:lineRule="auto"/>
              <w:rPr>
                <w:rFonts w:cs="Times New Roman"/>
                <w:color w:val="000000" w:themeColor="text1"/>
                <w:sz w:val="20"/>
                <w:szCs w:val="20"/>
              </w:rPr>
            </w:pPr>
            <w:r w:rsidRPr="00464FC9">
              <w:rPr>
                <w:rFonts w:cs="Times New Roman"/>
                <w:color w:val="000000" w:themeColor="text1"/>
                <w:sz w:val="20"/>
                <w:szCs w:val="20"/>
              </w:rPr>
              <w:t>126</w:t>
            </w:r>
          </w:p>
        </w:tc>
      </w:tr>
      <w:tr w:rsidR="00CC6732" w:rsidRPr="00464FC9" w14:paraId="708A5ADA" w14:textId="77777777" w:rsidTr="00C32DC2">
        <w:trPr>
          <w:trHeight w:val="46"/>
        </w:trPr>
        <w:tc>
          <w:tcPr>
            <w:tcW w:w="1413" w:type="dxa"/>
          </w:tcPr>
          <w:p w14:paraId="17D4A7A6" w14:textId="77777777" w:rsidR="00CC6732" w:rsidRPr="00464FC9" w:rsidRDefault="00CC6732" w:rsidP="0056635F">
            <w:pPr>
              <w:pStyle w:val="Table"/>
              <w:spacing w:line="480" w:lineRule="auto"/>
              <w:rPr>
                <w:rFonts w:cs="Times New Roman"/>
                <w:color w:val="000000" w:themeColor="text1"/>
                <w:sz w:val="20"/>
                <w:szCs w:val="20"/>
              </w:rPr>
            </w:pPr>
            <w:r w:rsidRPr="00464FC9">
              <w:rPr>
                <w:rFonts w:cs="Times New Roman"/>
                <w:color w:val="000000" w:themeColor="text1"/>
                <w:sz w:val="20"/>
                <w:szCs w:val="20"/>
              </w:rPr>
              <w:t>C80P20p-A (W/C=0.44)</w:t>
            </w:r>
          </w:p>
        </w:tc>
        <w:tc>
          <w:tcPr>
            <w:tcW w:w="709" w:type="dxa"/>
          </w:tcPr>
          <w:p w14:paraId="54303D0E" w14:textId="77777777" w:rsidR="00CC6732" w:rsidRPr="00464FC9" w:rsidRDefault="00CC6732" w:rsidP="0056635F">
            <w:pPr>
              <w:pStyle w:val="Table"/>
              <w:spacing w:line="480" w:lineRule="auto"/>
              <w:rPr>
                <w:rFonts w:cs="Times New Roman"/>
                <w:color w:val="000000" w:themeColor="text1"/>
                <w:sz w:val="20"/>
                <w:szCs w:val="20"/>
              </w:rPr>
            </w:pPr>
            <w:r w:rsidRPr="00464FC9">
              <w:rPr>
                <w:rFonts w:cs="Times New Roman"/>
                <w:color w:val="000000" w:themeColor="text1"/>
                <w:sz w:val="20"/>
                <w:szCs w:val="20"/>
              </w:rPr>
              <w:t>5.376</w:t>
            </w:r>
          </w:p>
        </w:tc>
        <w:tc>
          <w:tcPr>
            <w:tcW w:w="850" w:type="dxa"/>
          </w:tcPr>
          <w:p w14:paraId="59A3334D" w14:textId="77777777" w:rsidR="00CC6732" w:rsidRPr="00464FC9" w:rsidRDefault="00CC6732" w:rsidP="0056635F">
            <w:pPr>
              <w:pStyle w:val="Table"/>
              <w:spacing w:line="480" w:lineRule="auto"/>
              <w:rPr>
                <w:rFonts w:cs="Times New Roman"/>
                <w:color w:val="000000" w:themeColor="text1"/>
                <w:sz w:val="20"/>
                <w:szCs w:val="20"/>
              </w:rPr>
            </w:pPr>
            <w:r w:rsidRPr="00464FC9">
              <w:rPr>
                <w:rFonts w:cs="Times New Roman"/>
                <w:color w:val="000000" w:themeColor="text1"/>
                <w:sz w:val="20"/>
                <w:szCs w:val="20"/>
              </w:rPr>
              <w:t>-19.5</w:t>
            </w:r>
          </w:p>
        </w:tc>
        <w:tc>
          <w:tcPr>
            <w:tcW w:w="1134" w:type="dxa"/>
          </w:tcPr>
          <w:p w14:paraId="64F3FC6B" w14:textId="77777777" w:rsidR="00CC6732" w:rsidRPr="00464FC9" w:rsidRDefault="00CC6732" w:rsidP="0056635F">
            <w:pPr>
              <w:pStyle w:val="Table"/>
              <w:spacing w:line="480" w:lineRule="auto"/>
              <w:rPr>
                <w:rFonts w:cs="Times New Roman"/>
                <w:color w:val="000000" w:themeColor="text1"/>
                <w:sz w:val="20"/>
                <w:szCs w:val="20"/>
              </w:rPr>
            </w:pPr>
            <w:r w:rsidRPr="00464FC9">
              <w:rPr>
                <w:rFonts w:cs="Times New Roman"/>
                <w:color w:val="000000" w:themeColor="text1"/>
                <w:sz w:val="20"/>
                <w:szCs w:val="20"/>
              </w:rPr>
              <w:t>686.6</w:t>
            </w:r>
          </w:p>
        </w:tc>
        <w:tc>
          <w:tcPr>
            <w:tcW w:w="851" w:type="dxa"/>
          </w:tcPr>
          <w:p w14:paraId="7F2780D7" w14:textId="77777777" w:rsidR="00CC6732" w:rsidRPr="00464FC9" w:rsidRDefault="00CC6732" w:rsidP="0056635F">
            <w:pPr>
              <w:pStyle w:val="Table"/>
              <w:spacing w:line="480" w:lineRule="auto"/>
              <w:rPr>
                <w:rFonts w:cs="Times New Roman"/>
                <w:color w:val="000000" w:themeColor="text1"/>
                <w:sz w:val="20"/>
                <w:szCs w:val="20"/>
              </w:rPr>
            </w:pPr>
            <w:r w:rsidRPr="00464FC9">
              <w:rPr>
                <w:rFonts w:cs="Times New Roman"/>
                <w:color w:val="000000" w:themeColor="text1"/>
                <w:sz w:val="20"/>
                <w:szCs w:val="20"/>
              </w:rPr>
              <w:t>63.2</w:t>
            </w:r>
          </w:p>
        </w:tc>
        <w:tc>
          <w:tcPr>
            <w:tcW w:w="850" w:type="dxa"/>
          </w:tcPr>
          <w:p w14:paraId="2986AE7E" w14:textId="77777777" w:rsidR="00CC6732" w:rsidRPr="00464FC9" w:rsidRDefault="00CC6732" w:rsidP="0056635F">
            <w:pPr>
              <w:pStyle w:val="Table"/>
              <w:spacing w:line="480" w:lineRule="auto"/>
              <w:rPr>
                <w:rFonts w:cs="Times New Roman"/>
                <w:color w:val="000000" w:themeColor="text1"/>
                <w:sz w:val="20"/>
                <w:szCs w:val="20"/>
              </w:rPr>
            </w:pPr>
            <w:r w:rsidRPr="00464FC9">
              <w:rPr>
                <w:rFonts w:cs="Times New Roman"/>
                <w:color w:val="000000" w:themeColor="text1"/>
                <w:sz w:val="20"/>
                <w:szCs w:val="20"/>
              </w:rPr>
              <w:t>16.4</w:t>
            </w:r>
          </w:p>
        </w:tc>
        <w:tc>
          <w:tcPr>
            <w:tcW w:w="992" w:type="dxa"/>
          </w:tcPr>
          <w:p w14:paraId="2EE0F150" w14:textId="77777777" w:rsidR="00CC6732" w:rsidRPr="00464FC9" w:rsidRDefault="00CC6732" w:rsidP="0056635F">
            <w:pPr>
              <w:pStyle w:val="Table"/>
              <w:spacing w:line="480" w:lineRule="auto"/>
              <w:rPr>
                <w:rFonts w:cs="Times New Roman"/>
                <w:color w:val="000000" w:themeColor="text1"/>
                <w:sz w:val="20"/>
                <w:szCs w:val="20"/>
              </w:rPr>
            </w:pPr>
            <w:r w:rsidRPr="00464FC9">
              <w:rPr>
                <w:rFonts w:cs="Times New Roman"/>
                <w:color w:val="000000" w:themeColor="text1"/>
                <w:sz w:val="20"/>
                <w:szCs w:val="20"/>
              </w:rPr>
              <w:t>-501.0</w:t>
            </w:r>
          </w:p>
        </w:tc>
        <w:tc>
          <w:tcPr>
            <w:tcW w:w="851" w:type="dxa"/>
          </w:tcPr>
          <w:p w14:paraId="0696663A" w14:textId="77777777" w:rsidR="00CC6732" w:rsidRPr="00464FC9" w:rsidRDefault="00CC6732" w:rsidP="0056635F">
            <w:pPr>
              <w:pStyle w:val="Table"/>
              <w:spacing w:line="480" w:lineRule="auto"/>
              <w:rPr>
                <w:rFonts w:cs="Times New Roman"/>
                <w:color w:val="000000" w:themeColor="text1"/>
                <w:sz w:val="20"/>
                <w:szCs w:val="20"/>
              </w:rPr>
            </w:pPr>
            <w:r w:rsidRPr="00464FC9">
              <w:rPr>
                <w:rFonts w:cs="Times New Roman"/>
                <w:color w:val="000000" w:themeColor="text1"/>
                <w:sz w:val="20"/>
                <w:szCs w:val="20"/>
              </w:rPr>
              <w:t>-53.4</w:t>
            </w:r>
          </w:p>
        </w:tc>
        <w:tc>
          <w:tcPr>
            <w:tcW w:w="1135" w:type="dxa"/>
          </w:tcPr>
          <w:p w14:paraId="52DC8294" w14:textId="77777777" w:rsidR="00CC6732" w:rsidRPr="00464FC9" w:rsidRDefault="00CC6732" w:rsidP="0056635F">
            <w:pPr>
              <w:pStyle w:val="Table"/>
              <w:spacing w:line="480" w:lineRule="auto"/>
              <w:rPr>
                <w:rFonts w:cs="Times New Roman"/>
                <w:color w:val="000000" w:themeColor="text1"/>
                <w:sz w:val="20"/>
                <w:szCs w:val="20"/>
              </w:rPr>
            </w:pPr>
            <w:r w:rsidRPr="00464FC9">
              <w:rPr>
                <w:rFonts w:cs="Times New Roman"/>
                <w:color w:val="000000" w:themeColor="text1"/>
                <w:sz w:val="20"/>
                <w:szCs w:val="20"/>
              </w:rPr>
              <w:t>146</w:t>
            </w:r>
          </w:p>
        </w:tc>
      </w:tr>
      <w:tr w:rsidR="00CC6732" w:rsidRPr="00464FC9" w14:paraId="679F51BD" w14:textId="77777777" w:rsidTr="00C32DC2">
        <w:trPr>
          <w:trHeight w:val="246"/>
        </w:trPr>
        <w:tc>
          <w:tcPr>
            <w:tcW w:w="1413" w:type="dxa"/>
          </w:tcPr>
          <w:p w14:paraId="4F1960F4" w14:textId="77777777" w:rsidR="00C32DC2" w:rsidRPr="00464FC9" w:rsidRDefault="00CC6732" w:rsidP="0056635F">
            <w:pPr>
              <w:pStyle w:val="Table"/>
              <w:spacing w:line="480" w:lineRule="auto"/>
              <w:rPr>
                <w:rFonts w:cs="Times New Roman"/>
                <w:color w:val="000000" w:themeColor="text1"/>
                <w:sz w:val="20"/>
                <w:szCs w:val="20"/>
              </w:rPr>
            </w:pPr>
            <w:r w:rsidRPr="00464FC9">
              <w:rPr>
                <w:rFonts w:cs="Times New Roman"/>
                <w:color w:val="000000" w:themeColor="text1"/>
                <w:sz w:val="20"/>
                <w:szCs w:val="20"/>
              </w:rPr>
              <w:t>C80P20p-G2</w:t>
            </w:r>
          </w:p>
          <w:p w14:paraId="1F5ED889" w14:textId="340C189F" w:rsidR="00CC6732" w:rsidRPr="00464FC9" w:rsidRDefault="00CC6732" w:rsidP="0056635F">
            <w:pPr>
              <w:pStyle w:val="Table"/>
              <w:spacing w:line="480" w:lineRule="auto"/>
              <w:rPr>
                <w:rFonts w:cs="Times New Roman"/>
                <w:color w:val="000000" w:themeColor="text1"/>
                <w:sz w:val="20"/>
                <w:szCs w:val="20"/>
              </w:rPr>
            </w:pPr>
            <w:r w:rsidRPr="00464FC9">
              <w:rPr>
                <w:rFonts w:cs="Times New Roman"/>
                <w:color w:val="000000" w:themeColor="text1"/>
                <w:sz w:val="20"/>
                <w:szCs w:val="20"/>
              </w:rPr>
              <w:t>(W/C=0.61)</w:t>
            </w:r>
          </w:p>
        </w:tc>
        <w:tc>
          <w:tcPr>
            <w:tcW w:w="709" w:type="dxa"/>
          </w:tcPr>
          <w:p w14:paraId="14A5D437" w14:textId="77777777" w:rsidR="00CC6732" w:rsidRPr="00464FC9" w:rsidRDefault="00CC6732" w:rsidP="0056635F">
            <w:pPr>
              <w:pStyle w:val="Table"/>
              <w:spacing w:line="480" w:lineRule="auto"/>
              <w:rPr>
                <w:rFonts w:cs="Times New Roman"/>
                <w:color w:val="000000" w:themeColor="text1"/>
                <w:sz w:val="20"/>
                <w:szCs w:val="20"/>
              </w:rPr>
            </w:pPr>
            <w:r w:rsidRPr="00464FC9">
              <w:rPr>
                <w:rFonts w:cs="Times New Roman"/>
                <w:color w:val="000000" w:themeColor="text1"/>
                <w:sz w:val="20"/>
                <w:szCs w:val="20"/>
              </w:rPr>
              <w:t>7.19</w:t>
            </w:r>
          </w:p>
        </w:tc>
        <w:tc>
          <w:tcPr>
            <w:tcW w:w="850" w:type="dxa"/>
          </w:tcPr>
          <w:p w14:paraId="38CB10A8" w14:textId="77777777" w:rsidR="00CC6732" w:rsidRPr="00464FC9" w:rsidRDefault="00CC6732" w:rsidP="0056635F">
            <w:pPr>
              <w:pStyle w:val="Table"/>
              <w:spacing w:line="480" w:lineRule="auto"/>
              <w:rPr>
                <w:rFonts w:cs="Times New Roman"/>
                <w:color w:val="000000" w:themeColor="text1"/>
                <w:sz w:val="20"/>
                <w:szCs w:val="20"/>
              </w:rPr>
            </w:pPr>
            <w:r w:rsidRPr="00464FC9">
              <w:rPr>
                <w:rFonts w:cs="Times New Roman"/>
                <w:color w:val="000000" w:themeColor="text1"/>
                <w:sz w:val="20"/>
                <w:szCs w:val="20"/>
              </w:rPr>
              <w:t>-23.1</w:t>
            </w:r>
          </w:p>
        </w:tc>
        <w:tc>
          <w:tcPr>
            <w:tcW w:w="1134" w:type="dxa"/>
          </w:tcPr>
          <w:p w14:paraId="614ACC3B" w14:textId="77777777" w:rsidR="00CC6732" w:rsidRPr="00464FC9" w:rsidRDefault="00CC6732" w:rsidP="0056635F">
            <w:pPr>
              <w:pStyle w:val="Table"/>
              <w:spacing w:line="480" w:lineRule="auto"/>
              <w:rPr>
                <w:rFonts w:cs="Times New Roman"/>
                <w:color w:val="000000" w:themeColor="text1"/>
                <w:sz w:val="20"/>
                <w:szCs w:val="20"/>
              </w:rPr>
            </w:pPr>
            <w:r w:rsidRPr="00464FC9">
              <w:rPr>
                <w:rFonts w:cs="Times New Roman"/>
                <w:color w:val="000000" w:themeColor="text1"/>
                <w:sz w:val="20"/>
                <w:szCs w:val="20"/>
              </w:rPr>
              <w:t>763.2</w:t>
            </w:r>
          </w:p>
        </w:tc>
        <w:tc>
          <w:tcPr>
            <w:tcW w:w="851" w:type="dxa"/>
          </w:tcPr>
          <w:p w14:paraId="0D89CD0D" w14:textId="77777777" w:rsidR="00CC6732" w:rsidRPr="00464FC9" w:rsidRDefault="00CC6732" w:rsidP="0056635F">
            <w:pPr>
              <w:pStyle w:val="Table"/>
              <w:spacing w:line="480" w:lineRule="auto"/>
              <w:rPr>
                <w:rFonts w:cs="Times New Roman"/>
                <w:color w:val="000000" w:themeColor="text1"/>
                <w:sz w:val="20"/>
                <w:szCs w:val="20"/>
              </w:rPr>
            </w:pPr>
            <w:r w:rsidRPr="00464FC9">
              <w:rPr>
                <w:rFonts w:cs="Times New Roman"/>
                <w:color w:val="000000" w:themeColor="text1"/>
                <w:sz w:val="20"/>
                <w:szCs w:val="20"/>
              </w:rPr>
              <w:t>59.4</w:t>
            </w:r>
          </w:p>
        </w:tc>
        <w:tc>
          <w:tcPr>
            <w:tcW w:w="850" w:type="dxa"/>
          </w:tcPr>
          <w:p w14:paraId="7A8C287C" w14:textId="77777777" w:rsidR="00CC6732" w:rsidRPr="00464FC9" w:rsidRDefault="00CC6732" w:rsidP="0056635F">
            <w:pPr>
              <w:pStyle w:val="Table"/>
              <w:spacing w:line="480" w:lineRule="auto"/>
              <w:rPr>
                <w:rFonts w:cs="Times New Roman"/>
                <w:color w:val="000000" w:themeColor="text1"/>
                <w:sz w:val="20"/>
                <w:szCs w:val="20"/>
              </w:rPr>
            </w:pPr>
            <w:r w:rsidRPr="00464FC9">
              <w:rPr>
                <w:rFonts w:cs="Times New Roman"/>
                <w:color w:val="000000" w:themeColor="text1"/>
                <w:sz w:val="20"/>
                <w:szCs w:val="20"/>
              </w:rPr>
              <w:t>16.9</w:t>
            </w:r>
          </w:p>
        </w:tc>
        <w:tc>
          <w:tcPr>
            <w:tcW w:w="992" w:type="dxa"/>
          </w:tcPr>
          <w:p w14:paraId="6DFA2929" w14:textId="77777777" w:rsidR="00CC6732" w:rsidRPr="00464FC9" w:rsidRDefault="00CC6732" w:rsidP="0056635F">
            <w:pPr>
              <w:pStyle w:val="Table"/>
              <w:spacing w:line="480" w:lineRule="auto"/>
              <w:rPr>
                <w:rFonts w:cs="Times New Roman"/>
                <w:color w:val="000000" w:themeColor="text1"/>
                <w:sz w:val="20"/>
                <w:szCs w:val="20"/>
              </w:rPr>
            </w:pPr>
            <w:r w:rsidRPr="00464FC9">
              <w:rPr>
                <w:rFonts w:cs="Times New Roman"/>
                <w:color w:val="000000" w:themeColor="text1"/>
                <w:sz w:val="20"/>
                <w:szCs w:val="20"/>
              </w:rPr>
              <w:t>-480.0</w:t>
            </w:r>
          </w:p>
        </w:tc>
        <w:tc>
          <w:tcPr>
            <w:tcW w:w="851" w:type="dxa"/>
          </w:tcPr>
          <w:p w14:paraId="3109FD83" w14:textId="77777777" w:rsidR="00CC6732" w:rsidRPr="00464FC9" w:rsidRDefault="00CC6732" w:rsidP="0056635F">
            <w:pPr>
              <w:pStyle w:val="Table"/>
              <w:spacing w:line="480" w:lineRule="auto"/>
              <w:rPr>
                <w:rFonts w:cs="Times New Roman"/>
                <w:color w:val="000000" w:themeColor="text1"/>
                <w:sz w:val="20"/>
                <w:szCs w:val="20"/>
              </w:rPr>
            </w:pPr>
            <w:r w:rsidRPr="00464FC9">
              <w:rPr>
                <w:rFonts w:cs="Times New Roman"/>
                <w:color w:val="000000" w:themeColor="text1"/>
                <w:sz w:val="20"/>
                <w:szCs w:val="20"/>
              </w:rPr>
              <w:t>-47.4</w:t>
            </w:r>
          </w:p>
        </w:tc>
        <w:tc>
          <w:tcPr>
            <w:tcW w:w="1135" w:type="dxa"/>
          </w:tcPr>
          <w:p w14:paraId="674F488E" w14:textId="77777777" w:rsidR="00CC6732" w:rsidRPr="00464FC9" w:rsidRDefault="00CC6732" w:rsidP="0056635F">
            <w:pPr>
              <w:pStyle w:val="Table"/>
              <w:spacing w:line="480" w:lineRule="auto"/>
              <w:rPr>
                <w:rFonts w:cs="Times New Roman"/>
                <w:color w:val="000000" w:themeColor="text1"/>
                <w:sz w:val="20"/>
                <w:szCs w:val="20"/>
              </w:rPr>
            </w:pPr>
            <w:r w:rsidRPr="00464FC9">
              <w:rPr>
                <w:rFonts w:cs="Times New Roman"/>
                <w:color w:val="000000" w:themeColor="text1"/>
                <w:sz w:val="20"/>
                <w:szCs w:val="20"/>
              </w:rPr>
              <w:t>134</w:t>
            </w:r>
          </w:p>
        </w:tc>
      </w:tr>
      <w:tr w:rsidR="00CC6732" w:rsidRPr="00464FC9" w14:paraId="12A6773A" w14:textId="77777777" w:rsidTr="00C32DC2">
        <w:trPr>
          <w:trHeight w:val="46"/>
        </w:trPr>
        <w:tc>
          <w:tcPr>
            <w:tcW w:w="1413" w:type="dxa"/>
          </w:tcPr>
          <w:p w14:paraId="660FBDEA" w14:textId="10FE1C68" w:rsidR="00CC6732" w:rsidRPr="00464FC9" w:rsidRDefault="00CC6732" w:rsidP="0056635F">
            <w:pPr>
              <w:pStyle w:val="Table"/>
              <w:spacing w:line="480" w:lineRule="auto"/>
              <w:rPr>
                <w:rFonts w:cs="Times New Roman"/>
                <w:color w:val="000000" w:themeColor="text1"/>
                <w:sz w:val="20"/>
                <w:szCs w:val="20"/>
              </w:rPr>
            </w:pPr>
            <w:r w:rsidRPr="00464FC9">
              <w:rPr>
                <w:rFonts w:cs="Times New Roman"/>
                <w:color w:val="000000" w:themeColor="text1"/>
                <w:sz w:val="20"/>
                <w:szCs w:val="20"/>
              </w:rPr>
              <w:t>C80P20p-G2 (W/C=0.61) – 50 cycles</w:t>
            </w:r>
          </w:p>
        </w:tc>
        <w:tc>
          <w:tcPr>
            <w:tcW w:w="709" w:type="dxa"/>
          </w:tcPr>
          <w:p w14:paraId="04F59653" w14:textId="42DD2FD7" w:rsidR="00CC6732" w:rsidRPr="00464FC9" w:rsidRDefault="00D10976" w:rsidP="00D10976">
            <w:pPr>
              <w:pStyle w:val="Table"/>
              <w:spacing w:line="480" w:lineRule="auto"/>
              <w:rPr>
                <w:rFonts w:cs="Times New Roman"/>
                <w:color w:val="000000" w:themeColor="text1"/>
                <w:sz w:val="20"/>
                <w:szCs w:val="20"/>
              </w:rPr>
            </w:pPr>
            <w:r w:rsidRPr="00464FC9">
              <w:rPr>
                <w:rFonts w:cs="Times New Roman"/>
                <w:color w:val="000000" w:themeColor="text1"/>
                <w:sz w:val="20"/>
                <w:szCs w:val="20"/>
              </w:rPr>
              <w:t>3.57</w:t>
            </w:r>
          </w:p>
        </w:tc>
        <w:tc>
          <w:tcPr>
            <w:tcW w:w="850" w:type="dxa"/>
          </w:tcPr>
          <w:p w14:paraId="5C94993C" w14:textId="0D00FF8B" w:rsidR="00CC6732" w:rsidRPr="00464FC9" w:rsidRDefault="00D10976" w:rsidP="00D10976">
            <w:pPr>
              <w:pStyle w:val="Table"/>
              <w:spacing w:line="480" w:lineRule="auto"/>
              <w:rPr>
                <w:rFonts w:cs="Times New Roman"/>
                <w:color w:val="000000" w:themeColor="text1"/>
                <w:sz w:val="20"/>
                <w:szCs w:val="20"/>
              </w:rPr>
            </w:pPr>
            <w:r w:rsidRPr="00464FC9">
              <w:rPr>
                <w:rFonts w:cs="Times New Roman"/>
                <w:color w:val="000000" w:themeColor="text1"/>
                <w:sz w:val="20"/>
                <w:szCs w:val="20"/>
              </w:rPr>
              <w:t>-24.4</w:t>
            </w:r>
          </w:p>
        </w:tc>
        <w:tc>
          <w:tcPr>
            <w:tcW w:w="1134" w:type="dxa"/>
          </w:tcPr>
          <w:p w14:paraId="4BC77DA5" w14:textId="1DA3F1E5" w:rsidR="00CC6732" w:rsidRPr="00464FC9" w:rsidRDefault="00D10976" w:rsidP="00D10976">
            <w:pPr>
              <w:pStyle w:val="Table"/>
              <w:spacing w:line="480" w:lineRule="auto"/>
              <w:rPr>
                <w:rFonts w:cs="Times New Roman"/>
                <w:color w:val="000000" w:themeColor="text1"/>
                <w:sz w:val="20"/>
                <w:szCs w:val="20"/>
              </w:rPr>
            </w:pPr>
            <w:r w:rsidRPr="00464FC9">
              <w:rPr>
                <w:rFonts w:cs="Times New Roman"/>
                <w:color w:val="000000" w:themeColor="text1"/>
                <w:sz w:val="20"/>
                <w:szCs w:val="20"/>
              </w:rPr>
              <w:t>968.9</w:t>
            </w:r>
          </w:p>
        </w:tc>
        <w:tc>
          <w:tcPr>
            <w:tcW w:w="851" w:type="dxa"/>
          </w:tcPr>
          <w:p w14:paraId="3F2BFD88" w14:textId="3E8702B5" w:rsidR="00CC6732" w:rsidRPr="00464FC9" w:rsidRDefault="00D10976" w:rsidP="00D10976">
            <w:pPr>
              <w:pStyle w:val="Table"/>
              <w:spacing w:line="480" w:lineRule="auto"/>
              <w:rPr>
                <w:rFonts w:cs="Times New Roman"/>
                <w:color w:val="000000" w:themeColor="text1"/>
                <w:sz w:val="20"/>
                <w:szCs w:val="20"/>
              </w:rPr>
            </w:pPr>
            <w:r w:rsidRPr="00464FC9">
              <w:rPr>
                <w:rFonts w:cs="Times New Roman"/>
                <w:color w:val="000000" w:themeColor="text1"/>
                <w:sz w:val="20"/>
                <w:szCs w:val="20"/>
              </w:rPr>
              <w:t>71.5</w:t>
            </w:r>
          </w:p>
        </w:tc>
        <w:tc>
          <w:tcPr>
            <w:tcW w:w="850" w:type="dxa"/>
          </w:tcPr>
          <w:p w14:paraId="15AA150A" w14:textId="4B28FDCB" w:rsidR="00CC6732" w:rsidRPr="00464FC9" w:rsidRDefault="00D10976" w:rsidP="00D10976">
            <w:pPr>
              <w:pStyle w:val="Table"/>
              <w:spacing w:line="480" w:lineRule="auto"/>
              <w:rPr>
                <w:rFonts w:cs="Times New Roman"/>
                <w:color w:val="000000" w:themeColor="text1"/>
                <w:sz w:val="20"/>
                <w:szCs w:val="20"/>
              </w:rPr>
            </w:pPr>
            <w:r w:rsidRPr="00464FC9">
              <w:rPr>
                <w:rFonts w:cs="Times New Roman"/>
                <w:color w:val="000000" w:themeColor="text1"/>
                <w:sz w:val="20"/>
                <w:szCs w:val="20"/>
              </w:rPr>
              <w:t>18.7</w:t>
            </w:r>
          </w:p>
        </w:tc>
        <w:tc>
          <w:tcPr>
            <w:tcW w:w="992" w:type="dxa"/>
          </w:tcPr>
          <w:p w14:paraId="38F5D0D0" w14:textId="2DB853EA" w:rsidR="00CC6732" w:rsidRPr="00464FC9" w:rsidRDefault="00CC6732" w:rsidP="00D10976">
            <w:pPr>
              <w:pStyle w:val="Table"/>
              <w:spacing w:line="480" w:lineRule="auto"/>
              <w:rPr>
                <w:rFonts w:cs="Times New Roman"/>
                <w:color w:val="000000" w:themeColor="text1"/>
                <w:sz w:val="20"/>
                <w:szCs w:val="20"/>
              </w:rPr>
            </w:pPr>
            <w:r w:rsidRPr="00464FC9">
              <w:rPr>
                <w:rFonts w:cs="Times New Roman"/>
                <w:color w:val="000000" w:themeColor="text1"/>
                <w:sz w:val="20"/>
                <w:szCs w:val="20"/>
              </w:rPr>
              <w:t>-</w:t>
            </w:r>
            <w:r w:rsidR="00D10976" w:rsidRPr="00464FC9">
              <w:rPr>
                <w:rFonts w:cs="Times New Roman"/>
                <w:color w:val="000000" w:themeColor="text1"/>
                <w:sz w:val="20"/>
                <w:szCs w:val="20"/>
              </w:rPr>
              <w:t>519.3</w:t>
            </w:r>
          </w:p>
        </w:tc>
        <w:tc>
          <w:tcPr>
            <w:tcW w:w="851" w:type="dxa"/>
          </w:tcPr>
          <w:p w14:paraId="49588D89" w14:textId="00742EB9" w:rsidR="00CC6732" w:rsidRPr="00464FC9" w:rsidRDefault="00CC6732" w:rsidP="00D10976">
            <w:pPr>
              <w:pStyle w:val="Table"/>
              <w:spacing w:line="480" w:lineRule="auto"/>
              <w:rPr>
                <w:rFonts w:cs="Times New Roman"/>
                <w:color w:val="000000" w:themeColor="text1"/>
                <w:sz w:val="20"/>
                <w:szCs w:val="20"/>
              </w:rPr>
            </w:pPr>
            <w:r w:rsidRPr="00464FC9">
              <w:rPr>
                <w:rFonts w:cs="Times New Roman"/>
                <w:color w:val="000000" w:themeColor="text1"/>
                <w:sz w:val="20"/>
                <w:szCs w:val="20"/>
              </w:rPr>
              <w:t>-</w:t>
            </w:r>
            <w:r w:rsidR="00D10976" w:rsidRPr="00464FC9">
              <w:rPr>
                <w:rFonts w:cs="Times New Roman"/>
                <w:color w:val="000000" w:themeColor="text1"/>
                <w:sz w:val="20"/>
                <w:szCs w:val="20"/>
              </w:rPr>
              <w:t>50.0</w:t>
            </w:r>
          </w:p>
        </w:tc>
        <w:tc>
          <w:tcPr>
            <w:tcW w:w="1135" w:type="dxa"/>
          </w:tcPr>
          <w:p w14:paraId="653A8FAB" w14:textId="3603F6C8" w:rsidR="00CC6732" w:rsidRPr="00464FC9" w:rsidRDefault="00D10976" w:rsidP="00D10976">
            <w:pPr>
              <w:pStyle w:val="Table"/>
              <w:spacing w:line="480" w:lineRule="auto"/>
              <w:rPr>
                <w:rFonts w:cs="Times New Roman"/>
                <w:color w:val="000000" w:themeColor="text1"/>
                <w:sz w:val="20"/>
                <w:szCs w:val="20"/>
              </w:rPr>
            </w:pPr>
            <w:r w:rsidRPr="00464FC9">
              <w:rPr>
                <w:rFonts w:cs="Times New Roman"/>
                <w:color w:val="000000" w:themeColor="text1"/>
                <w:sz w:val="20"/>
                <w:szCs w:val="20"/>
              </w:rPr>
              <w:t>145</w:t>
            </w:r>
          </w:p>
        </w:tc>
      </w:tr>
    </w:tbl>
    <w:p w14:paraId="4132597A" w14:textId="2E64A220" w:rsidR="005A0F84" w:rsidRPr="00464FC9" w:rsidRDefault="001B5C6F" w:rsidP="005A0F84">
      <w:pPr>
        <w:spacing w:after="160" w:line="276" w:lineRule="auto"/>
        <w:jc w:val="both"/>
        <w:rPr>
          <w:color w:val="000000" w:themeColor="text1"/>
          <w:sz w:val="20"/>
          <w:szCs w:val="20"/>
          <w:lang w:val="en-US"/>
        </w:rPr>
      </w:pPr>
      <w:r w:rsidRPr="00464FC9">
        <w:rPr>
          <w:color w:val="000000" w:themeColor="text1"/>
          <w:sz w:val="20"/>
          <w:szCs w:val="20"/>
          <w:lang w:val="en-US"/>
        </w:rPr>
        <w:lastRenderedPageBreak/>
        <w:t xml:space="preserve">The results of TGA/DSC cycles on 1.2 mm </w:t>
      </w:r>
      <w:r w:rsidR="008B4394" w:rsidRPr="00464FC9">
        <w:rPr>
          <w:color w:val="000000" w:themeColor="text1"/>
          <w:sz w:val="20"/>
          <w:szCs w:val="20"/>
          <w:lang w:val="en-US"/>
        </w:rPr>
        <w:t xml:space="preserve">diameter </w:t>
      </w:r>
      <w:r w:rsidRPr="00464FC9">
        <w:rPr>
          <w:color w:val="000000" w:themeColor="text1"/>
          <w:sz w:val="20"/>
          <w:szCs w:val="20"/>
          <w:lang w:val="en-US"/>
        </w:rPr>
        <w:t>granules showed that the storage capacities of the grains depend on the amount of ettringite, but the hydration energies of the four materials tested are similar, as if their internal composition had no impact on the hydration kinetics.</w:t>
      </w:r>
      <w:r w:rsidR="005A0F84" w:rsidRPr="00464FC9">
        <w:rPr>
          <w:color w:val="000000" w:themeColor="text1"/>
          <w:sz w:val="20"/>
          <w:szCs w:val="20"/>
          <w:lang w:val="en-US"/>
        </w:rPr>
        <w:t xml:space="preserve"> Indeed, variations in porosity, specific surface area, and ettringite content </w:t>
      </w:r>
      <w:r w:rsidR="009A3D09" w:rsidRPr="00464FC9">
        <w:rPr>
          <w:color w:val="000000" w:themeColor="text1"/>
          <w:sz w:val="20"/>
          <w:szCs w:val="20"/>
          <w:lang w:val="en-US"/>
        </w:rPr>
        <w:t>show no clear correlation with the hydration energy of the grains.</w:t>
      </w:r>
    </w:p>
    <w:p w14:paraId="20269136" w14:textId="5BAAC166" w:rsidR="00DF5AB4" w:rsidRDefault="00753C92" w:rsidP="005A0F84">
      <w:pPr>
        <w:spacing w:after="160" w:line="276" w:lineRule="auto"/>
        <w:jc w:val="both"/>
        <w:rPr>
          <w:color w:val="000000" w:themeColor="text1"/>
          <w:sz w:val="20"/>
          <w:szCs w:val="20"/>
          <w:lang w:val="en-US"/>
        </w:rPr>
      </w:pPr>
      <w:r w:rsidRPr="00464FC9">
        <w:rPr>
          <w:color w:val="000000" w:themeColor="text1"/>
          <w:sz w:val="20"/>
          <w:szCs w:val="20"/>
          <w:lang w:val="en-US"/>
        </w:rPr>
        <w:t>The SEM images presented in Figure 3 support the explanation that t</w:t>
      </w:r>
      <w:r w:rsidR="005A0F84" w:rsidRPr="00464FC9">
        <w:rPr>
          <w:color w:val="000000" w:themeColor="text1"/>
          <w:sz w:val="20"/>
          <w:szCs w:val="20"/>
          <w:lang w:val="en-US"/>
        </w:rPr>
        <w:t xml:space="preserve">his phenomenon </w:t>
      </w:r>
      <w:r w:rsidRPr="00464FC9">
        <w:rPr>
          <w:color w:val="000000" w:themeColor="text1"/>
          <w:sz w:val="20"/>
          <w:szCs w:val="20"/>
          <w:lang w:val="en-US"/>
        </w:rPr>
        <w:t>is due to the</w:t>
      </w:r>
      <w:r w:rsidR="005A0F84" w:rsidRPr="00464FC9">
        <w:rPr>
          <w:color w:val="000000" w:themeColor="text1"/>
          <w:sz w:val="20"/>
          <w:szCs w:val="20"/>
          <w:lang w:val="en-US"/>
        </w:rPr>
        <w:t xml:space="preserve"> significant ettringite formation on the grain surface, as well as the hypothesis of a predominant hydration reaction at the surface</w:t>
      </w:r>
      <w:r w:rsidR="00737B09" w:rsidRPr="00464FC9">
        <w:rPr>
          <w:color w:val="000000" w:themeColor="text1"/>
          <w:sz w:val="20"/>
          <w:szCs w:val="20"/>
          <w:lang w:val="en-US"/>
        </w:rPr>
        <w:t xml:space="preserve">. </w:t>
      </w:r>
      <w:r w:rsidR="005154D3" w:rsidRPr="00464FC9">
        <w:rPr>
          <w:color w:val="000000" w:themeColor="text1"/>
          <w:sz w:val="20"/>
          <w:szCs w:val="20"/>
          <w:lang w:val="en-US"/>
        </w:rPr>
        <w:t>It</w:t>
      </w:r>
      <w:r w:rsidR="005A0F84" w:rsidRPr="00464FC9">
        <w:rPr>
          <w:color w:val="000000" w:themeColor="text1"/>
          <w:sz w:val="20"/>
          <w:szCs w:val="20"/>
          <w:lang w:val="en-US"/>
        </w:rPr>
        <w:t xml:space="preserve"> lead</w:t>
      </w:r>
      <w:r w:rsidR="00737B09" w:rsidRPr="00464FC9">
        <w:rPr>
          <w:color w:val="000000" w:themeColor="text1"/>
          <w:sz w:val="20"/>
          <w:szCs w:val="20"/>
          <w:lang w:val="en-US"/>
        </w:rPr>
        <w:t>s</w:t>
      </w:r>
      <w:r w:rsidR="005A0F84" w:rsidRPr="00464FC9">
        <w:rPr>
          <w:color w:val="000000" w:themeColor="text1"/>
          <w:sz w:val="20"/>
          <w:szCs w:val="20"/>
          <w:lang w:val="en-US"/>
        </w:rPr>
        <w:t xml:space="preserve"> to equivalent hydration energies for the four materials tested</w:t>
      </w:r>
      <w:r w:rsidR="00664489" w:rsidRPr="00464FC9">
        <w:rPr>
          <w:color w:val="000000" w:themeColor="text1"/>
          <w:sz w:val="20"/>
          <w:szCs w:val="20"/>
          <w:lang w:val="en-US"/>
        </w:rPr>
        <w:t>.</w:t>
      </w:r>
      <w:r w:rsidR="005A0F84" w:rsidRPr="00464FC9">
        <w:rPr>
          <w:color w:val="000000" w:themeColor="text1"/>
          <w:lang w:val="en-US"/>
        </w:rPr>
        <w:t xml:space="preserve"> </w:t>
      </w:r>
      <w:r w:rsidR="005A0F84" w:rsidRPr="00464FC9">
        <w:rPr>
          <w:color w:val="000000" w:themeColor="text1"/>
          <w:sz w:val="20"/>
          <w:szCs w:val="20"/>
          <w:lang w:val="en-US"/>
        </w:rPr>
        <w:t xml:space="preserve">Indeed, </w:t>
      </w:r>
      <w:r w:rsidR="008077C1" w:rsidRPr="00464FC9">
        <w:rPr>
          <w:color w:val="000000" w:themeColor="text1"/>
          <w:sz w:val="20"/>
          <w:szCs w:val="20"/>
          <w:lang w:val="en-US"/>
        </w:rPr>
        <w:t xml:space="preserve">the expansion of ettringite needles on the surface of the grain shown in the Fig. 3 are promoted by the </w:t>
      </w:r>
      <w:r w:rsidR="005A0F84" w:rsidRPr="00464FC9">
        <w:rPr>
          <w:color w:val="000000" w:themeColor="text1"/>
          <w:sz w:val="20"/>
          <w:szCs w:val="20"/>
          <w:lang w:val="en-US"/>
        </w:rPr>
        <w:t>cur</w:t>
      </w:r>
      <w:r w:rsidR="008077C1" w:rsidRPr="00464FC9">
        <w:rPr>
          <w:color w:val="000000" w:themeColor="text1"/>
          <w:sz w:val="20"/>
          <w:szCs w:val="20"/>
          <w:lang w:val="en-US"/>
        </w:rPr>
        <w:t>e of</w:t>
      </w:r>
      <w:r w:rsidR="005A0F84" w:rsidRPr="00464FC9">
        <w:rPr>
          <w:color w:val="000000" w:themeColor="text1"/>
          <w:sz w:val="20"/>
          <w:szCs w:val="20"/>
          <w:lang w:val="en-US"/>
        </w:rPr>
        <w:t xml:space="preserve"> the grains </w:t>
      </w:r>
      <w:r w:rsidR="00200A8A" w:rsidRPr="00464FC9">
        <w:rPr>
          <w:color w:val="000000" w:themeColor="text1"/>
          <w:sz w:val="20"/>
          <w:szCs w:val="20"/>
          <w:lang w:val="en-US"/>
        </w:rPr>
        <w:t xml:space="preserve">produced by WG </w:t>
      </w:r>
      <w:r w:rsidR="005A0F84" w:rsidRPr="00464FC9">
        <w:rPr>
          <w:color w:val="000000" w:themeColor="text1"/>
          <w:sz w:val="20"/>
          <w:szCs w:val="20"/>
          <w:lang w:val="en-US"/>
        </w:rPr>
        <w:t xml:space="preserve">in a sealed, airtight container (RH &gt; 98 %). </w:t>
      </w:r>
      <w:r w:rsidR="00DF5AB4" w:rsidRPr="00464FC9">
        <w:rPr>
          <w:color w:val="000000" w:themeColor="text1"/>
          <w:sz w:val="20"/>
          <w:szCs w:val="20"/>
          <w:lang w:val="en-US"/>
        </w:rPr>
        <w:t>A</w:t>
      </w:r>
      <w:r w:rsidR="005A0F84" w:rsidRPr="00464FC9">
        <w:rPr>
          <w:color w:val="000000" w:themeColor="text1"/>
          <w:sz w:val="20"/>
          <w:szCs w:val="20"/>
          <w:lang w:val="en-US"/>
        </w:rPr>
        <w:t xml:space="preserve"> barrier layer</w:t>
      </w:r>
      <w:r w:rsidR="00DF5AB4" w:rsidRPr="00464FC9">
        <w:rPr>
          <w:color w:val="000000" w:themeColor="text1"/>
          <w:sz w:val="20"/>
          <w:szCs w:val="20"/>
          <w:lang w:val="en-US"/>
        </w:rPr>
        <w:t>, which</w:t>
      </w:r>
      <w:r w:rsidR="005A0F84" w:rsidRPr="00464FC9">
        <w:rPr>
          <w:color w:val="000000" w:themeColor="text1"/>
          <w:sz w:val="20"/>
          <w:szCs w:val="20"/>
          <w:lang w:val="en-US"/>
        </w:rPr>
        <w:t xml:space="preserve"> can block the diffusion of water vapor into the core of the grain during hydration,</w:t>
      </w:r>
      <w:r w:rsidR="00DF5AB4" w:rsidRPr="00464FC9">
        <w:rPr>
          <w:color w:val="000000" w:themeColor="text1"/>
          <w:sz w:val="20"/>
          <w:szCs w:val="20"/>
          <w:lang w:val="en-US"/>
        </w:rPr>
        <w:t xml:space="preserve"> is produced by the needle expansion and</w:t>
      </w:r>
      <w:r w:rsidR="005A0F84" w:rsidRPr="00464FC9">
        <w:rPr>
          <w:color w:val="000000" w:themeColor="text1"/>
          <w:sz w:val="20"/>
          <w:szCs w:val="20"/>
          <w:lang w:val="en-US"/>
        </w:rPr>
        <w:t xml:space="preserve"> thus limiting the reaction primarily to the outer layer.</w:t>
      </w:r>
    </w:p>
    <w:p w14:paraId="126053EB" w14:textId="77777777" w:rsidR="00252F50" w:rsidRPr="00464FC9" w:rsidRDefault="00252F50" w:rsidP="005A0F84">
      <w:pPr>
        <w:spacing w:after="160" w:line="276" w:lineRule="auto"/>
        <w:jc w:val="both"/>
        <w:rPr>
          <w:color w:val="000000" w:themeColor="text1"/>
          <w:sz w:val="20"/>
          <w:szCs w:val="20"/>
          <w:lang w:val="en-US"/>
        </w:rPr>
      </w:pPr>
    </w:p>
    <w:p w14:paraId="52AB3E0B" w14:textId="4074D73D" w:rsidR="005A0F84" w:rsidRPr="00464FC9" w:rsidRDefault="00F17DE5" w:rsidP="005A0F84">
      <w:pPr>
        <w:keepNext/>
        <w:spacing w:after="160" w:line="276" w:lineRule="auto"/>
        <w:jc w:val="both"/>
        <w:rPr>
          <w:color w:val="000000" w:themeColor="text1"/>
          <w:lang w:val="en-US"/>
        </w:rPr>
      </w:pPr>
      <w:r w:rsidRPr="00464FC9">
        <w:rPr>
          <w:noProof/>
          <w:color w:val="000000" w:themeColor="text1"/>
          <w:lang w:val="en-US"/>
        </w:rPr>
        <w:drawing>
          <wp:inline distT="0" distB="0" distL="0" distR="0" wp14:anchorId="4DF08E79" wp14:editId="173752EC">
            <wp:extent cx="5562600" cy="2571750"/>
            <wp:effectExtent l="0" t="0" r="0" b="0"/>
            <wp:docPr id="1874466496"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562600" cy="2571750"/>
                    </a:xfrm>
                    <a:prstGeom prst="rect">
                      <a:avLst/>
                    </a:prstGeom>
                    <a:noFill/>
                    <a:ln>
                      <a:noFill/>
                    </a:ln>
                  </pic:spPr>
                </pic:pic>
              </a:graphicData>
            </a:graphic>
          </wp:inline>
        </w:drawing>
      </w:r>
    </w:p>
    <w:p w14:paraId="25D1CF07" w14:textId="1C9053CF" w:rsidR="005A0F84" w:rsidRPr="00464FC9" w:rsidRDefault="005A0F84" w:rsidP="00C32DC2">
      <w:pPr>
        <w:pStyle w:val="Lgende"/>
        <w:spacing w:line="276" w:lineRule="auto"/>
        <w:rPr>
          <w:b/>
          <w:bCs/>
          <w:i w:val="0"/>
          <w:iCs w:val="0"/>
          <w:color w:val="000000" w:themeColor="text1"/>
          <w:sz w:val="16"/>
          <w:szCs w:val="16"/>
        </w:rPr>
      </w:pPr>
      <w:r w:rsidRPr="00464FC9">
        <w:rPr>
          <w:b/>
          <w:bCs/>
          <w:i w:val="0"/>
          <w:iCs w:val="0"/>
          <w:color w:val="000000" w:themeColor="text1"/>
          <w:sz w:val="16"/>
          <w:szCs w:val="16"/>
        </w:rPr>
        <w:t>Fig</w:t>
      </w:r>
      <w:r w:rsidR="00C32DC2" w:rsidRPr="00464FC9">
        <w:rPr>
          <w:b/>
          <w:bCs/>
          <w:i w:val="0"/>
          <w:iCs w:val="0"/>
          <w:color w:val="000000" w:themeColor="text1"/>
          <w:sz w:val="16"/>
          <w:szCs w:val="16"/>
        </w:rPr>
        <w:t>.</w:t>
      </w:r>
      <w:r w:rsidRPr="00464FC9">
        <w:rPr>
          <w:b/>
          <w:bCs/>
          <w:i w:val="0"/>
          <w:iCs w:val="0"/>
          <w:color w:val="000000" w:themeColor="text1"/>
          <w:sz w:val="16"/>
          <w:szCs w:val="16"/>
        </w:rPr>
        <w:t xml:space="preserve"> </w:t>
      </w:r>
      <w:r w:rsidRPr="00464FC9">
        <w:rPr>
          <w:b/>
          <w:bCs/>
          <w:i w:val="0"/>
          <w:iCs w:val="0"/>
          <w:color w:val="000000" w:themeColor="text1"/>
          <w:sz w:val="16"/>
          <w:szCs w:val="16"/>
        </w:rPr>
        <w:fldChar w:fldCharType="begin"/>
      </w:r>
      <w:r w:rsidRPr="00464FC9">
        <w:rPr>
          <w:b/>
          <w:bCs/>
          <w:i w:val="0"/>
          <w:iCs w:val="0"/>
          <w:color w:val="000000" w:themeColor="text1"/>
          <w:sz w:val="16"/>
          <w:szCs w:val="16"/>
        </w:rPr>
        <w:instrText xml:space="preserve"> SEQ Figure \* ARABIC </w:instrText>
      </w:r>
      <w:r w:rsidRPr="00464FC9">
        <w:rPr>
          <w:b/>
          <w:bCs/>
          <w:i w:val="0"/>
          <w:iCs w:val="0"/>
          <w:color w:val="000000" w:themeColor="text1"/>
          <w:sz w:val="16"/>
          <w:szCs w:val="16"/>
        </w:rPr>
        <w:fldChar w:fldCharType="separate"/>
      </w:r>
      <w:r w:rsidRPr="00464FC9">
        <w:rPr>
          <w:b/>
          <w:bCs/>
          <w:i w:val="0"/>
          <w:iCs w:val="0"/>
          <w:noProof/>
          <w:color w:val="000000" w:themeColor="text1"/>
          <w:sz w:val="16"/>
          <w:szCs w:val="16"/>
        </w:rPr>
        <w:t>3</w:t>
      </w:r>
      <w:r w:rsidRPr="00464FC9">
        <w:rPr>
          <w:b/>
          <w:bCs/>
          <w:i w:val="0"/>
          <w:iCs w:val="0"/>
          <w:color w:val="000000" w:themeColor="text1"/>
          <w:sz w:val="16"/>
          <w:szCs w:val="16"/>
        </w:rPr>
        <w:fldChar w:fldCharType="end"/>
      </w:r>
      <w:r w:rsidRPr="00464FC9">
        <w:rPr>
          <w:b/>
          <w:bCs/>
          <w:i w:val="0"/>
          <w:iCs w:val="0"/>
          <w:color w:val="000000" w:themeColor="text1"/>
          <w:sz w:val="16"/>
          <w:szCs w:val="16"/>
        </w:rPr>
        <w:t>:</w:t>
      </w:r>
      <w:r w:rsidR="009A3D09" w:rsidRPr="00464FC9">
        <w:rPr>
          <w:b/>
          <w:bCs/>
          <w:i w:val="0"/>
          <w:iCs w:val="0"/>
          <w:color w:val="000000" w:themeColor="text1"/>
          <w:sz w:val="16"/>
          <w:szCs w:val="16"/>
        </w:rPr>
        <w:t xml:space="preserve"> </w:t>
      </w:r>
      <w:r w:rsidRPr="00464FC9">
        <w:rPr>
          <w:b/>
          <w:bCs/>
          <w:i w:val="0"/>
          <w:iCs w:val="0"/>
          <w:color w:val="000000" w:themeColor="text1"/>
          <w:sz w:val="16"/>
          <w:szCs w:val="16"/>
        </w:rPr>
        <w:t>SEM images of a) the surface of C80P20g-A grain</w:t>
      </w:r>
      <w:r w:rsidR="009A3D09" w:rsidRPr="00464FC9">
        <w:rPr>
          <w:b/>
          <w:bCs/>
          <w:i w:val="0"/>
          <w:iCs w:val="0"/>
          <w:color w:val="000000" w:themeColor="text1"/>
          <w:sz w:val="16"/>
          <w:szCs w:val="16"/>
        </w:rPr>
        <w:t xml:space="preserve"> by CHCP</w:t>
      </w:r>
      <w:r w:rsidRPr="00464FC9">
        <w:rPr>
          <w:b/>
          <w:bCs/>
          <w:i w:val="0"/>
          <w:iCs w:val="0"/>
          <w:color w:val="000000" w:themeColor="text1"/>
          <w:sz w:val="16"/>
          <w:szCs w:val="16"/>
        </w:rPr>
        <w:t>; b) the surface of C80P20p-A granule</w:t>
      </w:r>
      <w:r w:rsidR="009A3D09" w:rsidRPr="00464FC9">
        <w:rPr>
          <w:b/>
          <w:bCs/>
          <w:i w:val="0"/>
          <w:iCs w:val="0"/>
          <w:color w:val="000000" w:themeColor="text1"/>
          <w:sz w:val="16"/>
          <w:szCs w:val="16"/>
        </w:rPr>
        <w:t xml:space="preserve"> by WG</w:t>
      </w:r>
    </w:p>
    <w:p w14:paraId="4874DBFD" w14:textId="77777777" w:rsidR="00252F50" w:rsidRDefault="00252F50">
      <w:pPr>
        <w:pStyle w:val="SWCText"/>
        <w:rPr>
          <w:color w:val="000000" w:themeColor="text1"/>
        </w:rPr>
      </w:pPr>
    </w:p>
    <w:p w14:paraId="6E028441" w14:textId="4838DCA1" w:rsidR="00BF021A" w:rsidRPr="00464FC9" w:rsidRDefault="009A3D09">
      <w:pPr>
        <w:pStyle w:val="SWCText"/>
        <w:rPr>
          <w:color w:val="000000" w:themeColor="text1"/>
          <w:szCs w:val="20"/>
          <w:lang w:val="en-GB"/>
        </w:rPr>
      </w:pPr>
      <w:r w:rsidRPr="00464FC9">
        <w:rPr>
          <w:color w:val="000000" w:themeColor="text1"/>
        </w:rPr>
        <w:t>Heat of hydration values ​​range from 480 J/g to 601 J/g for materials C80P20p-G2 and C80P20g-A, respectively. Materials C80P20p-A and C80P20p-D show intermediate values, with hydration energies of 501 J/g and 540 J/g, respectively</w:t>
      </w:r>
      <w:r w:rsidR="00544048" w:rsidRPr="00464FC9">
        <w:rPr>
          <w:color w:val="000000" w:themeColor="text1"/>
        </w:rPr>
        <w:t>.</w:t>
      </w:r>
      <w:r w:rsidR="00440EF4" w:rsidRPr="00464FC9">
        <w:rPr>
          <w:color w:val="000000" w:themeColor="text1"/>
        </w:rPr>
        <w:t xml:space="preserve"> </w:t>
      </w:r>
      <w:r w:rsidRPr="00464FC9">
        <w:rPr>
          <w:color w:val="000000" w:themeColor="text1"/>
        </w:rPr>
        <w:t>T</w:t>
      </w:r>
      <w:r w:rsidR="00440EF4" w:rsidRPr="00464FC9">
        <w:rPr>
          <w:color w:val="000000" w:themeColor="text1"/>
        </w:rPr>
        <w:t xml:space="preserve">heir </w:t>
      </w:r>
      <w:r w:rsidR="00452029" w:rsidRPr="00464FC9">
        <w:rPr>
          <w:color w:val="000000" w:themeColor="text1"/>
        </w:rPr>
        <w:t>energy densit</w:t>
      </w:r>
      <w:r w:rsidR="00440EF4" w:rsidRPr="00464FC9">
        <w:rPr>
          <w:color w:val="000000" w:themeColor="text1"/>
        </w:rPr>
        <w:t xml:space="preserve">ies </w:t>
      </w:r>
      <w:r w:rsidRPr="00464FC9">
        <w:rPr>
          <w:color w:val="000000" w:themeColor="text1"/>
        </w:rPr>
        <w:t>can then be</w:t>
      </w:r>
      <w:r w:rsidR="00440EF4" w:rsidRPr="00464FC9">
        <w:rPr>
          <w:color w:val="000000" w:themeColor="text1"/>
        </w:rPr>
        <w:t xml:space="preserve"> estimated by using the bulk density of each material:</w:t>
      </w:r>
      <w:r w:rsidR="00452029" w:rsidRPr="00464FC9">
        <w:rPr>
          <w:color w:val="000000" w:themeColor="text1"/>
        </w:rPr>
        <w:t xml:space="preserve"> the volumetric estimation identifies </w:t>
      </w:r>
      <w:r w:rsidR="00452029" w:rsidRPr="00464FC9">
        <w:rPr>
          <w:color w:val="000000" w:themeColor="text1"/>
          <w:szCs w:val="20"/>
        </w:rPr>
        <w:t>C80P20p-A as having the highest energy density of 146 kWh/m³, the results across all four materials are uniform, with a standard deviation of 8.4 kWh/m³.</w:t>
      </w:r>
      <w:r w:rsidR="006062DB" w:rsidRPr="00464FC9">
        <w:rPr>
          <w:color w:val="000000" w:themeColor="text1"/>
          <w:szCs w:val="20"/>
        </w:rPr>
        <w:t xml:space="preserve"> </w:t>
      </w:r>
      <w:r w:rsidR="00A06AB2" w:rsidRPr="00464FC9">
        <w:rPr>
          <w:color w:val="000000" w:themeColor="text1"/>
          <w:szCs w:val="20"/>
        </w:rPr>
        <w:t>The results of hydration energ</w:t>
      </w:r>
      <w:r w:rsidR="00AE624A" w:rsidRPr="00464FC9">
        <w:rPr>
          <w:color w:val="000000" w:themeColor="text1"/>
          <w:szCs w:val="20"/>
        </w:rPr>
        <w:t>y</w:t>
      </w:r>
      <w:r w:rsidR="00A06AB2" w:rsidRPr="00464FC9">
        <w:rPr>
          <w:color w:val="000000" w:themeColor="text1"/>
          <w:szCs w:val="20"/>
        </w:rPr>
        <w:t xml:space="preserve"> over 50 cycles indicate that the energy density of the material remains constant over 50 cycles</w:t>
      </w:r>
      <w:r w:rsidR="00AE624A" w:rsidRPr="00464FC9">
        <w:rPr>
          <w:color w:val="000000" w:themeColor="text1"/>
          <w:szCs w:val="20"/>
        </w:rPr>
        <w:t xml:space="preserve"> with an energy density of </w:t>
      </w:r>
      <w:r w:rsidR="00A06AB2" w:rsidRPr="00464FC9">
        <w:rPr>
          <w:color w:val="000000" w:themeColor="text1"/>
          <w:szCs w:val="20"/>
        </w:rPr>
        <w:t>5</w:t>
      </w:r>
      <w:r w:rsidR="000B1386" w:rsidRPr="00464FC9">
        <w:rPr>
          <w:color w:val="000000" w:themeColor="text1"/>
          <w:szCs w:val="20"/>
        </w:rPr>
        <w:t>19</w:t>
      </w:r>
      <w:r w:rsidR="00A06AB2" w:rsidRPr="00464FC9">
        <w:rPr>
          <w:color w:val="000000" w:themeColor="text1"/>
          <w:szCs w:val="20"/>
        </w:rPr>
        <w:t xml:space="preserve"> J/g, or 14</w:t>
      </w:r>
      <w:r w:rsidR="00AE624A" w:rsidRPr="00464FC9">
        <w:rPr>
          <w:color w:val="000000" w:themeColor="text1"/>
          <w:szCs w:val="20"/>
        </w:rPr>
        <w:t>5</w:t>
      </w:r>
      <w:r w:rsidR="00A06AB2" w:rsidRPr="00464FC9">
        <w:rPr>
          <w:color w:val="000000" w:themeColor="text1"/>
          <w:szCs w:val="20"/>
        </w:rPr>
        <w:t xml:space="preserve"> kWh/m³</w:t>
      </w:r>
      <w:r w:rsidR="008B4394" w:rsidRPr="00464FC9">
        <w:rPr>
          <w:color w:val="000000" w:themeColor="text1"/>
          <w:szCs w:val="20"/>
        </w:rPr>
        <w:t xml:space="preserve"> for the C80P20p-G2 granules</w:t>
      </w:r>
      <w:r w:rsidR="00A06AB2" w:rsidRPr="00464FC9">
        <w:rPr>
          <w:color w:val="000000" w:themeColor="text1"/>
          <w:szCs w:val="20"/>
        </w:rPr>
        <w:t>.</w:t>
      </w:r>
      <w:r w:rsidR="00005887" w:rsidRPr="00464FC9">
        <w:rPr>
          <w:color w:val="000000" w:themeColor="text1"/>
          <w:szCs w:val="20"/>
        </w:rPr>
        <w:t xml:space="preserve"> </w:t>
      </w:r>
      <w:r w:rsidR="00005887" w:rsidRPr="00464FC9">
        <w:rPr>
          <w:color w:val="000000" w:themeColor="text1"/>
          <w:szCs w:val="20"/>
          <w:lang w:val="en-GB"/>
        </w:rPr>
        <w:t xml:space="preserve">The hydration energy after 50 cycles is higher than the energy after manufacturing. There is greater mass gain, and the energy in kJ/mol of water is higher. These results suggest that a greater quantity of ettringite reacted during the test on the material aged by 50 cycles. Indeed, the ettringite dehydration/rehydration mechanism can promote the formation of secondary ettringite, particularly at the solid–gas interface </w:t>
      </w:r>
      <w:r w:rsidR="00005887" w:rsidRPr="00464FC9">
        <w:rPr>
          <w:color w:val="000000" w:themeColor="text1"/>
          <w:szCs w:val="20"/>
          <w:lang w:val="en-GB"/>
        </w:rPr>
        <w:fldChar w:fldCharType="begin"/>
      </w:r>
      <w:r w:rsidR="00005887" w:rsidRPr="00464FC9">
        <w:rPr>
          <w:color w:val="000000" w:themeColor="text1"/>
          <w:szCs w:val="20"/>
          <w:lang w:val="en-GB"/>
        </w:rPr>
        <w:instrText xml:space="preserve"> ADDIN ZOTERO_ITEM CSL_CITATION {"citationID":"NmqZ6S2y","properties":{"formattedCitation":"(Collepardi, 2003)","plainCitation":"(Collepardi, 2003)","noteIndex":0},"citationItems":[{"id":2431,"uris":["http://zotero.org/users/19179360/items/JRWWCD9V"],"itemData":{"id":2431,"type":"article-journal","abstract":"The paper presents a critical review of the sulphate attack related to ettringite formation. This process is associated with expansion. However, not necessarily any ettringite-related expansion is related to the sulphate attack. For example, early ettringite formation which occurs immediately (within hours) in a plastic fresh mixture does not produce any damaging expansion and is associated with the regulation of setting time of Portland cement paste. Expansion after the hardening of cement paste can be advantageously used for the development of chemical prestress in expansive cements. Delayed ettringite formation (DEF) occurs at late ages and the related heterogeneous expansion in a hardened concrete can produce cracking and spalling. Two diﬀerent types of DEFare examined depending on the sulphate source: DEFcaused by external sulphate attack or internal sulphate attack.","container-title":"Cement and Concrete Composites","DOI":"10.1016/S0958-9465(02)00080-X","ISSN":"09589465","issue":"4-5","journalAbbreviation":"Cement and Concrete Composites","language":"en","license":"https://www.elsevier.com/tdm/userlicense/1.0/","page":"401-407","source":"DOI.org (Crossref)","title":"A state-of-the-art review on delayed ettringite attack on concrete","volume":"25","author":[{"family":"Collepardi","given":"M."}],"issued":{"date-parts":[["2003",5]]}}}],"schema":"https://github.com/citation-style-language/schema/raw/master/csl-citation.json"} </w:instrText>
      </w:r>
      <w:r w:rsidR="00005887" w:rsidRPr="00464FC9">
        <w:rPr>
          <w:color w:val="000000" w:themeColor="text1"/>
          <w:szCs w:val="20"/>
          <w:lang w:val="en-GB"/>
        </w:rPr>
        <w:fldChar w:fldCharType="separate"/>
      </w:r>
      <w:r w:rsidR="00005887" w:rsidRPr="00464FC9">
        <w:rPr>
          <w:color w:val="000000" w:themeColor="text1"/>
          <w:lang w:val="en-GB"/>
        </w:rPr>
        <w:t>(Collepardi, 2003)</w:t>
      </w:r>
      <w:r w:rsidR="00005887" w:rsidRPr="00464FC9">
        <w:rPr>
          <w:color w:val="000000" w:themeColor="text1"/>
          <w:szCs w:val="20"/>
          <w:lang w:val="en-GB"/>
        </w:rPr>
        <w:fldChar w:fldCharType="end"/>
      </w:r>
      <w:r w:rsidR="00005887" w:rsidRPr="00464FC9">
        <w:rPr>
          <w:color w:val="000000" w:themeColor="text1"/>
          <w:szCs w:val="20"/>
          <w:lang w:val="en-GB"/>
        </w:rPr>
        <w:t>.</w:t>
      </w:r>
    </w:p>
    <w:p w14:paraId="3E0ED428" w14:textId="23756587" w:rsidR="00C2082E" w:rsidRPr="00464FC9" w:rsidRDefault="006062DB">
      <w:pPr>
        <w:pStyle w:val="SWCText"/>
        <w:rPr>
          <w:color w:val="000000" w:themeColor="text1"/>
          <w:szCs w:val="20"/>
        </w:rPr>
      </w:pPr>
      <w:r w:rsidRPr="00464FC9">
        <w:rPr>
          <w:color w:val="000000" w:themeColor="text1"/>
          <w:szCs w:val="20"/>
        </w:rPr>
        <w:t xml:space="preserve">The </w:t>
      </w:r>
      <w:r w:rsidR="00C2082E" w:rsidRPr="00464FC9">
        <w:rPr>
          <w:color w:val="000000" w:themeColor="text1"/>
          <w:szCs w:val="20"/>
        </w:rPr>
        <w:t>development of a wet granulation process using cement to produce a self-supporting, ettringite-rich cementitious material</w:t>
      </w:r>
      <w:r w:rsidRPr="00464FC9">
        <w:rPr>
          <w:color w:val="000000" w:themeColor="text1"/>
          <w:szCs w:val="20"/>
        </w:rPr>
        <w:t xml:space="preserve"> is the main novelty of this study</w:t>
      </w:r>
      <w:r w:rsidR="00C2082E" w:rsidRPr="00464FC9">
        <w:rPr>
          <w:color w:val="000000" w:themeColor="text1"/>
          <w:szCs w:val="20"/>
        </w:rPr>
        <w:t xml:space="preserve">. </w:t>
      </w:r>
      <w:r w:rsidR="00E272F6" w:rsidRPr="00464FC9">
        <w:rPr>
          <w:color w:val="000000" w:themeColor="text1"/>
          <w:szCs w:val="20"/>
        </w:rPr>
        <w:t xml:space="preserve">Indeed, crushed cement paste or foam as </w:t>
      </w:r>
      <w:r w:rsidR="00C2082E" w:rsidRPr="00464FC9">
        <w:rPr>
          <w:color w:val="000000" w:themeColor="text1"/>
          <w:szCs w:val="20"/>
        </w:rPr>
        <w:t>processes for producing ettringite from cement for thermochemical heat storage applications, are well-established. This study presents a new material with high thermochemical potential; its spherical shape and controllable diameter</w:t>
      </w:r>
      <w:r w:rsidR="00E311D3" w:rsidRPr="00464FC9">
        <w:rPr>
          <w:color w:val="000000" w:themeColor="text1"/>
          <w:szCs w:val="20"/>
        </w:rPr>
        <w:t xml:space="preserve"> </w:t>
      </w:r>
      <w:r w:rsidR="00E311D3" w:rsidRPr="00464FC9">
        <w:rPr>
          <w:color w:val="000000" w:themeColor="text1"/>
        </w:rPr>
        <w:t xml:space="preserve">are expected to optimize granule packing and </w:t>
      </w:r>
      <w:r w:rsidR="0005433D" w:rsidRPr="00464FC9">
        <w:rPr>
          <w:color w:val="000000" w:themeColor="text1"/>
        </w:rPr>
        <w:t xml:space="preserve">thus resulting in better stress distribution to provide good mechanical stability </w:t>
      </w:r>
      <w:r w:rsidR="00E311D3" w:rsidRPr="00464FC9">
        <w:rPr>
          <w:color w:val="000000" w:themeColor="text1"/>
        </w:rPr>
        <w:t xml:space="preserve">and homogeneous intergranular porosity. </w:t>
      </w:r>
      <w:r w:rsidR="00C2082E" w:rsidRPr="00464FC9">
        <w:rPr>
          <w:color w:val="000000" w:themeColor="text1"/>
          <w:szCs w:val="20"/>
        </w:rPr>
        <w:t>These combined characteristics make the material a promising candidate for easy integration into systems such as fixed-bed reactors.</w:t>
      </w:r>
    </w:p>
    <w:p w14:paraId="625D0CFF" w14:textId="6EA3432A" w:rsidR="00D060CA" w:rsidRPr="00464FC9" w:rsidRDefault="00D060CA" w:rsidP="00D060CA">
      <w:pPr>
        <w:pStyle w:val="SWCHeading1"/>
        <w:rPr>
          <w:color w:val="000000" w:themeColor="text1"/>
        </w:rPr>
      </w:pPr>
      <w:r w:rsidRPr="00464FC9">
        <w:rPr>
          <w:color w:val="000000" w:themeColor="text1"/>
        </w:rPr>
        <w:lastRenderedPageBreak/>
        <w:t>Conclusion</w:t>
      </w:r>
    </w:p>
    <w:p w14:paraId="4410ABDF" w14:textId="40BB31E4" w:rsidR="00B86AEA" w:rsidRPr="00464FC9" w:rsidRDefault="00DA324D" w:rsidP="00B86AEA">
      <w:pPr>
        <w:pStyle w:val="SWCText"/>
        <w:rPr>
          <w:color w:val="000000" w:themeColor="text1"/>
          <w:szCs w:val="20"/>
        </w:rPr>
      </w:pPr>
      <w:r w:rsidRPr="00464FC9">
        <w:rPr>
          <w:color w:val="000000" w:themeColor="text1"/>
        </w:rPr>
        <w:t>The</w:t>
      </w:r>
      <w:r w:rsidR="0005433D" w:rsidRPr="00464FC9">
        <w:rPr>
          <w:color w:val="000000" w:themeColor="text1"/>
        </w:rPr>
        <w:t xml:space="preserve"> demonstration of the feasibility of the one-step wet granulation </w:t>
      </w:r>
      <w:r w:rsidR="002B7888" w:rsidRPr="00464FC9">
        <w:rPr>
          <w:color w:val="000000" w:themeColor="text1"/>
        </w:rPr>
        <w:t xml:space="preserve">technique as a </w:t>
      </w:r>
      <w:r w:rsidR="00FC2470" w:rsidRPr="00464FC9">
        <w:rPr>
          <w:color w:val="000000" w:themeColor="text1"/>
        </w:rPr>
        <w:t xml:space="preserve">high </w:t>
      </w:r>
      <w:r w:rsidR="00FC2470" w:rsidRPr="00464FC9">
        <w:rPr>
          <w:color w:val="000000" w:themeColor="text1"/>
          <w:szCs w:val="20"/>
        </w:rPr>
        <w:t>industrial manufacturing viability</w:t>
      </w:r>
      <w:r w:rsidR="00FC2470" w:rsidRPr="00464FC9">
        <w:rPr>
          <w:color w:val="000000" w:themeColor="text1"/>
        </w:rPr>
        <w:t xml:space="preserve"> </w:t>
      </w:r>
      <w:r w:rsidR="002B7888" w:rsidRPr="00464FC9">
        <w:rPr>
          <w:color w:val="000000" w:themeColor="text1"/>
        </w:rPr>
        <w:t xml:space="preserve">method </w:t>
      </w:r>
      <w:r w:rsidR="00FC2470" w:rsidRPr="00464FC9">
        <w:rPr>
          <w:color w:val="000000" w:themeColor="text1"/>
        </w:rPr>
        <w:t xml:space="preserve">is the major </w:t>
      </w:r>
      <w:r w:rsidR="0005433D" w:rsidRPr="00464FC9">
        <w:rPr>
          <w:color w:val="000000" w:themeColor="text1"/>
        </w:rPr>
        <w:t>outcome</w:t>
      </w:r>
      <w:r w:rsidR="00FC2470" w:rsidRPr="00464FC9">
        <w:rPr>
          <w:color w:val="000000" w:themeColor="text1"/>
        </w:rPr>
        <w:t xml:space="preserve"> of this work:</w:t>
      </w:r>
      <w:r w:rsidR="00FC2470" w:rsidRPr="00464FC9">
        <w:rPr>
          <w:color w:val="000000" w:themeColor="text1"/>
          <w:szCs w:val="20"/>
        </w:rPr>
        <w:t xml:space="preserve"> the WG process significantly reduces manufacturing time and complexity while enhancing safety</w:t>
      </w:r>
      <w:r w:rsidR="00F4635C" w:rsidRPr="00464FC9">
        <w:rPr>
          <w:color w:val="000000" w:themeColor="text1"/>
          <w:szCs w:val="20"/>
        </w:rPr>
        <w:t xml:space="preserve"> when c</w:t>
      </w:r>
      <w:r w:rsidR="002B7888" w:rsidRPr="00464FC9">
        <w:rPr>
          <w:color w:val="000000" w:themeColor="text1"/>
          <w:szCs w:val="20"/>
        </w:rPr>
        <w:t xml:space="preserve">ompared </w:t>
      </w:r>
      <w:r w:rsidR="00F4635C" w:rsidRPr="00464FC9">
        <w:rPr>
          <w:color w:val="000000" w:themeColor="text1"/>
          <w:szCs w:val="20"/>
        </w:rPr>
        <w:t>to</w:t>
      </w:r>
      <w:r w:rsidR="002B7888" w:rsidRPr="00464FC9">
        <w:rPr>
          <w:color w:val="000000" w:themeColor="text1"/>
          <w:szCs w:val="20"/>
        </w:rPr>
        <w:t xml:space="preserve"> the multistage CHCP method.</w:t>
      </w:r>
      <w:r w:rsidR="005F4E0E" w:rsidRPr="00464FC9">
        <w:rPr>
          <w:color w:val="000000" w:themeColor="text1"/>
          <w:szCs w:val="20"/>
        </w:rPr>
        <w:t xml:space="preserve"> </w:t>
      </w:r>
      <w:r w:rsidRPr="00464FC9">
        <w:rPr>
          <w:color w:val="000000" w:themeColor="text1"/>
          <w:szCs w:val="20"/>
        </w:rPr>
        <w:t>The four selected materials differ in ettringite content, porosity and specific surface area. However, these differences have little impact on the hydration energy of the grains.</w:t>
      </w:r>
      <w:r w:rsidR="00670B09" w:rsidRPr="00464FC9">
        <w:rPr>
          <w:color w:val="000000" w:themeColor="text1"/>
          <w:szCs w:val="20"/>
        </w:rPr>
        <w:t xml:space="preserve"> These findings support the hypothesis of limiting hydration at the grain surface, which is covered with ettringite according to SEM images.</w:t>
      </w:r>
      <w:r w:rsidR="005F4E0E" w:rsidRPr="00464FC9">
        <w:rPr>
          <w:color w:val="000000" w:themeColor="text1"/>
          <w:szCs w:val="20"/>
        </w:rPr>
        <w:t xml:space="preserve"> </w:t>
      </w:r>
    </w:p>
    <w:p w14:paraId="2DB150A3" w14:textId="05F5D0F4" w:rsidR="00B86AEA" w:rsidRPr="00464FC9" w:rsidRDefault="00DE0048">
      <w:pPr>
        <w:spacing w:line="276" w:lineRule="auto"/>
        <w:jc w:val="both"/>
        <w:rPr>
          <w:color w:val="000000" w:themeColor="text1"/>
          <w:sz w:val="20"/>
          <w:szCs w:val="20"/>
          <w:lang w:val="en-US"/>
        </w:rPr>
      </w:pPr>
      <w:r w:rsidRPr="00464FC9">
        <w:rPr>
          <w:color w:val="000000" w:themeColor="text1"/>
          <w:sz w:val="20"/>
          <w:szCs w:val="20"/>
          <w:lang w:val="en-US"/>
        </w:rPr>
        <w:t xml:space="preserve">The C80P20p-A material developed and characterized in this study present higher energy density than the 117 kWh/m³ </w:t>
      </w:r>
      <w:r w:rsidRPr="00464FC9">
        <w:rPr>
          <w:color w:val="000000" w:themeColor="text1"/>
          <w:sz w:val="20"/>
          <w:szCs w:val="20"/>
          <w:lang w:val="en-US"/>
        </w:rPr>
        <w:fldChar w:fldCharType="begin"/>
      </w:r>
      <w:r w:rsidRPr="00464FC9">
        <w:rPr>
          <w:color w:val="000000" w:themeColor="text1"/>
          <w:sz w:val="20"/>
          <w:szCs w:val="20"/>
          <w:lang w:val="en-US"/>
        </w:rPr>
        <w:instrText xml:space="preserve"> ADDIN ZOTERO_ITEM CSL_CITATION {"citationID":"EGK0C665","properties":{"formattedCitation":"(Ndiaye et al., 2020)","plainCitation":"(Ndiaye et al., 2020)","noteIndex":0},"citationItems":[{"id":290,"uris":["http://zotero.org/users/local/gJ9mc1Ss/items/9B9LITSF","http://zotero.org/users/19179360/items/9B9LITSF"],"itemData":{"id":290,"type":"article-journal","abstract":"Energy storage systems are increasingly being used to improve energy performance in industry, transport and building. The storage of energy in the form of heat is widely used in the building sector in order to increase the use of solar energy, which is necessary to streamline energy management. The storage of excess summer solar energy appears to be a solution to compensate for the thermal energy deﬁcit in winter and to reduce the environmental and socio-economic impacts of buildings. Currently, there are several adsorbent materials capable of storing thermal energy but they use high temperature storage (around 200 °C). Ettringite is a common hydrate found in cement-based materials and has the advantage of storing energy at high density but at low temperature, around 60 °C. Portland cements used in most construction materials produce small percentages of ettringite but calcium sulfoaluminate cements (CSA) can produce much larger amounts of this compound, with fairly rapid kinetics. In this paper, the hydration of CSA-based ettringitic systems is investigated with a view to synthesizing a new heat storage material. The hydration of CSA paste samples, with and without the addition of gypsum and portlandite, constituents allowing the exclusive production of ettringite, was followed by XRD and TGA. The ettringitic system (ES1) containing CSA, gypsum and portlandite produced only 48% of ettringite with an unstable structure (swelling), so ES1 was not selected. However, the ettringitic system (ES2) containing only hydrated CSA could reach between 65% and 70% of ettringite with a very stable solid structure. In order to use the ES2 as heat storage material, it was necessary to improve its permeability, thus enhancing its storage capacity. Improving the material by foaming provided an aerated ettringitic system (AES2) with high permeability, appropriate for heat storage. This allowed the development of an ettringite-based material with high heat storage density in low temperature conditions. The heat storage prototype allowed reaching a storage density of 117 kWh/m3 with a heat storage yield of 71%.","container-title":"Construction and Building Materials","DOI":"10.1016/j.conbuildmat.2020.118130","ISSN":"09500618","journalAbbreviation":"Construction and Building Materials","language":"en","page":"118130","source":"DOI.org (Crossref)","title":"Development of a cementitious material for thermal energy storage at low temperature","volume":"242","author":[{"family":"Ndiaye","given":"Khadim"},{"family":"Cyr","given":"Martin"},{"family":"Ginestet","given":"Stéphane"}],"issued":{"date-parts":[["2020",5]]}}}],"schema":"https://github.com/citation-style-language/schema/raw/master/csl-citation.json"} </w:instrText>
      </w:r>
      <w:r w:rsidRPr="00464FC9">
        <w:rPr>
          <w:color w:val="000000" w:themeColor="text1"/>
          <w:sz w:val="20"/>
          <w:szCs w:val="20"/>
          <w:lang w:val="en-US"/>
        </w:rPr>
        <w:fldChar w:fldCharType="separate"/>
      </w:r>
      <w:r w:rsidRPr="00464FC9">
        <w:rPr>
          <w:color w:val="000000" w:themeColor="text1"/>
          <w:sz w:val="20"/>
          <w:szCs w:val="20"/>
          <w:lang w:val="en-US"/>
        </w:rPr>
        <w:t>(Ndiaye et al., 2020)</w:t>
      </w:r>
      <w:r w:rsidRPr="00464FC9">
        <w:rPr>
          <w:color w:val="000000" w:themeColor="text1"/>
          <w:sz w:val="20"/>
          <w:szCs w:val="20"/>
          <w:lang w:val="en-US"/>
        </w:rPr>
        <w:fldChar w:fldCharType="end"/>
      </w:r>
      <w:r w:rsidRPr="00464FC9">
        <w:rPr>
          <w:color w:val="000000" w:themeColor="text1"/>
          <w:sz w:val="20"/>
          <w:szCs w:val="20"/>
          <w:lang w:val="en-US"/>
        </w:rPr>
        <w:t xml:space="preserve"> and 104 kWh/m³ </w:t>
      </w:r>
      <w:r w:rsidRPr="00464FC9">
        <w:rPr>
          <w:color w:val="000000" w:themeColor="text1"/>
          <w:sz w:val="20"/>
          <w:szCs w:val="20"/>
          <w:lang w:val="en-US"/>
        </w:rPr>
        <w:fldChar w:fldCharType="begin"/>
      </w:r>
      <w:r w:rsidRPr="00464FC9">
        <w:rPr>
          <w:color w:val="000000" w:themeColor="text1"/>
          <w:sz w:val="20"/>
          <w:szCs w:val="20"/>
          <w:lang w:val="en-US"/>
        </w:rPr>
        <w:instrText xml:space="preserve"> ADDIN ZOTERO_ITEM CSL_CITATION {"citationID":"KLmIA1SZ","properties":{"formattedCitation":"(Chen et al., 2021a)","plainCitation":"(Chen et al., 2021a)","noteIndex":0},"citationItems":[{"id":294,"uris":["http://zotero.org/users/local/gJ9mc1Ss/items/GFS6XQ3X","http://zotero.org/users/19179360/items/GFS6XQ3X"],"itemData":{"id":294,"type":"article-journal","abstract":"The mismatch between renewable energy supply and demand requires energy storage technologies to work out the dilemma. In the thermal energy field, ettringite-based energy storage seems to be a good solution thanks to its high energy density and low material cost. It can store excess solar energy to meet the heating and domestic hot water demand in buildings. Therefore, the current work experimentally examines the energetic performance of an ettringite-based material made of commercial cements. The TG-DSC analysis shows the energy storage ca­ pacity of the investigated material is as high as 282 kWh/m3 original hydrated materials. Besides, the laboratory reactor tests prove the charging temperature is as low as 55–65◦C for ettringite. Under operating conditions, the average energy-releasing power during the full period is about 33.3 W/kg while the maximum power is about 915 W/kg original hydrated materials, which are significantly higher than most materials from the literature. The best volumetric energy-releasing density and the corresponding prototype storage density of the fixed-bed obtained are 176 kWh/m3 original hydrated materials and 104 kWh/m3, respectively.","container-title":"Journal of Energy Storage","DOI":"10.1016/j.est.2020.102159","ISSN":"2352152X","journalAbbreviation":"Journal of Energy Storage","language":"en","page":"102159","source":"DOI.org (Crossref)","title":"Characterization of an ettringite-based thermochemical energy storage material in an open-mode reactor","volume":"33","author":[{"family":"Chen","given":"B."},{"family":"Johannes","given":"K."},{"family":"Horgnies","given":"M."},{"family":"Morin","given":"V."},{"family":"Kuznik","given":"F."}],"issued":{"date-parts":[["2021",1]]}}}],"schema":"https://github.com/citation-style-language/schema/raw/master/csl-citation.json"} </w:instrText>
      </w:r>
      <w:r w:rsidRPr="00464FC9">
        <w:rPr>
          <w:color w:val="000000" w:themeColor="text1"/>
          <w:sz w:val="20"/>
          <w:szCs w:val="20"/>
          <w:lang w:val="en-US"/>
        </w:rPr>
        <w:fldChar w:fldCharType="separate"/>
      </w:r>
      <w:r w:rsidRPr="00464FC9">
        <w:rPr>
          <w:color w:val="000000" w:themeColor="text1"/>
          <w:sz w:val="20"/>
          <w:szCs w:val="20"/>
          <w:lang w:val="en-US"/>
        </w:rPr>
        <w:t>(Chen et al., 2021a)</w:t>
      </w:r>
      <w:r w:rsidRPr="00464FC9">
        <w:rPr>
          <w:color w:val="000000" w:themeColor="text1"/>
          <w:sz w:val="20"/>
          <w:szCs w:val="20"/>
          <w:lang w:val="en-US"/>
        </w:rPr>
        <w:fldChar w:fldCharType="end"/>
      </w:r>
      <w:r w:rsidRPr="00464FC9">
        <w:rPr>
          <w:color w:val="000000" w:themeColor="text1"/>
          <w:sz w:val="20"/>
          <w:szCs w:val="20"/>
          <w:lang w:val="en-US"/>
        </w:rPr>
        <w:t xml:space="preserve"> </w:t>
      </w:r>
      <w:r w:rsidR="00DA324D" w:rsidRPr="00464FC9">
        <w:rPr>
          <w:color w:val="000000" w:themeColor="text1"/>
          <w:sz w:val="20"/>
          <w:szCs w:val="20"/>
          <w:lang w:val="en-US"/>
        </w:rPr>
        <w:t xml:space="preserve">values reported in the literature at the reactor scale </w:t>
      </w:r>
      <w:r w:rsidRPr="00464FC9">
        <w:rPr>
          <w:color w:val="000000" w:themeColor="text1"/>
          <w:sz w:val="20"/>
          <w:szCs w:val="20"/>
          <w:lang w:val="en-US"/>
        </w:rPr>
        <w:t>with a</w:t>
      </w:r>
      <w:r w:rsidR="00B86AEA" w:rsidRPr="00464FC9">
        <w:rPr>
          <w:color w:val="000000" w:themeColor="text1"/>
          <w:sz w:val="20"/>
          <w:szCs w:val="20"/>
          <w:lang w:val="en-US"/>
        </w:rPr>
        <w:t xml:space="preserve"> calculated energy density of 146 kWh/m³. </w:t>
      </w:r>
      <w:r w:rsidR="00147798" w:rsidRPr="00464FC9">
        <w:rPr>
          <w:color w:val="000000" w:themeColor="text1"/>
          <w:sz w:val="20"/>
          <w:szCs w:val="20"/>
          <w:lang w:val="en-US"/>
        </w:rPr>
        <w:t>The calculated energy density material is extrapolated from a precision TGA/DSC analysis measurement</w:t>
      </w:r>
      <w:r w:rsidR="00147798" w:rsidRPr="00464FC9" w:rsidDel="00DE0048">
        <w:rPr>
          <w:color w:val="000000" w:themeColor="text1"/>
          <w:sz w:val="20"/>
          <w:szCs w:val="20"/>
          <w:lang w:val="en-US"/>
        </w:rPr>
        <w:t xml:space="preserve"> </w:t>
      </w:r>
      <w:r w:rsidR="00DA324D" w:rsidRPr="00464FC9">
        <w:rPr>
          <w:color w:val="000000" w:themeColor="text1"/>
          <w:sz w:val="20"/>
          <w:szCs w:val="20"/>
          <w:lang w:val="en-US"/>
        </w:rPr>
        <w:t>on two granules of</w:t>
      </w:r>
      <w:r w:rsidR="00B86AEA" w:rsidRPr="00464FC9">
        <w:rPr>
          <w:color w:val="000000" w:themeColor="text1"/>
          <w:sz w:val="20"/>
          <w:szCs w:val="20"/>
          <w:lang w:val="en-US"/>
        </w:rPr>
        <w:t xml:space="preserve"> C80P20p-A.</w:t>
      </w:r>
      <w:r w:rsidR="002111BC" w:rsidRPr="00464FC9">
        <w:rPr>
          <w:color w:val="000000" w:themeColor="text1"/>
          <w:sz w:val="20"/>
          <w:szCs w:val="20"/>
          <w:lang w:val="en-US"/>
        </w:rPr>
        <w:t xml:space="preserve"> To confirm the promising results of the C80P20p-A material as a granule for packed bed reactor, whether it is more effective than other ettringite-rich cementitious materials developed in previous studies, a</w:t>
      </w:r>
      <w:r w:rsidR="00B86AEA" w:rsidRPr="00464FC9">
        <w:rPr>
          <w:color w:val="000000" w:themeColor="text1"/>
          <w:sz w:val="20"/>
          <w:szCs w:val="20"/>
          <w:lang w:val="en-US"/>
        </w:rPr>
        <w:t xml:space="preserve"> reactor-scale test would be</w:t>
      </w:r>
      <w:r w:rsidR="00A04CBA" w:rsidRPr="00464FC9">
        <w:rPr>
          <w:color w:val="000000" w:themeColor="text1"/>
          <w:sz w:val="20"/>
          <w:szCs w:val="20"/>
          <w:lang w:val="en-US"/>
        </w:rPr>
        <w:t xml:space="preserve"> needed</w:t>
      </w:r>
      <w:r w:rsidR="00B86AEA" w:rsidRPr="00464FC9">
        <w:rPr>
          <w:color w:val="000000" w:themeColor="text1"/>
          <w:sz w:val="20"/>
          <w:szCs w:val="20"/>
          <w:lang w:val="en-US"/>
        </w:rPr>
        <w:t>.</w:t>
      </w:r>
      <w:r w:rsidR="00573270" w:rsidRPr="00464FC9">
        <w:rPr>
          <w:color w:val="000000" w:themeColor="text1"/>
          <w:sz w:val="20"/>
          <w:szCs w:val="20"/>
          <w:lang w:val="en-US"/>
        </w:rPr>
        <w:t xml:space="preserve"> This study highlights the</w:t>
      </w:r>
      <w:r w:rsidR="00970034" w:rsidRPr="00464FC9">
        <w:rPr>
          <w:color w:val="000000" w:themeColor="text1"/>
          <w:sz w:val="20"/>
          <w:szCs w:val="20"/>
          <w:lang w:val="en-US"/>
        </w:rPr>
        <w:t xml:space="preserve"> heat and mass</w:t>
      </w:r>
      <w:r w:rsidR="00573270" w:rsidRPr="00464FC9">
        <w:rPr>
          <w:color w:val="000000" w:themeColor="text1"/>
          <w:sz w:val="20"/>
          <w:szCs w:val="20"/>
          <w:lang w:val="en-US"/>
        </w:rPr>
        <w:t xml:space="preserve"> transfer limitations associated with this type of self-supporting thermochemical material. The use of wet granulation enables the production of spherical granules rich in surface ettringite, thereby offering high thermochemical/reactive potential.</w:t>
      </w:r>
    </w:p>
    <w:p w14:paraId="0AB60070" w14:textId="4E7AA9E5" w:rsidR="008B4394" w:rsidRPr="00B5795C" w:rsidRDefault="002B7888">
      <w:pPr>
        <w:pStyle w:val="SWCText"/>
        <w:spacing w:after="0"/>
        <w:rPr>
          <w:szCs w:val="20"/>
        </w:rPr>
      </w:pPr>
      <w:r w:rsidRPr="00464FC9">
        <w:rPr>
          <w:color w:val="000000" w:themeColor="text1"/>
          <w:szCs w:val="20"/>
        </w:rPr>
        <w:t xml:space="preserve">Since the reactivity is concentrated at the grain interface, the material is particularly vulnerable to surface degradation. </w:t>
      </w:r>
      <w:r w:rsidR="00727ED8" w:rsidRPr="00464FC9">
        <w:rPr>
          <w:color w:val="000000" w:themeColor="text1"/>
          <w:szCs w:val="20"/>
        </w:rPr>
        <w:t>A cyclability study revealed that the active layer is thermochemica</w:t>
      </w:r>
      <w:r w:rsidR="00727ED8" w:rsidRPr="00464FC9">
        <w:rPr>
          <w:szCs w:val="20"/>
        </w:rPr>
        <w:t>lly stable over 50 dehydration/hydration cycle</w:t>
      </w:r>
      <w:r w:rsidR="00AA4EB7" w:rsidRPr="00464FC9">
        <w:rPr>
          <w:szCs w:val="20"/>
        </w:rPr>
        <w:t>s</w:t>
      </w:r>
      <w:r w:rsidR="00727ED8" w:rsidRPr="00464FC9">
        <w:rPr>
          <w:szCs w:val="20"/>
        </w:rPr>
        <w:t xml:space="preserve">. </w:t>
      </w:r>
      <w:r w:rsidR="00B86AEA" w:rsidRPr="00464FC9">
        <w:rPr>
          <w:szCs w:val="20"/>
        </w:rPr>
        <w:t>Understanding how atmospheric exposure affects this critical reaction interface over repeated cycles is important for predicting the operational lifespan of these thermochemical storage systems.</w:t>
      </w:r>
    </w:p>
    <w:p w14:paraId="3EABC3EB" w14:textId="57E74289" w:rsidR="00D060CA" w:rsidRPr="00B5795C" w:rsidRDefault="00D060CA" w:rsidP="00D060CA">
      <w:pPr>
        <w:pStyle w:val="SWCHeading1"/>
      </w:pPr>
      <w:r w:rsidRPr="00B5795C">
        <w:t>References</w:t>
      </w:r>
    </w:p>
    <w:p w14:paraId="0F2F2A02" w14:textId="77777777" w:rsidR="00464FC9" w:rsidRPr="00464FC9" w:rsidRDefault="00085133" w:rsidP="00464FC9">
      <w:pPr>
        <w:pStyle w:val="Bibliographie"/>
        <w:rPr>
          <w:sz w:val="20"/>
        </w:rPr>
      </w:pPr>
      <w:r w:rsidRPr="00B5795C">
        <w:rPr>
          <w:sz w:val="20"/>
          <w:szCs w:val="20"/>
          <w:lang w:val="en-US"/>
        </w:rPr>
        <w:fldChar w:fldCharType="begin"/>
      </w:r>
      <w:r w:rsidR="00464FC9">
        <w:rPr>
          <w:sz w:val="20"/>
          <w:szCs w:val="20"/>
          <w:lang w:val="en-US"/>
        </w:rPr>
        <w:instrText xml:space="preserve"> ADDIN ZOTERO_BIBL {"uncited":[],"omitted":[],"custom":[]} CSL_BIBLIOGRAPHY </w:instrText>
      </w:r>
      <w:r w:rsidRPr="00B5795C">
        <w:rPr>
          <w:sz w:val="20"/>
          <w:szCs w:val="20"/>
          <w:lang w:val="en-US"/>
        </w:rPr>
        <w:fldChar w:fldCharType="separate"/>
      </w:r>
      <w:r w:rsidR="00464FC9" w:rsidRPr="00464FC9">
        <w:rPr>
          <w:sz w:val="20"/>
        </w:rPr>
        <w:t>Agba D. Salman, Michael Hounslow, Jonathan P.K. Seville, 2006. Granulation, Elsevier. ed.</w:t>
      </w:r>
    </w:p>
    <w:p w14:paraId="1F6B4EDE" w14:textId="77777777" w:rsidR="00464FC9" w:rsidRPr="00464FC9" w:rsidRDefault="00464FC9" w:rsidP="00464FC9">
      <w:pPr>
        <w:pStyle w:val="Bibliographie"/>
        <w:rPr>
          <w:sz w:val="20"/>
        </w:rPr>
      </w:pPr>
      <w:r w:rsidRPr="00464FC9">
        <w:rPr>
          <w:sz w:val="20"/>
        </w:rPr>
        <w:t>Ayaz, H., Chinnasamy, V., Yong, J., Cho, H., 2021. Review of Technologies and Recent Advances in Low-Temperature Sorption Thermal Storage Systems. Energies 14, 6052. https://doi.org/10.3390/en14196052</w:t>
      </w:r>
    </w:p>
    <w:p w14:paraId="72BD60B4" w14:textId="77777777" w:rsidR="00464FC9" w:rsidRPr="00464FC9" w:rsidRDefault="00464FC9" w:rsidP="00464FC9">
      <w:pPr>
        <w:pStyle w:val="Bibliographie"/>
        <w:rPr>
          <w:sz w:val="20"/>
        </w:rPr>
      </w:pPr>
      <w:r w:rsidRPr="00464FC9">
        <w:rPr>
          <w:sz w:val="20"/>
        </w:rPr>
        <w:t>Baquerizo, L.G., Matschei, T., Scrivener, K.L., 2016. Impact of water activity on the stability of ettringite. Cement and Concrete Research 79, 31–44. https://doi.org/10.1016/j.cemconres.2015.07.008</w:t>
      </w:r>
    </w:p>
    <w:p w14:paraId="6633D339" w14:textId="77777777" w:rsidR="00464FC9" w:rsidRPr="00464FC9" w:rsidRDefault="00464FC9" w:rsidP="00464FC9">
      <w:pPr>
        <w:pStyle w:val="Bibliographie"/>
        <w:rPr>
          <w:sz w:val="20"/>
        </w:rPr>
      </w:pPr>
      <w:r w:rsidRPr="00464FC9">
        <w:rPr>
          <w:sz w:val="20"/>
        </w:rPr>
        <w:t>Chen, B., Johannes, K., Horgnies, M., Morin, V., Kuznik, F., 2021a. Characterization of an ettringite-based thermochemical energy storage material in an open-mode reactor. Journal of Energy Storage 33, 102159. https://doi.org/10.1016/j.est.2020.102159</w:t>
      </w:r>
    </w:p>
    <w:p w14:paraId="6D3B1908" w14:textId="77777777" w:rsidR="00464FC9" w:rsidRPr="00464FC9" w:rsidRDefault="00464FC9" w:rsidP="00464FC9">
      <w:pPr>
        <w:pStyle w:val="Bibliographie"/>
        <w:rPr>
          <w:sz w:val="20"/>
        </w:rPr>
      </w:pPr>
      <w:r w:rsidRPr="00464FC9">
        <w:rPr>
          <w:sz w:val="20"/>
        </w:rPr>
        <w:t>Chen, B., Johannes, K., Ratel, L., Horgnies, M., Morin, V., Kuznik, F., 2021b. Investigation on ettringite as a low-cost high-density thermochemical heat storage material: Thermodynamics and kinetics. Solar Energy Materials and Solar Cells 221, 110877. https://doi.org/10.1016/j.solmat.2020.110877</w:t>
      </w:r>
    </w:p>
    <w:p w14:paraId="0F3C3442" w14:textId="77777777" w:rsidR="00464FC9" w:rsidRPr="00464FC9" w:rsidRDefault="00464FC9" w:rsidP="00464FC9">
      <w:pPr>
        <w:pStyle w:val="Bibliographie"/>
        <w:rPr>
          <w:sz w:val="20"/>
        </w:rPr>
      </w:pPr>
      <w:r w:rsidRPr="00464FC9">
        <w:rPr>
          <w:sz w:val="20"/>
        </w:rPr>
        <w:t>Collepardi, M., 2003. A state-of-the-art review on delayed ettringite attack on concrete. Cement and Concrete Composites 25, 401–407. https://doi.org/10.1016/S0958-9465(02)00080-X</w:t>
      </w:r>
    </w:p>
    <w:p w14:paraId="13AD6E45" w14:textId="77777777" w:rsidR="00464FC9" w:rsidRPr="00464FC9" w:rsidRDefault="00464FC9" w:rsidP="00464FC9">
      <w:pPr>
        <w:pStyle w:val="Bibliographie"/>
        <w:rPr>
          <w:sz w:val="20"/>
        </w:rPr>
      </w:pPr>
      <w:r w:rsidRPr="00464FC9">
        <w:rPr>
          <w:sz w:val="20"/>
        </w:rPr>
        <w:t>Coudray, C., Amant, V., Cantegrit, L., Le Bocq, A., Thery, F., Denot, A., Eisenlohr, L., 2017. Influence of Crushing Conditions on Recycled Concrete Aggregates (RCA) Leaching Behaviour. Waste Biomass Valor 8, 2867–2880. https://doi.org/10.1007/s12649-017-9868-2</w:t>
      </w:r>
    </w:p>
    <w:p w14:paraId="7F6BF992" w14:textId="77777777" w:rsidR="00464FC9" w:rsidRPr="00464FC9" w:rsidRDefault="00464FC9" w:rsidP="00464FC9">
      <w:pPr>
        <w:pStyle w:val="Bibliographie"/>
        <w:rPr>
          <w:sz w:val="20"/>
        </w:rPr>
      </w:pPr>
      <w:r w:rsidRPr="00464FC9">
        <w:rPr>
          <w:sz w:val="20"/>
        </w:rPr>
        <w:t>Galazutdinova, Y., Clark, R.-J., Al-Hallaj, S., Kaur, S., Farid, M., 2024. New Thermochemical Salt Hydrate System for Energy Storage in Buildings. Energies 17, 5228. https://doi.org/10.3390/en17205228</w:t>
      </w:r>
    </w:p>
    <w:p w14:paraId="6C525231" w14:textId="77777777" w:rsidR="00464FC9" w:rsidRPr="00464FC9" w:rsidRDefault="00464FC9" w:rsidP="00464FC9">
      <w:pPr>
        <w:pStyle w:val="Bibliographie"/>
        <w:rPr>
          <w:sz w:val="20"/>
        </w:rPr>
      </w:pPr>
      <w:r w:rsidRPr="00464FC9">
        <w:rPr>
          <w:sz w:val="20"/>
        </w:rPr>
        <w:t>Jiménez, A., Prieto, M., 2015. Thermal Stability of Ettringite Exposed to Atmosphere: Implications for the Uptake of Harmful Ions by Cement. Environ. Sci. Technol. 49, 7957–7964. https://doi.org/10.1021/acs.est.5b00536</w:t>
      </w:r>
    </w:p>
    <w:p w14:paraId="2D282141" w14:textId="77777777" w:rsidR="00464FC9" w:rsidRPr="00464FC9" w:rsidRDefault="00464FC9" w:rsidP="00464FC9">
      <w:pPr>
        <w:pStyle w:val="Bibliographie"/>
        <w:rPr>
          <w:sz w:val="20"/>
        </w:rPr>
      </w:pPr>
      <w:r w:rsidRPr="00464FC9">
        <w:rPr>
          <w:sz w:val="20"/>
        </w:rPr>
        <w:t>Ndiaye, K., Cyr, M., Ginestet, S., 2020. Development of a cementitious material for thermal energy storage at low temperature. Construction and Building Materials 242, 118130. https://doi.org/10.1016/j.conbuildmat.2020.118130</w:t>
      </w:r>
    </w:p>
    <w:p w14:paraId="77909366" w14:textId="77777777" w:rsidR="00464FC9" w:rsidRPr="00464FC9" w:rsidRDefault="00464FC9" w:rsidP="00464FC9">
      <w:pPr>
        <w:pStyle w:val="Bibliographie"/>
        <w:rPr>
          <w:sz w:val="20"/>
        </w:rPr>
      </w:pPr>
      <w:r w:rsidRPr="00464FC9">
        <w:rPr>
          <w:sz w:val="20"/>
        </w:rPr>
        <w:t>Ndiaye, K., Cyr, M., Ginestet, S., 2017. Durability and stability of an ettringite-based material for thermal energy storage at low temperature. Cement and Concrete Research 99, 106–115. https://doi.org/10.1016/j.cemconres.2017.05.001</w:t>
      </w:r>
    </w:p>
    <w:p w14:paraId="0073B9A1" w14:textId="77777777" w:rsidR="00464FC9" w:rsidRPr="00464FC9" w:rsidRDefault="00464FC9" w:rsidP="00464FC9">
      <w:pPr>
        <w:pStyle w:val="Bibliographie"/>
        <w:rPr>
          <w:sz w:val="20"/>
        </w:rPr>
      </w:pPr>
      <w:r w:rsidRPr="00464FC9">
        <w:rPr>
          <w:sz w:val="20"/>
        </w:rPr>
        <w:lastRenderedPageBreak/>
        <w:t>Park, S., Jeong, Y., Moon, J., Lee, N., 2021. Hydration characteristics of calcium sulfoaluminate (CSA) cement/portland cement blended pastes. Journal of Building Engineering 34, 101880. https://doi.org/10.1016/j.jobe.2020.101880</w:t>
      </w:r>
    </w:p>
    <w:p w14:paraId="72A4F57B" w14:textId="77777777" w:rsidR="00464FC9" w:rsidRPr="00464FC9" w:rsidRDefault="00464FC9" w:rsidP="00464FC9">
      <w:pPr>
        <w:pStyle w:val="Bibliographie"/>
        <w:rPr>
          <w:sz w:val="20"/>
        </w:rPr>
      </w:pPr>
      <w:r w:rsidRPr="00464FC9">
        <w:rPr>
          <w:sz w:val="20"/>
        </w:rPr>
        <w:t>Richardson, I.G., 1999. The nature of C-S-H in hardened cements. Cement and Concrete Research 29, 1131–1147. https://doi.org/10.1016/S0008-8846(99)00168-4</w:t>
      </w:r>
    </w:p>
    <w:p w14:paraId="3D6A5F07" w14:textId="77777777" w:rsidR="00464FC9" w:rsidRPr="00464FC9" w:rsidRDefault="00464FC9" w:rsidP="00464FC9">
      <w:pPr>
        <w:pStyle w:val="Bibliographie"/>
        <w:rPr>
          <w:sz w:val="20"/>
        </w:rPr>
      </w:pPr>
      <w:r w:rsidRPr="00464FC9">
        <w:rPr>
          <w:sz w:val="20"/>
        </w:rPr>
        <w:t>Skevi, L., Ke, X., Ginestet, S., Ouellet-Plamondon, C., Gomes, F., Cyr, M., 2025. Reviewing experimental studies on chemical thermal energy storage in Cementitious composites: report of the RILEM TC 299-TES. Mater Struct 58, 292. https://doi.org/10.1617/s11527-025-02803-w</w:t>
      </w:r>
    </w:p>
    <w:p w14:paraId="34CC71C6" w14:textId="77777777" w:rsidR="00464FC9" w:rsidRPr="00464FC9" w:rsidRDefault="00464FC9" w:rsidP="00464FC9">
      <w:pPr>
        <w:pStyle w:val="Bibliographie"/>
        <w:rPr>
          <w:sz w:val="20"/>
        </w:rPr>
      </w:pPr>
      <w:r w:rsidRPr="00464FC9">
        <w:rPr>
          <w:sz w:val="20"/>
        </w:rPr>
        <w:t>Solé, A., Martorell, I., Cabeza, L.F., 2015. State of the art on gas–solid thermochemical energy storage systems and reactors for building applications. Renewable and Sustainable Energy Reviews 47, 386–398. https://doi.org/10.1016/j.rser.2015.03.077</w:t>
      </w:r>
    </w:p>
    <w:p w14:paraId="223597CB" w14:textId="77777777" w:rsidR="00464FC9" w:rsidRPr="00464FC9" w:rsidRDefault="00464FC9" w:rsidP="00464FC9">
      <w:pPr>
        <w:pStyle w:val="Bibliographie"/>
        <w:rPr>
          <w:sz w:val="20"/>
        </w:rPr>
      </w:pPr>
      <w:r w:rsidRPr="00464FC9">
        <w:rPr>
          <w:sz w:val="20"/>
        </w:rPr>
        <w:t>Zhang, L., Glasser, F.P., 2002. Hydration of calcium sulfoaluminate cement at less than 24 h. Advances in Cement Research.</w:t>
      </w:r>
    </w:p>
    <w:p w14:paraId="263188FC" w14:textId="75A8F139" w:rsidR="008F54F8" w:rsidRPr="00C54595" w:rsidRDefault="00085133" w:rsidP="00D63D44">
      <w:pPr>
        <w:pStyle w:val="SWCText"/>
        <w:rPr>
          <w:szCs w:val="20"/>
        </w:rPr>
      </w:pPr>
      <w:r w:rsidRPr="00B5795C">
        <w:rPr>
          <w:szCs w:val="20"/>
        </w:rPr>
        <w:fldChar w:fldCharType="end"/>
      </w:r>
    </w:p>
    <w:sectPr w:rsidR="008F54F8" w:rsidRPr="00C54595" w:rsidSect="00D27077">
      <w:footnotePr>
        <w:numRestart w:val="eachPage"/>
      </w:footnotePr>
      <w:pgSz w:w="11908" w:h="16838" w:code="9"/>
      <w:pgMar w:top="1701" w:right="1440" w:bottom="1440" w:left="1701" w:header="284" w:footer="284" w:gutter="0"/>
      <w:cols w:space="34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A45D51" w14:textId="77777777" w:rsidR="00B62F56" w:rsidRDefault="00B62F56">
      <w:r>
        <w:separator/>
      </w:r>
    </w:p>
  </w:endnote>
  <w:endnote w:type="continuationSeparator" w:id="0">
    <w:p w14:paraId="4ECE2320" w14:textId="77777777" w:rsidR="00B62F56" w:rsidRDefault="00B62F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inion Pro">
    <w:altName w:val="Cambria Math"/>
    <w:panose1 w:val="00000000000000000000"/>
    <w:charset w:val="00"/>
    <w:family w:val="roman"/>
    <w:notTrueType/>
    <w:pitch w:val="variable"/>
    <w:sig w:usb0="60000287" w:usb1="00000001" w:usb2="00000000" w:usb3="00000000" w:csb0="0000019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04CAD1" w14:textId="77777777" w:rsidR="00B62F56" w:rsidRDefault="00B62F56">
      <w:r>
        <w:separator/>
      </w:r>
    </w:p>
  </w:footnote>
  <w:footnote w:type="continuationSeparator" w:id="0">
    <w:p w14:paraId="7B6B5628" w14:textId="77777777" w:rsidR="00B62F56" w:rsidRDefault="00B62F5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FC5FAD4"/>
    <w:multiLevelType w:val="hybridMultilevel"/>
    <w:tmpl w:val="B740534D"/>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FFFFF80"/>
    <w:multiLevelType w:val="singleLevel"/>
    <w:tmpl w:val="8BBE5F78"/>
    <w:lvl w:ilvl="0">
      <w:start w:val="1"/>
      <w:numFmt w:val="bullet"/>
      <w:lvlText w:val=""/>
      <w:lvlJc w:val="left"/>
      <w:pPr>
        <w:tabs>
          <w:tab w:val="num" w:pos="1492"/>
        </w:tabs>
        <w:ind w:left="1492" w:hanging="360"/>
      </w:pPr>
      <w:rPr>
        <w:rFonts w:ascii="Symbol" w:hAnsi="Symbol" w:hint="default"/>
      </w:rPr>
    </w:lvl>
  </w:abstractNum>
  <w:abstractNum w:abstractNumId="2" w15:restartNumberingAfterBreak="0">
    <w:nsid w:val="FFFFFF81"/>
    <w:multiLevelType w:val="singleLevel"/>
    <w:tmpl w:val="41467FA0"/>
    <w:lvl w:ilvl="0">
      <w:start w:val="1"/>
      <w:numFmt w:val="bullet"/>
      <w:lvlText w:val=""/>
      <w:lvlJc w:val="left"/>
      <w:pPr>
        <w:tabs>
          <w:tab w:val="num" w:pos="1209"/>
        </w:tabs>
        <w:ind w:left="1209" w:hanging="360"/>
      </w:pPr>
      <w:rPr>
        <w:rFonts w:ascii="Symbol" w:hAnsi="Symbol" w:hint="default"/>
      </w:rPr>
    </w:lvl>
  </w:abstractNum>
  <w:abstractNum w:abstractNumId="3" w15:restartNumberingAfterBreak="0">
    <w:nsid w:val="FFFFFF82"/>
    <w:multiLevelType w:val="singleLevel"/>
    <w:tmpl w:val="647421D6"/>
    <w:lvl w:ilvl="0">
      <w:start w:val="1"/>
      <w:numFmt w:val="bullet"/>
      <w:lvlText w:val=""/>
      <w:lvlJc w:val="left"/>
      <w:pPr>
        <w:tabs>
          <w:tab w:val="num" w:pos="926"/>
        </w:tabs>
        <w:ind w:left="926" w:hanging="360"/>
      </w:pPr>
      <w:rPr>
        <w:rFonts w:ascii="Symbol" w:hAnsi="Symbol" w:hint="default"/>
      </w:rPr>
    </w:lvl>
  </w:abstractNum>
  <w:abstractNum w:abstractNumId="4" w15:restartNumberingAfterBreak="0">
    <w:nsid w:val="FFFFFF83"/>
    <w:multiLevelType w:val="singleLevel"/>
    <w:tmpl w:val="EB1292B0"/>
    <w:lvl w:ilvl="0">
      <w:start w:val="1"/>
      <w:numFmt w:val="bullet"/>
      <w:lvlText w:val=""/>
      <w:lvlJc w:val="left"/>
      <w:pPr>
        <w:tabs>
          <w:tab w:val="num" w:pos="643"/>
        </w:tabs>
        <w:ind w:left="643" w:hanging="360"/>
      </w:pPr>
      <w:rPr>
        <w:rFonts w:ascii="Symbol" w:hAnsi="Symbol" w:hint="default"/>
      </w:rPr>
    </w:lvl>
  </w:abstractNum>
  <w:abstractNum w:abstractNumId="5" w15:restartNumberingAfterBreak="0">
    <w:nsid w:val="FFFFFF89"/>
    <w:multiLevelType w:val="singleLevel"/>
    <w:tmpl w:val="6E8C6812"/>
    <w:lvl w:ilvl="0">
      <w:start w:val="1"/>
      <w:numFmt w:val="bullet"/>
      <w:pStyle w:val="Listepuces"/>
      <w:lvlText w:val=""/>
      <w:lvlJc w:val="left"/>
      <w:pPr>
        <w:tabs>
          <w:tab w:val="num" w:pos="360"/>
        </w:tabs>
        <w:ind w:left="360" w:hanging="360"/>
      </w:pPr>
      <w:rPr>
        <w:rFonts w:ascii="Symbol" w:hAnsi="Symbol" w:hint="default"/>
      </w:rPr>
    </w:lvl>
  </w:abstractNum>
  <w:abstractNum w:abstractNumId="6" w15:restartNumberingAfterBreak="0">
    <w:nsid w:val="1C551AE5"/>
    <w:multiLevelType w:val="multilevel"/>
    <w:tmpl w:val="173A8E1C"/>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7" w15:restartNumberingAfterBreak="0">
    <w:nsid w:val="23791F8E"/>
    <w:multiLevelType w:val="multilevel"/>
    <w:tmpl w:val="15DC06A0"/>
    <w:lvl w:ilvl="0">
      <w:numFmt w:val="decimal"/>
      <w:lvlText w:val="%1.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15:restartNumberingAfterBreak="0">
    <w:nsid w:val="26AD7B49"/>
    <w:multiLevelType w:val="multilevel"/>
    <w:tmpl w:val="47C4BDDE"/>
    <w:lvl w:ilvl="0">
      <w:numFmt w:val="none"/>
      <w:lvlText w:val="3.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9" w15:restartNumberingAfterBreak="0">
    <w:nsid w:val="302C45F0"/>
    <w:multiLevelType w:val="multilevel"/>
    <w:tmpl w:val="F44CAF64"/>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10" w15:restartNumberingAfterBreak="0">
    <w:nsid w:val="35B80708"/>
    <w:multiLevelType w:val="hybridMultilevel"/>
    <w:tmpl w:val="727EE29C"/>
    <w:lvl w:ilvl="0" w:tplc="29EEE16E">
      <w:start w:val="1"/>
      <w:numFmt w:val="bullet"/>
      <w:pStyle w:val="SWCBulletedList"/>
      <w:lvlText w:val=""/>
      <w:lvlJc w:val="left"/>
      <w:pPr>
        <w:tabs>
          <w:tab w:val="num" w:pos="1654"/>
        </w:tabs>
        <w:ind w:left="1654" w:hanging="360"/>
      </w:pPr>
      <w:rPr>
        <w:rFonts w:ascii="Symbol" w:hAnsi="Symbol" w:hint="default"/>
        <w:b w:val="0"/>
        <w:i w:val="0"/>
        <w:color w:val="000000"/>
        <w:sz w:val="20"/>
        <w:szCs w:val="20"/>
        <w:u w:val="none"/>
      </w:rPr>
    </w:lvl>
    <w:lvl w:ilvl="1" w:tplc="04070003">
      <w:start w:val="1"/>
      <w:numFmt w:val="bullet"/>
      <w:lvlText w:val="o"/>
      <w:lvlJc w:val="left"/>
      <w:pPr>
        <w:tabs>
          <w:tab w:val="num" w:pos="1920"/>
        </w:tabs>
        <w:ind w:left="1920" w:hanging="360"/>
      </w:pPr>
      <w:rPr>
        <w:rFonts w:ascii="Courier New" w:hAnsi="Courier New" w:cs="Courier New" w:hint="default"/>
      </w:rPr>
    </w:lvl>
    <w:lvl w:ilvl="2" w:tplc="04070005" w:tentative="1">
      <w:start w:val="1"/>
      <w:numFmt w:val="bullet"/>
      <w:lvlText w:val=""/>
      <w:lvlJc w:val="left"/>
      <w:pPr>
        <w:tabs>
          <w:tab w:val="num" w:pos="2640"/>
        </w:tabs>
        <w:ind w:left="2640" w:hanging="360"/>
      </w:pPr>
      <w:rPr>
        <w:rFonts w:ascii="Wingdings" w:hAnsi="Wingdings" w:hint="default"/>
      </w:rPr>
    </w:lvl>
    <w:lvl w:ilvl="3" w:tplc="04070001" w:tentative="1">
      <w:start w:val="1"/>
      <w:numFmt w:val="bullet"/>
      <w:lvlText w:val=""/>
      <w:lvlJc w:val="left"/>
      <w:pPr>
        <w:tabs>
          <w:tab w:val="num" w:pos="3360"/>
        </w:tabs>
        <w:ind w:left="3360" w:hanging="360"/>
      </w:pPr>
      <w:rPr>
        <w:rFonts w:ascii="Symbol" w:hAnsi="Symbol" w:hint="default"/>
      </w:rPr>
    </w:lvl>
    <w:lvl w:ilvl="4" w:tplc="04070003" w:tentative="1">
      <w:start w:val="1"/>
      <w:numFmt w:val="bullet"/>
      <w:lvlText w:val="o"/>
      <w:lvlJc w:val="left"/>
      <w:pPr>
        <w:tabs>
          <w:tab w:val="num" w:pos="4080"/>
        </w:tabs>
        <w:ind w:left="4080" w:hanging="360"/>
      </w:pPr>
      <w:rPr>
        <w:rFonts w:ascii="Courier New" w:hAnsi="Courier New" w:cs="Courier New" w:hint="default"/>
      </w:rPr>
    </w:lvl>
    <w:lvl w:ilvl="5" w:tplc="04070005" w:tentative="1">
      <w:start w:val="1"/>
      <w:numFmt w:val="bullet"/>
      <w:lvlText w:val=""/>
      <w:lvlJc w:val="left"/>
      <w:pPr>
        <w:tabs>
          <w:tab w:val="num" w:pos="4800"/>
        </w:tabs>
        <w:ind w:left="4800" w:hanging="360"/>
      </w:pPr>
      <w:rPr>
        <w:rFonts w:ascii="Wingdings" w:hAnsi="Wingdings" w:hint="default"/>
      </w:rPr>
    </w:lvl>
    <w:lvl w:ilvl="6" w:tplc="04070001" w:tentative="1">
      <w:start w:val="1"/>
      <w:numFmt w:val="bullet"/>
      <w:lvlText w:val=""/>
      <w:lvlJc w:val="left"/>
      <w:pPr>
        <w:tabs>
          <w:tab w:val="num" w:pos="5520"/>
        </w:tabs>
        <w:ind w:left="5520" w:hanging="360"/>
      </w:pPr>
      <w:rPr>
        <w:rFonts w:ascii="Symbol" w:hAnsi="Symbol" w:hint="default"/>
      </w:rPr>
    </w:lvl>
    <w:lvl w:ilvl="7" w:tplc="04070003" w:tentative="1">
      <w:start w:val="1"/>
      <w:numFmt w:val="bullet"/>
      <w:lvlText w:val="o"/>
      <w:lvlJc w:val="left"/>
      <w:pPr>
        <w:tabs>
          <w:tab w:val="num" w:pos="6240"/>
        </w:tabs>
        <w:ind w:left="6240" w:hanging="360"/>
      </w:pPr>
      <w:rPr>
        <w:rFonts w:ascii="Courier New" w:hAnsi="Courier New" w:cs="Courier New" w:hint="default"/>
      </w:rPr>
    </w:lvl>
    <w:lvl w:ilvl="8" w:tplc="04070005" w:tentative="1">
      <w:start w:val="1"/>
      <w:numFmt w:val="bullet"/>
      <w:lvlText w:val=""/>
      <w:lvlJc w:val="left"/>
      <w:pPr>
        <w:tabs>
          <w:tab w:val="num" w:pos="6960"/>
        </w:tabs>
        <w:ind w:left="6960" w:hanging="360"/>
      </w:pPr>
      <w:rPr>
        <w:rFonts w:ascii="Wingdings" w:hAnsi="Wingdings" w:hint="default"/>
      </w:rPr>
    </w:lvl>
  </w:abstractNum>
  <w:abstractNum w:abstractNumId="11" w15:restartNumberingAfterBreak="0">
    <w:nsid w:val="3C6B0D7C"/>
    <w:multiLevelType w:val="singleLevel"/>
    <w:tmpl w:val="1F2055B0"/>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3FF605FE"/>
    <w:multiLevelType w:val="hybridMultilevel"/>
    <w:tmpl w:val="0798C2A8"/>
    <w:lvl w:ilvl="0" w:tplc="D46CEE7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B6072BF"/>
    <w:multiLevelType w:val="multilevel"/>
    <w:tmpl w:val="340C077E"/>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14" w15:restartNumberingAfterBreak="0">
    <w:nsid w:val="4C577241"/>
    <w:multiLevelType w:val="multilevel"/>
    <w:tmpl w:val="07848DB4"/>
    <w:lvl w:ilvl="0">
      <w:numFmt w:val="none"/>
      <w:lvlText w:val="3.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5" w15:restartNumberingAfterBreak="0">
    <w:nsid w:val="4CC60108"/>
    <w:multiLevelType w:val="hybridMultilevel"/>
    <w:tmpl w:val="52F63CB6"/>
    <w:lvl w:ilvl="0" w:tplc="FF4CC612">
      <w:numFmt w:val="bullet"/>
      <w:lvlText w:val=""/>
      <w:lvlJc w:val="left"/>
      <w:pPr>
        <w:ind w:left="720" w:hanging="360"/>
      </w:pPr>
      <w:rPr>
        <w:rFonts w:ascii="Wingdings" w:eastAsia="Times New Roman" w:hAnsi="Wingding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D8C457A"/>
    <w:multiLevelType w:val="multilevel"/>
    <w:tmpl w:val="53E01C6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7" w15:restartNumberingAfterBreak="0">
    <w:nsid w:val="4F3B4021"/>
    <w:multiLevelType w:val="multilevel"/>
    <w:tmpl w:val="173A8E1C"/>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18" w15:restartNumberingAfterBreak="0">
    <w:nsid w:val="56D85C50"/>
    <w:multiLevelType w:val="multilevel"/>
    <w:tmpl w:val="DFD21A14"/>
    <w:lvl w:ilvl="0">
      <w:start w:val="1"/>
      <w:numFmt w:val="decimal"/>
      <w:lvlText w:val="%1"/>
      <w:lvlJc w:val="left"/>
      <w:pPr>
        <w:tabs>
          <w:tab w:val="num" w:pos="792"/>
        </w:tabs>
        <w:ind w:left="792" w:hanging="432"/>
      </w:pPr>
      <w:rPr>
        <w:rFonts w:hint="default"/>
      </w:rPr>
    </w:lvl>
    <w:lvl w:ilvl="1">
      <w:start w:val="1"/>
      <w:numFmt w:val="decimal"/>
      <w:lvlText w:val="%1.%2"/>
      <w:lvlJc w:val="left"/>
      <w:pPr>
        <w:tabs>
          <w:tab w:val="num" w:pos="936"/>
        </w:tabs>
        <w:ind w:left="936" w:hanging="576"/>
      </w:pPr>
    </w:lvl>
    <w:lvl w:ilvl="2">
      <w:start w:val="1"/>
      <w:numFmt w:val="decimal"/>
      <w:lvlText w:val="%1.%2.%3"/>
      <w:lvlJc w:val="left"/>
      <w:pPr>
        <w:tabs>
          <w:tab w:val="num" w:pos="1080"/>
        </w:tabs>
        <w:ind w:left="1080" w:hanging="720"/>
      </w:pPr>
    </w:lvl>
    <w:lvl w:ilvl="3">
      <w:start w:val="1"/>
      <w:numFmt w:val="decimal"/>
      <w:lvlText w:val="%1.%2.%3.%4"/>
      <w:lvlJc w:val="left"/>
      <w:pPr>
        <w:tabs>
          <w:tab w:val="num" w:pos="1224"/>
        </w:tabs>
        <w:ind w:left="1224" w:hanging="864"/>
      </w:pPr>
    </w:lvl>
    <w:lvl w:ilvl="4">
      <w:start w:val="1"/>
      <w:numFmt w:val="decimal"/>
      <w:lvlText w:val="%1.%2.%3.%4.%5"/>
      <w:lvlJc w:val="left"/>
      <w:pPr>
        <w:tabs>
          <w:tab w:val="num" w:pos="1368"/>
        </w:tabs>
        <w:ind w:left="1368" w:hanging="1008"/>
      </w:pPr>
    </w:lvl>
    <w:lvl w:ilvl="5">
      <w:start w:val="1"/>
      <w:numFmt w:val="decimal"/>
      <w:lvlText w:val="%1.%2.%3.%4.%5.%6"/>
      <w:lvlJc w:val="left"/>
      <w:pPr>
        <w:tabs>
          <w:tab w:val="num" w:pos="1512"/>
        </w:tabs>
        <w:ind w:left="1512" w:hanging="1152"/>
      </w:pPr>
    </w:lvl>
    <w:lvl w:ilvl="6">
      <w:start w:val="1"/>
      <w:numFmt w:val="decimal"/>
      <w:lvlText w:val="%1.%2.%3.%4.%5.%6.%7"/>
      <w:lvlJc w:val="left"/>
      <w:pPr>
        <w:tabs>
          <w:tab w:val="num" w:pos="1656"/>
        </w:tabs>
        <w:ind w:left="1656" w:hanging="1296"/>
      </w:pPr>
    </w:lvl>
    <w:lvl w:ilvl="7">
      <w:start w:val="1"/>
      <w:numFmt w:val="decimal"/>
      <w:lvlText w:val="%1.%2.%3.%4.%5.%6.%7.%8"/>
      <w:lvlJc w:val="left"/>
      <w:pPr>
        <w:tabs>
          <w:tab w:val="num" w:pos="1800"/>
        </w:tabs>
        <w:ind w:left="1800" w:hanging="1440"/>
      </w:pPr>
    </w:lvl>
    <w:lvl w:ilvl="8">
      <w:start w:val="1"/>
      <w:numFmt w:val="decimal"/>
      <w:lvlText w:val="%1.%2.%3.%4.%5.%6.%7.%8.%9"/>
      <w:lvlJc w:val="left"/>
      <w:pPr>
        <w:tabs>
          <w:tab w:val="num" w:pos="1944"/>
        </w:tabs>
        <w:ind w:left="1944" w:hanging="1584"/>
      </w:pPr>
    </w:lvl>
  </w:abstractNum>
  <w:abstractNum w:abstractNumId="19" w15:restartNumberingAfterBreak="0">
    <w:nsid w:val="58A62609"/>
    <w:multiLevelType w:val="multilevel"/>
    <w:tmpl w:val="6DC0C41C"/>
    <w:lvl w:ilvl="0">
      <w:start w:val="1"/>
      <w:numFmt w:val="decimal"/>
      <w:lvlText w:val="%1.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0" w15:restartNumberingAfterBreak="0">
    <w:nsid w:val="640279AF"/>
    <w:multiLevelType w:val="multilevel"/>
    <w:tmpl w:val="C57E2548"/>
    <w:lvl w:ilvl="0">
      <w:start w:val="1"/>
      <w:numFmt w:val="decimal"/>
      <w:pStyle w:val="SWCHeading1"/>
      <w:lvlText w:val="%1."/>
      <w:lvlJc w:val="left"/>
      <w:pPr>
        <w:tabs>
          <w:tab w:val="num" w:pos="720"/>
        </w:tabs>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1" w15:restartNumberingAfterBreak="0">
    <w:nsid w:val="65750BD4"/>
    <w:multiLevelType w:val="multilevel"/>
    <w:tmpl w:val="DB2472D8"/>
    <w:lvl w:ilvl="0">
      <w:start w:val="1"/>
      <w:numFmt w:val="lowerLetter"/>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22" w15:restartNumberingAfterBreak="0">
    <w:nsid w:val="65A532E3"/>
    <w:multiLevelType w:val="multilevel"/>
    <w:tmpl w:val="5EDC8EA4"/>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23" w15:restartNumberingAfterBreak="0">
    <w:nsid w:val="66FF0B8E"/>
    <w:multiLevelType w:val="multilevel"/>
    <w:tmpl w:val="173A8E1C"/>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24" w15:restartNumberingAfterBreak="0">
    <w:nsid w:val="74506232"/>
    <w:multiLevelType w:val="hybridMultilevel"/>
    <w:tmpl w:val="B436F59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7B7E6D4B"/>
    <w:multiLevelType w:val="hybridMultilevel"/>
    <w:tmpl w:val="4D182A76"/>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num w:numId="1" w16cid:durableId="616374242">
    <w:abstractNumId w:val="5"/>
  </w:num>
  <w:num w:numId="2" w16cid:durableId="1722947185">
    <w:abstractNumId w:val="11"/>
  </w:num>
  <w:num w:numId="3" w16cid:durableId="72774806">
    <w:abstractNumId w:val="10"/>
  </w:num>
  <w:num w:numId="4" w16cid:durableId="2062366084">
    <w:abstractNumId w:val="25"/>
  </w:num>
  <w:num w:numId="5" w16cid:durableId="1050612682">
    <w:abstractNumId w:val="4"/>
  </w:num>
  <w:num w:numId="6" w16cid:durableId="450130397">
    <w:abstractNumId w:val="3"/>
  </w:num>
  <w:num w:numId="7" w16cid:durableId="2038964062">
    <w:abstractNumId w:val="0"/>
  </w:num>
  <w:num w:numId="8" w16cid:durableId="2069037736">
    <w:abstractNumId w:val="2"/>
  </w:num>
  <w:num w:numId="9" w16cid:durableId="1441677520">
    <w:abstractNumId w:val="1"/>
  </w:num>
  <w:num w:numId="10" w16cid:durableId="870651312">
    <w:abstractNumId w:val="6"/>
  </w:num>
  <w:num w:numId="11" w16cid:durableId="1163467180">
    <w:abstractNumId w:val="20"/>
  </w:num>
  <w:num w:numId="12" w16cid:durableId="1077288432">
    <w:abstractNumId w:val="16"/>
  </w:num>
  <w:num w:numId="13" w16cid:durableId="508719187">
    <w:abstractNumId w:val="6"/>
    <w:lvlOverride w:ilvl="0">
      <w:startOverride w:val="1"/>
    </w:lvlOverride>
  </w:num>
  <w:num w:numId="14" w16cid:durableId="984549902">
    <w:abstractNumId w:val="19"/>
  </w:num>
  <w:num w:numId="15" w16cid:durableId="158887513">
    <w:abstractNumId w:val="7"/>
  </w:num>
  <w:num w:numId="16" w16cid:durableId="1610239521">
    <w:abstractNumId w:val="14"/>
  </w:num>
  <w:num w:numId="17" w16cid:durableId="25637989">
    <w:abstractNumId w:val="18"/>
  </w:num>
  <w:num w:numId="18" w16cid:durableId="37319771">
    <w:abstractNumId w:val="22"/>
  </w:num>
  <w:num w:numId="19" w16cid:durableId="1077744522">
    <w:abstractNumId w:val="9"/>
  </w:num>
  <w:num w:numId="20" w16cid:durableId="1058477203">
    <w:abstractNumId w:val="8"/>
  </w:num>
  <w:num w:numId="21" w16cid:durableId="1519151372">
    <w:abstractNumId w:val="13"/>
  </w:num>
  <w:num w:numId="22" w16cid:durableId="1593784427">
    <w:abstractNumId w:val="21"/>
  </w:num>
  <w:num w:numId="23" w16cid:durableId="1447429183">
    <w:abstractNumId w:val="17"/>
  </w:num>
  <w:num w:numId="24" w16cid:durableId="1724982113">
    <w:abstractNumId w:val="23"/>
  </w:num>
  <w:num w:numId="25" w16cid:durableId="2130011006">
    <w:abstractNumId w:val="15"/>
  </w:num>
  <w:num w:numId="26" w16cid:durableId="254097739">
    <w:abstractNumId w:val="12"/>
  </w:num>
  <w:num w:numId="27" w16cid:durableId="325596794">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hyphenationZone w:val="425"/>
  <w:drawingGridHorizontalSpacing w:val="120"/>
  <w:displayHorizontalDrawingGridEvery w:val="2"/>
  <w:noPunctuationKerning/>
  <w:characterSpacingControl w:val="doNotCompres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716E"/>
    <w:rsid w:val="00004804"/>
    <w:rsid w:val="00005037"/>
    <w:rsid w:val="00005887"/>
    <w:rsid w:val="000067DB"/>
    <w:rsid w:val="00010262"/>
    <w:rsid w:val="00020CF5"/>
    <w:rsid w:val="000220F2"/>
    <w:rsid w:val="0004235D"/>
    <w:rsid w:val="00052DBE"/>
    <w:rsid w:val="000533E4"/>
    <w:rsid w:val="000534F5"/>
    <w:rsid w:val="00053E02"/>
    <w:rsid w:val="0005433D"/>
    <w:rsid w:val="0005536E"/>
    <w:rsid w:val="00055DB9"/>
    <w:rsid w:val="00057B5E"/>
    <w:rsid w:val="00066B26"/>
    <w:rsid w:val="000678AC"/>
    <w:rsid w:val="000712A1"/>
    <w:rsid w:val="000748A4"/>
    <w:rsid w:val="00074DBF"/>
    <w:rsid w:val="00083562"/>
    <w:rsid w:val="00085133"/>
    <w:rsid w:val="00092E09"/>
    <w:rsid w:val="00092ED5"/>
    <w:rsid w:val="00097300"/>
    <w:rsid w:val="000A0ADB"/>
    <w:rsid w:val="000A30A5"/>
    <w:rsid w:val="000A36B5"/>
    <w:rsid w:val="000A3ACD"/>
    <w:rsid w:val="000A52A1"/>
    <w:rsid w:val="000B000D"/>
    <w:rsid w:val="000B04BE"/>
    <w:rsid w:val="000B0DBD"/>
    <w:rsid w:val="000B1386"/>
    <w:rsid w:val="000B1F4D"/>
    <w:rsid w:val="000B5DA5"/>
    <w:rsid w:val="000C2344"/>
    <w:rsid w:val="000C2AB1"/>
    <w:rsid w:val="000D6E1A"/>
    <w:rsid w:val="000E1855"/>
    <w:rsid w:val="000F739B"/>
    <w:rsid w:val="0010501A"/>
    <w:rsid w:val="001175D4"/>
    <w:rsid w:val="00125318"/>
    <w:rsid w:val="00134D7D"/>
    <w:rsid w:val="00136CA5"/>
    <w:rsid w:val="00147798"/>
    <w:rsid w:val="0015090D"/>
    <w:rsid w:val="00153736"/>
    <w:rsid w:val="00155FB8"/>
    <w:rsid w:val="00157CE5"/>
    <w:rsid w:val="001600B6"/>
    <w:rsid w:val="001647D2"/>
    <w:rsid w:val="00165B80"/>
    <w:rsid w:val="00166C42"/>
    <w:rsid w:val="00176EF6"/>
    <w:rsid w:val="001814D5"/>
    <w:rsid w:val="00185404"/>
    <w:rsid w:val="001904A7"/>
    <w:rsid w:val="00190852"/>
    <w:rsid w:val="0019232E"/>
    <w:rsid w:val="00194E9A"/>
    <w:rsid w:val="0019621B"/>
    <w:rsid w:val="00196599"/>
    <w:rsid w:val="001968B5"/>
    <w:rsid w:val="001969B9"/>
    <w:rsid w:val="001A117A"/>
    <w:rsid w:val="001A775B"/>
    <w:rsid w:val="001A7F40"/>
    <w:rsid w:val="001B13D6"/>
    <w:rsid w:val="001B5C6F"/>
    <w:rsid w:val="001B5C93"/>
    <w:rsid w:val="001B6BCF"/>
    <w:rsid w:val="001B7B01"/>
    <w:rsid w:val="001C3A3D"/>
    <w:rsid w:val="001C63A2"/>
    <w:rsid w:val="001D0384"/>
    <w:rsid w:val="001D4912"/>
    <w:rsid w:val="001E2B93"/>
    <w:rsid w:val="001F246E"/>
    <w:rsid w:val="001F2881"/>
    <w:rsid w:val="00200A8A"/>
    <w:rsid w:val="00201F54"/>
    <w:rsid w:val="00205626"/>
    <w:rsid w:val="00206116"/>
    <w:rsid w:val="002111BC"/>
    <w:rsid w:val="00212628"/>
    <w:rsid w:val="0022299B"/>
    <w:rsid w:val="00222D1E"/>
    <w:rsid w:val="00225724"/>
    <w:rsid w:val="00243214"/>
    <w:rsid w:val="00246C37"/>
    <w:rsid w:val="00252F50"/>
    <w:rsid w:val="002639A6"/>
    <w:rsid w:val="002647A0"/>
    <w:rsid w:val="00266E47"/>
    <w:rsid w:val="00270C62"/>
    <w:rsid w:val="00270E75"/>
    <w:rsid w:val="0027288C"/>
    <w:rsid w:val="002728D1"/>
    <w:rsid w:val="00273341"/>
    <w:rsid w:val="00291243"/>
    <w:rsid w:val="002972D1"/>
    <w:rsid w:val="002A04A9"/>
    <w:rsid w:val="002A2934"/>
    <w:rsid w:val="002A39BB"/>
    <w:rsid w:val="002B2957"/>
    <w:rsid w:val="002B417A"/>
    <w:rsid w:val="002B7888"/>
    <w:rsid w:val="002B7FD9"/>
    <w:rsid w:val="002C089D"/>
    <w:rsid w:val="002C0BBA"/>
    <w:rsid w:val="002C68AD"/>
    <w:rsid w:val="002D322C"/>
    <w:rsid w:val="002D3BC3"/>
    <w:rsid w:val="002D4864"/>
    <w:rsid w:val="002D5088"/>
    <w:rsid w:val="002E5D62"/>
    <w:rsid w:val="002F1386"/>
    <w:rsid w:val="002F3BE6"/>
    <w:rsid w:val="002F6B87"/>
    <w:rsid w:val="00303345"/>
    <w:rsid w:val="00303768"/>
    <w:rsid w:val="00310FB1"/>
    <w:rsid w:val="003209CE"/>
    <w:rsid w:val="0032795D"/>
    <w:rsid w:val="00330AB1"/>
    <w:rsid w:val="00333CAE"/>
    <w:rsid w:val="003357AC"/>
    <w:rsid w:val="00343B13"/>
    <w:rsid w:val="00346104"/>
    <w:rsid w:val="00346D66"/>
    <w:rsid w:val="0035638A"/>
    <w:rsid w:val="003576BD"/>
    <w:rsid w:val="003605B9"/>
    <w:rsid w:val="00362122"/>
    <w:rsid w:val="00364A52"/>
    <w:rsid w:val="00373F97"/>
    <w:rsid w:val="00374216"/>
    <w:rsid w:val="00383259"/>
    <w:rsid w:val="0038545D"/>
    <w:rsid w:val="00386807"/>
    <w:rsid w:val="003869E8"/>
    <w:rsid w:val="00391288"/>
    <w:rsid w:val="00395E5A"/>
    <w:rsid w:val="0039742D"/>
    <w:rsid w:val="003A3A38"/>
    <w:rsid w:val="003A4A1C"/>
    <w:rsid w:val="003A7DB9"/>
    <w:rsid w:val="003B2055"/>
    <w:rsid w:val="003C0806"/>
    <w:rsid w:val="003C18DE"/>
    <w:rsid w:val="003C1B31"/>
    <w:rsid w:val="003C2B1A"/>
    <w:rsid w:val="003C39C6"/>
    <w:rsid w:val="003D0C22"/>
    <w:rsid w:val="003E1E1C"/>
    <w:rsid w:val="003E4A8B"/>
    <w:rsid w:val="003E5D91"/>
    <w:rsid w:val="003F0403"/>
    <w:rsid w:val="003F5B99"/>
    <w:rsid w:val="004019FD"/>
    <w:rsid w:val="00403E6A"/>
    <w:rsid w:val="004053B5"/>
    <w:rsid w:val="0040615A"/>
    <w:rsid w:val="004103D5"/>
    <w:rsid w:val="00411E29"/>
    <w:rsid w:val="0042033E"/>
    <w:rsid w:val="004357AD"/>
    <w:rsid w:val="00440EF4"/>
    <w:rsid w:val="00452029"/>
    <w:rsid w:val="00453296"/>
    <w:rsid w:val="00464FC9"/>
    <w:rsid w:val="00467DFD"/>
    <w:rsid w:val="004738F0"/>
    <w:rsid w:val="00476879"/>
    <w:rsid w:val="00480AE4"/>
    <w:rsid w:val="004842C2"/>
    <w:rsid w:val="004871D1"/>
    <w:rsid w:val="00490F10"/>
    <w:rsid w:val="00493C81"/>
    <w:rsid w:val="00494006"/>
    <w:rsid w:val="004A3506"/>
    <w:rsid w:val="004A5521"/>
    <w:rsid w:val="004A584D"/>
    <w:rsid w:val="004B7987"/>
    <w:rsid w:val="004C39AD"/>
    <w:rsid w:val="004C4EE9"/>
    <w:rsid w:val="004D1567"/>
    <w:rsid w:val="004E1456"/>
    <w:rsid w:val="004E3EB6"/>
    <w:rsid w:val="004E5D79"/>
    <w:rsid w:val="004F3A66"/>
    <w:rsid w:val="004F4904"/>
    <w:rsid w:val="004F5FF9"/>
    <w:rsid w:val="00500640"/>
    <w:rsid w:val="00500D7D"/>
    <w:rsid w:val="005067AC"/>
    <w:rsid w:val="005072DC"/>
    <w:rsid w:val="00514890"/>
    <w:rsid w:val="005154D3"/>
    <w:rsid w:val="0051584D"/>
    <w:rsid w:val="0052797E"/>
    <w:rsid w:val="00531C60"/>
    <w:rsid w:val="00532138"/>
    <w:rsid w:val="0053532A"/>
    <w:rsid w:val="005404F1"/>
    <w:rsid w:val="005430E0"/>
    <w:rsid w:val="00544048"/>
    <w:rsid w:val="00550776"/>
    <w:rsid w:val="00556004"/>
    <w:rsid w:val="00566460"/>
    <w:rsid w:val="0057075C"/>
    <w:rsid w:val="005721F8"/>
    <w:rsid w:val="00572F63"/>
    <w:rsid w:val="00573270"/>
    <w:rsid w:val="00580D11"/>
    <w:rsid w:val="005836C7"/>
    <w:rsid w:val="00584672"/>
    <w:rsid w:val="00587325"/>
    <w:rsid w:val="005A0F84"/>
    <w:rsid w:val="005A26B4"/>
    <w:rsid w:val="005A6DB7"/>
    <w:rsid w:val="005B3E86"/>
    <w:rsid w:val="005B6F55"/>
    <w:rsid w:val="005C080E"/>
    <w:rsid w:val="005C5605"/>
    <w:rsid w:val="005D5CF6"/>
    <w:rsid w:val="005E04EA"/>
    <w:rsid w:val="005E0D7D"/>
    <w:rsid w:val="005E2FB1"/>
    <w:rsid w:val="005E39A8"/>
    <w:rsid w:val="005E7036"/>
    <w:rsid w:val="005E7208"/>
    <w:rsid w:val="005F4E0E"/>
    <w:rsid w:val="0060080D"/>
    <w:rsid w:val="0060103A"/>
    <w:rsid w:val="006025EB"/>
    <w:rsid w:val="006062DB"/>
    <w:rsid w:val="00606A12"/>
    <w:rsid w:val="00607C4E"/>
    <w:rsid w:val="00613AF9"/>
    <w:rsid w:val="00615CF6"/>
    <w:rsid w:val="0061732F"/>
    <w:rsid w:val="0062257E"/>
    <w:rsid w:val="00625BC2"/>
    <w:rsid w:val="00627E34"/>
    <w:rsid w:val="00630841"/>
    <w:rsid w:val="006309AA"/>
    <w:rsid w:val="00633473"/>
    <w:rsid w:val="006379BD"/>
    <w:rsid w:val="0064403B"/>
    <w:rsid w:val="006500EC"/>
    <w:rsid w:val="00652071"/>
    <w:rsid w:val="0065263F"/>
    <w:rsid w:val="00653551"/>
    <w:rsid w:val="0065563B"/>
    <w:rsid w:val="00662220"/>
    <w:rsid w:val="00664489"/>
    <w:rsid w:val="00665471"/>
    <w:rsid w:val="00667F88"/>
    <w:rsid w:val="00670B09"/>
    <w:rsid w:val="006722C6"/>
    <w:rsid w:val="0067736E"/>
    <w:rsid w:val="00684F88"/>
    <w:rsid w:val="00692D7F"/>
    <w:rsid w:val="006A0AE2"/>
    <w:rsid w:val="006A2F10"/>
    <w:rsid w:val="006A77D0"/>
    <w:rsid w:val="006B4C9F"/>
    <w:rsid w:val="006B7225"/>
    <w:rsid w:val="006C756C"/>
    <w:rsid w:val="006D4A96"/>
    <w:rsid w:val="006D77FF"/>
    <w:rsid w:val="006E2C49"/>
    <w:rsid w:val="006E6647"/>
    <w:rsid w:val="006E7C5D"/>
    <w:rsid w:val="006F39DE"/>
    <w:rsid w:val="006F5B85"/>
    <w:rsid w:val="006F605C"/>
    <w:rsid w:val="00702AE0"/>
    <w:rsid w:val="00716695"/>
    <w:rsid w:val="007174DA"/>
    <w:rsid w:val="00725ED2"/>
    <w:rsid w:val="0072626D"/>
    <w:rsid w:val="00727ED8"/>
    <w:rsid w:val="00735724"/>
    <w:rsid w:val="00737B09"/>
    <w:rsid w:val="00752C4F"/>
    <w:rsid w:val="007535ED"/>
    <w:rsid w:val="00753C92"/>
    <w:rsid w:val="00753DFD"/>
    <w:rsid w:val="0075406E"/>
    <w:rsid w:val="007557DE"/>
    <w:rsid w:val="00756702"/>
    <w:rsid w:val="00762EA3"/>
    <w:rsid w:val="007704D3"/>
    <w:rsid w:val="007763CB"/>
    <w:rsid w:val="007804A7"/>
    <w:rsid w:val="007908F6"/>
    <w:rsid w:val="00790FAD"/>
    <w:rsid w:val="00791497"/>
    <w:rsid w:val="0079434D"/>
    <w:rsid w:val="007954D9"/>
    <w:rsid w:val="00795D4A"/>
    <w:rsid w:val="007A7952"/>
    <w:rsid w:val="007B0840"/>
    <w:rsid w:val="007B0BDB"/>
    <w:rsid w:val="007B298D"/>
    <w:rsid w:val="007B33DF"/>
    <w:rsid w:val="007B7371"/>
    <w:rsid w:val="007C1632"/>
    <w:rsid w:val="007C36EF"/>
    <w:rsid w:val="007C5ED3"/>
    <w:rsid w:val="007C6047"/>
    <w:rsid w:val="007C6BDE"/>
    <w:rsid w:val="007D0678"/>
    <w:rsid w:val="007D1C2C"/>
    <w:rsid w:val="007E0364"/>
    <w:rsid w:val="007E7634"/>
    <w:rsid w:val="007F4EB6"/>
    <w:rsid w:val="00800E25"/>
    <w:rsid w:val="00801634"/>
    <w:rsid w:val="0080537B"/>
    <w:rsid w:val="008077C1"/>
    <w:rsid w:val="00816B92"/>
    <w:rsid w:val="008219CF"/>
    <w:rsid w:val="00834062"/>
    <w:rsid w:val="00837104"/>
    <w:rsid w:val="00840E8F"/>
    <w:rsid w:val="0084100F"/>
    <w:rsid w:val="00845AE3"/>
    <w:rsid w:val="00847B05"/>
    <w:rsid w:val="0085416D"/>
    <w:rsid w:val="00876B79"/>
    <w:rsid w:val="00893500"/>
    <w:rsid w:val="008A1E50"/>
    <w:rsid w:val="008B4394"/>
    <w:rsid w:val="008B618F"/>
    <w:rsid w:val="008B79A3"/>
    <w:rsid w:val="008C0231"/>
    <w:rsid w:val="008C4391"/>
    <w:rsid w:val="008D0944"/>
    <w:rsid w:val="008D44C5"/>
    <w:rsid w:val="008D7E85"/>
    <w:rsid w:val="008E19FF"/>
    <w:rsid w:val="008E53FF"/>
    <w:rsid w:val="008F249D"/>
    <w:rsid w:val="008F54F8"/>
    <w:rsid w:val="009011AA"/>
    <w:rsid w:val="00901BEE"/>
    <w:rsid w:val="00903414"/>
    <w:rsid w:val="00906CC3"/>
    <w:rsid w:val="00917D56"/>
    <w:rsid w:val="00931C9D"/>
    <w:rsid w:val="00933A00"/>
    <w:rsid w:val="00933BFD"/>
    <w:rsid w:val="00941691"/>
    <w:rsid w:val="00942144"/>
    <w:rsid w:val="00942AED"/>
    <w:rsid w:val="00944E25"/>
    <w:rsid w:val="00953F15"/>
    <w:rsid w:val="009632C9"/>
    <w:rsid w:val="009642AB"/>
    <w:rsid w:val="00970034"/>
    <w:rsid w:val="009717BF"/>
    <w:rsid w:val="00982BCB"/>
    <w:rsid w:val="00993F03"/>
    <w:rsid w:val="0099435F"/>
    <w:rsid w:val="00996BC5"/>
    <w:rsid w:val="009A3D09"/>
    <w:rsid w:val="009A6D34"/>
    <w:rsid w:val="009B4816"/>
    <w:rsid w:val="009C1BA8"/>
    <w:rsid w:val="009C2D0D"/>
    <w:rsid w:val="009C3492"/>
    <w:rsid w:val="009C49C6"/>
    <w:rsid w:val="009C5AA4"/>
    <w:rsid w:val="009D02D4"/>
    <w:rsid w:val="009D60E3"/>
    <w:rsid w:val="009E0D67"/>
    <w:rsid w:val="009E2DEF"/>
    <w:rsid w:val="009E4985"/>
    <w:rsid w:val="009F16C5"/>
    <w:rsid w:val="009F3E11"/>
    <w:rsid w:val="009F4EE8"/>
    <w:rsid w:val="009F6AF8"/>
    <w:rsid w:val="009F6E78"/>
    <w:rsid w:val="009F7C7E"/>
    <w:rsid w:val="00A01148"/>
    <w:rsid w:val="00A04CBA"/>
    <w:rsid w:val="00A06AB2"/>
    <w:rsid w:val="00A07E63"/>
    <w:rsid w:val="00A31DC5"/>
    <w:rsid w:val="00A31FC8"/>
    <w:rsid w:val="00A36665"/>
    <w:rsid w:val="00A366DC"/>
    <w:rsid w:val="00A40C81"/>
    <w:rsid w:val="00A436CD"/>
    <w:rsid w:val="00A4675C"/>
    <w:rsid w:val="00A5180B"/>
    <w:rsid w:val="00A52486"/>
    <w:rsid w:val="00A55E36"/>
    <w:rsid w:val="00A61580"/>
    <w:rsid w:val="00A6457C"/>
    <w:rsid w:val="00A64A80"/>
    <w:rsid w:val="00A6770F"/>
    <w:rsid w:val="00A70CC4"/>
    <w:rsid w:val="00A7202E"/>
    <w:rsid w:val="00A74641"/>
    <w:rsid w:val="00A82047"/>
    <w:rsid w:val="00A83A87"/>
    <w:rsid w:val="00A8757B"/>
    <w:rsid w:val="00A92044"/>
    <w:rsid w:val="00A9727D"/>
    <w:rsid w:val="00AA16B9"/>
    <w:rsid w:val="00AA2678"/>
    <w:rsid w:val="00AA47DC"/>
    <w:rsid w:val="00AA4EB7"/>
    <w:rsid w:val="00AB624E"/>
    <w:rsid w:val="00AC2C09"/>
    <w:rsid w:val="00AC308E"/>
    <w:rsid w:val="00AC6B6F"/>
    <w:rsid w:val="00AE11FC"/>
    <w:rsid w:val="00AE624A"/>
    <w:rsid w:val="00AE6354"/>
    <w:rsid w:val="00AF15AF"/>
    <w:rsid w:val="00AF6BFD"/>
    <w:rsid w:val="00AF6EB4"/>
    <w:rsid w:val="00B01141"/>
    <w:rsid w:val="00B02E33"/>
    <w:rsid w:val="00B04CF2"/>
    <w:rsid w:val="00B064AE"/>
    <w:rsid w:val="00B0707F"/>
    <w:rsid w:val="00B12377"/>
    <w:rsid w:val="00B214A1"/>
    <w:rsid w:val="00B22D5C"/>
    <w:rsid w:val="00B263F0"/>
    <w:rsid w:val="00B2716E"/>
    <w:rsid w:val="00B32703"/>
    <w:rsid w:val="00B3564A"/>
    <w:rsid w:val="00B4751B"/>
    <w:rsid w:val="00B54313"/>
    <w:rsid w:val="00B5795C"/>
    <w:rsid w:val="00B60B5F"/>
    <w:rsid w:val="00B62F56"/>
    <w:rsid w:val="00B6496F"/>
    <w:rsid w:val="00B64F8D"/>
    <w:rsid w:val="00B8064D"/>
    <w:rsid w:val="00B80F06"/>
    <w:rsid w:val="00B827C6"/>
    <w:rsid w:val="00B84CEB"/>
    <w:rsid w:val="00B86AEA"/>
    <w:rsid w:val="00B92449"/>
    <w:rsid w:val="00B93F09"/>
    <w:rsid w:val="00BA28BB"/>
    <w:rsid w:val="00BA799C"/>
    <w:rsid w:val="00BB1390"/>
    <w:rsid w:val="00BB7582"/>
    <w:rsid w:val="00BC738E"/>
    <w:rsid w:val="00BD0576"/>
    <w:rsid w:val="00BE3042"/>
    <w:rsid w:val="00BE50D0"/>
    <w:rsid w:val="00BF021A"/>
    <w:rsid w:val="00BF16FE"/>
    <w:rsid w:val="00BF3BFD"/>
    <w:rsid w:val="00C012F5"/>
    <w:rsid w:val="00C0440B"/>
    <w:rsid w:val="00C059D5"/>
    <w:rsid w:val="00C068BC"/>
    <w:rsid w:val="00C17081"/>
    <w:rsid w:val="00C2082E"/>
    <w:rsid w:val="00C20A85"/>
    <w:rsid w:val="00C20C04"/>
    <w:rsid w:val="00C274F6"/>
    <w:rsid w:val="00C27FD4"/>
    <w:rsid w:val="00C32DC2"/>
    <w:rsid w:val="00C365E2"/>
    <w:rsid w:val="00C44EFB"/>
    <w:rsid w:val="00C54595"/>
    <w:rsid w:val="00C55264"/>
    <w:rsid w:val="00C5769E"/>
    <w:rsid w:val="00C6695C"/>
    <w:rsid w:val="00C942F5"/>
    <w:rsid w:val="00C97946"/>
    <w:rsid w:val="00CA46DA"/>
    <w:rsid w:val="00CA4F91"/>
    <w:rsid w:val="00CA7ABB"/>
    <w:rsid w:val="00CB1036"/>
    <w:rsid w:val="00CB374C"/>
    <w:rsid w:val="00CB57E5"/>
    <w:rsid w:val="00CB7EE8"/>
    <w:rsid w:val="00CC0BDA"/>
    <w:rsid w:val="00CC3B0C"/>
    <w:rsid w:val="00CC56AB"/>
    <w:rsid w:val="00CC6732"/>
    <w:rsid w:val="00CD1333"/>
    <w:rsid w:val="00CD4EFC"/>
    <w:rsid w:val="00CD787D"/>
    <w:rsid w:val="00CE432C"/>
    <w:rsid w:val="00CE6DBB"/>
    <w:rsid w:val="00D0520C"/>
    <w:rsid w:val="00D060CA"/>
    <w:rsid w:val="00D10976"/>
    <w:rsid w:val="00D12AAC"/>
    <w:rsid w:val="00D14555"/>
    <w:rsid w:val="00D17DCC"/>
    <w:rsid w:val="00D27077"/>
    <w:rsid w:val="00D31359"/>
    <w:rsid w:val="00D318BB"/>
    <w:rsid w:val="00D32DBA"/>
    <w:rsid w:val="00D32EF0"/>
    <w:rsid w:val="00D34665"/>
    <w:rsid w:val="00D35E52"/>
    <w:rsid w:val="00D36FA6"/>
    <w:rsid w:val="00D41E9A"/>
    <w:rsid w:val="00D523EB"/>
    <w:rsid w:val="00D53F31"/>
    <w:rsid w:val="00D5584D"/>
    <w:rsid w:val="00D62269"/>
    <w:rsid w:val="00D62EDC"/>
    <w:rsid w:val="00D63D44"/>
    <w:rsid w:val="00D87D7E"/>
    <w:rsid w:val="00D94795"/>
    <w:rsid w:val="00D97394"/>
    <w:rsid w:val="00D976DC"/>
    <w:rsid w:val="00DA244B"/>
    <w:rsid w:val="00DA324D"/>
    <w:rsid w:val="00DA5797"/>
    <w:rsid w:val="00DA7F88"/>
    <w:rsid w:val="00DB13EF"/>
    <w:rsid w:val="00DB52E7"/>
    <w:rsid w:val="00DB53FF"/>
    <w:rsid w:val="00DC0318"/>
    <w:rsid w:val="00DC049D"/>
    <w:rsid w:val="00DC38A4"/>
    <w:rsid w:val="00DC41B7"/>
    <w:rsid w:val="00DC4E37"/>
    <w:rsid w:val="00DC7AFA"/>
    <w:rsid w:val="00DD0492"/>
    <w:rsid w:val="00DD1D5F"/>
    <w:rsid w:val="00DE0048"/>
    <w:rsid w:val="00DE0269"/>
    <w:rsid w:val="00DE032E"/>
    <w:rsid w:val="00DF5AB4"/>
    <w:rsid w:val="00DF60BA"/>
    <w:rsid w:val="00DF6A85"/>
    <w:rsid w:val="00E012C5"/>
    <w:rsid w:val="00E023A9"/>
    <w:rsid w:val="00E07D1B"/>
    <w:rsid w:val="00E218E2"/>
    <w:rsid w:val="00E23FEE"/>
    <w:rsid w:val="00E272F6"/>
    <w:rsid w:val="00E278C5"/>
    <w:rsid w:val="00E311D3"/>
    <w:rsid w:val="00E548A7"/>
    <w:rsid w:val="00E57E49"/>
    <w:rsid w:val="00E61C50"/>
    <w:rsid w:val="00E65D4A"/>
    <w:rsid w:val="00E671DC"/>
    <w:rsid w:val="00E7237D"/>
    <w:rsid w:val="00E7705E"/>
    <w:rsid w:val="00E9249A"/>
    <w:rsid w:val="00EA50D7"/>
    <w:rsid w:val="00EA56BF"/>
    <w:rsid w:val="00EA5EC5"/>
    <w:rsid w:val="00EA66AC"/>
    <w:rsid w:val="00EB24B2"/>
    <w:rsid w:val="00EB33C9"/>
    <w:rsid w:val="00EC3533"/>
    <w:rsid w:val="00ED40D6"/>
    <w:rsid w:val="00ED6FE7"/>
    <w:rsid w:val="00ED75FA"/>
    <w:rsid w:val="00EF2F33"/>
    <w:rsid w:val="00EF596C"/>
    <w:rsid w:val="00F051C9"/>
    <w:rsid w:val="00F07750"/>
    <w:rsid w:val="00F1319C"/>
    <w:rsid w:val="00F15E93"/>
    <w:rsid w:val="00F17DE5"/>
    <w:rsid w:val="00F30A77"/>
    <w:rsid w:val="00F3361C"/>
    <w:rsid w:val="00F4393F"/>
    <w:rsid w:val="00F451BE"/>
    <w:rsid w:val="00F4635C"/>
    <w:rsid w:val="00F46A3A"/>
    <w:rsid w:val="00F5375D"/>
    <w:rsid w:val="00F5454E"/>
    <w:rsid w:val="00F56217"/>
    <w:rsid w:val="00F62ACA"/>
    <w:rsid w:val="00F65668"/>
    <w:rsid w:val="00F715C3"/>
    <w:rsid w:val="00F718BD"/>
    <w:rsid w:val="00F80507"/>
    <w:rsid w:val="00F83CD3"/>
    <w:rsid w:val="00F842C5"/>
    <w:rsid w:val="00F85F61"/>
    <w:rsid w:val="00F95487"/>
    <w:rsid w:val="00F95DEF"/>
    <w:rsid w:val="00FA1553"/>
    <w:rsid w:val="00FA4DF8"/>
    <w:rsid w:val="00FB45FB"/>
    <w:rsid w:val="00FB4B00"/>
    <w:rsid w:val="00FC09A1"/>
    <w:rsid w:val="00FC1781"/>
    <w:rsid w:val="00FC244F"/>
    <w:rsid w:val="00FC2470"/>
    <w:rsid w:val="00FC2C0F"/>
    <w:rsid w:val="00FC7E04"/>
    <w:rsid w:val="00FD79DA"/>
    <w:rsid w:val="00FE2ADC"/>
    <w:rsid w:val="00FE5997"/>
    <w:rsid w:val="00FF0950"/>
    <w:rsid w:val="00FF3341"/>
    <w:rsid w:val="00FF5484"/>
    <w:rsid w:val="00FF6BDD"/>
    <w:rsid w:val="0C79E7B2"/>
    <w:rsid w:val="138FE9CB"/>
    <w:rsid w:val="2C8553D4"/>
    <w:rsid w:val="338F7389"/>
    <w:rsid w:val="7D522D5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41A8223"/>
  <w14:defaultImageDpi w14:val="32767"/>
  <w15:docId w15:val="{182EC8EE-1EE2-40B6-904D-E8FAC53467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lsdException w:name="heading 1" w:uiPriority="0"/>
    <w:lsdException w:name="heading 2" w:uiPriority="0"/>
    <w:lsdException w:name="heading 3" w:uiPriority="0"/>
    <w:lsdException w:name="heading 4" w:uiPriority="0"/>
    <w:lsdException w:name="heading 5" w:uiPriority="0"/>
    <w:lsdException w:name="heading 6" w:uiPriority="0"/>
    <w:lsdException w:name="heading 7" w:uiPriority="0"/>
    <w:lsdException w:name="heading 8" w:uiPriority="0"/>
    <w:lsdException w:name="heading 9" w:uiPriority="0"/>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4C4EE9"/>
    <w:rPr>
      <w:sz w:val="24"/>
      <w:szCs w:val="24"/>
      <w:lang w:val="de-DE" w:eastAsia="de-DE"/>
    </w:rPr>
  </w:style>
  <w:style w:type="paragraph" w:styleId="Titre1">
    <w:name w:val="heading 1"/>
    <w:basedOn w:val="Normal"/>
    <w:next w:val="Normal"/>
    <w:rsid w:val="004C4EE9"/>
    <w:pPr>
      <w:keepNext/>
      <w:outlineLvl w:val="0"/>
    </w:pPr>
    <w:rPr>
      <w:b/>
      <w:sz w:val="28"/>
      <w:szCs w:val="20"/>
      <w:lang w:val="en-GB"/>
    </w:rPr>
  </w:style>
  <w:style w:type="paragraph" w:styleId="Titre2">
    <w:name w:val="heading 2"/>
    <w:basedOn w:val="Normal"/>
    <w:next w:val="Normal"/>
    <w:autoRedefine/>
    <w:rsid w:val="004C4EE9"/>
    <w:pPr>
      <w:keepNext/>
      <w:spacing w:before="240" w:after="60"/>
      <w:outlineLvl w:val="1"/>
    </w:pPr>
    <w:rPr>
      <w:rFonts w:cs="Arial"/>
      <w:bCs/>
      <w:iCs/>
      <w:sz w:val="22"/>
      <w:szCs w:val="22"/>
    </w:rPr>
  </w:style>
  <w:style w:type="paragraph" w:styleId="Titre3">
    <w:name w:val="heading 3"/>
    <w:basedOn w:val="Normal"/>
    <w:next w:val="Normal"/>
    <w:autoRedefine/>
    <w:rsid w:val="004C4EE9"/>
    <w:pPr>
      <w:keepNext/>
      <w:outlineLvl w:val="2"/>
    </w:pPr>
    <w:rPr>
      <w:b/>
      <w:lang w:val="en-GB"/>
    </w:rPr>
  </w:style>
  <w:style w:type="paragraph" w:styleId="Titre4">
    <w:name w:val="heading 4"/>
    <w:basedOn w:val="Normal"/>
    <w:next w:val="Normal"/>
    <w:rsid w:val="004C4EE9"/>
    <w:pPr>
      <w:keepNext/>
      <w:spacing w:before="240" w:after="60"/>
      <w:outlineLvl w:val="3"/>
    </w:pPr>
    <w:rPr>
      <w:b/>
      <w:bCs/>
      <w:sz w:val="28"/>
      <w:szCs w:val="28"/>
    </w:rPr>
  </w:style>
  <w:style w:type="paragraph" w:styleId="Titre5">
    <w:name w:val="heading 5"/>
    <w:basedOn w:val="Normal"/>
    <w:next w:val="Normal"/>
    <w:autoRedefine/>
    <w:rsid w:val="004C4EE9"/>
    <w:pPr>
      <w:keepNext/>
      <w:outlineLvl w:val="4"/>
    </w:pPr>
    <w:rPr>
      <w:b/>
      <w:sz w:val="20"/>
      <w:szCs w:val="20"/>
      <w:lang w:val="en-GB"/>
    </w:rPr>
  </w:style>
  <w:style w:type="paragraph" w:styleId="Titre6">
    <w:name w:val="heading 6"/>
    <w:basedOn w:val="Normal"/>
    <w:next w:val="Normal"/>
    <w:autoRedefine/>
    <w:rsid w:val="004C4EE9"/>
    <w:pPr>
      <w:keepNext/>
      <w:jc w:val="center"/>
      <w:outlineLvl w:val="5"/>
    </w:pPr>
    <w:rPr>
      <w:rFonts w:cs="Arial"/>
      <w:color w:val="000000"/>
      <w:sz w:val="22"/>
      <w:szCs w:val="22"/>
    </w:rPr>
  </w:style>
  <w:style w:type="paragraph" w:styleId="Titre7">
    <w:name w:val="heading 7"/>
    <w:basedOn w:val="Normal"/>
    <w:next w:val="Normal"/>
    <w:rsid w:val="004C4EE9"/>
    <w:pPr>
      <w:spacing w:before="240" w:after="60"/>
      <w:outlineLvl w:val="6"/>
    </w:pPr>
  </w:style>
  <w:style w:type="paragraph" w:styleId="Titre8">
    <w:name w:val="heading 8"/>
    <w:basedOn w:val="Normal"/>
    <w:next w:val="Normal"/>
    <w:rsid w:val="004C4EE9"/>
    <w:pPr>
      <w:spacing w:before="240" w:after="60"/>
      <w:outlineLvl w:val="7"/>
    </w:pPr>
    <w:rPr>
      <w:i/>
      <w:iCs/>
    </w:rPr>
  </w:style>
  <w:style w:type="paragraph" w:styleId="Titre9">
    <w:name w:val="heading 9"/>
    <w:basedOn w:val="Normal"/>
    <w:next w:val="Normal"/>
    <w:rsid w:val="004C4EE9"/>
    <w:pPr>
      <w:spacing w:before="240" w:after="60"/>
      <w:outlineLvl w:val="8"/>
    </w:pPr>
    <w:rPr>
      <w:rFonts w:ascii="Arial" w:hAnsi="Arial"/>
      <w:sz w:val="22"/>
      <w:szCs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Listepuces">
    <w:name w:val="List Bullet"/>
    <w:basedOn w:val="Normal"/>
    <w:autoRedefine/>
    <w:rsid w:val="00A55E36"/>
    <w:pPr>
      <w:numPr>
        <w:numId w:val="1"/>
      </w:numPr>
    </w:pPr>
  </w:style>
  <w:style w:type="character" w:customStyle="1" w:styleId="texto">
    <w:name w:val="texto"/>
    <w:basedOn w:val="Policepardfaut"/>
    <w:rsid w:val="00A6457C"/>
  </w:style>
  <w:style w:type="character" w:styleId="Marquedecommentaire">
    <w:name w:val="annotation reference"/>
    <w:basedOn w:val="Policepardfaut"/>
    <w:semiHidden/>
    <w:rsid w:val="009E4985"/>
    <w:rPr>
      <w:sz w:val="16"/>
      <w:szCs w:val="16"/>
    </w:rPr>
  </w:style>
  <w:style w:type="paragraph" w:styleId="Commentaire">
    <w:name w:val="annotation text"/>
    <w:basedOn w:val="Normal"/>
    <w:semiHidden/>
    <w:rsid w:val="009E4985"/>
    <w:rPr>
      <w:sz w:val="20"/>
      <w:szCs w:val="20"/>
    </w:rPr>
  </w:style>
  <w:style w:type="character" w:customStyle="1" w:styleId="SWCBulletedListCar">
    <w:name w:val="SWC_BulletedList Car"/>
    <w:basedOn w:val="Policepardfaut"/>
    <w:link w:val="SWCBulletedList"/>
    <w:rsid w:val="009F6AF8"/>
    <w:rPr>
      <w:rFonts w:cs="Minion Pro"/>
      <w:color w:val="000000"/>
      <w:szCs w:val="22"/>
      <w:lang w:val="en-US" w:eastAsia="de-DE" w:bidi="ar-SA"/>
    </w:rPr>
  </w:style>
  <w:style w:type="paragraph" w:customStyle="1" w:styleId="SWCBulletedList">
    <w:name w:val="SWC_BulletedList"/>
    <w:link w:val="SWCBulletedListCar"/>
    <w:qFormat/>
    <w:rsid w:val="009F6AF8"/>
    <w:pPr>
      <w:numPr>
        <w:numId w:val="3"/>
      </w:numPr>
      <w:tabs>
        <w:tab w:val="clear" w:pos="1654"/>
        <w:tab w:val="num" w:pos="360"/>
        <w:tab w:val="left" w:pos="600"/>
      </w:tabs>
      <w:spacing w:after="100" w:line="240" w:lineRule="exact"/>
      <w:ind w:left="240" w:firstLine="0"/>
    </w:pPr>
    <w:rPr>
      <w:rFonts w:cs="Minion Pro"/>
      <w:color w:val="000000"/>
      <w:szCs w:val="22"/>
      <w:lang w:val="en-US" w:eastAsia="de-DE"/>
    </w:rPr>
  </w:style>
  <w:style w:type="paragraph" w:customStyle="1" w:styleId="SWCAuthorOrganisation">
    <w:name w:val="SWC_AuthorOrganisation"/>
    <w:basedOn w:val="CPV-07Author"/>
    <w:qFormat/>
    <w:rsid w:val="002D322C"/>
    <w:pPr>
      <w:spacing w:before="60"/>
    </w:pPr>
    <w:rPr>
      <w:b w:val="0"/>
      <w:sz w:val="16"/>
      <w:szCs w:val="20"/>
    </w:rPr>
  </w:style>
  <w:style w:type="paragraph" w:customStyle="1" w:styleId="CPV-07Author">
    <w:name w:val="CPV-07_Author"/>
    <w:autoRedefine/>
    <w:rsid w:val="002D322C"/>
    <w:pPr>
      <w:tabs>
        <w:tab w:val="left" w:pos="136"/>
      </w:tabs>
      <w:spacing w:after="60" w:line="280" w:lineRule="exact"/>
      <w:jc w:val="center"/>
    </w:pPr>
    <w:rPr>
      <w:rFonts w:ascii="Helvetica" w:hAnsi="Helvetica"/>
      <w:b/>
      <w:color w:val="000000"/>
      <w:sz w:val="18"/>
      <w:szCs w:val="22"/>
      <w:lang w:val="de-DE" w:eastAsia="de-DE"/>
    </w:rPr>
  </w:style>
  <w:style w:type="paragraph" w:customStyle="1" w:styleId="CPV-7Title">
    <w:name w:val="CPV-7_Title"/>
    <w:autoRedefine/>
    <w:rsid w:val="00F715C3"/>
    <w:pPr>
      <w:spacing w:after="380" w:line="340" w:lineRule="exact"/>
      <w:jc w:val="center"/>
    </w:pPr>
    <w:rPr>
      <w:rFonts w:ascii="Arial" w:hAnsi="Arial"/>
      <w:b/>
      <w:color w:val="000000"/>
      <w:sz w:val="28"/>
      <w:szCs w:val="28"/>
      <w:lang w:val="en-US" w:eastAsia="de-DE"/>
    </w:rPr>
  </w:style>
  <w:style w:type="paragraph" w:customStyle="1" w:styleId="SWCText">
    <w:name w:val="SWC_Text"/>
    <w:qFormat/>
    <w:rsid w:val="009F6AF8"/>
    <w:pPr>
      <w:widowControl w:val="0"/>
      <w:spacing w:after="120" w:line="276" w:lineRule="auto"/>
      <w:jc w:val="both"/>
    </w:pPr>
    <w:rPr>
      <w:color w:val="000000"/>
      <w:szCs w:val="22"/>
      <w:lang w:val="en-US" w:eastAsia="de-DE"/>
    </w:rPr>
  </w:style>
  <w:style w:type="paragraph" w:customStyle="1" w:styleId="SP09Abstract">
    <w:name w:val="SP09_Abstract"/>
    <w:autoRedefine/>
    <w:rsid w:val="00A6457C"/>
    <w:pPr>
      <w:spacing w:after="60" w:line="276" w:lineRule="auto"/>
      <w:ind w:left="284" w:right="284"/>
      <w:jc w:val="both"/>
    </w:pPr>
    <w:rPr>
      <w:color w:val="000000"/>
      <w:sz w:val="22"/>
      <w:szCs w:val="22"/>
      <w:lang w:val="en-GB" w:eastAsia="de-DE"/>
    </w:rPr>
  </w:style>
  <w:style w:type="paragraph" w:customStyle="1" w:styleId="SP09AbstractTitle">
    <w:name w:val="SP09_AbstractTitle"/>
    <w:autoRedefine/>
    <w:rsid w:val="00514890"/>
    <w:pPr>
      <w:spacing w:after="160" w:line="280" w:lineRule="exact"/>
      <w:jc w:val="center"/>
    </w:pPr>
    <w:rPr>
      <w:b/>
      <w:color w:val="000000"/>
      <w:sz w:val="22"/>
      <w:szCs w:val="22"/>
      <w:lang w:val="en-GB" w:eastAsia="de-DE"/>
    </w:rPr>
  </w:style>
  <w:style w:type="paragraph" w:customStyle="1" w:styleId="CPV-7Equation">
    <w:name w:val="CPV-7_Equation"/>
    <w:autoRedefine/>
    <w:rsid w:val="00AC2C09"/>
    <w:pPr>
      <w:spacing w:before="180" w:after="240" w:line="280" w:lineRule="atLeast"/>
      <w:jc w:val="center"/>
    </w:pPr>
    <w:rPr>
      <w:color w:val="000000"/>
      <w:sz w:val="22"/>
      <w:szCs w:val="22"/>
      <w:lang w:val="en-GB" w:eastAsia="de-DE"/>
    </w:rPr>
  </w:style>
  <w:style w:type="paragraph" w:customStyle="1" w:styleId="SP09FigureCaption">
    <w:name w:val="SP09_FigureCaption"/>
    <w:autoRedefine/>
    <w:rsid w:val="007954D9"/>
    <w:pPr>
      <w:spacing w:before="160" w:after="240" w:line="240" w:lineRule="atLeast"/>
      <w:jc w:val="center"/>
    </w:pPr>
    <w:rPr>
      <w:color w:val="000000"/>
      <w:szCs w:val="22"/>
      <w:lang w:val="en-GB" w:eastAsia="de-DE"/>
    </w:rPr>
  </w:style>
  <w:style w:type="paragraph" w:customStyle="1" w:styleId="CPV-7Heading1Character">
    <w:name w:val="CPV-7_Heading1Character"/>
    <w:link w:val="CPV-7Heading1CharacterZchnZchn"/>
    <w:autoRedefine/>
    <w:rsid w:val="00FE2ADC"/>
    <w:pPr>
      <w:spacing w:before="240" w:after="180" w:line="280" w:lineRule="exact"/>
    </w:pPr>
    <w:rPr>
      <w:b/>
      <w:color w:val="000000"/>
      <w:sz w:val="22"/>
      <w:szCs w:val="24"/>
      <w:lang w:val="en-US" w:eastAsia="de-DE"/>
    </w:rPr>
  </w:style>
  <w:style w:type="character" w:customStyle="1" w:styleId="CPV-7Heading1CharacterZchnZchn">
    <w:name w:val="CPV-7_Heading1Character Zchn Zchn"/>
    <w:basedOn w:val="Policepardfaut"/>
    <w:link w:val="CPV-7Heading1Character"/>
    <w:rsid w:val="00FE2ADC"/>
    <w:rPr>
      <w:b/>
      <w:color w:val="000000"/>
      <w:sz w:val="22"/>
      <w:szCs w:val="24"/>
      <w:lang w:val="en-US" w:eastAsia="de-DE" w:bidi="ar-SA"/>
    </w:rPr>
  </w:style>
  <w:style w:type="paragraph" w:customStyle="1" w:styleId="SWCHeading11">
    <w:name w:val="SWC_Heading1.1"/>
    <w:basedOn w:val="SWCHeading1"/>
    <w:next w:val="Normal"/>
    <w:qFormat/>
    <w:rsid w:val="009F7C7E"/>
    <w:pPr>
      <w:numPr>
        <w:numId w:val="0"/>
      </w:numPr>
      <w:spacing w:before="160" w:after="80" w:line="240" w:lineRule="exact"/>
      <w:jc w:val="left"/>
    </w:pPr>
    <w:rPr>
      <w:b w:val="0"/>
      <w:i/>
      <w:szCs w:val="22"/>
      <w:lang w:val="en-GB"/>
    </w:rPr>
  </w:style>
  <w:style w:type="paragraph" w:customStyle="1" w:styleId="SWCReferences">
    <w:name w:val="SWC_References"/>
    <w:rsid w:val="00225724"/>
    <w:pPr>
      <w:tabs>
        <w:tab w:val="left" w:pos="480"/>
      </w:tabs>
      <w:spacing w:after="120" w:line="240" w:lineRule="exact"/>
      <w:ind w:left="480" w:hanging="480"/>
    </w:pPr>
    <w:rPr>
      <w:color w:val="000000"/>
      <w:lang w:val="en-GB" w:eastAsia="de-DE"/>
    </w:rPr>
  </w:style>
  <w:style w:type="paragraph" w:styleId="Objetducommentaire">
    <w:name w:val="annotation subject"/>
    <w:basedOn w:val="Commentaire"/>
    <w:next w:val="Commentaire"/>
    <w:semiHidden/>
    <w:rsid w:val="009E4985"/>
    <w:rPr>
      <w:b/>
      <w:bCs/>
    </w:rPr>
  </w:style>
  <w:style w:type="paragraph" w:customStyle="1" w:styleId="SWCTableFigureCaption">
    <w:name w:val="SWC_TableFigureCaption"/>
    <w:qFormat/>
    <w:rsid w:val="000067DB"/>
    <w:pPr>
      <w:tabs>
        <w:tab w:val="left" w:pos="136"/>
        <w:tab w:val="left" w:pos="278"/>
      </w:tabs>
      <w:spacing w:before="80" w:after="160" w:line="276" w:lineRule="auto"/>
      <w:ind w:left="57" w:right="57"/>
      <w:jc w:val="center"/>
    </w:pPr>
    <w:rPr>
      <w:b/>
      <w:color w:val="000000"/>
      <w:sz w:val="16"/>
      <w:lang w:val="en-US" w:eastAsia="de-DE"/>
    </w:rPr>
  </w:style>
  <w:style w:type="character" w:styleId="Lienhypertexte">
    <w:name w:val="Hyperlink"/>
    <w:basedOn w:val="Policepardfaut"/>
    <w:rsid w:val="005D5CF6"/>
    <w:rPr>
      <w:color w:val="0000FF"/>
      <w:u w:val="single"/>
    </w:rPr>
  </w:style>
  <w:style w:type="paragraph" w:styleId="Textedebulles">
    <w:name w:val="Balloon Text"/>
    <w:basedOn w:val="Normal"/>
    <w:semiHidden/>
    <w:rsid w:val="009E4985"/>
    <w:rPr>
      <w:rFonts w:ascii="Tahoma" w:hAnsi="Tahoma" w:cs="Tahoma"/>
      <w:sz w:val="16"/>
      <w:szCs w:val="16"/>
    </w:rPr>
  </w:style>
  <w:style w:type="paragraph" w:customStyle="1" w:styleId="SP09Heading111">
    <w:name w:val="SP09_Heading1.1.1"/>
    <w:basedOn w:val="Normal"/>
    <w:rsid w:val="00DC0318"/>
    <w:pPr>
      <w:spacing w:before="160" w:after="80" w:line="240" w:lineRule="exact"/>
    </w:pPr>
    <w:rPr>
      <w:b/>
      <w:color w:val="000000"/>
      <w:sz w:val="20"/>
      <w:szCs w:val="22"/>
      <w:lang w:val="en-US"/>
    </w:rPr>
  </w:style>
  <w:style w:type="table" w:styleId="Grilledutableau">
    <w:name w:val="Table Grid"/>
    <w:basedOn w:val="TableauNormal"/>
    <w:uiPriority w:val="39"/>
    <w:rsid w:val="006309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iliations">
    <w:name w:val="Affiliations"/>
    <w:basedOn w:val="Normal"/>
    <w:next w:val="AuthorAdress"/>
    <w:rsid w:val="00155FB8"/>
    <w:pPr>
      <w:spacing w:after="240"/>
      <w:jc w:val="center"/>
    </w:pPr>
    <w:rPr>
      <w:szCs w:val="20"/>
      <w:lang w:val="en-GB" w:eastAsia="es-ES"/>
    </w:rPr>
  </w:style>
  <w:style w:type="paragraph" w:customStyle="1" w:styleId="AuthorAdress">
    <w:name w:val="AuthorAdress"/>
    <w:basedOn w:val="Normal"/>
    <w:next w:val="Affiliations"/>
    <w:rsid w:val="00155FB8"/>
    <w:pPr>
      <w:spacing w:after="120" w:line="320" w:lineRule="atLeast"/>
      <w:jc w:val="center"/>
    </w:pPr>
    <w:rPr>
      <w:i/>
      <w:lang w:val="en-GB" w:eastAsia="es-ES"/>
    </w:rPr>
  </w:style>
  <w:style w:type="paragraph" w:customStyle="1" w:styleId="TableText">
    <w:name w:val="TableText"/>
    <w:basedOn w:val="Normal"/>
    <w:next w:val="Normal"/>
    <w:rsid w:val="00155FB8"/>
    <w:pPr>
      <w:jc w:val="center"/>
    </w:pPr>
    <w:rPr>
      <w:sz w:val="20"/>
      <w:szCs w:val="20"/>
      <w:lang w:val="es-ES" w:eastAsia="es-ES"/>
    </w:rPr>
  </w:style>
  <w:style w:type="paragraph" w:customStyle="1" w:styleId="Text">
    <w:name w:val="Text"/>
    <w:basedOn w:val="Normal"/>
    <w:rsid w:val="009B4816"/>
    <w:pPr>
      <w:spacing w:after="240" w:line="320" w:lineRule="atLeast"/>
      <w:jc w:val="both"/>
    </w:pPr>
    <w:rPr>
      <w:szCs w:val="20"/>
      <w:lang w:val="en-GB" w:eastAsia="es-ES"/>
    </w:rPr>
  </w:style>
  <w:style w:type="paragraph" w:customStyle="1" w:styleId="FigureCaption">
    <w:name w:val="FigureCaption"/>
    <w:basedOn w:val="Normal"/>
    <w:next w:val="Normal"/>
    <w:rsid w:val="00AC2C09"/>
    <w:pPr>
      <w:jc w:val="center"/>
    </w:pPr>
    <w:rPr>
      <w:szCs w:val="20"/>
      <w:lang w:val="es-ES" w:eastAsia="es-ES"/>
    </w:rPr>
  </w:style>
  <w:style w:type="paragraph" w:customStyle="1" w:styleId="Title2">
    <w:name w:val="Title2"/>
    <w:basedOn w:val="Normal"/>
    <w:link w:val="Title2CarCar"/>
    <w:rsid w:val="00AC2C09"/>
    <w:pPr>
      <w:keepNext/>
      <w:spacing w:before="240" w:after="120" w:line="320" w:lineRule="atLeast"/>
    </w:pPr>
    <w:rPr>
      <w:b/>
      <w:szCs w:val="20"/>
      <w:lang w:val="en-GB" w:eastAsia="es-ES"/>
    </w:rPr>
  </w:style>
  <w:style w:type="character" w:customStyle="1" w:styleId="Title2CarCar">
    <w:name w:val="Title2 Car Car"/>
    <w:basedOn w:val="Policepardfaut"/>
    <w:link w:val="Title2"/>
    <w:rsid w:val="00AC2C09"/>
    <w:rPr>
      <w:b/>
      <w:sz w:val="24"/>
      <w:lang w:val="en-GB" w:eastAsia="es-ES" w:bidi="ar-SA"/>
    </w:rPr>
  </w:style>
  <w:style w:type="paragraph" w:customStyle="1" w:styleId="Default">
    <w:name w:val="Default"/>
    <w:rsid w:val="00FC09A1"/>
    <w:pPr>
      <w:autoSpaceDE w:val="0"/>
      <w:autoSpaceDN w:val="0"/>
      <w:adjustRightInd w:val="0"/>
    </w:pPr>
    <w:rPr>
      <w:color w:val="000000"/>
      <w:sz w:val="24"/>
      <w:szCs w:val="24"/>
      <w:lang w:val="de-DE" w:eastAsia="de-DE"/>
    </w:rPr>
  </w:style>
  <w:style w:type="paragraph" w:customStyle="1" w:styleId="SWCTableHeader">
    <w:name w:val="SWC_TableHeader"/>
    <w:qFormat/>
    <w:rsid w:val="00F715C3"/>
    <w:pPr>
      <w:spacing w:after="80"/>
      <w:jc w:val="center"/>
    </w:pPr>
    <w:rPr>
      <w:b/>
      <w:bCs/>
      <w:color w:val="000000"/>
      <w:lang w:val="en-GB" w:eastAsia="de-DE"/>
    </w:rPr>
  </w:style>
  <w:style w:type="paragraph" w:customStyle="1" w:styleId="SWCTableText">
    <w:name w:val="SWC_TableText"/>
    <w:qFormat/>
    <w:rsid w:val="00F715C3"/>
    <w:pPr>
      <w:spacing w:after="80"/>
      <w:jc w:val="center"/>
    </w:pPr>
    <w:rPr>
      <w:color w:val="000000"/>
      <w:lang w:val="en-GB" w:eastAsia="de-DE"/>
    </w:rPr>
  </w:style>
  <w:style w:type="paragraph" w:customStyle="1" w:styleId="SWCAuthor">
    <w:name w:val="SWC_Author"/>
    <w:qFormat/>
    <w:rsid w:val="00A436CD"/>
    <w:pPr>
      <w:tabs>
        <w:tab w:val="left" w:pos="136"/>
      </w:tabs>
      <w:spacing w:after="60" w:line="280" w:lineRule="exact"/>
      <w:jc w:val="center"/>
    </w:pPr>
    <w:rPr>
      <w:rFonts w:ascii="Arial" w:hAnsi="Arial"/>
      <w:b/>
      <w:color w:val="000000"/>
      <w:sz w:val="18"/>
      <w:szCs w:val="22"/>
      <w:lang w:val="de-DE" w:eastAsia="de-DE"/>
    </w:rPr>
  </w:style>
  <w:style w:type="paragraph" w:customStyle="1" w:styleId="SWCHeading1">
    <w:name w:val="SWC_Heading1"/>
    <w:next w:val="Normal"/>
    <w:link w:val="SWCHeading1Car"/>
    <w:qFormat/>
    <w:rsid w:val="002972D1"/>
    <w:pPr>
      <w:numPr>
        <w:numId w:val="11"/>
      </w:numPr>
      <w:spacing w:before="360" w:after="120" w:line="280" w:lineRule="exact"/>
      <w:ind w:left="714" w:hanging="357"/>
      <w:jc w:val="center"/>
    </w:pPr>
    <w:rPr>
      <w:rFonts w:ascii="Arial" w:hAnsi="Arial"/>
      <w:b/>
      <w:color w:val="000000"/>
      <w:szCs w:val="24"/>
      <w:lang w:val="en-US" w:eastAsia="de-DE"/>
    </w:rPr>
  </w:style>
  <w:style w:type="paragraph" w:customStyle="1" w:styleId="SP09Heading11">
    <w:name w:val="SP09_Heading1.1"/>
    <w:next w:val="Normal"/>
    <w:rsid w:val="00DC0318"/>
    <w:pPr>
      <w:spacing w:before="160" w:after="80" w:line="240" w:lineRule="exact"/>
    </w:pPr>
    <w:rPr>
      <w:rFonts w:ascii="Arial" w:hAnsi="Arial"/>
      <w:i/>
      <w:color w:val="000000"/>
      <w:szCs w:val="22"/>
      <w:lang w:val="en-GB" w:eastAsia="de-DE"/>
    </w:rPr>
  </w:style>
  <w:style w:type="paragraph" w:customStyle="1" w:styleId="SWCTitle">
    <w:name w:val="SWC_Title"/>
    <w:basedOn w:val="SWCHeading1"/>
    <w:qFormat/>
    <w:rsid w:val="00395E5A"/>
    <w:pPr>
      <w:numPr>
        <w:numId w:val="0"/>
      </w:numPr>
    </w:pPr>
    <w:rPr>
      <w:sz w:val="24"/>
    </w:rPr>
  </w:style>
  <w:style w:type="paragraph" w:styleId="Notedebasdepage">
    <w:name w:val="footnote text"/>
    <w:basedOn w:val="Normal"/>
    <w:semiHidden/>
    <w:rsid w:val="003869E8"/>
    <w:rPr>
      <w:sz w:val="20"/>
      <w:szCs w:val="20"/>
    </w:rPr>
  </w:style>
  <w:style w:type="character" w:styleId="Appelnotedebasdep">
    <w:name w:val="footnote reference"/>
    <w:basedOn w:val="Policepardfaut"/>
    <w:semiHidden/>
    <w:rsid w:val="003869E8"/>
    <w:rPr>
      <w:vertAlign w:val="superscript"/>
    </w:rPr>
  </w:style>
  <w:style w:type="paragraph" w:customStyle="1" w:styleId="SWCSummary">
    <w:name w:val="SWC_Summary"/>
    <w:basedOn w:val="SWCHeading1"/>
    <w:link w:val="SWCSummaryCar"/>
    <w:qFormat/>
    <w:rsid w:val="001A775B"/>
    <w:pPr>
      <w:numPr>
        <w:numId w:val="0"/>
      </w:numPr>
    </w:pPr>
  </w:style>
  <w:style w:type="character" w:customStyle="1" w:styleId="SWCHeading1Car">
    <w:name w:val="SWC_Heading1 Car"/>
    <w:basedOn w:val="Policepardfaut"/>
    <w:link w:val="SWCHeading1"/>
    <w:rsid w:val="001A775B"/>
    <w:rPr>
      <w:rFonts w:ascii="Arial" w:hAnsi="Arial"/>
      <w:b/>
      <w:color w:val="000000"/>
      <w:szCs w:val="24"/>
      <w:lang w:val="en-US" w:eastAsia="de-DE"/>
    </w:rPr>
  </w:style>
  <w:style w:type="character" w:customStyle="1" w:styleId="SWCSummaryCar">
    <w:name w:val="SWC_Summary Car"/>
    <w:basedOn w:val="SWCHeading1Car"/>
    <w:link w:val="SWCSummary"/>
    <w:rsid w:val="001A775B"/>
    <w:rPr>
      <w:rFonts w:ascii="Arial" w:hAnsi="Arial"/>
      <w:b/>
      <w:color w:val="000000"/>
      <w:szCs w:val="24"/>
      <w:lang w:val="en-US" w:eastAsia="de-DE"/>
    </w:rPr>
  </w:style>
  <w:style w:type="character" w:styleId="Textedelespacerserv">
    <w:name w:val="Placeholder Text"/>
    <w:basedOn w:val="Policepardfaut"/>
    <w:uiPriority w:val="99"/>
    <w:semiHidden/>
    <w:rsid w:val="00653551"/>
    <w:rPr>
      <w:color w:val="808080"/>
    </w:rPr>
  </w:style>
  <w:style w:type="character" w:customStyle="1" w:styleId="NichtaufgelsteErwhnung1">
    <w:name w:val="Nicht aufgelöste Erwähnung1"/>
    <w:basedOn w:val="Policepardfaut"/>
    <w:uiPriority w:val="99"/>
    <w:semiHidden/>
    <w:unhideWhenUsed/>
    <w:rsid w:val="00E218E2"/>
    <w:rPr>
      <w:color w:val="605E5C"/>
      <w:shd w:val="clear" w:color="auto" w:fill="E1DFDD"/>
    </w:rPr>
  </w:style>
  <w:style w:type="paragraph" w:styleId="Rvision">
    <w:name w:val="Revision"/>
    <w:hidden/>
    <w:uiPriority w:val="99"/>
    <w:semiHidden/>
    <w:rsid w:val="00FA4DF8"/>
    <w:rPr>
      <w:sz w:val="24"/>
      <w:szCs w:val="24"/>
      <w:lang w:val="de-DE" w:eastAsia="de-DE"/>
    </w:rPr>
  </w:style>
  <w:style w:type="paragraph" w:styleId="Titre">
    <w:name w:val="Title"/>
    <w:basedOn w:val="Normal"/>
    <w:next w:val="Normal"/>
    <w:link w:val="TitreCar"/>
    <w:uiPriority w:val="10"/>
    <w:qFormat/>
    <w:rsid w:val="00D060CA"/>
    <w:pPr>
      <w:spacing w:line="280" w:lineRule="exact"/>
      <w:jc w:val="center"/>
      <w:outlineLvl w:val="0"/>
    </w:pPr>
    <w:rPr>
      <w:rFonts w:eastAsiaTheme="minorHAnsi" w:cstheme="minorBidi"/>
      <w:b/>
      <w:bCs/>
      <w:lang w:val="en-US" w:eastAsia="en-US"/>
    </w:rPr>
  </w:style>
  <w:style w:type="character" w:customStyle="1" w:styleId="TitreCar">
    <w:name w:val="Titre Car"/>
    <w:basedOn w:val="Policepardfaut"/>
    <w:link w:val="Titre"/>
    <w:uiPriority w:val="10"/>
    <w:rsid w:val="00D060CA"/>
    <w:rPr>
      <w:rFonts w:eastAsiaTheme="minorHAnsi" w:cstheme="minorBidi"/>
      <w:b/>
      <w:bCs/>
      <w:sz w:val="24"/>
      <w:szCs w:val="24"/>
      <w:lang w:val="en-US" w:eastAsia="en-US"/>
    </w:rPr>
  </w:style>
  <w:style w:type="paragraph" w:styleId="Bibliographie">
    <w:name w:val="Bibliography"/>
    <w:basedOn w:val="Normal"/>
    <w:next w:val="Normal"/>
    <w:uiPriority w:val="37"/>
    <w:unhideWhenUsed/>
    <w:rsid w:val="00085133"/>
    <w:pPr>
      <w:ind w:left="720" w:hanging="720"/>
    </w:pPr>
  </w:style>
  <w:style w:type="paragraph" w:styleId="Lgende">
    <w:name w:val="caption"/>
    <w:aliases w:val="Caption_0"/>
    <w:basedOn w:val="Normal"/>
    <w:next w:val="Normal"/>
    <w:uiPriority w:val="35"/>
    <w:unhideWhenUsed/>
    <w:qFormat/>
    <w:rsid w:val="00085133"/>
    <w:pPr>
      <w:keepNext/>
      <w:spacing w:after="60"/>
      <w:jc w:val="center"/>
    </w:pPr>
    <w:rPr>
      <w:rFonts w:eastAsiaTheme="minorHAnsi" w:cstheme="minorBidi"/>
      <w:i/>
      <w:iCs/>
      <w:sz w:val="18"/>
      <w:szCs w:val="18"/>
      <w:lang w:val="en-US" w:eastAsia="en-US"/>
    </w:rPr>
  </w:style>
  <w:style w:type="paragraph" w:customStyle="1" w:styleId="Table">
    <w:name w:val="Table"/>
    <w:basedOn w:val="Normal"/>
    <w:qFormat/>
    <w:rsid w:val="00085133"/>
    <w:pPr>
      <w:jc w:val="center"/>
    </w:pPr>
    <w:rPr>
      <w:rFonts w:eastAsiaTheme="minorHAnsi" w:cstheme="minorBidi"/>
      <w:bCs/>
      <w:sz w:val="18"/>
      <w:szCs w:val="18"/>
      <w:lang w:val="en-US" w:eastAsia="en-US"/>
    </w:rPr>
  </w:style>
  <w:style w:type="paragraph" w:styleId="NormalWeb">
    <w:name w:val="Normal (Web)"/>
    <w:basedOn w:val="Normal"/>
    <w:uiPriority w:val="99"/>
    <w:semiHidden/>
    <w:unhideWhenUsed/>
    <w:rsid w:val="00291243"/>
  </w:style>
  <w:style w:type="paragraph" w:styleId="Paragraphedeliste">
    <w:name w:val="List Paragraph"/>
    <w:basedOn w:val="Normal"/>
    <w:uiPriority w:val="34"/>
    <w:rsid w:val="00684F88"/>
    <w:pPr>
      <w:ind w:left="720"/>
      <w:contextualSpacing/>
    </w:pPr>
  </w:style>
  <w:style w:type="character" w:styleId="Mentionnonrsolue">
    <w:name w:val="Unresolved Mention"/>
    <w:basedOn w:val="Policepardfaut"/>
    <w:uiPriority w:val="99"/>
    <w:semiHidden/>
    <w:unhideWhenUsed/>
    <w:rsid w:val="00D27077"/>
    <w:rPr>
      <w:color w:val="605E5C"/>
      <w:shd w:val="clear" w:color="auto" w:fill="E1DFDD"/>
    </w:rPr>
  </w:style>
  <w:style w:type="character" w:styleId="Lienhypertextesuivivisit">
    <w:name w:val="FollowedHyperlink"/>
    <w:basedOn w:val="Policepardfaut"/>
    <w:uiPriority w:val="99"/>
    <w:semiHidden/>
    <w:unhideWhenUsed/>
    <w:rsid w:val="00B5795C"/>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alome.bonnin@holcim.com%20%20r" TargetMode="External"/><Relationship Id="rId13"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kevyn.johannes@insa-lyon.fr"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frederic.kuznik@insa-lyon.fr" TargetMode="External"/><Relationship Id="rId5" Type="http://schemas.openxmlformats.org/officeDocument/2006/relationships/webSettings" Target="webSettings.xml"/><Relationship Id="rId15" Type="http://schemas.openxmlformats.org/officeDocument/2006/relationships/image" Target="media/image3.png"/><Relationship Id="rId10" Type="http://schemas.openxmlformats.org/officeDocument/2006/relationships/hyperlink" Target="mailto:edouard.gengembre@holcim.com" TargetMode="External"/><Relationship Id="rId4" Type="http://schemas.openxmlformats.org/officeDocument/2006/relationships/settings" Target="settings.xml"/><Relationship Id="rId9" Type="http://schemas.openxmlformats.org/officeDocument/2006/relationships/hyperlink" Target="mailto:alexandre.malley@univ-lyon.fr" TargetMode="External"/><Relationship Id="rId14" Type="http://schemas.openxmlformats.org/officeDocument/2006/relationships/image" Target="media/image2.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2FC0B9-1264-4AA4-B888-3E543AC5F3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2289</TotalTime>
  <Pages>9</Pages>
  <Words>11618</Words>
  <Characters>66226</Characters>
  <Application>Microsoft Office Word</Application>
  <DocSecurity>0</DocSecurity>
  <Lines>551</Lines>
  <Paragraphs>155</Paragraphs>
  <ScaleCrop>false</ScaleCrop>
  <HeadingPairs>
    <vt:vector size="2" baseType="variant">
      <vt:variant>
        <vt:lpstr>Titre</vt:lpstr>
      </vt:variant>
      <vt:variant>
        <vt:i4>1</vt:i4>
      </vt:variant>
    </vt:vector>
  </HeadingPairs>
  <TitlesOfParts>
    <vt:vector size="1" baseType="lpstr">
      <vt:lpstr>ISES SWC2015 – Paper Formatting Guidelines</vt:lpstr>
    </vt:vector>
  </TitlesOfParts>
  <Company>Oxford Brookes University</Company>
  <LinksUpToDate>false</LinksUpToDate>
  <CharactersWithSpaces>77689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ISES SWC2015 – Paper Formatting Guidelines</dc:title>
  <dc:creator>ISES</dc:creator>
  <cp:lastModifiedBy>Salomé BONNIN</cp:lastModifiedBy>
  <cp:revision>193</cp:revision>
  <cp:lastPrinted>2023-02-22T09:40:00Z</cp:lastPrinted>
  <dcterms:created xsi:type="dcterms:W3CDTF">2025-12-03T11:26:00Z</dcterms:created>
  <dcterms:modified xsi:type="dcterms:W3CDTF">2026-09-09T12:04:00Z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ZOTERO_PREF_1">
    <vt:lpwstr>&lt;data data-version="3" zotero-version="7.0.27"&gt;&lt;session id="EL48ucz5"/&gt;&lt;style id="http://www.zotero.org/styles/solar-energy" hasBibliography="1" bibliographyStyleHasBeenSet="1"/&gt;&lt;prefs&gt;&lt;pref name="fieldType" value="Field"/&gt;&lt;/prefs&gt;&lt;/data&gt;</vt:lpwstr>
  </property>
</Properties>
</file>