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7FED30AA" w:rsidR="00D32EF0" w:rsidRDefault="002F6A27" w:rsidP="00B32703">
      <w:pPr>
        <w:pStyle w:val="SWCTitle"/>
        <w:rPr>
          <w:sz w:val="28"/>
          <w:szCs w:val="28"/>
        </w:rPr>
      </w:pPr>
      <w:r w:rsidRPr="002F6A27">
        <w:rPr>
          <w:sz w:val="28"/>
          <w:szCs w:val="28"/>
        </w:rPr>
        <w:t>EVOLUTION OF HEAT PUMPS GEG-EMISSION USING DYNAMIC ELECTRICITY MIX, 201</w:t>
      </w:r>
      <w:r>
        <w:rPr>
          <w:sz w:val="28"/>
          <w:szCs w:val="28"/>
        </w:rPr>
        <w:t>7</w:t>
      </w:r>
      <w:r w:rsidRPr="002F6A27">
        <w:rPr>
          <w:sz w:val="28"/>
          <w:szCs w:val="28"/>
        </w:rPr>
        <w:t>-2025</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1D1AAB68" w:rsidR="006B3D49" w:rsidRPr="006B3D49" w:rsidRDefault="00C9098E" w:rsidP="00E917F8">
      <w:pPr>
        <w:pStyle w:val="SWCTitle"/>
        <w:spacing w:before="0" w:after="0"/>
        <w:jc w:val="left"/>
        <w:rPr>
          <w:rFonts w:ascii="Times New Roman" w:hAnsi="Times New Roman"/>
          <w:b w:val="0"/>
          <w:sz w:val="20"/>
          <w:szCs w:val="20"/>
        </w:rPr>
      </w:pPr>
      <w:r>
        <w:rPr>
          <w:rFonts w:ascii="Times New Roman" w:hAnsi="Times New Roman"/>
          <w:b w:val="0"/>
          <w:sz w:val="20"/>
          <w:szCs w:val="20"/>
        </w:rPr>
        <w:t>Matthieu Chaigneau</w:t>
      </w:r>
      <w:r w:rsidRPr="00C9098E">
        <w:rPr>
          <w:rFonts w:ascii="Times New Roman" w:hAnsi="Times New Roman"/>
          <w:b w:val="0"/>
          <w:sz w:val="20"/>
          <w:szCs w:val="20"/>
          <w:vertAlign w:val="superscript"/>
        </w:rPr>
        <w:t>1</w:t>
      </w:r>
      <w:r w:rsidR="0C3545CD" w:rsidRPr="0C3545CD">
        <w:rPr>
          <w:rFonts w:ascii="Times New Roman" w:hAnsi="Times New Roman"/>
          <w:b w:val="0"/>
          <w:sz w:val="20"/>
          <w:szCs w:val="20"/>
        </w:rPr>
        <w:t xml:space="preserve">, </w:t>
      </w:r>
      <w:r>
        <w:rPr>
          <w:rFonts w:ascii="Times New Roman" w:hAnsi="Times New Roman"/>
          <w:b w:val="0"/>
          <w:sz w:val="20"/>
          <w:szCs w:val="20"/>
        </w:rPr>
        <w:t>Björn Nienborg</w:t>
      </w:r>
      <w:r w:rsidRPr="00C9098E">
        <w:rPr>
          <w:rFonts w:ascii="Times New Roman" w:hAnsi="Times New Roman"/>
          <w:b w:val="0"/>
          <w:sz w:val="20"/>
          <w:szCs w:val="20"/>
          <w:vertAlign w:val="superscript"/>
        </w:rPr>
        <w:t>1</w:t>
      </w:r>
      <w:r>
        <w:rPr>
          <w:rFonts w:ascii="Times New Roman" w:hAnsi="Times New Roman"/>
          <w:b w:val="0"/>
          <w:sz w:val="20"/>
          <w:szCs w:val="20"/>
          <w:vertAlign w:val="superscript"/>
        </w:rPr>
        <w:t xml:space="preserve">* </w:t>
      </w:r>
      <w:r w:rsidRPr="00C9098E">
        <w:rPr>
          <w:rFonts w:ascii="Times New Roman" w:hAnsi="Times New Roman"/>
          <w:b w:val="0"/>
          <w:sz w:val="20"/>
          <w:szCs w:val="20"/>
        </w:rPr>
        <w:t>(corresponding author)</w:t>
      </w:r>
    </w:p>
    <w:p w14:paraId="311CE447" w14:textId="62FB84F0" w:rsidR="006B3D49" w:rsidRPr="00C9098E" w:rsidRDefault="00C9098E" w:rsidP="00E917F8">
      <w:pPr>
        <w:pStyle w:val="SWCTitle"/>
        <w:spacing w:before="0" w:after="0"/>
        <w:jc w:val="left"/>
        <w:rPr>
          <w:rFonts w:ascii="Times New Roman" w:hAnsi="Times New Roman"/>
          <w:b w:val="0"/>
          <w:sz w:val="20"/>
          <w:szCs w:val="22"/>
          <w:lang w:val="de-DE"/>
        </w:rPr>
      </w:pPr>
      <w:r w:rsidRPr="00C9098E">
        <w:rPr>
          <w:rFonts w:ascii="Times New Roman" w:hAnsi="Times New Roman"/>
          <w:b w:val="0"/>
          <w:sz w:val="20"/>
          <w:szCs w:val="22"/>
          <w:vertAlign w:val="superscript"/>
          <w:lang w:val="de-DE"/>
        </w:rPr>
        <w:t>1</w:t>
      </w:r>
      <w:r w:rsidRPr="00C9098E">
        <w:rPr>
          <w:rFonts w:ascii="Times New Roman" w:hAnsi="Times New Roman"/>
          <w:b w:val="0"/>
          <w:sz w:val="20"/>
          <w:szCs w:val="22"/>
          <w:lang w:val="de-DE"/>
        </w:rPr>
        <w:t>Fraunhofer Institute for Solar Energy Systems ISE, Heidenhofstraße 2, 79110 Freiburg, Ger</w:t>
      </w:r>
      <w:r>
        <w:rPr>
          <w:rFonts w:ascii="Times New Roman" w:hAnsi="Times New Roman"/>
          <w:b w:val="0"/>
          <w:sz w:val="20"/>
          <w:szCs w:val="22"/>
          <w:lang w:val="de-DE"/>
        </w:rPr>
        <w:t>many</w:t>
      </w:r>
      <w:r w:rsidRPr="00C9098E">
        <w:rPr>
          <w:rFonts w:ascii="Times New Roman" w:hAnsi="Times New Roman"/>
          <w:b w:val="0"/>
          <w:sz w:val="20"/>
          <w:szCs w:val="22"/>
          <w:lang w:val="de-DE"/>
        </w:rPr>
        <w:t xml:space="preserve"> </w:t>
      </w:r>
    </w:p>
    <w:p w14:paraId="18FA38F1" w14:textId="771465E5" w:rsidR="006B3D49" w:rsidRPr="00C9098E" w:rsidRDefault="006B3D49" w:rsidP="00E917F8">
      <w:pPr>
        <w:pStyle w:val="SWCTitle"/>
        <w:spacing w:before="0" w:after="0"/>
        <w:jc w:val="left"/>
        <w:rPr>
          <w:rFonts w:ascii="Times New Roman" w:hAnsi="Times New Roman"/>
          <w:b w:val="0"/>
          <w:sz w:val="20"/>
          <w:szCs w:val="22"/>
        </w:rPr>
      </w:pPr>
      <w:r w:rsidRPr="00C9098E">
        <w:rPr>
          <w:rFonts w:ascii="Times New Roman" w:hAnsi="Times New Roman"/>
          <w:b w:val="0"/>
          <w:sz w:val="20"/>
          <w:szCs w:val="22"/>
        </w:rPr>
        <w:t>Email(s)</w:t>
      </w:r>
      <w:r w:rsidR="00C9098E" w:rsidRPr="00C9098E">
        <w:rPr>
          <w:rFonts w:ascii="Times New Roman" w:hAnsi="Times New Roman"/>
          <w:b w:val="0"/>
          <w:sz w:val="20"/>
          <w:szCs w:val="22"/>
        </w:rPr>
        <w:t xml:space="preserve">: </w:t>
      </w:r>
      <w:hyperlink r:id="rId8" w:history="1">
        <w:r w:rsidR="00C9098E" w:rsidRPr="00C9098E">
          <w:rPr>
            <w:rStyle w:val="Hyperlink"/>
            <w:rFonts w:ascii="Times New Roman" w:hAnsi="Times New Roman"/>
            <w:b w:val="0"/>
            <w:color w:val="auto"/>
            <w:sz w:val="20"/>
            <w:szCs w:val="22"/>
          </w:rPr>
          <w:t>matthieu.chaigneau@ise.fraunhofer.de</w:t>
        </w:r>
      </w:hyperlink>
      <w:r w:rsidR="00C9098E" w:rsidRPr="00C9098E">
        <w:rPr>
          <w:rFonts w:ascii="Times New Roman" w:hAnsi="Times New Roman"/>
          <w:b w:val="0"/>
          <w:color w:val="auto"/>
          <w:sz w:val="20"/>
          <w:szCs w:val="22"/>
        </w:rPr>
        <w:t xml:space="preserve">, </w:t>
      </w:r>
      <w:hyperlink r:id="rId9" w:history="1">
        <w:r w:rsidR="00C9098E" w:rsidRPr="00C9098E">
          <w:rPr>
            <w:rStyle w:val="Hyperlink"/>
            <w:rFonts w:ascii="Times New Roman" w:hAnsi="Times New Roman"/>
            <w:b w:val="0"/>
            <w:color w:val="auto"/>
            <w:sz w:val="20"/>
            <w:szCs w:val="22"/>
          </w:rPr>
          <w:t>bjoern.nienborg@ise.fraunhofer.de</w:t>
        </w:r>
      </w:hyperlink>
      <w:r w:rsidR="00C9098E" w:rsidRPr="00C9098E">
        <w:rPr>
          <w:rFonts w:ascii="Times New Roman" w:hAnsi="Times New Roman"/>
          <w:b w:val="0"/>
          <w:color w:val="auto"/>
          <w:sz w:val="20"/>
          <w:szCs w:val="22"/>
        </w:rPr>
        <w:t xml:space="preserve"> </w:t>
      </w:r>
    </w:p>
    <w:p w14:paraId="3A7DF4B5" w14:textId="6F51DBA9" w:rsidR="001A775B" w:rsidRDefault="0C3545CD" w:rsidP="0C3545CD">
      <w:pPr>
        <w:pStyle w:val="SWCSummary"/>
        <w:pBdr>
          <w:bottom w:val="single" w:sz="6" w:space="1" w:color="auto"/>
        </w:pBdr>
      </w:pPr>
      <w:r>
        <w:t>Summary</w:t>
      </w:r>
    </w:p>
    <w:p w14:paraId="2D9BF0A8" w14:textId="5118DA8B" w:rsidR="0031685E" w:rsidRDefault="002F6A27" w:rsidP="008A0437">
      <w:pPr>
        <w:pStyle w:val="SWCText"/>
        <w:pBdr>
          <w:bottom w:val="single" w:sz="6" w:space="1" w:color="auto"/>
        </w:pBdr>
      </w:pPr>
      <w:r w:rsidRPr="002F6A27">
        <w:t xml:space="preserve">Heat pumps are recognized as a key technology for decarbonization. However, many studies assessing heat pump emissions rely on static emission factors or focus on only one or two years, which does not account for the variability in electricity sources. </w:t>
      </w:r>
      <w:r w:rsidR="006F5433">
        <w:t xml:space="preserve">In countries like Germany, with an electricity mix supplied of carbon intensive fossil power plants on the one hand and a steeply increasing share of renewables on the other hand, this may lead to a misjudgment of the actual emissions. </w:t>
      </w:r>
      <w:r w:rsidRPr="002F6A27">
        <w:t xml:space="preserve">The objective of this study is </w:t>
      </w:r>
      <w:r w:rsidR="006F5433">
        <w:t xml:space="preserve">therefore </w:t>
      </w:r>
      <w:r w:rsidRPr="002F6A27">
        <w:t>to assess the evolution of heat pump emissions considering the German electricity mix of the past 8 years and the growing volatility driven by the deployment of wind and solar energy. Combining calculated hourly emission factors for the years 201</w:t>
      </w:r>
      <w:r w:rsidR="006F5433">
        <w:t>7</w:t>
      </w:r>
      <w:r w:rsidRPr="002F6A27">
        <w:t xml:space="preserve"> to 2025 and results from simulations of a heat pump system and a gas system, emission using dynamic emission factors or yearly average will be compared to each other. Using these results and forecasted electricity mix for Germany, a trend for the future years will be </w:t>
      </w:r>
      <w:r w:rsidR="006F5433">
        <w:t>discussed</w:t>
      </w:r>
      <w:r w:rsidRPr="002F6A27">
        <w:t>.</w:t>
      </w:r>
    </w:p>
    <w:p w14:paraId="5AB3A3E7" w14:textId="42A38BDE" w:rsidR="00DB52E7" w:rsidRDefault="002F6A27" w:rsidP="001A775B">
      <w:pPr>
        <w:pStyle w:val="SWCText"/>
        <w:pBdr>
          <w:bottom w:val="single" w:sz="6" w:space="1" w:color="auto"/>
        </w:pBdr>
        <w:rPr>
          <w:i/>
          <w:iCs/>
        </w:rPr>
      </w:pPr>
      <w:r w:rsidRPr="002F6A27">
        <w:rPr>
          <w:i/>
          <w:iCs/>
        </w:rPr>
        <w:t>Keywords: heat pump, CO2eq-emission, electricity</w:t>
      </w:r>
      <w:r>
        <w:rPr>
          <w:i/>
          <w:iCs/>
        </w:rPr>
        <w:t xml:space="preserve"> mix</w:t>
      </w:r>
    </w:p>
    <w:p w14:paraId="01458796" w14:textId="1603D94E" w:rsidR="00FA4DF8" w:rsidRDefault="002C089D" w:rsidP="001A775B">
      <w:pPr>
        <w:pStyle w:val="SWCText"/>
        <w:pBdr>
          <w:bottom w:val="single" w:sz="6" w:space="1" w:color="auto"/>
        </w:pBdr>
        <w:rPr>
          <w:i/>
          <w:iCs/>
        </w:rPr>
      </w:pPr>
      <w:r>
        <w:rPr>
          <w:i/>
          <w:iCs/>
        </w:rPr>
        <w:t>Field of application for the findings:</w:t>
      </w:r>
      <w:r w:rsidR="002F6A27" w:rsidRPr="002F6A27">
        <w:t xml:space="preserve"> </w:t>
      </w:r>
      <w:r w:rsidR="002F6A27" w:rsidRPr="002F6A27">
        <w:rPr>
          <w:i/>
          <w:iCs/>
        </w:rPr>
        <w:t>Sustainable Heating and Cooling Systems for Buildings: Heat Pump Systems for Building</w:t>
      </w:r>
      <w:r w:rsidR="002F6A27">
        <w:rPr>
          <w:i/>
          <w:iCs/>
        </w:rPr>
        <w:t>s</w:t>
      </w:r>
    </w:p>
    <w:p w14:paraId="185A319D" w14:textId="762D2DA4" w:rsidR="002C089D" w:rsidRDefault="00CC3B0C" w:rsidP="001A775B">
      <w:pPr>
        <w:pStyle w:val="SWCText"/>
        <w:pBdr>
          <w:bottom w:val="single" w:sz="6" w:space="1" w:color="auto"/>
        </w:pBdr>
        <w:rPr>
          <w:i/>
          <w:iCs/>
        </w:rPr>
      </w:pPr>
      <w:r>
        <w:rPr>
          <w:i/>
          <w:iCs/>
        </w:rPr>
        <w:t>Addressed audience:</w:t>
      </w:r>
    </w:p>
    <w:p w14:paraId="6AB554F0" w14:textId="77777777" w:rsidR="002F6A27" w:rsidRDefault="002F6A27" w:rsidP="007C1632">
      <w:pPr>
        <w:pStyle w:val="SWCText"/>
      </w:pPr>
    </w:p>
    <w:p w14:paraId="2AD88C44" w14:textId="10E89366" w:rsidR="002F6A27" w:rsidRDefault="002F6A27" w:rsidP="002F6A27">
      <w:pPr>
        <w:pStyle w:val="SWCHeading1"/>
      </w:pPr>
      <w:r>
        <w:t>Introduction</w:t>
      </w:r>
    </w:p>
    <w:p w14:paraId="790CE6E1" w14:textId="2EC63271" w:rsidR="00AC7131" w:rsidRPr="00AC7131" w:rsidRDefault="00AC7131" w:rsidP="00AC7131">
      <w:pPr>
        <w:pStyle w:val="SWCText"/>
      </w:pPr>
      <w:r w:rsidRPr="00AC7131">
        <w:t>The building sector in Germany caused over 100 million tons of CO</w:t>
      </w:r>
      <w:r w:rsidR="009D0C2D" w:rsidRPr="009D0C2D">
        <w:rPr>
          <w:vertAlign w:val="subscript"/>
        </w:rPr>
        <w:t>2eq</w:t>
      </w:r>
      <w:r w:rsidRPr="00AC7131">
        <w:t xml:space="preserve"> in 2022 and 2023, making it the sector with the fourth highest emissions </w:t>
      </w:r>
      <w:sdt>
        <w:sdtPr>
          <w:alias w:val="To edit, see citavi.com/edit"/>
          <w:tag w:val="CitaviPlaceholder#c04cf058-3c2b-45fc-a28f-e2221afce254"/>
          <w:id w:val="-1210337574"/>
          <w:placeholder>
            <w:docPart w:val="DefaultPlaceholder_-1854013440"/>
          </w:placeholder>
        </w:sdtPr>
        <w:sdtEndPr/>
        <w:sdtContent>
          <w:r w:rsidR="009D0C2D">
            <w:fldChar w:fldCharType="begin"/>
          </w:r>
          <w:r w:rsidR="009D0C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mNzAwOGZjLTNkOGQtNGE0Yi1hMjU0LTVmNWI4OWU4ZjdiZCIsIlJhbmdlTGVuZ3RoIjoyMywiUmVmZXJlbmNlSWQiOiJlOTI1M2Y0Zi02MzUyLTQwMjQtYTQ2Mi0zYmVlNGFlNTk2O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2LjAyLjIwMjYiLCJBdXRob3JzIjpbeyIkaWQiOiI3IiwiJHR5cGUiOiJTd2lzc0FjYWRlbWljLkNpdGF2aS5QZXJzb24sIFN3aXNzQWNhZGVtaWMuQ2l0YXZpIiwiTGFzdE5hbWUiOiJVbXdlbHRidW5kZXNhbXQiLCJQcm90ZWN0ZWQiOmZhbHNlLCJTZXgiOjAsIkNyZWF0ZWRCeSI6Il9TYW0yODg1OSIsIkNyZWF0ZWRPbiI6IjIwMjUtMDItMjBUMDc6MzQ6MzEiLCJNb2RpZmllZEJ5IjoiX1NhbTI4ODU5IiwiSWQiOiJkYzkwNjNmNS1hYTY1LTQ5NTAtOTQ2MS01MzYxOTA0MDkzOGMiLCJNb2RpZmllZE9uIjoiMjAyNS0wMi0yMFQwNzozNDozM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VbXdlbHRidW5kZXNhbXQgMjYwMjIwMjYgLSBUcmVpYmhhdXNnYXMtRW1pc3Npb25lbiBpbiBEZXV0c2NobGFuZC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YuMDUuMjAyNSIsIkVkaXRvcnMiOlt7IiRyZWYiOiI3In1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Vtd2VsdGJ1bmRlc2FtdC5kZS9kYXRlbi91bXdlbHR6dXN0YW5kLXRyZW5kcy9rbGltYS90cmVpYmhhdXNnYXMtZW1pc3Npb25lbi1pbi1kZXV0c2NobGFuZCNlbWlzc2lvbnNlbnR3aWNrbHVuZyIsIlVyaVN0cmluZyI6Imh0dHBzOi8vd3d3LnVtd2VsdGJ1bmRlc2FtdC5kZS9kYXRlbi91bXdlbHR6dXN0YW5kLXRyZW5kcy9rbGltYS90cmVpYmhhdXNnYXMtZW1pc3Npb25lbi1pbi1kZXV0c2NobGFuZCNlbWlzc2lvbnNlbnR3aWNrbHVu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}</w:instrText>
          </w:r>
          <w:r w:rsidR="009D0C2D">
            <w:fldChar w:fldCharType="separate"/>
          </w:r>
          <w:r w:rsidR="009D0C2D">
            <w:t>(Umweltbundesamt, 2025)</w:t>
          </w:r>
          <w:r w:rsidR="009D0C2D">
            <w:fldChar w:fldCharType="end"/>
          </w:r>
        </w:sdtContent>
      </w:sdt>
      <w:r w:rsidRPr="00AC7131">
        <w:t xml:space="preserve">. Heat pumps (HP) are seen as the crucial decarbonization technology within the building sector </w:t>
      </w:r>
      <w:sdt>
        <w:sdtPr>
          <w:alias w:val="To edit, see citavi.com/edit"/>
          <w:tag w:val="CitaviPlaceholder#8aacf850-4780-4a1e-9ee8-9e2388989cda"/>
          <w:id w:val="130058436"/>
          <w:placeholder>
            <w:docPart w:val="DefaultPlaceholder_-1854013440"/>
          </w:placeholder>
        </w:sdtPr>
        <w:sdtEndPr/>
        <w:sdtContent>
          <w:r w:rsidR="009D0C2D">
            <w:fldChar w:fldCharType="begin"/>
          </w:r>
          <w:r w:rsidR="009D0C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wMTAzZTNmLWE5NDQtNDM1MC04MDQ3LTdkMGY4NTFjMjNjNiIsIlJhbmdlTGVuZ3RoIjo0MSwiUmVmZXJlbmNlSWQiOiJjNzg5NzlhOS1mMDMwLTQ2NTAtODBkNy02NzU1ZTY0ZmY2O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aWVhLm9yZy9yZXBvcnRzL3RoZS1mdXR1cmUtb2YtaGVhdC1wdW1wcy8iLCJVcmlTdHJpbmciOiJodHRwczovL3d3dy5pZWEub3JnL3JlcG9ydHMvdGhlLWZ1dHVyZS1vZi1oZWF0LXB1bXB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}</w:instrText>
          </w:r>
          <w:r w:rsidR="009D0C2D">
            <w:fldChar w:fldCharType="separate"/>
          </w:r>
          <w:r w:rsidR="009D0C2D">
            <w:t>(IEA - International Energy Agency, 2022)</w:t>
          </w:r>
          <w:r w:rsidR="009D0C2D">
            <w:fldChar w:fldCharType="end"/>
          </w:r>
        </w:sdtContent>
      </w:sdt>
      <w:r w:rsidRPr="00AC7131">
        <w:t>.</w:t>
      </w:r>
    </w:p>
    <w:p w14:paraId="1533A106" w14:textId="44BA08B4" w:rsidR="00AC7131" w:rsidRPr="00AC7131" w:rsidRDefault="00AC7131" w:rsidP="00AC7131">
      <w:pPr>
        <w:pStyle w:val="SWCText"/>
      </w:pPr>
      <w:r w:rsidRPr="00AC7131">
        <w:t xml:space="preserve">Although many studies evaluate emissions from HP operation in European countries </w:t>
      </w:r>
      <w:sdt>
        <w:sdtPr>
          <w:alias w:val="To edit, see citavi.com/edit"/>
          <w:tag w:val="CitaviPlaceholder#cf41e8ae-c48c-468d-89fc-fb5d1b34ba4a"/>
          <w:id w:val="2028907560"/>
          <w:placeholder>
            <w:docPart w:val="DefaultPlaceholder_-1854013440"/>
          </w:placeholder>
        </w:sdtPr>
        <w:sdtEndPr/>
        <w:sdtContent>
          <w:r w:rsidR="009D0C2D">
            <w:fldChar w:fldCharType="begin"/>
          </w:r>
          <w:r w:rsidR="009D0C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OWU1NTYyLWQxZDktNDMwNC1iMGFmLTAwYjUxMGYzNzhkZiIsIlJhbmdlU3RhcnQiOjQ0LCJSYW5nZUxlbmd0aCI6MjksIlJlZmVyZW5jZUlkIjoiY2MyY2IxMjctNmYzZi00OTU1LWI5YTctMjZjYWU0ZWI4MjY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tZHBpLmNvbS8xOTk2LTEwNzMvMTYvNy8zMjA5IiwiVXJpU3RyaW5nIjoiaHR0cHM6Ly93d3cubWRwaS5jb20vMTk5Ni0xMDczLzE2LzcvMzIwO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tZHBpLmNvbS8yMDcxLTEwNTAvMTEvMTgvNTA4NyIsIlVyaVN0cmluZyI6Imh0dHBzOi8vd3d3Lm1kcGkuY29tLzIwNzEtMTA1MC8xMS8xOC81MDg3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}</w:instrText>
          </w:r>
          <w:r w:rsidR="009D0C2D">
            <w:fldChar w:fldCharType="separate"/>
          </w:r>
          <w:r w:rsidR="009D0C2D">
            <w:t>(Litjens et al., 2018; Gajewski et al., 2019; Buday and Buday-Bódi, 2023)</w:t>
          </w:r>
          <w:r w:rsidR="009D0C2D">
            <w:fldChar w:fldCharType="end"/>
          </w:r>
        </w:sdtContent>
      </w:sdt>
      <w:r w:rsidR="009D0C2D">
        <w:t xml:space="preserve"> </w:t>
      </w:r>
      <w:r w:rsidRPr="00AC7131">
        <w:t>using a static, annual electricity emission factor (EF), this approach does not capture the temporal variability in emissions driven by fluctuations in the electricity mix, particularly those due to renewable generation</w:t>
      </w:r>
      <w:r w:rsidR="009D0C2D">
        <w:t xml:space="preserve"> </w:t>
      </w:r>
      <w:sdt>
        <w:sdtPr>
          <w:alias w:val="To edit, see citavi.com/edit"/>
          <w:tag w:val="CitaviPlaceholder#6137e0f1-5b31-4e70-831d-0bb05cc6329f"/>
          <w:id w:val="714094127"/>
          <w:placeholder>
            <w:docPart w:val="DefaultPlaceholder_-1854013440"/>
          </w:placeholder>
        </w:sdtPr>
        <w:sdtEndPr/>
        <w:sdtContent>
          <w:r w:rsidR="00BA5934">
            <w:fldChar w:fldCharType="begin"/>
          </w:r>
          <w:r w:rsidR="006B02B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kYjVkZGNmLTJkOTUtNDVlNC1iMTA1LTg5OWFhN2VlYzllOSIsIlJhbmdlTGVuZ3RoIjoxNCwiUmVmZXJlbmNlSWQiOiJiOGQyNDdlZC0wZDY2LTRkMDQtOTMwMS0wMTQ3MDcxYzY2N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lbmVyZ3ktY2hhcnRzLmluZm8vcHVibGlzaGluZy1ub3Rlcy5odG1sP2w9ZGUmYz1ERSIsIlVyaVN0cmluZyI6Imh0dHBzOi8vZW5lcmd5LWNoYXJ0cy5pbmZvL3B1Ymxpc2hpbmctbm90ZXMuaHRtbD9sPWRlJmM9RE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}</w:instrText>
          </w:r>
          <w:r w:rsidR="00BA5934">
            <w:fldChar w:fldCharType="separate"/>
          </w:r>
          <w:r w:rsidR="00BA5934">
            <w:t>(Gandhi, 2026)</w:t>
          </w:r>
          <w:r w:rsidR="00BA5934">
            <w:fldChar w:fldCharType="end"/>
          </w:r>
        </w:sdtContent>
      </w:sdt>
      <w:r w:rsidR="009D0C2D">
        <w:t xml:space="preserve">. </w:t>
      </w:r>
    </w:p>
    <w:p w14:paraId="67BFE87B" w14:textId="6F3956E9" w:rsidR="00AC7131" w:rsidRDefault="00AC7131" w:rsidP="00AC7131">
      <w:pPr>
        <w:pStyle w:val="SWCText"/>
      </w:pPr>
      <w:r w:rsidRPr="00AC7131">
        <w:t xml:space="preserve">In a recent German study for the year 2024 </w:t>
      </w:r>
      <w:sdt>
        <w:sdtPr>
          <w:alias w:val="To edit, see citavi.com/edit"/>
          <w:tag w:val="CitaviPlaceholder#a68a1377-d31c-4476-a0a2-995bd79bf911"/>
          <w:id w:val="696426614"/>
          <w:placeholder>
            <w:docPart w:val="DefaultPlaceholder_-1854013440"/>
          </w:placeholder>
        </w:sdtPr>
        <w:sdtEndPr/>
        <w:sdtContent>
          <w:r w:rsidR="009D0C2D">
            <w:fldChar w:fldCharType="begin"/>
          </w:r>
          <w:r w:rsidR="009D0C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NmM1ZWMzLTZkOGMtNDQ2Mi1iZjQwLTA3ZTgyYzFjYjE3OCIsIlJhbmdlTGVuZ3RoIjoyNCwiUmVmZXJlbmNlSWQiOiI0YjhmNGQyYS05ZTI3LTQ0NjItOTdiNi03YThjNzE4M2QwN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S4xMS4yMDI1IiwiRG9pIjoiMTAuMTA4OC8xNzQyLTY1OTYvMzE0MC8yLzAyMjAxNyIsIkVkaXRvcnMiOltdLCJFdmFsdWF0aW9uQ29tcGxleGl0eSI6MCwiRXZhbHVhdGlvblNvdXJjZVRleHRGb3JtYXQiOjAsIkdyb3VwcyI6W10sIkhhc0xhYmVsMSI6ZmFsc2UsIkhhc0xhYmVsMiI6ZmFsc2UsIktleXdvcmRzIjpbXSwiTGFuZ3VhZ2UiOiJlb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ODgvMTc0Mi02NTk2LzMxNDAvMi8wMjIwMTciLCJVcmlTdHJpbmciOiJodHRwczovL2RvaS5vcmcvMTAuMTA4OC8xNzQyLTY1OTYvMzE0MC8yLzAyMjAx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0Njk0MTciLCJDcmVhdGVkT24iOiIyMDI2LTAyLTE5VDA5OjUwOjQ1IiwiTW9kaWZpZWRCeSI6Il9NYXQ2OTQxNyIsIklkIjoiZTQ5ZTgxY2ItNjdiMC00MGVmLThjMmItNjQxN2JhMzM4ZGMxIiwiTW9kaWZpZWRPbiI6IjIwMjYtMDItMTlUMDk6NTA6NDU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lvcHNjaWVuY2UuaW9wLm9yZy9hcnRpY2xlLzEwLjEwODgvMTc0Mi02NTk2LzMxNDAvMi8wMjIwMTciLCJVcmlTdHJpbmciOiJodHRwczovL2lvcHNjaWVuY2UuaW9wLm9yZy9hcnRpY2xlLzEwLjEwODgvMTc0Mi02NTk2LzMxNDAvMi8wMjIwMTc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}</w:instrText>
          </w:r>
          <w:r w:rsidR="009D0C2D">
            <w:fldChar w:fldCharType="separate"/>
          </w:r>
          <w:r w:rsidR="009D0C2D">
            <w:t>(Chaigneau et al., 2025)</w:t>
          </w:r>
          <w:r w:rsidR="009D0C2D">
            <w:fldChar w:fldCharType="end"/>
          </w:r>
        </w:sdtContent>
      </w:sdt>
      <w:r w:rsidRPr="00AC7131">
        <w:t>, the authors reported that heat pump emissions calculated using dynamic quarter-hourly emission factors were 14–18% higher than those derived from a static method, yet still 58–65% lower than emissions from gas boiler variants. However, this study covered only a single year, which does not allow assessment of how the dynamic–static discrepancy evolves as the share of renewables in the electricity mix grows.</w:t>
      </w:r>
    </w:p>
    <w:p w14:paraId="23A6AA00" w14:textId="2F7E0285" w:rsidR="00802F60" w:rsidRDefault="00AC7131" w:rsidP="00AC7131">
      <w:pPr>
        <w:pStyle w:val="SWCText"/>
      </w:pPr>
      <w:r w:rsidRPr="00AC7131">
        <w:t>In the present article, quarter-hourly EFs for the years 2017 to 2025 in Germany are calculated and combined with heating system simulations — covering an air/water heat pump with and without rooftop PV, and a gas boiler reference — to quantify how heat pump emissions and the discrepancy between static and dynamic calculation approaches have evolved over time. The correlation between this discrepancy and the growing share of renewable electricity is analyzed, and implications for future trends are discussed.</w:t>
      </w:r>
    </w:p>
    <w:p w14:paraId="1033677C" w14:textId="77777777" w:rsidR="00802F60" w:rsidRDefault="00802F60">
      <w:pPr>
        <w:rPr>
          <w:color w:val="000000"/>
          <w:sz w:val="20"/>
          <w:szCs w:val="22"/>
          <w:lang w:val="en-US"/>
        </w:rPr>
      </w:pPr>
      <w:r w:rsidRPr="00927EC6">
        <w:rPr>
          <w:lang w:val="en-US"/>
        </w:rPr>
        <w:br w:type="page"/>
      </w:r>
    </w:p>
    <w:p w14:paraId="32A0FDA8" w14:textId="3CEF857B" w:rsidR="002F6A27" w:rsidRDefault="002F6A27" w:rsidP="002F6A27">
      <w:pPr>
        <w:pStyle w:val="SWCHeading1"/>
      </w:pPr>
      <w:r>
        <w:lastRenderedPageBreak/>
        <w:t>Methodology</w:t>
      </w:r>
    </w:p>
    <w:p w14:paraId="1308223E" w14:textId="77777777" w:rsidR="0036683F" w:rsidRDefault="0036683F" w:rsidP="0036683F">
      <w:pPr>
        <w:rPr>
          <w:lang w:val="en-US"/>
        </w:rPr>
      </w:pPr>
    </w:p>
    <w:p w14:paraId="5186D454" w14:textId="54D7A09C" w:rsidR="00271650" w:rsidRPr="00736E23" w:rsidRDefault="00736E23" w:rsidP="00496C05">
      <w:pPr>
        <w:pStyle w:val="SWCText"/>
      </w:pPr>
      <w:r w:rsidRPr="00736E23">
        <w:t xml:space="preserve">The overall methodology follows the approach introduced in </w:t>
      </w:r>
      <w:sdt>
        <w:sdtPr>
          <w:alias w:val="To edit, see citavi.com/edit"/>
          <w:tag w:val="CitaviPlaceholder#05345dc6-8980-48d5-ab16-11fdad877c7c"/>
          <w:id w:val="2053113804"/>
          <w:placeholder>
            <w:docPart w:val="DefaultPlaceholder_-1854013440"/>
          </w:placeholder>
        </w:sdtPr>
        <w:sdtEndPr/>
        <w:sdtContent>
          <w:r w:rsidR="003D2A76">
            <w:fldChar w:fldCharType="begin"/>
          </w:r>
          <w:r w:rsidR="006B5C81">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2YWRjOTM0LWFhZTQtNDJlZS1iZDU3LTRiMGQyMjU1MGRhMSIsIlJhbmdlTGVuZ3RoIjoyMywiUmVmZXJlbmNlSWQiOiI5NTk3Zjc0NS05ZDkxLTQ1NWEtODU1ZC0zOTQxN2E3MzAyND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10sIkNvdmVyUGF0aCI6eyIkaWQiOiI3IiwiJHR5cGUiOiJTd2lzc0FjYWRlbWljLkNpdGF2aS5MaW5rZWRSZXNvdXJjZSwgU3dpc3NBY2FkZW1pYy5DaXRhdmkiLCJMaW5rZWRSZXNvdXJjZVR5cGUiOjEsIlVyaVN0cmluZyI6IkhlaWRsb2ZmLCBkZSAtIFVtd2VsdGF1c3dpcmt1bmdlbiB2b24gV8Okcm1lcHVtcGVuIG1pdCBkeW5hbWlzY2hlbS5qcGc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3ltcG9zaXVtenVrdW5mdHdhZXJtZS5kZS9rb25mZXJlbnovdGFndW5nc3VudGVybGFnZW4iLCJVcmlTdHJpbmciOiJodHRwczovL3d3dy5zeW1wb3NpdW16dWt1bmZ0d2Flcm1lLmRlL2tvbmZlcmVuei90YWd1bmdzdW50ZXJsYWdlb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EuMTEuMjAyNSIsIkRvaSI6IjEwLjEwODgvMTc0Mi02NTk2LzMxNDAvMi8wMjIwMTciLCJFZGl0b3JzIjpbXSwiRXZhbHVhdGlvbkNvbXBsZXhpdHkiOjAsIkV2YWx1YXRpb25Tb3VyY2VUZXh0Rm9ybWF0IjowLCJHcm91cHMiOltdLCJIYXNMYWJlbDEiOmZhbHNlLCJIYXNMYWJlbDIiOmZhbHNlLCJLZXl3b3JkcyI6W10sIkxhbmd1YWdlIjoiZW4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MDg4LzE3NDItNjU5Ni8zMTQwLzIvMDIyMDE3IiwiVXJpU3RyaW5nIjoiaHR0cHM6Ly9kb2kub3JnLzEwLjEwODgvMTc0Mi02NTk2LzMxNDAvMi8wMjIwMTc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}</w:instrText>
          </w:r>
          <w:r w:rsidR="003D2A76">
            <w:fldChar w:fldCharType="separate"/>
          </w:r>
          <w:r w:rsidR="006B5C81">
            <w:t>(Chaigneau et al., 2024</w:t>
          </w:r>
          <w:r w:rsidR="008465BD">
            <w:t>,</w:t>
          </w:r>
          <w:r w:rsidR="006B5C81">
            <w:t xml:space="preserve"> 2025)</w:t>
          </w:r>
          <w:r w:rsidR="003D2A76">
            <w:fldChar w:fldCharType="end"/>
          </w:r>
        </w:sdtContent>
      </w:sdt>
      <w:r w:rsidRPr="00736E23">
        <w:t xml:space="preserve">, combining calculated historical quarter-hourly emission factors for the German electricity mix with building and heating system simulations performed in </w:t>
      </w:r>
      <w:proofErr w:type="spellStart"/>
      <w:r w:rsidRPr="00736E23">
        <w:t>Polysun</w:t>
      </w:r>
      <w:proofErr w:type="spellEnd"/>
      <w:r w:rsidRPr="00736E23">
        <w:t xml:space="preserve">. The general workflow is illustrated in </w:t>
      </w:r>
      <w:r>
        <w:fldChar w:fldCharType="begin"/>
      </w:r>
      <w:r w:rsidRPr="00736E23">
        <w:instrText xml:space="preserve"> REF _Ref236239470 \h </w:instrText>
      </w:r>
      <w:r w:rsidR="00496C05">
        <w:instrText xml:space="preserve"> \* MERGEFORMAT </w:instrText>
      </w:r>
      <w:r>
        <w:fldChar w:fldCharType="separate"/>
      </w:r>
      <w:r w:rsidRPr="00736E23">
        <w:t xml:space="preserve">Figure </w:t>
      </w:r>
      <w:r w:rsidRPr="00736E23">
        <w:rPr>
          <w:noProof/>
        </w:rPr>
        <w:t>1</w:t>
      </w:r>
      <w:r>
        <w:fldChar w:fldCharType="end"/>
      </w:r>
      <w:r w:rsidRPr="00736E23">
        <w:t xml:space="preserve"> and will b</w:t>
      </w:r>
      <w:r>
        <w:t xml:space="preserve">e described in following subchapters. </w:t>
      </w:r>
    </w:p>
    <w:p w14:paraId="0EFACC3D" w14:textId="77777777" w:rsidR="00271650" w:rsidRDefault="00271650" w:rsidP="0036683F">
      <w:pPr>
        <w:rPr>
          <w:lang w:val="en-US"/>
        </w:rPr>
      </w:pPr>
    </w:p>
    <w:p w14:paraId="4E884194" w14:textId="77777777" w:rsidR="00271650" w:rsidRDefault="00271650" w:rsidP="00271650">
      <w:pPr>
        <w:keepNext/>
      </w:pPr>
      <w:r>
        <w:rPr>
          <w:noProof/>
          <w:lang w:val="en-US"/>
        </w:rPr>
        <w:drawing>
          <wp:inline distT="0" distB="0" distL="0" distR="0" wp14:anchorId="008C0698" wp14:editId="568A7A01">
            <wp:extent cx="5935726" cy="2771775"/>
            <wp:effectExtent l="0" t="0" r="8255" b="0"/>
            <wp:docPr id="1912619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4488" cy="2780536"/>
                    </a:xfrm>
                    <a:prstGeom prst="rect">
                      <a:avLst/>
                    </a:prstGeom>
                    <a:noFill/>
                  </pic:spPr>
                </pic:pic>
              </a:graphicData>
            </a:graphic>
          </wp:inline>
        </w:drawing>
      </w:r>
    </w:p>
    <w:p w14:paraId="4ECC8E2A" w14:textId="52AC8DAC" w:rsidR="00271650" w:rsidRDefault="00271650" w:rsidP="00271650">
      <w:pPr>
        <w:pStyle w:val="SWCTableFigureCaption"/>
      </w:pPr>
      <w:bookmarkStart w:id="0" w:name="_Ref236239470"/>
      <w:r>
        <w:t xml:space="preserve">Figure </w:t>
      </w:r>
      <w:r>
        <w:fldChar w:fldCharType="begin"/>
      </w:r>
      <w:r>
        <w:instrText xml:space="preserve"> SEQ Figure \* ARABIC </w:instrText>
      </w:r>
      <w:r>
        <w:fldChar w:fldCharType="separate"/>
      </w:r>
      <w:r w:rsidR="007146F8">
        <w:rPr>
          <w:noProof/>
        </w:rPr>
        <w:t>1</w:t>
      </w:r>
      <w:r>
        <w:fldChar w:fldCharType="end"/>
      </w:r>
      <w:bookmarkEnd w:id="0"/>
      <w:r>
        <w:t xml:space="preserve">: </w:t>
      </w:r>
      <w:r w:rsidR="007146F8">
        <w:t>Flowchart of the c</w:t>
      </w:r>
      <w:r>
        <w:t xml:space="preserve">alculation </w:t>
      </w:r>
      <w:r w:rsidR="007146F8">
        <w:t>m</w:t>
      </w:r>
      <w:r>
        <w:t>ethodology</w:t>
      </w:r>
    </w:p>
    <w:p w14:paraId="41531916" w14:textId="77777777" w:rsidR="00271650" w:rsidRDefault="00271650" w:rsidP="0036683F">
      <w:pPr>
        <w:rPr>
          <w:lang w:val="en-US"/>
        </w:rPr>
      </w:pPr>
    </w:p>
    <w:p w14:paraId="05F9A1C2" w14:textId="7E075DBB" w:rsidR="002F6A27" w:rsidRDefault="002F6A27" w:rsidP="002F6A27">
      <w:pPr>
        <w:pStyle w:val="SWCHeading11"/>
      </w:pPr>
      <w:r>
        <w:t>2.1. Dynamic Emission factors</w:t>
      </w:r>
    </w:p>
    <w:p w14:paraId="1335C5F0" w14:textId="56320AEA" w:rsidR="002F6A27" w:rsidRDefault="00736E23" w:rsidP="007146F8">
      <w:pPr>
        <w:pStyle w:val="SWCText"/>
      </w:pPr>
      <w:r w:rsidRPr="00736E23">
        <w:t xml:space="preserve">The right branch of </w:t>
      </w:r>
      <w:r>
        <w:fldChar w:fldCharType="begin"/>
      </w:r>
      <w:r>
        <w:instrText xml:space="preserve"> REF _Ref236239470 \h </w:instrText>
      </w:r>
      <w:r w:rsidR="007146F8">
        <w:instrText xml:space="preserve"> \* MERGEFORMAT </w:instrText>
      </w:r>
      <w:r>
        <w:fldChar w:fldCharType="separate"/>
      </w:r>
      <w:r w:rsidRPr="00736E23">
        <w:t xml:space="preserve">Figure </w:t>
      </w:r>
      <w:r w:rsidRPr="00736E23">
        <w:rPr>
          <w:noProof/>
        </w:rPr>
        <w:t>1</w:t>
      </w:r>
      <w:r>
        <w:fldChar w:fldCharType="end"/>
      </w:r>
      <w:r w:rsidRPr="00736E23">
        <w:t xml:space="preserve"> describes the calculation of dynamic electricity emission factors (EF). Quarter-hourly energy production and import/export data are retrieved from Energy-Charts </w:t>
      </w:r>
      <w:sdt>
        <w:sdtPr>
          <w:alias w:val="To edit, see citavi.com/edit"/>
          <w:tag w:val="CitaviPlaceholder#814e1e03-9c1f-4ea4-a2b3-35c0c7a73f4b"/>
          <w:id w:val="1546801780"/>
          <w:placeholder>
            <w:docPart w:val="DefaultPlaceholder_-1854013440"/>
          </w:placeholder>
        </w:sdtPr>
        <w:sdtEndPr/>
        <w:sdtContent>
          <w:r w:rsidR="00F819DB">
            <w:fldChar w:fldCharType="begin"/>
          </w:r>
          <w:r w:rsidR="006B02B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wZWM2ZGEzLTY3ZTYtNDM0ZC05YmJiLTdiZGRjMzMwNzljZCIsIlJhbmdlTGVuZ3RoIjoxNCwiUmVmZXJlbmNlSWQiOiJiOGQyNDdlZC0wZDY2LTRkMDQtOTMwMS0wMTQ3MDcxYzY2N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lbmVyZ3ktY2hhcnRzLmluZm8vcHVibGlzaGluZy1ub3Rlcy5odG1sP2w9ZGUmYz1ERSIsIlVyaVN0cmluZyI6Imh0dHBzOi8vZW5lcmd5LWNoYXJ0cy5pbmZvL3B1Ymxpc2hpbmctbm90ZXMuaHRtbD9sPWRlJmM9RE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}</w:instrText>
          </w:r>
          <w:r w:rsidR="00F819DB">
            <w:fldChar w:fldCharType="separate"/>
          </w:r>
          <w:r w:rsidR="00F819DB">
            <w:t>(Gandhi, 2026)</w:t>
          </w:r>
          <w:r w:rsidR="00F819DB">
            <w:fldChar w:fldCharType="end"/>
          </w:r>
        </w:sdtContent>
      </w:sdt>
      <w:r w:rsidR="00F819DB">
        <w:t xml:space="preserve"> </w:t>
      </w:r>
      <w:r w:rsidRPr="00736E23">
        <w:t>and combined with source-specific emission factors published by the German Environment Agency</w:t>
      </w:r>
      <w:r w:rsidR="003D2A76">
        <w:t xml:space="preserve"> </w:t>
      </w:r>
      <w:sdt>
        <w:sdtPr>
          <w:alias w:val="To edit, see citavi.com/edit"/>
          <w:tag w:val="CitaviPlaceholder#f8bca6d0-0192-4ac9-a97e-35e2fb453af1"/>
          <w:id w:val="305137908"/>
          <w:placeholder>
            <w:docPart w:val="DefaultPlaceholder_-1854013440"/>
          </w:placeholder>
        </w:sdtPr>
        <w:sdtEndPr/>
        <w:sdtContent>
          <w:r w:rsidR="003D2A76">
            <w:fldChar w:fldCharType="begin"/>
          </w:r>
          <w:r w:rsidR="006B5C81">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M2I3NmI1LThjYmYtNDRmZi04YjhiLTBlMjgyMGU1YTBkMyIsIlJhbmdlTGVuZ3RoIjoxOSwiUmVmZXJlbmNlSWQiOiI4OTQ5Y2Y4ZS03YjVjLTRlZDMtOTQxMi03MTFjZDA0NWQxY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jUiLCJEb2kiOiIxMC42MDgxMC9PUEVOVU1XRUxULTc2ODciLCJFZGl0b3JzIjpbXSwiRXZhbHVhdGlvbkNvbXBsZXhpdHkiOjAsIkV2YWx1YXRpb25Tb3VyY2VUZXh0Rm9ybWF0IjowLCJHcm91cHMiOltdLCJIYXNMYWJlbDEiOmZhbHNlLCJIYXNMYWJlbDIiOmZhbHNlLCJLZXl3b3JkcyI6W10sIkxhbmd1YWdlIjoiZ2Vy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nVtd2VsdGJ1bmRlc2FtdC5kZS9zaXRlcy9kZWZhdWx0L2ZpbGVzL21lZGllbi8xMTg1MC9wdWJsaWthdGlvbmVuLzAzXzIwMjVfY2NfZW1pc3Npb25zYmlsYW56X2VybmV1ZXJiYXJlcl9lbmVyZ2llbl8yMDIzLnBkZiIsIlVyaVN0cmluZyI6InVtd2VsdGJ1bmRlc2FtdC5kZS9zaXRlcy9kZWZhdWx0L2ZpbGVzL21lZGllbi8xMTg1MC9wdWJsaWthdGlvbmVuLyAwM18yMDI1X2NjX2VtaXNzaW9uc2JpbGFuel9lcm5ldWVyYmFyZXJfZW5lcmdpZW5fMjAyMy5wZG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dDY5NDE3IiwiQ3JlYXRlZE9uIjoiMjAyNS0wMy0yMVQxMzowODoyNiIsIk1vZGlmaWVkQnkiOiJfTWF0Njk0MTciLCJJZCI6IjFiYTkzYzI4LTc2M2UtNGIyNS1iMDZlLTFlYWVkNWEzNTMzZiIsIk1vZGlmaWVkT24iOiIyMDI2LTAyLTI2VDExOjM1OjU3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NjA4MTAvT1BFTlVNV0VMVC03Njg3IiwiVXJpU3RyaW5nIjoiaHR0cHM6Ly9kb2kub3JnLzEwLjYwODEwL09QRU5VTVdFTFQtNzY4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}</w:instrText>
          </w:r>
          <w:r w:rsidR="003D2A76">
            <w:fldChar w:fldCharType="separate"/>
          </w:r>
          <w:r w:rsidR="006B5C81">
            <w:t>(Lauf et al., 2025)</w:t>
          </w:r>
          <w:r w:rsidR="003D2A76">
            <w:fldChar w:fldCharType="end"/>
          </w:r>
        </w:sdtContent>
      </w:sdt>
      <w:r w:rsidRPr="00736E23">
        <w:t xml:space="preserve">. The resulting EFs are corrected to account for electricity imports and exports — using a yearly constant country-specific EF as a simplification — as well as for pumped hydro storage and network losses. A detailed description of the import correction, pumped hydro storage methodology, and network loss assumptions is provided in </w:t>
      </w:r>
      <w:sdt>
        <w:sdtPr>
          <w:alias w:val="To edit, see citavi.com/edit"/>
          <w:tag w:val="CitaviPlaceholder#70d699e9-becc-4cef-a699-6831b9ee4099"/>
          <w:id w:val="1761484361"/>
          <w:placeholder>
            <w:docPart w:val="DefaultPlaceholder_-1854013440"/>
          </w:placeholder>
        </w:sdtPr>
        <w:sdtEndPr/>
        <w:sdtContent>
          <w:r w:rsidR="003D2A76">
            <w:fldChar w:fldCharType="begin"/>
          </w:r>
          <w:r w:rsidR="006B5C81">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ZjEyZDliLTFkYzUtNGNmYS1iNmVjLTk5Yjk0YWY4MTY2MiIsIlJhbmdlTGVuZ3RoIjoyMiwiUmVmZXJlbmNlSWQiOiJjNWRmMDUzNS1kNDc5LTQ5ODEtOWI4MC1lOTU3ODY3NDA0ZD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}</w:instrText>
          </w:r>
          <w:r w:rsidR="003D2A76">
            <w:fldChar w:fldCharType="separate"/>
          </w:r>
          <w:r w:rsidR="006B5C81">
            <w:t>(Günther et al., 2025)</w:t>
          </w:r>
          <w:r w:rsidR="003D2A76">
            <w:fldChar w:fldCharType="end"/>
          </w:r>
        </w:sdtContent>
      </w:sdt>
      <w:r w:rsidRPr="00736E23">
        <w:t>.</w:t>
      </w:r>
    </w:p>
    <w:p w14:paraId="644BF9C9" w14:textId="77777777" w:rsidR="00736E23" w:rsidRDefault="00736E23" w:rsidP="002F6A27">
      <w:pPr>
        <w:rPr>
          <w:lang w:val="en-US"/>
        </w:rPr>
      </w:pPr>
    </w:p>
    <w:p w14:paraId="08DD5703" w14:textId="67F1A598" w:rsidR="00736E23" w:rsidRDefault="00736E23" w:rsidP="00736E23">
      <w:pPr>
        <w:pStyle w:val="SWCHeading11"/>
      </w:pPr>
      <w:r>
        <w:t xml:space="preserve">2.2. </w:t>
      </w:r>
      <w:r w:rsidRPr="00736E23">
        <w:t>Building and System Simulation</w:t>
      </w:r>
    </w:p>
    <w:p w14:paraId="788B3D4A" w14:textId="77777777" w:rsidR="00736E23" w:rsidRDefault="00736E23" w:rsidP="002F6A27">
      <w:pPr>
        <w:rPr>
          <w:lang w:val="en-US"/>
        </w:rPr>
      </w:pPr>
    </w:p>
    <w:p w14:paraId="7B471BE8" w14:textId="6695D079" w:rsidR="00736E23" w:rsidRPr="00736E23" w:rsidRDefault="00736E23" w:rsidP="007146F8">
      <w:pPr>
        <w:pStyle w:val="SWCText"/>
      </w:pPr>
      <w:r w:rsidRPr="00736E23">
        <w:t xml:space="preserve">The left branch of </w:t>
      </w:r>
      <w:r>
        <w:fldChar w:fldCharType="begin"/>
      </w:r>
      <w:r>
        <w:instrText xml:space="preserve"> REF _Ref236239470 \h </w:instrText>
      </w:r>
      <w:r w:rsidR="007146F8">
        <w:instrText xml:space="preserve"> \* MERGEFORMAT </w:instrText>
      </w:r>
      <w:r>
        <w:fldChar w:fldCharType="separate"/>
      </w:r>
      <w:r w:rsidRPr="00736E23">
        <w:t>Figure 1</w:t>
      </w:r>
      <w:r>
        <w:fldChar w:fldCharType="end"/>
      </w:r>
      <w:r w:rsidRPr="00736E23">
        <w:t xml:space="preserve"> covers the simulation workflow. Historical weather data (temperature, humidity, wind speed, and solar radiation) from the German Weather Service (DWD) station in Potsdam — the standard climate reference for Germany — are used as input for each of the years 201</w:t>
      </w:r>
      <w:r>
        <w:t>7</w:t>
      </w:r>
      <w:r w:rsidRPr="00736E23">
        <w:t xml:space="preserve"> to 2025. Based on this data, an hourly heat demand profile for a Single-Family House (SFH) is calculated following the ISO 52016 norm. The building </w:t>
      </w:r>
      <w:r w:rsidR="006F5433">
        <w:t>geometry</w:t>
      </w:r>
      <w:r w:rsidR="006F5433" w:rsidRPr="00736E23">
        <w:t xml:space="preserve"> </w:t>
      </w:r>
      <w:r w:rsidRPr="00736E23">
        <w:t xml:space="preserve">represents an existing SFH </w:t>
      </w:r>
      <w:sdt>
        <w:sdtPr>
          <w:alias w:val="To edit, see citavi.com/edit"/>
          <w:tag w:val="CitaviPlaceholder#767fa213-b7e0-4cd5-9236-35938603646f"/>
          <w:id w:val="-1506432354"/>
          <w:placeholder>
            <w:docPart w:val="DefaultPlaceholder_-1854013440"/>
          </w:placeholder>
        </w:sdtPr>
        <w:sdtEndPr/>
        <w:sdtContent>
          <w:r w:rsidR="003D2A76">
            <w:fldChar w:fldCharType="begin"/>
          </w:r>
          <w:r w:rsidR="006B02B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MTIxYjQ2LTUxMTgtNDQ1Yy1iMmFhLTljMWExM2M0NjcwOSIsIlJhbmdlTGVuZ3RoIjoxNywiUmVmZXJlbmNlSWQiOiIzOTE5OTJiNi0zY2QwLTQ3YzItYTJiNi0xN2VlMjQwZjcxN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ZmZpemllbnRlcy1oZWl6ZW4uZGUvZG9jdW1lbnRzL0VmZml6aWVudGVzLUhlaXplbl9JbmZvc2hlZXRfR2ViYWV1ZGVfRUZIX2ZpbmFsLnBkZiIsIlVyaVN0cmluZyI6Imh0dHBzOi8vd3d3LmVmZml6aWVudGVzLWhlaXplbi5kZS9kb2N1bWVudHMvRWZmaXppZW50ZXMtSGVpemVuX0luZm9zaGVldF9HZWJhZXVkZV9FRkhfZmluYWwucGRm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}</w:instrText>
          </w:r>
          <w:r w:rsidR="003D2A76">
            <w:fldChar w:fldCharType="separate"/>
          </w:r>
          <w:r w:rsidR="006B02B9">
            <w:t>(Chaigneau, 2025)</w:t>
          </w:r>
          <w:r w:rsidR="003D2A76">
            <w:fldChar w:fldCharType="end"/>
          </w:r>
        </w:sdtContent>
      </w:sdt>
      <w:r w:rsidRPr="00736E23">
        <w:t xml:space="preserve">, characterized by a specific </w:t>
      </w:r>
      <w:r w:rsidR="006F5433">
        <w:t xml:space="preserve">nominal </w:t>
      </w:r>
      <w:r w:rsidRPr="00736E23">
        <w:t>heat load of 71 W/m²</w:t>
      </w:r>
      <w:r>
        <w:t xml:space="preserve">. </w:t>
      </w:r>
      <w:r w:rsidR="006F5433" w:rsidRPr="00736E23">
        <w:t xml:space="preserve">The domestic hot water (DHW) demand profile is generated using the </w:t>
      </w:r>
      <w:proofErr w:type="spellStart"/>
      <w:r w:rsidR="006F5433" w:rsidRPr="00736E23">
        <w:t>synPro</w:t>
      </w:r>
      <w:proofErr w:type="spellEnd"/>
      <w:r w:rsidR="006F5433" w:rsidRPr="00736E23">
        <w:t xml:space="preserve"> tool </w:t>
      </w:r>
      <w:sdt>
        <w:sdtPr>
          <w:alias w:val="To edit, see citavi.com/edit"/>
          <w:tag w:val="CitaviPlaceholder#1bc41c8e-e19e-41f1-bbc4-73861a60afb1"/>
          <w:id w:val="-1560548397"/>
          <w:placeholder>
            <w:docPart w:val="DefaultPlaceholder_-1854013440"/>
          </w:placeholder>
        </w:sdtPr>
        <w:sdtEndPr/>
        <w:sdtContent>
          <w:r w:rsidR="00183294">
            <w:fldChar w:fldCharType="begin"/>
          </w:r>
          <w:r w:rsidR="00183294">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YTBkNTVmLTNjMWItNGMyOS05ODgzLWU1NmJjMzQ3MDZkYSIsIlJhbmdlTGVuZ3RoIjoyMiwiUmVmZXJlbmNlSWQiOiI1MzA2MmI0Yi00MTFjLTQ3OTUtOWU4Mi1hMTE2YzQzNjlhZ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ZW5idWlsZC4yMDE2LjA0LjA2OSIsIlVyaVN0cmluZyI6Imh0dHBzOi8vZG9pLm9yZy8xMC4xMDE2L2ouZW5idWlsZC4yMDE2LjA0LjA2O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0Njk0MTciLCJDcmVhdGVkT24iOiIyMDI2LTA4LTA0VDA5OjMzOjA5WiIsIk1vZGlmaWVkQnkiOiJfTWF0Njk0MTciLCJJZCI6IjNmZmRkN2IxLWE5NDYtNDBkMC1hOWYxLTY5NTBlNTJiNmQwYyIsIk1vZGlmaWVkT24iOiIyMDI2LTA4LTA0VDA5OjMzOjA5Wi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nNjaWVuY2VkaXJlY3QuY29tL3NjaWVuY2UvYXJ0aWNsZS9waWkvUzAzNzg3Nzg4MTYzMDMzNTgiLCJVcmlTdHJpbmciOiJodHRwczovL3d3dy5zY2llbmNlZGlyZWN0LmNvbS9zY2llbmNlL2FydGljbGUvcGlpL1MwMzc4Nzc4ODE2MzAzMzU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}</w:instrText>
          </w:r>
          <w:r w:rsidR="00183294">
            <w:fldChar w:fldCharType="separate"/>
          </w:r>
          <w:r w:rsidR="00183294">
            <w:t>(Fischer et al., 2016)</w:t>
          </w:r>
          <w:r w:rsidR="00183294">
            <w:fldChar w:fldCharType="end"/>
          </w:r>
        </w:sdtContent>
      </w:sdt>
      <w:r w:rsidR="006F5433">
        <w:t xml:space="preserve"> </w:t>
      </w:r>
      <w:r w:rsidR="006F5433" w:rsidRPr="00736E23">
        <w:t>and remains consistent across all years</w:t>
      </w:r>
    </w:p>
    <w:p w14:paraId="7832195B" w14:textId="74FF102B" w:rsidR="00736E23" w:rsidRDefault="00736E23" w:rsidP="007146F8">
      <w:pPr>
        <w:pStyle w:val="SWCText"/>
      </w:pPr>
      <w:r w:rsidRPr="00736E23">
        <w:t xml:space="preserve">For each year, </w:t>
      </w:r>
      <w:r>
        <w:t>three</w:t>
      </w:r>
      <w:r w:rsidRPr="00736E23">
        <w:t xml:space="preserve"> heating systems are simulated in </w:t>
      </w:r>
      <w:proofErr w:type="spellStart"/>
      <w:r w:rsidRPr="00736E23">
        <w:t>Polysun</w:t>
      </w:r>
      <w:proofErr w:type="spellEnd"/>
      <w:r w:rsidRPr="00736E23">
        <w:t>: a gas boiler system and a monoenergetic air/water heat pump (AWHP) system, the latter both with and without rooftop photovoltaic (PV)</w:t>
      </w:r>
      <w:r w:rsidR="005A5E54">
        <w:t xml:space="preserve"> system rated at 10 </w:t>
      </w:r>
      <w:proofErr w:type="spellStart"/>
      <w:r w:rsidR="005A5E54">
        <w:t>kWp</w:t>
      </w:r>
      <w:proofErr w:type="spellEnd"/>
      <w:r w:rsidRPr="00736E23">
        <w:t xml:space="preserve">. A simplified block diagram of both systems is shown in Figure 2. The AWHP systems are dimensioned in accordance with </w:t>
      </w:r>
      <w:r w:rsidR="006F5433">
        <w:t xml:space="preserve">German guidelines published as </w:t>
      </w:r>
      <w:r w:rsidRPr="00736E23">
        <w:t xml:space="preserve">VDI 4645. </w:t>
      </w:r>
      <w:r w:rsidR="005A5E54" w:rsidRPr="002C48A6">
        <w:t xml:space="preserve">To optimize the utilization of PV electricity, a control strategy is applied where surplus PV power is used to overheat the DHW tank to store energy. Similarly, during the heating season, surplus electricity is directed to the space-heating buffer tank for thermal storage. </w:t>
      </w:r>
      <w:r w:rsidRPr="00736E23">
        <w:t>The simulations yield 15-minute resolved electricity consumption profiles (and gas consumption for the gas system), which serve as the basis for the emission calculations.</w:t>
      </w:r>
      <w:r>
        <w:t xml:space="preserve"> </w:t>
      </w:r>
    </w:p>
    <w:p w14:paraId="324072B3" w14:textId="77777777" w:rsidR="00736E23" w:rsidRDefault="00736E23" w:rsidP="007146F8">
      <w:pPr>
        <w:pStyle w:val="SWCTableFigureCaption"/>
        <w:rPr>
          <w:noProof/>
        </w:rPr>
      </w:pPr>
      <w:r>
        <w:rPr>
          <w:noProof/>
        </w:rPr>
        <w:lastRenderedPageBreak/>
        <w:drawing>
          <wp:inline distT="0" distB="0" distL="0" distR="0" wp14:anchorId="6E6B07CA" wp14:editId="03C95E03">
            <wp:extent cx="2603552" cy="1494845"/>
            <wp:effectExtent l="0" t="0" r="0" b="0"/>
            <wp:docPr id="1085" name="Picture 1084">
              <a:extLst xmlns:a="http://schemas.openxmlformats.org/drawingml/2006/main">
                <a:ext uri="{FF2B5EF4-FFF2-40B4-BE49-F238E27FC236}">
                  <a16:creationId xmlns:a16="http://schemas.microsoft.com/office/drawing/2014/main" id="{FDF3CD24-258D-6BFF-1C65-6783D754A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 name="Picture 1084">
                      <a:extLst>
                        <a:ext uri="{FF2B5EF4-FFF2-40B4-BE49-F238E27FC236}">
                          <a16:creationId xmlns:a16="http://schemas.microsoft.com/office/drawing/2014/main" id="{FDF3CD24-258D-6BFF-1C65-6783D754A688}"/>
                        </a:ext>
                      </a:extLst>
                    </pic:cNvPr>
                    <pic:cNvPicPr>
                      <a:picLocks noChangeAspect="1"/>
                    </pic:cNvPicPr>
                  </pic:nvPicPr>
                  <pic:blipFill>
                    <a:blip r:embed="rId11"/>
                    <a:stretch>
                      <a:fillRect/>
                    </a:stretch>
                  </pic:blipFill>
                  <pic:spPr>
                    <a:xfrm>
                      <a:off x="0" y="0"/>
                      <a:ext cx="2611411" cy="1499357"/>
                    </a:xfrm>
                    <a:prstGeom prst="rect">
                      <a:avLst/>
                    </a:prstGeom>
                  </pic:spPr>
                </pic:pic>
              </a:graphicData>
            </a:graphic>
          </wp:inline>
        </w:drawing>
      </w:r>
      <w:r w:rsidRPr="00271650">
        <w:rPr>
          <w:noProof/>
        </w:rPr>
        <w:t xml:space="preserve"> </w:t>
      </w:r>
      <w:r w:rsidRPr="00271650">
        <w:rPr>
          <w:noProof/>
          <w:lang w:val="de-DE"/>
        </w:rPr>
        <w:drawing>
          <wp:inline distT="0" distB="0" distL="0" distR="0" wp14:anchorId="53D16D4F" wp14:editId="17CF5204">
            <wp:extent cx="2923539" cy="1510747"/>
            <wp:effectExtent l="0" t="0" r="0" b="0"/>
            <wp:docPr id="1127" name="Picture 1126">
              <a:extLst xmlns:a="http://schemas.openxmlformats.org/drawingml/2006/main">
                <a:ext uri="{FF2B5EF4-FFF2-40B4-BE49-F238E27FC236}">
                  <a16:creationId xmlns:a16="http://schemas.microsoft.com/office/drawing/2014/main" id="{A0AC0818-26C9-B186-6E6E-D846123005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Picture 1126">
                      <a:extLst>
                        <a:ext uri="{FF2B5EF4-FFF2-40B4-BE49-F238E27FC236}">
                          <a16:creationId xmlns:a16="http://schemas.microsoft.com/office/drawing/2014/main" id="{A0AC0818-26C9-B186-6E6E-D84612300578}"/>
                        </a:ext>
                      </a:extLst>
                    </pic:cNvPr>
                    <pic:cNvPicPr>
                      <a:picLocks noChangeAspect="1"/>
                    </pic:cNvPicPr>
                  </pic:nvPicPr>
                  <pic:blipFill>
                    <a:blip r:embed="rId12"/>
                    <a:stretch>
                      <a:fillRect/>
                    </a:stretch>
                  </pic:blipFill>
                  <pic:spPr>
                    <a:xfrm>
                      <a:off x="0" y="0"/>
                      <a:ext cx="2928456" cy="1513288"/>
                    </a:xfrm>
                    <a:prstGeom prst="rect">
                      <a:avLst/>
                    </a:prstGeom>
                  </pic:spPr>
                </pic:pic>
              </a:graphicData>
            </a:graphic>
          </wp:inline>
        </w:drawing>
      </w:r>
    </w:p>
    <w:p w14:paraId="436FFD02" w14:textId="15D6BDAB" w:rsidR="00736E23" w:rsidRPr="007146F8" w:rsidRDefault="007146F8" w:rsidP="007146F8">
      <w:pPr>
        <w:pStyle w:val="SWCTableFigureCaption"/>
        <w:rPr>
          <w:noProof/>
        </w:rPr>
      </w:pPr>
      <w:r w:rsidRPr="007146F8">
        <w:t xml:space="preserve">Figure </w:t>
      </w:r>
      <w:r>
        <w:fldChar w:fldCharType="begin"/>
      </w:r>
      <w:r w:rsidRPr="007146F8">
        <w:instrText xml:space="preserve"> SEQ Figure \* ARABIC </w:instrText>
      </w:r>
      <w:r>
        <w:fldChar w:fldCharType="separate"/>
      </w:r>
      <w:r w:rsidRPr="007146F8">
        <w:rPr>
          <w:noProof/>
        </w:rPr>
        <w:t>2</w:t>
      </w:r>
      <w:r>
        <w:fldChar w:fldCharType="end"/>
      </w:r>
      <w:r w:rsidRPr="007146F8">
        <w:t>: Simplified Block Diagram o</w:t>
      </w:r>
      <w:r>
        <w:t xml:space="preserve">f the gas boiler system (left) and the heat pump system (right). </w:t>
      </w:r>
    </w:p>
    <w:p w14:paraId="44CB704A" w14:textId="77777777" w:rsidR="00736E23" w:rsidRPr="007146F8" w:rsidRDefault="00736E23" w:rsidP="00736E23">
      <w:pPr>
        <w:rPr>
          <w:noProof/>
          <w:lang w:val="en-US"/>
        </w:rPr>
      </w:pPr>
    </w:p>
    <w:p w14:paraId="2163D501" w14:textId="0CA8CE96" w:rsidR="006F5433" w:rsidRDefault="006F5433" w:rsidP="002C48A6">
      <w:pPr>
        <w:pStyle w:val="SWCHeading11"/>
      </w:pPr>
      <w:r>
        <w:t>2.3 Data evaluation</w:t>
      </w:r>
    </w:p>
    <w:p w14:paraId="4BCC6D17" w14:textId="59B80251" w:rsidR="00736E23" w:rsidRDefault="00736E23" w:rsidP="006F7381">
      <w:pPr>
        <w:pStyle w:val="SWCText"/>
      </w:pPr>
      <w:r w:rsidRPr="00736E23">
        <w:t>Combining the 15-minute electricity consumption profiles from the simulations with the quarter-hourly dynamic EFs, CO</w:t>
      </w:r>
      <w:r w:rsidRPr="00736E23">
        <w:rPr>
          <w:vertAlign w:val="subscript"/>
        </w:rPr>
        <w:t>2eq</w:t>
      </w:r>
      <w:r w:rsidRPr="00736E23">
        <w:t xml:space="preserve"> emissions are calculated for each time step of each </w:t>
      </w:r>
      <w:proofErr w:type="gramStart"/>
      <w:r w:rsidRPr="00736E23">
        <w:t>year, and</w:t>
      </w:r>
      <w:proofErr w:type="gramEnd"/>
      <w:r w:rsidRPr="00736E23">
        <w:t xml:space="preserve"> subsequently aggregated to annual values. For the gas system, a constant emission factor of 252 gCO</w:t>
      </w:r>
      <w:r w:rsidRPr="00736E23">
        <w:rPr>
          <w:vertAlign w:val="subscript"/>
        </w:rPr>
        <w:t>2eq</w:t>
      </w:r>
      <w:r w:rsidRPr="00736E23">
        <w:t>/</w:t>
      </w:r>
      <w:proofErr w:type="spellStart"/>
      <w:r w:rsidRPr="00736E23">
        <w:t>kWh</w:t>
      </w:r>
      <w:r w:rsidR="00B02BC4" w:rsidRPr="00B02BC4">
        <w:rPr>
          <w:vertAlign w:val="subscript"/>
        </w:rPr>
        <w:t>th</w:t>
      </w:r>
      <w:proofErr w:type="spellEnd"/>
      <w:r w:rsidRPr="00736E23">
        <w:t xml:space="preserve"> is applied, accounting for the full supply chain including processing and transport, as reported by the UBA </w:t>
      </w:r>
      <w:sdt>
        <w:sdtPr>
          <w:alias w:val="To edit, see citavi.com/edit"/>
          <w:tag w:val="CitaviPlaceholder#4df66a62-797e-42af-afe2-a48fcf75d363"/>
          <w:id w:val="1808434799"/>
          <w:placeholder>
            <w:docPart w:val="DefaultPlaceholder_-1854013440"/>
          </w:placeholder>
        </w:sdtPr>
        <w:sdtEndPr/>
        <w:sdtContent>
          <w:r w:rsidR="006B5C81">
            <w:fldChar w:fldCharType="begin"/>
          </w:r>
          <w:r w:rsidR="006B5C81">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yM2FkM2ZkLWRjNDktNDgyMC04MmVhLWYxZjFmOTlkNjc3NSIsIlJhbmdlTGVuZ3RoIjoxOSwiUmVmZXJlbmNlSWQiOiI4OTQ5Y2Y4ZS03YjVjLTRlZDMtOTQxMi03MTFjZDA0NWQxY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jUiLCJEb2kiOiIxMC42MDgxMC9PUEVOVU1XRUxULTc2ODciLCJFZGl0b3JzIjpbXSwiRXZhbHVhdGlvbkNvbXBsZXhpdHkiOjAsIkV2YWx1YXRpb25Tb3VyY2VUZXh0Rm9ybWF0IjowLCJHcm91cHMiOltdLCJIYXNMYWJlbDEiOmZhbHNlLCJIYXNMYWJlbDIiOmZhbHNlLCJLZXl3b3JkcyI6W10sIkxhbmd1YWdlIjoiZ2Vy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nVtd2VsdGJ1bmRlc2FtdC5kZS9zaXRlcy9kZWZhdWx0L2ZpbGVzL21lZGllbi8xMTg1MC9wdWJsaWthdGlvbmVuLzAzXzIwMjVfY2NfZW1pc3Npb25zYmlsYW56X2VybmV1ZXJiYXJlcl9lbmVyZ2llbl8yMDIzLnBkZiIsIlVyaVN0cmluZyI6InVtd2VsdGJ1bmRlc2FtdC5kZS9zaXRlcy9kZWZhdWx0L2ZpbGVzL21lZGllbi8xMTg1MC9wdWJsaWthdGlvbmVuLyAwM18yMDI1X2NjX2VtaXNzaW9uc2JpbGFuel9lcm5ldWVyYmFyZXJfZW5lcmdpZW5fMjAyMy5wZG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dDY5NDE3IiwiQ3JlYXRlZE9uIjoiMjAyNS0wMy0yMVQxMzowODoyNiIsIk1vZGlmaWVkQnkiOiJfTWF0Njk0MTciLCJJZCI6IjFiYTkzYzI4LTc2M2UtNGIyNS1iMDZlLTFlYWVkNWEzNTMzZiIsIk1vZGlmaWVkT24iOiIyMDI2LTAyLTI2VDExOjM1OjU3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NjA4MTAvT1BFTlVNV0VMVC03Njg3IiwiVXJpU3RyaW5nIjoiaHR0cHM6Ly9kb2kub3JnLzEwLjYwODEwL09QRU5VTVdFTFQtNzY4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}</w:instrText>
          </w:r>
          <w:r w:rsidR="006B5C81">
            <w:fldChar w:fldCharType="separate"/>
          </w:r>
          <w:r w:rsidR="006B5C81">
            <w:t>(Lauf et al., 2025)</w:t>
          </w:r>
          <w:r w:rsidR="006B5C81">
            <w:fldChar w:fldCharType="end"/>
          </w:r>
        </w:sdtContent>
      </w:sdt>
      <w:r w:rsidRPr="00736E23">
        <w:t>.</w:t>
      </w:r>
    </w:p>
    <w:p w14:paraId="2160A355" w14:textId="6AA88332" w:rsidR="00271650" w:rsidRPr="00B02BC4" w:rsidRDefault="00496C05" w:rsidP="00B02BC4">
      <w:pPr>
        <w:pStyle w:val="SWCText"/>
      </w:pPr>
      <w:r w:rsidRPr="00496C05">
        <w:t>To assess the discrepancy between static and dynamic calculation, results obtained using the dynamic methodology are systematically compared against those calculated with a static emission factor, defined as the annual load-weighted average EF of the electricity mix. The relative difference by which the dynamic calculation exceeds the static result is referred to hereafter as the dynamic deviation. This comparison is performed for all simulated years, allowing both its quantification and the analysis of its evolution over time as the share of volatile renewable energy sources in the German grid increases.</w:t>
      </w:r>
    </w:p>
    <w:p w14:paraId="7655044B" w14:textId="56778112" w:rsidR="002F6A27" w:rsidRDefault="002F6A27" w:rsidP="007C1632">
      <w:pPr>
        <w:pStyle w:val="SWCHeading1"/>
        <w:jc w:val="left"/>
      </w:pPr>
      <w:r>
        <w:t>Results</w:t>
      </w:r>
    </w:p>
    <w:p w14:paraId="2515AC9F" w14:textId="6F83B73B" w:rsidR="00496C05" w:rsidRDefault="0086059A" w:rsidP="0086059A">
      <w:pPr>
        <w:pStyle w:val="SWCHeading11"/>
      </w:pPr>
      <w:r>
        <w:t xml:space="preserve">3.1 </w:t>
      </w:r>
      <w:r w:rsidRPr="0086059A">
        <w:t>Dynamic Emission Factors</w:t>
      </w:r>
    </w:p>
    <w:p w14:paraId="4B8D2ECB" w14:textId="77777777" w:rsidR="0086059A" w:rsidRDefault="0086059A" w:rsidP="0086059A">
      <w:pPr>
        <w:rPr>
          <w:lang w:val="en-GB"/>
        </w:rPr>
      </w:pPr>
    </w:p>
    <w:p w14:paraId="49F92FAF" w14:textId="2A242CA7" w:rsidR="0086059A" w:rsidRPr="0086059A" w:rsidRDefault="00822886" w:rsidP="0086059A">
      <w:pPr>
        <w:pStyle w:val="SWCText"/>
      </w:pPr>
      <w:r>
        <w:fldChar w:fldCharType="begin"/>
      </w:r>
      <w:r>
        <w:instrText xml:space="preserve"> REF _Ref236137294 \h </w:instrText>
      </w:r>
      <w:r>
        <w:fldChar w:fldCharType="separate"/>
      </w:r>
      <w:r w:rsidRPr="002F6A27">
        <w:t xml:space="preserve">Figure </w:t>
      </w:r>
      <w:r>
        <w:rPr>
          <w:noProof/>
        </w:rPr>
        <w:t>3</w:t>
      </w:r>
      <w:r>
        <w:fldChar w:fldCharType="end"/>
      </w:r>
      <w:r w:rsidR="0086059A" w:rsidRPr="0086059A">
        <w:t xml:space="preserve"> presents the calculated dynamic emission factors for the years 2017 to 2025 as heat maps, where the x-axis represents the days of the year and the y-axis the time of day. All heat maps share a common color scale to allow direct visual comparison across years. The annual load-weighted static EF is indicated above each heat map.</w:t>
      </w:r>
    </w:p>
    <w:p w14:paraId="65875F00" w14:textId="4811FB32" w:rsidR="0086059A" w:rsidRPr="00424438" w:rsidRDefault="0086059A" w:rsidP="0086059A">
      <w:pPr>
        <w:pStyle w:val="SWCText"/>
      </w:pPr>
      <w:r w:rsidRPr="0086059A">
        <w:t xml:space="preserve">The most prominent trend is the consistent greening of the German electricity mix over the observed period. The static EF decreases steadily from 516 </w:t>
      </w:r>
      <w:r w:rsidR="00B02BC4">
        <w:t>gCO</w:t>
      </w:r>
      <w:r w:rsidR="00B02BC4" w:rsidRPr="00470AEC">
        <w:rPr>
          <w:vertAlign w:val="subscript"/>
        </w:rPr>
        <w:t>2eq</w:t>
      </w:r>
      <w:r w:rsidRPr="0086059A">
        <w:t>/</w:t>
      </w:r>
      <w:proofErr w:type="spellStart"/>
      <w:r w:rsidRPr="0086059A">
        <w:t>kWh</w:t>
      </w:r>
      <w:r w:rsidR="00B02BC4" w:rsidRPr="00B02BC4">
        <w:rPr>
          <w:vertAlign w:val="subscript"/>
        </w:rPr>
        <w:t>el</w:t>
      </w:r>
      <w:proofErr w:type="spellEnd"/>
      <w:r w:rsidRPr="0086059A">
        <w:t xml:space="preserve"> in 2017 to 319 </w:t>
      </w:r>
      <w:r w:rsidR="00B02BC4">
        <w:t>gCO</w:t>
      </w:r>
      <w:r w:rsidR="00B02BC4" w:rsidRPr="00470AEC">
        <w:rPr>
          <w:vertAlign w:val="subscript"/>
        </w:rPr>
        <w:t>2eq</w:t>
      </w:r>
      <w:r w:rsidRPr="0086059A">
        <w:t>/</w:t>
      </w:r>
      <w:proofErr w:type="spellStart"/>
      <w:r w:rsidRPr="0086059A">
        <w:t>kWh</w:t>
      </w:r>
      <w:r w:rsidR="00B02BC4" w:rsidRPr="00B02BC4">
        <w:rPr>
          <w:vertAlign w:val="subscript"/>
        </w:rPr>
        <w:t>el</w:t>
      </w:r>
      <w:proofErr w:type="spellEnd"/>
      <w:r w:rsidRPr="0086059A">
        <w:t xml:space="preserve"> in 2025, a reduction of approximately 38%. Two years stand out as notable exceptions to this trend. The year 2020 shows an unusually low static EF, attributable to the combined effect of the COVID-19 lockdowns — which reduced German electricity demand by approximately 10% — and favorable conditions for wind and solar generation, making it an outlier in the otherwise gradual downward trend. Conversely, 2022 exhibits a noticeably higher EF compared to adjacent years, a consequence of the energy crisis triggered by the conflict in Ukraine, which led to increased coal-fired generation to compensate for reduced gas availability.</w:t>
      </w:r>
      <w:r w:rsidR="00424438" w:rsidRPr="002C48A6">
        <w:rPr>
          <w:color w:val="auto"/>
          <w:sz w:val="24"/>
          <w:szCs w:val="24"/>
        </w:rPr>
        <w:t xml:space="preserve"> </w:t>
      </w:r>
      <w:r w:rsidR="00424438" w:rsidRPr="002C48A6">
        <w:t xml:space="preserve">Additionally, April 15, 2023, marked the official shutdown of Germany’s last three nuclear power plants. This event further transformed the energy mix, slightly </w:t>
      </w:r>
      <w:proofErr w:type="gramStart"/>
      <w:r w:rsidR="00424438" w:rsidRPr="002C48A6">
        <w:t>impacting</w:t>
      </w:r>
      <w:proofErr w:type="gramEnd"/>
      <w:r w:rsidR="00424438" w:rsidRPr="002C48A6">
        <w:t xml:space="preserve"> the emission factors during the transition to compensatory sources.</w:t>
      </w:r>
    </w:p>
    <w:p w14:paraId="552D3987" w14:textId="64ECC290" w:rsidR="0086059A" w:rsidRPr="0086059A" w:rsidRDefault="0086059A" w:rsidP="0086059A">
      <w:pPr>
        <w:pStyle w:val="SWCText"/>
      </w:pPr>
      <w:r w:rsidRPr="0086059A">
        <w:t>The growing contribution of solar PV to the electricity mix is clearly visible in the heat maps as a characteristic elliptical green region centered on midday during the summer months, reflecting the daily generation profile of rooftop and utility-scale PV. The influence of wind power, while more intermittent and less geometrically regular, is also apparent: extended periods of low emission factors can be observed even in winter months, driven by strong wind generation episodes.</w:t>
      </w:r>
    </w:p>
    <w:p w14:paraId="343726BB" w14:textId="5EE0547D" w:rsidR="00496C05" w:rsidRDefault="00496C05" w:rsidP="007C1632">
      <w:pPr>
        <w:pStyle w:val="SWCText"/>
      </w:pPr>
      <w:r w:rsidRPr="0036683F">
        <w:rPr>
          <w:noProof/>
        </w:rPr>
        <w:lastRenderedPageBreak/>
        <w:drawing>
          <wp:inline distT="0" distB="0" distL="0" distR="0" wp14:anchorId="5F16180C" wp14:editId="3F1D3F70">
            <wp:extent cx="5761990" cy="8839835"/>
            <wp:effectExtent l="0" t="0" r="0" b="0"/>
            <wp:docPr id="70408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88351" name=""/>
                    <pic:cNvPicPr/>
                  </pic:nvPicPr>
                  <pic:blipFill>
                    <a:blip r:embed="rId13"/>
                    <a:stretch>
                      <a:fillRect/>
                    </a:stretch>
                  </pic:blipFill>
                  <pic:spPr>
                    <a:xfrm>
                      <a:off x="0" y="0"/>
                      <a:ext cx="5761990" cy="8839835"/>
                    </a:xfrm>
                    <a:prstGeom prst="rect">
                      <a:avLst/>
                    </a:prstGeom>
                  </pic:spPr>
                </pic:pic>
              </a:graphicData>
            </a:graphic>
          </wp:inline>
        </w:drawing>
      </w:r>
    </w:p>
    <w:p w14:paraId="53C4344E" w14:textId="2E46D116" w:rsidR="00802F60" w:rsidRDefault="00496C05" w:rsidP="00802F60">
      <w:pPr>
        <w:pStyle w:val="SWCTableFigureCaption"/>
      </w:pPr>
      <w:bookmarkStart w:id="1" w:name="_Ref236137294"/>
      <w:r w:rsidRPr="002F6A27">
        <w:t xml:space="preserve">Figure </w:t>
      </w:r>
      <w:r>
        <w:fldChar w:fldCharType="begin"/>
      </w:r>
      <w:r w:rsidRPr="002F6A27">
        <w:instrText xml:space="preserve"> SEQ Figure \* ARABIC </w:instrText>
      </w:r>
      <w:r>
        <w:fldChar w:fldCharType="separate"/>
      </w:r>
      <w:r>
        <w:rPr>
          <w:noProof/>
        </w:rPr>
        <w:t>3</w:t>
      </w:r>
      <w:r>
        <w:fldChar w:fldCharType="end"/>
      </w:r>
      <w:bookmarkEnd w:id="1"/>
      <w:r w:rsidRPr="002F6A27">
        <w:t xml:space="preserve">: Dynamic emission factors </w:t>
      </w:r>
      <w:proofErr w:type="gramStart"/>
      <w:r w:rsidRPr="002F6A27">
        <w:t>o</w:t>
      </w:r>
      <w:r>
        <w:t>f years</w:t>
      </w:r>
      <w:proofErr w:type="gramEnd"/>
      <w:r>
        <w:t xml:space="preserve"> 2017 to 2025 </w:t>
      </w:r>
      <w:proofErr w:type="gramStart"/>
      <w:r>
        <w:t>represented as</w:t>
      </w:r>
      <w:proofErr w:type="gramEnd"/>
      <w:r>
        <w:t xml:space="preserve"> heatmaps. </w:t>
      </w:r>
    </w:p>
    <w:p w14:paraId="4FBA0461" w14:textId="5E281853" w:rsidR="00496C05" w:rsidRPr="00802F60" w:rsidRDefault="00802F60" w:rsidP="00802F60">
      <w:pPr>
        <w:rPr>
          <w:b/>
          <w:color w:val="000000"/>
          <w:sz w:val="16"/>
          <w:szCs w:val="20"/>
          <w:lang w:val="en-US"/>
        </w:rPr>
      </w:pPr>
      <w:r w:rsidRPr="00927EC6">
        <w:rPr>
          <w:lang w:val="en-US"/>
        </w:rPr>
        <w:br w:type="page"/>
      </w:r>
    </w:p>
    <w:p w14:paraId="160DF8B7" w14:textId="260319E8" w:rsidR="00346E63" w:rsidRDefault="00346E63" w:rsidP="00346E63">
      <w:pPr>
        <w:pStyle w:val="SWCHeading11"/>
      </w:pPr>
      <w:r>
        <w:lastRenderedPageBreak/>
        <w:t xml:space="preserve">3.2 Simulation Results </w:t>
      </w:r>
    </w:p>
    <w:p w14:paraId="0B3EB13A" w14:textId="7F21A6C1" w:rsidR="005504FE" w:rsidRDefault="000A00AD" w:rsidP="007C1632">
      <w:pPr>
        <w:pStyle w:val="SWCText"/>
      </w:pPr>
      <w:r w:rsidRPr="000A00AD">
        <w:t xml:space="preserve">The energetical simulation results for each year are summarized in Table 1. The seasonal performance </w:t>
      </w:r>
      <w:r>
        <w:t xml:space="preserve">factor (SPF) </w:t>
      </w:r>
      <w:r w:rsidRPr="000A00AD">
        <w:t xml:space="preserve">of the air/water heat pump (AWHP) is strongly influenced by winter climate conditions, reflected in the average </w:t>
      </w:r>
      <w:proofErr w:type="gramStart"/>
      <w:r w:rsidRPr="000A00AD">
        <w:t>ambient</w:t>
      </w:r>
      <w:proofErr w:type="gramEnd"/>
      <w:r w:rsidRPr="000A00AD">
        <w:t xml:space="preserve"> temperature between October and March and the number of hours below 0°C. The harshest winters in the study period are 2021 and 2018, with respectively 940 and 901 hours below freezing </w:t>
      </w:r>
      <w:r w:rsidR="00F56C08">
        <w:t xml:space="preserve">point </w:t>
      </w:r>
      <w:r w:rsidRPr="000A00AD">
        <w:t xml:space="preserve">and average winter temperatures of 4.2°C and 4.1°C, resulting in the highest heat demands (27,722 and 24,835 kWh/year) and the lowest seasonal performance factors. Conversely, 2020 stands out as an exceptionally mild year, with an average winter temperature of nearly 6°C and only 335 hours below 0°C, yielding one of the highest </w:t>
      </w:r>
      <w:r>
        <w:t>SPF</w:t>
      </w:r>
      <w:r w:rsidRPr="000A00AD">
        <w:t xml:space="preserve"> values of the entire period. The year 2024 records the lowest overall heat demand at 22,867 kWh. The </w:t>
      </w:r>
      <w:r>
        <w:t>SPF</w:t>
      </w:r>
      <w:r w:rsidRPr="000A00AD">
        <w:t xml:space="preserve"> remains largely unaffected by the presence of PV</w:t>
      </w:r>
      <w:r>
        <w:t xml:space="preserve">. </w:t>
      </w:r>
      <w:r w:rsidRPr="000A00AD">
        <w:t>PV self-consumption ratios range between 17% and 27%, with higher values observed in recent years</w:t>
      </w:r>
      <w:r>
        <w:t xml:space="preserve">. </w:t>
      </w:r>
    </w:p>
    <w:p w14:paraId="3C519AFD" w14:textId="77777777" w:rsidR="001E13B3" w:rsidRDefault="001E13B3" w:rsidP="007C1632">
      <w:pPr>
        <w:pStyle w:val="SWCText"/>
      </w:pPr>
    </w:p>
    <w:p w14:paraId="4D0667DC" w14:textId="43BAF0C4" w:rsidR="000A00AD" w:rsidRDefault="000A00AD" w:rsidP="000A00AD">
      <w:pPr>
        <w:pStyle w:val="SWCTableFigureCaption"/>
      </w:pPr>
      <w:r w:rsidRPr="000A00AD">
        <w:t xml:space="preserve">Table </w:t>
      </w:r>
      <w:r>
        <w:fldChar w:fldCharType="begin"/>
      </w:r>
      <w:r w:rsidRPr="000A00AD">
        <w:instrText xml:space="preserve"> SEQ Table \* ARABIC </w:instrText>
      </w:r>
      <w:r>
        <w:fldChar w:fldCharType="separate"/>
      </w:r>
      <w:r w:rsidRPr="000A00AD">
        <w:rPr>
          <w:noProof/>
        </w:rPr>
        <w:t>1</w:t>
      </w:r>
      <w:r>
        <w:fldChar w:fldCharType="end"/>
      </w:r>
      <w:r w:rsidRPr="000A00AD">
        <w:t xml:space="preserve">: Simulated energetical results per year. </w:t>
      </w:r>
      <w:r>
        <w:t>SPF</w:t>
      </w:r>
      <w:r w:rsidRPr="000A00AD">
        <w:t xml:space="preserve">: </w:t>
      </w:r>
      <w:r>
        <w:t>Seasonal Performance Factor</w:t>
      </w:r>
      <w:r w:rsidRPr="000A00AD">
        <w:t xml:space="preserve"> of the AWHP.</w:t>
      </w:r>
    </w:p>
    <w:tbl>
      <w:tblPr>
        <w:tblStyle w:val="TableGrid"/>
        <w:tblW w:w="0" w:type="auto"/>
        <w:tblLook w:val="04A0" w:firstRow="1" w:lastRow="0" w:firstColumn="1" w:lastColumn="0" w:noHBand="0" w:noVBand="1"/>
      </w:tblPr>
      <w:tblGrid>
        <w:gridCol w:w="979"/>
        <w:gridCol w:w="1585"/>
        <w:gridCol w:w="1281"/>
        <w:gridCol w:w="1281"/>
        <w:gridCol w:w="1281"/>
        <w:gridCol w:w="1281"/>
        <w:gridCol w:w="1281"/>
      </w:tblGrid>
      <w:tr w:rsidR="000A00AD" w14:paraId="3F0439CF" w14:textId="77777777" w:rsidTr="000A00AD">
        <w:trPr>
          <w:trHeight w:val="290"/>
        </w:trPr>
        <w:tc>
          <w:tcPr>
            <w:tcW w:w="988" w:type="dxa"/>
            <w:noWrap/>
            <w:hideMark/>
          </w:tcPr>
          <w:p w14:paraId="558DC52B" w14:textId="77777777" w:rsidR="000A00AD" w:rsidRDefault="000A00AD" w:rsidP="000A00AD">
            <w:pPr>
              <w:pStyle w:val="SWCTableHeader"/>
              <w:rPr>
                <w:lang w:val="en-US" w:eastAsia="en-US"/>
              </w:rPr>
            </w:pPr>
            <w:r>
              <w:t>Year</w:t>
            </w:r>
          </w:p>
        </w:tc>
        <w:tc>
          <w:tcPr>
            <w:tcW w:w="1601" w:type="dxa"/>
            <w:noWrap/>
            <w:hideMark/>
          </w:tcPr>
          <w:p w14:paraId="3AD1E155" w14:textId="77777777" w:rsidR="000A00AD" w:rsidRDefault="000A00AD" w:rsidP="000A00AD">
            <w:pPr>
              <w:pStyle w:val="SWCTableHeader"/>
            </w:pPr>
            <w:r>
              <w:t>Heat demand [kWh]</w:t>
            </w:r>
          </w:p>
        </w:tc>
        <w:tc>
          <w:tcPr>
            <w:tcW w:w="1295" w:type="dxa"/>
            <w:noWrap/>
            <w:hideMark/>
          </w:tcPr>
          <w:p w14:paraId="20BE4423" w14:textId="77777777" w:rsidR="000A00AD" w:rsidRDefault="000A00AD" w:rsidP="000A00AD">
            <w:pPr>
              <w:pStyle w:val="SWCTableHeader"/>
            </w:pPr>
            <w:r>
              <w:t>Avg. winter T [°C]</w:t>
            </w:r>
          </w:p>
        </w:tc>
        <w:tc>
          <w:tcPr>
            <w:tcW w:w="1295" w:type="dxa"/>
            <w:noWrap/>
            <w:hideMark/>
          </w:tcPr>
          <w:p w14:paraId="3E48A66A" w14:textId="77777777" w:rsidR="000A00AD" w:rsidRDefault="000A00AD" w:rsidP="000A00AD">
            <w:pPr>
              <w:pStyle w:val="SWCTableHeader"/>
            </w:pPr>
            <w:r>
              <w:t>Hours &lt; 0°C</w:t>
            </w:r>
          </w:p>
        </w:tc>
        <w:tc>
          <w:tcPr>
            <w:tcW w:w="1295" w:type="dxa"/>
            <w:noWrap/>
            <w:hideMark/>
          </w:tcPr>
          <w:p w14:paraId="04251717" w14:textId="773E331B" w:rsidR="000A00AD" w:rsidRDefault="000A00AD" w:rsidP="000A00AD">
            <w:pPr>
              <w:pStyle w:val="SWCTableHeader"/>
            </w:pPr>
            <w:r>
              <w:t>SPF (no PV)</w:t>
            </w:r>
          </w:p>
        </w:tc>
        <w:tc>
          <w:tcPr>
            <w:tcW w:w="1295" w:type="dxa"/>
            <w:noWrap/>
            <w:hideMark/>
          </w:tcPr>
          <w:p w14:paraId="1DF37405" w14:textId="0112EE5C" w:rsidR="000A00AD" w:rsidRDefault="000A00AD" w:rsidP="000A00AD">
            <w:pPr>
              <w:pStyle w:val="SWCTableHeader"/>
            </w:pPr>
            <w:r>
              <w:t>SPF (PV)</w:t>
            </w:r>
          </w:p>
        </w:tc>
        <w:tc>
          <w:tcPr>
            <w:tcW w:w="1295" w:type="dxa"/>
            <w:noWrap/>
            <w:hideMark/>
          </w:tcPr>
          <w:p w14:paraId="1FB6B32B" w14:textId="77777777" w:rsidR="000A00AD" w:rsidRDefault="000A00AD" w:rsidP="000A00AD">
            <w:pPr>
              <w:pStyle w:val="SWCTableHeader"/>
            </w:pPr>
            <w:r>
              <w:t>PV self-cons. [%]</w:t>
            </w:r>
          </w:p>
        </w:tc>
      </w:tr>
      <w:tr w:rsidR="000A00AD" w14:paraId="5AF8DD26" w14:textId="77777777" w:rsidTr="000A00AD">
        <w:trPr>
          <w:trHeight w:val="290"/>
        </w:trPr>
        <w:tc>
          <w:tcPr>
            <w:tcW w:w="988" w:type="dxa"/>
            <w:noWrap/>
            <w:hideMark/>
          </w:tcPr>
          <w:p w14:paraId="202A9517" w14:textId="77777777" w:rsidR="000A00AD" w:rsidRDefault="000A00AD" w:rsidP="000A00AD">
            <w:pPr>
              <w:pStyle w:val="SWCTableText"/>
            </w:pPr>
            <w:r>
              <w:t>2017</w:t>
            </w:r>
          </w:p>
        </w:tc>
        <w:tc>
          <w:tcPr>
            <w:tcW w:w="1601" w:type="dxa"/>
            <w:noWrap/>
            <w:hideMark/>
          </w:tcPr>
          <w:p w14:paraId="1CA6537F" w14:textId="77777777" w:rsidR="000A00AD" w:rsidRDefault="000A00AD" w:rsidP="000A00AD">
            <w:pPr>
              <w:pStyle w:val="SWCTableText"/>
            </w:pPr>
            <w:r>
              <w:t>27,029</w:t>
            </w:r>
          </w:p>
        </w:tc>
        <w:tc>
          <w:tcPr>
            <w:tcW w:w="1295" w:type="dxa"/>
            <w:noWrap/>
            <w:hideMark/>
          </w:tcPr>
          <w:p w14:paraId="33DDF532" w14:textId="77777777" w:rsidR="000A00AD" w:rsidRDefault="000A00AD" w:rsidP="000A00AD">
            <w:pPr>
              <w:pStyle w:val="SWCTableText"/>
            </w:pPr>
            <w:r>
              <w:t>4.8</w:t>
            </w:r>
          </w:p>
        </w:tc>
        <w:tc>
          <w:tcPr>
            <w:tcW w:w="1295" w:type="dxa"/>
            <w:noWrap/>
            <w:hideMark/>
          </w:tcPr>
          <w:p w14:paraId="651452A2" w14:textId="77777777" w:rsidR="000A00AD" w:rsidRDefault="000A00AD" w:rsidP="000A00AD">
            <w:pPr>
              <w:pStyle w:val="SWCTableText"/>
            </w:pPr>
            <w:r>
              <w:t>870</w:t>
            </w:r>
          </w:p>
        </w:tc>
        <w:tc>
          <w:tcPr>
            <w:tcW w:w="1295" w:type="dxa"/>
            <w:noWrap/>
            <w:hideMark/>
          </w:tcPr>
          <w:p w14:paraId="57B2F807" w14:textId="77777777" w:rsidR="000A00AD" w:rsidRDefault="000A00AD" w:rsidP="000A00AD">
            <w:pPr>
              <w:pStyle w:val="SWCTableText"/>
            </w:pPr>
            <w:r>
              <w:t>3.2</w:t>
            </w:r>
          </w:p>
        </w:tc>
        <w:tc>
          <w:tcPr>
            <w:tcW w:w="1295" w:type="dxa"/>
            <w:noWrap/>
            <w:hideMark/>
          </w:tcPr>
          <w:p w14:paraId="07E202F5" w14:textId="77777777" w:rsidR="000A00AD" w:rsidRDefault="000A00AD" w:rsidP="000A00AD">
            <w:pPr>
              <w:pStyle w:val="SWCTableText"/>
            </w:pPr>
            <w:r>
              <w:t>3.2</w:t>
            </w:r>
          </w:p>
        </w:tc>
        <w:tc>
          <w:tcPr>
            <w:tcW w:w="1295" w:type="dxa"/>
            <w:noWrap/>
            <w:hideMark/>
          </w:tcPr>
          <w:p w14:paraId="04981F63" w14:textId="77777777" w:rsidR="000A00AD" w:rsidRDefault="000A00AD" w:rsidP="000A00AD">
            <w:pPr>
              <w:pStyle w:val="SWCTableText"/>
            </w:pPr>
            <w:r>
              <w:t>17.8</w:t>
            </w:r>
          </w:p>
        </w:tc>
      </w:tr>
      <w:tr w:rsidR="000A00AD" w14:paraId="0C37F36A" w14:textId="77777777" w:rsidTr="000A00AD">
        <w:trPr>
          <w:trHeight w:val="290"/>
        </w:trPr>
        <w:tc>
          <w:tcPr>
            <w:tcW w:w="988" w:type="dxa"/>
            <w:noWrap/>
            <w:hideMark/>
          </w:tcPr>
          <w:p w14:paraId="1848DFE3" w14:textId="77777777" w:rsidR="000A00AD" w:rsidRDefault="000A00AD" w:rsidP="000A00AD">
            <w:pPr>
              <w:pStyle w:val="SWCTableText"/>
            </w:pPr>
            <w:r>
              <w:t>2018</w:t>
            </w:r>
          </w:p>
        </w:tc>
        <w:tc>
          <w:tcPr>
            <w:tcW w:w="1601" w:type="dxa"/>
            <w:noWrap/>
            <w:hideMark/>
          </w:tcPr>
          <w:p w14:paraId="3EC1BC37" w14:textId="77777777" w:rsidR="000A00AD" w:rsidRDefault="000A00AD" w:rsidP="000A00AD">
            <w:pPr>
              <w:pStyle w:val="SWCTableText"/>
            </w:pPr>
            <w:r>
              <w:t>24,835</w:t>
            </w:r>
          </w:p>
        </w:tc>
        <w:tc>
          <w:tcPr>
            <w:tcW w:w="1295" w:type="dxa"/>
            <w:noWrap/>
            <w:hideMark/>
          </w:tcPr>
          <w:p w14:paraId="295E5F07" w14:textId="77777777" w:rsidR="000A00AD" w:rsidRDefault="000A00AD" w:rsidP="000A00AD">
            <w:pPr>
              <w:pStyle w:val="SWCTableText"/>
            </w:pPr>
            <w:r>
              <w:t>4.1</w:t>
            </w:r>
          </w:p>
        </w:tc>
        <w:tc>
          <w:tcPr>
            <w:tcW w:w="1295" w:type="dxa"/>
            <w:noWrap/>
            <w:hideMark/>
          </w:tcPr>
          <w:p w14:paraId="2470493D" w14:textId="77777777" w:rsidR="000A00AD" w:rsidRDefault="000A00AD" w:rsidP="000A00AD">
            <w:pPr>
              <w:pStyle w:val="SWCTableText"/>
            </w:pPr>
            <w:r>
              <w:t>901</w:t>
            </w:r>
          </w:p>
        </w:tc>
        <w:tc>
          <w:tcPr>
            <w:tcW w:w="1295" w:type="dxa"/>
            <w:noWrap/>
            <w:hideMark/>
          </w:tcPr>
          <w:p w14:paraId="02B67DC2" w14:textId="77777777" w:rsidR="000A00AD" w:rsidRDefault="000A00AD" w:rsidP="000A00AD">
            <w:pPr>
              <w:pStyle w:val="SWCTableText"/>
            </w:pPr>
            <w:r>
              <w:t>3.1</w:t>
            </w:r>
          </w:p>
        </w:tc>
        <w:tc>
          <w:tcPr>
            <w:tcW w:w="1295" w:type="dxa"/>
            <w:noWrap/>
            <w:hideMark/>
          </w:tcPr>
          <w:p w14:paraId="2E0331BA" w14:textId="77777777" w:rsidR="000A00AD" w:rsidRDefault="000A00AD" w:rsidP="000A00AD">
            <w:pPr>
              <w:pStyle w:val="SWCTableText"/>
            </w:pPr>
            <w:r>
              <w:t>3.1</w:t>
            </w:r>
          </w:p>
        </w:tc>
        <w:tc>
          <w:tcPr>
            <w:tcW w:w="1295" w:type="dxa"/>
            <w:noWrap/>
            <w:hideMark/>
          </w:tcPr>
          <w:p w14:paraId="4B977388" w14:textId="77777777" w:rsidR="000A00AD" w:rsidRDefault="000A00AD" w:rsidP="000A00AD">
            <w:pPr>
              <w:pStyle w:val="SWCTableText"/>
            </w:pPr>
            <w:r>
              <w:t>19.1</w:t>
            </w:r>
          </w:p>
        </w:tc>
      </w:tr>
      <w:tr w:rsidR="000A00AD" w14:paraId="70369A13" w14:textId="77777777" w:rsidTr="000A00AD">
        <w:trPr>
          <w:trHeight w:val="290"/>
        </w:trPr>
        <w:tc>
          <w:tcPr>
            <w:tcW w:w="988" w:type="dxa"/>
            <w:noWrap/>
            <w:hideMark/>
          </w:tcPr>
          <w:p w14:paraId="5981D62A" w14:textId="77777777" w:rsidR="000A00AD" w:rsidRDefault="000A00AD" w:rsidP="000A00AD">
            <w:pPr>
              <w:pStyle w:val="SWCTableText"/>
            </w:pPr>
            <w:r>
              <w:t>2019</w:t>
            </w:r>
          </w:p>
        </w:tc>
        <w:tc>
          <w:tcPr>
            <w:tcW w:w="1601" w:type="dxa"/>
            <w:noWrap/>
            <w:hideMark/>
          </w:tcPr>
          <w:p w14:paraId="6501ECFC" w14:textId="77777777" w:rsidR="000A00AD" w:rsidRDefault="000A00AD" w:rsidP="000A00AD">
            <w:pPr>
              <w:pStyle w:val="SWCTableText"/>
            </w:pPr>
            <w:r>
              <w:t>24,137</w:t>
            </w:r>
          </w:p>
        </w:tc>
        <w:tc>
          <w:tcPr>
            <w:tcW w:w="1295" w:type="dxa"/>
            <w:noWrap/>
            <w:hideMark/>
          </w:tcPr>
          <w:p w14:paraId="15ED76B0" w14:textId="77777777" w:rsidR="000A00AD" w:rsidRDefault="000A00AD" w:rsidP="000A00AD">
            <w:pPr>
              <w:pStyle w:val="SWCTableText"/>
            </w:pPr>
            <w:r>
              <w:t>5.6</w:t>
            </w:r>
          </w:p>
        </w:tc>
        <w:tc>
          <w:tcPr>
            <w:tcW w:w="1295" w:type="dxa"/>
            <w:noWrap/>
            <w:hideMark/>
          </w:tcPr>
          <w:p w14:paraId="51EEEA12" w14:textId="77777777" w:rsidR="000A00AD" w:rsidRDefault="000A00AD" w:rsidP="000A00AD">
            <w:pPr>
              <w:pStyle w:val="SWCTableText"/>
            </w:pPr>
            <w:r>
              <w:t>419</w:t>
            </w:r>
          </w:p>
        </w:tc>
        <w:tc>
          <w:tcPr>
            <w:tcW w:w="1295" w:type="dxa"/>
            <w:noWrap/>
            <w:hideMark/>
          </w:tcPr>
          <w:p w14:paraId="55968DDA" w14:textId="77777777" w:rsidR="000A00AD" w:rsidRDefault="000A00AD" w:rsidP="000A00AD">
            <w:pPr>
              <w:pStyle w:val="SWCTableText"/>
            </w:pPr>
            <w:r>
              <w:t>3.2</w:t>
            </w:r>
          </w:p>
        </w:tc>
        <w:tc>
          <w:tcPr>
            <w:tcW w:w="1295" w:type="dxa"/>
            <w:noWrap/>
            <w:hideMark/>
          </w:tcPr>
          <w:p w14:paraId="0BCCD1D2" w14:textId="77777777" w:rsidR="000A00AD" w:rsidRDefault="000A00AD" w:rsidP="000A00AD">
            <w:pPr>
              <w:pStyle w:val="SWCTableText"/>
            </w:pPr>
            <w:r>
              <w:t>3.2</w:t>
            </w:r>
          </w:p>
        </w:tc>
        <w:tc>
          <w:tcPr>
            <w:tcW w:w="1295" w:type="dxa"/>
            <w:noWrap/>
            <w:hideMark/>
          </w:tcPr>
          <w:p w14:paraId="4B9A0ECD" w14:textId="77777777" w:rsidR="000A00AD" w:rsidRDefault="000A00AD" w:rsidP="000A00AD">
            <w:pPr>
              <w:pStyle w:val="SWCTableText"/>
            </w:pPr>
            <w:r>
              <w:t>20.2</w:t>
            </w:r>
          </w:p>
        </w:tc>
      </w:tr>
      <w:tr w:rsidR="000A00AD" w14:paraId="0769A046" w14:textId="77777777" w:rsidTr="000A00AD">
        <w:trPr>
          <w:trHeight w:val="290"/>
        </w:trPr>
        <w:tc>
          <w:tcPr>
            <w:tcW w:w="988" w:type="dxa"/>
            <w:noWrap/>
            <w:hideMark/>
          </w:tcPr>
          <w:p w14:paraId="79C1AF4E" w14:textId="77777777" w:rsidR="000A00AD" w:rsidRDefault="000A00AD" w:rsidP="000A00AD">
            <w:pPr>
              <w:pStyle w:val="SWCTableText"/>
            </w:pPr>
            <w:r>
              <w:t>2020</w:t>
            </w:r>
          </w:p>
        </w:tc>
        <w:tc>
          <w:tcPr>
            <w:tcW w:w="1601" w:type="dxa"/>
            <w:noWrap/>
            <w:hideMark/>
          </w:tcPr>
          <w:p w14:paraId="166F2C77" w14:textId="77777777" w:rsidR="000A00AD" w:rsidRDefault="000A00AD" w:rsidP="000A00AD">
            <w:pPr>
              <w:pStyle w:val="SWCTableText"/>
            </w:pPr>
            <w:r>
              <w:t>23,454</w:t>
            </w:r>
          </w:p>
        </w:tc>
        <w:tc>
          <w:tcPr>
            <w:tcW w:w="1295" w:type="dxa"/>
            <w:noWrap/>
            <w:hideMark/>
          </w:tcPr>
          <w:p w14:paraId="42097EB6" w14:textId="77777777" w:rsidR="000A00AD" w:rsidRDefault="000A00AD" w:rsidP="000A00AD">
            <w:pPr>
              <w:pStyle w:val="SWCTableText"/>
            </w:pPr>
            <w:r>
              <w:t>5.9</w:t>
            </w:r>
          </w:p>
        </w:tc>
        <w:tc>
          <w:tcPr>
            <w:tcW w:w="1295" w:type="dxa"/>
            <w:noWrap/>
            <w:hideMark/>
          </w:tcPr>
          <w:p w14:paraId="014EEFC7" w14:textId="77777777" w:rsidR="000A00AD" w:rsidRDefault="000A00AD" w:rsidP="000A00AD">
            <w:pPr>
              <w:pStyle w:val="SWCTableText"/>
            </w:pPr>
            <w:r>
              <w:t>335</w:t>
            </w:r>
          </w:p>
        </w:tc>
        <w:tc>
          <w:tcPr>
            <w:tcW w:w="1295" w:type="dxa"/>
            <w:noWrap/>
            <w:hideMark/>
          </w:tcPr>
          <w:p w14:paraId="4C5148BC" w14:textId="77777777" w:rsidR="000A00AD" w:rsidRDefault="000A00AD" w:rsidP="000A00AD">
            <w:pPr>
              <w:pStyle w:val="SWCTableText"/>
            </w:pPr>
            <w:r>
              <w:t>3.4</w:t>
            </w:r>
          </w:p>
        </w:tc>
        <w:tc>
          <w:tcPr>
            <w:tcW w:w="1295" w:type="dxa"/>
            <w:noWrap/>
            <w:hideMark/>
          </w:tcPr>
          <w:p w14:paraId="65602AEA" w14:textId="77777777" w:rsidR="000A00AD" w:rsidRDefault="000A00AD" w:rsidP="000A00AD">
            <w:pPr>
              <w:pStyle w:val="SWCTableText"/>
            </w:pPr>
            <w:r>
              <w:t>3.4</w:t>
            </w:r>
          </w:p>
        </w:tc>
        <w:tc>
          <w:tcPr>
            <w:tcW w:w="1295" w:type="dxa"/>
            <w:noWrap/>
            <w:hideMark/>
          </w:tcPr>
          <w:p w14:paraId="355B376A" w14:textId="77777777" w:rsidR="000A00AD" w:rsidRDefault="000A00AD" w:rsidP="000A00AD">
            <w:pPr>
              <w:pStyle w:val="SWCTableText"/>
            </w:pPr>
            <w:r>
              <w:t>20.8</w:t>
            </w:r>
          </w:p>
        </w:tc>
      </w:tr>
      <w:tr w:rsidR="000A00AD" w14:paraId="47CCF492" w14:textId="77777777" w:rsidTr="000A00AD">
        <w:trPr>
          <w:trHeight w:val="290"/>
        </w:trPr>
        <w:tc>
          <w:tcPr>
            <w:tcW w:w="988" w:type="dxa"/>
            <w:noWrap/>
            <w:hideMark/>
          </w:tcPr>
          <w:p w14:paraId="7A364AD5" w14:textId="77777777" w:rsidR="000A00AD" w:rsidRDefault="000A00AD" w:rsidP="000A00AD">
            <w:pPr>
              <w:pStyle w:val="SWCTableText"/>
            </w:pPr>
            <w:r>
              <w:t>2021</w:t>
            </w:r>
          </w:p>
        </w:tc>
        <w:tc>
          <w:tcPr>
            <w:tcW w:w="1601" w:type="dxa"/>
            <w:noWrap/>
            <w:hideMark/>
          </w:tcPr>
          <w:p w14:paraId="0FE1D06F" w14:textId="77777777" w:rsidR="000A00AD" w:rsidRDefault="000A00AD" w:rsidP="000A00AD">
            <w:pPr>
              <w:pStyle w:val="SWCTableText"/>
            </w:pPr>
            <w:r>
              <w:t>27,722</w:t>
            </w:r>
          </w:p>
        </w:tc>
        <w:tc>
          <w:tcPr>
            <w:tcW w:w="1295" w:type="dxa"/>
            <w:noWrap/>
            <w:hideMark/>
          </w:tcPr>
          <w:p w14:paraId="6505D9F6" w14:textId="77777777" w:rsidR="000A00AD" w:rsidRDefault="000A00AD" w:rsidP="000A00AD">
            <w:pPr>
              <w:pStyle w:val="SWCTableText"/>
            </w:pPr>
            <w:r>
              <w:t>4.2</w:t>
            </w:r>
          </w:p>
        </w:tc>
        <w:tc>
          <w:tcPr>
            <w:tcW w:w="1295" w:type="dxa"/>
            <w:noWrap/>
            <w:hideMark/>
          </w:tcPr>
          <w:p w14:paraId="2C878F94" w14:textId="77777777" w:rsidR="000A00AD" w:rsidRDefault="000A00AD" w:rsidP="000A00AD">
            <w:pPr>
              <w:pStyle w:val="SWCTableText"/>
            </w:pPr>
            <w:r>
              <w:t>940</w:t>
            </w:r>
          </w:p>
        </w:tc>
        <w:tc>
          <w:tcPr>
            <w:tcW w:w="1295" w:type="dxa"/>
            <w:noWrap/>
            <w:hideMark/>
          </w:tcPr>
          <w:p w14:paraId="679BF91B" w14:textId="77777777" w:rsidR="000A00AD" w:rsidRDefault="000A00AD" w:rsidP="000A00AD">
            <w:pPr>
              <w:pStyle w:val="SWCTableText"/>
            </w:pPr>
            <w:r>
              <w:t>3.1</w:t>
            </w:r>
          </w:p>
        </w:tc>
        <w:tc>
          <w:tcPr>
            <w:tcW w:w="1295" w:type="dxa"/>
            <w:noWrap/>
            <w:hideMark/>
          </w:tcPr>
          <w:p w14:paraId="65B06091" w14:textId="77777777" w:rsidR="000A00AD" w:rsidRDefault="000A00AD" w:rsidP="000A00AD">
            <w:pPr>
              <w:pStyle w:val="SWCTableText"/>
            </w:pPr>
            <w:r>
              <w:t>3.1</w:t>
            </w:r>
          </w:p>
        </w:tc>
        <w:tc>
          <w:tcPr>
            <w:tcW w:w="1295" w:type="dxa"/>
            <w:noWrap/>
            <w:hideMark/>
          </w:tcPr>
          <w:p w14:paraId="3A7579C3" w14:textId="77777777" w:rsidR="000A00AD" w:rsidRDefault="000A00AD" w:rsidP="000A00AD">
            <w:pPr>
              <w:pStyle w:val="SWCTableText"/>
            </w:pPr>
            <w:r>
              <w:t>17.5</w:t>
            </w:r>
          </w:p>
        </w:tc>
      </w:tr>
      <w:tr w:rsidR="000A00AD" w14:paraId="0D6C8269" w14:textId="77777777" w:rsidTr="000A00AD">
        <w:trPr>
          <w:trHeight w:val="290"/>
        </w:trPr>
        <w:tc>
          <w:tcPr>
            <w:tcW w:w="988" w:type="dxa"/>
            <w:noWrap/>
            <w:hideMark/>
          </w:tcPr>
          <w:p w14:paraId="1CCF70DD" w14:textId="77777777" w:rsidR="000A00AD" w:rsidRDefault="000A00AD" w:rsidP="000A00AD">
            <w:pPr>
              <w:pStyle w:val="SWCTableText"/>
            </w:pPr>
            <w:r>
              <w:t>2022</w:t>
            </w:r>
          </w:p>
        </w:tc>
        <w:tc>
          <w:tcPr>
            <w:tcW w:w="1601" w:type="dxa"/>
            <w:noWrap/>
            <w:hideMark/>
          </w:tcPr>
          <w:p w14:paraId="5D29905F" w14:textId="77777777" w:rsidR="000A00AD" w:rsidRDefault="000A00AD" w:rsidP="000A00AD">
            <w:pPr>
              <w:pStyle w:val="SWCTableText"/>
            </w:pPr>
            <w:r>
              <w:t>24,058</w:t>
            </w:r>
          </w:p>
        </w:tc>
        <w:tc>
          <w:tcPr>
            <w:tcW w:w="1295" w:type="dxa"/>
            <w:noWrap/>
            <w:hideMark/>
          </w:tcPr>
          <w:p w14:paraId="1E946E4C" w14:textId="77777777" w:rsidR="000A00AD" w:rsidRDefault="000A00AD" w:rsidP="000A00AD">
            <w:pPr>
              <w:pStyle w:val="SWCTableText"/>
            </w:pPr>
            <w:r>
              <w:t>5.6</w:t>
            </w:r>
          </w:p>
        </w:tc>
        <w:tc>
          <w:tcPr>
            <w:tcW w:w="1295" w:type="dxa"/>
            <w:noWrap/>
            <w:hideMark/>
          </w:tcPr>
          <w:p w14:paraId="3F580EA9" w14:textId="77777777" w:rsidR="000A00AD" w:rsidRDefault="000A00AD" w:rsidP="000A00AD">
            <w:pPr>
              <w:pStyle w:val="SWCTableText"/>
            </w:pPr>
            <w:r>
              <w:t>686</w:t>
            </w:r>
          </w:p>
        </w:tc>
        <w:tc>
          <w:tcPr>
            <w:tcW w:w="1295" w:type="dxa"/>
            <w:noWrap/>
            <w:hideMark/>
          </w:tcPr>
          <w:p w14:paraId="303733F3" w14:textId="77777777" w:rsidR="000A00AD" w:rsidRDefault="000A00AD" w:rsidP="000A00AD">
            <w:pPr>
              <w:pStyle w:val="SWCTableText"/>
            </w:pPr>
            <w:r>
              <w:t>3.2</w:t>
            </w:r>
          </w:p>
        </w:tc>
        <w:tc>
          <w:tcPr>
            <w:tcW w:w="1295" w:type="dxa"/>
            <w:noWrap/>
            <w:hideMark/>
          </w:tcPr>
          <w:p w14:paraId="50D0C0DA" w14:textId="77777777" w:rsidR="000A00AD" w:rsidRDefault="000A00AD" w:rsidP="000A00AD">
            <w:pPr>
              <w:pStyle w:val="SWCTableText"/>
            </w:pPr>
            <w:r>
              <w:t>3.2</w:t>
            </w:r>
          </w:p>
        </w:tc>
        <w:tc>
          <w:tcPr>
            <w:tcW w:w="1295" w:type="dxa"/>
            <w:noWrap/>
            <w:hideMark/>
          </w:tcPr>
          <w:p w14:paraId="73834149" w14:textId="77777777" w:rsidR="000A00AD" w:rsidRDefault="000A00AD" w:rsidP="000A00AD">
            <w:pPr>
              <w:pStyle w:val="SWCTableText"/>
            </w:pPr>
            <w:r>
              <w:t>18.8</w:t>
            </w:r>
          </w:p>
        </w:tc>
      </w:tr>
      <w:tr w:rsidR="000A00AD" w14:paraId="4469724D" w14:textId="77777777" w:rsidTr="000A00AD">
        <w:trPr>
          <w:trHeight w:val="290"/>
        </w:trPr>
        <w:tc>
          <w:tcPr>
            <w:tcW w:w="988" w:type="dxa"/>
            <w:noWrap/>
            <w:hideMark/>
          </w:tcPr>
          <w:p w14:paraId="16D3B769" w14:textId="77777777" w:rsidR="000A00AD" w:rsidRDefault="000A00AD" w:rsidP="000A00AD">
            <w:pPr>
              <w:pStyle w:val="SWCTableText"/>
            </w:pPr>
            <w:r>
              <w:t>2023</w:t>
            </w:r>
          </w:p>
        </w:tc>
        <w:tc>
          <w:tcPr>
            <w:tcW w:w="1601" w:type="dxa"/>
            <w:noWrap/>
            <w:hideMark/>
          </w:tcPr>
          <w:p w14:paraId="532FF2A3" w14:textId="77777777" w:rsidR="000A00AD" w:rsidRDefault="000A00AD" w:rsidP="000A00AD">
            <w:pPr>
              <w:pStyle w:val="SWCTableText"/>
            </w:pPr>
            <w:r>
              <w:t>24,439</w:t>
            </w:r>
          </w:p>
        </w:tc>
        <w:tc>
          <w:tcPr>
            <w:tcW w:w="1295" w:type="dxa"/>
            <w:noWrap/>
            <w:hideMark/>
          </w:tcPr>
          <w:p w14:paraId="717C3998" w14:textId="77777777" w:rsidR="000A00AD" w:rsidRDefault="000A00AD" w:rsidP="000A00AD">
            <w:pPr>
              <w:pStyle w:val="SWCTableText"/>
            </w:pPr>
            <w:r>
              <w:t>5.8</w:t>
            </w:r>
          </w:p>
        </w:tc>
        <w:tc>
          <w:tcPr>
            <w:tcW w:w="1295" w:type="dxa"/>
            <w:noWrap/>
            <w:hideMark/>
          </w:tcPr>
          <w:p w14:paraId="45BA6904" w14:textId="77777777" w:rsidR="000A00AD" w:rsidRDefault="000A00AD" w:rsidP="000A00AD">
            <w:pPr>
              <w:pStyle w:val="SWCTableText"/>
            </w:pPr>
            <w:r>
              <w:t>615</w:t>
            </w:r>
          </w:p>
        </w:tc>
        <w:tc>
          <w:tcPr>
            <w:tcW w:w="1295" w:type="dxa"/>
            <w:noWrap/>
            <w:hideMark/>
          </w:tcPr>
          <w:p w14:paraId="1B5B8E67" w14:textId="77777777" w:rsidR="000A00AD" w:rsidRDefault="000A00AD" w:rsidP="000A00AD">
            <w:pPr>
              <w:pStyle w:val="SWCTableText"/>
            </w:pPr>
            <w:r>
              <w:t>3.3</w:t>
            </w:r>
          </w:p>
        </w:tc>
        <w:tc>
          <w:tcPr>
            <w:tcW w:w="1295" w:type="dxa"/>
            <w:noWrap/>
            <w:hideMark/>
          </w:tcPr>
          <w:p w14:paraId="2272D7FE" w14:textId="77777777" w:rsidR="000A00AD" w:rsidRDefault="000A00AD" w:rsidP="000A00AD">
            <w:pPr>
              <w:pStyle w:val="SWCTableText"/>
            </w:pPr>
            <w:r>
              <w:t>3.3</w:t>
            </w:r>
          </w:p>
        </w:tc>
        <w:tc>
          <w:tcPr>
            <w:tcW w:w="1295" w:type="dxa"/>
            <w:noWrap/>
            <w:hideMark/>
          </w:tcPr>
          <w:p w14:paraId="2AD4E532" w14:textId="77777777" w:rsidR="000A00AD" w:rsidRDefault="000A00AD" w:rsidP="000A00AD">
            <w:pPr>
              <w:pStyle w:val="SWCTableText"/>
            </w:pPr>
            <w:r>
              <w:t>26.3</w:t>
            </w:r>
          </w:p>
        </w:tc>
      </w:tr>
      <w:tr w:rsidR="000A00AD" w14:paraId="6A67C94F" w14:textId="77777777" w:rsidTr="000A00AD">
        <w:trPr>
          <w:trHeight w:val="290"/>
        </w:trPr>
        <w:tc>
          <w:tcPr>
            <w:tcW w:w="988" w:type="dxa"/>
            <w:noWrap/>
            <w:hideMark/>
          </w:tcPr>
          <w:p w14:paraId="1C52C439" w14:textId="77777777" w:rsidR="000A00AD" w:rsidRDefault="000A00AD" w:rsidP="000A00AD">
            <w:pPr>
              <w:pStyle w:val="SWCTableText"/>
            </w:pPr>
            <w:r>
              <w:t>2024</w:t>
            </w:r>
          </w:p>
        </w:tc>
        <w:tc>
          <w:tcPr>
            <w:tcW w:w="1601" w:type="dxa"/>
            <w:noWrap/>
            <w:hideMark/>
          </w:tcPr>
          <w:p w14:paraId="2E3E86CA" w14:textId="77777777" w:rsidR="000A00AD" w:rsidRDefault="000A00AD" w:rsidP="000A00AD">
            <w:pPr>
              <w:pStyle w:val="SWCTableText"/>
            </w:pPr>
            <w:r>
              <w:t>22,867</w:t>
            </w:r>
          </w:p>
        </w:tc>
        <w:tc>
          <w:tcPr>
            <w:tcW w:w="1295" w:type="dxa"/>
            <w:noWrap/>
            <w:hideMark/>
          </w:tcPr>
          <w:p w14:paraId="2FC5C32F" w14:textId="77777777" w:rsidR="000A00AD" w:rsidRDefault="000A00AD" w:rsidP="000A00AD">
            <w:pPr>
              <w:pStyle w:val="SWCTableText"/>
            </w:pPr>
            <w:r>
              <w:t>6</w:t>
            </w:r>
          </w:p>
        </w:tc>
        <w:tc>
          <w:tcPr>
            <w:tcW w:w="1295" w:type="dxa"/>
            <w:noWrap/>
            <w:hideMark/>
          </w:tcPr>
          <w:p w14:paraId="50DDA6B5" w14:textId="77777777" w:rsidR="000A00AD" w:rsidRDefault="000A00AD" w:rsidP="000A00AD">
            <w:pPr>
              <w:pStyle w:val="SWCTableText"/>
            </w:pPr>
            <w:r>
              <w:t>445</w:t>
            </w:r>
          </w:p>
        </w:tc>
        <w:tc>
          <w:tcPr>
            <w:tcW w:w="1295" w:type="dxa"/>
            <w:noWrap/>
            <w:hideMark/>
          </w:tcPr>
          <w:p w14:paraId="62515647" w14:textId="77777777" w:rsidR="000A00AD" w:rsidRDefault="000A00AD" w:rsidP="000A00AD">
            <w:pPr>
              <w:pStyle w:val="SWCTableText"/>
            </w:pPr>
            <w:r>
              <w:t>3.3</w:t>
            </w:r>
          </w:p>
        </w:tc>
        <w:tc>
          <w:tcPr>
            <w:tcW w:w="1295" w:type="dxa"/>
            <w:noWrap/>
            <w:hideMark/>
          </w:tcPr>
          <w:p w14:paraId="6567CA8A" w14:textId="77777777" w:rsidR="000A00AD" w:rsidRDefault="000A00AD" w:rsidP="000A00AD">
            <w:pPr>
              <w:pStyle w:val="SWCTableText"/>
            </w:pPr>
            <w:r>
              <w:t>3.3</w:t>
            </w:r>
          </w:p>
        </w:tc>
        <w:tc>
          <w:tcPr>
            <w:tcW w:w="1295" w:type="dxa"/>
            <w:noWrap/>
            <w:hideMark/>
          </w:tcPr>
          <w:p w14:paraId="59D20DC9" w14:textId="77777777" w:rsidR="000A00AD" w:rsidRDefault="000A00AD" w:rsidP="000A00AD">
            <w:pPr>
              <w:pStyle w:val="SWCTableText"/>
            </w:pPr>
            <w:r>
              <w:t>26.8</w:t>
            </w:r>
          </w:p>
        </w:tc>
      </w:tr>
      <w:tr w:rsidR="000A00AD" w14:paraId="1A643682" w14:textId="77777777" w:rsidTr="000A00AD">
        <w:trPr>
          <w:trHeight w:val="290"/>
        </w:trPr>
        <w:tc>
          <w:tcPr>
            <w:tcW w:w="988" w:type="dxa"/>
            <w:noWrap/>
            <w:hideMark/>
          </w:tcPr>
          <w:p w14:paraId="2AA2CE1E" w14:textId="77777777" w:rsidR="000A00AD" w:rsidRDefault="000A00AD" w:rsidP="000A00AD">
            <w:pPr>
              <w:pStyle w:val="SWCTableText"/>
            </w:pPr>
            <w:r>
              <w:t>2025</w:t>
            </w:r>
          </w:p>
        </w:tc>
        <w:tc>
          <w:tcPr>
            <w:tcW w:w="1601" w:type="dxa"/>
            <w:noWrap/>
            <w:hideMark/>
          </w:tcPr>
          <w:p w14:paraId="42CA1663" w14:textId="77777777" w:rsidR="000A00AD" w:rsidRDefault="000A00AD" w:rsidP="000A00AD">
            <w:pPr>
              <w:pStyle w:val="SWCTableText"/>
            </w:pPr>
            <w:r>
              <w:t>24,491</w:t>
            </w:r>
          </w:p>
        </w:tc>
        <w:tc>
          <w:tcPr>
            <w:tcW w:w="1295" w:type="dxa"/>
            <w:noWrap/>
            <w:hideMark/>
          </w:tcPr>
          <w:p w14:paraId="5DC9A45D" w14:textId="77777777" w:rsidR="000A00AD" w:rsidRDefault="000A00AD" w:rsidP="000A00AD">
            <w:pPr>
              <w:pStyle w:val="SWCTableText"/>
            </w:pPr>
            <w:r>
              <w:t>4.8</w:t>
            </w:r>
          </w:p>
        </w:tc>
        <w:tc>
          <w:tcPr>
            <w:tcW w:w="1295" w:type="dxa"/>
            <w:noWrap/>
            <w:hideMark/>
          </w:tcPr>
          <w:p w14:paraId="1BB359CE" w14:textId="77777777" w:rsidR="000A00AD" w:rsidRDefault="000A00AD" w:rsidP="000A00AD">
            <w:pPr>
              <w:pStyle w:val="SWCTableText"/>
            </w:pPr>
            <w:r>
              <w:t>740</w:t>
            </w:r>
          </w:p>
        </w:tc>
        <w:tc>
          <w:tcPr>
            <w:tcW w:w="1295" w:type="dxa"/>
            <w:noWrap/>
            <w:hideMark/>
          </w:tcPr>
          <w:p w14:paraId="4A88FB64" w14:textId="77777777" w:rsidR="000A00AD" w:rsidRDefault="000A00AD" w:rsidP="000A00AD">
            <w:pPr>
              <w:pStyle w:val="SWCTableText"/>
            </w:pPr>
            <w:r>
              <w:t>3.4</w:t>
            </w:r>
          </w:p>
        </w:tc>
        <w:tc>
          <w:tcPr>
            <w:tcW w:w="1295" w:type="dxa"/>
            <w:noWrap/>
            <w:hideMark/>
          </w:tcPr>
          <w:p w14:paraId="04211714" w14:textId="77777777" w:rsidR="000A00AD" w:rsidRDefault="000A00AD" w:rsidP="000A00AD">
            <w:pPr>
              <w:pStyle w:val="SWCTableText"/>
            </w:pPr>
            <w:r>
              <w:t>3.4</w:t>
            </w:r>
          </w:p>
        </w:tc>
        <w:tc>
          <w:tcPr>
            <w:tcW w:w="1295" w:type="dxa"/>
            <w:noWrap/>
            <w:hideMark/>
          </w:tcPr>
          <w:p w14:paraId="047F1563" w14:textId="77777777" w:rsidR="000A00AD" w:rsidRDefault="000A00AD" w:rsidP="000A00AD">
            <w:pPr>
              <w:pStyle w:val="SWCTableText"/>
            </w:pPr>
            <w:r>
              <w:t>25.7</w:t>
            </w:r>
          </w:p>
        </w:tc>
      </w:tr>
    </w:tbl>
    <w:p w14:paraId="5E6835AF" w14:textId="77777777" w:rsidR="00496C05" w:rsidRDefault="00496C05" w:rsidP="007C1632">
      <w:pPr>
        <w:pStyle w:val="SWCText"/>
      </w:pPr>
    </w:p>
    <w:p w14:paraId="6824CE30" w14:textId="654BBC2A" w:rsidR="000A00AD" w:rsidRDefault="000A00AD" w:rsidP="000A00AD">
      <w:pPr>
        <w:pStyle w:val="SWCHeading11"/>
      </w:pPr>
      <w:r>
        <w:t>3.</w:t>
      </w:r>
      <w:r w:rsidR="0098620E">
        <w:t>3</w:t>
      </w:r>
      <w:r>
        <w:t xml:space="preserve"> </w:t>
      </w:r>
      <w:r w:rsidR="0098620E">
        <w:t>Comparison of yearly emissions</w:t>
      </w:r>
      <w:r>
        <w:t xml:space="preserve"> </w:t>
      </w:r>
    </w:p>
    <w:p w14:paraId="55EC76DB" w14:textId="0975DA46" w:rsidR="000A00AD" w:rsidRDefault="0036683F" w:rsidP="000A00AD">
      <w:pPr>
        <w:pStyle w:val="SWCText"/>
      </w:pPr>
      <w:r>
        <w:fldChar w:fldCharType="begin"/>
      </w:r>
      <w:r>
        <w:instrText xml:space="preserve"> REF _Ref236137218 \h </w:instrText>
      </w:r>
      <w:r>
        <w:fldChar w:fldCharType="separate"/>
      </w:r>
      <w:r w:rsidR="00346E63" w:rsidRPr="0036683F">
        <w:t xml:space="preserve">Figure </w:t>
      </w:r>
      <w:r w:rsidR="00346E63">
        <w:rPr>
          <w:noProof/>
        </w:rPr>
        <w:t>4</w:t>
      </w:r>
      <w:r>
        <w:fldChar w:fldCharType="end"/>
      </w:r>
      <w:r>
        <w:t xml:space="preserve"> </w:t>
      </w:r>
      <w:r w:rsidR="000A00AD">
        <w:t>presents the specific CO</w:t>
      </w:r>
      <w:r w:rsidR="00470AEC" w:rsidRPr="00470AEC">
        <w:rPr>
          <w:vertAlign w:val="subscript"/>
        </w:rPr>
        <w:t>2eq</w:t>
      </w:r>
      <w:r w:rsidR="000A00AD">
        <w:t xml:space="preserve"> emissions in </w:t>
      </w:r>
      <w:r w:rsidR="00470AEC">
        <w:t>gCO</w:t>
      </w:r>
      <w:r w:rsidR="00470AEC" w:rsidRPr="00470AEC">
        <w:rPr>
          <w:vertAlign w:val="subscript"/>
        </w:rPr>
        <w:t>2eq</w:t>
      </w:r>
      <w:r w:rsidR="000A00AD">
        <w:t>/</w:t>
      </w:r>
      <w:proofErr w:type="spellStart"/>
      <w:r w:rsidR="000A00AD">
        <w:t>kWh</w:t>
      </w:r>
      <w:r w:rsidR="00470AEC" w:rsidRPr="00470AEC">
        <w:rPr>
          <w:vertAlign w:val="subscript"/>
        </w:rPr>
        <w:t>t</w:t>
      </w:r>
      <w:r w:rsidR="000A00AD" w:rsidRPr="00470AEC">
        <w:rPr>
          <w:vertAlign w:val="subscript"/>
        </w:rPr>
        <w:t>h</w:t>
      </w:r>
      <w:proofErr w:type="spellEnd"/>
      <w:r w:rsidR="000A00AD">
        <w:t xml:space="preserve"> for each year as a stacked bar chart. For each year, the left bar (</w:t>
      </w:r>
      <w:r w:rsidR="00F56C08">
        <w:t>green</w:t>
      </w:r>
      <w:r w:rsidR="000A00AD">
        <w:t xml:space="preserve">) corresponds to the AWHP without PV and the right bar (orange) to the AWHP with PV. The lower portion of each bar represents emissions calculated using the static EF, while the upper portion represents the dynamic deviation. The specific emissions of the gas reference system are shown as a dotted line and remain nearly constant across all years, decreasing only marginally from 276 </w:t>
      </w:r>
      <w:r w:rsidR="00470AEC">
        <w:t>gCO</w:t>
      </w:r>
      <w:r w:rsidR="00470AEC" w:rsidRPr="00470AEC">
        <w:rPr>
          <w:vertAlign w:val="subscript"/>
        </w:rPr>
        <w:t>2eq</w:t>
      </w:r>
      <w:r w:rsidR="000A00AD">
        <w:t>/</w:t>
      </w:r>
      <w:proofErr w:type="spellStart"/>
      <w:r w:rsidR="00470AEC">
        <w:t>kWh</w:t>
      </w:r>
      <w:r w:rsidR="00470AEC" w:rsidRPr="00470AEC">
        <w:rPr>
          <w:vertAlign w:val="subscript"/>
        </w:rPr>
        <w:t>th</w:t>
      </w:r>
      <w:proofErr w:type="spellEnd"/>
      <w:r w:rsidR="00470AEC">
        <w:t xml:space="preserve"> </w:t>
      </w:r>
      <w:r w:rsidR="000A00AD">
        <w:t xml:space="preserve">in 2017 to 275 </w:t>
      </w:r>
      <w:r w:rsidR="00470AEC">
        <w:t>gCO</w:t>
      </w:r>
      <w:r w:rsidR="00470AEC" w:rsidRPr="00470AEC">
        <w:rPr>
          <w:vertAlign w:val="subscript"/>
        </w:rPr>
        <w:t>2eq</w:t>
      </w:r>
      <w:r w:rsidR="000A00AD">
        <w:t>/</w:t>
      </w:r>
      <w:proofErr w:type="spellStart"/>
      <w:r w:rsidR="00470AEC">
        <w:t>kWh</w:t>
      </w:r>
      <w:r w:rsidR="00470AEC" w:rsidRPr="00470AEC">
        <w:rPr>
          <w:vertAlign w:val="subscript"/>
        </w:rPr>
        <w:t>th</w:t>
      </w:r>
      <w:proofErr w:type="spellEnd"/>
      <w:r w:rsidR="00470AEC">
        <w:t xml:space="preserve"> </w:t>
      </w:r>
      <w:r w:rsidR="000A00AD">
        <w:t>in 2025 — a negligible effect attributable to the slightly improved electricity mix powering auxiliary pumps and standby loads.</w:t>
      </w:r>
    </w:p>
    <w:p w14:paraId="34599D1B" w14:textId="77777777" w:rsidR="005504FE" w:rsidRDefault="005504FE" w:rsidP="000A00AD">
      <w:pPr>
        <w:pStyle w:val="SWCText"/>
      </w:pPr>
    </w:p>
    <w:p w14:paraId="55CB2A17" w14:textId="7AAB0500" w:rsidR="00BB6D43" w:rsidRDefault="001E13B3" w:rsidP="00BB6D43">
      <w:pPr>
        <w:pStyle w:val="SWCText"/>
      </w:pPr>
      <w:r w:rsidRPr="001E13B3">
        <w:rPr>
          <w:noProof/>
        </w:rPr>
        <w:drawing>
          <wp:inline distT="0" distB="0" distL="0" distR="0" wp14:anchorId="0DEBC31F" wp14:editId="2F3166FA">
            <wp:extent cx="5701665" cy="2482850"/>
            <wp:effectExtent l="0" t="0" r="0" b="0"/>
            <wp:docPr id="1502593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93837" name=""/>
                    <pic:cNvPicPr/>
                  </pic:nvPicPr>
                  <pic:blipFill>
                    <a:blip r:embed="rId14"/>
                    <a:stretch>
                      <a:fillRect/>
                    </a:stretch>
                  </pic:blipFill>
                  <pic:spPr>
                    <a:xfrm>
                      <a:off x="0" y="0"/>
                      <a:ext cx="5701665" cy="2482850"/>
                    </a:xfrm>
                    <a:prstGeom prst="rect">
                      <a:avLst/>
                    </a:prstGeom>
                  </pic:spPr>
                </pic:pic>
              </a:graphicData>
            </a:graphic>
          </wp:inline>
        </w:drawing>
      </w:r>
    </w:p>
    <w:p w14:paraId="5F404BBB" w14:textId="0D07BA71" w:rsidR="000A00AD" w:rsidRPr="0036683F" w:rsidRDefault="000A00AD" w:rsidP="000A00AD">
      <w:pPr>
        <w:pStyle w:val="SWCTableFigureCaption"/>
      </w:pPr>
      <w:bookmarkStart w:id="2" w:name="_Ref236137218"/>
      <w:r w:rsidRPr="0036683F">
        <w:t xml:space="preserve">Figure </w:t>
      </w:r>
      <w:r>
        <w:fldChar w:fldCharType="begin"/>
      </w:r>
      <w:r w:rsidRPr="0036683F">
        <w:instrText xml:space="preserve"> SEQ Figure \* ARABIC </w:instrText>
      </w:r>
      <w:r>
        <w:fldChar w:fldCharType="separate"/>
      </w:r>
      <w:r>
        <w:rPr>
          <w:noProof/>
        </w:rPr>
        <w:t>4</w:t>
      </w:r>
      <w:r>
        <w:fldChar w:fldCharType="end"/>
      </w:r>
      <w:bookmarkEnd w:id="2"/>
      <w:r w:rsidRPr="0036683F">
        <w:t xml:space="preserve">: Static and </w:t>
      </w:r>
      <w:r w:rsidR="009000D5">
        <w:t>d</w:t>
      </w:r>
      <w:r w:rsidRPr="0036683F">
        <w:t>ynamic e</w:t>
      </w:r>
      <w:r>
        <w:t xml:space="preserve">missions of the Air-Water Heat pump system, with and without PV, and dynamic emissions of Gas system for the years 2017 to 2025. </w:t>
      </w:r>
    </w:p>
    <w:p w14:paraId="77EAB040" w14:textId="642E0E1C" w:rsidR="009957FC" w:rsidRDefault="009957FC" w:rsidP="009957FC">
      <w:pPr>
        <w:pStyle w:val="SWCText"/>
        <w:keepNext/>
      </w:pPr>
      <w:r>
        <w:lastRenderedPageBreak/>
        <w:t>The overall trend is a clear reduction of AWHP-specific emissions over the study period, from 166 gCO</w:t>
      </w:r>
      <w:r w:rsidR="00470AEC" w:rsidRPr="00470AEC">
        <w:rPr>
          <w:vertAlign w:val="subscript"/>
        </w:rPr>
        <w:t>2eq</w:t>
      </w:r>
      <w:r>
        <w:t>/</w:t>
      </w:r>
      <w:proofErr w:type="spellStart"/>
      <w:r>
        <w:t>kWh</w:t>
      </w:r>
      <w:r w:rsidR="00AF63AB" w:rsidRPr="00AF63AB">
        <w:rPr>
          <w:vertAlign w:val="subscript"/>
        </w:rPr>
        <w:t>th</w:t>
      </w:r>
      <w:proofErr w:type="spellEnd"/>
      <w:r>
        <w:t xml:space="preserve"> in 2017 to 107 </w:t>
      </w:r>
      <w:r w:rsidR="00470AEC">
        <w:t>gCO</w:t>
      </w:r>
      <w:r w:rsidR="00470AEC" w:rsidRPr="00470AEC">
        <w:rPr>
          <w:vertAlign w:val="subscript"/>
        </w:rPr>
        <w:t>2eq</w:t>
      </w:r>
      <w:r>
        <w:t>/</w:t>
      </w:r>
      <w:proofErr w:type="spellStart"/>
      <w:r>
        <w:t>kWh</w:t>
      </w:r>
      <w:r w:rsidR="00AF63AB" w:rsidRPr="00AF63AB">
        <w:rPr>
          <w:vertAlign w:val="subscript"/>
        </w:rPr>
        <w:t>th</w:t>
      </w:r>
      <w:proofErr w:type="spellEnd"/>
      <w:r>
        <w:t xml:space="preserve"> in 2025 (dynamic calculation, without PV), meaning that by 2025 the AWHP already achieves approximately 2.5 times lower specific emissions than the gas system. However, two opposing trends </w:t>
      </w:r>
      <w:r w:rsidR="00F56C08">
        <w:t xml:space="preserve">can be </w:t>
      </w:r>
      <w:r w:rsidR="005A5E54">
        <w:t>observed</w:t>
      </w:r>
      <w:r>
        <w:t>: while total emissions decrease, the dynamic deviation grows. In 2017 and 2018 it remains low at 1–4%, whereas in 2024 and 2025 it reaches 14–16%, indicating that as the electricity mix becomes more volatile — driven by the increasing share of wind and solar — the static EF increasingly underestimates real emissions.</w:t>
      </w:r>
    </w:p>
    <w:p w14:paraId="04174B2D" w14:textId="0C7D10DB" w:rsidR="009957FC" w:rsidRDefault="009957FC" w:rsidP="009957FC">
      <w:pPr>
        <w:pStyle w:val="SWCText"/>
        <w:keepNext/>
      </w:pPr>
      <w:r>
        <w:t xml:space="preserve">For AWHP systems equipped with PV, solar </w:t>
      </w:r>
      <w:r w:rsidR="00F56C08">
        <w:t>self-</w:t>
      </w:r>
      <w:r>
        <w:t xml:space="preserve">consumption further reduces specific emissions by 14 to 21% depending on the year, with the variation primarily driven by weather conditions. The same PV-specific emission factor of 56 </w:t>
      </w:r>
      <w:r w:rsidR="00470AEC">
        <w:t>gCO</w:t>
      </w:r>
      <w:r w:rsidR="00470AEC" w:rsidRPr="008E1712">
        <w:rPr>
          <w:vertAlign w:val="subscript"/>
        </w:rPr>
        <w:t>2eq</w:t>
      </w:r>
      <w:r>
        <w:t>/</w:t>
      </w:r>
      <w:proofErr w:type="spellStart"/>
      <w:r>
        <w:t>kWh</w:t>
      </w:r>
      <w:r w:rsidR="00AF63AB" w:rsidRPr="00AF63AB">
        <w:rPr>
          <w:vertAlign w:val="subscript"/>
        </w:rPr>
        <w:t>el</w:t>
      </w:r>
      <w:proofErr w:type="spellEnd"/>
      <w:r>
        <w:t xml:space="preserve"> applied in the dynamic EF calculation is used here for self-consumed PV electricity. The dynamic deviation is proportionally larger for PV systems, which can be partly explained by the lower absolute emission baseline making the relative deviation more sensitive.</w:t>
      </w:r>
    </w:p>
    <w:p w14:paraId="15CCC28C" w14:textId="30B716D1" w:rsidR="0036683F" w:rsidRDefault="009957FC" w:rsidP="009957FC">
      <w:pPr>
        <w:pStyle w:val="SWCText"/>
        <w:keepNext/>
      </w:pPr>
      <w:r>
        <w:t xml:space="preserve">The year 2020 again emerges as a clear outlier: its specific emissions approach the </w:t>
      </w:r>
      <w:proofErr w:type="gramStart"/>
      <w:r>
        <w:t>levels of 2024–2025</w:t>
      </w:r>
      <w:proofErr w:type="gramEnd"/>
      <w:r>
        <w:t>, consistent with the anomalously low static EF observed for that year.</w:t>
      </w:r>
    </w:p>
    <w:p w14:paraId="4A1DB7F7" w14:textId="0A0B28F6" w:rsidR="000A00AD" w:rsidRDefault="000A00AD" w:rsidP="000A00AD">
      <w:pPr>
        <w:pStyle w:val="SWCText"/>
        <w:keepNext/>
      </w:pPr>
    </w:p>
    <w:p w14:paraId="44AD7687" w14:textId="49739DC9" w:rsidR="00BB6D43" w:rsidRPr="00822886" w:rsidRDefault="00BB6D43" w:rsidP="000A00AD">
      <w:pPr>
        <w:pStyle w:val="SWCText"/>
        <w:keepNext/>
      </w:pPr>
      <w:r w:rsidRPr="00BB6D43">
        <w:rPr>
          <w:noProof/>
        </w:rPr>
        <w:drawing>
          <wp:inline distT="0" distB="0" distL="0" distR="0" wp14:anchorId="7378FC29" wp14:editId="49850144">
            <wp:extent cx="5701665" cy="2793365"/>
            <wp:effectExtent l="0" t="0" r="0" b="6985"/>
            <wp:docPr id="1103785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785783" name=""/>
                    <pic:cNvPicPr/>
                  </pic:nvPicPr>
                  <pic:blipFill>
                    <a:blip r:embed="rId15"/>
                    <a:stretch>
                      <a:fillRect/>
                    </a:stretch>
                  </pic:blipFill>
                  <pic:spPr>
                    <a:xfrm>
                      <a:off x="0" y="0"/>
                      <a:ext cx="5701665" cy="2793365"/>
                    </a:xfrm>
                    <a:prstGeom prst="rect">
                      <a:avLst/>
                    </a:prstGeom>
                  </pic:spPr>
                </pic:pic>
              </a:graphicData>
            </a:graphic>
          </wp:inline>
        </w:drawing>
      </w:r>
    </w:p>
    <w:p w14:paraId="10C504F3" w14:textId="0D3C51C0" w:rsidR="000A00AD" w:rsidRDefault="000A00AD" w:rsidP="000A00AD">
      <w:pPr>
        <w:pStyle w:val="SWCTableFigureCaption"/>
      </w:pPr>
      <w:bookmarkStart w:id="3" w:name="_Ref236137344"/>
      <w:r w:rsidRPr="0036683F">
        <w:t xml:space="preserve">Figure </w:t>
      </w:r>
      <w:r>
        <w:fldChar w:fldCharType="begin"/>
      </w:r>
      <w:r w:rsidRPr="0036683F">
        <w:instrText xml:space="preserve"> SEQ Figure \* ARABIC </w:instrText>
      </w:r>
      <w:r>
        <w:fldChar w:fldCharType="separate"/>
      </w:r>
      <w:r>
        <w:rPr>
          <w:noProof/>
        </w:rPr>
        <w:t>5</w:t>
      </w:r>
      <w:r>
        <w:fldChar w:fldCharType="end"/>
      </w:r>
      <w:bookmarkEnd w:id="3"/>
      <w:r w:rsidRPr="0036683F">
        <w:t>: Boxplot o</w:t>
      </w:r>
      <w:r w:rsidR="00447621">
        <w:t>f</w:t>
      </w:r>
      <w:r w:rsidRPr="0036683F">
        <w:t xml:space="preserve"> the d</w:t>
      </w:r>
      <w:r>
        <w:t xml:space="preserve">ynamic emissions of the Air-Water Heat Pump system, with and without PV for the years 2017 to 2025. Emissions of gas </w:t>
      </w:r>
      <w:proofErr w:type="gramStart"/>
      <w:r>
        <w:t>system</w:t>
      </w:r>
      <w:proofErr w:type="gramEnd"/>
      <w:r>
        <w:t xml:space="preserve"> as comparison. </w:t>
      </w:r>
      <w:r w:rsidR="00447621">
        <w:t xml:space="preserve">The numbers above the gas line represent the number of hours for which the HP systems have higher specific emissions than a gas system. </w:t>
      </w:r>
    </w:p>
    <w:p w14:paraId="10B5757D" w14:textId="77777777" w:rsidR="001E13B3" w:rsidRDefault="001E13B3" w:rsidP="0036683F">
      <w:pPr>
        <w:pStyle w:val="SWCText"/>
        <w:keepNext/>
      </w:pPr>
    </w:p>
    <w:p w14:paraId="11D1D169" w14:textId="15484616" w:rsidR="0036683F" w:rsidRDefault="000A00AD" w:rsidP="0036683F">
      <w:pPr>
        <w:pStyle w:val="SWCText"/>
        <w:keepNext/>
      </w:pPr>
      <w:r>
        <w:fldChar w:fldCharType="begin"/>
      </w:r>
      <w:r>
        <w:instrText xml:space="preserve"> REF _Ref236137344 \h </w:instrText>
      </w:r>
      <w:r>
        <w:fldChar w:fldCharType="separate"/>
      </w:r>
      <w:r w:rsidRPr="0036683F">
        <w:t xml:space="preserve">Figure </w:t>
      </w:r>
      <w:r>
        <w:rPr>
          <w:noProof/>
        </w:rPr>
        <w:t>5</w:t>
      </w:r>
      <w:r>
        <w:fldChar w:fldCharType="end"/>
      </w:r>
      <w:r>
        <w:t xml:space="preserve"> </w:t>
      </w:r>
      <w:r w:rsidRPr="000A00AD">
        <w:t xml:space="preserve">provides a more detailed view through boxplots, again with </w:t>
      </w:r>
      <w:r w:rsidR="00F56C08">
        <w:t>green</w:t>
      </w:r>
      <w:r w:rsidR="00F56C08" w:rsidRPr="000A00AD">
        <w:t xml:space="preserve"> </w:t>
      </w:r>
      <w:r w:rsidRPr="000A00AD">
        <w:t xml:space="preserve">representing without PV and orange with PV. Boxes span the 25th to 75th percentile of 15-minute specific emission values, the median is indicated by a purple line, and whiskers extend to the 2nd and 98th percentiles, with individual outliers shown as grey points. The gas system EF is again shown as a dotted reference line. Above this line, the number of hours during which the AWHP specific emission factor exceeds that of the gas system is annotated — in </w:t>
      </w:r>
      <w:r w:rsidR="00F56C08">
        <w:t>green</w:t>
      </w:r>
      <w:r w:rsidR="00F56C08" w:rsidRPr="000A00AD">
        <w:t xml:space="preserve"> </w:t>
      </w:r>
      <w:r w:rsidRPr="000A00AD">
        <w:t>for the system without PV and orange for the system with PV.</w:t>
      </w:r>
    </w:p>
    <w:p w14:paraId="5AF267EA" w14:textId="0ADBD201" w:rsidR="00CC2AFE" w:rsidRDefault="000A00AD" w:rsidP="0036683F">
      <w:pPr>
        <w:pStyle w:val="SWCText"/>
        <w:keepNext/>
      </w:pPr>
      <w:r w:rsidRPr="000A00AD">
        <w:t xml:space="preserve">The boxplots confirm the general downward trend in emissions, including a reduction in the upper tail of the distribution: the upper whiskers show a consistent decrease over time, reflecting fewer hours with very high instantaneous emission factors. The number of hours during which AWHP emissions exceed the gas reference also decreases, from </w:t>
      </w:r>
      <w:r w:rsidR="008E1712">
        <w:t>140</w:t>
      </w:r>
      <w:r w:rsidRPr="000A00AD">
        <w:t xml:space="preserve"> hours in 2017 to </w:t>
      </w:r>
      <w:r w:rsidR="008E1712">
        <w:t>24</w:t>
      </w:r>
      <w:r w:rsidRPr="000A00AD">
        <w:t>, 2</w:t>
      </w:r>
      <w:r w:rsidR="008E1712">
        <w:t>7</w:t>
      </w:r>
      <w:r w:rsidRPr="000A00AD">
        <w:t xml:space="preserve"> and 36 hours in 2023, 2024 and 2025 respectively — with no </w:t>
      </w:r>
      <w:proofErr w:type="gramStart"/>
      <w:r w:rsidRPr="000A00AD">
        <w:t>systematic</w:t>
      </w:r>
      <w:proofErr w:type="gramEnd"/>
      <w:r w:rsidRPr="000A00AD">
        <w:t xml:space="preserve"> increasing trend despite the growing volatility of the grid. The year 2020 stands out once more as a clear outlier, with only </w:t>
      </w:r>
      <w:r w:rsidR="008E1712">
        <w:t>9</w:t>
      </w:r>
      <w:r w:rsidRPr="000A00AD">
        <w:t xml:space="preserve"> hours above the gas threshold for the system without PV and just </w:t>
      </w:r>
      <w:r w:rsidR="008E1712">
        <w:t>7</w:t>
      </w:r>
      <w:r w:rsidRPr="000A00AD">
        <w:t xml:space="preserve"> hours for the system with PV.</w:t>
      </w:r>
    </w:p>
    <w:p w14:paraId="120CCB64" w14:textId="1C68F86E" w:rsidR="0098620E" w:rsidRPr="001E13B3" w:rsidRDefault="00E7047F" w:rsidP="001E13B3">
      <w:pPr>
        <w:rPr>
          <w:color w:val="000000"/>
          <w:sz w:val="20"/>
          <w:szCs w:val="22"/>
          <w:lang w:val="en-US"/>
        </w:rPr>
      </w:pPr>
      <w:r w:rsidRPr="006F5433">
        <w:rPr>
          <w:lang w:val="en-US"/>
        </w:rPr>
        <w:br w:type="page"/>
      </w:r>
    </w:p>
    <w:p w14:paraId="69E9DE94" w14:textId="72CF778F" w:rsidR="0098620E" w:rsidRDefault="0098620E" w:rsidP="0098620E">
      <w:pPr>
        <w:pStyle w:val="SWCHeading11"/>
      </w:pPr>
      <w:r>
        <w:lastRenderedPageBreak/>
        <w:t xml:space="preserve">3.3 </w:t>
      </w:r>
      <w:r w:rsidR="00E7047F" w:rsidRPr="00E7047F">
        <w:t>Renewable Share as a Driver of the Dynamic Deviation</w:t>
      </w:r>
      <w:r>
        <w:t xml:space="preserve"> </w:t>
      </w:r>
    </w:p>
    <w:p w14:paraId="252A4394" w14:textId="03DF8852" w:rsidR="00E7047F" w:rsidRDefault="00E7047F" w:rsidP="00E7047F">
      <w:pPr>
        <w:pStyle w:val="SWCText"/>
        <w:keepNext/>
      </w:pPr>
      <w:r>
        <w:fldChar w:fldCharType="begin"/>
      </w:r>
      <w:r>
        <w:instrText xml:space="preserve"> REF _Ref236310980 \h </w:instrText>
      </w:r>
      <w:r>
        <w:fldChar w:fldCharType="separate"/>
      </w:r>
      <w:r w:rsidRPr="0008734F">
        <w:t xml:space="preserve">Figure </w:t>
      </w:r>
      <w:r>
        <w:rPr>
          <w:noProof/>
        </w:rPr>
        <w:t>6</w:t>
      </w:r>
      <w:r>
        <w:fldChar w:fldCharType="end"/>
      </w:r>
      <w:r>
        <w:t xml:space="preserve"> plots the dynamic deviation against the load-weighted share of renewable electricity in the German mix for each simulated year. Three renewable categories are shown: solar (orange), wind — onshore and offshore </w:t>
      </w:r>
      <w:proofErr w:type="gramStart"/>
      <w:r>
        <w:t>combined — (</w:t>
      </w:r>
      <w:proofErr w:type="gramEnd"/>
      <w:r>
        <w:t>blue), and both combined (</w:t>
      </w:r>
      <w:r w:rsidR="00F56C08">
        <w:t>green</w:t>
      </w:r>
      <w:r>
        <w:t>). Hydropower is intentionally excluded from this analysis, as its dispatchable nature does not contribute to the short-term volatility that drives the dynamic deviation.</w:t>
      </w:r>
    </w:p>
    <w:p w14:paraId="39048BFD" w14:textId="3A1D577B" w:rsidR="008E1712" w:rsidRDefault="008E1712" w:rsidP="00E7047F">
      <w:pPr>
        <w:pStyle w:val="SWCTableFigureCaption"/>
        <w:keepNext/>
      </w:pPr>
      <w:r w:rsidRPr="008E1712">
        <w:rPr>
          <w:noProof/>
        </w:rPr>
        <w:drawing>
          <wp:inline distT="0" distB="0" distL="0" distR="0" wp14:anchorId="12B1E480" wp14:editId="38C96CBD">
            <wp:extent cx="5375662" cy="3538873"/>
            <wp:effectExtent l="0" t="0" r="0" b="4445"/>
            <wp:docPr id="1651887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87454" name=""/>
                    <pic:cNvPicPr/>
                  </pic:nvPicPr>
                  <pic:blipFill>
                    <a:blip r:embed="rId16"/>
                    <a:stretch>
                      <a:fillRect/>
                    </a:stretch>
                  </pic:blipFill>
                  <pic:spPr>
                    <a:xfrm>
                      <a:off x="0" y="0"/>
                      <a:ext cx="5381066" cy="3542431"/>
                    </a:xfrm>
                    <a:prstGeom prst="rect">
                      <a:avLst/>
                    </a:prstGeom>
                  </pic:spPr>
                </pic:pic>
              </a:graphicData>
            </a:graphic>
          </wp:inline>
        </w:drawing>
      </w:r>
    </w:p>
    <w:p w14:paraId="1818F414" w14:textId="77777777" w:rsidR="00E7047F" w:rsidRPr="0008734F" w:rsidRDefault="00E7047F" w:rsidP="00E7047F">
      <w:pPr>
        <w:pStyle w:val="SWCTableFigureCaption"/>
      </w:pPr>
      <w:bookmarkStart w:id="4" w:name="_Ref236310980"/>
      <w:r w:rsidRPr="0008734F">
        <w:t xml:space="preserve">Figure </w:t>
      </w:r>
      <w:r>
        <w:fldChar w:fldCharType="begin"/>
      </w:r>
      <w:r w:rsidRPr="0008734F">
        <w:instrText xml:space="preserve"> SEQ Figure \* ARABIC </w:instrText>
      </w:r>
      <w:r>
        <w:fldChar w:fldCharType="separate"/>
      </w:r>
      <w:r>
        <w:rPr>
          <w:noProof/>
        </w:rPr>
        <w:t>6</w:t>
      </w:r>
      <w:r>
        <w:fldChar w:fldCharType="end"/>
      </w:r>
      <w:bookmarkEnd w:id="4"/>
      <w:r w:rsidRPr="0008734F">
        <w:t>: Increase of emissions u</w:t>
      </w:r>
      <w:r>
        <w:t xml:space="preserve">sing dynamic emissions factors vs share of renewable electricity in the mix. The correlation is higher for the overall renewable energy. </w:t>
      </w:r>
    </w:p>
    <w:p w14:paraId="616F47E6" w14:textId="77777777" w:rsidR="00E7047F" w:rsidRDefault="00E7047F" w:rsidP="00E7047F">
      <w:pPr>
        <w:pStyle w:val="SWCText"/>
        <w:keepNext/>
      </w:pPr>
    </w:p>
    <w:p w14:paraId="0526392C" w14:textId="4DE18E66" w:rsidR="00E7047F" w:rsidRDefault="00E7047F" w:rsidP="00E7047F">
      <w:pPr>
        <w:pStyle w:val="SWCText"/>
        <w:keepNext/>
      </w:pPr>
      <w:r>
        <w:t xml:space="preserve">Positive correlations are observed </w:t>
      </w:r>
      <w:proofErr w:type="gramStart"/>
      <w:r>
        <w:t>for</w:t>
      </w:r>
      <w:proofErr w:type="gramEnd"/>
      <w:r>
        <w:t xml:space="preserve"> all three categories. The strongest is with the overall renewable share (R² = 0.</w:t>
      </w:r>
      <w:r w:rsidR="005B319C">
        <w:t>90</w:t>
      </w:r>
      <w:r>
        <w:t>), followed by solar (R² = 0.7</w:t>
      </w:r>
      <w:r w:rsidR="005B319C">
        <w:t>9</w:t>
      </w:r>
      <w:r>
        <w:t>) and wind (R² = 0.7</w:t>
      </w:r>
      <w:r w:rsidR="005B319C">
        <w:t>6</w:t>
      </w:r>
      <w:r>
        <w:t>), confirming that the combined deployment of wind and solar is the primary driver of the growing discrepancy between static and dynamic emission calculations.</w:t>
      </w:r>
    </w:p>
    <w:p w14:paraId="24EB174E" w14:textId="7E1C18D4" w:rsidR="0098620E" w:rsidRPr="00E7047F" w:rsidRDefault="00E7047F" w:rsidP="00E7047F">
      <w:pPr>
        <w:pStyle w:val="SWCText"/>
        <w:keepNext/>
      </w:pPr>
      <w:r>
        <w:t xml:space="preserve">However, this trend </w:t>
      </w:r>
      <w:r w:rsidR="00F56C08">
        <w:t xml:space="preserve">cannot be extrapolated </w:t>
      </w:r>
      <w:r>
        <w:t>to high</w:t>
      </w:r>
      <w:r w:rsidR="00F56C08">
        <w:t>er</w:t>
      </w:r>
      <w:r>
        <w:t xml:space="preserve"> renewable shares for several reasons. First, for a sufficiently decarbonized grid, the absolute level of the static EF will be so low that the comparison between heat pump and gas emissions becomes largely irrelevant — the heat pump will unambiguously outperform gas regardless of the calculation methodology. Second, the </w:t>
      </w:r>
      <w:r w:rsidR="00F56C08">
        <w:t xml:space="preserve">further </w:t>
      </w:r>
      <w:r>
        <w:t xml:space="preserve">deployment </w:t>
      </w:r>
      <w:r w:rsidR="00F56C08">
        <w:t xml:space="preserve">of renewable energy </w:t>
      </w:r>
      <w:r>
        <w:t xml:space="preserve">in Germany </w:t>
      </w:r>
      <w:r w:rsidR="00F56C08">
        <w:t>will need to come along with grid enforcement and extension of (short term) storage capacity</w:t>
      </w:r>
      <w:r>
        <w:t xml:space="preserve"> Third, projecting a future electricity mix is inherently uncertain, as it depends not only on economic factors but also on policy decisions. Finally, source-specific emission factors for wind turbines and PV panels are themselves expected to decrease in the coming years, as the manufacturing of these technologies increasingly benefits from a cleaner electricity mix in producing countries — meaning the overall grid EF will continue to fall even if the renewable share growth rate slows.</w:t>
      </w:r>
    </w:p>
    <w:p w14:paraId="378F0C31" w14:textId="691B2DFD" w:rsidR="00D32EF0" w:rsidRPr="006309AA" w:rsidRDefault="00E7047F" w:rsidP="00490F10">
      <w:pPr>
        <w:pStyle w:val="SWCHeading1"/>
      </w:pPr>
      <w:r>
        <w:t>Conclusion</w:t>
      </w:r>
    </w:p>
    <w:p w14:paraId="1B0135F1" w14:textId="2CE6EB7E" w:rsidR="00E7047F" w:rsidRDefault="00E7047F" w:rsidP="00E7047F">
      <w:pPr>
        <w:pStyle w:val="SWCText"/>
      </w:pPr>
      <w:r>
        <w:t xml:space="preserve">This study assessed the </w:t>
      </w:r>
      <w:r w:rsidR="008E1712">
        <w:t>CO</w:t>
      </w:r>
      <w:r w:rsidR="008E1712" w:rsidRPr="008E1712">
        <w:rPr>
          <w:vertAlign w:val="subscript"/>
        </w:rPr>
        <w:t>2eq</w:t>
      </w:r>
      <w:r w:rsidR="008E1712">
        <w:t xml:space="preserve"> </w:t>
      </w:r>
      <w:r>
        <w:t>emissions of an air/water heat pump (AWHP) system — with and without rooftop PV — over the period 2017 to 2025, using dynamically calculated quarter-hourly emission factors for the German electricity mix. The results lead to three main conclusions.</w:t>
      </w:r>
    </w:p>
    <w:p w14:paraId="6072CABA" w14:textId="70A02F99" w:rsidR="00E7047F" w:rsidRDefault="00E7047F" w:rsidP="00E7047F">
      <w:pPr>
        <w:pStyle w:val="SWCText"/>
      </w:pPr>
      <w:r>
        <w:t>First, the German electricity mix has improved substantially over the study period, with the static EF decreasing from 516 gCO</w:t>
      </w:r>
      <w:r w:rsidR="008E1712" w:rsidRPr="008E1712">
        <w:rPr>
          <w:vertAlign w:val="subscript"/>
        </w:rPr>
        <w:t>2-</w:t>
      </w:r>
      <w:r w:rsidRPr="008E1712">
        <w:rPr>
          <w:vertAlign w:val="subscript"/>
        </w:rPr>
        <w:t>eq</w:t>
      </w:r>
      <w:r>
        <w:t>/</w:t>
      </w:r>
      <w:proofErr w:type="spellStart"/>
      <w:r>
        <w:t>kWh</w:t>
      </w:r>
      <w:r w:rsidRPr="008E1712">
        <w:rPr>
          <w:vertAlign w:val="subscript"/>
        </w:rPr>
        <w:t>el</w:t>
      </w:r>
      <w:proofErr w:type="spellEnd"/>
      <w:r>
        <w:t xml:space="preserve"> in 2017 to 319 </w:t>
      </w:r>
      <w:r w:rsidR="008E1712">
        <w:t>gCO</w:t>
      </w:r>
      <w:r w:rsidR="008E1712" w:rsidRPr="008E1712">
        <w:rPr>
          <w:vertAlign w:val="subscript"/>
        </w:rPr>
        <w:t>2-eq</w:t>
      </w:r>
      <w:r w:rsidR="008E1712">
        <w:t>/</w:t>
      </w:r>
      <w:proofErr w:type="spellStart"/>
      <w:r w:rsidR="008E1712">
        <w:t>kWh</w:t>
      </w:r>
      <w:r w:rsidR="008E1712" w:rsidRPr="008E1712">
        <w:rPr>
          <w:vertAlign w:val="subscript"/>
        </w:rPr>
        <w:t>el</w:t>
      </w:r>
      <w:proofErr w:type="spellEnd"/>
      <w:r w:rsidR="008E1712">
        <w:t xml:space="preserve"> </w:t>
      </w:r>
      <w:r>
        <w:t xml:space="preserve">in 2025. This directly translates into a reduction of AWHP-specific emissions, from 166 </w:t>
      </w:r>
      <w:r w:rsidR="008E1712">
        <w:t>gCO</w:t>
      </w:r>
      <w:r w:rsidR="008E1712" w:rsidRPr="008E1712">
        <w:rPr>
          <w:vertAlign w:val="subscript"/>
        </w:rPr>
        <w:t>2eq</w:t>
      </w:r>
      <w:r w:rsidR="008E1712">
        <w:t>/</w:t>
      </w:r>
      <w:proofErr w:type="spellStart"/>
      <w:r w:rsidR="008E1712">
        <w:t>kWh</w:t>
      </w:r>
      <w:r w:rsidR="008E1712">
        <w:rPr>
          <w:vertAlign w:val="subscript"/>
        </w:rPr>
        <w:t>th</w:t>
      </w:r>
      <w:proofErr w:type="spellEnd"/>
      <w:r w:rsidR="008E1712">
        <w:t xml:space="preserve"> </w:t>
      </w:r>
      <w:r>
        <w:t xml:space="preserve">in 2017 to 107 </w:t>
      </w:r>
      <w:r w:rsidR="008E1712">
        <w:t>gCO</w:t>
      </w:r>
      <w:r w:rsidR="008E1712" w:rsidRPr="008E1712">
        <w:rPr>
          <w:vertAlign w:val="subscript"/>
        </w:rPr>
        <w:t>2eq</w:t>
      </w:r>
      <w:r w:rsidR="008E1712">
        <w:t>/</w:t>
      </w:r>
      <w:proofErr w:type="spellStart"/>
      <w:r w:rsidR="008E1712">
        <w:t>kWh</w:t>
      </w:r>
      <w:r w:rsidR="008E1712" w:rsidRPr="008E1712">
        <w:rPr>
          <w:vertAlign w:val="subscript"/>
        </w:rPr>
        <w:t>th</w:t>
      </w:r>
      <w:proofErr w:type="spellEnd"/>
      <w:r w:rsidR="008E1712">
        <w:t xml:space="preserve"> </w:t>
      </w:r>
      <w:r>
        <w:t>in 2025. By 2025, an AWHP without PV already emits approximately 2.6 times less CO</w:t>
      </w:r>
      <w:r w:rsidR="008E1712" w:rsidRPr="008E1712">
        <w:rPr>
          <w:vertAlign w:val="subscript"/>
        </w:rPr>
        <w:t>2eq</w:t>
      </w:r>
      <w:r>
        <w:t xml:space="preserve"> per unit of useful heat than a gas system, compared to approximately 1.6 times in 2017. However, the greening of the grid is accompanied by growing volatility, driven </w:t>
      </w:r>
      <w:r>
        <w:lastRenderedPageBreak/>
        <w:t>by the increasing share of wind and solar generation.</w:t>
      </w:r>
    </w:p>
    <w:p w14:paraId="367A7BF8" w14:textId="77777777" w:rsidR="00E7047F" w:rsidRDefault="00E7047F" w:rsidP="00E7047F">
      <w:pPr>
        <w:pStyle w:val="SWCText"/>
      </w:pPr>
      <w:r>
        <w:t>Second, this volatility is reflected in the dynamic deviation, which grows from only 1–4% in 2017–2018 to 14–16% in 2024–2025. This indicates that static emission factors increasingly underestimate real heat pump emissions as the energy transition progresses, and that dynamic methodologies are becoming more important for accurate assessment.</w:t>
      </w:r>
    </w:p>
    <w:p w14:paraId="2D607A4B" w14:textId="3F115974" w:rsidR="006F7381" w:rsidRPr="006F7381" w:rsidRDefault="00E7047F" w:rsidP="007C593C">
      <w:pPr>
        <w:pStyle w:val="SWCText"/>
      </w:pPr>
      <w:r>
        <w:t xml:space="preserve">Third, a clear positive correlation is established between the share of renewable electricity and the dynamic deviation. However, establishing a reliable future trend remains difficult: </w:t>
      </w:r>
      <w:r w:rsidR="00DE3AC8">
        <w:t xml:space="preserve">a further expansion of </w:t>
      </w:r>
      <w:r>
        <w:t>renewable</w:t>
      </w:r>
      <w:r w:rsidR="00DE3AC8">
        <w:t xml:space="preserve">s will require adaptions to the current grid structure fostering flexibility, </w:t>
      </w:r>
      <w:r>
        <w:t>source-specific emission factors will likely decrease as manufacturing processes improve, and a cleaner grid will in any case continue to reduce absolute heat pump emissions — making the dynamic deviation a progressively less critical concern in terms of the overall climate performance of heat pump systems.</w:t>
      </w:r>
    </w:p>
    <w:p w14:paraId="6C842A91" w14:textId="77777777" w:rsidR="003869E8" w:rsidRPr="00C97946" w:rsidRDefault="00D32EF0" w:rsidP="00490F10">
      <w:pPr>
        <w:pStyle w:val="SWCHeading1"/>
      </w:pPr>
      <w:r w:rsidRPr="00C97946">
        <w:rPr>
          <w:lang w:val="en-GB"/>
        </w:rPr>
        <w:t>References</w:t>
      </w:r>
      <w:r w:rsidR="004E5D79" w:rsidRPr="00C97946">
        <w:rPr>
          <w:lang w:val="en-GB"/>
        </w:rPr>
        <w:t xml:space="preserve"> </w:t>
      </w:r>
    </w:p>
    <w:p w14:paraId="5B70DB95" w14:textId="6D8E5792" w:rsidR="006B5C81" w:rsidRPr="006B02B9" w:rsidRDefault="006B5C81" w:rsidP="006B02B9">
      <w:pPr>
        <w:pStyle w:val="EurosunReferences"/>
      </w:pPr>
    </w:p>
    <w:sdt>
      <w:sdtPr>
        <w:tag w:val="CitaviBibliography"/>
        <w:id w:val="1158889967"/>
        <w:placeholder>
          <w:docPart w:val="DefaultPlaceholder_-1854013440"/>
        </w:placeholder>
      </w:sdtPr>
      <w:sdtEndPr/>
      <w:sdtContent>
        <w:p w14:paraId="0914BE02" w14:textId="77777777" w:rsidR="006B02B9" w:rsidRPr="00927EC6" w:rsidRDefault="003D2A76" w:rsidP="006B02B9">
          <w:pPr>
            <w:pStyle w:val="EurosunReferences"/>
            <w:rPr>
              <w:lang w:val="de-DE"/>
            </w:rPr>
          </w:pPr>
          <w:r w:rsidRPr="006B02B9">
            <w:fldChar w:fldCharType="begin"/>
          </w:r>
          <w:r w:rsidRPr="006B02B9">
            <w:instrText>ADDIN CitaviBibliography</w:instrText>
          </w:r>
          <w:r w:rsidRPr="006B02B9">
            <w:fldChar w:fldCharType="separate"/>
          </w:r>
          <w:bookmarkStart w:id="5" w:name="_CTVL001cc2cb1276f3f4955b9a726cae4eb8265"/>
          <w:r w:rsidR="006B02B9" w:rsidRPr="006B02B9">
            <w:t xml:space="preserve">Buday, T., Buday-Bódi, E., 2023. Reduction in CO2 Emissions with Bivalent Heat Pump Systems. </w:t>
          </w:r>
          <w:r w:rsidR="006B02B9" w:rsidRPr="00927EC6">
            <w:rPr>
              <w:lang w:val="de-DE"/>
            </w:rPr>
            <w:t>Energies 2023.</w:t>
          </w:r>
        </w:p>
        <w:p w14:paraId="35154FAD" w14:textId="77777777" w:rsidR="006B02B9" w:rsidRPr="006B02B9" w:rsidRDefault="006B02B9" w:rsidP="006B02B9">
          <w:pPr>
            <w:pStyle w:val="EurosunReferences"/>
          </w:pPr>
          <w:bookmarkStart w:id="6" w:name="_CTVL001391992b63cd047c2a2b617ee240f7176"/>
          <w:bookmarkEnd w:id="5"/>
          <w:r w:rsidRPr="00927EC6">
            <w:rPr>
              <w:lang w:val="de-DE"/>
            </w:rPr>
            <w:t xml:space="preserve">Chaigneau, M., 2025. Gebäudetyp Einfamilienhaus (EFH). Info-Sheet Beispiel für Effizientes Heizen. </w:t>
          </w:r>
          <w:r w:rsidRPr="006B02B9">
            <w:t>Fraunhofer ISE. https://www.effizientes-heizen.de/documents/Effizientes-Heizen_Infosheet_Gebaeude_EFH_final.pdf. Accessed 4 August 2026.</w:t>
          </w:r>
        </w:p>
        <w:p w14:paraId="5B3AA2DA" w14:textId="77777777" w:rsidR="006B02B9" w:rsidRPr="00927EC6" w:rsidRDefault="006B02B9" w:rsidP="006B02B9">
          <w:pPr>
            <w:pStyle w:val="EurosunReferences"/>
            <w:rPr>
              <w:lang w:val="de-DE"/>
            </w:rPr>
          </w:pPr>
          <w:bookmarkStart w:id="7" w:name="_CTVL0019597f7459d91455a855d39417a730245"/>
          <w:bookmarkEnd w:id="6"/>
          <w:r w:rsidRPr="00927EC6">
            <w:rPr>
              <w:lang w:val="de-DE"/>
            </w:rPr>
            <w:t>Chaigneau, M., Häußler, S., Nienborg, B. (Eds.), 2024. Umweltauswirkungen von Wärmepumpen mit dynamischem Emissionsfaktor, 308-327.</w:t>
          </w:r>
        </w:p>
        <w:p w14:paraId="2953490A" w14:textId="77777777" w:rsidR="006B02B9" w:rsidRPr="00927EC6" w:rsidRDefault="006B02B9" w:rsidP="006B02B9">
          <w:pPr>
            <w:pStyle w:val="EurosunReferences"/>
            <w:rPr>
              <w:lang w:val="de-DE"/>
            </w:rPr>
          </w:pPr>
          <w:bookmarkStart w:id="8" w:name="_CTVL0014b8f4d2a9e27446297b67a8c7183d05c"/>
          <w:bookmarkEnd w:id="7"/>
          <w:r w:rsidRPr="00927EC6">
            <w:rPr>
              <w:lang w:val="de-DE"/>
            </w:rPr>
            <w:t xml:space="preserve">Chaigneau, M., Häußler, S., Nienborg, B., 2025. </w:t>
          </w:r>
          <w:r w:rsidRPr="006B02B9">
            <w:t xml:space="preserve">Evaluation of heat pumps CO2eq-emissions based on dynamic electricity emissions factors. </w:t>
          </w:r>
          <w:r w:rsidRPr="00927EC6">
            <w:rPr>
              <w:lang w:val="de-DE"/>
            </w:rPr>
            <w:t>J. Phys.: Conf. Ser. 3140 (2), 22017.</w:t>
          </w:r>
        </w:p>
        <w:p w14:paraId="37B5663F" w14:textId="77777777" w:rsidR="006B02B9" w:rsidRPr="006B02B9" w:rsidRDefault="006B02B9" w:rsidP="006B02B9">
          <w:pPr>
            <w:pStyle w:val="EurosunReferences"/>
          </w:pPr>
          <w:bookmarkStart w:id="9" w:name="_CTVL00153062b4b411c47959e82a116c4369afc"/>
          <w:bookmarkEnd w:id="8"/>
          <w:r w:rsidRPr="00927EC6">
            <w:rPr>
              <w:lang w:val="de-DE"/>
            </w:rPr>
            <w:t xml:space="preserve">Fischer, D., Wolf, T., Scherer, J., Wille-Haussmann, B., 2016. </w:t>
          </w:r>
          <w:r w:rsidRPr="006B02B9">
            <w:t>A stochastic bottom-up model for space heating and domestic hot water load profiles for German households. Energy and Buildings 124, 120–128.</w:t>
          </w:r>
        </w:p>
        <w:p w14:paraId="05A84A13" w14:textId="77777777" w:rsidR="006B02B9" w:rsidRPr="006B02B9" w:rsidRDefault="006B02B9" w:rsidP="006B02B9">
          <w:pPr>
            <w:pStyle w:val="EurosunReferences"/>
          </w:pPr>
          <w:bookmarkStart w:id="10" w:name="_CTVL0016a43b64f71a541de8adfbcb04c52a31d"/>
          <w:bookmarkEnd w:id="9"/>
          <w:r w:rsidRPr="006B02B9">
            <w:t>Gajewski, A., Gładyszewska-Fiedoruk, K., Krawczyk, D.A., 2019. Carbon Dioxide Emissions during Air, Ground, or Groundwater Heat Pump Performance in Białystok.</w:t>
          </w:r>
        </w:p>
        <w:p w14:paraId="00457CC6" w14:textId="77777777" w:rsidR="006B02B9" w:rsidRPr="00927EC6" w:rsidRDefault="006B02B9" w:rsidP="006B02B9">
          <w:pPr>
            <w:pStyle w:val="EurosunReferences"/>
            <w:rPr>
              <w:lang w:val="de-DE"/>
            </w:rPr>
          </w:pPr>
          <w:bookmarkStart w:id="11" w:name="_CTVL001b8d247ed0d664d0493010147071c6654"/>
          <w:bookmarkEnd w:id="10"/>
          <w:r w:rsidRPr="00927EC6">
            <w:rPr>
              <w:lang w:val="de-DE"/>
            </w:rPr>
            <w:t>Gandhi, L., 2026. Energy-Charts. Die Seite für interaktive Grafiken zu Stromproduktion und Börsenstrompreisen. Fraunhofer-Gesellschaft zur Förderung der angewandten Forschung e.V. https://energy-charts.info/. Accessed 4 August 2026.</w:t>
          </w:r>
        </w:p>
        <w:p w14:paraId="0A58E685" w14:textId="77777777" w:rsidR="006B02B9" w:rsidRPr="006B02B9" w:rsidRDefault="006B02B9" w:rsidP="006B02B9">
          <w:pPr>
            <w:pStyle w:val="EurosunReferences"/>
          </w:pPr>
          <w:bookmarkStart w:id="12" w:name="_CTVL001c5df0535d47949819b80e957867404d4"/>
          <w:bookmarkEnd w:id="11"/>
          <w:r w:rsidRPr="00927EC6">
            <w:rPr>
              <w:lang w:val="de-DE"/>
            </w:rPr>
            <w:t xml:space="preserve">Günther, D., Moll, J., Wapler, J., 2025. Bewertung der Treibhausgasemissionen durch den Betrieb von Wärmepumpen unter Berücksichtigung zeitvariabler Faktoren. </w:t>
          </w:r>
          <w:r w:rsidRPr="006B02B9">
            <w:t>Fraunhofer Institut für Solare Energiesystems ISE, Freiburg. Accessed 24 March 2025.</w:t>
          </w:r>
        </w:p>
        <w:p w14:paraId="0AE33CB5" w14:textId="77777777" w:rsidR="006B02B9" w:rsidRPr="00927EC6" w:rsidRDefault="006B02B9" w:rsidP="006B02B9">
          <w:pPr>
            <w:pStyle w:val="EurosunReferences"/>
            <w:rPr>
              <w:lang w:val="de-DE"/>
            </w:rPr>
          </w:pPr>
          <w:bookmarkStart w:id="13" w:name="_CTVL001c78979a9f030465080d76755e64ff696"/>
          <w:bookmarkEnd w:id="12"/>
          <w:r w:rsidRPr="006B02B9">
            <w:t xml:space="preserve">IEA - International Energy Agency, 2022. The Future of Heat Pumps. World Energy Outlook Special Report. https://www.iea.org/reports/the-future-of-heat-pumps/. </w:t>
          </w:r>
          <w:r w:rsidRPr="00927EC6">
            <w:rPr>
              <w:lang w:val="de-DE"/>
            </w:rPr>
            <w:t>Accessed 20 February 2025.</w:t>
          </w:r>
        </w:p>
        <w:p w14:paraId="4173B056" w14:textId="77777777" w:rsidR="006B02B9" w:rsidRPr="00927EC6" w:rsidRDefault="006B02B9" w:rsidP="006B02B9">
          <w:pPr>
            <w:pStyle w:val="EurosunReferences"/>
            <w:rPr>
              <w:lang w:val="de-DE"/>
            </w:rPr>
          </w:pPr>
          <w:bookmarkStart w:id="14" w:name="_CTVL0018949cf8e7b5c4ed39412711cd045d1b8"/>
          <w:bookmarkEnd w:id="13"/>
          <w:r w:rsidRPr="00927EC6">
            <w:rPr>
              <w:lang w:val="de-DE"/>
            </w:rPr>
            <w:t>Lauf, T., Memmler, M., Schneider, S., 2025. Emissionsbilanz erneuerbarer Energieträger 2023. umweltbundesamt.de/sites/default/files/medien/11850/publikationen/ 03_2025_cc_emissionsbilanz_erneuerbarer_energien_2023.pdf. Accessed 21 March 2025.</w:t>
          </w:r>
        </w:p>
        <w:p w14:paraId="3C2B3DCE" w14:textId="77777777" w:rsidR="006B02B9" w:rsidRDefault="006B02B9" w:rsidP="006B02B9">
          <w:pPr>
            <w:pStyle w:val="EurosunReferences"/>
          </w:pPr>
          <w:bookmarkStart w:id="15" w:name="_CTVL001d23d5a662bd64676b0d34b9546b6350d"/>
          <w:bookmarkEnd w:id="14"/>
          <w:r w:rsidRPr="006B02B9">
            <w:t xml:space="preserve">Litjens, G., Worrell, E., van Sark, W.G.J.H.M., 2018. Lowering greenhouse gas emissions in the built environment by combining ground source heat pumps, photovoltaics and battery storage. </w:t>
          </w:r>
          <w:r>
            <w:t>Energy and Buildings, Amsterdam.</w:t>
          </w:r>
        </w:p>
        <w:p w14:paraId="3081CA1E" w14:textId="61EEDE27" w:rsidR="003D2A76" w:rsidRPr="006B02B9" w:rsidRDefault="006B02B9" w:rsidP="006B02B9">
          <w:pPr>
            <w:pStyle w:val="EurosunReferences"/>
          </w:pPr>
          <w:bookmarkStart w:id="16" w:name="_CTVL001e9253f4f63524024a4623bee4ae5969d"/>
          <w:bookmarkEnd w:id="15"/>
          <w:r w:rsidRPr="00927EC6">
            <w:rPr>
              <w:lang w:val="de-DE"/>
            </w:rPr>
            <w:t xml:space="preserve">Umweltbundesamt, 2025. Treibhausgas-Emissionen in Deutschland. https://www.umweltbundesamt.de/daten/umweltzustand-trends/klima/treibhausgas-emissionen-in-deutschland#emissionsentwicklung. </w:t>
          </w:r>
          <w:r>
            <w:t>Accessed 26 February 2026</w:t>
          </w:r>
          <w:bookmarkEnd w:id="16"/>
          <w:r>
            <w:t>.</w:t>
          </w:r>
          <w:r w:rsidR="003D2A76" w:rsidRPr="006B02B9">
            <w:fldChar w:fldCharType="end"/>
          </w:r>
        </w:p>
      </w:sdtContent>
    </w:sdt>
    <w:sectPr w:rsidR="003D2A76" w:rsidRPr="006B02B9" w:rsidSect="006B5C81">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00F3" w14:textId="77777777" w:rsidR="0096164D" w:rsidRDefault="0096164D">
      <w:r>
        <w:separator/>
      </w:r>
    </w:p>
  </w:endnote>
  <w:endnote w:type="continuationSeparator" w:id="0">
    <w:p w14:paraId="45093100" w14:textId="77777777" w:rsidR="0096164D" w:rsidRDefault="00961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9BFC" w14:textId="77777777" w:rsidR="0096164D" w:rsidRDefault="0096164D">
      <w:r>
        <w:separator/>
      </w:r>
    </w:p>
  </w:footnote>
  <w:footnote w:type="continuationSeparator" w:id="0">
    <w:p w14:paraId="79CF82AC" w14:textId="77777777" w:rsidR="0096164D" w:rsidRDefault="00961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E43A3AF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67CA0832"/>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B421A8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3C90D96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0A4A05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6CA8D1A"/>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464F85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69E449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A78620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52E02305"/>
    <w:multiLevelType w:val="hybridMultilevel"/>
    <w:tmpl w:val="EA008AC2"/>
    <w:lvl w:ilvl="0" w:tplc="110C78D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3"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212128C"/>
    <w:multiLevelType w:val="hybridMultilevel"/>
    <w:tmpl w:val="F8E4E0B8"/>
    <w:lvl w:ilvl="0" w:tplc="7D3CC31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0279AF"/>
    <w:multiLevelType w:val="multilevel"/>
    <w:tmpl w:val="86BC404A"/>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10"/>
  </w:num>
  <w:num w:numId="2" w16cid:durableId="824710626">
    <w:abstractNumId w:val="16"/>
  </w:num>
  <w:num w:numId="3" w16cid:durableId="1779980318">
    <w:abstractNumId w:val="15"/>
  </w:num>
  <w:num w:numId="4" w16cid:durableId="691154539">
    <w:abstractNumId w:val="29"/>
  </w:num>
  <w:num w:numId="5" w16cid:durableId="849176114">
    <w:abstractNumId w:val="8"/>
  </w:num>
  <w:num w:numId="6" w16cid:durableId="701899166">
    <w:abstractNumId w:val="7"/>
  </w:num>
  <w:num w:numId="7" w16cid:durableId="1122382050">
    <w:abstractNumId w:val="0"/>
  </w:num>
  <w:num w:numId="8" w16cid:durableId="151144171">
    <w:abstractNumId w:val="6"/>
  </w:num>
  <w:num w:numId="9" w16cid:durableId="1882550196">
    <w:abstractNumId w:val="5"/>
  </w:num>
  <w:num w:numId="10" w16cid:durableId="78913249">
    <w:abstractNumId w:val="11"/>
  </w:num>
  <w:num w:numId="11" w16cid:durableId="95492358">
    <w:abstractNumId w:val="25"/>
  </w:num>
  <w:num w:numId="12" w16cid:durableId="355472642">
    <w:abstractNumId w:val="19"/>
  </w:num>
  <w:num w:numId="13" w16cid:durableId="311523580">
    <w:abstractNumId w:val="11"/>
    <w:lvlOverride w:ilvl="0">
      <w:startOverride w:val="1"/>
    </w:lvlOverride>
  </w:num>
  <w:num w:numId="14" w16cid:durableId="1496726486">
    <w:abstractNumId w:val="23"/>
  </w:num>
  <w:num w:numId="15" w16cid:durableId="1806385346">
    <w:abstractNumId w:val="12"/>
  </w:num>
  <w:num w:numId="16" w16cid:durableId="1758162859">
    <w:abstractNumId w:val="18"/>
  </w:num>
  <w:num w:numId="17" w16cid:durableId="569772207">
    <w:abstractNumId w:val="22"/>
  </w:num>
  <w:num w:numId="18" w16cid:durableId="1080835087">
    <w:abstractNumId w:val="27"/>
  </w:num>
  <w:num w:numId="19" w16cid:durableId="1514802717">
    <w:abstractNumId w:val="14"/>
  </w:num>
  <w:num w:numId="20" w16cid:durableId="1328480391">
    <w:abstractNumId w:val="13"/>
  </w:num>
  <w:num w:numId="21" w16cid:durableId="1166094805">
    <w:abstractNumId w:val="17"/>
  </w:num>
  <w:num w:numId="22" w16cid:durableId="679743871">
    <w:abstractNumId w:val="26"/>
  </w:num>
  <w:num w:numId="23" w16cid:durableId="612976666">
    <w:abstractNumId w:val="20"/>
  </w:num>
  <w:num w:numId="24" w16cid:durableId="7829984">
    <w:abstractNumId w:val="28"/>
  </w:num>
  <w:num w:numId="25" w16cid:durableId="323902203">
    <w:abstractNumId w:val="21"/>
  </w:num>
  <w:num w:numId="26" w16cid:durableId="1478575012">
    <w:abstractNumId w:val="24"/>
  </w:num>
  <w:num w:numId="27" w16cid:durableId="1793589814">
    <w:abstractNumId w:val="1"/>
  </w:num>
  <w:num w:numId="28" w16cid:durableId="1007832997">
    <w:abstractNumId w:val="2"/>
  </w:num>
  <w:num w:numId="29" w16cid:durableId="587227552">
    <w:abstractNumId w:val="3"/>
  </w:num>
  <w:num w:numId="30" w16cid:durableId="1907642150">
    <w:abstractNumId w:val="4"/>
  </w:num>
  <w:num w:numId="31" w16cid:durableId="3043602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341"/>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67F40"/>
    <w:rsid w:val="000712A1"/>
    <w:rsid w:val="00073315"/>
    <w:rsid w:val="00074DBF"/>
    <w:rsid w:val="0008734F"/>
    <w:rsid w:val="00092ED5"/>
    <w:rsid w:val="000A00AD"/>
    <w:rsid w:val="000A0ADB"/>
    <w:rsid w:val="000A1CC8"/>
    <w:rsid w:val="000A30A5"/>
    <w:rsid w:val="000A36B5"/>
    <w:rsid w:val="000A3727"/>
    <w:rsid w:val="000A52A1"/>
    <w:rsid w:val="000B04BE"/>
    <w:rsid w:val="000B09B5"/>
    <w:rsid w:val="000B1F4D"/>
    <w:rsid w:val="000C2344"/>
    <w:rsid w:val="000C69DB"/>
    <w:rsid w:val="000D64B9"/>
    <w:rsid w:val="000D6E1A"/>
    <w:rsid w:val="000E1855"/>
    <w:rsid w:val="000E6CBA"/>
    <w:rsid w:val="000F739B"/>
    <w:rsid w:val="0010501A"/>
    <w:rsid w:val="00115D3B"/>
    <w:rsid w:val="0013222F"/>
    <w:rsid w:val="00136177"/>
    <w:rsid w:val="00142385"/>
    <w:rsid w:val="0015090D"/>
    <w:rsid w:val="00150B42"/>
    <w:rsid w:val="00155FB8"/>
    <w:rsid w:val="00157CE5"/>
    <w:rsid w:val="001647D2"/>
    <w:rsid w:val="00166C42"/>
    <w:rsid w:val="00176EF6"/>
    <w:rsid w:val="00183294"/>
    <w:rsid w:val="001904A7"/>
    <w:rsid w:val="0019232E"/>
    <w:rsid w:val="00194E9A"/>
    <w:rsid w:val="001968B5"/>
    <w:rsid w:val="001969B9"/>
    <w:rsid w:val="001A117A"/>
    <w:rsid w:val="001A775B"/>
    <w:rsid w:val="001A7F40"/>
    <w:rsid w:val="001B13D6"/>
    <w:rsid w:val="001B6BCF"/>
    <w:rsid w:val="001B7B01"/>
    <w:rsid w:val="001C35ED"/>
    <w:rsid w:val="001C3A3D"/>
    <w:rsid w:val="001C63A2"/>
    <w:rsid w:val="001D0384"/>
    <w:rsid w:val="001D4912"/>
    <w:rsid w:val="001E13B3"/>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1650"/>
    <w:rsid w:val="0027288C"/>
    <w:rsid w:val="00273341"/>
    <w:rsid w:val="00281D0B"/>
    <w:rsid w:val="002972D1"/>
    <w:rsid w:val="002A04A9"/>
    <w:rsid w:val="002A0983"/>
    <w:rsid w:val="002A39BB"/>
    <w:rsid w:val="002B417A"/>
    <w:rsid w:val="002C089D"/>
    <w:rsid w:val="002C101B"/>
    <w:rsid w:val="002C1C76"/>
    <w:rsid w:val="002C48A6"/>
    <w:rsid w:val="002C68AD"/>
    <w:rsid w:val="002D322C"/>
    <w:rsid w:val="002D4864"/>
    <w:rsid w:val="002E5D62"/>
    <w:rsid w:val="002F1386"/>
    <w:rsid w:val="002F1D87"/>
    <w:rsid w:val="002F6A27"/>
    <w:rsid w:val="002F6B87"/>
    <w:rsid w:val="00303345"/>
    <w:rsid w:val="0031685E"/>
    <w:rsid w:val="003357AC"/>
    <w:rsid w:val="00346E63"/>
    <w:rsid w:val="0035638A"/>
    <w:rsid w:val="003605B9"/>
    <w:rsid w:val="00362122"/>
    <w:rsid w:val="00364A52"/>
    <w:rsid w:val="0036683F"/>
    <w:rsid w:val="00372596"/>
    <w:rsid w:val="00373F97"/>
    <w:rsid w:val="0037406D"/>
    <w:rsid w:val="00374216"/>
    <w:rsid w:val="0038545D"/>
    <w:rsid w:val="003859A3"/>
    <w:rsid w:val="003869E8"/>
    <w:rsid w:val="00391288"/>
    <w:rsid w:val="00393777"/>
    <w:rsid w:val="00395E5A"/>
    <w:rsid w:val="00395F5E"/>
    <w:rsid w:val="0039742D"/>
    <w:rsid w:val="003A1497"/>
    <w:rsid w:val="003A3A38"/>
    <w:rsid w:val="003A7DB9"/>
    <w:rsid w:val="003B2055"/>
    <w:rsid w:val="003C0806"/>
    <w:rsid w:val="003C18DE"/>
    <w:rsid w:val="003C1B31"/>
    <w:rsid w:val="003C2B1A"/>
    <w:rsid w:val="003C39C6"/>
    <w:rsid w:val="003C7E95"/>
    <w:rsid w:val="003D0C22"/>
    <w:rsid w:val="003D2A76"/>
    <w:rsid w:val="003D6941"/>
    <w:rsid w:val="003E1E1C"/>
    <w:rsid w:val="003F0403"/>
    <w:rsid w:val="003F5B99"/>
    <w:rsid w:val="004019FD"/>
    <w:rsid w:val="00403E6A"/>
    <w:rsid w:val="004053B5"/>
    <w:rsid w:val="0040615A"/>
    <w:rsid w:val="00411E29"/>
    <w:rsid w:val="004127FA"/>
    <w:rsid w:val="0042033E"/>
    <w:rsid w:val="00424438"/>
    <w:rsid w:val="004357AD"/>
    <w:rsid w:val="00447621"/>
    <w:rsid w:val="0045146F"/>
    <w:rsid w:val="00453296"/>
    <w:rsid w:val="00467DFD"/>
    <w:rsid w:val="00470AEC"/>
    <w:rsid w:val="00476879"/>
    <w:rsid w:val="00490F10"/>
    <w:rsid w:val="00493C81"/>
    <w:rsid w:val="00494006"/>
    <w:rsid w:val="00496C05"/>
    <w:rsid w:val="004A14C9"/>
    <w:rsid w:val="004A3506"/>
    <w:rsid w:val="004B0CD4"/>
    <w:rsid w:val="004B5A41"/>
    <w:rsid w:val="004C39AD"/>
    <w:rsid w:val="004C4EE9"/>
    <w:rsid w:val="004E5D79"/>
    <w:rsid w:val="004F4904"/>
    <w:rsid w:val="004F5FF9"/>
    <w:rsid w:val="00500640"/>
    <w:rsid w:val="00500D7D"/>
    <w:rsid w:val="00503F37"/>
    <w:rsid w:val="005067AC"/>
    <w:rsid w:val="00514890"/>
    <w:rsid w:val="0051584D"/>
    <w:rsid w:val="00521A24"/>
    <w:rsid w:val="0053048D"/>
    <w:rsid w:val="00532138"/>
    <w:rsid w:val="0053532A"/>
    <w:rsid w:val="005404F1"/>
    <w:rsid w:val="00544D85"/>
    <w:rsid w:val="005504FE"/>
    <w:rsid w:val="00550776"/>
    <w:rsid w:val="00556004"/>
    <w:rsid w:val="00566460"/>
    <w:rsid w:val="0057075C"/>
    <w:rsid w:val="005721F8"/>
    <w:rsid w:val="005836C7"/>
    <w:rsid w:val="00587B8A"/>
    <w:rsid w:val="005A5E54"/>
    <w:rsid w:val="005B319C"/>
    <w:rsid w:val="005B3E86"/>
    <w:rsid w:val="005B6F55"/>
    <w:rsid w:val="005D1066"/>
    <w:rsid w:val="005D5CF6"/>
    <w:rsid w:val="005E04EA"/>
    <w:rsid w:val="005E0D7D"/>
    <w:rsid w:val="005E7208"/>
    <w:rsid w:val="005F106F"/>
    <w:rsid w:val="00607C4E"/>
    <w:rsid w:val="00612919"/>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08D2"/>
    <w:rsid w:val="00692D7F"/>
    <w:rsid w:val="006A0AE2"/>
    <w:rsid w:val="006A2F10"/>
    <w:rsid w:val="006A77D0"/>
    <w:rsid w:val="006B02B9"/>
    <w:rsid w:val="006B3D49"/>
    <w:rsid w:val="006B4C9F"/>
    <w:rsid w:val="006B5C81"/>
    <w:rsid w:val="006C756C"/>
    <w:rsid w:val="006D19E1"/>
    <w:rsid w:val="006D4A96"/>
    <w:rsid w:val="006F3259"/>
    <w:rsid w:val="006F5433"/>
    <w:rsid w:val="006F5B85"/>
    <w:rsid w:val="006F7381"/>
    <w:rsid w:val="00702AE0"/>
    <w:rsid w:val="007146F8"/>
    <w:rsid w:val="007174DA"/>
    <w:rsid w:val="00722B51"/>
    <w:rsid w:val="00725ED2"/>
    <w:rsid w:val="00736E23"/>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593C"/>
    <w:rsid w:val="007C6BDE"/>
    <w:rsid w:val="007D0678"/>
    <w:rsid w:val="007D1C2C"/>
    <w:rsid w:val="007E7634"/>
    <w:rsid w:val="00800E25"/>
    <w:rsid w:val="00801634"/>
    <w:rsid w:val="00802F60"/>
    <w:rsid w:val="0080537B"/>
    <w:rsid w:val="008219CF"/>
    <w:rsid w:val="00822886"/>
    <w:rsid w:val="008314FC"/>
    <w:rsid w:val="00834062"/>
    <w:rsid w:val="00837104"/>
    <w:rsid w:val="00840E8F"/>
    <w:rsid w:val="0084100F"/>
    <w:rsid w:val="00844F36"/>
    <w:rsid w:val="00845AE3"/>
    <w:rsid w:val="008465BD"/>
    <w:rsid w:val="0086059A"/>
    <w:rsid w:val="0087241B"/>
    <w:rsid w:val="00893500"/>
    <w:rsid w:val="008A0437"/>
    <w:rsid w:val="008B618F"/>
    <w:rsid w:val="008C14E2"/>
    <w:rsid w:val="008D44C5"/>
    <w:rsid w:val="008D5268"/>
    <w:rsid w:val="008D7E85"/>
    <w:rsid w:val="008E1712"/>
    <w:rsid w:val="008E19FF"/>
    <w:rsid w:val="008E53FF"/>
    <w:rsid w:val="008F249D"/>
    <w:rsid w:val="008F54F8"/>
    <w:rsid w:val="009000D5"/>
    <w:rsid w:val="009011AA"/>
    <w:rsid w:val="009015EF"/>
    <w:rsid w:val="00904774"/>
    <w:rsid w:val="00906CC3"/>
    <w:rsid w:val="00917D56"/>
    <w:rsid w:val="00927EC6"/>
    <w:rsid w:val="00931C9D"/>
    <w:rsid w:val="00933A00"/>
    <w:rsid w:val="00933BFD"/>
    <w:rsid w:val="00941691"/>
    <w:rsid w:val="00942AED"/>
    <w:rsid w:val="00944E25"/>
    <w:rsid w:val="00953F15"/>
    <w:rsid w:val="0096164D"/>
    <w:rsid w:val="009642AB"/>
    <w:rsid w:val="009649F0"/>
    <w:rsid w:val="00976A7F"/>
    <w:rsid w:val="00982BCB"/>
    <w:rsid w:val="00982EAA"/>
    <w:rsid w:val="0098620E"/>
    <w:rsid w:val="00991CD1"/>
    <w:rsid w:val="00993F03"/>
    <w:rsid w:val="0099435F"/>
    <w:rsid w:val="009957FC"/>
    <w:rsid w:val="00996BC5"/>
    <w:rsid w:val="009A6D34"/>
    <w:rsid w:val="009B4816"/>
    <w:rsid w:val="009C1BA8"/>
    <w:rsid w:val="009C2D0D"/>
    <w:rsid w:val="009C3492"/>
    <w:rsid w:val="009C49C6"/>
    <w:rsid w:val="009C5AA4"/>
    <w:rsid w:val="009D02D4"/>
    <w:rsid w:val="009D0C2D"/>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77090"/>
    <w:rsid w:val="00A8223C"/>
    <w:rsid w:val="00A8757B"/>
    <w:rsid w:val="00A92044"/>
    <w:rsid w:val="00A9727D"/>
    <w:rsid w:val="00AA16B9"/>
    <w:rsid w:val="00AA47DC"/>
    <w:rsid w:val="00AB61EC"/>
    <w:rsid w:val="00AB624E"/>
    <w:rsid w:val="00AC2C09"/>
    <w:rsid w:val="00AC6B6F"/>
    <w:rsid w:val="00AC7131"/>
    <w:rsid w:val="00AE11FC"/>
    <w:rsid w:val="00AE6354"/>
    <w:rsid w:val="00AF15AF"/>
    <w:rsid w:val="00AF63AB"/>
    <w:rsid w:val="00AF6EB4"/>
    <w:rsid w:val="00B01141"/>
    <w:rsid w:val="00B02BC4"/>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1AEB"/>
    <w:rsid w:val="00B827C6"/>
    <w:rsid w:val="00B84CEB"/>
    <w:rsid w:val="00B86327"/>
    <w:rsid w:val="00B93F09"/>
    <w:rsid w:val="00BA23FC"/>
    <w:rsid w:val="00BA5934"/>
    <w:rsid w:val="00BB1390"/>
    <w:rsid w:val="00BB6D43"/>
    <w:rsid w:val="00BC738E"/>
    <w:rsid w:val="00BD0576"/>
    <w:rsid w:val="00BE50D0"/>
    <w:rsid w:val="00BF16FE"/>
    <w:rsid w:val="00C012F5"/>
    <w:rsid w:val="00C068BC"/>
    <w:rsid w:val="00C17081"/>
    <w:rsid w:val="00C20A85"/>
    <w:rsid w:val="00C27FD4"/>
    <w:rsid w:val="00C365E2"/>
    <w:rsid w:val="00C424D1"/>
    <w:rsid w:val="00C44EFB"/>
    <w:rsid w:val="00C55264"/>
    <w:rsid w:val="00C6695C"/>
    <w:rsid w:val="00C90559"/>
    <w:rsid w:val="00C9098E"/>
    <w:rsid w:val="00C97946"/>
    <w:rsid w:val="00CA4F91"/>
    <w:rsid w:val="00CA7ABB"/>
    <w:rsid w:val="00CB52C4"/>
    <w:rsid w:val="00CB57E5"/>
    <w:rsid w:val="00CB7EE8"/>
    <w:rsid w:val="00CC0BDA"/>
    <w:rsid w:val="00CC2AFE"/>
    <w:rsid w:val="00CC3B0C"/>
    <w:rsid w:val="00CC445A"/>
    <w:rsid w:val="00CD4EFC"/>
    <w:rsid w:val="00CE16FA"/>
    <w:rsid w:val="00CE432C"/>
    <w:rsid w:val="00CE6DBB"/>
    <w:rsid w:val="00D0520C"/>
    <w:rsid w:val="00D14555"/>
    <w:rsid w:val="00D17DCC"/>
    <w:rsid w:val="00D31359"/>
    <w:rsid w:val="00D32EF0"/>
    <w:rsid w:val="00D34665"/>
    <w:rsid w:val="00D35E52"/>
    <w:rsid w:val="00D36FA6"/>
    <w:rsid w:val="00D41E9A"/>
    <w:rsid w:val="00D436F7"/>
    <w:rsid w:val="00D53F31"/>
    <w:rsid w:val="00D5584D"/>
    <w:rsid w:val="00D60379"/>
    <w:rsid w:val="00D62269"/>
    <w:rsid w:val="00D62EDC"/>
    <w:rsid w:val="00D635C2"/>
    <w:rsid w:val="00D638C1"/>
    <w:rsid w:val="00D63D44"/>
    <w:rsid w:val="00D66B92"/>
    <w:rsid w:val="00D976DC"/>
    <w:rsid w:val="00DA244B"/>
    <w:rsid w:val="00DA7F88"/>
    <w:rsid w:val="00DB52E7"/>
    <w:rsid w:val="00DC0318"/>
    <w:rsid w:val="00DD1D5F"/>
    <w:rsid w:val="00DE0269"/>
    <w:rsid w:val="00DE3AC8"/>
    <w:rsid w:val="00E012C5"/>
    <w:rsid w:val="00E023A9"/>
    <w:rsid w:val="00E07D1B"/>
    <w:rsid w:val="00E1006D"/>
    <w:rsid w:val="00E218E2"/>
    <w:rsid w:val="00E23FEE"/>
    <w:rsid w:val="00E53F82"/>
    <w:rsid w:val="00E548A7"/>
    <w:rsid w:val="00E57E49"/>
    <w:rsid w:val="00E61C50"/>
    <w:rsid w:val="00E65D4A"/>
    <w:rsid w:val="00E7047F"/>
    <w:rsid w:val="00E7237D"/>
    <w:rsid w:val="00E917F8"/>
    <w:rsid w:val="00E9249A"/>
    <w:rsid w:val="00E95D3C"/>
    <w:rsid w:val="00EA34C6"/>
    <w:rsid w:val="00EA50D7"/>
    <w:rsid w:val="00EA56BF"/>
    <w:rsid w:val="00EC3533"/>
    <w:rsid w:val="00ED7123"/>
    <w:rsid w:val="00EE40FA"/>
    <w:rsid w:val="00EF2F33"/>
    <w:rsid w:val="00EF596C"/>
    <w:rsid w:val="00F0298C"/>
    <w:rsid w:val="00F038C9"/>
    <w:rsid w:val="00F07750"/>
    <w:rsid w:val="00F10047"/>
    <w:rsid w:val="00F12DAA"/>
    <w:rsid w:val="00F30A77"/>
    <w:rsid w:val="00F4393F"/>
    <w:rsid w:val="00F46A3A"/>
    <w:rsid w:val="00F5375D"/>
    <w:rsid w:val="00F5454E"/>
    <w:rsid w:val="00F56C08"/>
    <w:rsid w:val="00F715C3"/>
    <w:rsid w:val="00F718BD"/>
    <w:rsid w:val="00F77F3D"/>
    <w:rsid w:val="00F80507"/>
    <w:rsid w:val="00F819DB"/>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Char"/>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styleId="Caption">
    <w:name w:val="caption"/>
    <w:basedOn w:val="Normal"/>
    <w:next w:val="Normal"/>
    <w:uiPriority w:val="35"/>
    <w:unhideWhenUsed/>
    <w:qFormat/>
    <w:rsid w:val="002F6A27"/>
    <w:pPr>
      <w:spacing w:after="200"/>
    </w:pPr>
    <w:rPr>
      <w:i/>
      <w:iCs/>
      <w:color w:val="1F497D" w:themeColor="text2"/>
      <w:sz w:val="18"/>
      <w:szCs w:val="18"/>
    </w:rPr>
  </w:style>
  <w:style w:type="paragraph" w:styleId="ListParagraph">
    <w:name w:val="List Paragraph"/>
    <w:basedOn w:val="Normal"/>
    <w:uiPriority w:val="34"/>
    <w:rsid w:val="00E7047F"/>
    <w:pPr>
      <w:ind w:left="720"/>
      <w:contextualSpacing/>
    </w:pPr>
  </w:style>
  <w:style w:type="paragraph" w:customStyle="1" w:styleId="CitaviBibliographyEntry">
    <w:name w:val="Citavi Bibliography Entry"/>
    <w:basedOn w:val="Normal"/>
    <w:link w:val="CitaviBibliographyEntryChar"/>
    <w:uiPriority w:val="99"/>
    <w:rsid w:val="003D2A76"/>
    <w:pPr>
      <w:tabs>
        <w:tab w:val="left" w:pos="340"/>
      </w:tabs>
      <w:ind w:left="340" w:hanging="340"/>
    </w:pPr>
    <w:rPr>
      <w:color w:val="000000"/>
    </w:rPr>
  </w:style>
  <w:style w:type="character" w:customStyle="1" w:styleId="SWCTextChar">
    <w:name w:val="SWC_Text Char"/>
    <w:basedOn w:val="DefaultParagraphFont"/>
    <w:link w:val="SWCText"/>
    <w:rsid w:val="003D2A76"/>
    <w:rPr>
      <w:color w:val="000000"/>
      <w:szCs w:val="22"/>
      <w:lang w:val="en-US" w:eastAsia="de-DE"/>
    </w:rPr>
  </w:style>
  <w:style w:type="character" w:customStyle="1" w:styleId="CitaviBibliographyEntryChar">
    <w:name w:val="Citavi Bibliography Entry Char"/>
    <w:basedOn w:val="SWCTextChar"/>
    <w:link w:val="CitaviBibliographyEntry"/>
    <w:uiPriority w:val="99"/>
    <w:rsid w:val="003D2A76"/>
    <w:rPr>
      <w:color w:val="000000"/>
      <w:sz w:val="24"/>
      <w:szCs w:val="24"/>
      <w:lang w:val="de-DE" w:eastAsia="de-DE"/>
    </w:rPr>
  </w:style>
  <w:style w:type="paragraph" w:customStyle="1" w:styleId="CitaviBibliographyHeading">
    <w:name w:val="Citavi Bibliography Heading"/>
    <w:basedOn w:val="Heading1"/>
    <w:link w:val="CitaviBibliographyHeadingChar"/>
    <w:uiPriority w:val="99"/>
    <w:rsid w:val="003D2A76"/>
  </w:style>
  <w:style w:type="character" w:customStyle="1" w:styleId="CitaviBibliographyHeadingChar">
    <w:name w:val="Citavi Bibliography Heading Char"/>
    <w:basedOn w:val="SWCTextChar"/>
    <w:link w:val="CitaviBibliographyHeading"/>
    <w:uiPriority w:val="99"/>
    <w:rsid w:val="003D2A76"/>
    <w:rPr>
      <w:b/>
      <w:color w:val="000000"/>
      <w:sz w:val="28"/>
      <w:szCs w:val="22"/>
      <w:lang w:val="en-GB" w:eastAsia="de-DE"/>
    </w:rPr>
  </w:style>
  <w:style w:type="paragraph" w:customStyle="1" w:styleId="CitaviChapterBibliographyHeading">
    <w:name w:val="Citavi Chapter Bibliography Heading"/>
    <w:basedOn w:val="Heading2"/>
    <w:link w:val="CitaviChapterBibliographyHeadingChar"/>
    <w:uiPriority w:val="99"/>
    <w:rsid w:val="003D2A76"/>
  </w:style>
  <w:style w:type="character" w:customStyle="1" w:styleId="CitaviChapterBibliographyHeadingChar">
    <w:name w:val="Citavi Chapter Bibliography Heading Char"/>
    <w:basedOn w:val="SWCTextChar"/>
    <w:link w:val="CitaviChapterBibliographyHeading"/>
    <w:uiPriority w:val="99"/>
    <w:rsid w:val="003D2A76"/>
    <w:rPr>
      <w:rFonts w:cs="Arial"/>
      <w:bCs/>
      <w:iCs/>
      <w:color w:val="000000"/>
      <w:sz w:val="22"/>
      <w:szCs w:val="22"/>
      <w:lang w:val="de-DE" w:eastAsia="de-DE"/>
    </w:rPr>
  </w:style>
  <w:style w:type="paragraph" w:customStyle="1" w:styleId="CitaviBibliographySubheading1">
    <w:name w:val="Citavi Bibliography Subheading 1"/>
    <w:basedOn w:val="Heading2"/>
    <w:link w:val="CitaviBibliographySubheading1Char"/>
    <w:uiPriority w:val="99"/>
    <w:rsid w:val="003D2A76"/>
    <w:pPr>
      <w:outlineLvl w:val="9"/>
    </w:pPr>
    <w:rPr>
      <w:color w:val="000000"/>
    </w:rPr>
  </w:style>
  <w:style w:type="character" w:customStyle="1" w:styleId="CitaviBibliographySubheading1Char">
    <w:name w:val="Citavi Bibliography Subheading 1 Char"/>
    <w:basedOn w:val="SWCTextChar"/>
    <w:link w:val="CitaviBibliographySubheading1"/>
    <w:uiPriority w:val="99"/>
    <w:rsid w:val="003D2A76"/>
    <w:rPr>
      <w:rFonts w:cs="Arial"/>
      <w:bCs/>
      <w:iCs/>
      <w:color w:val="000000"/>
      <w:sz w:val="22"/>
      <w:szCs w:val="22"/>
      <w:lang w:val="de-DE" w:eastAsia="de-DE"/>
    </w:rPr>
  </w:style>
  <w:style w:type="paragraph" w:customStyle="1" w:styleId="CitaviBibliographySubheading2">
    <w:name w:val="Citavi Bibliography Subheading 2"/>
    <w:basedOn w:val="Heading3"/>
    <w:link w:val="CitaviBibliographySubheading2Char"/>
    <w:uiPriority w:val="99"/>
    <w:rsid w:val="003D2A76"/>
    <w:pPr>
      <w:outlineLvl w:val="9"/>
    </w:pPr>
    <w:rPr>
      <w:color w:val="000000"/>
    </w:rPr>
  </w:style>
  <w:style w:type="character" w:customStyle="1" w:styleId="CitaviBibliographySubheading2Char">
    <w:name w:val="Citavi Bibliography Subheading 2 Char"/>
    <w:basedOn w:val="SWCTextChar"/>
    <w:link w:val="CitaviBibliographySubheading2"/>
    <w:uiPriority w:val="99"/>
    <w:rsid w:val="003D2A76"/>
    <w:rPr>
      <w:b/>
      <w:color w:val="000000"/>
      <w:sz w:val="24"/>
      <w:szCs w:val="24"/>
      <w:lang w:val="en-GB" w:eastAsia="de-DE"/>
    </w:rPr>
  </w:style>
  <w:style w:type="paragraph" w:customStyle="1" w:styleId="CitaviBibliographySubheading3">
    <w:name w:val="Citavi Bibliography Subheading 3"/>
    <w:basedOn w:val="Heading4"/>
    <w:link w:val="CitaviBibliographySubheading3Char"/>
    <w:uiPriority w:val="99"/>
    <w:rsid w:val="003D2A76"/>
    <w:pPr>
      <w:outlineLvl w:val="9"/>
    </w:pPr>
    <w:rPr>
      <w:color w:val="000000"/>
    </w:rPr>
  </w:style>
  <w:style w:type="character" w:customStyle="1" w:styleId="CitaviBibliographySubheading3Char">
    <w:name w:val="Citavi Bibliography Subheading 3 Char"/>
    <w:basedOn w:val="SWCTextChar"/>
    <w:link w:val="CitaviBibliographySubheading3"/>
    <w:uiPriority w:val="99"/>
    <w:rsid w:val="003D2A76"/>
    <w:rPr>
      <w:b/>
      <w:bCs/>
      <w:color w:val="000000"/>
      <w:sz w:val="28"/>
      <w:szCs w:val="28"/>
      <w:lang w:val="de-DE" w:eastAsia="de-DE"/>
    </w:rPr>
  </w:style>
  <w:style w:type="paragraph" w:customStyle="1" w:styleId="CitaviBibliographySubheading4">
    <w:name w:val="Citavi Bibliography Subheading 4"/>
    <w:basedOn w:val="Heading5"/>
    <w:link w:val="CitaviBibliographySubheading4Char"/>
    <w:uiPriority w:val="99"/>
    <w:rsid w:val="003D2A76"/>
    <w:pPr>
      <w:outlineLvl w:val="9"/>
    </w:pPr>
    <w:rPr>
      <w:color w:val="000000"/>
      <w:szCs w:val="22"/>
    </w:rPr>
  </w:style>
  <w:style w:type="character" w:customStyle="1" w:styleId="CitaviBibliographySubheading4Char">
    <w:name w:val="Citavi Bibliography Subheading 4 Char"/>
    <w:basedOn w:val="SWCTextChar"/>
    <w:link w:val="CitaviBibliographySubheading4"/>
    <w:uiPriority w:val="99"/>
    <w:rsid w:val="003D2A76"/>
    <w:rPr>
      <w:b/>
      <w:color w:val="000000"/>
      <w:szCs w:val="22"/>
      <w:lang w:val="en-GB" w:eastAsia="de-DE"/>
    </w:rPr>
  </w:style>
  <w:style w:type="paragraph" w:customStyle="1" w:styleId="CitaviBibliographySubheading5">
    <w:name w:val="Citavi Bibliography Subheading 5"/>
    <w:basedOn w:val="Heading6"/>
    <w:link w:val="CitaviBibliographySubheading5Char"/>
    <w:uiPriority w:val="99"/>
    <w:rsid w:val="003D2A76"/>
    <w:pPr>
      <w:jc w:val="left"/>
      <w:outlineLvl w:val="9"/>
    </w:pPr>
  </w:style>
  <w:style w:type="character" w:customStyle="1" w:styleId="CitaviBibliographySubheading5Char">
    <w:name w:val="Citavi Bibliography Subheading 5 Char"/>
    <w:basedOn w:val="SWCTextChar"/>
    <w:link w:val="CitaviBibliographySubheading5"/>
    <w:uiPriority w:val="99"/>
    <w:rsid w:val="003D2A76"/>
    <w:rPr>
      <w:rFonts w:cs="Arial"/>
      <w:color w:val="000000"/>
      <w:sz w:val="22"/>
      <w:szCs w:val="22"/>
      <w:lang w:val="de-DE" w:eastAsia="de-DE"/>
    </w:rPr>
  </w:style>
  <w:style w:type="paragraph" w:customStyle="1" w:styleId="CitaviBibliographySubheading6">
    <w:name w:val="Citavi Bibliography Subheading 6"/>
    <w:basedOn w:val="Heading7"/>
    <w:link w:val="CitaviBibliographySubheading6Char"/>
    <w:uiPriority w:val="99"/>
    <w:rsid w:val="003D2A76"/>
    <w:pPr>
      <w:outlineLvl w:val="9"/>
    </w:pPr>
    <w:rPr>
      <w:color w:val="000000"/>
    </w:rPr>
  </w:style>
  <w:style w:type="character" w:customStyle="1" w:styleId="CitaviBibliographySubheading6Char">
    <w:name w:val="Citavi Bibliography Subheading 6 Char"/>
    <w:basedOn w:val="SWCTextChar"/>
    <w:link w:val="CitaviBibliographySubheading6"/>
    <w:uiPriority w:val="99"/>
    <w:rsid w:val="003D2A76"/>
    <w:rPr>
      <w:color w:val="000000"/>
      <w:sz w:val="24"/>
      <w:szCs w:val="24"/>
      <w:lang w:val="de-DE" w:eastAsia="de-DE"/>
    </w:rPr>
  </w:style>
  <w:style w:type="paragraph" w:customStyle="1" w:styleId="CitaviBibliographySubheading7">
    <w:name w:val="Citavi Bibliography Subheading 7"/>
    <w:basedOn w:val="Heading8"/>
    <w:link w:val="CitaviBibliographySubheading7Char"/>
    <w:uiPriority w:val="99"/>
    <w:rsid w:val="003D2A76"/>
    <w:pPr>
      <w:outlineLvl w:val="9"/>
    </w:pPr>
    <w:rPr>
      <w:color w:val="000000"/>
    </w:rPr>
  </w:style>
  <w:style w:type="character" w:customStyle="1" w:styleId="CitaviBibliographySubheading7Char">
    <w:name w:val="Citavi Bibliography Subheading 7 Char"/>
    <w:basedOn w:val="SWCTextChar"/>
    <w:link w:val="CitaviBibliographySubheading7"/>
    <w:uiPriority w:val="99"/>
    <w:rsid w:val="003D2A76"/>
    <w:rPr>
      <w:i/>
      <w:iCs/>
      <w:color w:val="000000"/>
      <w:sz w:val="24"/>
      <w:szCs w:val="24"/>
      <w:lang w:val="de-DE" w:eastAsia="de-DE"/>
    </w:rPr>
  </w:style>
  <w:style w:type="paragraph" w:customStyle="1" w:styleId="CitaviBibliographySubheading8">
    <w:name w:val="Citavi Bibliography Subheading 8"/>
    <w:basedOn w:val="Heading9"/>
    <w:link w:val="CitaviBibliographySubheading8Char"/>
    <w:uiPriority w:val="99"/>
    <w:rsid w:val="003D2A76"/>
    <w:pPr>
      <w:outlineLvl w:val="9"/>
    </w:pPr>
    <w:rPr>
      <w:color w:val="000000"/>
    </w:rPr>
  </w:style>
  <w:style w:type="character" w:customStyle="1" w:styleId="CitaviBibliographySubheading8Char">
    <w:name w:val="Citavi Bibliography Subheading 8 Char"/>
    <w:basedOn w:val="SWCTextChar"/>
    <w:link w:val="CitaviBibliographySubheading8"/>
    <w:uiPriority w:val="99"/>
    <w:rsid w:val="003D2A76"/>
    <w:rPr>
      <w:rFonts w:ascii="Arial" w:hAnsi="Arial"/>
      <w:color w:val="000000"/>
      <w:sz w:val="22"/>
      <w:szCs w:val="22"/>
      <w:lang w:val="de-DE" w:eastAsia="de-DE"/>
    </w:rPr>
  </w:style>
  <w:style w:type="paragraph" w:styleId="TOCHeading">
    <w:name w:val="TOC Heading"/>
    <w:basedOn w:val="Heading1"/>
    <w:next w:val="Normal"/>
    <w:uiPriority w:val="39"/>
    <w:semiHidden/>
    <w:unhideWhenUsed/>
    <w:qFormat/>
    <w:rsid w:val="00183294"/>
    <w:pPr>
      <w:keepLines/>
      <w:spacing w:before="240"/>
      <w:outlineLvl w:val="9"/>
    </w:pPr>
    <w:rPr>
      <w:rFonts w:asciiTheme="majorHAnsi" w:eastAsiaTheme="majorEastAsia" w:hAnsiTheme="majorHAnsi" w:cstheme="majorBidi"/>
      <w:b w:val="0"/>
      <w:color w:val="365F91" w:themeColor="accent1" w:themeShade="BF"/>
      <w:sz w:val="32"/>
      <w:szCs w:val="32"/>
      <w:lang w:val="de-DE"/>
    </w:rPr>
  </w:style>
  <w:style w:type="paragraph" w:styleId="Bibliography">
    <w:name w:val="Bibliography"/>
    <w:basedOn w:val="Normal"/>
    <w:next w:val="Normal"/>
    <w:uiPriority w:val="37"/>
    <w:semiHidden/>
    <w:unhideWhenUsed/>
    <w:rsid w:val="00183294"/>
  </w:style>
  <w:style w:type="character" w:styleId="BookTitle">
    <w:name w:val="Book Title"/>
    <w:basedOn w:val="DefaultParagraphFont"/>
    <w:uiPriority w:val="33"/>
    <w:rsid w:val="00183294"/>
    <w:rPr>
      <w:b/>
      <w:bCs/>
      <w:i/>
      <w:iCs/>
      <w:spacing w:val="5"/>
    </w:rPr>
  </w:style>
  <w:style w:type="character" w:styleId="IntenseReference">
    <w:name w:val="Intense Reference"/>
    <w:basedOn w:val="DefaultParagraphFont"/>
    <w:uiPriority w:val="32"/>
    <w:rsid w:val="00183294"/>
    <w:rPr>
      <w:b/>
      <w:bCs/>
      <w:smallCaps/>
      <w:color w:val="4F81BD" w:themeColor="accent1"/>
      <w:spacing w:val="5"/>
    </w:rPr>
  </w:style>
  <w:style w:type="character" w:styleId="SubtleReference">
    <w:name w:val="Subtle Reference"/>
    <w:basedOn w:val="DefaultParagraphFont"/>
    <w:uiPriority w:val="31"/>
    <w:rsid w:val="00183294"/>
    <w:rPr>
      <w:smallCaps/>
      <w:color w:val="5A5A5A" w:themeColor="text1" w:themeTint="A5"/>
    </w:rPr>
  </w:style>
  <w:style w:type="character" w:styleId="IntenseEmphasis">
    <w:name w:val="Intense Emphasis"/>
    <w:basedOn w:val="DefaultParagraphFont"/>
    <w:uiPriority w:val="21"/>
    <w:rsid w:val="00183294"/>
    <w:rPr>
      <w:i/>
      <w:iCs/>
      <w:color w:val="4F81BD" w:themeColor="accent1"/>
    </w:rPr>
  </w:style>
  <w:style w:type="character" w:styleId="SubtleEmphasis">
    <w:name w:val="Subtle Emphasis"/>
    <w:basedOn w:val="DefaultParagraphFont"/>
    <w:uiPriority w:val="19"/>
    <w:rsid w:val="00183294"/>
    <w:rPr>
      <w:i/>
      <w:iCs/>
      <w:color w:val="404040" w:themeColor="text1" w:themeTint="BF"/>
    </w:rPr>
  </w:style>
  <w:style w:type="paragraph" w:styleId="IntenseQuote">
    <w:name w:val="Intense Quote"/>
    <w:basedOn w:val="Normal"/>
    <w:next w:val="Normal"/>
    <w:link w:val="IntenseQuoteChar"/>
    <w:uiPriority w:val="30"/>
    <w:rsid w:val="00183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3294"/>
    <w:rPr>
      <w:i/>
      <w:iCs/>
      <w:color w:val="4F81BD" w:themeColor="accent1"/>
      <w:sz w:val="24"/>
      <w:szCs w:val="24"/>
      <w:lang w:val="de-DE" w:eastAsia="de-DE"/>
    </w:rPr>
  </w:style>
  <w:style w:type="paragraph" w:styleId="Quote">
    <w:name w:val="Quote"/>
    <w:basedOn w:val="Normal"/>
    <w:next w:val="Normal"/>
    <w:link w:val="QuoteChar"/>
    <w:uiPriority w:val="29"/>
    <w:rsid w:val="00183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3294"/>
    <w:rPr>
      <w:i/>
      <w:iCs/>
      <w:color w:val="404040" w:themeColor="text1" w:themeTint="BF"/>
      <w:sz w:val="24"/>
      <w:szCs w:val="24"/>
      <w:lang w:val="de-DE" w:eastAsia="de-DE"/>
    </w:rPr>
  </w:style>
  <w:style w:type="table" w:styleId="MediumList1-Accent1">
    <w:name w:val="Medium List 1 Accent 1"/>
    <w:basedOn w:val="TableNormal"/>
    <w:uiPriority w:val="65"/>
    <w:semiHidden/>
    <w:unhideWhenUsed/>
    <w:rsid w:val="0018329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1">
    <w:name w:val="Medium Shading 2 Accent 1"/>
    <w:basedOn w:val="TableNormal"/>
    <w:uiPriority w:val="64"/>
    <w:semiHidden/>
    <w:unhideWhenUsed/>
    <w:rsid w:val="0018329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18329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18329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semiHidden/>
    <w:unhideWhenUsed/>
    <w:rsid w:val="0018329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semiHidden/>
    <w:unhideWhenUsed/>
    <w:rsid w:val="0018329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
    <w:name w:val="Colorful Grid"/>
    <w:basedOn w:val="TableNormal"/>
    <w:uiPriority w:val="73"/>
    <w:semiHidden/>
    <w:unhideWhenUsed/>
    <w:rsid w:val="0018329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8329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8329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329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18329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18329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18329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18329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18329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18329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18329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18329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18329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18329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rsid w:val="00183294"/>
    <w:rPr>
      <w:sz w:val="24"/>
      <w:szCs w:val="24"/>
      <w:lang w:val="de-DE" w:eastAsia="de-DE"/>
    </w:rPr>
  </w:style>
  <w:style w:type="character" w:styleId="HTMLVariable">
    <w:name w:val="HTML Variable"/>
    <w:basedOn w:val="DefaultParagraphFont"/>
    <w:uiPriority w:val="99"/>
    <w:semiHidden/>
    <w:unhideWhenUsed/>
    <w:rsid w:val="00183294"/>
    <w:rPr>
      <w:i/>
      <w:iCs/>
    </w:rPr>
  </w:style>
  <w:style w:type="character" w:styleId="HTMLTypewriter">
    <w:name w:val="HTML Typewriter"/>
    <w:basedOn w:val="DefaultParagraphFont"/>
    <w:uiPriority w:val="99"/>
    <w:semiHidden/>
    <w:unhideWhenUsed/>
    <w:rsid w:val="00183294"/>
    <w:rPr>
      <w:rFonts w:ascii="Consolas" w:hAnsi="Consolas"/>
      <w:sz w:val="20"/>
      <w:szCs w:val="20"/>
    </w:rPr>
  </w:style>
  <w:style w:type="character" w:styleId="HTMLSample">
    <w:name w:val="HTML Sample"/>
    <w:basedOn w:val="DefaultParagraphFont"/>
    <w:uiPriority w:val="99"/>
    <w:semiHidden/>
    <w:unhideWhenUsed/>
    <w:rsid w:val="00183294"/>
    <w:rPr>
      <w:rFonts w:ascii="Consolas" w:hAnsi="Consolas"/>
      <w:sz w:val="24"/>
      <w:szCs w:val="24"/>
    </w:rPr>
  </w:style>
  <w:style w:type="paragraph" w:styleId="HTMLPreformatted">
    <w:name w:val="HTML Preformatted"/>
    <w:basedOn w:val="Normal"/>
    <w:link w:val="HTMLPreformattedChar"/>
    <w:uiPriority w:val="99"/>
    <w:semiHidden/>
    <w:unhideWhenUsed/>
    <w:rsid w:val="0018329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3294"/>
    <w:rPr>
      <w:rFonts w:ascii="Consolas" w:hAnsi="Consolas"/>
      <w:lang w:val="de-DE" w:eastAsia="de-DE"/>
    </w:rPr>
  </w:style>
  <w:style w:type="character" w:styleId="HTMLKeyboard">
    <w:name w:val="HTML Keyboard"/>
    <w:basedOn w:val="DefaultParagraphFont"/>
    <w:uiPriority w:val="99"/>
    <w:semiHidden/>
    <w:unhideWhenUsed/>
    <w:rsid w:val="00183294"/>
    <w:rPr>
      <w:rFonts w:ascii="Consolas" w:hAnsi="Consolas"/>
      <w:sz w:val="20"/>
      <w:szCs w:val="20"/>
    </w:rPr>
  </w:style>
  <w:style w:type="character" w:styleId="HTMLDefinition">
    <w:name w:val="HTML Definition"/>
    <w:basedOn w:val="DefaultParagraphFont"/>
    <w:uiPriority w:val="99"/>
    <w:semiHidden/>
    <w:unhideWhenUsed/>
    <w:rsid w:val="00183294"/>
    <w:rPr>
      <w:i/>
      <w:iCs/>
    </w:rPr>
  </w:style>
  <w:style w:type="character" w:styleId="HTMLCode">
    <w:name w:val="HTML Code"/>
    <w:basedOn w:val="DefaultParagraphFont"/>
    <w:uiPriority w:val="99"/>
    <w:semiHidden/>
    <w:unhideWhenUsed/>
    <w:rsid w:val="00183294"/>
    <w:rPr>
      <w:rFonts w:ascii="Consolas" w:hAnsi="Consolas"/>
      <w:sz w:val="20"/>
      <w:szCs w:val="20"/>
    </w:rPr>
  </w:style>
  <w:style w:type="character" w:styleId="HTMLCite">
    <w:name w:val="HTML Cite"/>
    <w:basedOn w:val="DefaultParagraphFont"/>
    <w:uiPriority w:val="99"/>
    <w:semiHidden/>
    <w:unhideWhenUsed/>
    <w:rsid w:val="00183294"/>
    <w:rPr>
      <w:i/>
      <w:iCs/>
    </w:rPr>
  </w:style>
  <w:style w:type="paragraph" w:styleId="HTMLAddress">
    <w:name w:val="HTML Address"/>
    <w:basedOn w:val="Normal"/>
    <w:link w:val="HTMLAddressChar"/>
    <w:uiPriority w:val="99"/>
    <w:semiHidden/>
    <w:unhideWhenUsed/>
    <w:rsid w:val="00183294"/>
    <w:rPr>
      <w:i/>
      <w:iCs/>
    </w:rPr>
  </w:style>
  <w:style w:type="character" w:customStyle="1" w:styleId="HTMLAddressChar">
    <w:name w:val="HTML Address Char"/>
    <w:basedOn w:val="DefaultParagraphFont"/>
    <w:link w:val="HTMLAddress"/>
    <w:uiPriority w:val="99"/>
    <w:semiHidden/>
    <w:rsid w:val="00183294"/>
    <w:rPr>
      <w:i/>
      <w:iCs/>
      <w:sz w:val="24"/>
      <w:szCs w:val="24"/>
      <w:lang w:val="de-DE" w:eastAsia="de-DE"/>
    </w:rPr>
  </w:style>
  <w:style w:type="character" w:styleId="HTMLAcronym">
    <w:name w:val="HTML Acronym"/>
    <w:basedOn w:val="DefaultParagraphFont"/>
    <w:uiPriority w:val="99"/>
    <w:semiHidden/>
    <w:unhideWhenUsed/>
    <w:rsid w:val="00183294"/>
  </w:style>
  <w:style w:type="paragraph" w:styleId="NormalWeb">
    <w:name w:val="Normal (Web)"/>
    <w:basedOn w:val="Normal"/>
    <w:uiPriority w:val="99"/>
    <w:semiHidden/>
    <w:unhideWhenUsed/>
    <w:rsid w:val="00183294"/>
  </w:style>
  <w:style w:type="paragraph" w:styleId="PlainText">
    <w:name w:val="Plain Text"/>
    <w:basedOn w:val="Normal"/>
    <w:link w:val="PlainTextChar"/>
    <w:uiPriority w:val="99"/>
    <w:semiHidden/>
    <w:unhideWhenUsed/>
    <w:rsid w:val="00183294"/>
    <w:rPr>
      <w:rFonts w:ascii="Consolas" w:hAnsi="Consolas"/>
      <w:sz w:val="21"/>
      <w:szCs w:val="21"/>
    </w:rPr>
  </w:style>
  <w:style w:type="character" w:customStyle="1" w:styleId="PlainTextChar">
    <w:name w:val="Plain Text Char"/>
    <w:basedOn w:val="DefaultParagraphFont"/>
    <w:link w:val="PlainText"/>
    <w:uiPriority w:val="99"/>
    <w:semiHidden/>
    <w:rsid w:val="00183294"/>
    <w:rPr>
      <w:rFonts w:ascii="Consolas" w:hAnsi="Consolas"/>
      <w:sz w:val="21"/>
      <w:szCs w:val="21"/>
      <w:lang w:val="de-DE" w:eastAsia="de-DE"/>
    </w:rPr>
  </w:style>
  <w:style w:type="paragraph" w:styleId="DocumentMap">
    <w:name w:val="Document Map"/>
    <w:basedOn w:val="Normal"/>
    <w:link w:val="DocumentMapChar"/>
    <w:uiPriority w:val="99"/>
    <w:semiHidden/>
    <w:unhideWhenUsed/>
    <w:rsid w:val="0018329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3294"/>
    <w:rPr>
      <w:rFonts w:ascii="Segoe UI" w:hAnsi="Segoe UI" w:cs="Segoe UI"/>
      <w:sz w:val="16"/>
      <w:szCs w:val="16"/>
      <w:lang w:val="de-DE" w:eastAsia="de-DE"/>
    </w:rPr>
  </w:style>
  <w:style w:type="character" w:styleId="Emphasis">
    <w:name w:val="Emphasis"/>
    <w:basedOn w:val="DefaultParagraphFont"/>
    <w:uiPriority w:val="20"/>
    <w:rsid w:val="00183294"/>
    <w:rPr>
      <w:i/>
      <w:iCs/>
    </w:rPr>
  </w:style>
  <w:style w:type="character" w:styleId="Strong">
    <w:name w:val="Strong"/>
    <w:basedOn w:val="DefaultParagraphFont"/>
    <w:uiPriority w:val="22"/>
    <w:rsid w:val="00183294"/>
    <w:rPr>
      <w:b/>
      <w:bCs/>
    </w:rPr>
  </w:style>
  <w:style w:type="character" w:styleId="FollowedHyperlink">
    <w:name w:val="FollowedHyperlink"/>
    <w:basedOn w:val="DefaultParagraphFont"/>
    <w:uiPriority w:val="99"/>
    <w:semiHidden/>
    <w:unhideWhenUsed/>
    <w:rsid w:val="00183294"/>
    <w:rPr>
      <w:color w:val="800080" w:themeColor="followedHyperlink"/>
      <w:u w:val="single"/>
    </w:rPr>
  </w:style>
  <w:style w:type="paragraph" w:styleId="BlockText">
    <w:name w:val="Block Text"/>
    <w:basedOn w:val="Normal"/>
    <w:uiPriority w:val="99"/>
    <w:semiHidden/>
    <w:unhideWhenUsed/>
    <w:rsid w:val="0018329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Indent3">
    <w:name w:val="Body Text Indent 3"/>
    <w:basedOn w:val="Normal"/>
    <w:link w:val="BodyTextIndent3Char"/>
    <w:uiPriority w:val="99"/>
    <w:semiHidden/>
    <w:unhideWhenUsed/>
    <w:rsid w:val="0018329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3294"/>
    <w:rPr>
      <w:sz w:val="16"/>
      <w:szCs w:val="16"/>
      <w:lang w:val="de-DE" w:eastAsia="de-DE"/>
    </w:rPr>
  </w:style>
  <w:style w:type="paragraph" w:styleId="BodyTextIndent2">
    <w:name w:val="Body Text Indent 2"/>
    <w:basedOn w:val="Normal"/>
    <w:link w:val="BodyTextIndent2Char"/>
    <w:uiPriority w:val="99"/>
    <w:semiHidden/>
    <w:unhideWhenUsed/>
    <w:rsid w:val="00183294"/>
    <w:pPr>
      <w:spacing w:after="120" w:line="480" w:lineRule="auto"/>
      <w:ind w:left="283"/>
    </w:pPr>
  </w:style>
  <w:style w:type="character" w:customStyle="1" w:styleId="BodyTextIndent2Char">
    <w:name w:val="Body Text Indent 2 Char"/>
    <w:basedOn w:val="DefaultParagraphFont"/>
    <w:link w:val="BodyTextIndent2"/>
    <w:uiPriority w:val="99"/>
    <w:semiHidden/>
    <w:rsid w:val="00183294"/>
    <w:rPr>
      <w:sz w:val="24"/>
      <w:szCs w:val="24"/>
      <w:lang w:val="de-DE" w:eastAsia="de-DE"/>
    </w:rPr>
  </w:style>
  <w:style w:type="paragraph" w:styleId="BodyText3">
    <w:name w:val="Body Text 3"/>
    <w:basedOn w:val="Normal"/>
    <w:link w:val="BodyText3Char"/>
    <w:uiPriority w:val="99"/>
    <w:semiHidden/>
    <w:unhideWhenUsed/>
    <w:rsid w:val="00183294"/>
    <w:pPr>
      <w:spacing w:after="120"/>
    </w:pPr>
    <w:rPr>
      <w:sz w:val="16"/>
      <w:szCs w:val="16"/>
    </w:rPr>
  </w:style>
  <w:style w:type="character" w:customStyle="1" w:styleId="BodyText3Char">
    <w:name w:val="Body Text 3 Char"/>
    <w:basedOn w:val="DefaultParagraphFont"/>
    <w:link w:val="BodyText3"/>
    <w:uiPriority w:val="99"/>
    <w:semiHidden/>
    <w:rsid w:val="00183294"/>
    <w:rPr>
      <w:sz w:val="16"/>
      <w:szCs w:val="16"/>
      <w:lang w:val="de-DE" w:eastAsia="de-DE"/>
    </w:rPr>
  </w:style>
  <w:style w:type="paragraph" w:styleId="BodyText2">
    <w:name w:val="Body Text 2"/>
    <w:basedOn w:val="Normal"/>
    <w:link w:val="BodyText2Char"/>
    <w:uiPriority w:val="99"/>
    <w:semiHidden/>
    <w:unhideWhenUsed/>
    <w:rsid w:val="00183294"/>
    <w:pPr>
      <w:spacing w:after="120" w:line="480" w:lineRule="auto"/>
    </w:pPr>
  </w:style>
  <w:style w:type="character" w:customStyle="1" w:styleId="BodyText2Char">
    <w:name w:val="Body Text 2 Char"/>
    <w:basedOn w:val="DefaultParagraphFont"/>
    <w:link w:val="BodyText2"/>
    <w:uiPriority w:val="99"/>
    <w:semiHidden/>
    <w:rsid w:val="00183294"/>
    <w:rPr>
      <w:sz w:val="24"/>
      <w:szCs w:val="24"/>
      <w:lang w:val="de-DE" w:eastAsia="de-DE"/>
    </w:rPr>
  </w:style>
  <w:style w:type="paragraph" w:styleId="NoteHeading">
    <w:name w:val="Note Heading"/>
    <w:basedOn w:val="Normal"/>
    <w:next w:val="Normal"/>
    <w:link w:val="NoteHeadingChar"/>
    <w:uiPriority w:val="99"/>
    <w:semiHidden/>
    <w:unhideWhenUsed/>
    <w:rsid w:val="00183294"/>
  </w:style>
  <w:style w:type="character" w:customStyle="1" w:styleId="NoteHeadingChar">
    <w:name w:val="Note Heading Char"/>
    <w:basedOn w:val="DefaultParagraphFont"/>
    <w:link w:val="NoteHeading"/>
    <w:uiPriority w:val="99"/>
    <w:semiHidden/>
    <w:rsid w:val="00183294"/>
    <w:rPr>
      <w:sz w:val="24"/>
      <w:szCs w:val="24"/>
      <w:lang w:val="de-DE" w:eastAsia="de-DE"/>
    </w:rPr>
  </w:style>
  <w:style w:type="paragraph" w:styleId="BodyTextIndent">
    <w:name w:val="Body Text Indent"/>
    <w:basedOn w:val="Normal"/>
    <w:link w:val="BodyTextIndentChar"/>
    <w:uiPriority w:val="99"/>
    <w:semiHidden/>
    <w:unhideWhenUsed/>
    <w:rsid w:val="00183294"/>
    <w:pPr>
      <w:spacing w:after="120"/>
      <w:ind w:left="283"/>
    </w:pPr>
  </w:style>
  <w:style w:type="character" w:customStyle="1" w:styleId="BodyTextIndentChar">
    <w:name w:val="Body Text Indent Char"/>
    <w:basedOn w:val="DefaultParagraphFont"/>
    <w:link w:val="BodyTextIndent"/>
    <w:uiPriority w:val="99"/>
    <w:semiHidden/>
    <w:rsid w:val="00183294"/>
    <w:rPr>
      <w:sz w:val="24"/>
      <w:szCs w:val="24"/>
      <w:lang w:val="de-DE" w:eastAsia="de-DE"/>
    </w:rPr>
  </w:style>
  <w:style w:type="paragraph" w:styleId="BodyTextFirstIndent2">
    <w:name w:val="Body Text First Indent 2"/>
    <w:basedOn w:val="BodyTextIndent"/>
    <w:link w:val="BodyTextFirstIndent2Char"/>
    <w:uiPriority w:val="99"/>
    <w:semiHidden/>
    <w:unhideWhenUsed/>
    <w:rsid w:val="0018329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3294"/>
    <w:rPr>
      <w:sz w:val="24"/>
      <w:szCs w:val="24"/>
      <w:lang w:val="de-DE" w:eastAsia="de-DE"/>
    </w:rPr>
  </w:style>
  <w:style w:type="paragraph" w:styleId="BodyText">
    <w:name w:val="Body Text"/>
    <w:basedOn w:val="Normal"/>
    <w:link w:val="BodyTextChar"/>
    <w:uiPriority w:val="99"/>
    <w:semiHidden/>
    <w:unhideWhenUsed/>
    <w:rsid w:val="00183294"/>
    <w:pPr>
      <w:spacing w:after="120"/>
    </w:pPr>
  </w:style>
  <w:style w:type="character" w:customStyle="1" w:styleId="BodyTextChar">
    <w:name w:val="Body Text Char"/>
    <w:basedOn w:val="DefaultParagraphFont"/>
    <w:link w:val="BodyText"/>
    <w:uiPriority w:val="99"/>
    <w:semiHidden/>
    <w:rsid w:val="00183294"/>
    <w:rPr>
      <w:sz w:val="24"/>
      <w:szCs w:val="24"/>
      <w:lang w:val="de-DE" w:eastAsia="de-DE"/>
    </w:rPr>
  </w:style>
  <w:style w:type="paragraph" w:styleId="BodyTextFirstIndent">
    <w:name w:val="Body Text First Indent"/>
    <w:basedOn w:val="BodyText"/>
    <w:link w:val="BodyTextFirstIndentChar"/>
    <w:uiPriority w:val="99"/>
    <w:semiHidden/>
    <w:unhideWhenUsed/>
    <w:rsid w:val="00183294"/>
    <w:pPr>
      <w:spacing w:after="0"/>
      <w:ind w:firstLine="360"/>
    </w:pPr>
  </w:style>
  <w:style w:type="character" w:customStyle="1" w:styleId="BodyTextFirstIndentChar">
    <w:name w:val="Body Text First Indent Char"/>
    <w:basedOn w:val="BodyTextChar"/>
    <w:link w:val="BodyTextFirstIndent"/>
    <w:uiPriority w:val="99"/>
    <w:semiHidden/>
    <w:rsid w:val="00183294"/>
    <w:rPr>
      <w:sz w:val="24"/>
      <w:szCs w:val="24"/>
      <w:lang w:val="de-DE" w:eastAsia="de-DE"/>
    </w:rPr>
  </w:style>
  <w:style w:type="paragraph" w:styleId="Date">
    <w:name w:val="Date"/>
    <w:basedOn w:val="Normal"/>
    <w:next w:val="Normal"/>
    <w:link w:val="DateChar"/>
    <w:uiPriority w:val="99"/>
    <w:semiHidden/>
    <w:unhideWhenUsed/>
    <w:rsid w:val="00183294"/>
  </w:style>
  <w:style w:type="character" w:customStyle="1" w:styleId="DateChar">
    <w:name w:val="Date Char"/>
    <w:basedOn w:val="DefaultParagraphFont"/>
    <w:link w:val="Date"/>
    <w:uiPriority w:val="99"/>
    <w:semiHidden/>
    <w:rsid w:val="00183294"/>
    <w:rPr>
      <w:sz w:val="24"/>
      <w:szCs w:val="24"/>
      <w:lang w:val="de-DE" w:eastAsia="de-DE"/>
    </w:rPr>
  </w:style>
  <w:style w:type="paragraph" w:styleId="Salutation">
    <w:name w:val="Salutation"/>
    <w:basedOn w:val="Normal"/>
    <w:next w:val="Normal"/>
    <w:link w:val="SalutationChar"/>
    <w:uiPriority w:val="99"/>
    <w:semiHidden/>
    <w:unhideWhenUsed/>
    <w:rsid w:val="00183294"/>
  </w:style>
  <w:style w:type="character" w:customStyle="1" w:styleId="SalutationChar">
    <w:name w:val="Salutation Char"/>
    <w:basedOn w:val="DefaultParagraphFont"/>
    <w:link w:val="Salutation"/>
    <w:uiPriority w:val="99"/>
    <w:semiHidden/>
    <w:rsid w:val="00183294"/>
    <w:rPr>
      <w:sz w:val="24"/>
      <w:szCs w:val="24"/>
      <w:lang w:val="de-DE" w:eastAsia="de-DE"/>
    </w:rPr>
  </w:style>
  <w:style w:type="paragraph" w:styleId="Subtitle">
    <w:name w:val="Subtitle"/>
    <w:basedOn w:val="Normal"/>
    <w:next w:val="Normal"/>
    <w:link w:val="SubtitleChar"/>
    <w:uiPriority w:val="11"/>
    <w:rsid w:val="0018329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83294"/>
    <w:rPr>
      <w:rFonts w:asciiTheme="minorHAnsi" w:eastAsiaTheme="minorEastAsia" w:hAnsiTheme="minorHAnsi" w:cstheme="minorBidi"/>
      <w:color w:val="5A5A5A" w:themeColor="text1" w:themeTint="A5"/>
      <w:spacing w:val="15"/>
      <w:sz w:val="22"/>
      <w:szCs w:val="22"/>
      <w:lang w:val="de-DE" w:eastAsia="de-DE"/>
    </w:rPr>
  </w:style>
  <w:style w:type="paragraph" w:styleId="MessageHeader">
    <w:name w:val="Message Header"/>
    <w:basedOn w:val="Normal"/>
    <w:link w:val="MessageHeaderChar"/>
    <w:uiPriority w:val="99"/>
    <w:semiHidden/>
    <w:unhideWhenUsed/>
    <w:rsid w:val="0018329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83294"/>
    <w:rPr>
      <w:rFonts w:asciiTheme="majorHAnsi" w:eastAsiaTheme="majorEastAsia" w:hAnsiTheme="majorHAnsi" w:cstheme="majorBidi"/>
      <w:sz w:val="24"/>
      <w:szCs w:val="24"/>
      <w:shd w:val="pct20" w:color="auto" w:fill="auto"/>
      <w:lang w:val="de-DE" w:eastAsia="de-DE"/>
    </w:rPr>
  </w:style>
  <w:style w:type="paragraph" w:styleId="ListContinue5">
    <w:name w:val="List Continue 5"/>
    <w:basedOn w:val="Normal"/>
    <w:uiPriority w:val="99"/>
    <w:semiHidden/>
    <w:unhideWhenUsed/>
    <w:rsid w:val="00183294"/>
    <w:pPr>
      <w:spacing w:after="120"/>
      <w:ind w:left="1415"/>
      <w:contextualSpacing/>
    </w:pPr>
  </w:style>
  <w:style w:type="paragraph" w:styleId="ListContinue4">
    <w:name w:val="List Continue 4"/>
    <w:basedOn w:val="Normal"/>
    <w:uiPriority w:val="99"/>
    <w:semiHidden/>
    <w:unhideWhenUsed/>
    <w:rsid w:val="00183294"/>
    <w:pPr>
      <w:spacing w:after="120"/>
      <w:ind w:left="1132"/>
      <w:contextualSpacing/>
    </w:pPr>
  </w:style>
  <w:style w:type="paragraph" w:styleId="ListContinue3">
    <w:name w:val="List Continue 3"/>
    <w:basedOn w:val="Normal"/>
    <w:uiPriority w:val="99"/>
    <w:semiHidden/>
    <w:unhideWhenUsed/>
    <w:rsid w:val="00183294"/>
    <w:pPr>
      <w:spacing w:after="120"/>
      <w:ind w:left="849"/>
      <w:contextualSpacing/>
    </w:pPr>
  </w:style>
  <w:style w:type="paragraph" w:styleId="ListContinue2">
    <w:name w:val="List Continue 2"/>
    <w:basedOn w:val="Normal"/>
    <w:uiPriority w:val="99"/>
    <w:semiHidden/>
    <w:unhideWhenUsed/>
    <w:rsid w:val="00183294"/>
    <w:pPr>
      <w:spacing w:after="120"/>
      <w:ind w:left="566"/>
      <w:contextualSpacing/>
    </w:pPr>
  </w:style>
  <w:style w:type="paragraph" w:styleId="ListContinue">
    <w:name w:val="List Continue"/>
    <w:basedOn w:val="Normal"/>
    <w:uiPriority w:val="99"/>
    <w:semiHidden/>
    <w:unhideWhenUsed/>
    <w:rsid w:val="00183294"/>
    <w:pPr>
      <w:spacing w:after="120"/>
      <w:ind w:left="283"/>
      <w:contextualSpacing/>
    </w:pPr>
  </w:style>
  <w:style w:type="paragraph" w:styleId="Signature">
    <w:name w:val="Signature"/>
    <w:basedOn w:val="Normal"/>
    <w:link w:val="SignatureChar"/>
    <w:uiPriority w:val="99"/>
    <w:semiHidden/>
    <w:unhideWhenUsed/>
    <w:rsid w:val="00183294"/>
    <w:pPr>
      <w:ind w:left="4252"/>
    </w:pPr>
  </w:style>
  <w:style w:type="character" w:customStyle="1" w:styleId="SignatureChar">
    <w:name w:val="Signature Char"/>
    <w:basedOn w:val="DefaultParagraphFont"/>
    <w:link w:val="Signature"/>
    <w:uiPriority w:val="99"/>
    <w:semiHidden/>
    <w:rsid w:val="00183294"/>
    <w:rPr>
      <w:sz w:val="24"/>
      <w:szCs w:val="24"/>
      <w:lang w:val="de-DE" w:eastAsia="de-DE"/>
    </w:rPr>
  </w:style>
  <w:style w:type="paragraph" w:styleId="Closing">
    <w:name w:val="Closing"/>
    <w:basedOn w:val="Normal"/>
    <w:link w:val="ClosingChar"/>
    <w:uiPriority w:val="99"/>
    <w:semiHidden/>
    <w:unhideWhenUsed/>
    <w:rsid w:val="00183294"/>
    <w:pPr>
      <w:ind w:left="4252"/>
    </w:pPr>
  </w:style>
  <w:style w:type="character" w:customStyle="1" w:styleId="ClosingChar">
    <w:name w:val="Closing Char"/>
    <w:basedOn w:val="DefaultParagraphFont"/>
    <w:link w:val="Closing"/>
    <w:uiPriority w:val="99"/>
    <w:semiHidden/>
    <w:rsid w:val="00183294"/>
    <w:rPr>
      <w:sz w:val="24"/>
      <w:szCs w:val="24"/>
      <w:lang w:val="de-DE" w:eastAsia="de-DE"/>
    </w:rPr>
  </w:style>
  <w:style w:type="paragraph" w:styleId="Title">
    <w:name w:val="Title"/>
    <w:basedOn w:val="Normal"/>
    <w:next w:val="Normal"/>
    <w:link w:val="TitleChar"/>
    <w:uiPriority w:val="10"/>
    <w:rsid w:val="0018329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294"/>
    <w:rPr>
      <w:rFonts w:asciiTheme="majorHAnsi" w:eastAsiaTheme="majorEastAsia" w:hAnsiTheme="majorHAnsi" w:cstheme="majorBidi"/>
      <w:spacing w:val="-10"/>
      <w:kern w:val="28"/>
      <w:sz w:val="56"/>
      <w:szCs w:val="56"/>
      <w:lang w:val="de-DE" w:eastAsia="de-DE"/>
    </w:rPr>
  </w:style>
  <w:style w:type="paragraph" w:styleId="ListNumber5">
    <w:name w:val="List Number 5"/>
    <w:basedOn w:val="Normal"/>
    <w:uiPriority w:val="99"/>
    <w:semiHidden/>
    <w:unhideWhenUsed/>
    <w:rsid w:val="00183294"/>
    <w:pPr>
      <w:numPr>
        <w:numId w:val="27"/>
      </w:numPr>
      <w:contextualSpacing/>
    </w:pPr>
  </w:style>
  <w:style w:type="paragraph" w:styleId="ListNumber4">
    <w:name w:val="List Number 4"/>
    <w:basedOn w:val="Normal"/>
    <w:uiPriority w:val="99"/>
    <w:semiHidden/>
    <w:unhideWhenUsed/>
    <w:rsid w:val="00183294"/>
    <w:pPr>
      <w:numPr>
        <w:numId w:val="28"/>
      </w:numPr>
      <w:contextualSpacing/>
    </w:pPr>
  </w:style>
  <w:style w:type="paragraph" w:styleId="ListNumber3">
    <w:name w:val="List Number 3"/>
    <w:basedOn w:val="Normal"/>
    <w:uiPriority w:val="99"/>
    <w:semiHidden/>
    <w:unhideWhenUsed/>
    <w:rsid w:val="00183294"/>
    <w:pPr>
      <w:numPr>
        <w:numId w:val="29"/>
      </w:numPr>
      <w:contextualSpacing/>
    </w:pPr>
  </w:style>
  <w:style w:type="paragraph" w:styleId="ListNumber2">
    <w:name w:val="List Number 2"/>
    <w:basedOn w:val="Normal"/>
    <w:uiPriority w:val="99"/>
    <w:semiHidden/>
    <w:unhideWhenUsed/>
    <w:rsid w:val="00183294"/>
    <w:pPr>
      <w:numPr>
        <w:numId w:val="30"/>
      </w:numPr>
      <w:contextualSpacing/>
    </w:pPr>
  </w:style>
  <w:style w:type="paragraph" w:styleId="ListBullet5">
    <w:name w:val="List Bullet 5"/>
    <w:basedOn w:val="Normal"/>
    <w:uiPriority w:val="99"/>
    <w:semiHidden/>
    <w:unhideWhenUsed/>
    <w:rsid w:val="00183294"/>
    <w:pPr>
      <w:numPr>
        <w:numId w:val="9"/>
      </w:numPr>
      <w:contextualSpacing/>
    </w:pPr>
  </w:style>
  <w:style w:type="paragraph" w:styleId="ListBullet4">
    <w:name w:val="List Bullet 4"/>
    <w:basedOn w:val="Normal"/>
    <w:uiPriority w:val="99"/>
    <w:semiHidden/>
    <w:unhideWhenUsed/>
    <w:rsid w:val="00183294"/>
    <w:pPr>
      <w:numPr>
        <w:numId w:val="8"/>
      </w:numPr>
      <w:contextualSpacing/>
    </w:pPr>
  </w:style>
  <w:style w:type="paragraph" w:styleId="ListBullet3">
    <w:name w:val="List Bullet 3"/>
    <w:basedOn w:val="Normal"/>
    <w:uiPriority w:val="99"/>
    <w:semiHidden/>
    <w:unhideWhenUsed/>
    <w:rsid w:val="00183294"/>
    <w:pPr>
      <w:numPr>
        <w:numId w:val="6"/>
      </w:numPr>
      <w:contextualSpacing/>
    </w:pPr>
  </w:style>
  <w:style w:type="paragraph" w:styleId="ListBullet2">
    <w:name w:val="List Bullet 2"/>
    <w:basedOn w:val="Normal"/>
    <w:uiPriority w:val="99"/>
    <w:semiHidden/>
    <w:unhideWhenUsed/>
    <w:rsid w:val="00183294"/>
    <w:pPr>
      <w:numPr>
        <w:numId w:val="5"/>
      </w:numPr>
      <w:contextualSpacing/>
    </w:pPr>
  </w:style>
  <w:style w:type="paragraph" w:styleId="List5">
    <w:name w:val="List 5"/>
    <w:basedOn w:val="Normal"/>
    <w:uiPriority w:val="99"/>
    <w:semiHidden/>
    <w:unhideWhenUsed/>
    <w:rsid w:val="00183294"/>
    <w:pPr>
      <w:ind w:left="1415" w:hanging="283"/>
      <w:contextualSpacing/>
    </w:pPr>
  </w:style>
  <w:style w:type="paragraph" w:styleId="List4">
    <w:name w:val="List 4"/>
    <w:basedOn w:val="Normal"/>
    <w:uiPriority w:val="99"/>
    <w:semiHidden/>
    <w:unhideWhenUsed/>
    <w:rsid w:val="00183294"/>
    <w:pPr>
      <w:ind w:left="1132" w:hanging="283"/>
      <w:contextualSpacing/>
    </w:pPr>
  </w:style>
  <w:style w:type="paragraph" w:styleId="List3">
    <w:name w:val="List 3"/>
    <w:basedOn w:val="Normal"/>
    <w:uiPriority w:val="99"/>
    <w:semiHidden/>
    <w:unhideWhenUsed/>
    <w:rsid w:val="00183294"/>
    <w:pPr>
      <w:ind w:left="849" w:hanging="283"/>
      <w:contextualSpacing/>
    </w:pPr>
  </w:style>
  <w:style w:type="paragraph" w:styleId="List2">
    <w:name w:val="List 2"/>
    <w:basedOn w:val="Normal"/>
    <w:uiPriority w:val="99"/>
    <w:semiHidden/>
    <w:unhideWhenUsed/>
    <w:rsid w:val="00183294"/>
    <w:pPr>
      <w:ind w:left="566" w:hanging="283"/>
      <w:contextualSpacing/>
    </w:pPr>
  </w:style>
  <w:style w:type="paragraph" w:styleId="ListNumber">
    <w:name w:val="List Number"/>
    <w:basedOn w:val="Normal"/>
    <w:uiPriority w:val="99"/>
    <w:semiHidden/>
    <w:unhideWhenUsed/>
    <w:rsid w:val="00183294"/>
    <w:pPr>
      <w:numPr>
        <w:numId w:val="31"/>
      </w:numPr>
      <w:contextualSpacing/>
    </w:pPr>
  </w:style>
  <w:style w:type="paragraph" w:styleId="List">
    <w:name w:val="List"/>
    <w:basedOn w:val="Normal"/>
    <w:uiPriority w:val="99"/>
    <w:semiHidden/>
    <w:unhideWhenUsed/>
    <w:rsid w:val="00183294"/>
    <w:pPr>
      <w:ind w:left="283" w:hanging="283"/>
      <w:contextualSpacing/>
    </w:pPr>
  </w:style>
  <w:style w:type="paragraph" w:styleId="TOAHeading">
    <w:name w:val="toa heading"/>
    <w:basedOn w:val="Normal"/>
    <w:next w:val="Normal"/>
    <w:uiPriority w:val="99"/>
    <w:semiHidden/>
    <w:unhideWhenUsed/>
    <w:rsid w:val="00183294"/>
    <w:pPr>
      <w:spacing w:before="120"/>
    </w:pPr>
    <w:rPr>
      <w:rFonts w:asciiTheme="majorHAnsi" w:eastAsiaTheme="majorEastAsia" w:hAnsiTheme="majorHAnsi" w:cstheme="majorBidi"/>
      <w:b/>
      <w:bCs/>
    </w:rPr>
  </w:style>
  <w:style w:type="paragraph" w:styleId="MacroText">
    <w:name w:val="macro"/>
    <w:link w:val="MacroTextChar"/>
    <w:uiPriority w:val="99"/>
    <w:semiHidden/>
    <w:unhideWhenUsed/>
    <w:rsid w:val="00183294"/>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de-DE" w:eastAsia="de-DE"/>
    </w:rPr>
  </w:style>
  <w:style w:type="character" w:customStyle="1" w:styleId="MacroTextChar">
    <w:name w:val="Macro Text Char"/>
    <w:basedOn w:val="DefaultParagraphFont"/>
    <w:link w:val="MacroText"/>
    <w:uiPriority w:val="99"/>
    <w:semiHidden/>
    <w:rsid w:val="00183294"/>
    <w:rPr>
      <w:rFonts w:ascii="Consolas" w:hAnsi="Consolas"/>
      <w:lang w:val="de-DE" w:eastAsia="de-DE"/>
    </w:rPr>
  </w:style>
  <w:style w:type="paragraph" w:styleId="TableofAuthorities">
    <w:name w:val="table of authorities"/>
    <w:basedOn w:val="Normal"/>
    <w:next w:val="Normal"/>
    <w:uiPriority w:val="99"/>
    <w:semiHidden/>
    <w:unhideWhenUsed/>
    <w:rsid w:val="00183294"/>
    <w:pPr>
      <w:ind w:left="240" w:hanging="240"/>
    </w:pPr>
  </w:style>
  <w:style w:type="paragraph" w:styleId="EndnoteText">
    <w:name w:val="endnote text"/>
    <w:basedOn w:val="Normal"/>
    <w:link w:val="EndnoteTextChar"/>
    <w:uiPriority w:val="99"/>
    <w:semiHidden/>
    <w:unhideWhenUsed/>
    <w:rsid w:val="00183294"/>
    <w:rPr>
      <w:sz w:val="20"/>
      <w:szCs w:val="20"/>
    </w:rPr>
  </w:style>
  <w:style w:type="character" w:customStyle="1" w:styleId="EndnoteTextChar">
    <w:name w:val="Endnote Text Char"/>
    <w:basedOn w:val="DefaultParagraphFont"/>
    <w:link w:val="EndnoteText"/>
    <w:uiPriority w:val="99"/>
    <w:semiHidden/>
    <w:rsid w:val="00183294"/>
    <w:rPr>
      <w:lang w:val="de-DE" w:eastAsia="de-DE"/>
    </w:rPr>
  </w:style>
  <w:style w:type="character" w:styleId="EndnoteReference">
    <w:name w:val="endnote reference"/>
    <w:basedOn w:val="DefaultParagraphFont"/>
    <w:uiPriority w:val="99"/>
    <w:semiHidden/>
    <w:unhideWhenUsed/>
    <w:rsid w:val="00183294"/>
    <w:rPr>
      <w:vertAlign w:val="superscript"/>
    </w:rPr>
  </w:style>
  <w:style w:type="character" w:styleId="PageNumber">
    <w:name w:val="page number"/>
    <w:basedOn w:val="DefaultParagraphFont"/>
    <w:uiPriority w:val="99"/>
    <w:semiHidden/>
    <w:unhideWhenUsed/>
    <w:rsid w:val="00183294"/>
  </w:style>
  <w:style w:type="character" w:styleId="LineNumber">
    <w:name w:val="line number"/>
    <w:basedOn w:val="DefaultParagraphFont"/>
    <w:uiPriority w:val="99"/>
    <w:semiHidden/>
    <w:unhideWhenUsed/>
    <w:rsid w:val="00183294"/>
  </w:style>
  <w:style w:type="paragraph" w:styleId="EnvelopeReturn">
    <w:name w:val="envelope return"/>
    <w:basedOn w:val="Normal"/>
    <w:uiPriority w:val="99"/>
    <w:semiHidden/>
    <w:unhideWhenUsed/>
    <w:rsid w:val="00183294"/>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183294"/>
    <w:pPr>
      <w:framePr w:w="7920" w:h="1980" w:hRule="exact" w:hSpace="180" w:wrap="auto" w:hAnchor="page" w:xAlign="center" w:yAlign="bottom"/>
      <w:ind w:left="2880"/>
    </w:pPr>
    <w:rPr>
      <w:rFonts w:asciiTheme="majorHAnsi" w:eastAsiaTheme="majorEastAsia" w:hAnsiTheme="majorHAnsi" w:cstheme="majorBidi"/>
    </w:rPr>
  </w:style>
  <w:style w:type="paragraph" w:styleId="TableofFigures">
    <w:name w:val="table of figures"/>
    <w:basedOn w:val="Normal"/>
    <w:next w:val="Normal"/>
    <w:uiPriority w:val="99"/>
    <w:semiHidden/>
    <w:unhideWhenUsed/>
    <w:rsid w:val="00183294"/>
  </w:style>
  <w:style w:type="paragraph" w:styleId="Index1">
    <w:name w:val="index 1"/>
    <w:basedOn w:val="Normal"/>
    <w:next w:val="Normal"/>
    <w:autoRedefine/>
    <w:uiPriority w:val="99"/>
    <w:semiHidden/>
    <w:unhideWhenUsed/>
    <w:rsid w:val="00183294"/>
    <w:pPr>
      <w:ind w:left="240" w:hanging="240"/>
    </w:pPr>
  </w:style>
  <w:style w:type="paragraph" w:styleId="IndexHeading">
    <w:name w:val="index heading"/>
    <w:basedOn w:val="Normal"/>
    <w:next w:val="Index1"/>
    <w:uiPriority w:val="99"/>
    <w:semiHidden/>
    <w:unhideWhenUsed/>
    <w:rsid w:val="00183294"/>
    <w:rPr>
      <w:rFonts w:asciiTheme="majorHAnsi" w:eastAsiaTheme="majorEastAsia" w:hAnsiTheme="majorHAnsi" w:cstheme="majorBidi"/>
      <w:b/>
      <w:bCs/>
    </w:rPr>
  </w:style>
  <w:style w:type="paragraph" w:styleId="NormalIndent">
    <w:name w:val="Normal Indent"/>
    <w:basedOn w:val="Normal"/>
    <w:uiPriority w:val="99"/>
    <w:semiHidden/>
    <w:unhideWhenUsed/>
    <w:rsid w:val="00183294"/>
    <w:pPr>
      <w:ind w:left="720"/>
    </w:pPr>
  </w:style>
  <w:style w:type="paragraph" w:styleId="TOC9">
    <w:name w:val="toc 9"/>
    <w:basedOn w:val="Normal"/>
    <w:next w:val="Normal"/>
    <w:autoRedefine/>
    <w:uiPriority w:val="39"/>
    <w:semiHidden/>
    <w:unhideWhenUsed/>
    <w:rsid w:val="00183294"/>
    <w:pPr>
      <w:spacing w:after="100"/>
      <w:ind w:left="1920"/>
    </w:pPr>
  </w:style>
  <w:style w:type="paragraph" w:styleId="TOC8">
    <w:name w:val="toc 8"/>
    <w:basedOn w:val="Normal"/>
    <w:next w:val="Normal"/>
    <w:autoRedefine/>
    <w:uiPriority w:val="39"/>
    <w:semiHidden/>
    <w:unhideWhenUsed/>
    <w:rsid w:val="00183294"/>
    <w:pPr>
      <w:spacing w:after="100"/>
      <w:ind w:left="1680"/>
    </w:pPr>
  </w:style>
  <w:style w:type="paragraph" w:styleId="TOC7">
    <w:name w:val="toc 7"/>
    <w:basedOn w:val="Normal"/>
    <w:next w:val="Normal"/>
    <w:autoRedefine/>
    <w:uiPriority w:val="39"/>
    <w:semiHidden/>
    <w:unhideWhenUsed/>
    <w:rsid w:val="00183294"/>
    <w:pPr>
      <w:spacing w:after="100"/>
      <w:ind w:left="1440"/>
    </w:pPr>
  </w:style>
  <w:style w:type="paragraph" w:styleId="TOC6">
    <w:name w:val="toc 6"/>
    <w:basedOn w:val="Normal"/>
    <w:next w:val="Normal"/>
    <w:autoRedefine/>
    <w:uiPriority w:val="39"/>
    <w:semiHidden/>
    <w:unhideWhenUsed/>
    <w:rsid w:val="00183294"/>
    <w:pPr>
      <w:spacing w:after="100"/>
      <w:ind w:left="1200"/>
    </w:pPr>
  </w:style>
  <w:style w:type="paragraph" w:styleId="TOC5">
    <w:name w:val="toc 5"/>
    <w:basedOn w:val="Normal"/>
    <w:next w:val="Normal"/>
    <w:autoRedefine/>
    <w:uiPriority w:val="39"/>
    <w:semiHidden/>
    <w:unhideWhenUsed/>
    <w:rsid w:val="00183294"/>
    <w:pPr>
      <w:spacing w:after="100"/>
      <w:ind w:left="960"/>
    </w:pPr>
  </w:style>
  <w:style w:type="paragraph" w:styleId="TOC4">
    <w:name w:val="toc 4"/>
    <w:basedOn w:val="Normal"/>
    <w:next w:val="Normal"/>
    <w:autoRedefine/>
    <w:uiPriority w:val="39"/>
    <w:semiHidden/>
    <w:unhideWhenUsed/>
    <w:rsid w:val="00183294"/>
    <w:pPr>
      <w:spacing w:after="100"/>
      <w:ind w:left="720"/>
    </w:pPr>
  </w:style>
  <w:style w:type="paragraph" w:styleId="TOC3">
    <w:name w:val="toc 3"/>
    <w:basedOn w:val="Normal"/>
    <w:next w:val="Normal"/>
    <w:autoRedefine/>
    <w:uiPriority w:val="39"/>
    <w:semiHidden/>
    <w:unhideWhenUsed/>
    <w:rsid w:val="00183294"/>
    <w:pPr>
      <w:spacing w:after="100"/>
      <w:ind w:left="480"/>
    </w:pPr>
  </w:style>
  <w:style w:type="paragraph" w:styleId="TOC2">
    <w:name w:val="toc 2"/>
    <w:basedOn w:val="Normal"/>
    <w:next w:val="Normal"/>
    <w:autoRedefine/>
    <w:uiPriority w:val="39"/>
    <w:semiHidden/>
    <w:unhideWhenUsed/>
    <w:rsid w:val="00183294"/>
    <w:pPr>
      <w:spacing w:after="100"/>
      <w:ind w:left="240"/>
    </w:pPr>
  </w:style>
  <w:style w:type="paragraph" w:styleId="TOC1">
    <w:name w:val="toc 1"/>
    <w:basedOn w:val="Normal"/>
    <w:next w:val="Normal"/>
    <w:autoRedefine/>
    <w:uiPriority w:val="39"/>
    <w:semiHidden/>
    <w:unhideWhenUsed/>
    <w:rsid w:val="00183294"/>
    <w:pPr>
      <w:spacing w:after="100"/>
    </w:pPr>
  </w:style>
  <w:style w:type="paragraph" w:styleId="Index9">
    <w:name w:val="index 9"/>
    <w:basedOn w:val="Normal"/>
    <w:next w:val="Normal"/>
    <w:autoRedefine/>
    <w:uiPriority w:val="99"/>
    <w:semiHidden/>
    <w:unhideWhenUsed/>
    <w:rsid w:val="00183294"/>
    <w:pPr>
      <w:ind w:left="2160" w:hanging="240"/>
    </w:pPr>
  </w:style>
  <w:style w:type="paragraph" w:styleId="Index8">
    <w:name w:val="index 8"/>
    <w:basedOn w:val="Normal"/>
    <w:next w:val="Normal"/>
    <w:autoRedefine/>
    <w:uiPriority w:val="99"/>
    <w:semiHidden/>
    <w:unhideWhenUsed/>
    <w:rsid w:val="00183294"/>
    <w:pPr>
      <w:ind w:left="1920" w:hanging="240"/>
    </w:pPr>
  </w:style>
  <w:style w:type="paragraph" w:styleId="Index7">
    <w:name w:val="index 7"/>
    <w:basedOn w:val="Normal"/>
    <w:next w:val="Normal"/>
    <w:autoRedefine/>
    <w:uiPriority w:val="99"/>
    <w:semiHidden/>
    <w:unhideWhenUsed/>
    <w:rsid w:val="00183294"/>
    <w:pPr>
      <w:ind w:left="1680" w:hanging="240"/>
    </w:pPr>
  </w:style>
  <w:style w:type="paragraph" w:styleId="Index6">
    <w:name w:val="index 6"/>
    <w:basedOn w:val="Normal"/>
    <w:next w:val="Normal"/>
    <w:autoRedefine/>
    <w:uiPriority w:val="99"/>
    <w:semiHidden/>
    <w:unhideWhenUsed/>
    <w:rsid w:val="00183294"/>
    <w:pPr>
      <w:ind w:left="1440" w:hanging="240"/>
    </w:pPr>
  </w:style>
  <w:style w:type="paragraph" w:styleId="Index5">
    <w:name w:val="index 5"/>
    <w:basedOn w:val="Normal"/>
    <w:next w:val="Normal"/>
    <w:autoRedefine/>
    <w:uiPriority w:val="99"/>
    <w:semiHidden/>
    <w:unhideWhenUsed/>
    <w:rsid w:val="00183294"/>
    <w:pPr>
      <w:ind w:left="1200" w:hanging="240"/>
    </w:pPr>
  </w:style>
  <w:style w:type="paragraph" w:styleId="Index4">
    <w:name w:val="index 4"/>
    <w:basedOn w:val="Normal"/>
    <w:next w:val="Normal"/>
    <w:autoRedefine/>
    <w:uiPriority w:val="99"/>
    <w:semiHidden/>
    <w:unhideWhenUsed/>
    <w:rsid w:val="00183294"/>
    <w:pPr>
      <w:ind w:left="960" w:hanging="240"/>
    </w:pPr>
  </w:style>
  <w:style w:type="paragraph" w:styleId="Index3">
    <w:name w:val="index 3"/>
    <w:basedOn w:val="Normal"/>
    <w:next w:val="Normal"/>
    <w:autoRedefine/>
    <w:uiPriority w:val="99"/>
    <w:semiHidden/>
    <w:unhideWhenUsed/>
    <w:rsid w:val="00183294"/>
    <w:pPr>
      <w:ind w:left="720" w:hanging="240"/>
    </w:pPr>
  </w:style>
  <w:style w:type="paragraph" w:styleId="Index2">
    <w:name w:val="index 2"/>
    <w:basedOn w:val="Normal"/>
    <w:next w:val="Normal"/>
    <w:autoRedefine/>
    <w:uiPriority w:val="99"/>
    <w:semiHidden/>
    <w:unhideWhenUsed/>
    <w:rsid w:val="00183294"/>
    <w:pPr>
      <w:ind w:left="480" w:hanging="240"/>
    </w:pPr>
  </w:style>
  <w:style w:type="character" w:styleId="UnresolvedMention">
    <w:name w:val="Unresolved Mention"/>
    <w:basedOn w:val="DefaultParagraphFont"/>
    <w:uiPriority w:val="99"/>
    <w:semiHidden/>
    <w:unhideWhenUsed/>
    <w:rsid w:val="00C9098E"/>
    <w:rPr>
      <w:color w:val="605E5C"/>
      <w:shd w:val="clear" w:color="auto" w:fill="E1DFDD"/>
    </w:rPr>
  </w:style>
  <w:style w:type="paragraph" w:customStyle="1" w:styleId="EurosunReferences">
    <w:name w:val="Eurosun_References"/>
    <w:basedOn w:val="SWCText"/>
    <w:link w:val="EurosunReferencesChar"/>
    <w:qFormat/>
    <w:rsid w:val="006B02B9"/>
    <w:pPr>
      <w:jc w:val="left"/>
    </w:pPr>
  </w:style>
  <w:style w:type="character" w:customStyle="1" w:styleId="EurosunReferencesChar">
    <w:name w:val="Eurosun_References Char"/>
    <w:basedOn w:val="SWCTextChar"/>
    <w:link w:val="EurosunReferences"/>
    <w:rsid w:val="006B02B9"/>
    <w:rPr>
      <w:color w:val="000000"/>
      <w:szCs w:val="22"/>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ieu.chaigneau@ise.fraunhofer.de" TargetMode="Externa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joern.nienborg@ise.fraunhofer.de" TargetMode="Externa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C29C273-D427-446E-9858-E910664BA6B5}"/>
      </w:docPartPr>
      <w:docPartBody>
        <w:p w:rsidR="00F31712" w:rsidRDefault="00083BFA">
          <w:r w:rsidRPr="00163522">
            <w:rPr>
              <w:rStyle w:val="PlaceholderText"/>
              <w:lang w:val="fr-FR" w:eastAsia="fr-FR"/>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FA"/>
    <w:rsid w:val="00083BFA"/>
    <w:rsid w:val="00122A7A"/>
    <w:rsid w:val="00241658"/>
    <w:rsid w:val="00612919"/>
    <w:rsid w:val="006908D2"/>
    <w:rsid w:val="00A77090"/>
    <w:rsid w:val="00DC76B8"/>
    <w:rsid w:val="00F3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BF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17419</Words>
  <Characters>99290</Characters>
  <Application>Microsoft Office Word</Application>
  <DocSecurity>0</DocSecurity>
  <Lines>827</Lines>
  <Paragraphs>232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116477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Chaigneau, Matthieu</cp:lastModifiedBy>
  <cp:revision>3</cp:revision>
  <cp:lastPrinted>2023-02-22T18:40:00Z</cp:lastPrinted>
  <dcterms:created xsi:type="dcterms:W3CDTF">2026-08-20T11:49:00Z</dcterms:created>
  <dcterms:modified xsi:type="dcterms:W3CDTF">2026-08-20T11:51:00Z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itaviDocumentProperty_7">
    <vt:lpwstr>paper_cisbat_dyn_emissions_HPs</vt:lpwstr>
  </property>
  <property fmtid="{D5CDD505-2E9C-101B-9397-08002B2CF9AE}" pid="4" name="CitaviDocumentProperty_0">
    <vt:lpwstr>e8ceae4f-6963-4f46-bcdd-671333c32e44</vt:lpwstr>
  </property>
  <property fmtid="{D5CDD505-2E9C-101B-9397-08002B2CF9AE}" pid="5" name="CitaviDocumentProperty_8">
    <vt:lpwstr>C:\Users\mat69417\Projects\EffizientesHeizen_11-00494-2350\4_Externe_Berichte_Veroeffentlichungen\Quellen\paper_cisbat_dyn_emissions_HPs.ctv6</vt:lpwstr>
  </property>
  <property fmtid="{D5CDD505-2E9C-101B-9397-08002B2CF9AE}" pid="6" name="CitaviDocumentProperty_6">
    <vt:lpwstr>True</vt:lpwstr>
  </property>
  <property fmtid="{D5CDD505-2E9C-101B-9397-08002B2CF9AE}" pid="7" name="CitaviDocumentProperty_25">
    <vt:lpwstr>True</vt:lpwstr>
  </property>
  <property fmtid="{D5CDD505-2E9C-101B-9397-08002B2CF9AE}" pid="8" name="CitaviDocumentProperty_11">
    <vt:lpwstr>Heading 1</vt:lpwstr>
  </property>
  <property fmtid="{D5CDD505-2E9C-101B-9397-08002B2CF9AE}" pid="9" name="CitaviDocumentProperty_12">
    <vt:lpwstr>Normal</vt:lpwstr>
  </property>
  <property fmtid="{D5CDD505-2E9C-101B-9397-08002B2CF9AE}" pid="10" name="CitaviDocumentProperty_16">
    <vt:lpwstr>Subtitle</vt:lpwstr>
  </property>
  <property fmtid="{D5CDD505-2E9C-101B-9397-08002B2CF9AE}" pid="11" name="CitaviDocumentProperty_13">
    <vt:lpwstr>Normal</vt:lpwstr>
  </property>
  <property fmtid="{D5CDD505-2E9C-101B-9397-08002B2CF9AE}" pid="12" name="CitaviDocumentProperty_15">
    <vt:lpwstr>Normal</vt:lpwstr>
  </property>
  <property fmtid="{D5CDD505-2E9C-101B-9397-08002B2CF9AE}" pid="13" name="CitaviDocumentProperty_17">
    <vt:lpwstr>Normal</vt:lpwstr>
  </property>
  <property fmtid="{D5CDD505-2E9C-101B-9397-08002B2CF9AE}" pid="14" name="CitaviDocumentProperty_21">
    <vt:lpwstr>True</vt:lpwstr>
  </property>
  <property fmtid="{D5CDD505-2E9C-101B-9397-08002B2CF9AE}" pid="15" name="CitaviDocumentProperty_1">
    <vt:lpwstr>6.14.0.0</vt:lpwstr>
  </property>
</Properties>
</file>