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77C52B5B" w:rsidR="00D32EF0" w:rsidRPr="00834738" w:rsidRDefault="008C3F64" w:rsidP="00B32703">
      <w:pPr>
        <w:pStyle w:val="SWCTitle"/>
        <w:rPr>
          <w:caps/>
          <w:sz w:val="28"/>
          <w:szCs w:val="28"/>
        </w:rPr>
      </w:pPr>
      <w:r w:rsidRPr="00834738">
        <w:rPr>
          <w:caps/>
          <w:sz w:val="28"/>
          <w:szCs w:val="28"/>
        </w:rPr>
        <w:t>Heat pumps in districts – workflow guidelines</w:t>
      </w:r>
    </w:p>
    <w:p w14:paraId="78BF3E48" w14:textId="0F207963" w:rsidR="00834738" w:rsidRPr="009E499A" w:rsidRDefault="005740EA" w:rsidP="00834738">
      <w:pPr>
        <w:pStyle w:val="SWCTitle"/>
        <w:spacing w:before="0" w:after="0"/>
        <w:jc w:val="left"/>
        <w:rPr>
          <w:rFonts w:ascii="Times New Roman" w:hAnsi="Times New Roman"/>
          <w:b w:val="0"/>
          <w:sz w:val="20"/>
          <w:szCs w:val="20"/>
        </w:rPr>
      </w:pPr>
      <w:r w:rsidRPr="009E499A">
        <w:rPr>
          <w:rFonts w:ascii="Times New Roman" w:hAnsi="Times New Roman"/>
          <w:b w:val="0"/>
          <w:sz w:val="20"/>
          <w:szCs w:val="20"/>
        </w:rPr>
        <w:t>Franziska Bockelmann</w:t>
      </w:r>
      <w:r w:rsidR="00834738" w:rsidRPr="009E499A">
        <w:rPr>
          <w:rFonts w:ascii="Times New Roman" w:hAnsi="Times New Roman"/>
          <w:b w:val="0"/>
          <w:sz w:val="20"/>
          <w:szCs w:val="20"/>
        </w:rPr>
        <w:t xml:space="preserve"> (corresponding author)</w:t>
      </w:r>
      <w:r w:rsidRPr="009E499A">
        <w:rPr>
          <w:rFonts w:ascii="Times New Roman" w:hAnsi="Times New Roman"/>
          <w:b w:val="0"/>
          <w:sz w:val="20"/>
          <w:szCs w:val="20"/>
          <w:vertAlign w:val="superscript"/>
        </w:rPr>
        <w:t>1</w:t>
      </w:r>
      <w:r w:rsidR="00834738" w:rsidRPr="009E499A">
        <w:rPr>
          <w:rFonts w:ascii="Times New Roman" w:hAnsi="Times New Roman"/>
          <w:b w:val="0"/>
          <w:sz w:val="20"/>
          <w:szCs w:val="20"/>
        </w:rPr>
        <w:t xml:space="preserve">, </w:t>
      </w:r>
      <w:r w:rsidRPr="009E499A">
        <w:rPr>
          <w:rFonts w:ascii="Times New Roman" w:hAnsi="Times New Roman"/>
          <w:b w:val="0"/>
          <w:sz w:val="20"/>
          <w:szCs w:val="20"/>
        </w:rPr>
        <w:t>Fabian Ochs</w:t>
      </w:r>
      <w:r w:rsidRPr="009E499A">
        <w:rPr>
          <w:rFonts w:ascii="Times New Roman" w:hAnsi="Times New Roman"/>
          <w:b w:val="0"/>
          <w:sz w:val="20"/>
          <w:szCs w:val="20"/>
          <w:vertAlign w:val="superscript"/>
        </w:rPr>
        <w:t>2</w:t>
      </w:r>
      <w:r w:rsidR="00834738" w:rsidRPr="009E499A">
        <w:rPr>
          <w:rFonts w:ascii="Times New Roman" w:hAnsi="Times New Roman"/>
          <w:b w:val="0"/>
          <w:sz w:val="20"/>
          <w:szCs w:val="20"/>
        </w:rPr>
        <w:t xml:space="preserve">, </w:t>
      </w:r>
      <w:r w:rsidRPr="009E499A">
        <w:rPr>
          <w:rFonts w:ascii="Times New Roman" w:hAnsi="Times New Roman"/>
          <w:b w:val="0"/>
          <w:sz w:val="20"/>
          <w:szCs w:val="20"/>
        </w:rPr>
        <w:t>Carsten Wemhöner</w:t>
      </w:r>
      <w:r w:rsidR="00E62555" w:rsidRPr="009E499A">
        <w:rPr>
          <w:rFonts w:ascii="Times New Roman" w:hAnsi="Times New Roman"/>
          <w:b w:val="0"/>
          <w:sz w:val="20"/>
          <w:szCs w:val="20"/>
          <w:vertAlign w:val="superscript"/>
        </w:rPr>
        <w:t>3</w:t>
      </w:r>
    </w:p>
    <w:p w14:paraId="21FC6919" w14:textId="19ADA2D6" w:rsidR="00E62555" w:rsidRPr="009E499A" w:rsidRDefault="005740EA" w:rsidP="00E62555">
      <w:pPr>
        <w:pStyle w:val="SWCTitle"/>
        <w:spacing w:before="0" w:after="0"/>
        <w:jc w:val="left"/>
        <w:rPr>
          <w:rFonts w:ascii="Times New Roman" w:hAnsi="Times New Roman"/>
          <w:b w:val="0"/>
          <w:sz w:val="20"/>
          <w:szCs w:val="22"/>
        </w:rPr>
      </w:pPr>
      <w:r w:rsidRPr="009E499A">
        <w:rPr>
          <w:rFonts w:ascii="Times New Roman" w:hAnsi="Times New Roman"/>
          <w:b w:val="0"/>
          <w:sz w:val="20"/>
          <w:szCs w:val="22"/>
          <w:vertAlign w:val="superscript"/>
        </w:rPr>
        <w:t>1</w:t>
      </w:r>
      <w:r w:rsidRPr="009E499A">
        <w:rPr>
          <w:rFonts w:ascii="Times New Roman" w:hAnsi="Times New Roman"/>
          <w:b w:val="0"/>
          <w:sz w:val="20"/>
          <w:szCs w:val="22"/>
        </w:rPr>
        <w:t xml:space="preserve"> </w:t>
      </w:r>
      <w:r w:rsidR="00E62555" w:rsidRPr="009E499A">
        <w:rPr>
          <w:rFonts w:ascii="Times New Roman" w:hAnsi="Times New Roman"/>
          <w:b w:val="0"/>
          <w:sz w:val="20"/>
          <w:szCs w:val="22"/>
        </w:rPr>
        <w:t>Steinbeis-Innovationszentrum (siz) energieplus, Germany</w:t>
      </w:r>
    </w:p>
    <w:p w14:paraId="2B536CB4" w14:textId="3EFA35C4" w:rsidR="001A775B" w:rsidRPr="00E62555" w:rsidRDefault="00E62555" w:rsidP="00E62555">
      <w:pPr>
        <w:pStyle w:val="SWCTitle"/>
        <w:spacing w:before="0" w:after="0"/>
        <w:jc w:val="left"/>
        <w:rPr>
          <w:rFonts w:ascii="Times New Roman" w:hAnsi="Times New Roman"/>
          <w:b w:val="0"/>
          <w:sz w:val="20"/>
          <w:szCs w:val="22"/>
          <w:lang w:val="de-DE"/>
        </w:rPr>
      </w:pPr>
      <w:r>
        <w:rPr>
          <w:rFonts w:ascii="Times New Roman" w:hAnsi="Times New Roman"/>
          <w:b w:val="0"/>
          <w:sz w:val="20"/>
          <w:szCs w:val="22"/>
          <w:lang w:val="de-DE"/>
        </w:rPr>
        <w:t>f</w:t>
      </w:r>
      <w:r w:rsidRPr="00E62555">
        <w:rPr>
          <w:rFonts w:ascii="Times New Roman" w:hAnsi="Times New Roman"/>
          <w:b w:val="0"/>
          <w:sz w:val="20"/>
          <w:szCs w:val="22"/>
          <w:lang w:val="de-DE"/>
        </w:rPr>
        <w:t>ranziska.bockelmann@siz-energieplus.de</w:t>
      </w:r>
    </w:p>
    <w:p w14:paraId="722FFD52" w14:textId="3795089B" w:rsidR="00E62555" w:rsidRPr="00E62555" w:rsidRDefault="005740EA" w:rsidP="00E62555">
      <w:pPr>
        <w:pStyle w:val="SWCTitle"/>
        <w:spacing w:before="0" w:after="0"/>
        <w:jc w:val="left"/>
        <w:rPr>
          <w:rFonts w:ascii="Times New Roman" w:hAnsi="Times New Roman"/>
          <w:b w:val="0"/>
          <w:sz w:val="20"/>
          <w:szCs w:val="22"/>
          <w:lang w:val="de-DE"/>
        </w:rPr>
      </w:pPr>
      <w:r w:rsidRPr="00E62555">
        <w:rPr>
          <w:rFonts w:ascii="Times New Roman" w:hAnsi="Times New Roman"/>
          <w:b w:val="0"/>
          <w:sz w:val="20"/>
          <w:szCs w:val="22"/>
          <w:vertAlign w:val="superscript"/>
          <w:lang w:val="de-DE"/>
        </w:rPr>
        <w:t>2</w:t>
      </w:r>
      <w:r w:rsidRPr="00E62555">
        <w:rPr>
          <w:rFonts w:ascii="Times New Roman" w:hAnsi="Times New Roman"/>
          <w:b w:val="0"/>
          <w:sz w:val="20"/>
          <w:szCs w:val="22"/>
          <w:lang w:val="de-DE"/>
        </w:rPr>
        <w:t xml:space="preserve"> </w:t>
      </w:r>
      <w:r w:rsidR="00E62555" w:rsidRPr="00E62555">
        <w:rPr>
          <w:rFonts w:ascii="Times New Roman" w:hAnsi="Times New Roman"/>
          <w:b w:val="0"/>
          <w:sz w:val="20"/>
          <w:szCs w:val="22"/>
          <w:lang w:val="de-DE"/>
        </w:rPr>
        <w:t xml:space="preserve">Universität Innsbruck, Institut für Konstruktion und Materialwissenschaften, Arbeitsbereich für Energieeffizientes Bauen, </w:t>
      </w:r>
      <w:r w:rsidR="00E62555">
        <w:rPr>
          <w:rFonts w:ascii="Times New Roman" w:hAnsi="Times New Roman"/>
          <w:b w:val="0"/>
          <w:sz w:val="20"/>
          <w:szCs w:val="22"/>
          <w:lang w:val="de-DE"/>
        </w:rPr>
        <w:t>Austria</w:t>
      </w:r>
    </w:p>
    <w:p w14:paraId="407ED86F" w14:textId="361627E7" w:rsidR="005740EA" w:rsidRPr="00E62555" w:rsidRDefault="00E62555" w:rsidP="00E62555">
      <w:pPr>
        <w:pStyle w:val="SWCTitle"/>
        <w:spacing w:before="0" w:after="0"/>
        <w:jc w:val="left"/>
        <w:rPr>
          <w:rFonts w:ascii="Times New Roman" w:hAnsi="Times New Roman"/>
          <w:b w:val="0"/>
          <w:sz w:val="20"/>
          <w:szCs w:val="22"/>
          <w:lang w:val="de-DE"/>
        </w:rPr>
      </w:pPr>
      <w:r w:rsidRPr="00E62555">
        <w:rPr>
          <w:rFonts w:ascii="Times New Roman" w:hAnsi="Times New Roman"/>
          <w:b w:val="0"/>
          <w:sz w:val="20"/>
          <w:szCs w:val="22"/>
          <w:lang w:val="de-DE"/>
        </w:rPr>
        <w:t>fabian.ochs@uibk.ac.at</w:t>
      </w:r>
    </w:p>
    <w:p w14:paraId="11C116CA" w14:textId="453C5AEF" w:rsidR="00E62555" w:rsidRPr="00E62555" w:rsidRDefault="005740EA" w:rsidP="00E62555">
      <w:pPr>
        <w:pStyle w:val="SWCTitle"/>
        <w:spacing w:before="0" w:after="0"/>
        <w:jc w:val="left"/>
        <w:rPr>
          <w:rFonts w:ascii="Times New Roman" w:hAnsi="Times New Roman"/>
          <w:b w:val="0"/>
          <w:sz w:val="20"/>
          <w:szCs w:val="22"/>
          <w:lang w:val="de-DE"/>
        </w:rPr>
      </w:pPr>
      <w:r w:rsidRPr="00E62555">
        <w:rPr>
          <w:rFonts w:ascii="Times New Roman" w:hAnsi="Times New Roman"/>
          <w:b w:val="0"/>
          <w:sz w:val="20"/>
          <w:szCs w:val="22"/>
          <w:vertAlign w:val="superscript"/>
          <w:lang w:val="de-DE"/>
        </w:rPr>
        <w:t>3</w:t>
      </w:r>
      <w:r w:rsidRPr="00E62555">
        <w:rPr>
          <w:rFonts w:ascii="Times New Roman" w:hAnsi="Times New Roman"/>
          <w:b w:val="0"/>
          <w:sz w:val="20"/>
          <w:szCs w:val="22"/>
          <w:lang w:val="de-DE"/>
        </w:rPr>
        <w:t xml:space="preserve"> </w:t>
      </w:r>
      <w:r w:rsidR="00E62555" w:rsidRPr="00E62555">
        <w:rPr>
          <w:rFonts w:ascii="Times New Roman" w:hAnsi="Times New Roman"/>
          <w:b w:val="0"/>
          <w:sz w:val="20"/>
          <w:szCs w:val="22"/>
          <w:lang w:val="de-DE"/>
        </w:rPr>
        <w:t>OST – Ostschweizer Fachhochschule, IET - Institut f</w:t>
      </w:r>
      <w:r w:rsidR="00E62555">
        <w:rPr>
          <w:rFonts w:ascii="Times New Roman" w:hAnsi="Times New Roman"/>
          <w:b w:val="0"/>
          <w:sz w:val="20"/>
          <w:szCs w:val="22"/>
          <w:lang w:val="de-DE"/>
        </w:rPr>
        <w:t>o</w:t>
      </w:r>
      <w:r w:rsidR="00E62555" w:rsidRPr="00E62555">
        <w:rPr>
          <w:rFonts w:ascii="Times New Roman" w:hAnsi="Times New Roman"/>
          <w:b w:val="0"/>
          <w:sz w:val="20"/>
          <w:szCs w:val="22"/>
          <w:lang w:val="de-DE"/>
        </w:rPr>
        <w:t xml:space="preserve">r Energietechnik, Rapperswil, </w:t>
      </w:r>
      <w:proofErr w:type="spellStart"/>
      <w:r w:rsidR="003B53AE" w:rsidRPr="003B53AE">
        <w:rPr>
          <w:rFonts w:ascii="Times New Roman" w:hAnsi="Times New Roman"/>
          <w:b w:val="0"/>
          <w:sz w:val="20"/>
          <w:szCs w:val="22"/>
          <w:lang w:val="de-DE"/>
        </w:rPr>
        <w:t>Switzerland</w:t>
      </w:r>
      <w:proofErr w:type="spellEnd"/>
      <w:r w:rsidR="00E62555" w:rsidRPr="00E62555">
        <w:rPr>
          <w:rFonts w:ascii="Times New Roman" w:hAnsi="Times New Roman"/>
          <w:b w:val="0"/>
          <w:sz w:val="20"/>
          <w:szCs w:val="22"/>
          <w:lang w:val="de-DE"/>
        </w:rPr>
        <w:t xml:space="preserve"> </w:t>
      </w:r>
    </w:p>
    <w:p w14:paraId="01517A7E" w14:textId="37940193" w:rsidR="005740EA" w:rsidRPr="00FD2F94" w:rsidRDefault="00E62555" w:rsidP="00E62555">
      <w:pPr>
        <w:pStyle w:val="SWCTitle"/>
        <w:spacing w:before="0" w:after="0"/>
        <w:jc w:val="left"/>
        <w:rPr>
          <w:rFonts w:ascii="Times New Roman" w:hAnsi="Times New Roman"/>
          <w:b w:val="0"/>
          <w:sz w:val="20"/>
          <w:szCs w:val="22"/>
        </w:rPr>
      </w:pPr>
      <w:r w:rsidRPr="00FD2F94">
        <w:rPr>
          <w:rFonts w:ascii="Times New Roman" w:hAnsi="Times New Roman"/>
          <w:b w:val="0"/>
          <w:sz w:val="20"/>
          <w:szCs w:val="22"/>
        </w:rPr>
        <w:t>carsten.wemhoener@ost.ch</w:t>
      </w:r>
    </w:p>
    <w:p w14:paraId="3A7DF4B5" w14:textId="77777777" w:rsidR="001A775B" w:rsidRDefault="001A775B" w:rsidP="001A775B">
      <w:pPr>
        <w:pStyle w:val="SWCSummary"/>
      </w:pPr>
      <w:r>
        <w:t>Summary</w:t>
      </w:r>
    </w:p>
    <w:p w14:paraId="1BD313D8" w14:textId="5E3293A0" w:rsidR="005A6108" w:rsidRPr="005A6108" w:rsidRDefault="005A6108" w:rsidP="00834738">
      <w:pPr>
        <w:pStyle w:val="SWCText"/>
        <w:pBdr>
          <w:bottom w:val="single" w:sz="6" w:space="1" w:color="auto"/>
        </w:pBdr>
      </w:pPr>
      <w:r w:rsidRPr="005A6108">
        <w:t xml:space="preserve">Positive Energy Districts are a key </w:t>
      </w:r>
      <w:r w:rsidR="008063D5">
        <w:t xml:space="preserve">concepts </w:t>
      </w:r>
      <w:r w:rsidRPr="005A6108">
        <w:t xml:space="preserve">of the urban energy transition and require both technological innovations and integrated planning processes. In order to identify suitable supply concepts, IEA HPT </w:t>
      </w:r>
      <w:r w:rsidR="005A1CF3">
        <w:t>Project</w:t>
      </w:r>
      <w:r w:rsidRPr="005A6108">
        <w:t xml:space="preserve"> 61 is investigating different </w:t>
      </w:r>
      <w:r w:rsidR="006640BF">
        <w:t xml:space="preserve">grid </w:t>
      </w:r>
      <w:r w:rsidRPr="005A6108">
        <w:t>topologies for building clusters</w:t>
      </w:r>
      <w:r>
        <w:t xml:space="preserve"> with </w:t>
      </w:r>
      <w:r w:rsidR="006640BF" w:rsidRPr="005A6108">
        <w:t>heat pump</w:t>
      </w:r>
      <w:r w:rsidR="006640BF">
        <w:t>s</w:t>
      </w:r>
      <w:r w:rsidRPr="005A6108">
        <w:t xml:space="preserve">. The techno-economic analyses compare centralized, semi-centralized and decentralized </w:t>
      </w:r>
      <w:r>
        <w:t xml:space="preserve">solutions </w:t>
      </w:r>
      <w:r w:rsidRPr="005A6108">
        <w:t xml:space="preserve">for space heating and </w:t>
      </w:r>
      <w:r>
        <w:t xml:space="preserve">domestic </w:t>
      </w:r>
      <w:r w:rsidRPr="005A6108">
        <w:t>hot water.</w:t>
      </w:r>
      <w:r>
        <w:t xml:space="preserve"> </w:t>
      </w:r>
      <w:r w:rsidRPr="005A6108">
        <w:t xml:space="preserve">The results show that centralized solutions benefit from access to efficient heat sources but cause higher grid investments and heat losses. Decentralized approaches offer </w:t>
      </w:r>
      <w:r w:rsidR="00E5569D">
        <w:t>higher</w:t>
      </w:r>
      <w:r w:rsidR="00E5569D" w:rsidRPr="005A6108">
        <w:t xml:space="preserve"> flexibility</w:t>
      </w:r>
      <w:r w:rsidRPr="005A6108">
        <w:t xml:space="preserve"> and lower infrastructure costs but are heavily dependent on available local sources.</w:t>
      </w:r>
      <w:r w:rsidR="00163706">
        <w:t xml:space="preserve"> </w:t>
      </w:r>
      <w:r w:rsidRPr="005A6108">
        <w:t xml:space="preserve">The </w:t>
      </w:r>
      <w:r w:rsidR="008861EB" w:rsidRPr="005A6108">
        <w:t xml:space="preserve">developed </w:t>
      </w:r>
      <w:r w:rsidRPr="005A6108">
        <w:t xml:space="preserve">planning workflow supports systematic, cost-optimized decision-making and provides a basis for future integrated planning methods in PEDs. </w:t>
      </w:r>
      <w:r w:rsidR="00163706">
        <w:t>It</w:t>
      </w:r>
      <w:r w:rsidRPr="005A6108">
        <w:t xml:space="preserve"> provides important guidance for choosing between centralized, decentralized, and hybrid heat pump concepts.</w:t>
      </w:r>
    </w:p>
    <w:p w14:paraId="5AB3A3E7" w14:textId="18253214" w:rsidR="00DB52E7" w:rsidRPr="00314EAB" w:rsidRDefault="00DB52E7" w:rsidP="001A775B">
      <w:pPr>
        <w:pStyle w:val="SWCText"/>
        <w:pBdr>
          <w:bottom w:val="single" w:sz="6" w:space="1" w:color="auto"/>
        </w:pBdr>
        <w:rPr>
          <w:i/>
          <w:iCs/>
        </w:rPr>
      </w:pPr>
      <w:r w:rsidRPr="00314EAB">
        <w:rPr>
          <w:i/>
          <w:iCs/>
        </w:rPr>
        <w:t xml:space="preserve">Keywords: </w:t>
      </w:r>
      <w:r w:rsidR="00506B5D" w:rsidRPr="00314EAB">
        <w:rPr>
          <w:i/>
          <w:iCs/>
        </w:rPr>
        <w:t>heat pump, district, workflow, guidelines, costs, energy demand</w:t>
      </w:r>
    </w:p>
    <w:p w14:paraId="01458796" w14:textId="70495448" w:rsidR="00FA4DF8" w:rsidRPr="00314EAB" w:rsidRDefault="002C089D" w:rsidP="001A775B">
      <w:pPr>
        <w:pStyle w:val="SWCText"/>
        <w:pBdr>
          <w:bottom w:val="single" w:sz="6" w:space="1" w:color="auto"/>
        </w:pBdr>
        <w:rPr>
          <w:i/>
          <w:iCs/>
        </w:rPr>
      </w:pPr>
      <w:r w:rsidRPr="00314EAB">
        <w:rPr>
          <w:i/>
          <w:iCs/>
        </w:rPr>
        <w:t>Field of application for the findings:</w:t>
      </w:r>
      <w:r w:rsidR="00506B5D" w:rsidRPr="00314EAB">
        <w:rPr>
          <w:i/>
          <w:iCs/>
        </w:rPr>
        <w:t xml:space="preserve"> design of energy concepts</w:t>
      </w:r>
      <w:r w:rsidR="00531252">
        <w:rPr>
          <w:i/>
          <w:iCs/>
        </w:rPr>
        <w:t>, heat pumps in districts, supply grids</w:t>
      </w:r>
    </w:p>
    <w:p w14:paraId="3D4CE387" w14:textId="18C9A239" w:rsidR="00506B5D" w:rsidRPr="00506B5D" w:rsidRDefault="00CC3B0C" w:rsidP="001A775B">
      <w:pPr>
        <w:pStyle w:val="SWCText"/>
        <w:pBdr>
          <w:bottom w:val="single" w:sz="6" w:space="1" w:color="auto"/>
        </w:pBdr>
        <w:rPr>
          <w:i/>
          <w:iCs/>
        </w:rPr>
      </w:pPr>
      <w:r w:rsidRPr="00314EAB">
        <w:rPr>
          <w:i/>
          <w:iCs/>
        </w:rPr>
        <w:t>Addressed audience:</w:t>
      </w:r>
      <w:r w:rsidR="00506B5D">
        <w:rPr>
          <w:i/>
          <w:iCs/>
        </w:rPr>
        <w:t xml:space="preserve"> owner, </w:t>
      </w:r>
      <w:r w:rsidR="00506B5D" w:rsidRPr="00506B5D">
        <w:rPr>
          <w:i/>
          <w:iCs/>
        </w:rPr>
        <w:t>municipality</w:t>
      </w:r>
      <w:r w:rsidR="00506B5D">
        <w:rPr>
          <w:i/>
          <w:iCs/>
        </w:rPr>
        <w:t>, designer and plan</w:t>
      </w:r>
      <w:r w:rsidR="006640BF">
        <w:rPr>
          <w:i/>
          <w:iCs/>
        </w:rPr>
        <w:t>n</w:t>
      </w:r>
      <w:r w:rsidR="00506B5D">
        <w:rPr>
          <w:i/>
          <w:iCs/>
        </w:rPr>
        <w:t>er, research and development</w:t>
      </w:r>
    </w:p>
    <w:p w14:paraId="51CD8377" w14:textId="52FDCBE7" w:rsidR="00D32EF0" w:rsidRPr="004C4EE9" w:rsidRDefault="00D32EF0" w:rsidP="004C4EE9">
      <w:pPr>
        <w:pStyle w:val="SWCHeading1"/>
      </w:pPr>
      <w:r w:rsidRPr="004C4EE9">
        <w:t>Introduction</w:t>
      </w:r>
    </w:p>
    <w:p w14:paraId="0AFDC565" w14:textId="4FFF722B" w:rsidR="008E18FA" w:rsidRDefault="008E18FA" w:rsidP="008E18FA">
      <w:pPr>
        <w:pStyle w:val="SWCText"/>
      </w:pPr>
      <w:r>
        <w:t xml:space="preserve">With the goal to support the energy transition in cities Positive Energy District (PED) can serve as a vision and support to improve technologies and the planning process. </w:t>
      </w:r>
      <w:r w:rsidR="00FD2F94">
        <w:t>(</w:t>
      </w:r>
      <w:r w:rsidR="00FD2F94" w:rsidRPr="006640BF">
        <w:t>Hedman, et al., 20</w:t>
      </w:r>
      <w:r w:rsidR="00FD2F94" w:rsidRPr="006640BF">
        <w:rPr>
          <w:color w:val="auto"/>
        </w:rPr>
        <w:t xml:space="preserve">21; </w:t>
      </w:r>
      <w:r w:rsidR="00FD2F94" w:rsidRPr="00FD2F94">
        <w:rPr>
          <w:color w:val="auto"/>
        </w:rPr>
        <w:t>Lindholm, et al., 2021</w:t>
      </w:r>
      <w:r w:rsidR="00FD2F94" w:rsidRPr="006640BF">
        <w:rPr>
          <w:color w:val="auto"/>
        </w:rPr>
        <w:t xml:space="preserve">) </w:t>
      </w:r>
    </w:p>
    <w:p w14:paraId="448A5FAD" w14:textId="39CEE66B" w:rsidR="008E18FA" w:rsidRDefault="008E18FA" w:rsidP="008E18FA">
      <w:pPr>
        <w:pStyle w:val="SWCText"/>
      </w:pPr>
      <w:r>
        <w:t xml:space="preserve">IEA HPT </w:t>
      </w:r>
      <w:r w:rsidR="005A1CF3">
        <w:t>Project</w:t>
      </w:r>
      <w:r>
        <w:t xml:space="preserve"> 61 entitled “Heat pump in Positive Energy Districts” investigates heat pump integration in high performance districts by simulation and monitoring. A comprehensive analysis of system design for </w:t>
      </w:r>
      <w:r w:rsidR="005A1CF3">
        <w:t>district</w:t>
      </w:r>
      <w:r>
        <w:t xml:space="preserve">s with a focus on the integration of heat pumps (HP) is being implemented. The aim is to achieve an efficient and economical supply concept through innovative technologies, planning tools, and efficient building concepts. In addition, the planning of HP systems for PEDs and for existing or highly densified </w:t>
      </w:r>
      <w:r w:rsidR="005A1CF3">
        <w:t>district</w:t>
      </w:r>
      <w:r>
        <w:t>s is much more complex due to the significantly greater design freedom. Different energy needs on different temperature levels such as space heating (SH), domestic hot water (DHW) and space cooling have to be considered. Depending on the load profile, which is a function of the type of building (residential, non-residential) and the climate and the HP source availability (on site or nearby) different HP system design and integration options on district level are available.</w:t>
      </w:r>
    </w:p>
    <w:p w14:paraId="54881424" w14:textId="1F388215" w:rsidR="00163706" w:rsidRDefault="008E18FA" w:rsidP="008E18FA">
      <w:pPr>
        <w:pStyle w:val="SWCText"/>
      </w:pPr>
      <w:r>
        <w:t xml:space="preserve">A cost-optimized planning workflow is being developed to facilitate the decision-making process for the appropriate system solution. While decentralized HPs generally offer the best system performance, centralized systems are often more cost-effective in terms of investment. Booster HPs at the decentralized level enable lower distribution temperatures and are particularly interesting for heterogeneous building structures. Case studies from Germany, Austria, and Switzerland demonstrate the applicability of the approach. </w:t>
      </w:r>
      <w:r w:rsidR="006A0333">
        <w:t xml:space="preserve">(Figure 1) </w:t>
      </w:r>
      <w:r>
        <w:t xml:space="preserve">The </w:t>
      </w:r>
      <w:r>
        <w:lastRenderedPageBreak/>
        <w:t xml:space="preserve">aim is to create a basis for integrated, cost-optimized planning of supply concepts for </w:t>
      </w:r>
      <w:r w:rsidR="005A1CF3">
        <w:t>districts</w:t>
      </w:r>
      <w:r>
        <w:t xml:space="preserve"> in order to efficiently advance the energy transition in urban areas. The results thus contribute to sustainable </w:t>
      </w:r>
      <w:r w:rsidR="005A1CF3">
        <w:t>districts</w:t>
      </w:r>
      <w:r>
        <w:t xml:space="preserve"> development and the optimization of heat pump systems in the context of the</w:t>
      </w:r>
      <w:r w:rsidR="006640BF">
        <w:t xml:space="preserve"> acceleration of the</w:t>
      </w:r>
      <w:r>
        <w:t xml:space="preserve"> energy transition.</w:t>
      </w:r>
    </w:p>
    <w:p w14:paraId="73895AAD" w14:textId="0C7BCC7C" w:rsidR="003A600F" w:rsidRPr="003A600F" w:rsidRDefault="003A600F" w:rsidP="009C5932">
      <w:pPr>
        <w:pStyle w:val="SWCText"/>
        <w:spacing w:after="0"/>
      </w:pPr>
      <w:r w:rsidRPr="003A600F">
        <w:t>A state-of-the-art analysis of certified high-performance districts in Germany</w:t>
      </w:r>
      <w:r w:rsidR="009C5932">
        <w:t>, Austria</w:t>
      </w:r>
      <w:r w:rsidRPr="003A600F">
        <w:t xml:space="preserve"> and Switzerland and the 61 PED documented in the “100 PED in Europe until 2025” </w:t>
      </w:r>
      <w:r w:rsidR="009C5932">
        <w:t>(JPI UE, 2020)</w:t>
      </w:r>
      <w:r w:rsidRPr="003A600F">
        <w:t xml:space="preserve"> approved that </w:t>
      </w:r>
      <w:r w:rsidR="009C5932">
        <w:t>heat pumps</w:t>
      </w:r>
      <w:r w:rsidRPr="003A600F">
        <w:t xml:space="preserve"> are the main building technologies together with photovoltaics on-site electricity production, followed by and partly integrated with district heating and combined heat and power </w:t>
      </w:r>
      <w:r w:rsidR="009C5932" w:rsidRPr="00FD2F94">
        <w:rPr>
          <w:color w:val="auto"/>
        </w:rPr>
        <w:t>(</w:t>
      </w:r>
      <w:r w:rsidR="009C5932">
        <w:rPr>
          <w:color w:val="auto"/>
        </w:rPr>
        <w:t>Wemhöner</w:t>
      </w:r>
      <w:r w:rsidR="009C5932" w:rsidRPr="00FD2F94">
        <w:t>, et al., 2024</w:t>
      </w:r>
      <w:r w:rsidR="009C5932">
        <w:t>)</w:t>
      </w:r>
      <w:r w:rsidRPr="003A600F">
        <w:t xml:space="preserve">. Based on the state-of-the-art generic system concepts for the </w:t>
      </w:r>
      <w:r w:rsidR="009C5932">
        <w:t>heat pump</w:t>
      </w:r>
      <w:r w:rsidRPr="003A600F">
        <w:t xml:space="preserve"> integration options are elaborated and documented. </w:t>
      </w:r>
      <w:r w:rsidR="009C5932" w:rsidRPr="003A600F">
        <w:t>Favorable</w:t>
      </w:r>
      <w:r w:rsidRPr="003A600F">
        <w:t xml:space="preserve"> systems are evaluated in more detail as techno-economic analysis by simulations, which are also related to monitoring results of real</w:t>
      </w:r>
      <w:r w:rsidR="009C5932">
        <w:t xml:space="preserve"> heat pump</w:t>
      </w:r>
      <w:r w:rsidRPr="003A600F">
        <w:t xml:space="preserve"> installations in clusters of buildings and districts. By the monitoring results validation of the system models can be performed, while simulation results enable optimization potentials to be identified and implemented in the monitoring plants.</w:t>
      </w:r>
    </w:p>
    <w:p w14:paraId="05E72FC7" w14:textId="77777777" w:rsidR="003A600F" w:rsidRDefault="003A600F" w:rsidP="003A600F">
      <w:pPr>
        <w:pStyle w:val="SWCText"/>
      </w:pPr>
      <w:r w:rsidRPr="003A600F">
        <w:t xml:space="preserve">Integration options have been clustered in five top-level categories depicted in Figure 1, from the individual building level to the entirely central integration in a heating and cooling </w:t>
      </w:r>
      <w:proofErr w:type="spellStart"/>
      <w:r w:rsidRPr="003A600F">
        <w:t>centre</w:t>
      </w:r>
      <w:proofErr w:type="spellEnd"/>
      <w:r w:rsidRPr="003A600F">
        <w:t xml:space="preserve"> providing the building services by a thermal grid. Respective options are also linked to monitoring systems which deliver practical measurements for the evaluation. </w:t>
      </w:r>
    </w:p>
    <w:p w14:paraId="32CCAECB" w14:textId="77777777" w:rsidR="00396D86" w:rsidRDefault="00396D86" w:rsidP="00396D86">
      <w:pPr>
        <w:pStyle w:val="SWCTableFigureCaption"/>
      </w:pPr>
    </w:p>
    <w:p w14:paraId="5966CD11" w14:textId="112099D2" w:rsidR="00C31849" w:rsidRDefault="00C74680" w:rsidP="003A600F">
      <w:pPr>
        <w:pStyle w:val="Firstparagraphinsection"/>
        <w:jc w:val="center"/>
        <w:rPr>
          <w:lang w:val="en-GB"/>
        </w:rPr>
      </w:pPr>
      <w:r>
        <w:rPr>
          <w:noProof/>
          <w:lang w:val="en-GB"/>
        </w:rPr>
        <w:drawing>
          <wp:inline distT="0" distB="0" distL="0" distR="0" wp14:anchorId="74200605" wp14:editId="060AA999">
            <wp:extent cx="5580000" cy="3193991"/>
            <wp:effectExtent l="0" t="0" r="1905" b="6985"/>
            <wp:docPr id="6462129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000" cy="3193991"/>
                    </a:xfrm>
                    <a:prstGeom prst="rect">
                      <a:avLst/>
                    </a:prstGeom>
                    <a:noFill/>
                  </pic:spPr>
                </pic:pic>
              </a:graphicData>
            </a:graphic>
          </wp:inline>
        </w:drawing>
      </w:r>
    </w:p>
    <w:p w14:paraId="6CE65E36" w14:textId="6DA9ECEE" w:rsidR="00810976" w:rsidRDefault="00810976" w:rsidP="00C31849">
      <w:pPr>
        <w:pStyle w:val="SWCTableFigureCaption"/>
      </w:pPr>
      <w:r w:rsidRPr="002272F2">
        <w:t xml:space="preserve">Fig. 1: </w:t>
      </w:r>
      <w:r w:rsidR="00C31849" w:rsidRPr="00C31849">
        <w:t>HP integration options, from individual (building-level) HPs, over decentralized HPs with low or medium temperature loop to centralized HP with high temperature district heating</w:t>
      </w:r>
    </w:p>
    <w:p w14:paraId="06520AA1" w14:textId="77777777" w:rsidR="00C31849" w:rsidRPr="00163706" w:rsidRDefault="00C31849" w:rsidP="00C31849">
      <w:pPr>
        <w:pStyle w:val="SWCTableFigureCaption"/>
      </w:pPr>
    </w:p>
    <w:p w14:paraId="378F0C31" w14:textId="1F030BC1" w:rsidR="00D32EF0" w:rsidRPr="006309AA" w:rsidRDefault="00B743F8" w:rsidP="00490F10">
      <w:pPr>
        <w:pStyle w:val="SWCHeading1"/>
      </w:pPr>
      <w:r>
        <w:t>Method</w:t>
      </w:r>
    </w:p>
    <w:p w14:paraId="4E44F297" w14:textId="031DF391" w:rsidR="004B2F80" w:rsidRDefault="004B2F80" w:rsidP="00100043">
      <w:pPr>
        <w:pStyle w:val="SWCText"/>
      </w:pPr>
      <w:r w:rsidRPr="004B2F80">
        <w:t xml:space="preserve">The example </w:t>
      </w:r>
      <w:r>
        <w:t>districts and blocks</w:t>
      </w:r>
      <w:r w:rsidRPr="004B2F80">
        <w:t xml:space="preserve"> used in the preliminary study for Project 61 are at different stages of construction. The projects in Germany relate to groups of buildings where the systems are already in operation or which are existing buildings currently due to be fitted with new supply concepts. The projects in Switzerland and Austria relate to larger groups of over a hundred flats and are in the planning and extended commissioning phases. The projects, together with their key data, serve as the basis for analyzing the different renewable energy integrations and are not being fitted with new systems.</w:t>
      </w:r>
    </w:p>
    <w:p w14:paraId="278F0CCB" w14:textId="1B4C0412" w:rsidR="008E18FA" w:rsidRDefault="009F7777" w:rsidP="00100043">
      <w:pPr>
        <w:pStyle w:val="SWCText"/>
      </w:pPr>
      <w:r>
        <w:lastRenderedPageBreak/>
        <w:t xml:space="preserve">The study examines </w:t>
      </w:r>
      <w:r w:rsidR="009169AB">
        <w:t>12</w:t>
      </w:r>
      <w:r>
        <w:t xml:space="preserve"> </w:t>
      </w:r>
      <w:r w:rsidR="008E18FA">
        <w:t>districts and blocks</w:t>
      </w:r>
      <w:r>
        <w:t xml:space="preserve"> in terms of possible network structure and implementation. The </w:t>
      </w:r>
      <w:r w:rsidR="009169AB">
        <w:t>districts</w:t>
      </w:r>
      <w:r>
        <w:t xml:space="preserve"> have different structures and sizes</w:t>
      </w:r>
      <w:r w:rsidR="008E18FA">
        <w:t xml:space="preserve"> of building groups (see appendix):</w:t>
      </w:r>
    </w:p>
    <w:p w14:paraId="2D0936F4" w14:textId="50833334" w:rsidR="008E18FA" w:rsidRDefault="00100043" w:rsidP="00BA38CB">
      <w:pPr>
        <w:pStyle w:val="SWCText"/>
        <w:numPr>
          <w:ilvl w:val="0"/>
          <w:numId w:val="4"/>
        </w:numPr>
        <w:spacing w:after="100" w:line="240" w:lineRule="exact"/>
        <w:ind w:left="567" w:hanging="210"/>
      </w:pPr>
      <w:r w:rsidRPr="00100043">
        <w:t xml:space="preserve">The </w:t>
      </w:r>
      <w:r w:rsidR="009169AB">
        <w:t>districts</w:t>
      </w:r>
      <w:r w:rsidRPr="00100043">
        <w:t xml:space="preserve"> under consideration comprise between 4 and </w:t>
      </w:r>
      <w:r w:rsidR="009169AB">
        <w:t>134</w:t>
      </w:r>
      <w:r w:rsidRPr="00100043">
        <w:t xml:space="preserve"> buildings</w:t>
      </w:r>
      <w:r w:rsidR="008E18FA">
        <w:t>.</w:t>
      </w:r>
    </w:p>
    <w:p w14:paraId="04DB6A5E" w14:textId="77777777" w:rsidR="008E18FA" w:rsidRDefault="008E18FA" w:rsidP="00BA38CB">
      <w:pPr>
        <w:pStyle w:val="SWCText"/>
        <w:numPr>
          <w:ilvl w:val="0"/>
          <w:numId w:val="4"/>
        </w:numPr>
        <w:spacing w:after="100" w:line="240" w:lineRule="exact"/>
        <w:ind w:left="567" w:hanging="210"/>
      </w:pPr>
      <w:r>
        <w:t>The</w:t>
      </w:r>
      <w:r w:rsidR="00100043" w:rsidRPr="00100043">
        <w:t xml:space="preserve"> total gross floor area </w:t>
      </w:r>
      <w:r>
        <w:t>ranges from</w:t>
      </w:r>
      <w:r w:rsidR="00100043" w:rsidRPr="00100043">
        <w:t xml:space="preserve"> 4,800 to 168,400 m².</w:t>
      </w:r>
    </w:p>
    <w:p w14:paraId="1E2869D5" w14:textId="04CAF430" w:rsidR="008E18FA" w:rsidRDefault="00100043" w:rsidP="00BA38CB">
      <w:pPr>
        <w:pStyle w:val="SWCText"/>
        <w:numPr>
          <w:ilvl w:val="0"/>
          <w:numId w:val="4"/>
        </w:numPr>
        <w:spacing w:after="100" w:line="240" w:lineRule="exact"/>
        <w:ind w:left="567" w:hanging="210"/>
      </w:pPr>
      <w:r w:rsidRPr="00100043">
        <w:t xml:space="preserve">The </w:t>
      </w:r>
      <w:r>
        <w:t>grid</w:t>
      </w:r>
      <w:r w:rsidRPr="00100043">
        <w:t xml:space="preserve"> length var</w:t>
      </w:r>
      <w:r w:rsidR="008E18FA">
        <w:t>ies</w:t>
      </w:r>
      <w:r w:rsidRPr="00100043">
        <w:t xml:space="preserve"> between 110 and 1,700 m, with heat line densities ranging from 142 to 9,984</w:t>
      </w:r>
      <w:r w:rsidR="006A0333">
        <w:t> </w:t>
      </w:r>
      <w:r w:rsidRPr="00100043">
        <w:t>kWh/m</w:t>
      </w:r>
      <w:r w:rsidR="008E18FA">
        <w:t>, and</w:t>
      </w:r>
    </w:p>
    <w:p w14:paraId="134D035D" w14:textId="2FB03259" w:rsidR="00100043" w:rsidRPr="00100043" w:rsidRDefault="008E18FA" w:rsidP="00BA38CB">
      <w:pPr>
        <w:pStyle w:val="SWCText"/>
        <w:numPr>
          <w:ilvl w:val="0"/>
          <w:numId w:val="4"/>
        </w:numPr>
        <w:spacing w:after="100" w:line="240" w:lineRule="exact"/>
        <w:ind w:left="567" w:hanging="210"/>
      </w:pPr>
      <w:r>
        <w:t>t</w:t>
      </w:r>
      <w:r w:rsidR="00100043" w:rsidRPr="00100043">
        <w:t xml:space="preserve">he specific heat demand of the </w:t>
      </w:r>
      <w:r w:rsidR="00100043">
        <w:t>districts</w:t>
      </w:r>
      <w:r w:rsidR="00100043" w:rsidRPr="00100043">
        <w:t xml:space="preserve"> is between 6 and 105 kWh/(m²a).</w:t>
      </w:r>
    </w:p>
    <w:p w14:paraId="5B65B610" w14:textId="5A58CA79" w:rsidR="009F7777" w:rsidRDefault="00B33B6C" w:rsidP="009F7777">
      <w:pPr>
        <w:pStyle w:val="SWCText"/>
      </w:pPr>
      <w:r>
        <w:rPr>
          <w:lang w:val="en-GB"/>
        </w:rPr>
        <w:t>V</w:t>
      </w:r>
      <w:r w:rsidR="00CD4D4B" w:rsidRPr="00CD4D4B">
        <w:rPr>
          <w:lang w:val="en-GB"/>
        </w:rPr>
        <w:t>arious options are available for the design and integration of HP systems</w:t>
      </w:r>
      <w:r>
        <w:rPr>
          <w:lang w:val="en-GB"/>
        </w:rPr>
        <w:t xml:space="preserve"> in the PED. </w:t>
      </w:r>
      <w:r w:rsidR="009F7777" w:rsidRPr="009F7777">
        <w:t>The following topologies were used for the analysis</w:t>
      </w:r>
      <w:r w:rsidR="001226C3">
        <w:t xml:space="preserve"> (Figure </w:t>
      </w:r>
      <w:r w:rsidR="009E499A">
        <w:t>2</w:t>
      </w:r>
      <w:r w:rsidR="001226C3">
        <w:t>)</w:t>
      </w:r>
      <w:r w:rsidR="009F7777" w:rsidRPr="009F7777">
        <w:t>:</w:t>
      </w:r>
    </w:p>
    <w:p w14:paraId="63DAA9B2" w14:textId="1B5537E4" w:rsidR="00CD4D4B" w:rsidRDefault="00CD4D4B" w:rsidP="00BA38CB">
      <w:pPr>
        <w:pStyle w:val="SWCBulletedList"/>
        <w:numPr>
          <w:ilvl w:val="0"/>
          <w:numId w:val="6"/>
        </w:numPr>
        <w:tabs>
          <w:tab w:val="num" w:pos="567"/>
        </w:tabs>
        <w:spacing w:after="0"/>
        <w:ind w:left="714" w:hanging="357"/>
      </w:pPr>
      <w:r w:rsidRPr="00AD2213">
        <w:t>Variant 1: Central (one per district)</w:t>
      </w:r>
      <w:r w:rsidR="00B33B6C" w:rsidRPr="00AD2213">
        <w:t xml:space="preserve"> with high grid temperature level (67/40</w:t>
      </w:r>
      <w:r w:rsidR="00CE7BBB">
        <w:t xml:space="preserve"> </w:t>
      </w:r>
      <w:r w:rsidR="00B33B6C" w:rsidRPr="00AD2213">
        <w:t>°C)</w:t>
      </w:r>
      <w:r w:rsidR="008B0053">
        <w:t>:</w:t>
      </w:r>
    </w:p>
    <w:p w14:paraId="58B0443B" w14:textId="04DDD323" w:rsidR="008B0053" w:rsidRPr="00AD2213" w:rsidRDefault="008B0053" w:rsidP="008B0053">
      <w:pPr>
        <w:pStyle w:val="SWCBulletedList"/>
        <w:numPr>
          <w:ilvl w:val="0"/>
          <w:numId w:val="0"/>
        </w:numPr>
        <w:tabs>
          <w:tab w:val="clear" w:pos="600"/>
          <w:tab w:val="num" w:pos="567"/>
        </w:tabs>
        <w:ind w:left="567"/>
      </w:pPr>
      <w:r w:rsidRPr="008B0053">
        <w:t xml:space="preserve">A fully centralized solution in which all the energy is generated in a central heating plant and transmitted to the consumer via a high-temperature </w:t>
      </w:r>
      <w:r>
        <w:t>grid</w:t>
      </w:r>
      <w:r w:rsidRPr="008B0053">
        <w:t>. This means that the installation at the individual house is kept to a minimum and is limited to a heat transfer station and, where necessary, a hot-water storage tank.</w:t>
      </w:r>
    </w:p>
    <w:p w14:paraId="7FB03671" w14:textId="4CF9912C" w:rsidR="00B33B6C" w:rsidRDefault="00B33B6C" w:rsidP="00BA38CB">
      <w:pPr>
        <w:pStyle w:val="SWCBulletedList"/>
        <w:numPr>
          <w:ilvl w:val="0"/>
          <w:numId w:val="6"/>
        </w:numPr>
        <w:tabs>
          <w:tab w:val="clear" w:pos="600"/>
          <w:tab w:val="clear" w:pos="720"/>
          <w:tab w:val="left" w:pos="567"/>
        </w:tabs>
        <w:spacing w:after="0"/>
        <w:ind w:left="567" w:hanging="210"/>
      </w:pPr>
      <w:r w:rsidRPr="00AD2213">
        <w:t>Variant 2a: Mixed</w:t>
      </w:r>
      <w:r w:rsidR="00FE3F0E">
        <w:t xml:space="preserve"> - </w:t>
      </w:r>
      <w:r w:rsidRPr="00AD2213">
        <w:t>central grid HP for SH, decentral DHW (on building)</w:t>
      </w:r>
      <w:r w:rsidR="00FE3F0E">
        <w:t>,</w:t>
      </w:r>
      <w:r w:rsidRPr="00AD2213">
        <w:t xml:space="preserve"> with mid grid temperature level (35/30</w:t>
      </w:r>
      <w:r w:rsidR="00CE7BBB">
        <w:t xml:space="preserve"> </w:t>
      </w:r>
      <w:r w:rsidRPr="00AD2213">
        <w:t>°C)</w:t>
      </w:r>
      <w:r w:rsidR="008B0053">
        <w:t>:</w:t>
      </w:r>
    </w:p>
    <w:p w14:paraId="3507BF0C" w14:textId="20AC549C" w:rsidR="008B0053" w:rsidRPr="00AD2213" w:rsidRDefault="008B0053" w:rsidP="008B0053">
      <w:pPr>
        <w:pStyle w:val="SWCBulletedList"/>
        <w:numPr>
          <w:ilvl w:val="0"/>
          <w:numId w:val="0"/>
        </w:numPr>
        <w:tabs>
          <w:tab w:val="clear" w:pos="600"/>
          <w:tab w:val="left" w:pos="567"/>
        </w:tabs>
        <w:ind w:left="567"/>
      </w:pPr>
      <w:r w:rsidRPr="008B0053">
        <w:t xml:space="preserve">The space heating system is powered directly from the </w:t>
      </w:r>
      <w:r>
        <w:t>grid</w:t>
      </w:r>
      <w:r w:rsidRPr="008B0053">
        <w:t>. A return-flow heat pump is integrated locally to ensure the hot water supply, which is provided by fresh-water systems in the individual flats.</w:t>
      </w:r>
    </w:p>
    <w:p w14:paraId="56AD04FA" w14:textId="0538FBDD" w:rsidR="00CD4D4B" w:rsidRDefault="00CD4D4B" w:rsidP="00BA38CB">
      <w:pPr>
        <w:pStyle w:val="SWCBulletedList"/>
        <w:numPr>
          <w:ilvl w:val="0"/>
          <w:numId w:val="6"/>
        </w:numPr>
        <w:tabs>
          <w:tab w:val="clear" w:pos="600"/>
          <w:tab w:val="clear" w:pos="720"/>
          <w:tab w:val="num" w:pos="567"/>
        </w:tabs>
        <w:spacing w:after="0"/>
        <w:ind w:left="567" w:hanging="210"/>
      </w:pPr>
      <w:r w:rsidRPr="00AD2213">
        <w:t xml:space="preserve">Variant 2b: Semi-central </w:t>
      </w:r>
      <w:r w:rsidR="00FE3F0E">
        <w:t xml:space="preserve">- </w:t>
      </w:r>
      <w:r w:rsidRPr="00AD2213">
        <w:t>central low temperature HP + decentral booster HP on building or flat level</w:t>
      </w:r>
      <w:r w:rsidR="00FE3F0E">
        <w:t>,</w:t>
      </w:r>
      <w:r w:rsidR="00B33B6C" w:rsidRPr="00AD2213">
        <w:t xml:space="preserve"> with mid grid temperature level (20/10</w:t>
      </w:r>
      <w:r w:rsidR="00CE7BBB">
        <w:t xml:space="preserve"> </w:t>
      </w:r>
      <w:r w:rsidR="00B33B6C" w:rsidRPr="00AD2213">
        <w:t>°C)</w:t>
      </w:r>
      <w:r w:rsidR="008B0053">
        <w:t>:</w:t>
      </w:r>
    </w:p>
    <w:p w14:paraId="2D737D95" w14:textId="69C9DA02" w:rsidR="008B0053" w:rsidRPr="008B0053" w:rsidRDefault="008B0053" w:rsidP="008B0053">
      <w:pPr>
        <w:pStyle w:val="SWCBulletedList"/>
        <w:numPr>
          <w:ilvl w:val="0"/>
          <w:numId w:val="0"/>
        </w:numPr>
        <w:tabs>
          <w:tab w:val="clear" w:pos="600"/>
          <w:tab w:val="left" w:pos="567"/>
        </w:tabs>
        <w:ind w:left="567"/>
      </w:pPr>
      <w:r w:rsidRPr="008B0053">
        <w:t xml:space="preserve">Low source temperature for the </w:t>
      </w:r>
      <w:r w:rsidR="00291810" w:rsidRPr="008B0053">
        <w:t>decentralized</w:t>
      </w:r>
      <w:r w:rsidRPr="008B0053">
        <w:t xml:space="preserve"> booster heat pump for space heating and domestic hot water supply. Domestic hot water provision is also </w:t>
      </w:r>
      <w:r w:rsidR="006640BF">
        <w:t xml:space="preserve">supplied </w:t>
      </w:r>
      <w:r w:rsidRPr="008B0053">
        <w:t>by fresh water systems in the individual flats.</w:t>
      </w:r>
    </w:p>
    <w:p w14:paraId="3D3B54FC" w14:textId="0FD91C47" w:rsidR="00CD4D4B" w:rsidRDefault="00CD4D4B" w:rsidP="00BA38CB">
      <w:pPr>
        <w:pStyle w:val="SWCBulletedList"/>
        <w:numPr>
          <w:ilvl w:val="0"/>
          <w:numId w:val="6"/>
        </w:numPr>
        <w:tabs>
          <w:tab w:val="num" w:pos="567"/>
        </w:tabs>
        <w:spacing w:after="0"/>
        <w:ind w:left="714" w:hanging="357"/>
      </w:pPr>
      <w:r w:rsidRPr="00AD2213">
        <w:t>Variant 3: Decentral (building-wise HP)</w:t>
      </w:r>
      <w:r w:rsidR="00B33B6C" w:rsidRPr="00AD2213">
        <w:t xml:space="preserve"> with low grid temperature level (0/</w:t>
      </w:r>
      <w:r w:rsidR="008B0053">
        <w:t>-3</w:t>
      </w:r>
      <w:r w:rsidR="00CE7BBB">
        <w:t xml:space="preserve"> </w:t>
      </w:r>
      <w:r w:rsidR="00B33B6C" w:rsidRPr="00AD2213">
        <w:t>°C)</w:t>
      </w:r>
      <w:r w:rsidR="008B0053">
        <w:t>:</w:t>
      </w:r>
    </w:p>
    <w:p w14:paraId="69351119" w14:textId="569AEA94" w:rsidR="008B0053" w:rsidRPr="008B0053" w:rsidRDefault="008B0053" w:rsidP="008B0053">
      <w:pPr>
        <w:pStyle w:val="SWCBulletedList"/>
        <w:numPr>
          <w:ilvl w:val="0"/>
          <w:numId w:val="0"/>
        </w:numPr>
        <w:tabs>
          <w:tab w:val="clear" w:pos="600"/>
          <w:tab w:val="num" w:pos="567"/>
        </w:tabs>
        <w:ind w:left="567"/>
      </w:pPr>
      <w:r w:rsidRPr="008B0053">
        <w:t xml:space="preserve">Often referred to as ‘fifth-generation district heating’. This means that only the source temperature from the geothermal </w:t>
      </w:r>
      <w:r>
        <w:t>borehole heat exchanger</w:t>
      </w:r>
      <w:r w:rsidRPr="008B0053">
        <w:t xml:space="preserve"> – 0 °C (annual</w:t>
      </w:r>
      <w:r w:rsidR="006640BF">
        <w:t>ly</w:t>
      </w:r>
      <w:r w:rsidRPr="008B0053">
        <w:t xml:space="preserve"> </w:t>
      </w:r>
      <w:r w:rsidR="006640BF">
        <w:t>constant</w:t>
      </w:r>
      <w:r w:rsidRPr="008B0053">
        <w:t>) – is distributed to fully decentralized heat pumps, which cover all space heating and domestic hot water requirements.</w:t>
      </w:r>
    </w:p>
    <w:p w14:paraId="79FBA929" w14:textId="62936D47" w:rsidR="009627DB" w:rsidRDefault="009627DB" w:rsidP="00BA38CB">
      <w:pPr>
        <w:pStyle w:val="SWCBulletedList"/>
        <w:numPr>
          <w:ilvl w:val="0"/>
          <w:numId w:val="6"/>
        </w:numPr>
        <w:tabs>
          <w:tab w:val="num" w:pos="567"/>
        </w:tabs>
        <w:spacing w:after="0"/>
        <w:ind w:left="714" w:hanging="357"/>
      </w:pPr>
      <w:r w:rsidRPr="00AD2213">
        <w:t xml:space="preserve">Variant 4: </w:t>
      </w:r>
      <w:r w:rsidR="00CE7BBB">
        <w:t>B</w:t>
      </w:r>
      <w:r w:rsidRPr="00AD2213">
        <w:t>uilding-wise HP without grid connection</w:t>
      </w:r>
      <w:r w:rsidR="008B0053">
        <w:t>:</w:t>
      </w:r>
    </w:p>
    <w:p w14:paraId="20499F3C" w14:textId="494AF601" w:rsidR="008B0053" w:rsidRDefault="008B0053" w:rsidP="008B0053">
      <w:pPr>
        <w:pStyle w:val="SWCBulletedList"/>
        <w:numPr>
          <w:ilvl w:val="0"/>
          <w:numId w:val="0"/>
        </w:numPr>
        <w:tabs>
          <w:tab w:val="clear" w:pos="600"/>
          <w:tab w:val="num" w:pos="567"/>
        </w:tabs>
        <w:ind w:left="567"/>
      </w:pPr>
      <w:r w:rsidRPr="008B0053">
        <w:t>The variant without a district heating network is used as a basis for comparison. Each building has its own heat pump with a low-temperature heat source.</w:t>
      </w:r>
    </w:p>
    <w:p w14:paraId="1FD87CE6" w14:textId="77777777" w:rsidR="0053083C" w:rsidRDefault="0053083C" w:rsidP="008B0053">
      <w:pPr>
        <w:pStyle w:val="SWCBulletedList"/>
        <w:numPr>
          <w:ilvl w:val="0"/>
          <w:numId w:val="0"/>
        </w:numPr>
        <w:tabs>
          <w:tab w:val="clear" w:pos="600"/>
          <w:tab w:val="num" w:pos="567"/>
        </w:tabs>
        <w:ind w:left="567"/>
      </w:pPr>
    </w:p>
    <w:p w14:paraId="0F7ACCF5" w14:textId="4E6EF90E" w:rsidR="0053083C" w:rsidRDefault="0053083C" w:rsidP="0053083C">
      <w:pPr>
        <w:pStyle w:val="SWCText"/>
      </w:pPr>
      <w:r w:rsidRPr="006D73A3">
        <w:t xml:space="preserve">For all variants, the initial configuration assumes a central geothermal heat source with an </w:t>
      </w:r>
      <w:r w:rsidR="006640BF">
        <w:t>constant</w:t>
      </w:r>
      <w:r w:rsidR="006640BF" w:rsidRPr="006D73A3">
        <w:t xml:space="preserve"> </w:t>
      </w:r>
      <w:r w:rsidRPr="006D73A3">
        <w:t>annual flow temperature of 0 °C. Space heating is operated at a flow temperature of 35 °C for variants 1 and 2a, and at 58</w:t>
      </w:r>
      <w:r>
        <w:t> </w:t>
      </w:r>
      <w:r w:rsidRPr="006D73A3">
        <w:t>°C for the other variants. Domestic hot water is assumed to have a flow temperature of 58 °C (circulation in variants 2b and 3) or 65 °C in variant 1.</w:t>
      </w:r>
    </w:p>
    <w:p w14:paraId="635B629B" w14:textId="296DE045" w:rsidR="008C4DBC" w:rsidRDefault="006D73A3" w:rsidP="008C4DBC">
      <w:pPr>
        <w:pStyle w:val="SWCBulletedList"/>
        <w:numPr>
          <w:ilvl w:val="0"/>
          <w:numId w:val="0"/>
        </w:numPr>
        <w:tabs>
          <w:tab w:val="num" w:pos="567"/>
        </w:tabs>
        <w:ind w:left="567"/>
      </w:pPr>
      <w:r>
        <w:rPr>
          <w:noProof/>
        </w:rPr>
        <w:drawing>
          <wp:inline distT="0" distB="0" distL="0" distR="0" wp14:anchorId="3FF0E413" wp14:editId="63D54C13">
            <wp:extent cx="12034520" cy="5456555"/>
            <wp:effectExtent l="0" t="0" r="0" b="0"/>
            <wp:docPr id="120268415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34520" cy="5456555"/>
                    </a:xfrm>
                    <a:prstGeom prst="rect">
                      <a:avLst/>
                    </a:prstGeom>
                    <a:noFill/>
                  </pic:spPr>
                </pic:pic>
              </a:graphicData>
            </a:graphic>
          </wp:inline>
        </w:drawing>
      </w:r>
    </w:p>
    <w:p w14:paraId="56C1DFC1" w14:textId="6BEE6798" w:rsidR="005A1CF3" w:rsidRDefault="005A1CF3" w:rsidP="005A1CF3">
      <w:pPr>
        <w:pStyle w:val="SWCTableFigureCaption"/>
        <w:spacing w:before="0" w:after="120"/>
      </w:pPr>
      <w:r>
        <w:rPr>
          <w:noProof/>
        </w:rPr>
        <w:lastRenderedPageBreak/>
        <w:drawing>
          <wp:inline distT="0" distB="0" distL="0" distR="0" wp14:anchorId="4D3AAD07" wp14:editId="7BA1A949">
            <wp:extent cx="5580000" cy="2530021"/>
            <wp:effectExtent l="0" t="0" r="0" b="0"/>
            <wp:docPr id="16495310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000" cy="2530021"/>
                    </a:xfrm>
                    <a:prstGeom prst="rect">
                      <a:avLst/>
                    </a:prstGeom>
                    <a:noFill/>
                  </pic:spPr>
                </pic:pic>
              </a:graphicData>
            </a:graphic>
          </wp:inline>
        </w:drawing>
      </w:r>
    </w:p>
    <w:p w14:paraId="28312E76" w14:textId="420886F6" w:rsidR="008C4DBC" w:rsidRPr="002272F2" w:rsidRDefault="008C4DBC" w:rsidP="008C4DBC">
      <w:pPr>
        <w:pStyle w:val="SWCTableFigureCaption"/>
      </w:pPr>
      <w:r w:rsidRPr="002272F2">
        <w:t xml:space="preserve">Fig. </w:t>
      </w:r>
      <w:r w:rsidR="009E499A">
        <w:t>2</w:t>
      </w:r>
      <w:r w:rsidRPr="002272F2">
        <w:t xml:space="preserve">: </w:t>
      </w:r>
      <w:r w:rsidR="006D73A3" w:rsidRPr="006D73A3">
        <w:t>Heat pump topologies and temperature boundary conditions</w:t>
      </w:r>
    </w:p>
    <w:p w14:paraId="70B2DB89" w14:textId="77777777" w:rsidR="00A314AC" w:rsidRDefault="00A314AC" w:rsidP="006D73A3">
      <w:pPr>
        <w:pStyle w:val="SWCText"/>
      </w:pPr>
    </w:p>
    <w:p w14:paraId="1DA185C5" w14:textId="0507B804" w:rsidR="00337414" w:rsidRDefault="00337414" w:rsidP="00337414">
      <w:pPr>
        <w:pStyle w:val="SWCText"/>
      </w:pPr>
      <w:r>
        <w:t xml:space="preserve">The system </w:t>
      </w:r>
      <w:r w:rsidR="00793BBA">
        <w:t>behavior</w:t>
      </w:r>
      <w:r>
        <w:t xml:space="preserve"> of the various variants is modelled using simplified (annual) approaches and assumptions, resulting in an annual energy balance for each system variant. The boundary conditions applied include, amongst others:</w:t>
      </w:r>
    </w:p>
    <w:p w14:paraId="58958F70" w14:textId="1B9E6C7E" w:rsidR="00337414" w:rsidRDefault="00337414" w:rsidP="00793BBA">
      <w:pPr>
        <w:pStyle w:val="SWCText"/>
        <w:numPr>
          <w:ilvl w:val="0"/>
          <w:numId w:val="10"/>
        </w:numPr>
      </w:pPr>
      <w:r>
        <w:t xml:space="preserve">The low-temperature source (geothermal </w:t>
      </w:r>
      <w:r w:rsidR="00793BBA">
        <w:t>borehole heat exchanger</w:t>
      </w:r>
      <w:r>
        <w:t xml:space="preserve"> field) is assumed to be a storage system that supplies the required source output at a constant temperature of 0 °C.</w:t>
      </w:r>
    </w:p>
    <w:p w14:paraId="7CAC905A" w14:textId="337CA6F5" w:rsidR="00337414" w:rsidRDefault="00337414" w:rsidP="00793BBA">
      <w:pPr>
        <w:pStyle w:val="SWCText"/>
        <w:numPr>
          <w:ilvl w:val="0"/>
          <w:numId w:val="10"/>
        </w:numPr>
      </w:pPr>
      <w:r>
        <w:t xml:space="preserve">The COP of the heat pumps / the system is determined on the basis of a constant </w:t>
      </w:r>
      <w:proofErr w:type="spellStart"/>
      <w:r>
        <w:t>exergetic</w:t>
      </w:r>
      <w:proofErr w:type="spellEnd"/>
      <w:r>
        <w:t xml:space="preserve"> efficiency </w:t>
      </w:r>
      <w:r w:rsidR="00793BBA" w:rsidRPr="00E86F2A">
        <w:rPr>
          <w:rFonts w:ascii="Arial" w:hAnsi="Arial" w:cs="Arial"/>
          <w:bCs/>
          <w:sz w:val="22"/>
          <w:lang w:val="de-CH"/>
        </w:rPr>
        <w:sym w:font="Symbol" w:char="F068"/>
      </w:r>
      <w:r w:rsidR="00793BBA" w:rsidRPr="00793BBA">
        <w:rPr>
          <w:rFonts w:ascii="Arial" w:hAnsi="Arial" w:cs="Arial"/>
          <w:bCs/>
          <w:sz w:val="22"/>
          <w:vertAlign w:val="subscript"/>
        </w:rPr>
        <w:t>ex</w:t>
      </w:r>
      <w:r>
        <w:t xml:space="preserve"> of 0.5 in accordance with the second law of thermodynamics, which is multiplied by the Carnot COP (COPC) corresponding to the respective system source and sink temperatures.</w:t>
      </w:r>
    </w:p>
    <w:p w14:paraId="032AD6A4" w14:textId="4B113DB3" w:rsidR="00337414" w:rsidRDefault="00337414" w:rsidP="00793BBA">
      <w:pPr>
        <w:pStyle w:val="SWCText"/>
        <w:numPr>
          <w:ilvl w:val="0"/>
          <w:numId w:val="10"/>
        </w:numPr>
      </w:pPr>
      <w:r>
        <w:t>System losses or gains in the network and storage components are accounted for by proportional shares based on the temperature difference relative to the respective environment or on the amount of energy transferred.</w:t>
      </w:r>
    </w:p>
    <w:p w14:paraId="3DE14A80" w14:textId="1D2B833D" w:rsidR="00793BBA" w:rsidRPr="00793BBA" w:rsidRDefault="00793BBA" w:rsidP="00793BBA">
      <w:pPr>
        <w:pStyle w:val="SWCText"/>
        <w:rPr>
          <w:color w:val="auto"/>
        </w:rPr>
      </w:pPr>
      <w:r w:rsidRPr="00793BBA">
        <w:rPr>
          <w:color w:val="auto"/>
        </w:rPr>
        <w:t xml:space="preserve">The options are assessed by means of an energy comparison focusing on the electrical energy required for the heat pump and auxiliary power to meet the  heating demand </w:t>
      </w:r>
      <w:r w:rsidR="006640BF">
        <w:rPr>
          <w:color w:val="auto"/>
        </w:rPr>
        <w:t xml:space="preserve">of the districts </w:t>
      </w:r>
      <w:r w:rsidRPr="00793BBA">
        <w:rPr>
          <w:color w:val="auto"/>
        </w:rPr>
        <w:t xml:space="preserve">(including heat and distribution losses in the </w:t>
      </w:r>
      <w:r>
        <w:rPr>
          <w:color w:val="auto"/>
        </w:rPr>
        <w:t>grid</w:t>
      </w:r>
      <w:r w:rsidRPr="00793BBA">
        <w:rPr>
          <w:color w:val="auto"/>
        </w:rPr>
        <w:t xml:space="preserve">). No distinction is made between the electricity consumption of centralized heat pumps and that of decentralized heat pumps. For the purposes of the comparison, it is assumed that there is a single operator/supplier and that the </w:t>
      </w:r>
      <w:r>
        <w:rPr>
          <w:color w:val="auto"/>
        </w:rPr>
        <w:t>district</w:t>
      </w:r>
      <w:r w:rsidRPr="00793BBA">
        <w:rPr>
          <w:color w:val="auto"/>
        </w:rPr>
        <w:t xml:space="preserve"> is therefore subject to a single electricity tariff. The target value of the energy calculation is the amount of electricity required to operate the heat pump, which also serves as the input value for calculating operating costs (OPEX). Capital expenditure (CAPEX) is determined on the basis of investment in the components and the network, maintenance costs – calculated as a percentage of capital expenditure – and operating costs for electricity. </w:t>
      </w:r>
    </w:p>
    <w:p w14:paraId="3D83E22A" w14:textId="3C0FA448" w:rsidR="003E1E1C" w:rsidRDefault="00403277" w:rsidP="00793BBA">
      <w:pPr>
        <w:pStyle w:val="SWCHeading1"/>
      </w:pPr>
      <w:r>
        <w:t>Results</w:t>
      </w:r>
    </w:p>
    <w:p w14:paraId="1D8B821D" w14:textId="58291A70" w:rsidR="002A4ABA" w:rsidRPr="002A4ABA" w:rsidRDefault="002A4ABA" w:rsidP="002A4ABA">
      <w:pPr>
        <w:pStyle w:val="SWCText"/>
        <w:rPr>
          <w:color w:val="auto"/>
        </w:rPr>
      </w:pPr>
      <w:r w:rsidRPr="002A4ABA">
        <w:rPr>
          <w:color w:val="auto"/>
        </w:rPr>
        <w:t xml:space="preserve">As temperatures do not vary between the blocks within the system configurations, and the COP of the heat pumps is always calculated using the same efficiency rating, the system efficiency ratios do not differ between the </w:t>
      </w:r>
      <w:r>
        <w:rPr>
          <w:color w:val="auto"/>
        </w:rPr>
        <w:t>districts</w:t>
      </w:r>
      <w:r w:rsidRPr="002A4ABA">
        <w:rPr>
          <w:color w:val="auto"/>
        </w:rPr>
        <w:t xml:space="preserve">. The electricity demand for auxiliary power for the peripheral equipment in the plant room and in the distribution network is </w:t>
      </w:r>
      <w:r w:rsidR="006640BF" w:rsidRPr="002A4ABA">
        <w:rPr>
          <w:color w:val="auto"/>
        </w:rPr>
        <w:t xml:space="preserve">currently </w:t>
      </w:r>
      <w:r w:rsidRPr="002A4ABA">
        <w:rPr>
          <w:color w:val="auto"/>
        </w:rPr>
        <w:t>not taken into account in the system efficiency figures. For the circulation and distribution pumps, a guideline value of 1.5</w:t>
      </w:r>
      <w:r>
        <w:rPr>
          <w:color w:val="auto"/>
        </w:rPr>
        <w:t xml:space="preserve"> %</w:t>
      </w:r>
      <w:r w:rsidRPr="002A4ABA">
        <w:rPr>
          <w:color w:val="auto"/>
        </w:rPr>
        <w:t xml:space="preserve"> is assumed for the relative electricity demand (ratio of pump</w:t>
      </w:r>
      <w:r w:rsidR="006640BF">
        <w:rPr>
          <w:color w:val="auto"/>
        </w:rPr>
        <w:t>ing</w:t>
      </w:r>
      <w:r w:rsidRPr="002A4ABA">
        <w:rPr>
          <w:color w:val="auto"/>
        </w:rPr>
        <w:t xml:space="preserve"> </w:t>
      </w:r>
      <w:r w:rsidR="006640BF">
        <w:rPr>
          <w:color w:val="auto"/>
        </w:rPr>
        <w:t>energy</w:t>
      </w:r>
      <w:r w:rsidRPr="002A4ABA">
        <w:rPr>
          <w:color w:val="auto"/>
        </w:rPr>
        <w:t xml:space="preserve"> to the total amount of heat supplied). The system efficiency is derived solely from the COPs of the heat pumps.</w:t>
      </w:r>
    </w:p>
    <w:p w14:paraId="0B4F80B4" w14:textId="7BD089B5" w:rsidR="002A4ABA" w:rsidRPr="002A4ABA" w:rsidRDefault="002A4ABA" w:rsidP="002A4ABA">
      <w:pPr>
        <w:pStyle w:val="SWCText"/>
      </w:pPr>
      <w:r w:rsidRPr="002A4ABA">
        <w:lastRenderedPageBreak/>
        <w:t>Based on the analyses of the districts and variants, it can be summarized that</w:t>
      </w:r>
      <w:r w:rsidR="00974174">
        <w:t xml:space="preserve"> (Figure </w:t>
      </w:r>
      <w:r w:rsidR="009E499A">
        <w:t>3</w:t>
      </w:r>
      <w:r w:rsidR="00974174">
        <w:t>)</w:t>
      </w:r>
    </w:p>
    <w:p w14:paraId="040940F3" w14:textId="488A24C3" w:rsidR="002A4ABA" w:rsidRPr="002A4ABA" w:rsidRDefault="002A4ABA" w:rsidP="002A4ABA">
      <w:pPr>
        <w:pStyle w:val="SWCText"/>
        <w:numPr>
          <w:ilvl w:val="0"/>
          <w:numId w:val="10"/>
        </w:numPr>
      </w:pPr>
      <w:r>
        <w:t>v</w:t>
      </w:r>
      <w:r w:rsidRPr="002A4ABA">
        <w:t>ariant 2a (central heat pump and booster heat pump for domestic hot water) achieves the highest system efficiency, averaging 3.3.</w:t>
      </w:r>
    </w:p>
    <w:p w14:paraId="720D6FA9" w14:textId="04F4B8B1" w:rsidR="002A4ABA" w:rsidRPr="002A4ABA" w:rsidRDefault="002A4ABA" w:rsidP="002A4ABA">
      <w:pPr>
        <w:pStyle w:val="SWCText"/>
        <w:numPr>
          <w:ilvl w:val="0"/>
          <w:numId w:val="10"/>
        </w:numPr>
      </w:pPr>
      <w:r>
        <w:t>variant</w:t>
      </w:r>
      <w:r w:rsidRPr="002A4ABA">
        <w:t xml:space="preserve"> 3, the low-temperature </w:t>
      </w:r>
      <w:r>
        <w:t>grid</w:t>
      </w:r>
      <w:r w:rsidRPr="002A4ABA">
        <w:t xml:space="preserve">, shows no variation across the </w:t>
      </w:r>
      <w:r>
        <w:t>districts</w:t>
      </w:r>
      <w:r w:rsidRPr="002A4ABA">
        <w:t xml:space="preserve"> and </w:t>
      </w:r>
      <w:r w:rsidR="006640BF">
        <w:t>yields</w:t>
      </w:r>
      <w:r w:rsidRPr="002A4ABA">
        <w:t xml:space="preserve"> 2.7.</w:t>
      </w:r>
    </w:p>
    <w:p w14:paraId="03A37842" w14:textId="003DDD25" w:rsidR="00844131" w:rsidRPr="002A4ABA" w:rsidRDefault="002A4ABA" w:rsidP="002A4ABA">
      <w:pPr>
        <w:pStyle w:val="SWCText"/>
        <w:numPr>
          <w:ilvl w:val="0"/>
          <w:numId w:val="10"/>
        </w:numPr>
      </w:pPr>
      <w:r w:rsidRPr="002A4ABA">
        <w:t>the lowest system utilization rate is found in the high-temperature network, with an average of 2.2.</w:t>
      </w:r>
    </w:p>
    <w:p w14:paraId="3D5D4243" w14:textId="77777777" w:rsidR="002A4ABA" w:rsidRPr="00396D86" w:rsidRDefault="002A4ABA" w:rsidP="002A4ABA">
      <w:pPr>
        <w:pStyle w:val="SWCText"/>
        <w:ind w:left="720"/>
        <w:rPr>
          <w:color w:val="auto"/>
          <w:sz w:val="16"/>
          <w:szCs w:val="16"/>
        </w:rPr>
      </w:pPr>
    </w:p>
    <w:p w14:paraId="75BA59A4" w14:textId="5BB5C039" w:rsidR="0025160B" w:rsidRPr="00A31C4A" w:rsidRDefault="00A31C4A" w:rsidP="0025160B">
      <w:pPr>
        <w:pStyle w:val="SWCText"/>
        <w:jc w:val="center"/>
        <w:rPr>
          <w:color w:val="auto"/>
          <w:lang w:val="de-DE"/>
        </w:rPr>
      </w:pPr>
      <w:r>
        <w:rPr>
          <w:noProof/>
          <w:color w:val="EE0000"/>
          <w:lang w:val="de-DE"/>
        </w:rPr>
        <w:drawing>
          <wp:inline distT="0" distB="0" distL="0" distR="0" wp14:anchorId="29440DBC" wp14:editId="1DB5EA98">
            <wp:extent cx="3157796" cy="2520000"/>
            <wp:effectExtent l="0" t="0" r="5080" b="0"/>
            <wp:docPr id="202936190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57796" cy="2520000"/>
                    </a:xfrm>
                    <a:prstGeom prst="rect">
                      <a:avLst/>
                    </a:prstGeom>
                    <a:noFill/>
                  </pic:spPr>
                </pic:pic>
              </a:graphicData>
            </a:graphic>
          </wp:inline>
        </w:drawing>
      </w:r>
    </w:p>
    <w:p w14:paraId="64FD471B" w14:textId="4D625DA7" w:rsidR="0025160B" w:rsidRPr="00A31C4A" w:rsidRDefault="0025160B" w:rsidP="0025160B">
      <w:pPr>
        <w:pStyle w:val="SWCTableFigureCaption"/>
        <w:rPr>
          <w:color w:val="auto"/>
        </w:rPr>
      </w:pPr>
      <w:r w:rsidRPr="00A31C4A">
        <w:rPr>
          <w:color w:val="auto"/>
        </w:rPr>
        <w:t xml:space="preserve">Fig. </w:t>
      </w:r>
      <w:r w:rsidR="009E499A">
        <w:rPr>
          <w:color w:val="auto"/>
        </w:rPr>
        <w:t>3</w:t>
      </w:r>
      <w:r w:rsidRPr="00A31C4A">
        <w:rPr>
          <w:color w:val="auto"/>
        </w:rPr>
        <w:t xml:space="preserve">: </w:t>
      </w:r>
      <w:r w:rsidR="00A31C4A" w:rsidRPr="00A31C4A">
        <w:t xml:space="preserve">System boundary for performance factor calculation </w:t>
      </w:r>
      <w:r w:rsidR="006640BF">
        <w:t xml:space="preserve">(top) </w:t>
      </w:r>
      <w:r w:rsidR="00A31C4A">
        <w:t>and results for s</w:t>
      </w:r>
      <w:r w:rsidR="00A31C4A" w:rsidRPr="00A31C4A">
        <w:rPr>
          <w:color w:val="auto"/>
        </w:rPr>
        <w:t xml:space="preserve">ystem </w:t>
      </w:r>
      <w:r w:rsidR="00974174" w:rsidRPr="00A31C4A">
        <w:rPr>
          <w:color w:val="auto"/>
        </w:rPr>
        <w:t>utilization</w:t>
      </w:r>
      <w:r w:rsidR="00A31C4A" w:rsidRPr="00A31C4A">
        <w:rPr>
          <w:color w:val="auto"/>
        </w:rPr>
        <w:t xml:space="preserve"> rate (SUR)</w:t>
      </w:r>
      <w:r w:rsidR="006640BF">
        <w:rPr>
          <w:color w:val="auto"/>
        </w:rPr>
        <w:t>(bottom)</w:t>
      </w:r>
    </w:p>
    <w:p w14:paraId="76040E43" w14:textId="77777777" w:rsidR="0025160B" w:rsidRPr="00A31C4A" w:rsidRDefault="0025160B" w:rsidP="0025160B">
      <w:pPr>
        <w:pStyle w:val="SWCText"/>
        <w:spacing w:after="0"/>
        <w:rPr>
          <w:color w:val="auto"/>
        </w:rPr>
      </w:pPr>
    </w:p>
    <w:p w14:paraId="041E076F" w14:textId="5D3738AE" w:rsidR="008E18FA" w:rsidRPr="001226C3" w:rsidRDefault="008E18FA" w:rsidP="008E18FA">
      <w:pPr>
        <w:pStyle w:val="SWCText"/>
        <w:rPr>
          <w:color w:val="auto"/>
        </w:rPr>
      </w:pPr>
      <w:r w:rsidRPr="00A31C4A">
        <w:rPr>
          <w:color w:val="auto"/>
        </w:rPr>
        <w:t xml:space="preserve">Across the </w:t>
      </w:r>
      <w:r w:rsidR="005A1CF3" w:rsidRPr="00A31C4A">
        <w:rPr>
          <w:color w:val="auto"/>
        </w:rPr>
        <w:t>district</w:t>
      </w:r>
      <w:r w:rsidRPr="00A31C4A">
        <w:rPr>
          <w:color w:val="auto"/>
        </w:rPr>
        <w:t>s, the required annual electricity supply ranges from 9.2 to 43.9 kWh/(m²·a)</w:t>
      </w:r>
      <w:r w:rsidR="001226C3" w:rsidRPr="00A31C4A">
        <w:rPr>
          <w:color w:val="auto"/>
        </w:rPr>
        <w:t xml:space="preserve"> (Figure </w:t>
      </w:r>
      <w:r w:rsidR="009E499A">
        <w:rPr>
          <w:color w:val="auto"/>
        </w:rPr>
        <w:t>4</w:t>
      </w:r>
      <w:r w:rsidR="001226C3" w:rsidRPr="00A31C4A">
        <w:rPr>
          <w:color w:val="auto"/>
        </w:rPr>
        <w:t>)</w:t>
      </w:r>
      <w:r w:rsidRPr="00A31C4A">
        <w:rPr>
          <w:color w:val="auto"/>
        </w:rPr>
        <w:t xml:space="preserve">, depending on the supply concept and district characteristics. Within each </w:t>
      </w:r>
      <w:r w:rsidR="005A1CF3" w:rsidRPr="00A31C4A">
        <w:rPr>
          <w:color w:val="auto"/>
        </w:rPr>
        <w:t>district</w:t>
      </w:r>
      <w:r w:rsidRPr="00A31C4A">
        <w:rPr>
          <w:color w:val="auto"/>
        </w:rPr>
        <w:t>, however, the electri</w:t>
      </w:r>
      <w:r w:rsidRPr="001226C3">
        <w:rPr>
          <w:color w:val="auto"/>
        </w:rPr>
        <w:t xml:space="preserve">cal demand of the individual HP configurations varies only slightly. The observed differences between </w:t>
      </w:r>
      <w:r w:rsidR="005A1CF3" w:rsidRPr="001226C3">
        <w:rPr>
          <w:color w:val="auto"/>
        </w:rPr>
        <w:t>district</w:t>
      </w:r>
      <w:r w:rsidRPr="001226C3">
        <w:rPr>
          <w:color w:val="auto"/>
        </w:rPr>
        <w:t>s depends on varying energy needs and from differing district heating losses caused by variations in pipe lengths.</w:t>
      </w:r>
    </w:p>
    <w:p w14:paraId="0F0FCCCC" w14:textId="77777777" w:rsidR="008E18FA" w:rsidRPr="001226C3" w:rsidRDefault="008E18FA" w:rsidP="008E18FA">
      <w:pPr>
        <w:pStyle w:val="SWCText"/>
        <w:rPr>
          <w:color w:val="auto"/>
        </w:rPr>
      </w:pPr>
      <w:r w:rsidRPr="001226C3">
        <w:rPr>
          <w:color w:val="auto"/>
        </w:rPr>
        <w:t>The analysis clearly indicates that decentralized concepts achieve better performance than centralized solutions. Among all configurations, the semi-central system (Var. 2a) demonstrates the lowest electrical demand across the PEDs, mainly due to its high system efficiency. In contrast, the highest average electricity consumption is observed for Variant 1, the high‑temperature network with a central heat pump, where reduced system utilization and the impact of elevated network temperatures become evident.</w:t>
      </w:r>
    </w:p>
    <w:p w14:paraId="2B8AA22B" w14:textId="77777777" w:rsidR="001226C3" w:rsidRDefault="001226C3" w:rsidP="001226C3">
      <w:pPr>
        <w:pStyle w:val="SWCText"/>
        <w:jc w:val="center"/>
      </w:pPr>
      <w:r>
        <w:rPr>
          <w:noProof/>
        </w:rPr>
        <w:drawing>
          <wp:inline distT="0" distB="0" distL="0" distR="0" wp14:anchorId="344BC1D6" wp14:editId="5957F64C">
            <wp:extent cx="5580000" cy="2344491"/>
            <wp:effectExtent l="0" t="0" r="1905" b="0"/>
            <wp:docPr id="671802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000" cy="2344491"/>
                    </a:xfrm>
                    <a:prstGeom prst="rect">
                      <a:avLst/>
                    </a:prstGeom>
                    <a:noFill/>
                  </pic:spPr>
                </pic:pic>
              </a:graphicData>
            </a:graphic>
          </wp:inline>
        </w:drawing>
      </w:r>
    </w:p>
    <w:p w14:paraId="517951D6" w14:textId="7C5032AD" w:rsidR="001226C3" w:rsidRDefault="001226C3" w:rsidP="001226C3">
      <w:pPr>
        <w:pStyle w:val="SWCTableFigureCaption"/>
      </w:pPr>
      <w:r w:rsidRPr="002272F2">
        <w:t xml:space="preserve">Fig. </w:t>
      </w:r>
      <w:r w:rsidR="009E499A">
        <w:t>4</w:t>
      </w:r>
      <w:r w:rsidRPr="002272F2">
        <w:t>: Specific annual electrical energy demand of the various heat pump systems</w:t>
      </w:r>
    </w:p>
    <w:p w14:paraId="6C306CAC" w14:textId="5BB85143" w:rsidR="008E18FA" w:rsidRPr="001226C3" w:rsidRDefault="008E18FA" w:rsidP="008E18FA">
      <w:pPr>
        <w:pStyle w:val="SWCText"/>
        <w:rPr>
          <w:color w:val="auto"/>
        </w:rPr>
      </w:pPr>
      <w:r w:rsidRPr="001226C3">
        <w:rPr>
          <w:color w:val="auto"/>
        </w:rPr>
        <w:lastRenderedPageBreak/>
        <w:t>The evaluation of the specific total annual (gross) costs shows a strong dependence on the reference temperature level as well as on the investment requirements for network infrastructure and thermal storage. Lowering network temperatures and relocating the heat pump from a central to a decentralized position significantly reduces the total annual costs in relation to heat demand, i.e., the heat production costs. The concepts with a low‑temperature grid (Var. 3) and the semi-central configuration (Var. 2a) achieve the lowest heat production costs, alongside the fully decentralized solution without a district heating grid. In comparison, the high-temperature network results in considerably higher costs. Across all systems, heat production costs range from 167 to over 1,000 € per MWh.</w:t>
      </w:r>
      <w:r w:rsidR="001226C3">
        <w:rPr>
          <w:color w:val="auto"/>
        </w:rPr>
        <w:t xml:space="preserve"> (Figure </w:t>
      </w:r>
      <w:r w:rsidR="009E499A">
        <w:rPr>
          <w:color w:val="auto"/>
        </w:rPr>
        <w:t>5</w:t>
      </w:r>
      <w:r w:rsidR="001226C3">
        <w:rPr>
          <w:color w:val="auto"/>
        </w:rPr>
        <w:t>)</w:t>
      </w:r>
    </w:p>
    <w:p w14:paraId="565B9A64" w14:textId="565C3C85" w:rsidR="00DE7E59" w:rsidRPr="002272F2" w:rsidRDefault="00DE7E59" w:rsidP="00DE7E59">
      <w:pPr>
        <w:pStyle w:val="SWCTableFigureCaption"/>
      </w:pPr>
    </w:p>
    <w:p w14:paraId="69613900" w14:textId="78FCC3EA" w:rsidR="00DE7E59" w:rsidRDefault="00DD1FD2" w:rsidP="005A1CF3">
      <w:pPr>
        <w:pStyle w:val="SWCText"/>
        <w:jc w:val="center"/>
      </w:pPr>
      <w:r>
        <w:rPr>
          <w:noProof/>
        </w:rPr>
        <w:drawing>
          <wp:inline distT="0" distB="0" distL="0" distR="0" wp14:anchorId="15DF3616" wp14:editId="4826694E">
            <wp:extent cx="5580000" cy="2347206"/>
            <wp:effectExtent l="0" t="0" r="1905" b="0"/>
            <wp:docPr id="20218440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000" cy="2347206"/>
                    </a:xfrm>
                    <a:prstGeom prst="rect">
                      <a:avLst/>
                    </a:prstGeom>
                    <a:noFill/>
                  </pic:spPr>
                </pic:pic>
              </a:graphicData>
            </a:graphic>
          </wp:inline>
        </w:drawing>
      </w:r>
    </w:p>
    <w:p w14:paraId="51D49D39" w14:textId="5F25BEDB" w:rsidR="00DE7E59" w:rsidRDefault="00DE7E59" w:rsidP="00DE7E59">
      <w:pPr>
        <w:pStyle w:val="SWCTableFigureCaption"/>
      </w:pPr>
      <w:r w:rsidRPr="002272F2">
        <w:t xml:space="preserve">Fig. </w:t>
      </w:r>
      <w:r w:rsidR="009E499A">
        <w:t>5</w:t>
      </w:r>
      <w:r w:rsidRPr="002272F2">
        <w:t xml:space="preserve">: Specific total annual </w:t>
      </w:r>
      <w:r>
        <w:t xml:space="preserve">(gross) </w:t>
      </w:r>
      <w:r w:rsidRPr="002272F2">
        <w:t>costs of the various heat pump systems in relation to heat demand –</w:t>
      </w:r>
      <w:r>
        <w:t xml:space="preserve"> </w:t>
      </w:r>
      <w:r w:rsidRPr="002272F2">
        <w:t>heat production costs</w:t>
      </w:r>
    </w:p>
    <w:p w14:paraId="4CFC7F9D" w14:textId="77777777" w:rsidR="0025160B" w:rsidRPr="002272F2" w:rsidRDefault="0025160B" w:rsidP="0025160B">
      <w:pPr>
        <w:pStyle w:val="SWCTableFigureCaption"/>
        <w:spacing w:before="0" w:after="0"/>
      </w:pPr>
    </w:p>
    <w:p w14:paraId="6C9C811E" w14:textId="6535C9B4" w:rsidR="00CD4D4B" w:rsidRDefault="00E561C1" w:rsidP="00CE438E">
      <w:pPr>
        <w:pStyle w:val="SWCHeading1"/>
        <w:ind w:left="714" w:hanging="357"/>
      </w:pPr>
      <w:r>
        <w:t xml:space="preserve">Workflow and </w:t>
      </w:r>
      <w:r w:rsidR="00CD4D4B">
        <w:t>Design Guidelines</w:t>
      </w:r>
    </w:p>
    <w:p w14:paraId="660AC1ED" w14:textId="32A642DE" w:rsidR="008E18FA" w:rsidRPr="00FD2F94" w:rsidRDefault="008E18FA" w:rsidP="008E18FA">
      <w:pPr>
        <w:pStyle w:val="SWCText"/>
        <w:rPr>
          <w:color w:val="auto"/>
        </w:rPr>
      </w:pPr>
      <w:r w:rsidRPr="000F2353">
        <w:rPr>
          <w:color w:val="auto"/>
        </w:rPr>
        <w:t>In individual buildings, especially new buildings, there are no technical obstacles to the installation of heat pumps. Even in existing buildings, this is a mature technology that can be used in many buildings with existing radiators and can replace fossil fuel-based heating systems. Ho</w:t>
      </w:r>
      <w:r w:rsidRPr="00FD2F94">
        <w:rPr>
          <w:color w:val="auto"/>
        </w:rPr>
        <w:t>wever, connecting buildings via a heating network fed by heat pumps poses a challenge.</w:t>
      </w:r>
      <w:r w:rsidR="00FD2F94" w:rsidRPr="00FD2F94">
        <w:rPr>
          <w:color w:val="auto"/>
        </w:rPr>
        <w:t xml:space="preserve"> (Ochs, et al., 2024; </w:t>
      </w:r>
      <w:proofErr w:type="spellStart"/>
      <w:r w:rsidR="00FD2F94" w:rsidRPr="00FD2F94">
        <w:rPr>
          <w:color w:val="auto"/>
        </w:rPr>
        <w:t>Sas</w:t>
      </w:r>
      <w:r w:rsidR="00FD2F94" w:rsidRPr="00FD2F94">
        <w:t>senou</w:t>
      </w:r>
      <w:proofErr w:type="spellEnd"/>
      <w:r w:rsidR="00FD2F94" w:rsidRPr="00FD2F94">
        <w:t>, et al., 2024</w:t>
      </w:r>
      <w:r w:rsidR="00FD2F94">
        <w:t>)</w:t>
      </w:r>
    </w:p>
    <w:p w14:paraId="1C5EBE33" w14:textId="174DB899" w:rsidR="002174DB" w:rsidRDefault="008E18FA" w:rsidP="000F2353">
      <w:pPr>
        <w:pStyle w:val="SWCText"/>
        <w:rPr>
          <w:color w:val="auto"/>
        </w:rPr>
      </w:pPr>
      <w:r w:rsidRPr="000F2353">
        <w:rPr>
          <w:color w:val="auto"/>
        </w:rPr>
        <w:t xml:space="preserve">For a design workflow for HP systems for districts, local boundary conditions such as source availability and temperature level of the heating networks, as well as the energy requirements of the individual buildings and the possible heat pump topologies, must be developed and taken into account. Depending on the function of the building type (residential, non-residential), the layout, and the availability of heat pump sources on site (or nearby), various options are available. </w:t>
      </w:r>
      <w:r w:rsidR="002174DB" w:rsidRPr="000F2353">
        <w:rPr>
          <w:color w:val="auto"/>
        </w:rPr>
        <w:t xml:space="preserve">The design workflow follows the cost-optimality approach as suggested by the EPBD. Design variables for PEDs with focus on the HP system topology are schematically shown in </w:t>
      </w:r>
      <w:r w:rsidR="000F2353" w:rsidRPr="000F2353">
        <w:rPr>
          <w:color w:val="auto"/>
        </w:rPr>
        <w:t xml:space="preserve">Figure </w:t>
      </w:r>
      <w:r w:rsidR="009E499A">
        <w:rPr>
          <w:color w:val="auto"/>
        </w:rPr>
        <w:t>6</w:t>
      </w:r>
      <w:r w:rsidR="002174DB" w:rsidRPr="000F2353">
        <w:rPr>
          <w:color w:val="auto"/>
        </w:rPr>
        <w:t>.</w:t>
      </w:r>
    </w:p>
    <w:p w14:paraId="676D79C3" w14:textId="77777777" w:rsidR="00974174" w:rsidRDefault="00974174" w:rsidP="000F2353">
      <w:pPr>
        <w:pStyle w:val="SWCText"/>
        <w:rPr>
          <w:color w:val="auto"/>
        </w:rPr>
      </w:pPr>
    </w:p>
    <w:p w14:paraId="100E25B7" w14:textId="7B7D6AEF" w:rsidR="008C4DBC" w:rsidRDefault="006D0D7E" w:rsidP="005A1CF3">
      <w:pPr>
        <w:pStyle w:val="SWCText"/>
      </w:pPr>
      <w:r>
        <w:rPr>
          <w:noProof/>
          <w:lang w:val="en-GB"/>
        </w:rPr>
        <w:lastRenderedPageBreak/>
        <w:drawing>
          <wp:inline distT="0" distB="0" distL="0" distR="0" wp14:anchorId="157C4205" wp14:editId="7633AC7D">
            <wp:extent cx="5400000" cy="3242011"/>
            <wp:effectExtent l="0" t="0" r="0" b="0"/>
            <wp:docPr id="8" name="Grafik 8" descr="The figure shows a scheme with HP System Design Variables distinguished in HP Source, HP Location, HP System, Building level and Renew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The figure shows a scheme with HP System Design Variables distinguished in HP Source, HP Location, HP System, Building level and Renewabl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0" cy="3242011"/>
                    </a:xfrm>
                    <a:prstGeom prst="rect">
                      <a:avLst/>
                    </a:prstGeom>
                    <a:noFill/>
                  </pic:spPr>
                </pic:pic>
              </a:graphicData>
            </a:graphic>
          </wp:inline>
        </w:drawing>
      </w:r>
    </w:p>
    <w:p w14:paraId="54A11735" w14:textId="382E0A51" w:rsidR="008C4DBC" w:rsidRDefault="008C4DBC" w:rsidP="008C4DBC">
      <w:pPr>
        <w:pStyle w:val="SWCTableFigureCaption"/>
      </w:pPr>
      <w:r w:rsidRPr="002272F2">
        <w:t xml:space="preserve">Fig. </w:t>
      </w:r>
      <w:r w:rsidR="009E499A">
        <w:t>6</w:t>
      </w:r>
      <w:r w:rsidRPr="002272F2">
        <w:t xml:space="preserve">: </w:t>
      </w:r>
      <w:r w:rsidR="006D0D7E" w:rsidRPr="006D0D7E">
        <w:t>H</w:t>
      </w:r>
      <w:r w:rsidR="006D0D7E">
        <w:t>eat pump</w:t>
      </w:r>
      <w:r w:rsidR="006D0D7E" w:rsidRPr="006D0D7E">
        <w:t xml:space="preserve"> </w:t>
      </w:r>
      <w:r w:rsidR="006D0D7E">
        <w:t>s</w:t>
      </w:r>
      <w:r w:rsidR="006D0D7E" w:rsidRPr="006D0D7E">
        <w:t xml:space="preserve">ystem </w:t>
      </w:r>
      <w:r w:rsidR="006D0D7E">
        <w:t>d</w:t>
      </w:r>
      <w:r w:rsidR="006D0D7E" w:rsidRPr="006D0D7E">
        <w:t xml:space="preserve">esign </w:t>
      </w:r>
      <w:r w:rsidR="006D0D7E">
        <w:t>v</w:t>
      </w:r>
      <w:r w:rsidR="006D0D7E" w:rsidRPr="006D0D7E">
        <w:t>ariables</w:t>
      </w:r>
    </w:p>
    <w:p w14:paraId="0F20597E" w14:textId="77777777" w:rsidR="0025160B" w:rsidRPr="002272F2" w:rsidRDefault="0025160B" w:rsidP="0025160B">
      <w:pPr>
        <w:pStyle w:val="SWCTableFigureCaption"/>
        <w:spacing w:before="0" w:after="0"/>
      </w:pPr>
    </w:p>
    <w:p w14:paraId="22A30D80" w14:textId="5836477F" w:rsidR="00046A2A" w:rsidRPr="001D1102" w:rsidRDefault="00C238C0" w:rsidP="00046A2A">
      <w:pPr>
        <w:pStyle w:val="SWCText"/>
      </w:pPr>
      <w:r w:rsidRPr="004B4E83">
        <w:t xml:space="preserve">The </w:t>
      </w:r>
      <w:r w:rsidR="001D1102">
        <w:t xml:space="preserve">following </w:t>
      </w:r>
      <w:r w:rsidRPr="004B4E83">
        <w:t xml:space="preserve">proposed workflow </w:t>
      </w:r>
      <w:r w:rsidR="000359EB">
        <w:t xml:space="preserve">guidelines </w:t>
      </w:r>
      <w:r w:rsidRPr="004B4E83">
        <w:t>can support decision-making and can serve as a basis for a future integral planning approach for PEDs.</w:t>
      </w:r>
      <w:r w:rsidR="001D1102">
        <w:t xml:space="preserve"> </w:t>
      </w:r>
      <w:r w:rsidR="001D1102" w:rsidRPr="001D1102">
        <w:t>Based on the results of the network study and analysis of the different topologies, as well as the evaluation of the monitor</w:t>
      </w:r>
      <w:r w:rsidR="005325A7">
        <w:t>ed</w:t>
      </w:r>
      <w:r w:rsidR="001D1102" w:rsidRPr="001D1102">
        <w:t xml:space="preserve"> </w:t>
      </w:r>
      <w:r w:rsidR="005325A7">
        <w:t>districts</w:t>
      </w:r>
      <w:r w:rsidR="005325A7" w:rsidRPr="001D1102">
        <w:t xml:space="preserve"> </w:t>
      </w:r>
      <w:r w:rsidR="001D1102" w:rsidRPr="001D1102">
        <w:t xml:space="preserve">in the </w:t>
      </w:r>
      <w:r w:rsidR="005325A7">
        <w:t>Project 61</w:t>
      </w:r>
      <w:r w:rsidR="001D1102" w:rsidRPr="001D1102">
        <w:t>, the following conclusions can be drawn for planning guidelines:</w:t>
      </w:r>
    </w:p>
    <w:p w14:paraId="16257405" w14:textId="13DE076D" w:rsidR="00E81F09" w:rsidRPr="00E81F09" w:rsidRDefault="00E81F09" w:rsidP="00F80A77">
      <w:pPr>
        <w:pStyle w:val="SWCBulletedList"/>
        <w:tabs>
          <w:tab w:val="clear" w:pos="1654"/>
          <w:tab w:val="num" w:pos="1276"/>
        </w:tabs>
        <w:ind w:left="568" w:hanging="284"/>
      </w:pPr>
      <w:r w:rsidRPr="00E81F09">
        <w:t>Basis of the design</w:t>
      </w:r>
      <w:r>
        <w:t xml:space="preserve">: </w:t>
      </w:r>
      <w:r w:rsidR="008E18FA" w:rsidRPr="008E18FA">
        <w:t xml:space="preserve">specification of boundary conditions regarding total heat demand, network length and layout, heat </w:t>
      </w:r>
      <w:r w:rsidR="005325A7">
        <w:t>line</w:t>
      </w:r>
      <w:r w:rsidR="005325A7" w:rsidRPr="008E18FA">
        <w:t xml:space="preserve"> </w:t>
      </w:r>
      <w:r w:rsidR="008E18FA" w:rsidRPr="008E18FA">
        <w:t>density, availability of heat sources, climate, potential for renewable energies</w:t>
      </w:r>
      <w:r w:rsidR="005325A7">
        <w:t xml:space="preserve"> on-site</w:t>
      </w:r>
      <w:r w:rsidR="008E18FA" w:rsidRPr="008E18FA">
        <w:t>.</w:t>
      </w:r>
    </w:p>
    <w:p w14:paraId="35E08E9A" w14:textId="25AF693F" w:rsidR="00E81F09" w:rsidRPr="00E81F09" w:rsidRDefault="00E81F09" w:rsidP="00F80A77">
      <w:pPr>
        <w:pStyle w:val="SWCBulletedList"/>
        <w:tabs>
          <w:tab w:val="clear" w:pos="1654"/>
          <w:tab w:val="num" w:pos="1276"/>
        </w:tabs>
        <w:ind w:left="568" w:hanging="284"/>
      </w:pPr>
      <w:r w:rsidRPr="00E81F09">
        <w:t>Optimization of buildings: high efficiency standards with low-temperature distribution systems and maximum PV yield</w:t>
      </w:r>
      <w:r w:rsidR="008E18FA">
        <w:t xml:space="preserve"> </w:t>
      </w:r>
      <w:r w:rsidR="008E18FA" w:rsidRPr="00E81F09">
        <w:t>form a good basis.</w:t>
      </w:r>
    </w:p>
    <w:p w14:paraId="02CB78EC" w14:textId="37E86778" w:rsidR="00E81F09" w:rsidRPr="00E81F09" w:rsidRDefault="00E81F09" w:rsidP="00F80A77">
      <w:pPr>
        <w:pStyle w:val="SWCBulletedList"/>
        <w:tabs>
          <w:tab w:val="clear" w:pos="1654"/>
          <w:tab w:val="num" w:pos="1276"/>
        </w:tabs>
        <w:ind w:left="568" w:hanging="284"/>
      </w:pPr>
      <w:r w:rsidRPr="00E81F09">
        <w:t>Preference for decentralized or semi-centralized heat pump concepts: decentralized heat pumps with minimal distribution losses and maximum performance</w:t>
      </w:r>
      <w:r>
        <w:t>.</w:t>
      </w:r>
    </w:p>
    <w:p w14:paraId="52EABA71" w14:textId="522B360D" w:rsidR="00E81F09" w:rsidRDefault="00E81F09" w:rsidP="00F80A77">
      <w:pPr>
        <w:pStyle w:val="SWCBulletedList"/>
        <w:tabs>
          <w:tab w:val="clear" w:pos="1654"/>
          <w:tab w:val="num" w:pos="1276"/>
        </w:tabs>
        <w:ind w:left="568" w:hanging="284"/>
      </w:pPr>
      <w:r>
        <w:t xml:space="preserve">Minimization of grid temperatures: </w:t>
      </w:r>
      <w:r w:rsidR="008E18FA" w:rsidRPr="008E18FA">
        <w:t xml:space="preserve">design of grid for the lowest possible temperatures that are still compatible with the requirements of the buildings. </w:t>
      </w:r>
      <w:r w:rsidR="005325A7">
        <w:t>5</w:t>
      </w:r>
      <w:r w:rsidR="005325A7" w:rsidRPr="00810976">
        <w:rPr>
          <w:vertAlign w:val="superscript"/>
        </w:rPr>
        <w:t>th</w:t>
      </w:r>
      <w:r w:rsidR="005325A7">
        <w:t xml:space="preserve"> generation </w:t>
      </w:r>
      <w:r w:rsidR="008E18FA" w:rsidRPr="008E18FA">
        <w:t>heating grids or semi-centralized systems with medium temperatures (central heat pump + booster heat pump for hot water) reduce investment costs and pipe losses.</w:t>
      </w:r>
    </w:p>
    <w:p w14:paraId="11FF708D" w14:textId="18E98684" w:rsidR="00E81F09" w:rsidRDefault="00E81F09" w:rsidP="00F80A77">
      <w:pPr>
        <w:pStyle w:val="SWCBulletedList"/>
        <w:tabs>
          <w:tab w:val="clear" w:pos="1654"/>
          <w:tab w:val="num" w:pos="1276"/>
        </w:tabs>
        <w:ind w:left="568" w:hanging="284"/>
      </w:pPr>
      <w:r>
        <w:t>Placement of the source: restrictions on the choice of heat source for the heat pump in decentralized solutions without a grid. More options and easier connections of sources with network topologies.</w:t>
      </w:r>
    </w:p>
    <w:p w14:paraId="28C82797" w14:textId="349F5009" w:rsidR="00E81F09" w:rsidRPr="00E81F09" w:rsidRDefault="005325A7" w:rsidP="00F80A77">
      <w:pPr>
        <w:pStyle w:val="SWCBulletedList"/>
        <w:tabs>
          <w:tab w:val="clear" w:pos="1654"/>
          <w:tab w:val="num" w:pos="1276"/>
        </w:tabs>
        <w:ind w:left="568" w:hanging="284"/>
      </w:pPr>
      <w:r>
        <w:t>5</w:t>
      </w:r>
      <w:r w:rsidRPr="00810976">
        <w:rPr>
          <w:vertAlign w:val="superscript"/>
        </w:rPr>
        <w:t>th</w:t>
      </w:r>
      <w:r>
        <w:t xml:space="preserve"> generation </w:t>
      </w:r>
      <w:r w:rsidR="008E18FA" w:rsidRPr="008E18FA">
        <w:t xml:space="preserve">heating grid </w:t>
      </w:r>
      <w:r>
        <w:t xml:space="preserve">at </w:t>
      </w:r>
      <w:r w:rsidR="008E18FA" w:rsidRPr="008E18FA">
        <w:t>low temperature level enable buildings to be cooled in summer within the framework of a network/system. Cooling within the framework of other topologies is only possible with an additional ‘cooling grid’ or separate systems.</w:t>
      </w:r>
    </w:p>
    <w:p w14:paraId="69BAD0C9" w14:textId="5D8FDC0A" w:rsidR="00E81F09" w:rsidRPr="00E81F09" w:rsidRDefault="008E18FA" w:rsidP="00F80A77">
      <w:pPr>
        <w:pStyle w:val="SWCBulletedList"/>
        <w:tabs>
          <w:tab w:val="clear" w:pos="1654"/>
          <w:tab w:val="num" w:pos="1276"/>
        </w:tabs>
        <w:ind w:left="568" w:hanging="284"/>
      </w:pPr>
      <w:r w:rsidRPr="008E18FA">
        <w:t xml:space="preserve">Simultaneous operation of heat pumps for various building requirements, such as heating, cooling and domestic hot water supply, enables waste heat recovery for other functions, e.g. through simultaneous hot water production and </w:t>
      </w:r>
      <w:r w:rsidR="005325A7">
        <w:t>space</w:t>
      </w:r>
      <w:r w:rsidR="005325A7" w:rsidRPr="008E18FA">
        <w:t xml:space="preserve"> </w:t>
      </w:r>
      <w:r w:rsidRPr="008E18FA">
        <w:t xml:space="preserve">cooling within the </w:t>
      </w:r>
      <w:r w:rsidR="005A1CF3">
        <w:t>district</w:t>
      </w:r>
      <w:r w:rsidRPr="008E18FA">
        <w:t>.</w:t>
      </w:r>
    </w:p>
    <w:p w14:paraId="3EE89B84" w14:textId="17362857" w:rsidR="00E81F09" w:rsidRPr="00E81F09" w:rsidRDefault="00E81F09" w:rsidP="00F80A77">
      <w:pPr>
        <w:pStyle w:val="SWCBulletedList"/>
        <w:tabs>
          <w:tab w:val="clear" w:pos="1654"/>
          <w:tab w:val="num" w:pos="1276"/>
        </w:tabs>
        <w:ind w:left="568" w:hanging="284"/>
      </w:pPr>
      <w:r w:rsidRPr="00E81F09">
        <w:t xml:space="preserve">Limitation of network size and complexity: compact </w:t>
      </w:r>
      <w:r w:rsidR="005A1CF3">
        <w:t>district</w:t>
      </w:r>
      <w:r w:rsidRPr="00E81F09">
        <w:t xml:space="preserve">s with corresponding </w:t>
      </w:r>
      <w:r>
        <w:t>grid</w:t>
      </w:r>
      <w:r w:rsidRPr="00E81F09">
        <w:t xml:space="preserve"> are more economical and energy-efficient than widely scattered buildings and large </w:t>
      </w:r>
      <w:r w:rsidR="005A1CF3">
        <w:t>district</w:t>
      </w:r>
      <w:r w:rsidRPr="00E81F09">
        <w:t>s</w:t>
      </w:r>
      <w:r>
        <w:t>.</w:t>
      </w:r>
    </w:p>
    <w:p w14:paraId="7CA2F163" w14:textId="632B0847" w:rsidR="00E81F09" w:rsidRPr="00E81F09" w:rsidRDefault="00E81F09" w:rsidP="00F80A77">
      <w:pPr>
        <w:pStyle w:val="SWCBulletedList"/>
        <w:tabs>
          <w:tab w:val="clear" w:pos="1654"/>
          <w:tab w:val="num" w:pos="1276"/>
        </w:tabs>
        <w:ind w:left="568" w:hanging="284"/>
      </w:pPr>
      <w:r w:rsidRPr="00E81F09">
        <w:t xml:space="preserve">High energy efficiency of heat pumps and systems </w:t>
      </w:r>
      <w:r w:rsidR="005325A7">
        <w:t xml:space="preserve">enable </w:t>
      </w:r>
      <w:r w:rsidRPr="00E81F09">
        <w:t>to achieve ambitious energy/emission targets.</w:t>
      </w:r>
    </w:p>
    <w:p w14:paraId="12136C63" w14:textId="1979D3A2" w:rsidR="00E81F09" w:rsidRPr="00E81F09" w:rsidRDefault="00E81F09" w:rsidP="00F80A77">
      <w:pPr>
        <w:pStyle w:val="SWCBulletedList"/>
        <w:tabs>
          <w:tab w:val="clear" w:pos="1654"/>
          <w:tab w:val="num" w:pos="1276"/>
        </w:tabs>
        <w:ind w:left="568" w:hanging="284"/>
      </w:pPr>
      <w:r w:rsidRPr="00E81F09">
        <w:t>The topology of the heat pump system determines its efficiency!</w:t>
      </w:r>
    </w:p>
    <w:p w14:paraId="0E31CA8A" w14:textId="647AAD93" w:rsidR="00E81F09" w:rsidRPr="00E81F09" w:rsidRDefault="00E81F09" w:rsidP="00F80A77">
      <w:pPr>
        <w:pStyle w:val="SWCBulletedList"/>
        <w:tabs>
          <w:tab w:val="clear" w:pos="1654"/>
          <w:tab w:val="num" w:pos="1276"/>
        </w:tabs>
        <w:ind w:left="568" w:hanging="284"/>
      </w:pPr>
      <w:r w:rsidRPr="00E81F09">
        <w:lastRenderedPageBreak/>
        <w:t>Annuity method for calculating total annual costs</w:t>
      </w:r>
      <w:r w:rsidR="008E18FA">
        <w:t>.</w:t>
      </w:r>
    </w:p>
    <w:p w14:paraId="6A30F48E" w14:textId="7D13E45C" w:rsidR="00E81F09" w:rsidRPr="00E81F09" w:rsidRDefault="00E81F09" w:rsidP="00F80A77">
      <w:pPr>
        <w:pStyle w:val="SWCBulletedList"/>
        <w:tabs>
          <w:tab w:val="clear" w:pos="1654"/>
          <w:tab w:val="num" w:pos="1276"/>
        </w:tabs>
        <w:ind w:left="568" w:hanging="284"/>
      </w:pPr>
      <w:r w:rsidRPr="00E81F09">
        <w:t>Safety aspects to be considered with natural refrigerants are becoming more relevant from a centralized to a decentralized perspective.</w:t>
      </w:r>
    </w:p>
    <w:p w14:paraId="6C842A91" w14:textId="5170BA00" w:rsidR="003869E8" w:rsidRPr="00C97946" w:rsidRDefault="00403277" w:rsidP="00490F10">
      <w:pPr>
        <w:pStyle w:val="SWCHeading1"/>
      </w:pPr>
      <w:r>
        <w:rPr>
          <w:lang w:val="en-GB"/>
        </w:rPr>
        <w:t>Conclusion</w:t>
      </w:r>
    </w:p>
    <w:p w14:paraId="4454BCAA" w14:textId="47983F67" w:rsidR="003916AD" w:rsidRDefault="003916AD" w:rsidP="003916AD">
      <w:pPr>
        <w:pStyle w:val="SWCText"/>
      </w:pPr>
      <w:r>
        <w:t xml:space="preserve">The cost‑optimal integration of heat pump (HP) systems in </w:t>
      </w:r>
      <w:r w:rsidR="005A1CF3">
        <w:t>district</w:t>
      </w:r>
      <w:r>
        <w:t>s on the path toward becoming Positive Energy Districts (PEDs) is essential for achieving high overall performance. A key prerequisite for reaching PED status is a very high energy efficiency at the building level. Since the suitability of specific HP topologies is strongly influenced by local boundary conditions, a simulation‑based planning workflow is necessary. Techno‑economic analyses help identify promising applications and provide guidance for the integration, sizing, and control of HP systems in PEDs. In this context, decentralized building‑level solutions are systematically compared with fully centralized concepts, considering both technical and economic parameters.</w:t>
      </w:r>
    </w:p>
    <w:p w14:paraId="01D6A9DE" w14:textId="77777777" w:rsidR="003916AD" w:rsidRDefault="003916AD" w:rsidP="003916AD">
      <w:pPr>
        <w:pStyle w:val="SWCText"/>
      </w:pPr>
      <w:r>
        <w:t>While central systems often appear advantageous due to potentially lower upfront infrastructure costs, decentralized heat pump configurations typically deliver superior system performance, benefiting from reduced thermal losses and improved operational efficiencies. In districts with heterogeneous building stock, decentral booster heat pumps that enable lower distribution temperatures can offer additional advantages. The proposed planning workflow supports informed decision‑making and can serve as a foundation for future integrated planning methodologies for PEDs.</w:t>
      </w:r>
    </w:p>
    <w:p w14:paraId="5C93FA2B" w14:textId="2ECC0B6F" w:rsidR="008E521F" w:rsidRPr="008E521F" w:rsidRDefault="003916AD" w:rsidP="009060AC">
      <w:pPr>
        <w:pStyle w:val="SWCText"/>
        <w:rPr>
          <w:lang w:val="en-GB"/>
        </w:rPr>
      </w:pPr>
      <w:r>
        <w:t>The findings show that low‑temperature system concepts consistently outperform high‑temperature ones. Consequently, decentralized solutions should be prioritized over semi‑centralized or fully centralized approaches. Avoiding a thermal network eliminates substantial investment costs, and the construction of such a network is only economically justified when heat density is sufficiently high—conditions that are often not met in PEDs. Overall, the choice of system topology has a greater impact on performance than the efficiency of the individual heat pump.</w:t>
      </w:r>
    </w:p>
    <w:p w14:paraId="0A82330B" w14:textId="2BEDC011" w:rsidR="008C2D91" w:rsidRDefault="008C2D91" w:rsidP="008C2D91">
      <w:pPr>
        <w:pStyle w:val="SWCHeading1"/>
      </w:pPr>
      <w:r>
        <w:t>References</w:t>
      </w:r>
    </w:p>
    <w:p w14:paraId="26BFD107" w14:textId="77777777" w:rsidR="003916AD" w:rsidRPr="00FD2F94" w:rsidRDefault="003916AD" w:rsidP="003916AD">
      <w:pPr>
        <w:pStyle w:val="SWCText"/>
        <w:rPr>
          <w:color w:val="auto"/>
          <w:lang w:val="de-DE"/>
        </w:rPr>
      </w:pPr>
      <w:bookmarkStart w:id="0" w:name="_Ref221308377"/>
      <w:r w:rsidRPr="00FD2F94">
        <w:rPr>
          <w:color w:val="auto"/>
          <w:lang w:val="de-DE"/>
        </w:rPr>
        <w:t xml:space="preserve">Bockelmann, F.; Ochs, F.; </w:t>
      </w:r>
      <w:proofErr w:type="spellStart"/>
      <w:r w:rsidRPr="00FD2F94">
        <w:rPr>
          <w:color w:val="auto"/>
          <w:lang w:val="de-DE"/>
        </w:rPr>
        <w:t>Wemhoener</w:t>
      </w:r>
      <w:proofErr w:type="spellEnd"/>
      <w:r w:rsidRPr="00FD2F94">
        <w:rPr>
          <w:color w:val="auto"/>
          <w:lang w:val="de-DE"/>
        </w:rPr>
        <w:t>, C.; 2025. Workflow für Wärmepumpensysteme in der Quartiersversorgung. DGK. Berlin</w:t>
      </w:r>
      <w:bookmarkEnd w:id="0"/>
    </w:p>
    <w:p w14:paraId="04C12BF2" w14:textId="2928101B" w:rsidR="00F9005A" w:rsidRDefault="00F9005A" w:rsidP="00181138">
      <w:pPr>
        <w:pStyle w:val="SWCText"/>
      </w:pPr>
      <w:r w:rsidRPr="00033AE8">
        <w:rPr>
          <w:lang w:val="de-DE"/>
        </w:rPr>
        <w:t xml:space="preserve">Hedman Å., Rehman HU., Gabaldon A., </w:t>
      </w:r>
      <w:proofErr w:type="spellStart"/>
      <w:r w:rsidRPr="00033AE8">
        <w:rPr>
          <w:lang w:val="de-DE"/>
        </w:rPr>
        <w:t>Bisello</w:t>
      </w:r>
      <w:proofErr w:type="spellEnd"/>
      <w:r w:rsidRPr="00033AE8">
        <w:rPr>
          <w:lang w:val="de-DE"/>
        </w:rPr>
        <w:t xml:space="preserve"> A., Albert-Seifried V., Zhang X., et al.; 2021. </w:t>
      </w:r>
      <w:r w:rsidRPr="00181138">
        <w:t>IEA EBC Annex 83 Positive energy districts. Buildings 2021,11(3), 130</w:t>
      </w:r>
    </w:p>
    <w:p w14:paraId="210FE4A5" w14:textId="388D96B6" w:rsidR="009C5932" w:rsidRPr="009C5932" w:rsidRDefault="009C5932" w:rsidP="009C5932">
      <w:pPr>
        <w:pStyle w:val="Reference"/>
        <w:numPr>
          <w:ilvl w:val="0"/>
          <w:numId w:val="0"/>
        </w:numPr>
        <w:spacing w:after="120" w:line="276" w:lineRule="auto"/>
        <w:rPr>
          <w:rFonts w:ascii="Times New Roman" w:hAnsi="Times New Roman"/>
          <w:iCs w:val="0"/>
          <w:noProof w:val="0"/>
          <w:sz w:val="20"/>
          <w:lang w:val="en-US" w:eastAsia="de-DE"/>
        </w:rPr>
      </w:pPr>
      <w:r w:rsidRPr="009C5932">
        <w:rPr>
          <w:rFonts w:ascii="Times New Roman" w:hAnsi="Times New Roman"/>
          <w:iCs w:val="0"/>
          <w:noProof w:val="0"/>
          <w:sz w:val="20"/>
          <w:lang w:val="en-US" w:eastAsia="de-DE"/>
        </w:rPr>
        <w:t>JPI UE</w:t>
      </w:r>
      <w:r>
        <w:rPr>
          <w:rFonts w:ascii="Times New Roman" w:hAnsi="Times New Roman"/>
          <w:iCs w:val="0"/>
          <w:noProof w:val="0"/>
          <w:sz w:val="20"/>
          <w:lang w:val="en-US" w:eastAsia="de-DE"/>
        </w:rPr>
        <w:t>;</w:t>
      </w:r>
      <w:r w:rsidRPr="009C5932">
        <w:rPr>
          <w:rFonts w:ascii="Times New Roman" w:hAnsi="Times New Roman"/>
          <w:iCs w:val="0"/>
          <w:noProof w:val="0"/>
          <w:sz w:val="20"/>
          <w:lang w:val="en-US" w:eastAsia="de-DE"/>
        </w:rPr>
        <w:t xml:space="preserve"> 2020</w:t>
      </w:r>
      <w:r>
        <w:rPr>
          <w:rFonts w:ascii="Times New Roman" w:hAnsi="Times New Roman"/>
          <w:iCs w:val="0"/>
          <w:noProof w:val="0"/>
          <w:sz w:val="20"/>
          <w:lang w:val="en-US" w:eastAsia="de-DE"/>
        </w:rPr>
        <w:t>.</w:t>
      </w:r>
      <w:r w:rsidRPr="009C5932">
        <w:rPr>
          <w:rFonts w:ascii="Times New Roman" w:hAnsi="Times New Roman"/>
          <w:iCs w:val="0"/>
          <w:noProof w:val="0"/>
          <w:sz w:val="20"/>
          <w:lang w:val="en-US" w:eastAsia="de-DE"/>
        </w:rPr>
        <w:t xml:space="preserve"> Europe towards positive energy districts - a compilation towards sustainable urbanisation and the energy transition, Brussels</w:t>
      </w:r>
    </w:p>
    <w:p w14:paraId="2C8F663C" w14:textId="12BFAE38" w:rsidR="003916AD" w:rsidRPr="00FD2F94" w:rsidRDefault="003916AD" w:rsidP="009C5932">
      <w:pPr>
        <w:pStyle w:val="SWCText"/>
        <w:rPr>
          <w:color w:val="auto"/>
        </w:rPr>
      </w:pPr>
      <w:r w:rsidRPr="009C5932">
        <w:rPr>
          <w:color w:val="auto"/>
          <w:lang w:val="de-DE"/>
        </w:rPr>
        <w:t xml:space="preserve">Lindholm, O.; Rehman, H.U.; Reda, F.; 2021. </w:t>
      </w:r>
      <w:r w:rsidRPr="00FD2F94">
        <w:rPr>
          <w:color w:val="auto"/>
        </w:rPr>
        <w:t>Positioning positive energy districts in European cities. Buildings 2021, 11(1), 19; https://doi.org/10.3390/buildings11010019</w:t>
      </w:r>
    </w:p>
    <w:p w14:paraId="103DA056" w14:textId="77777777" w:rsidR="00C854A1" w:rsidRPr="00181138" w:rsidRDefault="00C854A1" w:rsidP="00C854A1">
      <w:pPr>
        <w:pStyle w:val="SWCText"/>
        <w:jc w:val="left"/>
      </w:pPr>
      <w:bookmarkStart w:id="1" w:name="_Ref221309859"/>
      <w:r w:rsidRPr="00CA3E54">
        <w:t xml:space="preserve">Ochs, F., Magni., M., Dermentzis, G., 2022. </w:t>
      </w:r>
      <w:r w:rsidRPr="00181138">
        <w:t>Integration of heat pumps in buildings and district heating systems-Evaluation on a building and energy system level; Energies 15 (11), 3889</w:t>
      </w:r>
      <w:bookmarkEnd w:id="1"/>
      <w:r w:rsidRPr="00181138">
        <w:t xml:space="preserve">; </w:t>
      </w:r>
      <w:hyperlink r:id="rId15" w:history="1">
        <w:r w:rsidRPr="00181138">
          <w:rPr>
            <w:rStyle w:val="Hyperlink"/>
            <w:color w:val="000000"/>
            <w:u w:val="none"/>
          </w:rPr>
          <w:t>https://doi.org/10.3390/en15113889</w:t>
        </w:r>
      </w:hyperlink>
    </w:p>
    <w:p w14:paraId="605B0D80" w14:textId="77777777" w:rsidR="00C854A1" w:rsidRPr="00FD2F94" w:rsidRDefault="00C854A1" w:rsidP="00C854A1">
      <w:pPr>
        <w:pStyle w:val="SWCText"/>
        <w:rPr>
          <w:color w:val="auto"/>
        </w:rPr>
      </w:pPr>
      <w:r w:rsidRPr="00FD2F94">
        <w:rPr>
          <w:color w:val="auto"/>
          <w:lang w:val="it-IT"/>
        </w:rPr>
        <w:t xml:space="preserve">Ochs, F.; Tosatto, A.; Venturi, E.; Breuss, S.; Magni, M.; Dermentzis, G.; Wemhöner, C.; 2024. </w:t>
      </w:r>
      <w:r w:rsidRPr="00FD2F94">
        <w:rPr>
          <w:color w:val="auto"/>
        </w:rPr>
        <w:t>Characteristic Load Curves of Positive Energy Districts, Solar Energy Advances, Elsevier; https://doi.org/10.1016/j.seja.2024.100081</w:t>
      </w:r>
    </w:p>
    <w:p w14:paraId="30F76012" w14:textId="78F2B078" w:rsidR="00350D5E" w:rsidRPr="00181138" w:rsidRDefault="00350D5E" w:rsidP="00181138">
      <w:pPr>
        <w:pStyle w:val="SWCText"/>
      </w:pPr>
      <w:r w:rsidRPr="00192109">
        <w:rPr>
          <w:lang w:val="de-DE"/>
        </w:rPr>
        <w:t xml:space="preserve">Ochs F., Venturi, E., Breuss, S., Bockelmann, F., </w:t>
      </w:r>
      <w:proofErr w:type="spellStart"/>
      <w:r w:rsidRPr="00192109">
        <w:rPr>
          <w:lang w:val="de-DE"/>
        </w:rPr>
        <w:t>Wemhoener</w:t>
      </w:r>
      <w:proofErr w:type="spellEnd"/>
      <w:r w:rsidRPr="00192109">
        <w:rPr>
          <w:lang w:val="de-DE"/>
        </w:rPr>
        <w:t>, C., 2025</w:t>
      </w:r>
      <w:r w:rsidR="00192109" w:rsidRPr="00192109">
        <w:rPr>
          <w:lang w:val="de-DE"/>
        </w:rPr>
        <w:t>.</w:t>
      </w:r>
      <w:r w:rsidRPr="00192109">
        <w:rPr>
          <w:lang w:val="de-DE"/>
        </w:rPr>
        <w:t xml:space="preserve"> </w:t>
      </w:r>
      <w:r w:rsidRPr="00181138">
        <w:t>Towards Positive Energy Districts Heat Pump System Topology Design Guidelines, ISEC 2026</w:t>
      </w:r>
    </w:p>
    <w:p w14:paraId="6337F5DF" w14:textId="3A2A7399" w:rsidR="00266721" w:rsidRPr="00181138" w:rsidRDefault="00266721" w:rsidP="00181138">
      <w:pPr>
        <w:pStyle w:val="SWCText"/>
      </w:pPr>
      <w:r w:rsidRPr="00277E2F">
        <w:rPr>
          <w:lang w:val="it-IT"/>
        </w:rPr>
        <w:t>Sassenou, L.-N.</w:t>
      </w:r>
      <w:r w:rsidR="00350D5E" w:rsidRPr="00277E2F">
        <w:rPr>
          <w:lang w:val="it-IT"/>
        </w:rPr>
        <w:t>,</w:t>
      </w:r>
      <w:r w:rsidRPr="00277E2F">
        <w:rPr>
          <w:lang w:val="it-IT"/>
        </w:rPr>
        <w:t xml:space="preserve"> Olivieri, L.</w:t>
      </w:r>
      <w:r w:rsidR="00350D5E" w:rsidRPr="00277E2F">
        <w:rPr>
          <w:lang w:val="it-IT"/>
        </w:rPr>
        <w:t>,</w:t>
      </w:r>
      <w:r w:rsidRPr="00277E2F">
        <w:rPr>
          <w:lang w:val="it-IT"/>
        </w:rPr>
        <w:t xml:space="preserve"> Olivieri, F.</w:t>
      </w:r>
      <w:r w:rsidR="00350D5E" w:rsidRPr="00277E2F">
        <w:rPr>
          <w:lang w:val="it-IT"/>
        </w:rPr>
        <w:t>,</w:t>
      </w:r>
      <w:r w:rsidRPr="00277E2F">
        <w:rPr>
          <w:lang w:val="it-IT"/>
        </w:rPr>
        <w:t xml:space="preserve"> 2024. </w:t>
      </w:r>
      <w:r w:rsidRPr="00181138">
        <w:t>Challenges for positive energy districts deployment: A systematic review, Renewable and Sustainable Energy Reviews, Volume 191, 114152, ISSN 1364-0321</w:t>
      </w:r>
    </w:p>
    <w:p w14:paraId="5299AFFA" w14:textId="77777777" w:rsidR="00C854A1" w:rsidRPr="00FD2F94" w:rsidRDefault="00C854A1" w:rsidP="00C854A1">
      <w:pPr>
        <w:pStyle w:val="SWCText"/>
        <w:rPr>
          <w:color w:val="auto"/>
        </w:rPr>
      </w:pPr>
      <w:bookmarkStart w:id="2" w:name="_Ref221309629"/>
      <w:r w:rsidRPr="00FD2F94">
        <w:rPr>
          <w:color w:val="auto"/>
          <w:lang w:val="it-IT"/>
        </w:rPr>
        <w:t xml:space="preserve">Venturi, E.; Ochs, F.; Magni, M.; Dermentzis, G.; 2024. </w:t>
      </w:r>
      <w:r w:rsidRPr="00FD2F94">
        <w:rPr>
          <w:color w:val="auto"/>
        </w:rPr>
        <w:t xml:space="preserve">EuroSun, Evaluation of positive energy districts with </w:t>
      </w:r>
      <w:r w:rsidRPr="00FD2F94">
        <w:rPr>
          <w:color w:val="auto"/>
        </w:rPr>
        <w:lastRenderedPageBreak/>
        <w:t>district heating and heat pumps. ISES and IEA SHC Int. Conference on Sustainable and Solar Energy for Buildings and Industry.</w:t>
      </w:r>
      <w:bookmarkEnd w:id="2"/>
      <w:r w:rsidRPr="00FD2F94">
        <w:rPr>
          <w:color w:val="auto"/>
        </w:rPr>
        <w:t xml:space="preserve"> </w:t>
      </w:r>
    </w:p>
    <w:p w14:paraId="74E04865" w14:textId="6D02FA1D" w:rsidR="00266721" w:rsidRDefault="00266721" w:rsidP="00181138">
      <w:pPr>
        <w:pStyle w:val="SWCText"/>
      </w:pPr>
      <w:proofErr w:type="spellStart"/>
      <w:r w:rsidRPr="00277E2F">
        <w:rPr>
          <w:lang w:val="de-DE"/>
        </w:rPr>
        <w:t>Wemhoener</w:t>
      </w:r>
      <w:proofErr w:type="spellEnd"/>
      <w:r w:rsidRPr="00277E2F">
        <w:rPr>
          <w:lang w:val="de-DE"/>
        </w:rPr>
        <w:t>, C.</w:t>
      </w:r>
      <w:r w:rsidR="00192109">
        <w:rPr>
          <w:lang w:val="de-DE"/>
        </w:rPr>
        <w:t>,</w:t>
      </w:r>
      <w:r w:rsidRPr="00277E2F">
        <w:rPr>
          <w:lang w:val="de-DE"/>
        </w:rPr>
        <w:t xml:space="preserve"> Bockelmann, F.</w:t>
      </w:r>
      <w:r w:rsidR="00192109">
        <w:rPr>
          <w:lang w:val="de-DE"/>
        </w:rPr>
        <w:t>,</w:t>
      </w:r>
      <w:r w:rsidRPr="00277E2F">
        <w:rPr>
          <w:lang w:val="de-DE"/>
        </w:rPr>
        <w:t xml:space="preserve"> Ochs, F.; Hummel, S.</w:t>
      </w:r>
      <w:r w:rsidR="00192109">
        <w:rPr>
          <w:lang w:val="de-DE"/>
        </w:rPr>
        <w:t>,</w:t>
      </w:r>
      <w:r w:rsidRPr="00277E2F">
        <w:rPr>
          <w:lang w:val="de-DE"/>
        </w:rPr>
        <w:t xml:space="preserve"> 2024. </w:t>
      </w:r>
      <w:r w:rsidRPr="00181138">
        <w:t>Annex 61 – State of heat pumps in positive energy districts; Proceedings Zero Carbon in the Built Environment ZCBE Conference, Nottingham</w:t>
      </w:r>
    </w:p>
    <w:p w14:paraId="0C400733" w14:textId="77777777" w:rsidR="00C854A1" w:rsidRPr="00FD2F94" w:rsidRDefault="00C854A1" w:rsidP="00C854A1">
      <w:pPr>
        <w:pStyle w:val="SWCText"/>
        <w:rPr>
          <w:color w:val="auto"/>
          <w:lang w:val="de-DE"/>
        </w:rPr>
      </w:pPr>
      <w:bookmarkStart w:id="3" w:name="_Ref221304791"/>
      <w:proofErr w:type="spellStart"/>
      <w:r w:rsidRPr="00FD2F94">
        <w:rPr>
          <w:color w:val="auto"/>
          <w:lang w:val="de-DE"/>
        </w:rPr>
        <w:t>Wemhoener</w:t>
      </w:r>
      <w:proofErr w:type="spellEnd"/>
      <w:r w:rsidRPr="00FD2F94">
        <w:rPr>
          <w:color w:val="auto"/>
          <w:lang w:val="de-DE"/>
        </w:rPr>
        <w:t xml:space="preserve">, C.; Ochs, F.; Betzold, </w:t>
      </w:r>
      <w:proofErr w:type="spellStart"/>
      <w:r w:rsidRPr="00FD2F94">
        <w:rPr>
          <w:color w:val="auto"/>
          <w:lang w:val="de-DE"/>
        </w:rPr>
        <w:t>Ch</w:t>
      </w:r>
      <w:proofErr w:type="spellEnd"/>
      <w:r w:rsidRPr="00FD2F94">
        <w:rPr>
          <w:color w:val="auto"/>
          <w:lang w:val="de-DE"/>
        </w:rPr>
        <w:t xml:space="preserve">.; Bockelmann, F.; Zimmermann, J.; 2024. IEA HPT Annex 61 – Simulation von Wärmepumpen in Plusenergiequartieren; Proceedings </w:t>
      </w:r>
      <w:proofErr w:type="spellStart"/>
      <w:r w:rsidRPr="00FD2F94">
        <w:rPr>
          <w:color w:val="auto"/>
          <w:lang w:val="de-DE"/>
        </w:rPr>
        <w:t>Bausim</w:t>
      </w:r>
      <w:proofErr w:type="spellEnd"/>
      <w:r w:rsidRPr="00FD2F94">
        <w:rPr>
          <w:color w:val="auto"/>
          <w:lang w:val="de-DE"/>
        </w:rPr>
        <w:t xml:space="preserve"> 2024, Vienna</w:t>
      </w:r>
      <w:bookmarkEnd w:id="3"/>
    </w:p>
    <w:p w14:paraId="0E5D7D91" w14:textId="6EF1D455" w:rsidR="008063D5" w:rsidRDefault="00350D5E" w:rsidP="00181138">
      <w:pPr>
        <w:pStyle w:val="SWCText"/>
      </w:pPr>
      <w:proofErr w:type="spellStart"/>
      <w:r w:rsidRPr="00277E2F">
        <w:rPr>
          <w:lang w:val="de-DE"/>
        </w:rPr>
        <w:t>Wemhoener</w:t>
      </w:r>
      <w:proofErr w:type="spellEnd"/>
      <w:r w:rsidRPr="00277E2F">
        <w:rPr>
          <w:lang w:val="de-DE"/>
        </w:rPr>
        <w:t xml:space="preserve">, C., Ochs, F., </w:t>
      </w:r>
      <w:r w:rsidR="008063D5">
        <w:rPr>
          <w:lang w:val="de-DE"/>
        </w:rPr>
        <w:t xml:space="preserve">Breuss, S., </w:t>
      </w:r>
      <w:r w:rsidRPr="00277E2F">
        <w:rPr>
          <w:lang w:val="de-DE"/>
        </w:rPr>
        <w:t xml:space="preserve">Betzold, </w:t>
      </w:r>
      <w:proofErr w:type="spellStart"/>
      <w:r w:rsidRPr="00277E2F">
        <w:rPr>
          <w:lang w:val="de-DE"/>
        </w:rPr>
        <w:t>Ch</w:t>
      </w:r>
      <w:proofErr w:type="spellEnd"/>
      <w:r w:rsidRPr="00277E2F">
        <w:rPr>
          <w:lang w:val="de-DE"/>
        </w:rPr>
        <w:t>., Bockelmann, F., Zimmermann, J., 202</w:t>
      </w:r>
      <w:r w:rsidR="008063D5">
        <w:rPr>
          <w:lang w:val="de-DE"/>
        </w:rPr>
        <w:t>5</w:t>
      </w:r>
      <w:r w:rsidRPr="00277E2F">
        <w:rPr>
          <w:lang w:val="de-DE"/>
        </w:rPr>
        <w:t xml:space="preserve">. </w:t>
      </w:r>
      <w:r w:rsidR="008063D5">
        <w:t>H</w:t>
      </w:r>
      <w:r w:rsidR="008063D5" w:rsidRPr="00CA3E54">
        <w:t xml:space="preserve">eat pump integration </w:t>
      </w:r>
      <w:r w:rsidR="008063D5">
        <w:t xml:space="preserve">in Positive Energy Districts - </w:t>
      </w:r>
      <w:r w:rsidRPr="008063D5">
        <w:t xml:space="preserve">Simulation </w:t>
      </w:r>
      <w:r w:rsidR="008063D5">
        <w:t xml:space="preserve">and monitoring results of </w:t>
      </w:r>
      <w:r w:rsidR="008063D5" w:rsidRPr="008063D5">
        <w:t xml:space="preserve">IEA HPT Annex 61 – </w:t>
      </w:r>
      <w:r w:rsidR="008063D5" w:rsidRPr="00201E93">
        <w:t>Journal of Physics: Conference Series, Volume 3140, Operation – Heating &amp; cooling systems, 2025</w:t>
      </w:r>
    </w:p>
    <w:p w14:paraId="020F9C77" w14:textId="77777777" w:rsidR="009C5932" w:rsidRDefault="009C5932" w:rsidP="00181138">
      <w:pPr>
        <w:pStyle w:val="SWCText"/>
      </w:pPr>
    </w:p>
    <w:p w14:paraId="21C52844" w14:textId="77777777" w:rsidR="009C5932" w:rsidRDefault="009C5932" w:rsidP="00181138">
      <w:pPr>
        <w:pStyle w:val="SWCText"/>
      </w:pPr>
    </w:p>
    <w:p w14:paraId="4F34BE9C" w14:textId="2FB1F833" w:rsidR="0025160B" w:rsidRDefault="0025160B">
      <w:pPr>
        <w:rPr>
          <w:color w:val="000000"/>
          <w:sz w:val="20"/>
          <w:szCs w:val="22"/>
          <w:lang w:val="en-US"/>
        </w:rPr>
      </w:pPr>
      <w:r w:rsidRPr="006640BF">
        <w:rPr>
          <w:lang w:val="en-US"/>
        </w:rPr>
        <w:br w:type="page"/>
      </w:r>
    </w:p>
    <w:p w14:paraId="7896F099" w14:textId="77777777" w:rsidR="00CE438E" w:rsidRPr="00CE438E" w:rsidRDefault="00CE438E" w:rsidP="00CE438E">
      <w:pPr>
        <w:pStyle w:val="SWCHeading1"/>
      </w:pPr>
      <w:r w:rsidRPr="00CE438E">
        <w:lastRenderedPageBreak/>
        <w:t>Appendix</w:t>
      </w:r>
    </w:p>
    <w:p w14:paraId="51990788" w14:textId="77777777" w:rsidR="00CE438E" w:rsidRDefault="00CE438E" w:rsidP="00CE438E">
      <w:pPr>
        <w:pStyle w:val="SWCTableFigureCaption"/>
      </w:pPr>
      <w:r>
        <w:t xml:space="preserve">Tab. </w:t>
      </w:r>
      <w:r w:rsidRPr="006309AA">
        <w:t>1</w:t>
      </w:r>
      <w:r>
        <w:t>:</w:t>
      </w:r>
      <w:r w:rsidRPr="006309AA">
        <w:t xml:space="preserve"> </w:t>
      </w:r>
      <w:r w:rsidRPr="00703EEE">
        <w:t xml:space="preserve">Background information on the example </w:t>
      </w:r>
      <w:r>
        <w:t>districts</w:t>
      </w:r>
    </w:p>
    <w:p w14:paraId="6EC14A7A" w14:textId="00242C08" w:rsidR="00834738" w:rsidRDefault="006359CD" w:rsidP="00FD2F94">
      <w:pPr>
        <w:pStyle w:val="SWCTableFigureCaption"/>
      </w:pPr>
      <w:r w:rsidRPr="006359CD">
        <w:rPr>
          <w:noProof/>
        </w:rPr>
        <w:drawing>
          <wp:inline distT="0" distB="0" distL="0" distR="0" wp14:anchorId="572B9D60" wp14:editId="79C2EFCA">
            <wp:extent cx="7297824" cy="2466452"/>
            <wp:effectExtent l="0" t="3810" r="0" b="0"/>
            <wp:docPr id="4355962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r="6390" b="7606"/>
                    <a:stretch>
                      <a:fillRect/>
                    </a:stretch>
                  </pic:blipFill>
                  <pic:spPr bwMode="auto">
                    <a:xfrm rot="16200000">
                      <a:off x="0" y="0"/>
                      <a:ext cx="7352633" cy="2484976"/>
                    </a:xfrm>
                    <a:prstGeom prst="rect">
                      <a:avLst/>
                    </a:prstGeom>
                    <a:noFill/>
                    <a:ln>
                      <a:noFill/>
                    </a:ln>
                    <a:extLst>
                      <a:ext uri="{53640926-AAD7-44D8-BBD7-CCE9431645EC}">
                        <a14:shadowObscured xmlns:a14="http://schemas.microsoft.com/office/drawing/2010/main"/>
                      </a:ext>
                    </a:extLst>
                  </pic:spPr>
                </pic:pic>
              </a:graphicData>
            </a:graphic>
          </wp:inline>
        </w:drawing>
      </w:r>
    </w:p>
    <w:sectPr w:rsidR="00834738" w:rsidSect="00834738">
      <w:footnotePr>
        <w:numRestart w:val="eachPage"/>
      </w:footnotePr>
      <w:pgSz w:w="11908" w:h="16838"/>
      <w:pgMar w:top="1701"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3AFC" w14:textId="77777777" w:rsidR="0076424D" w:rsidRDefault="0076424D">
      <w:r>
        <w:separator/>
      </w:r>
    </w:p>
  </w:endnote>
  <w:endnote w:type="continuationSeparator" w:id="0">
    <w:p w14:paraId="62B2E9B6" w14:textId="77777777" w:rsidR="0076424D" w:rsidRDefault="00764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A6C5" w14:textId="77777777" w:rsidR="0076424D" w:rsidRDefault="0076424D">
      <w:r>
        <w:separator/>
      </w:r>
    </w:p>
  </w:footnote>
  <w:footnote w:type="continuationSeparator" w:id="0">
    <w:p w14:paraId="2E5E82C8" w14:textId="77777777" w:rsidR="0076424D" w:rsidRDefault="007642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2B8F365C"/>
    <w:multiLevelType w:val="hybridMultilevel"/>
    <w:tmpl w:val="B27CD84E"/>
    <w:lvl w:ilvl="0" w:tplc="04070001">
      <w:start w:val="1"/>
      <w:numFmt w:val="bullet"/>
      <w:lvlText w:val=""/>
      <w:lvlJc w:val="left"/>
      <w:pPr>
        <w:tabs>
          <w:tab w:val="num" w:pos="720"/>
        </w:tabs>
        <w:ind w:left="720" w:hanging="360"/>
      </w:pPr>
      <w:rPr>
        <w:rFonts w:ascii="Symbol" w:hAnsi="Symbol" w:hint="default"/>
        <w:b w:val="0"/>
        <w:i w:val="0"/>
        <w:color w:val="000000"/>
        <w:sz w:val="20"/>
        <w:szCs w:val="20"/>
        <w:u w:val="none"/>
      </w:rPr>
    </w:lvl>
    <w:lvl w:ilvl="1" w:tplc="FFFFFFFF">
      <w:start w:val="1"/>
      <w:numFmt w:val="bullet"/>
      <w:lvlText w:val="o"/>
      <w:lvlJc w:val="left"/>
      <w:pPr>
        <w:tabs>
          <w:tab w:val="num" w:pos="986"/>
        </w:tabs>
        <w:ind w:left="986" w:hanging="360"/>
      </w:pPr>
      <w:rPr>
        <w:rFonts w:ascii="Courier New" w:hAnsi="Courier New" w:cs="Courier New" w:hint="default"/>
      </w:rPr>
    </w:lvl>
    <w:lvl w:ilvl="2" w:tplc="FFFFFFFF" w:tentative="1">
      <w:start w:val="1"/>
      <w:numFmt w:val="bullet"/>
      <w:lvlText w:val=""/>
      <w:lvlJc w:val="left"/>
      <w:pPr>
        <w:tabs>
          <w:tab w:val="num" w:pos="1706"/>
        </w:tabs>
        <w:ind w:left="1706" w:hanging="360"/>
      </w:pPr>
      <w:rPr>
        <w:rFonts w:ascii="Wingdings" w:hAnsi="Wingdings" w:hint="default"/>
      </w:rPr>
    </w:lvl>
    <w:lvl w:ilvl="3" w:tplc="FFFFFFFF" w:tentative="1">
      <w:start w:val="1"/>
      <w:numFmt w:val="bullet"/>
      <w:lvlText w:val=""/>
      <w:lvlJc w:val="left"/>
      <w:pPr>
        <w:tabs>
          <w:tab w:val="num" w:pos="2426"/>
        </w:tabs>
        <w:ind w:left="2426" w:hanging="360"/>
      </w:pPr>
      <w:rPr>
        <w:rFonts w:ascii="Symbol" w:hAnsi="Symbol" w:hint="default"/>
      </w:rPr>
    </w:lvl>
    <w:lvl w:ilvl="4" w:tplc="FFFFFFFF" w:tentative="1">
      <w:start w:val="1"/>
      <w:numFmt w:val="bullet"/>
      <w:lvlText w:val="o"/>
      <w:lvlJc w:val="left"/>
      <w:pPr>
        <w:tabs>
          <w:tab w:val="num" w:pos="3146"/>
        </w:tabs>
        <w:ind w:left="3146" w:hanging="360"/>
      </w:pPr>
      <w:rPr>
        <w:rFonts w:ascii="Courier New" w:hAnsi="Courier New" w:cs="Courier New" w:hint="default"/>
      </w:rPr>
    </w:lvl>
    <w:lvl w:ilvl="5" w:tplc="FFFFFFFF" w:tentative="1">
      <w:start w:val="1"/>
      <w:numFmt w:val="bullet"/>
      <w:lvlText w:val=""/>
      <w:lvlJc w:val="left"/>
      <w:pPr>
        <w:tabs>
          <w:tab w:val="num" w:pos="3866"/>
        </w:tabs>
        <w:ind w:left="3866" w:hanging="360"/>
      </w:pPr>
      <w:rPr>
        <w:rFonts w:ascii="Wingdings" w:hAnsi="Wingdings" w:hint="default"/>
      </w:rPr>
    </w:lvl>
    <w:lvl w:ilvl="6" w:tplc="FFFFFFFF" w:tentative="1">
      <w:start w:val="1"/>
      <w:numFmt w:val="bullet"/>
      <w:lvlText w:val=""/>
      <w:lvlJc w:val="left"/>
      <w:pPr>
        <w:tabs>
          <w:tab w:val="num" w:pos="4586"/>
        </w:tabs>
        <w:ind w:left="4586" w:hanging="360"/>
      </w:pPr>
      <w:rPr>
        <w:rFonts w:ascii="Symbol" w:hAnsi="Symbol" w:hint="default"/>
      </w:rPr>
    </w:lvl>
    <w:lvl w:ilvl="7" w:tplc="FFFFFFFF" w:tentative="1">
      <w:start w:val="1"/>
      <w:numFmt w:val="bullet"/>
      <w:lvlText w:val="o"/>
      <w:lvlJc w:val="left"/>
      <w:pPr>
        <w:tabs>
          <w:tab w:val="num" w:pos="5306"/>
        </w:tabs>
        <w:ind w:left="5306" w:hanging="360"/>
      </w:pPr>
      <w:rPr>
        <w:rFonts w:ascii="Courier New" w:hAnsi="Courier New" w:cs="Courier New" w:hint="default"/>
      </w:rPr>
    </w:lvl>
    <w:lvl w:ilvl="8" w:tplc="FFFFFFFF" w:tentative="1">
      <w:start w:val="1"/>
      <w:numFmt w:val="bullet"/>
      <w:lvlText w:val=""/>
      <w:lvlJc w:val="left"/>
      <w:pPr>
        <w:tabs>
          <w:tab w:val="num" w:pos="6026"/>
        </w:tabs>
        <w:ind w:left="6026" w:hanging="360"/>
      </w:pPr>
      <w:rPr>
        <w:rFonts w:ascii="Wingdings" w:hAnsi="Wingdings" w:hint="default"/>
      </w:rPr>
    </w:lvl>
  </w:abstractNum>
  <w:abstractNum w:abstractNumId="2" w15:restartNumberingAfterBreak="0">
    <w:nsid w:val="34BC3C0B"/>
    <w:multiLevelType w:val="hybridMultilevel"/>
    <w:tmpl w:val="205CE618"/>
    <w:lvl w:ilvl="0" w:tplc="2D64AF60">
      <w:start w:val="1"/>
      <w:numFmt w:val="bullet"/>
      <w:pStyle w:val="SWCBulletedList"/>
      <w:lvlText w:val="o"/>
      <w:lvlJc w:val="left"/>
      <w:pPr>
        <w:tabs>
          <w:tab w:val="num" w:pos="1654"/>
        </w:tabs>
        <w:ind w:left="1654" w:hanging="360"/>
      </w:pPr>
      <w:rPr>
        <w:rFonts w:ascii="Wingdings" w:hAnsi="Wingdings" w:hint="default"/>
        <w:b w:val="0"/>
        <w:i w:val="0"/>
        <w:color w:val="000000"/>
        <w:sz w:val="20"/>
        <w:szCs w:val="20"/>
        <w:u w:val="none"/>
      </w:rPr>
    </w:lvl>
    <w:lvl w:ilvl="1" w:tplc="FFFFFFFF">
      <w:start w:val="1"/>
      <w:numFmt w:val="bullet"/>
      <w:lvlText w:val="o"/>
      <w:lvlJc w:val="left"/>
      <w:pPr>
        <w:tabs>
          <w:tab w:val="num" w:pos="1920"/>
        </w:tabs>
        <w:ind w:left="1920" w:hanging="360"/>
      </w:pPr>
      <w:rPr>
        <w:rFonts w:ascii="Courier New" w:hAnsi="Courier New" w:cs="Courier New" w:hint="default"/>
      </w:rPr>
    </w:lvl>
    <w:lvl w:ilvl="2" w:tplc="FFFFFFFF" w:tentative="1">
      <w:start w:val="1"/>
      <w:numFmt w:val="bullet"/>
      <w:lvlText w:val=""/>
      <w:lvlJc w:val="left"/>
      <w:pPr>
        <w:tabs>
          <w:tab w:val="num" w:pos="2640"/>
        </w:tabs>
        <w:ind w:left="2640" w:hanging="360"/>
      </w:pPr>
      <w:rPr>
        <w:rFonts w:ascii="Wingdings" w:hAnsi="Wingdings" w:hint="default"/>
      </w:rPr>
    </w:lvl>
    <w:lvl w:ilvl="3" w:tplc="FFFFFFFF" w:tentative="1">
      <w:start w:val="1"/>
      <w:numFmt w:val="bullet"/>
      <w:lvlText w:val=""/>
      <w:lvlJc w:val="left"/>
      <w:pPr>
        <w:tabs>
          <w:tab w:val="num" w:pos="3360"/>
        </w:tabs>
        <w:ind w:left="3360" w:hanging="360"/>
      </w:pPr>
      <w:rPr>
        <w:rFonts w:ascii="Symbol" w:hAnsi="Symbol" w:hint="default"/>
      </w:rPr>
    </w:lvl>
    <w:lvl w:ilvl="4" w:tplc="FFFFFFFF" w:tentative="1">
      <w:start w:val="1"/>
      <w:numFmt w:val="bullet"/>
      <w:lvlText w:val="o"/>
      <w:lvlJc w:val="left"/>
      <w:pPr>
        <w:tabs>
          <w:tab w:val="num" w:pos="4080"/>
        </w:tabs>
        <w:ind w:left="4080" w:hanging="360"/>
      </w:pPr>
      <w:rPr>
        <w:rFonts w:ascii="Courier New" w:hAnsi="Courier New" w:cs="Courier New"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cs="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3" w15:restartNumberingAfterBreak="0">
    <w:nsid w:val="49FD404B"/>
    <w:multiLevelType w:val="hybridMultilevel"/>
    <w:tmpl w:val="80420AEA"/>
    <w:lvl w:ilvl="0" w:tplc="0407000F">
      <w:start w:val="1"/>
      <w:numFmt w:val="decimal"/>
      <w:pStyle w:val="Verzeichnis1"/>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 w15:restartNumberingAfterBreak="0">
    <w:nsid w:val="5D9556E6"/>
    <w:multiLevelType w:val="hybridMultilevel"/>
    <w:tmpl w:val="10BC47F4"/>
    <w:lvl w:ilvl="0" w:tplc="8FA6480E">
      <w:start w:val="4"/>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40279AF"/>
    <w:multiLevelType w:val="hybridMultilevel"/>
    <w:tmpl w:val="886033D4"/>
    <w:lvl w:ilvl="0" w:tplc="84FAF57A">
      <w:start w:val="1"/>
      <w:numFmt w:val="decimal"/>
      <w:pStyle w:val="SWCHeading1"/>
      <w:lvlText w:val="%1."/>
      <w:lvlJc w:val="left"/>
      <w:pPr>
        <w:tabs>
          <w:tab w:val="num" w:pos="720"/>
        </w:tabs>
        <w:ind w:left="720" w:hanging="360"/>
      </w:pPr>
      <w:rPr>
        <w:rFonts w:hint="default"/>
      </w:rPr>
    </w:lvl>
    <w:lvl w:ilvl="1" w:tplc="BC685070">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64637252"/>
    <w:multiLevelType w:val="hybridMultilevel"/>
    <w:tmpl w:val="EBA263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75C078F"/>
    <w:multiLevelType w:val="hybridMultilevel"/>
    <w:tmpl w:val="294A4F7E"/>
    <w:lvl w:ilvl="0" w:tplc="04070001">
      <w:start w:val="1"/>
      <w:numFmt w:val="bullet"/>
      <w:lvlText w:val=""/>
      <w:lvlJc w:val="left"/>
      <w:pPr>
        <w:ind w:left="720" w:hanging="360"/>
      </w:pPr>
      <w:rPr>
        <w:rFonts w:ascii="Symbol" w:hAnsi="Symbol" w:hint="default"/>
      </w:rPr>
    </w:lvl>
    <w:lvl w:ilvl="1" w:tplc="1A545AB6">
      <w:numFmt w:val="bullet"/>
      <w:lvlText w:val="•"/>
      <w:lvlJc w:val="left"/>
      <w:pPr>
        <w:ind w:left="1800" w:hanging="720"/>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2468C3"/>
    <w:multiLevelType w:val="hybridMultilevel"/>
    <w:tmpl w:val="8716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E4155E0"/>
    <w:multiLevelType w:val="hybridMultilevel"/>
    <w:tmpl w:val="6460429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5606BA"/>
    <w:multiLevelType w:val="hybridMultilevel"/>
    <w:tmpl w:val="9F4258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7194335">
    <w:abstractNumId w:val="0"/>
  </w:num>
  <w:num w:numId="2" w16cid:durableId="1135025517">
    <w:abstractNumId w:val="5"/>
  </w:num>
  <w:num w:numId="3" w16cid:durableId="9925616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7694467">
    <w:abstractNumId w:val="7"/>
  </w:num>
  <w:num w:numId="5" w16cid:durableId="609704856">
    <w:abstractNumId w:val="2"/>
  </w:num>
  <w:num w:numId="6" w16cid:durableId="957107523">
    <w:abstractNumId w:val="1"/>
  </w:num>
  <w:num w:numId="7" w16cid:durableId="210922915">
    <w:abstractNumId w:val="6"/>
  </w:num>
  <w:num w:numId="8" w16cid:durableId="73865536">
    <w:abstractNumId w:val="8"/>
  </w:num>
  <w:num w:numId="9" w16cid:durableId="260644612">
    <w:abstractNumId w:val="3"/>
  </w:num>
  <w:num w:numId="10" w16cid:durableId="87118029">
    <w:abstractNumId w:val="10"/>
  </w:num>
  <w:num w:numId="11" w16cid:durableId="1067917473">
    <w:abstractNumId w:val="9"/>
  </w:num>
  <w:num w:numId="12" w16cid:durableId="4985412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33AE8"/>
    <w:rsid w:val="000359EB"/>
    <w:rsid w:val="0004235D"/>
    <w:rsid w:val="00046A2A"/>
    <w:rsid w:val="000533E4"/>
    <w:rsid w:val="000534F5"/>
    <w:rsid w:val="00053B4C"/>
    <w:rsid w:val="00053E02"/>
    <w:rsid w:val="000545A3"/>
    <w:rsid w:val="00055DB9"/>
    <w:rsid w:val="00057B5E"/>
    <w:rsid w:val="00064404"/>
    <w:rsid w:val="00066B26"/>
    <w:rsid w:val="000678AC"/>
    <w:rsid w:val="000712A1"/>
    <w:rsid w:val="00074DBF"/>
    <w:rsid w:val="00082241"/>
    <w:rsid w:val="000905F1"/>
    <w:rsid w:val="00092ED5"/>
    <w:rsid w:val="000A0ADB"/>
    <w:rsid w:val="000A1834"/>
    <w:rsid w:val="000A30A5"/>
    <w:rsid w:val="000A36B5"/>
    <w:rsid w:val="000A52A1"/>
    <w:rsid w:val="000B04BE"/>
    <w:rsid w:val="000B1F4D"/>
    <w:rsid w:val="000C2344"/>
    <w:rsid w:val="000D2679"/>
    <w:rsid w:val="000D6E1A"/>
    <w:rsid w:val="000E1855"/>
    <w:rsid w:val="000E1AB6"/>
    <w:rsid w:val="000F2353"/>
    <w:rsid w:val="000F739B"/>
    <w:rsid w:val="00100043"/>
    <w:rsid w:val="0010501A"/>
    <w:rsid w:val="001226C3"/>
    <w:rsid w:val="001370B4"/>
    <w:rsid w:val="00143B03"/>
    <w:rsid w:val="0015090D"/>
    <w:rsid w:val="00152F94"/>
    <w:rsid w:val="00155FB8"/>
    <w:rsid w:val="00157CE5"/>
    <w:rsid w:val="00163706"/>
    <w:rsid w:val="001647D2"/>
    <w:rsid w:val="00166C42"/>
    <w:rsid w:val="00176EF6"/>
    <w:rsid w:val="00181138"/>
    <w:rsid w:val="001904A7"/>
    <w:rsid w:val="00192109"/>
    <w:rsid w:val="0019232E"/>
    <w:rsid w:val="00194E9A"/>
    <w:rsid w:val="00195C26"/>
    <w:rsid w:val="001968B5"/>
    <w:rsid w:val="001969B9"/>
    <w:rsid w:val="001A117A"/>
    <w:rsid w:val="001A775B"/>
    <w:rsid w:val="001A7F40"/>
    <w:rsid w:val="001B13D6"/>
    <w:rsid w:val="001B6BCF"/>
    <w:rsid w:val="001B7B01"/>
    <w:rsid w:val="001C3A3D"/>
    <w:rsid w:val="001C63A2"/>
    <w:rsid w:val="001D0384"/>
    <w:rsid w:val="001D1102"/>
    <w:rsid w:val="001D2C45"/>
    <w:rsid w:val="001D3C5D"/>
    <w:rsid w:val="001D4912"/>
    <w:rsid w:val="001E2B93"/>
    <w:rsid w:val="001F2881"/>
    <w:rsid w:val="00205626"/>
    <w:rsid w:val="00206116"/>
    <w:rsid w:val="002074E6"/>
    <w:rsid w:val="00212628"/>
    <w:rsid w:val="002163D6"/>
    <w:rsid w:val="002174DB"/>
    <w:rsid w:val="0022299B"/>
    <w:rsid w:val="00223347"/>
    <w:rsid w:val="00225724"/>
    <w:rsid w:val="002272F2"/>
    <w:rsid w:val="00243214"/>
    <w:rsid w:val="0025160B"/>
    <w:rsid w:val="00257C89"/>
    <w:rsid w:val="002647A0"/>
    <w:rsid w:val="00266721"/>
    <w:rsid w:val="00266E47"/>
    <w:rsid w:val="00270E75"/>
    <w:rsid w:val="0027288C"/>
    <w:rsid w:val="00273341"/>
    <w:rsid w:val="00277E2F"/>
    <w:rsid w:val="00291810"/>
    <w:rsid w:val="00291851"/>
    <w:rsid w:val="002972D1"/>
    <w:rsid w:val="002A04A9"/>
    <w:rsid w:val="002A161D"/>
    <w:rsid w:val="002A39BB"/>
    <w:rsid w:val="002A4447"/>
    <w:rsid w:val="002A4ABA"/>
    <w:rsid w:val="002B3FAF"/>
    <w:rsid w:val="002B417A"/>
    <w:rsid w:val="002C089D"/>
    <w:rsid w:val="002C68AD"/>
    <w:rsid w:val="002D322C"/>
    <w:rsid w:val="002D4864"/>
    <w:rsid w:val="002E525F"/>
    <w:rsid w:val="002E5D62"/>
    <w:rsid w:val="002F1386"/>
    <w:rsid w:val="002F6B87"/>
    <w:rsid w:val="00300D86"/>
    <w:rsid w:val="00303345"/>
    <w:rsid w:val="00314EAB"/>
    <w:rsid w:val="0031730A"/>
    <w:rsid w:val="00320DC9"/>
    <w:rsid w:val="003357AC"/>
    <w:rsid w:val="00337414"/>
    <w:rsid w:val="00350D5E"/>
    <w:rsid w:val="0035638A"/>
    <w:rsid w:val="003605B9"/>
    <w:rsid w:val="00362122"/>
    <w:rsid w:val="00364A52"/>
    <w:rsid w:val="00367D52"/>
    <w:rsid w:val="00373F97"/>
    <w:rsid w:val="00374216"/>
    <w:rsid w:val="0038545D"/>
    <w:rsid w:val="003869E8"/>
    <w:rsid w:val="003873EF"/>
    <w:rsid w:val="00391288"/>
    <w:rsid w:val="003916AD"/>
    <w:rsid w:val="00395E5A"/>
    <w:rsid w:val="00395FD2"/>
    <w:rsid w:val="00396D86"/>
    <w:rsid w:val="0039742D"/>
    <w:rsid w:val="003A3A38"/>
    <w:rsid w:val="003A600F"/>
    <w:rsid w:val="003A7DB9"/>
    <w:rsid w:val="003B2055"/>
    <w:rsid w:val="003B53AE"/>
    <w:rsid w:val="003C0806"/>
    <w:rsid w:val="003C18DE"/>
    <w:rsid w:val="003C1B31"/>
    <w:rsid w:val="003C2B1A"/>
    <w:rsid w:val="003C39C6"/>
    <w:rsid w:val="003D0C22"/>
    <w:rsid w:val="003E1E1C"/>
    <w:rsid w:val="003E6868"/>
    <w:rsid w:val="003F0403"/>
    <w:rsid w:val="003F5B99"/>
    <w:rsid w:val="004019FD"/>
    <w:rsid w:val="00403277"/>
    <w:rsid w:val="00403E6A"/>
    <w:rsid w:val="004053B5"/>
    <w:rsid w:val="0040615A"/>
    <w:rsid w:val="00411E29"/>
    <w:rsid w:val="0042033E"/>
    <w:rsid w:val="004233CF"/>
    <w:rsid w:val="00431F90"/>
    <w:rsid w:val="004357AD"/>
    <w:rsid w:val="00453296"/>
    <w:rsid w:val="004544AD"/>
    <w:rsid w:val="00467DFD"/>
    <w:rsid w:val="00476879"/>
    <w:rsid w:val="00490F10"/>
    <w:rsid w:val="00493C81"/>
    <w:rsid w:val="00494006"/>
    <w:rsid w:val="004A3506"/>
    <w:rsid w:val="004B2F80"/>
    <w:rsid w:val="004B4E83"/>
    <w:rsid w:val="004C39AD"/>
    <w:rsid w:val="004C4EE9"/>
    <w:rsid w:val="004D145C"/>
    <w:rsid w:val="004D392B"/>
    <w:rsid w:val="004E5D79"/>
    <w:rsid w:val="004F4904"/>
    <w:rsid w:val="004F5FF9"/>
    <w:rsid w:val="00500640"/>
    <w:rsid w:val="00500D7D"/>
    <w:rsid w:val="005067AC"/>
    <w:rsid w:val="00506B5D"/>
    <w:rsid w:val="00514890"/>
    <w:rsid w:val="0051584D"/>
    <w:rsid w:val="00521529"/>
    <w:rsid w:val="0053083C"/>
    <w:rsid w:val="00531252"/>
    <w:rsid w:val="00532138"/>
    <w:rsid w:val="005325A7"/>
    <w:rsid w:val="0053532A"/>
    <w:rsid w:val="0053646C"/>
    <w:rsid w:val="005404F1"/>
    <w:rsid w:val="00542E22"/>
    <w:rsid w:val="00550776"/>
    <w:rsid w:val="00556004"/>
    <w:rsid w:val="00566460"/>
    <w:rsid w:val="0057075C"/>
    <w:rsid w:val="005721F8"/>
    <w:rsid w:val="005740EA"/>
    <w:rsid w:val="005836C7"/>
    <w:rsid w:val="005A1CF3"/>
    <w:rsid w:val="005A6108"/>
    <w:rsid w:val="005B3E86"/>
    <w:rsid w:val="005B6F55"/>
    <w:rsid w:val="005B77EF"/>
    <w:rsid w:val="005C4A67"/>
    <w:rsid w:val="005D5CF6"/>
    <w:rsid w:val="005E04EA"/>
    <w:rsid w:val="005E0D7D"/>
    <w:rsid w:val="005E7208"/>
    <w:rsid w:val="00604EB2"/>
    <w:rsid w:val="00607C4E"/>
    <w:rsid w:val="00613AF9"/>
    <w:rsid w:val="0061732F"/>
    <w:rsid w:val="0062257E"/>
    <w:rsid w:val="00625BC2"/>
    <w:rsid w:val="00627E34"/>
    <w:rsid w:val="006309AA"/>
    <w:rsid w:val="00633473"/>
    <w:rsid w:val="006359CD"/>
    <w:rsid w:val="006379BD"/>
    <w:rsid w:val="0064403B"/>
    <w:rsid w:val="006500EC"/>
    <w:rsid w:val="00652071"/>
    <w:rsid w:val="00653551"/>
    <w:rsid w:val="0065563B"/>
    <w:rsid w:val="00656F4E"/>
    <w:rsid w:val="00657E31"/>
    <w:rsid w:val="006640BF"/>
    <w:rsid w:val="00665471"/>
    <w:rsid w:val="0067117C"/>
    <w:rsid w:val="006722C6"/>
    <w:rsid w:val="00692D7F"/>
    <w:rsid w:val="006965AC"/>
    <w:rsid w:val="006A0333"/>
    <w:rsid w:val="006A0AE2"/>
    <w:rsid w:val="006A2F10"/>
    <w:rsid w:val="006A77D0"/>
    <w:rsid w:val="006B38CC"/>
    <w:rsid w:val="006B4C9F"/>
    <w:rsid w:val="006C756C"/>
    <w:rsid w:val="006D0D7E"/>
    <w:rsid w:val="006D4A96"/>
    <w:rsid w:val="006D73A3"/>
    <w:rsid w:val="006E61BC"/>
    <w:rsid w:val="006F5B85"/>
    <w:rsid w:val="007001A6"/>
    <w:rsid w:val="00702AE0"/>
    <w:rsid w:val="00703EEE"/>
    <w:rsid w:val="007174DA"/>
    <w:rsid w:val="00725ED2"/>
    <w:rsid w:val="0073551D"/>
    <w:rsid w:val="0073582F"/>
    <w:rsid w:val="00743158"/>
    <w:rsid w:val="007535ED"/>
    <w:rsid w:val="0075406E"/>
    <w:rsid w:val="00756030"/>
    <w:rsid w:val="00756702"/>
    <w:rsid w:val="007573D5"/>
    <w:rsid w:val="00762EA3"/>
    <w:rsid w:val="0076424D"/>
    <w:rsid w:val="007763CB"/>
    <w:rsid w:val="007804A7"/>
    <w:rsid w:val="00787A48"/>
    <w:rsid w:val="007908F6"/>
    <w:rsid w:val="00793BBA"/>
    <w:rsid w:val="007954D9"/>
    <w:rsid w:val="007A7952"/>
    <w:rsid w:val="007B0BDB"/>
    <w:rsid w:val="007B33DF"/>
    <w:rsid w:val="007B75A6"/>
    <w:rsid w:val="007C1632"/>
    <w:rsid w:val="007C2973"/>
    <w:rsid w:val="007C36EF"/>
    <w:rsid w:val="007C6BDE"/>
    <w:rsid w:val="007D0678"/>
    <w:rsid w:val="007D1C2C"/>
    <w:rsid w:val="007E3D54"/>
    <w:rsid w:val="007E6D17"/>
    <w:rsid w:val="007E7634"/>
    <w:rsid w:val="00800E25"/>
    <w:rsid w:val="00801634"/>
    <w:rsid w:val="0080537B"/>
    <w:rsid w:val="008063D5"/>
    <w:rsid w:val="00810976"/>
    <w:rsid w:val="008219CF"/>
    <w:rsid w:val="00821BE5"/>
    <w:rsid w:val="00834062"/>
    <w:rsid w:val="00834738"/>
    <w:rsid w:val="00837104"/>
    <w:rsid w:val="00840E8F"/>
    <w:rsid w:val="0084100F"/>
    <w:rsid w:val="00841839"/>
    <w:rsid w:val="00844131"/>
    <w:rsid w:val="00845AE3"/>
    <w:rsid w:val="008861EB"/>
    <w:rsid w:val="0089078F"/>
    <w:rsid w:val="00893500"/>
    <w:rsid w:val="0089401B"/>
    <w:rsid w:val="00897F84"/>
    <w:rsid w:val="008B0053"/>
    <w:rsid w:val="008B0279"/>
    <w:rsid w:val="008B618F"/>
    <w:rsid w:val="008B752A"/>
    <w:rsid w:val="008C2D91"/>
    <w:rsid w:val="008C3F64"/>
    <w:rsid w:val="008C4DBC"/>
    <w:rsid w:val="008D44C5"/>
    <w:rsid w:val="008D7E85"/>
    <w:rsid w:val="008E18FA"/>
    <w:rsid w:val="008E19FF"/>
    <w:rsid w:val="008E521F"/>
    <w:rsid w:val="008E53FF"/>
    <w:rsid w:val="008F2352"/>
    <w:rsid w:val="008F249D"/>
    <w:rsid w:val="008F54F8"/>
    <w:rsid w:val="009011AA"/>
    <w:rsid w:val="0090437E"/>
    <w:rsid w:val="009060AC"/>
    <w:rsid w:val="00906CC3"/>
    <w:rsid w:val="009169AB"/>
    <w:rsid w:val="00917D56"/>
    <w:rsid w:val="00931C9D"/>
    <w:rsid w:val="00933A00"/>
    <w:rsid w:val="00933BFD"/>
    <w:rsid w:val="00941691"/>
    <w:rsid w:val="00942AED"/>
    <w:rsid w:val="00944E25"/>
    <w:rsid w:val="00953F15"/>
    <w:rsid w:val="00956187"/>
    <w:rsid w:val="009627DB"/>
    <w:rsid w:val="009642AB"/>
    <w:rsid w:val="00965189"/>
    <w:rsid w:val="00974174"/>
    <w:rsid w:val="00980A21"/>
    <w:rsid w:val="00982BCB"/>
    <w:rsid w:val="00985448"/>
    <w:rsid w:val="009860E6"/>
    <w:rsid w:val="00993F03"/>
    <w:rsid w:val="0099435F"/>
    <w:rsid w:val="00996BC5"/>
    <w:rsid w:val="009A6D34"/>
    <w:rsid w:val="009B3BB0"/>
    <w:rsid w:val="009B4816"/>
    <w:rsid w:val="009C1438"/>
    <w:rsid w:val="009C1BA8"/>
    <w:rsid w:val="009C2D0D"/>
    <w:rsid w:val="009C3492"/>
    <w:rsid w:val="009C49C6"/>
    <w:rsid w:val="009C5932"/>
    <w:rsid w:val="009C5AA4"/>
    <w:rsid w:val="009D02D4"/>
    <w:rsid w:val="009D60E3"/>
    <w:rsid w:val="009E0D67"/>
    <w:rsid w:val="009E4985"/>
    <w:rsid w:val="009E499A"/>
    <w:rsid w:val="009F16C5"/>
    <w:rsid w:val="009F3E11"/>
    <w:rsid w:val="009F6AF8"/>
    <w:rsid w:val="009F6E78"/>
    <w:rsid w:val="009F7777"/>
    <w:rsid w:val="009F7C7E"/>
    <w:rsid w:val="00A01148"/>
    <w:rsid w:val="00A314AC"/>
    <w:rsid w:val="00A31C4A"/>
    <w:rsid w:val="00A31DC5"/>
    <w:rsid w:val="00A40C81"/>
    <w:rsid w:val="00A436CD"/>
    <w:rsid w:val="00A5180B"/>
    <w:rsid w:val="00A55E36"/>
    <w:rsid w:val="00A6457C"/>
    <w:rsid w:val="00A8757B"/>
    <w:rsid w:val="00A92044"/>
    <w:rsid w:val="00A93F8E"/>
    <w:rsid w:val="00A9727D"/>
    <w:rsid w:val="00AA16B9"/>
    <w:rsid w:val="00AA1789"/>
    <w:rsid w:val="00AA47DC"/>
    <w:rsid w:val="00AB624E"/>
    <w:rsid w:val="00AC2C09"/>
    <w:rsid w:val="00AC6B6F"/>
    <w:rsid w:val="00AD2213"/>
    <w:rsid w:val="00AE11FC"/>
    <w:rsid w:val="00AE6354"/>
    <w:rsid w:val="00AF15AF"/>
    <w:rsid w:val="00AF6EB4"/>
    <w:rsid w:val="00B01141"/>
    <w:rsid w:val="00B02E33"/>
    <w:rsid w:val="00B04CF2"/>
    <w:rsid w:val="00B0704D"/>
    <w:rsid w:val="00B214A1"/>
    <w:rsid w:val="00B22D5C"/>
    <w:rsid w:val="00B263F0"/>
    <w:rsid w:val="00B2716E"/>
    <w:rsid w:val="00B31D5D"/>
    <w:rsid w:val="00B32703"/>
    <w:rsid w:val="00B33B6C"/>
    <w:rsid w:val="00B54313"/>
    <w:rsid w:val="00B572EB"/>
    <w:rsid w:val="00B60B5F"/>
    <w:rsid w:val="00B6496F"/>
    <w:rsid w:val="00B70211"/>
    <w:rsid w:val="00B743F8"/>
    <w:rsid w:val="00B8064D"/>
    <w:rsid w:val="00B80F06"/>
    <w:rsid w:val="00B827C6"/>
    <w:rsid w:val="00B84CEB"/>
    <w:rsid w:val="00B86741"/>
    <w:rsid w:val="00B93F09"/>
    <w:rsid w:val="00BA38CB"/>
    <w:rsid w:val="00BB1390"/>
    <w:rsid w:val="00BC738E"/>
    <w:rsid w:val="00BD0576"/>
    <w:rsid w:val="00BE50D0"/>
    <w:rsid w:val="00BF16FE"/>
    <w:rsid w:val="00C012F5"/>
    <w:rsid w:val="00C01F07"/>
    <w:rsid w:val="00C068BC"/>
    <w:rsid w:val="00C17081"/>
    <w:rsid w:val="00C20A85"/>
    <w:rsid w:val="00C238C0"/>
    <w:rsid w:val="00C24692"/>
    <w:rsid w:val="00C257EB"/>
    <w:rsid w:val="00C27FD4"/>
    <w:rsid w:val="00C31849"/>
    <w:rsid w:val="00C365E2"/>
    <w:rsid w:val="00C40BE5"/>
    <w:rsid w:val="00C43B60"/>
    <w:rsid w:val="00C44EFB"/>
    <w:rsid w:val="00C47987"/>
    <w:rsid w:val="00C55264"/>
    <w:rsid w:val="00C6695C"/>
    <w:rsid w:val="00C74680"/>
    <w:rsid w:val="00C854A1"/>
    <w:rsid w:val="00C97946"/>
    <w:rsid w:val="00CA3E54"/>
    <w:rsid w:val="00CA4F91"/>
    <w:rsid w:val="00CA7ABB"/>
    <w:rsid w:val="00CB57E5"/>
    <w:rsid w:val="00CB7EE8"/>
    <w:rsid w:val="00CC0BDA"/>
    <w:rsid w:val="00CC3B0C"/>
    <w:rsid w:val="00CD4D4B"/>
    <w:rsid w:val="00CD4EFC"/>
    <w:rsid w:val="00CE432C"/>
    <w:rsid w:val="00CE438E"/>
    <w:rsid w:val="00CE6DBB"/>
    <w:rsid w:val="00CE7BBB"/>
    <w:rsid w:val="00D0520C"/>
    <w:rsid w:val="00D14555"/>
    <w:rsid w:val="00D17DCC"/>
    <w:rsid w:val="00D31359"/>
    <w:rsid w:val="00D32EF0"/>
    <w:rsid w:val="00D34665"/>
    <w:rsid w:val="00D34A07"/>
    <w:rsid w:val="00D35E52"/>
    <w:rsid w:val="00D36FA6"/>
    <w:rsid w:val="00D40BB1"/>
    <w:rsid w:val="00D41E9A"/>
    <w:rsid w:val="00D52DA3"/>
    <w:rsid w:val="00D53F31"/>
    <w:rsid w:val="00D5584D"/>
    <w:rsid w:val="00D62269"/>
    <w:rsid w:val="00D62EDC"/>
    <w:rsid w:val="00D63D44"/>
    <w:rsid w:val="00D6446C"/>
    <w:rsid w:val="00D976DC"/>
    <w:rsid w:val="00DA244B"/>
    <w:rsid w:val="00DA7F88"/>
    <w:rsid w:val="00DB52E7"/>
    <w:rsid w:val="00DC0318"/>
    <w:rsid w:val="00DD1D5F"/>
    <w:rsid w:val="00DD1FD2"/>
    <w:rsid w:val="00DE0269"/>
    <w:rsid w:val="00DE7E59"/>
    <w:rsid w:val="00DF63F1"/>
    <w:rsid w:val="00E00149"/>
    <w:rsid w:val="00E012C5"/>
    <w:rsid w:val="00E023A9"/>
    <w:rsid w:val="00E07D1B"/>
    <w:rsid w:val="00E218E2"/>
    <w:rsid w:val="00E23FEE"/>
    <w:rsid w:val="00E548A7"/>
    <w:rsid w:val="00E5569D"/>
    <w:rsid w:val="00E561C1"/>
    <w:rsid w:val="00E57E49"/>
    <w:rsid w:val="00E61764"/>
    <w:rsid w:val="00E61C50"/>
    <w:rsid w:val="00E62555"/>
    <w:rsid w:val="00E65D4A"/>
    <w:rsid w:val="00E7237D"/>
    <w:rsid w:val="00E75830"/>
    <w:rsid w:val="00E81F09"/>
    <w:rsid w:val="00E9249A"/>
    <w:rsid w:val="00EA50D7"/>
    <w:rsid w:val="00EA56BF"/>
    <w:rsid w:val="00EA7A39"/>
    <w:rsid w:val="00EC3533"/>
    <w:rsid w:val="00EC78C9"/>
    <w:rsid w:val="00ED2B58"/>
    <w:rsid w:val="00EF2F33"/>
    <w:rsid w:val="00EF596C"/>
    <w:rsid w:val="00F07750"/>
    <w:rsid w:val="00F1218A"/>
    <w:rsid w:val="00F146EA"/>
    <w:rsid w:val="00F2613A"/>
    <w:rsid w:val="00F30A77"/>
    <w:rsid w:val="00F314CA"/>
    <w:rsid w:val="00F359E0"/>
    <w:rsid w:val="00F4393F"/>
    <w:rsid w:val="00F46A3A"/>
    <w:rsid w:val="00F5375D"/>
    <w:rsid w:val="00F5454E"/>
    <w:rsid w:val="00F715C3"/>
    <w:rsid w:val="00F718BD"/>
    <w:rsid w:val="00F76642"/>
    <w:rsid w:val="00F80507"/>
    <w:rsid w:val="00F80A77"/>
    <w:rsid w:val="00F83CD3"/>
    <w:rsid w:val="00F85F61"/>
    <w:rsid w:val="00F9005A"/>
    <w:rsid w:val="00F95487"/>
    <w:rsid w:val="00F95DEF"/>
    <w:rsid w:val="00FA1553"/>
    <w:rsid w:val="00FA4DF8"/>
    <w:rsid w:val="00FB45FB"/>
    <w:rsid w:val="00FC09A1"/>
    <w:rsid w:val="00FC1781"/>
    <w:rsid w:val="00FC244F"/>
    <w:rsid w:val="00FD2F94"/>
    <w:rsid w:val="00FD79DA"/>
    <w:rsid w:val="00FE2ADC"/>
    <w:rsid w:val="00FE3F0E"/>
    <w:rsid w:val="00FE5997"/>
    <w:rsid w:val="00FE7726"/>
    <w:rsid w:val="00FF0950"/>
    <w:rsid w:val="00FF3F08"/>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rPr>
  </w:style>
  <w:style w:type="paragraph" w:customStyle="1" w:styleId="SWCBulletedList">
    <w:name w:val="SWC_BulletedList"/>
    <w:link w:val="SWCBulletedListCar"/>
    <w:qFormat/>
    <w:rsid w:val="009F6AF8"/>
    <w:pPr>
      <w:numPr>
        <w:numId w:val="5"/>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2"/>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Verzeichnis1">
    <w:name w:val="toc 1"/>
    <w:basedOn w:val="Listenabsatz"/>
    <w:next w:val="Standard"/>
    <w:autoRedefine/>
    <w:uiPriority w:val="39"/>
    <w:semiHidden/>
    <w:unhideWhenUsed/>
    <w:qFormat/>
    <w:rsid w:val="00CD4D4B"/>
    <w:pPr>
      <w:numPr>
        <w:numId w:val="3"/>
      </w:numPr>
      <w:tabs>
        <w:tab w:val="num" w:pos="360"/>
      </w:tabs>
      <w:spacing w:before="120" w:after="240"/>
      <w:ind w:left="720" w:firstLine="425"/>
      <w:jc w:val="both"/>
    </w:pPr>
    <w:rPr>
      <w:rFonts w:ascii="Arial" w:eastAsiaTheme="minorHAnsi" w:hAnsi="Arial" w:cs="Arial"/>
      <w:sz w:val="22"/>
      <w:szCs w:val="22"/>
      <w:lang w:val="en-US" w:eastAsia="en-US"/>
    </w:rPr>
  </w:style>
  <w:style w:type="paragraph" w:styleId="Listenabsatz">
    <w:name w:val="List Paragraph"/>
    <w:basedOn w:val="Standard"/>
    <w:uiPriority w:val="34"/>
    <w:qFormat/>
    <w:rsid w:val="00CD4D4B"/>
    <w:pPr>
      <w:ind w:left="720"/>
      <w:contextualSpacing/>
    </w:pPr>
  </w:style>
  <w:style w:type="character" w:styleId="NichtaufgelsteErwhnung">
    <w:name w:val="Unresolved Mention"/>
    <w:basedOn w:val="Absatz-Standardschriftart"/>
    <w:uiPriority w:val="99"/>
    <w:semiHidden/>
    <w:unhideWhenUsed/>
    <w:rsid w:val="00E75830"/>
    <w:rPr>
      <w:color w:val="605E5C"/>
      <w:shd w:val="clear" w:color="auto" w:fill="E1DFDD"/>
    </w:rPr>
  </w:style>
  <w:style w:type="paragraph" w:customStyle="1" w:styleId="Firstparagraphinsection">
    <w:name w:val="First paragraph in section"/>
    <w:qFormat/>
    <w:rsid w:val="002174DB"/>
    <w:pPr>
      <w:spacing w:before="120" w:after="240"/>
      <w:jc w:val="both"/>
    </w:pPr>
    <w:rPr>
      <w:rFonts w:ascii="Arial" w:eastAsiaTheme="minorHAnsi" w:hAnsi="Arial" w:cs="Arial"/>
      <w:sz w:val="22"/>
      <w:szCs w:val="22"/>
      <w:lang w:val="en-US" w:eastAsia="en-US"/>
    </w:rPr>
  </w:style>
  <w:style w:type="paragraph" w:styleId="Fuzeile">
    <w:name w:val="footer"/>
    <w:basedOn w:val="Standard"/>
    <w:link w:val="FuzeileZchn"/>
    <w:rsid w:val="00844131"/>
    <w:pPr>
      <w:tabs>
        <w:tab w:val="center" w:pos="4320"/>
        <w:tab w:val="right" w:pos="8640"/>
      </w:tabs>
      <w:spacing w:after="180"/>
      <w:jc w:val="both"/>
    </w:pPr>
    <w:rPr>
      <w:szCs w:val="20"/>
      <w:lang w:val="en-US" w:eastAsia="en-US"/>
    </w:rPr>
  </w:style>
  <w:style w:type="character" w:customStyle="1" w:styleId="FuzeileZchn">
    <w:name w:val="Fußzeile Zchn"/>
    <w:basedOn w:val="Absatz-Standardschriftart"/>
    <w:link w:val="Fuzeile"/>
    <w:rsid w:val="00844131"/>
    <w:rPr>
      <w:sz w:val="24"/>
      <w:lang w:val="en-US" w:eastAsia="en-US"/>
    </w:rPr>
  </w:style>
  <w:style w:type="paragraph" w:styleId="StandardWeb">
    <w:name w:val="Normal (Web)"/>
    <w:basedOn w:val="Standard"/>
    <w:uiPriority w:val="99"/>
    <w:semiHidden/>
    <w:unhideWhenUsed/>
    <w:rsid w:val="00A31C4A"/>
    <w:pPr>
      <w:spacing w:before="100" w:beforeAutospacing="1" w:after="100" w:afterAutospacing="1"/>
    </w:pPr>
  </w:style>
  <w:style w:type="paragraph" w:customStyle="1" w:styleId="PHI06Legend">
    <w:name w:val="PHI_06_Legend"/>
    <w:basedOn w:val="Standard"/>
    <w:next w:val="Standard"/>
    <w:link w:val="PHI06LegendZchn"/>
    <w:qFormat/>
    <w:rsid w:val="00C31849"/>
    <w:pPr>
      <w:suppressAutoHyphens/>
      <w:spacing w:before="120" w:after="240" w:line="264" w:lineRule="auto"/>
    </w:pPr>
    <w:rPr>
      <w:rFonts w:ascii="Arial" w:eastAsia="Calibri" w:hAnsi="Arial"/>
      <w:b/>
      <w:color w:val="000000"/>
      <w:sz w:val="20"/>
      <w:szCs w:val="22"/>
      <w:lang w:val="en-GB" w:eastAsia="en-US"/>
    </w:rPr>
  </w:style>
  <w:style w:type="character" w:customStyle="1" w:styleId="PHI06LegendZchn">
    <w:name w:val="PHI_06_Legend Zchn"/>
    <w:link w:val="PHI06Legend"/>
    <w:rsid w:val="00C31849"/>
    <w:rPr>
      <w:rFonts w:ascii="Arial" w:eastAsia="Calibri" w:hAnsi="Arial"/>
      <w:b/>
      <w:color w:val="000000"/>
      <w:szCs w:val="22"/>
      <w:lang w:val="en-GB" w:eastAsia="en-US"/>
    </w:rPr>
  </w:style>
  <w:style w:type="paragraph" w:customStyle="1" w:styleId="Reference">
    <w:name w:val="Reference"/>
    <w:rsid w:val="003A600F"/>
    <w:pPr>
      <w:widowControl w:val="0"/>
      <w:numPr>
        <w:numId w:val="12"/>
      </w:numPr>
      <w:tabs>
        <w:tab w:val="left" w:pos="567"/>
      </w:tabs>
      <w:jc w:val="both"/>
    </w:pPr>
    <w:rPr>
      <w:rFonts w:ascii="Times" w:hAnsi="Times"/>
      <w:iCs/>
      <w:noProof/>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doi.org/10.3390/en15113889"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2975</Words>
  <Characters>18747</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Franziska  Bockelmann</cp:lastModifiedBy>
  <cp:revision>8</cp:revision>
  <cp:lastPrinted>2023-02-22T09:40:00Z</cp:lastPrinted>
  <dcterms:created xsi:type="dcterms:W3CDTF">2026-08-24T09:21:00Z</dcterms:created>
  <dcterms:modified xsi:type="dcterms:W3CDTF">2026-08-24T14:01:00Z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